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288" w:lineRule="auto"/>
        <w:jc w:val="center"/>
        <w:rPr>
          <w:rFonts w:ascii="楷体" w:hAnsi="楷体" w:eastAsia="楷体"/>
          <w:b/>
          <w:spacing w:val="-6"/>
          <w:sz w:val="44"/>
          <w:szCs w:val="44"/>
        </w:rPr>
      </w:pPr>
    </w:p>
    <w:p>
      <w:pPr>
        <w:adjustRightInd w:val="0"/>
        <w:snapToGrid w:val="0"/>
        <w:spacing w:line="288" w:lineRule="auto"/>
        <w:jc w:val="center"/>
        <w:rPr>
          <w:rFonts w:ascii="楷体" w:hAnsi="楷体" w:eastAsia="楷体"/>
          <w:b/>
          <w:spacing w:val="-6"/>
          <w:sz w:val="44"/>
          <w:szCs w:val="44"/>
        </w:rPr>
      </w:pPr>
    </w:p>
    <w:p>
      <w:pPr>
        <w:adjustRightInd w:val="0"/>
        <w:snapToGrid w:val="0"/>
        <w:spacing w:line="288"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adjustRightInd w:val="0"/>
        <w:snapToGrid w:val="0"/>
        <w:spacing w:line="288" w:lineRule="auto"/>
        <w:jc w:val="center"/>
        <w:rPr>
          <w:rFonts w:ascii="楷体" w:hAnsi="楷体" w:eastAsia="楷体"/>
          <w:b/>
          <w:spacing w:val="-6"/>
          <w:sz w:val="48"/>
          <w:szCs w:val="48"/>
        </w:rPr>
      </w:pPr>
      <w:r>
        <w:rPr>
          <w:rFonts w:hint="eastAsia" w:ascii="楷体" w:hAnsi="楷体" w:eastAsia="楷体"/>
          <w:b/>
          <w:spacing w:val="-6"/>
          <w:sz w:val="48"/>
          <w:szCs w:val="48"/>
        </w:rPr>
        <w:t>浙江财经大学东方学院</w:t>
      </w:r>
    </w:p>
    <w:p>
      <w:pPr>
        <w:adjustRightInd w:val="0"/>
        <w:snapToGrid w:val="0"/>
        <w:spacing w:line="288" w:lineRule="auto"/>
        <w:jc w:val="center"/>
        <w:rPr>
          <w:rFonts w:ascii="楷体" w:hAnsi="楷体" w:eastAsia="楷体"/>
          <w:b/>
          <w:spacing w:val="-6"/>
          <w:sz w:val="48"/>
          <w:szCs w:val="48"/>
        </w:rPr>
      </w:pPr>
      <w:r>
        <w:rPr>
          <w:rFonts w:hint="eastAsia" w:ascii="楷体" w:hAnsi="楷体" w:eastAsia="楷体"/>
          <w:b/>
          <w:spacing w:val="-6"/>
          <w:sz w:val="48"/>
          <w:szCs w:val="48"/>
        </w:rPr>
        <w:t>疫情防控平台建设</w:t>
      </w:r>
    </w:p>
    <w:p>
      <w:pPr>
        <w:adjustRightInd w:val="0"/>
        <w:snapToGrid w:val="0"/>
        <w:spacing w:line="288" w:lineRule="auto"/>
        <w:jc w:val="center"/>
        <w:rPr>
          <w:rFonts w:ascii="楷体" w:hAnsi="楷体" w:eastAsia="楷体"/>
          <w:b/>
          <w:spacing w:val="-6"/>
          <w:sz w:val="48"/>
          <w:szCs w:val="48"/>
        </w:rPr>
      </w:pPr>
    </w:p>
    <w:p>
      <w:pPr>
        <w:adjustRightInd w:val="0"/>
        <w:snapToGrid w:val="0"/>
        <w:spacing w:line="288" w:lineRule="auto"/>
        <w:jc w:val="center"/>
        <w:rPr>
          <w:rFonts w:ascii="楷体" w:hAnsi="楷体" w:eastAsia="楷体"/>
          <w:b/>
          <w:spacing w:val="-6"/>
          <w:sz w:val="48"/>
          <w:szCs w:val="48"/>
        </w:rPr>
      </w:pPr>
    </w:p>
    <w:p>
      <w:pPr>
        <w:adjustRightInd w:val="0"/>
        <w:snapToGrid w:val="0"/>
        <w:spacing w:line="288" w:lineRule="auto"/>
        <w:jc w:val="center"/>
        <w:rPr>
          <w:rFonts w:ascii="楷体" w:hAnsi="楷体" w:eastAsia="楷体"/>
          <w:b/>
          <w:spacing w:val="-6"/>
          <w:sz w:val="72"/>
          <w:szCs w:val="72"/>
        </w:rPr>
      </w:pPr>
      <w:r>
        <w:rPr>
          <w:rFonts w:hint="eastAsia" w:ascii="楷体" w:hAnsi="楷体" w:eastAsia="楷体"/>
          <w:b/>
          <w:spacing w:val="-6"/>
          <w:sz w:val="72"/>
          <w:szCs w:val="72"/>
        </w:rPr>
        <w:t>磋商文件</w:t>
      </w:r>
    </w:p>
    <w:p>
      <w:pPr>
        <w:adjustRightInd w:val="0"/>
        <w:snapToGrid w:val="0"/>
        <w:spacing w:line="288" w:lineRule="auto"/>
        <w:rPr>
          <w:rFonts w:ascii="楷体" w:hAnsi="楷体" w:eastAsia="楷体"/>
          <w:b/>
          <w:spacing w:val="-6"/>
          <w:sz w:val="30"/>
          <w:szCs w:val="30"/>
        </w:rPr>
      </w:pPr>
    </w:p>
    <w:p>
      <w:pPr>
        <w:adjustRightInd w:val="0"/>
        <w:snapToGrid w:val="0"/>
        <w:spacing w:line="288" w:lineRule="auto"/>
        <w:rPr>
          <w:rFonts w:ascii="楷体" w:hAnsi="楷体" w:eastAsia="楷体"/>
          <w:b/>
          <w:spacing w:val="-6"/>
          <w:sz w:val="30"/>
          <w:szCs w:val="30"/>
        </w:rPr>
      </w:pPr>
    </w:p>
    <w:p>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采 购 人：浙江财经大学东方学院</w:t>
      </w:r>
    </w:p>
    <w:p>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项目名称：疫情防控平台建设</w:t>
      </w:r>
    </w:p>
    <w:p>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 xml:space="preserve">项目编号：QSZB-F(H)-E22038(CS) </w:t>
      </w:r>
    </w:p>
    <w:p>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pPr>
        <w:widowControl/>
        <w:adjustRightInd w:val="0"/>
        <w:snapToGrid w:val="0"/>
        <w:spacing w:line="288" w:lineRule="auto"/>
        <w:jc w:val="left"/>
        <w:rPr>
          <w:rFonts w:ascii="楷体" w:hAnsi="楷体" w:eastAsia="楷体"/>
          <w:b/>
          <w:spacing w:val="-6"/>
          <w:sz w:val="30"/>
          <w:szCs w:val="30"/>
        </w:rPr>
      </w:pPr>
      <w:r>
        <w:rPr>
          <w:rFonts w:ascii="楷体" w:hAnsi="楷体" w:eastAsia="楷体"/>
          <w:b/>
          <w:spacing w:val="-6"/>
          <w:sz w:val="30"/>
          <w:szCs w:val="30"/>
        </w:rPr>
        <w:br w:type="page"/>
      </w:r>
    </w:p>
    <w:p>
      <w:pPr>
        <w:adjustRightInd w:val="0"/>
        <w:snapToGrid w:val="0"/>
        <w:spacing w:line="288" w:lineRule="auto"/>
        <w:rPr>
          <w:rFonts w:ascii="楷体" w:hAnsi="楷体" w:eastAsia="楷体"/>
          <w:b/>
          <w:spacing w:val="-6"/>
          <w:sz w:val="30"/>
          <w:szCs w:val="30"/>
        </w:rPr>
      </w:pPr>
    </w:p>
    <w:p>
      <w:pPr>
        <w:pStyle w:val="14"/>
        <w:adjustRightInd w:val="0"/>
        <w:snapToGrid w:val="0"/>
        <w:spacing w:beforeLines="0" w:afterLines="0" w:line="288" w:lineRule="auto"/>
        <w:jc w:val="center"/>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 xml:space="preserve"> 录</w:t>
      </w:r>
    </w:p>
    <w:p>
      <w:pPr>
        <w:pStyle w:val="14"/>
        <w:adjustRightInd w:val="0"/>
        <w:snapToGrid w:val="0"/>
        <w:spacing w:beforeLines="0" w:afterLines="0" w:line="288" w:lineRule="auto"/>
        <w:rPr>
          <w:rFonts w:ascii="楷体" w:hAnsi="楷体" w:eastAsia="楷体"/>
          <w:b/>
          <w:sz w:val="30"/>
          <w:szCs w:val="30"/>
        </w:rPr>
      </w:pP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采购邀请</w:t>
      </w: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供应商须知</w:t>
      </w: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评审方法及评审标准</w:t>
      </w: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第五章</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响应文件格式</w:t>
      </w:r>
    </w:p>
    <w:p>
      <w:pPr>
        <w:tabs>
          <w:tab w:val="left" w:pos="1440"/>
        </w:tabs>
        <w:adjustRightInd w:val="0"/>
        <w:snapToGrid w:val="0"/>
        <w:spacing w:line="288" w:lineRule="auto"/>
        <w:ind w:left="284"/>
        <w:rPr>
          <w:rFonts w:ascii="宋体" w:hAnsi="宋体"/>
          <w:b/>
          <w:spacing w:val="-6"/>
          <w:sz w:val="30"/>
          <w:szCs w:val="30"/>
        </w:rPr>
      </w:pPr>
    </w:p>
    <w:p>
      <w:pPr>
        <w:pStyle w:val="14"/>
        <w:adjustRightInd w:val="0"/>
        <w:snapToGrid w:val="0"/>
        <w:spacing w:beforeLines="0" w:afterLines="0" w:line="288" w:lineRule="auto"/>
        <w:jc w:val="center"/>
        <w:outlineLvl w:val="0"/>
        <w:rPr>
          <w:rFonts w:hAnsi="宋体"/>
          <w:sz w:val="21"/>
          <w:szCs w:val="21"/>
        </w:rPr>
        <w:sectPr>
          <w:headerReference r:id="rId3" w:type="default"/>
          <w:footerReference r:id="rId4" w:type="default"/>
          <w:pgSz w:w="11906" w:h="16838"/>
          <w:pgMar w:top="1247" w:right="1247" w:bottom="1247" w:left="1247" w:header="0" w:footer="782" w:gutter="0"/>
          <w:cols w:space="720" w:num="1"/>
          <w:docGrid w:linePitch="381" w:charSpace="0"/>
        </w:sectPr>
      </w:pPr>
    </w:p>
    <w:p>
      <w:pPr>
        <w:pStyle w:val="14"/>
        <w:adjustRightInd w:val="0"/>
        <w:snapToGrid w:val="0"/>
        <w:spacing w:beforeLines="0" w:afterLines="0" w:line="288" w:lineRule="auto"/>
        <w:jc w:val="center"/>
        <w:outlineLvl w:val="0"/>
        <w:rPr>
          <w:rFonts w:hAnsi="宋体"/>
          <w:b/>
          <w:spacing w:val="-6"/>
          <w:sz w:val="32"/>
          <w:szCs w:val="32"/>
        </w:rPr>
      </w:pPr>
      <w:r>
        <w:rPr>
          <w:rFonts w:hAnsi="宋体"/>
          <w:b/>
          <w:spacing w:val="-6"/>
          <w:sz w:val="32"/>
          <w:szCs w:val="32"/>
        </w:rPr>
        <w:t>第一章  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sz w:val="21"/>
          <w:szCs w:val="21"/>
        </w:rPr>
      </w:pPr>
      <w:r>
        <w:rPr>
          <w:rFonts w:hint="eastAsia" w:ascii="宋体" w:hAnsi="宋体"/>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sz w:val="21"/>
          <w:szCs w:val="21"/>
        </w:rPr>
      </w:pPr>
      <w:r>
        <w:rPr>
          <w:rFonts w:hint="eastAsia" w:ascii="宋体" w:hAnsi="宋体"/>
          <w:b/>
          <w:sz w:val="21"/>
          <w:szCs w:val="21"/>
          <w:u w:val="single"/>
        </w:rPr>
        <w:t xml:space="preserve"> 疫情防控平台建设 </w:t>
      </w:r>
      <w:r>
        <w:rPr>
          <w:rFonts w:hint="eastAsia" w:ascii="宋体" w:hAnsi="宋体"/>
          <w:b/>
          <w:sz w:val="21"/>
          <w:szCs w:val="21"/>
        </w:rPr>
        <w:t>采购项目的潜在供应商应在</w:t>
      </w:r>
      <w:r>
        <w:rPr>
          <w:rFonts w:hint="eastAsia" w:ascii="宋体" w:hAnsi="宋体"/>
          <w:b/>
          <w:sz w:val="21"/>
          <w:szCs w:val="21"/>
          <w:u w:val="single"/>
        </w:rPr>
        <w:t xml:space="preserve"> 微信获取（扫描附件二维码或关注“浙江求是招标代理有限公司”企业公众号）或现场获取。（杭州市西湖区玉古路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11楼H</w:t>
      </w:r>
      <w:r>
        <w:rPr>
          <w:rFonts w:hint="eastAsia" w:ascii="宋体" w:hAnsi="宋体"/>
          <w:b/>
          <w:sz w:val="21"/>
          <w:szCs w:val="21"/>
          <w:u w:val="single"/>
        </w:rPr>
        <w:t>室）</w:t>
      </w:r>
      <w:r>
        <w:rPr>
          <w:rFonts w:hint="eastAsia" w:ascii="宋体" w:hAnsi="宋体"/>
          <w:b/>
          <w:sz w:val="21"/>
          <w:szCs w:val="21"/>
        </w:rPr>
        <w:t>获取采购文件，并于</w:t>
      </w:r>
      <w:r>
        <w:rPr>
          <w:rFonts w:hint="eastAsia" w:ascii="宋体" w:hAnsi="宋体"/>
          <w:b/>
          <w:sz w:val="21"/>
          <w:szCs w:val="21"/>
          <w:u w:val="single"/>
        </w:rPr>
        <w:t>2022年04月14日14:00:00</w:t>
      </w:r>
      <w:r>
        <w:rPr>
          <w:rFonts w:hint="eastAsia" w:ascii="宋体" w:hAnsi="宋体"/>
          <w:b/>
          <w:bCs/>
          <w:sz w:val="21"/>
          <w:szCs w:val="21"/>
        </w:rPr>
        <w:t>（北京时间）前递交响应</w:t>
      </w:r>
      <w:r>
        <w:rPr>
          <w:rFonts w:ascii="宋体" w:hAnsi="宋体"/>
          <w:b/>
          <w:bCs/>
          <w:sz w:val="21"/>
          <w:szCs w:val="21"/>
        </w:rPr>
        <w:t>文件</w:t>
      </w:r>
      <w:r>
        <w:rPr>
          <w:rFonts w:hint="eastAsia" w:ascii="宋体" w:hAnsi="宋体"/>
          <w:b/>
          <w:sz w:val="21"/>
          <w:szCs w:val="21"/>
        </w:rPr>
        <w:t>。</w:t>
      </w:r>
    </w:p>
    <w:p>
      <w:pPr>
        <w:adjustRightInd w:val="0"/>
        <w:snapToGrid w:val="0"/>
        <w:spacing w:line="288" w:lineRule="auto"/>
        <w:ind w:firstLine="200"/>
        <w:rPr>
          <w:rFonts w:ascii="宋体" w:hAnsi="宋体"/>
          <w:b/>
          <w:sz w:val="21"/>
          <w:szCs w:val="21"/>
        </w:rPr>
      </w:pPr>
      <w:bookmarkStart w:id="0" w:name="_Toc28359079"/>
      <w:bookmarkStart w:id="1" w:name="_Toc28359002"/>
      <w:bookmarkStart w:id="2" w:name="_Toc35393621"/>
      <w:bookmarkStart w:id="3" w:name="_Toc35393790"/>
      <w:bookmarkStart w:id="4" w:name="_Hlk24379207"/>
      <w:r>
        <w:rPr>
          <w:rFonts w:hint="eastAsia" w:ascii="宋体" w:hAnsi="宋体"/>
          <w:b/>
          <w:sz w:val="21"/>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 xml:space="preserve">1.项目编号：QSZB-F(H)-E22038(CS) </w:t>
      </w:r>
    </w:p>
    <w:p>
      <w:pPr>
        <w:adjustRightInd w:val="0"/>
        <w:snapToGrid w:val="0"/>
        <w:spacing w:line="288"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.项目名称：疫情防控平台建设（非政府采购项目）</w:t>
      </w:r>
    </w:p>
    <w:p>
      <w:pPr>
        <w:adjustRightInd w:val="0"/>
        <w:snapToGrid w:val="0"/>
        <w:spacing w:line="288" w:lineRule="auto"/>
        <w:ind w:firstLine="420" w:firstLineChars="200"/>
        <w:rPr>
          <w:rFonts w:ascii="宋体" w:hAnsi="宋体"/>
          <w:sz w:val="21"/>
          <w:szCs w:val="21"/>
        </w:rPr>
      </w:pPr>
      <w:r>
        <w:rPr>
          <w:rFonts w:ascii="宋体" w:hAnsi="宋体"/>
          <w:sz w:val="21"/>
          <w:szCs w:val="21"/>
        </w:rPr>
        <w:t>3</w:t>
      </w:r>
      <w:r>
        <w:rPr>
          <w:rFonts w:hint="eastAsia" w:ascii="宋体" w:hAnsi="宋体"/>
          <w:sz w:val="21"/>
          <w:szCs w:val="21"/>
        </w:rPr>
        <w:t>.采购方式：竞争性磋商</w:t>
      </w:r>
    </w:p>
    <w:bookmarkEnd w:id="4"/>
    <w:p>
      <w:pPr>
        <w:adjustRightInd w:val="0"/>
        <w:snapToGrid w:val="0"/>
        <w:spacing w:line="288" w:lineRule="auto"/>
        <w:ind w:firstLine="420" w:firstLineChars="200"/>
        <w:rPr>
          <w:rFonts w:ascii="宋体" w:hAnsi="宋体"/>
          <w:sz w:val="21"/>
          <w:szCs w:val="21"/>
          <w:u w:val="single"/>
        </w:rPr>
      </w:pPr>
      <w:r>
        <w:rPr>
          <w:rFonts w:ascii="宋体" w:hAnsi="宋体"/>
          <w:sz w:val="21"/>
          <w:szCs w:val="21"/>
        </w:rPr>
        <w:t>4</w:t>
      </w:r>
      <w:r>
        <w:rPr>
          <w:rFonts w:hint="eastAsia" w:ascii="宋体" w:hAnsi="宋体"/>
          <w:sz w:val="21"/>
          <w:szCs w:val="21"/>
        </w:rPr>
        <w:t>.合同履约期限：合同签订后</w:t>
      </w:r>
      <w:r>
        <w:rPr>
          <w:rFonts w:ascii="宋体" w:hAnsi="宋体"/>
          <w:sz w:val="21"/>
          <w:szCs w:val="21"/>
        </w:rPr>
        <w:t>45</w:t>
      </w:r>
      <w:r>
        <w:rPr>
          <w:rFonts w:hint="eastAsia" w:ascii="宋体" w:hAnsi="宋体"/>
          <w:sz w:val="21"/>
          <w:szCs w:val="21"/>
        </w:rPr>
        <w:t>个自然日内完成整体功能上线</w:t>
      </w:r>
    </w:p>
    <w:p>
      <w:pPr>
        <w:adjustRightInd w:val="0"/>
        <w:snapToGrid w:val="0"/>
        <w:spacing w:line="288" w:lineRule="auto"/>
        <w:ind w:firstLine="420" w:firstLineChars="200"/>
        <w:rPr>
          <w:rFonts w:ascii="宋体" w:hAnsi="宋体"/>
          <w:bCs/>
          <w:sz w:val="21"/>
          <w:szCs w:val="21"/>
        </w:rPr>
      </w:pPr>
      <w:r>
        <w:rPr>
          <w:rFonts w:ascii="宋体" w:hAnsi="宋体"/>
          <w:bCs/>
          <w:sz w:val="21"/>
          <w:szCs w:val="21"/>
        </w:rPr>
        <w:t>5</w:t>
      </w:r>
      <w:r>
        <w:rPr>
          <w:rFonts w:hint="eastAsia" w:ascii="宋体" w:hAnsi="宋体"/>
          <w:bCs/>
          <w:sz w:val="21"/>
          <w:szCs w:val="21"/>
        </w:rPr>
        <w:t>.本项目不接受联合体响应。</w:t>
      </w:r>
    </w:p>
    <w:p>
      <w:pPr>
        <w:adjustRightInd w:val="0"/>
        <w:snapToGrid w:val="0"/>
        <w:spacing w:line="288" w:lineRule="auto"/>
        <w:ind w:firstLine="420" w:firstLineChars="200"/>
        <w:rPr>
          <w:rFonts w:ascii="宋体" w:hAnsi="宋体"/>
          <w:sz w:val="21"/>
          <w:szCs w:val="21"/>
        </w:rPr>
      </w:pPr>
      <w:r>
        <w:rPr>
          <w:rFonts w:ascii="宋体" w:hAnsi="宋体"/>
          <w:sz w:val="21"/>
          <w:szCs w:val="21"/>
        </w:rPr>
        <w:t>6</w:t>
      </w:r>
      <w:r>
        <w:rPr>
          <w:rFonts w:hint="eastAsia" w:ascii="宋体" w:hAnsi="宋体"/>
          <w:sz w:val="21"/>
          <w:szCs w:val="21"/>
        </w:rPr>
        <w:t>.采购需求：</w:t>
      </w:r>
    </w:p>
    <w:tbl>
      <w:tblPr>
        <w:tblStyle w:val="23"/>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85"/>
        <w:gridCol w:w="708"/>
        <w:gridCol w:w="709"/>
        <w:gridCol w:w="1702"/>
        <w:gridCol w:w="1276"/>
        <w:gridCol w:w="127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cs="宋体"/>
                <w:b/>
                <w:bCs/>
                <w:sz w:val="21"/>
                <w:szCs w:val="21"/>
              </w:rPr>
            </w:pPr>
            <w:bookmarkStart w:id="5" w:name="_Toc28359003"/>
            <w:bookmarkStart w:id="6" w:name="_Toc35393791"/>
            <w:bookmarkStart w:id="7" w:name="_Toc28359080"/>
            <w:bookmarkStart w:id="8" w:name="_Toc35393622"/>
            <w:r>
              <w:rPr>
                <w:rFonts w:hint="eastAsia" w:ascii="宋体" w:hAnsi="宋体" w:cs="宋体"/>
                <w:b/>
                <w:bCs/>
                <w:sz w:val="21"/>
                <w:szCs w:val="21"/>
              </w:rPr>
              <w:t>序号</w:t>
            </w:r>
          </w:p>
        </w:tc>
        <w:tc>
          <w:tcPr>
            <w:tcW w:w="1985"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8"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09"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1702"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c>
          <w:tcPr>
            <w:tcW w:w="1276" w:type="dxa"/>
            <w:tcBorders>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是否允许采购进口产品</w:t>
            </w:r>
          </w:p>
        </w:tc>
        <w:tc>
          <w:tcPr>
            <w:tcW w:w="1276" w:type="dxa"/>
            <w:tcBorders>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预算金额</w:t>
            </w:r>
          </w:p>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（万元）</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最高限价</w:t>
            </w:r>
          </w:p>
          <w:p>
            <w:pPr>
              <w:adjustRightInd w:val="0"/>
              <w:snapToGrid w:val="0"/>
              <w:spacing w:line="288" w:lineRule="auto"/>
              <w:jc w:val="center"/>
              <w:rPr>
                <w:rFonts w:ascii="宋体" w:hAnsi="宋体" w:cs="宋体"/>
                <w:b/>
                <w:bCs/>
                <w:sz w:val="21"/>
                <w:szCs w:val="21"/>
              </w:rPr>
            </w:pPr>
            <w:r>
              <w:rPr>
                <w:rFonts w:hint="eastAsia" w:ascii="宋体" w:hAnsi="宋体" w:cs="宋体"/>
                <w:b/>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一</w:t>
            </w:r>
          </w:p>
        </w:tc>
        <w:tc>
          <w:tcPr>
            <w:tcW w:w="1985"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sz w:val="21"/>
                <w:szCs w:val="21"/>
              </w:rPr>
              <w:t>疫情防控平台建设</w:t>
            </w:r>
          </w:p>
        </w:tc>
        <w:tc>
          <w:tcPr>
            <w:tcW w:w="708"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p>
        </w:tc>
        <w:tc>
          <w:tcPr>
            <w:tcW w:w="709"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项</w:t>
            </w:r>
          </w:p>
        </w:tc>
        <w:tc>
          <w:tcPr>
            <w:tcW w:w="1702"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详见第二章采购需求</w:t>
            </w:r>
          </w:p>
        </w:tc>
        <w:tc>
          <w:tcPr>
            <w:tcW w:w="1276"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否</w:t>
            </w:r>
          </w:p>
        </w:tc>
        <w:tc>
          <w:tcPr>
            <w:tcW w:w="1276"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3</w:t>
            </w:r>
            <w:r>
              <w:rPr>
                <w:rFonts w:ascii="宋体" w:hAnsi="宋体" w:cs="宋体"/>
                <w:sz w:val="21"/>
                <w:szCs w:val="21"/>
              </w:rPr>
              <w:t>0</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3</w:t>
            </w:r>
            <w:r>
              <w:rPr>
                <w:rFonts w:ascii="宋体" w:hAnsi="宋体" w:cs="宋体"/>
                <w:sz w:val="21"/>
                <w:szCs w:val="21"/>
              </w:rPr>
              <w:t>0</w:t>
            </w:r>
          </w:p>
        </w:tc>
      </w:tr>
    </w:tbl>
    <w:p>
      <w:pPr>
        <w:adjustRightInd w:val="0"/>
        <w:snapToGrid w:val="0"/>
        <w:spacing w:line="288" w:lineRule="auto"/>
        <w:ind w:firstLine="200"/>
        <w:rPr>
          <w:rFonts w:ascii="宋体" w:hAnsi="宋体"/>
          <w:b/>
          <w:sz w:val="21"/>
          <w:szCs w:val="21"/>
        </w:rPr>
      </w:pPr>
      <w:r>
        <w:rPr>
          <w:rFonts w:hint="eastAsia" w:ascii="宋体" w:hAnsi="宋体"/>
          <w:b/>
          <w:sz w:val="21"/>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bCs/>
          <w:sz w:val="21"/>
          <w:szCs w:val="21"/>
        </w:rPr>
      </w:pPr>
      <w:bookmarkStart w:id="9" w:name="_Toc28359081"/>
      <w:bookmarkStart w:id="10" w:name="_Toc28359004"/>
      <w:r>
        <w:rPr>
          <w:rFonts w:hint="eastAsia" w:ascii="宋体" w:hAnsi="宋体"/>
          <w:bCs/>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color w:val="FF0000"/>
          <w:sz w:val="21"/>
          <w:szCs w:val="21"/>
        </w:rPr>
      </w:pPr>
      <w:r>
        <w:rPr>
          <w:rFonts w:hint="eastAsia" w:ascii="宋体" w:hAnsi="宋体"/>
          <w:sz w:val="21"/>
          <w:szCs w:val="21"/>
        </w:rPr>
        <w:t>2.落实政府采购政策需满足的资格要求：无</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3.本项目的特定资格要求：无</w:t>
      </w:r>
    </w:p>
    <w:p>
      <w:pPr>
        <w:adjustRightInd w:val="0"/>
        <w:snapToGrid w:val="0"/>
        <w:spacing w:line="288" w:lineRule="auto"/>
        <w:ind w:firstLine="200"/>
        <w:rPr>
          <w:rFonts w:ascii="宋体" w:hAnsi="宋体"/>
          <w:b/>
          <w:sz w:val="21"/>
          <w:szCs w:val="21"/>
        </w:rPr>
      </w:pPr>
      <w:bookmarkStart w:id="11" w:name="_Toc35393792"/>
      <w:bookmarkStart w:id="12" w:name="_Toc35393623"/>
      <w:r>
        <w:rPr>
          <w:rFonts w:hint="eastAsia" w:ascii="宋体" w:hAnsi="宋体"/>
          <w:b/>
          <w:sz w:val="21"/>
          <w:szCs w:val="21"/>
        </w:rPr>
        <w:t>三、获取采购文件</w:t>
      </w:r>
      <w:bookmarkEnd w:id="9"/>
      <w:bookmarkEnd w:id="10"/>
      <w:bookmarkEnd w:id="11"/>
      <w:bookmarkEnd w:id="12"/>
    </w:p>
    <w:p>
      <w:pPr>
        <w:adjustRightInd w:val="0"/>
        <w:snapToGrid w:val="0"/>
        <w:spacing w:line="288" w:lineRule="auto"/>
        <w:ind w:firstLine="420" w:firstLineChars="200"/>
        <w:rPr>
          <w:rFonts w:ascii="宋体" w:hAnsi="宋体"/>
          <w:sz w:val="21"/>
          <w:szCs w:val="21"/>
        </w:rPr>
      </w:pPr>
      <w:bookmarkStart w:id="13" w:name="_Toc35393793"/>
      <w:bookmarkStart w:id="14" w:name="_Toc28359005"/>
      <w:bookmarkStart w:id="15" w:name="_Toc28359082"/>
      <w:bookmarkStart w:id="16" w:name="_Toc35393624"/>
      <w:r>
        <w:rPr>
          <w:rFonts w:hint="eastAsia" w:ascii="宋体" w:hAnsi="宋体"/>
          <w:sz w:val="21"/>
          <w:szCs w:val="21"/>
        </w:rPr>
        <w:t>1</w:t>
      </w:r>
      <w:r>
        <w:rPr>
          <w:rFonts w:ascii="宋体" w:hAnsi="宋体"/>
          <w:sz w:val="21"/>
          <w:szCs w:val="21"/>
        </w:rPr>
        <w:t>.</w:t>
      </w:r>
      <w:r>
        <w:rPr>
          <w:rFonts w:hint="eastAsia" w:ascii="宋体" w:hAnsi="宋体"/>
          <w:sz w:val="21"/>
          <w:szCs w:val="21"/>
        </w:rPr>
        <w:t>时间：2022年04月</w:t>
      </w:r>
      <w:r>
        <w:rPr>
          <w:rFonts w:ascii="宋体" w:hAnsi="宋体"/>
          <w:sz w:val="21"/>
          <w:szCs w:val="21"/>
        </w:rPr>
        <w:t>02</w:t>
      </w:r>
      <w:r>
        <w:rPr>
          <w:rFonts w:hint="eastAsia" w:ascii="宋体" w:hAnsi="宋体"/>
          <w:sz w:val="21"/>
          <w:szCs w:val="21"/>
        </w:rPr>
        <w:t>日至2022年04月</w:t>
      </w:r>
      <w:r>
        <w:rPr>
          <w:rFonts w:ascii="宋体" w:hAnsi="宋体"/>
          <w:sz w:val="21"/>
          <w:szCs w:val="21"/>
        </w:rPr>
        <w:t>12</w:t>
      </w:r>
      <w:r>
        <w:rPr>
          <w:rFonts w:hint="eastAsia" w:ascii="宋体" w:hAnsi="宋体"/>
          <w:sz w:val="21"/>
          <w:szCs w:val="21"/>
        </w:rPr>
        <w:t>日(双休日及法定节假日除外)</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上午：8:30-11:30 、下午：13:00-17:00。</w:t>
      </w:r>
      <w:r>
        <w:rPr>
          <w:rFonts w:hint="eastAsia" w:ascii="宋体" w:hAnsi="宋体"/>
          <w:color w:val="000000"/>
          <w:sz w:val="21"/>
          <w:szCs w:val="21"/>
        </w:rPr>
        <w:t>获取磋商文件截止时间之后潜在供应商依然可以获取磋商文件，如对磋商文件有质疑的应在规定的质疑期限内提出。</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地点：浙江求是招标代理有限公司（杭州市西湖区玉古路173号中田大厦11楼H室）</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方式：微信获取（扫描附件二维码或关注“浙江求是招标代理有限公司”企业公众号）或现场获取。</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获取文件联系人：於路莹；联系方式：0571-56532513；电子邮箱：</w:t>
      </w:r>
      <w:r>
        <w:rPr>
          <w:rFonts w:ascii="宋体" w:hAnsi="宋体"/>
          <w:sz w:val="21"/>
          <w:szCs w:val="21"/>
        </w:rPr>
        <w:t>bm@qszb.net</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rPr>
        <w:t>5</w:t>
      </w:r>
      <w:r>
        <w:rPr>
          <w:rFonts w:ascii="宋体" w:hAnsi="宋体"/>
          <w:sz w:val="21"/>
          <w:szCs w:val="21"/>
          <w:u w:val="single"/>
        </w:rPr>
        <w:t>00</w:t>
      </w:r>
      <w:r>
        <w:rPr>
          <w:rFonts w:hint="eastAsia" w:ascii="宋体" w:hAnsi="宋体"/>
          <w:sz w:val="21"/>
          <w:szCs w:val="21"/>
          <w:u w:val="single"/>
        </w:rPr>
        <w:t>元整。</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收款单位（户名）：浙江求是招标代理有限公司</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开户银行：工行浙大支行</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财务联系方式：0571-87666113</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5.供应商未按照本公告规定的方式获取磋商文件的，响应文件将被拒绝。</w:t>
      </w:r>
    </w:p>
    <w:p>
      <w:pPr>
        <w:adjustRightInd w:val="0"/>
        <w:snapToGrid w:val="0"/>
        <w:spacing w:line="288" w:lineRule="auto"/>
        <w:ind w:firstLine="200"/>
        <w:rPr>
          <w:rFonts w:ascii="宋体" w:hAnsi="宋体"/>
          <w:b/>
          <w:sz w:val="21"/>
          <w:szCs w:val="21"/>
        </w:rPr>
      </w:pPr>
      <w:r>
        <w:rPr>
          <w:rFonts w:hint="eastAsia" w:ascii="宋体" w:hAnsi="宋体"/>
          <w:b/>
          <w:sz w:val="21"/>
          <w:szCs w:val="21"/>
        </w:rPr>
        <w:t>四、</w:t>
      </w:r>
      <w:bookmarkEnd w:id="13"/>
      <w:bookmarkEnd w:id="14"/>
      <w:bookmarkEnd w:id="15"/>
      <w:bookmarkEnd w:id="16"/>
      <w:r>
        <w:rPr>
          <w:rFonts w:hint="eastAsia" w:ascii="宋体" w:hAnsi="宋体"/>
          <w:b/>
          <w:sz w:val="21"/>
          <w:szCs w:val="21"/>
        </w:rPr>
        <w:t>响应文件提交</w:t>
      </w:r>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1.响应文件提交截止时间：2022年04月14日14:00:00（北京时间）</w:t>
      </w:r>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2.地点：杭州市西湖区玉古路173号中田大厦11楼求是招标会议室</w:t>
      </w:r>
      <w:r>
        <w:rPr>
          <w:rFonts w:ascii="宋体" w:hAnsi="宋体"/>
          <w:bCs/>
          <w:sz w:val="21"/>
          <w:szCs w:val="21"/>
        </w:rPr>
        <w:t>2</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备注：</w:t>
      </w:r>
      <w:r>
        <w:rPr>
          <w:rFonts w:hint="eastAsia" w:ascii="宋体" w:hAnsi="宋体"/>
          <w:color w:val="000000"/>
          <w:sz w:val="21"/>
          <w:szCs w:val="21"/>
        </w:rPr>
        <w:t>供应商应当在磋商文件要求的截止时间前，将响应文件密封送达指定地点。在截止时间后送达</w:t>
      </w:r>
      <w:r>
        <w:rPr>
          <w:rFonts w:hint="eastAsia" w:ascii="宋体" w:hAnsi="宋体"/>
          <w:sz w:val="21"/>
          <w:szCs w:val="21"/>
        </w:rPr>
        <w:t>或者未密封</w:t>
      </w:r>
      <w:r>
        <w:rPr>
          <w:rFonts w:hint="eastAsia" w:ascii="宋体" w:hAnsi="宋体"/>
          <w:color w:val="000000"/>
          <w:sz w:val="21"/>
          <w:szCs w:val="21"/>
        </w:rPr>
        <w:t>的响应文件为无效文件，采购代理机构将予以拒收。</w:t>
      </w:r>
    </w:p>
    <w:p>
      <w:pPr>
        <w:adjustRightInd w:val="0"/>
        <w:snapToGrid w:val="0"/>
        <w:spacing w:line="288" w:lineRule="auto"/>
        <w:ind w:firstLine="200"/>
        <w:rPr>
          <w:rFonts w:ascii="宋体" w:hAnsi="宋体"/>
          <w:b/>
          <w:sz w:val="21"/>
          <w:szCs w:val="21"/>
        </w:rPr>
      </w:pPr>
      <w:bookmarkStart w:id="17" w:name="_Toc35393625"/>
      <w:bookmarkStart w:id="18" w:name="_Toc28359084"/>
      <w:bookmarkStart w:id="19" w:name="_Toc35393794"/>
      <w:bookmarkStart w:id="20" w:name="_Toc28359007"/>
      <w:r>
        <w:rPr>
          <w:rFonts w:hint="eastAsia" w:ascii="宋体" w:hAnsi="宋体"/>
          <w:b/>
          <w:sz w:val="21"/>
          <w:szCs w:val="21"/>
        </w:rPr>
        <w:t>五、开启</w:t>
      </w:r>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1.响应文件开启时间：2022年04月14日14:00:00（北京时间）</w:t>
      </w:r>
    </w:p>
    <w:p>
      <w:pPr>
        <w:adjustRightInd w:val="0"/>
        <w:snapToGrid w:val="0"/>
        <w:spacing w:line="288" w:lineRule="auto"/>
        <w:ind w:firstLine="409" w:firstLineChars="195"/>
        <w:rPr>
          <w:rFonts w:ascii="宋体" w:hAnsi="宋体"/>
          <w:bCs/>
          <w:sz w:val="21"/>
          <w:szCs w:val="21"/>
        </w:rPr>
      </w:pPr>
      <w:r>
        <w:rPr>
          <w:rFonts w:hint="eastAsia" w:ascii="宋体" w:hAnsi="宋体"/>
          <w:bCs/>
          <w:sz w:val="21"/>
          <w:szCs w:val="21"/>
        </w:rPr>
        <w:t>2.地点：杭州市西湖区玉古路173号中田大厦11楼求是招标会议室2</w:t>
      </w:r>
    </w:p>
    <w:p>
      <w:pPr>
        <w:adjustRightInd w:val="0"/>
        <w:snapToGrid w:val="0"/>
        <w:spacing w:line="288" w:lineRule="auto"/>
        <w:ind w:firstLine="200"/>
        <w:rPr>
          <w:rFonts w:ascii="宋体" w:hAnsi="宋体"/>
          <w:b/>
          <w:sz w:val="21"/>
          <w:szCs w:val="21"/>
        </w:rPr>
      </w:pPr>
      <w:r>
        <w:rPr>
          <w:rFonts w:hint="eastAsia" w:ascii="宋体" w:hAnsi="宋体"/>
          <w:b/>
          <w:sz w:val="21"/>
          <w:szCs w:val="21"/>
        </w:rPr>
        <w:t>六、公告期限</w:t>
      </w:r>
      <w:bookmarkEnd w:id="17"/>
      <w:bookmarkEnd w:id="18"/>
      <w:bookmarkEnd w:id="19"/>
      <w:bookmarkEnd w:id="20"/>
    </w:p>
    <w:p>
      <w:pPr>
        <w:adjustRightInd w:val="0"/>
        <w:snapToGrid w:val="0"/>
        <w:spacing w:line="288" w:lineRule="auto"/>
        <w:ind w:firstLine="420" w:firstLineChars="200"/>
        <w:rPr>
          <w:rFonts w:ascii="宋体" w:hAnsi="宋体"/>
          <w:kern w:val="0"/>
          <w:sz w:val="21"/>
          <w:szCs w:val="21"/>
        </w:rPr>
      </w:pPr>
      <w:r>
        <w:rPr>
          <w:rFonts w:hint="eastAsia" w:ascii="宋体" w:hAnsi="宋体"/>
          <w:kern w:val="0"/>
          <w:sz w:val="21"/>
          <w:szCs w:val="21"/>
        </w:rPr>
        <w:t>自本公告发布之日起3个工作日。</w:t>
      </w:r>
    </w:p>
    <w:p>
      <w:pPr>
        <w:adjustRightInd w:val="0"/>
        <w:snapToGrid w:val="0"/>
        <w:spacing w:line="288" w:lineRule="auto"/>
        <w:ind w:firstLine="211" w:firstLineChars="100"/>
        <w:rPr>
          <w:rFonts w:ascii="宋体" w:hAnsi="宋体"/>
          <w:b/>
          <w:sz w:val="21"/>
          <w:szCs w:val="21"/>
        </w:rPr>
      </w:pPr>
      <w:bookmarkStart w:id="21" w:name="_Toc35393795"/>
      <w:bookmarkStart w:id="22" w:name="_Toc35393626"/>
      <w:r>
        <w:rPr>
          <w:rFonts w:hint="eastAsia" w:ascii="宋体" w:hAnsi="宋体"/>
          <w:b/>
          <w:sz w:val="21"/>
          <w:szCs w:val="21"/>
        </w:rPr>
        <w:t>七、</w:t>
      </w:r>
      <w:bookmarkEnd w:id="21"/>
      <w:bookmarkEnd w:id="22"/>
      <w:r>
        <w:rPr>
          <w:rFonts w:hint="eastAsia" w:ascii="宋体" w:hAnsi="宋体"/>
          <w:b/>
          <w:sz w:val="21"/>
          <w:szCs w:val="21"/>
        </w:rPr>
        <w:t>其他补充事宜</w:t>
      </w:r>
    </w:p>
    <w:p>
      <w:pPr>
        <w:adjustRightInd w:val="0"/>
        <w:snapToGrid w:val="0"/>
        <w:spacing w:line="288" w:lineRule="auto"/>
        <w:ind w:firstLine="396" w:firstLineChars="200"/>
        <w:rPr>
          <w:rFonts w:ascii="宋体" w:hAnsi="宋体" w:cs="宋体"/>
          <w:spacing w:val="-6"/>
          <w:sz w:val="21"/>
          <w:szCs w:val="21"/>
        </w:rPr>
      </w:pPr>
      <w:r>
        <w:rPr>
          <w:rFonts w:ascii="宋体" w:hAnsi="宋体" w:cs="宋体"/>
          <w:spacing w:val="-6"/>
          <w:sz w:val="21"/>
          <w:szCs w:val="21"/>
        </w:rPr>
        <w:t>1.</w:t>
      </w:r>
      <w:r>
        <w:rPr>
          <w:rFonts w:hint="eastAsia" w:ascii="宋体" w:hAnsi="宋体" w:cs="宋体"/>
          <w:spacing w:val="-6"/>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cs="宋体"/>
          <w:spacing w:val="-6"/>
          <w:sz w:val="21"/>
          <w:szCs w:val="21"/>
        </w:rPr>
        <w:t>7个工作日内，对采购文件需求的以书面形式向采购人提出质疑，对其他内容的以书面形式向采购人和采购代理机构提出质疑。质疑函范本请到浙江政府采购网下载专区下载。</w:t>
      </w:r>
    </w:p>
    <w:p>
      <w:pPr>
        <w:adjustRightInd w:val="0"/>
        <w:snapToGrid w:val="0"/>
        <w:spacing w:line="288" w:lineRule="auto"/>
        <w:ind w:firstLine="396" w:firstLineChars="200"/>
        <w:rPr>
          <w:rFonts w:ascii="宋体" w:hAnsi="宋体" w:cs="宋体"/>
          <w:spacing w:val="-6"/>
          <w:sz w:val="21"/>
          <w:szCs w:val="21"/>
        </w:rPr>
      </w:pPr>
      <w:r>
        <w:rPr>
          <w:rFonts w:ascii="宋体" w:hAnsi="宋体" w:cs="宋体"/>
          <w:spacing w:val="-6"/>
          <w:sz w:val="21"/>
          <w:szCs w:val="21"/>
        </w:rPr>
        <w:t>2.需要落实的政府采购政策：包括节约资源、保护环境、促进中小企业发展等。详见磋商文件的第</w:t>
      </w:r>
      <w:r>
        <w:rPr>
          <w:rFonts w:hint="eastAsia" w:ascii="宋体" w:hAnsi="宋体" w:cs="宋体"/>
          <w:spacing w:val="-6"/>
          <w:sz w:val="21"/>
          <w:szCs w:val="21"/>
        </w:rPr>
        <w:t>三章-采购项目需要落实的政府采购政策</w:t>
      </w:r>
      <w:r>
        <w:rPr>
          <w:rFonts w:ascii="宋体" w:hAnsi="宋体" w:cs="宋体"/>
          <w:spacing w:val="-6"/>
          <w:sz w:val="21"/>
          <w:szCs w:val="21"/>
        </w:rPr>
        <w:t>。</w:t>
      </w:r>
    </w:p>
    <w:p>
      <w:pPr>
        <w:adjustRightInd w:val="0"/>
        <w:snapToGrid w:val="0"/>
        <w:spacing w:line="288" w:lineRule="auto"/>
        <w:ind w:firstLine="396" w:firstLineChars="200"/>
        <w:rPr>
          <w:rFonts w:ascii="宋体" w:hAnsi="宋体" w:cs="宋体"/>
          <w:bCs/>
          <w:sz w:val="21"/>
          <w:szCs w:val="21"/>
        </w:rPr>
      </w:pPr>
      <w:r>
        <w:rPr>
          <w:rFonts w:hint="eastAsia" w:ascii="宋体" w:hAnsi="宋体" w:cs="宋体"/>
          <w:spacing w:val="-6"/>
          <w:sz w:val="21"/>
          <w:szCs w:val="21"/>
        </w:rPr>
        <w:t>▲3</w:t>
      </w:r>
      <w:r>
        <w:rPr>
          <w:rFonts w:ascii="宋体" w:hAnsi="宋体" w:cs="宋体"/>
          <w:spacing w:val="-6"/>
          <w:sz w:val="21"/>
          <w:szCs w:val="21"/>
        </w:rPr>
        <w:t>.</w:t>
      </w:r>
      <w:bookmarkStart w:id="23" w:name="_Hlk92271072"/>
      <w:r>
        <w:rPr>
          <w:rFonts w:ascii="宋体" w:hAnsi="宋体" w:cs="宋体"/>
          <w:spacing w:val="-6"/>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3"/>
    </w:p>
    <w:p>
      <w:pPr>
        <w:adjustRightInd w:val="0"/>
        <w:snapToGrid w:val="0"/>
        <w:spacing w:line="288" w:lineRule="auto"/>
        <w:ind w:firstLine="200"/>
        <w:rPr>
          <w:rFonts w:ascii="宋体" w:hAnsi="宋体"/>
          <w:b/>
          <w:sz w:val="21"/>
          <w:szCs w:val="21"/>
        </w:rPr>
      </w:pPr>
      <w:bookmarkStart w:id="24" w:name="_Toc35393627"/>
      <w:bookmarkStart w:id="25" w:name="_Toc35393796"/>
      <w:bookmarkStart w:id="26" w:name="_Toc28359085"/>
      <w:bookmarkStart w:id="27" w:name="_Toc28359008"/>
      <w:r>
        <w:rPr>
          <w:rFonts w:hint="eastAsia" w:ascii="宋体" w:hAnsi="宋体"/>
          <w:b/>
          <w:sz w:val="21"/>
          <w:szCs w:val="21"/>
        </w:rPr>
        <w:t>八、</w:t>
      </w:r>
      <w:bookmarkEnd w:id="24"/>
      <w:bookmarkEnd w:id="25"/>
      <w:bookmarkEnd w:id="26"/>
      <w:bookmarkEnd w:id="27"/>
      <w:r>
        <w:rPr>
          <w:rFonts w:hint="eastAsia" w:ascii="宋体" w:hAnsi="宋体"/>
          <w:b/>
          <w:sz w:val="21"/>
          <w:szCs w:val="21"/>
        </w:rPr>
        <w:t>对本次采购提出询问，请按以下方式联系</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1.采购人信息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名称：浙江财经大学东方学院</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地址：浙江海宁市长安镇仰山路2号</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联系方式：0573-87571149</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采购项目联系人： 叶老师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采购项目联系方式：0573-87571515</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质疑联系人：邱老师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质疑联系方式：0573-87571149</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投诉联系人：邱老师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投诉联系方式：0573-87571149</w:t>
      </w:r>
    </w:p>
    <w:p>
      <w:pPr>
        <w:adjustRightInd w:val="0"/>
        <w:snapToGrid w:val="0"/>
        <w:spacing w:line="288" w:lineRule="auto"/>
        <w:ind w:firstLine="420" w:firstLineChars="200"/>
        <w:rPr>
          <w:rFonts w:ascii="宋体" w:hAnsi="宋体"/>
          <w:sz w:val="21"/>
          <w:szCs w:val="21"/>
        </w:rPr>
      </w:pP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2.采购代理机构信息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名称：浙江求是招标代理有限公司</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地址：杭州市西湖区玉古路173号中田大厦11楼</w:t>
      </w:r>
    </w:p>
    <w:p>
      <w:pPr>
        <w:adjustRightInd w:val="0"/>
        <w:snapToGrid w:val="0"/>
        <w:spacing w:line="288" w:lineRule="auto"/>
        <w:ind w:firstLine="420" w:firstLineChars="200"/>
        <w:rPr>
          <w:rFonts w:ascii="宋体" w:hAnsi="宋体"/>
          <w:sz w:val="21"/>
          <w:szCs w:val="21"/>
        </w:rPr>
      </w:pPr>
      <w:bookmarkStart w:id="28" w:name="_Hlk72500549"/>
      <w:r>
        <w:rPr>
          <w:rFonts w:hint="eastAsia" w:ascii="宋体" w:hAnsi="宋体"/>
          <w:sz w:val="21"/>
          <w:szCs w:val="21"/>
        </w:rPr>
        <w:t>项目</w:t>
      </w:r>
      <w:bookmarkEnd w:id="28"/>
      <w:r>
        <w:rPr>
          <w:rFonts w:hint="eastAsia" w:ascii="宋体" w:hAnsi="宋体"/>
          <w:sz w:val="21"/>
          <w:szCs w:val="21"/>
        </w:rPr>
        <w:t>联系人：刘冰冰</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项目联系方式：</w:t>
      </w:r>
      <w:r>
        <w:rPr>
          <w:rFonts w:ascii="宋体" w:hAnsi="宋体"/>
          <w:sz w:val="21"/>
          <w:szCs w:val="21"/>
        </w:rPr>
        <w:t>0571-87666117</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质疑联系人：余水星</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质疑联系方式：0571-81110356</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质疑邮箱：jdkh@qszb.net</w:t>
      </w:r>
    </w:p>
    <w:p>
      <w:pPr>
        <w:widowControl/>
        <w:adjustRightInd w:val="0"/>
        <w:snapToGrid w:val="0"/>
        <w:spacing w:line="288" w:lineRule="auto"/>
        <w:ind w:right="62" w:firstLine="396" w:firstLineChars="200"/>
        <w:jc w:val="center"/>
        <w:outlineLvl w:val="0"/>
        <w:rPr>
          <w:rFonts w:ascii="宋体" w:hAnsi="宋体" w:cs="宋体"/>
          <w:spacing w:val="-6"/>
          <w:kern w:val="0"/>
          <w:sz w:val="32"/>
          <w:szCs w:val="32"/>
        </w:rPr>
      </w:pPr>
      <w:r>
        <w:rPr>
          <w:rFonts w:ascii="宋体" w:hAnsi="宋体" w:cs="宋体"/>
          <w:spacing w:val="-6"/>
          <w:kern w:val="0"/>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adjustRightInd w:val="0"/>
        <w:snapToGrid w:val="0"/>
        <w:spacing w:line="288" w:lineRule="auto"/>
        <w:outlineLvl w:val="1"/>
        <w:rPr>
          <w:rFonts w:ascii="宋体" w:hAnsi="宋体"/>
          <w:b/>
          <w:bCs/>
          <w:sz w:val="21"/>
          <w:szCs w:val="21"/>
        </w:rPr>
      </w:pPr>
      <w:r>
        <w:rPr>
          <w:rFonts w:hint="eastAsia" w:ascii="宋体" w:hAnsi="宋体"/>
          <w:b/>
          <w:bCs/>
          <w:sz w:val="21"/>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bookmarkStart w:id="29" w:name="_Hlk45005599"/>
            <w:r>
              <w:rPr>
                <w:rFonts w:hint="eastAsia" w:ascii="宋体" w:hAnsi="宋体" w:cs="宋体"/>
                <w:b/>
                <w:bCs/>
                <w:sz w:val="21"/>
                <w:szCs w:val="21"/>
              </w:rPr>
              <w:t>序号</w:t>
            </w:r>
          </w:p>
        </w:tc>
        <w:tc>
          <w:tcPr>
            <w:tcW w:w="325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1</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政府采购进口产品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2</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政府强制采购节能产品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3</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政府优先采购节能、环保产品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4</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政府采购促进中小企业发展</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提供材料详见磋商文件第六章“报价文件”</w:t>
            </w:r>
          </w:p>
          <w:p>
            <w:pPr>
              <w:adjustRightInd w:val="0"/>
              <w:snapToGrid w:val="0"/>
              <w:spacing w:line="288" w:lineRule="auto"/>
              <w:jc w:val="left"/>
              <w:rPr>
                <w:rFonts w:ascii="宋体" w:hAnsi="宋体"/>
                <w:b/>
                <w:bCs/>
                <w:sz w:val="21"/>
                <w:szCs w:val="21"/>
              </w:rPr>
            </w:pPr>
            <w:r>
              <w:rPr>
                <w:rFonts w:hint="eastAsia" w:ascii="宋体" w:hAnsi="宋体"/>
                <w:b/>
                <w:bCs/>
                <w:sz w:val="21"/>
                <w:szCs w:val="21"/>
              </w:rPr>
              <w:t>本项目采购标的为：货物，采购标的对应的中小企业划分标准所属行业：软件和信息技术服务业</w:t>
            </w:r>
          </w:p>
          <w:p>
            <w:pPr>
              <w:adjustRightInd w:val="0"/>
              <w:snapToGrid w:val="0"/>
              <w:spacing w:line="288" w:lineRule="auto"/>
              <w:jc w:val="left"/>
              <w:rPr>
                <w:rFonts w:ascii="宋体" w:hAnsi="宋体" w:cs="宋体"/>
                <w:b/>
                <w:bCs/>
                <w:sz w:val="21"/>
                <w:szCs w:val="21"/>
              </w:rPr>
            </w:pPr>
            <w:r>
              <w:rPr>
                <w:rFonts w:hint="eastAsia" w:ascii="宋体" w:hAnsi="宋体"/>
                <w:b/>
                <w:bCs/>
                <w:sz w:val="21"/>
                <w:szCs w:val="21"/>
              </w:rPr>
              <w:t>中小企业划型标准：</w:t>
            </w:r>
            <w:r>
              <w:rPr>
                <w:rFonts w:hint="eastAsia" w:ascii="宋体" w:hAnsi="宋体"/>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5</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政府采购支持监狱企业发展</w:t>
            </w:r>
          </w:p>
        </w:tc>
        <w:tc>
          <w:tcPr>
            <w:tcW w:w="5529" w:type="dxa"/>
            <w:vAlign w:val="center"/>
          </w:tcPr>
          <w:p>
            <w:pPr>
              <w:adjustRightInd w:val="0"/>
              <w:snapToGrid w:val="0"/>
              <w:spacing w:line="288" w:lineRule="auto"/>
              <w:jc w:val="left"/>
              <w:rPr>
                <w:rFonts w:ascii="宋体" w:hAnsi="宋体"/>
                <w:b/>
                <w:bCs/>
                <w:sz w:val="21"/>
                <w:szCs w:val="21"/>
              </w:rPr>
            </w:pPr>
            <w:r>
              <w:rPr>
                <w:rFonts w:hint="eastAsia" w:ascii="宋体" w:hAnsi="宋体" w:cs="宋体"/>
                <w:sz w:val="21"/>
                <w:szCs w:val="21"/>
              </w:rPr>
              <w:t>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政府采购促进残疾人就业</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提供材料详见磋商文件第六章“报价文件”</w:t>
            </w:r>
          </w:p>
        </w:tc>
      </w:tr>
      <w:bookmarkEnd w:id="29"/>
    </w:tbl>
    <w:p>
      <w:pPr>
        <w:adjustRightInd w:val="0"/>
        <w:snapToGrid w:val="0"/>
        <w:spacing w:line="288" w:lineRule="auto"/>
        <w:rPr>
          <w:rFonts w:ascii="宋体" w:hAnsi="宋体"/>
          <w:b/>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30" w:name="_Hlk45005608"/>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项目完成并上线试运行后支付合同总价30%。试运行满两个月并完成项目验收后，采购人向成交供应商支付合同总价的70%。</w:t>
            </w:r>
          </w:p>
        </w:tc>
      </w:tr>
      <w:bookmarkEnd w:id="30"/>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z w:val="21"/>
          <w:szCs w:val="21"/>
        </w:rPr>
        <w:t>（技术要求里另有注明的以技术要求为准）</w:t>
      </w:r>
      <w:r>
        <w:rPr>
          <w:rFonts w:ascii="宋体" w:hAnsi="宋体"/>
          <w:b/>
          <w:sz w:val="21"/>
          <w:szCs w:val="21"/>
        </w:rPr>
        <w:t>：</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1"/>
                <w:szCs w:val="21"/>
              </w:rPr>
            </w:pPr>
            <w:r>
              <w:rPr>
                <w:rFonts w:hint="eastAsia" w:ascii="宋体" w:hAnsi="宋体"/>
                <w:sz w:val="21"/>
                <w:szCs w:val="21"/>
              </w:rPr>
              <w:t>项目建设周期为45个自然日，本项目自合同正式签署生效之日起，成交供应商须在15个自然日内完成校园智慧防控系统的部署，完成与网上办事大厅、数据中心、第三方系统（如钉钉或者企业微信）的对接并上线运行，45个自然日内完成整体功能的上线。</w:t>
            </w:r>
          </w:p>
          <w:p>
            <w:pPr>
              <w:adjustRightInd w:val="0"/>
              <w:snapToGrid w:val="0"/>
              <w:spacing w:line="288" w:lineRule="auto"/>
              <w:rPr>
                <w:rFonts w:ascii="宋体" w:hAnsi="宋体" w:cs="宋体"/>
                <w:sz w:val="21"/>
                <w:szCs w:val="21"/>
              </w:rPr>
            </w:pPr>
            <w:r>
              <w:rPr>
                <w:rFonts w:hint="eastAsia" w:ascii="宋体" w:hAnsi="宋体"/>
                <w:sz w:val="21"/>
                <w:szCs w:val="21"/>
              </w:rPr>
              <w:t>响应供应商需要在投标文件中给出实施工期进度表。成交后与采购人商议决定详细的实施进度表。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年，项目验收合格后开始计算。技术支持服务期</w:t>
            </w:r>
            <w:r>
              <w:rPr>
                <w:rFonts w:ascii="宋体" w:hAnsi="宋体" w:cs="宋体"/>
                <w:sz w:val="21"/>
                <w:szCs w:val="21"/>
              </w:rPr>
              <w:t>3</w:t>
            </w:r>
            <w:r>
              <w:rPr>
                <w:rFonts w:hint="eastAsia" w:ascii="宋体" w:hAnsi="宋体" w:cs="宋体"/>
                <w:sz w:val="21"/>
                <w:szCs w:val="21"/>
              </w:rPr>
              <w:t>年。</w:t>
            </w:r>
          </w:p>
          <w:p>
            <w:pPr>
              <w:adjustRightInd w:val="0"/>
              <w:snapToGrid w:val="0"/>
              <w:spacing w:line="288" w:lineRule="auto"/>
              <w:rPr>
                <w:rFonts w:ascii="宋体" w:hAnsi="宋体" w:cs="宋体"/>
                <w:sz w:val="21"/>
                <w:szCs w:val="21"/>
              </w:rPr>
            </w:pPr>
            <w:r>
              <w:rPr>
                <w:rFonts w:hint="eastAsia" w:ascii="宋体" w:hAnsi="宋体"/>
                <w:sz w:val="21"/>
                <w:szCs w:val="21"/>
              </w:rPr>
              <w:t>▲质保期不满足磋商文件要求的响应无效。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.在质保期内，，当行业标准、技术规范发生改变时，免费修改相关内容。</w:t>
            </w:r>
          </w:p>
          <w:p>
            <w:pPr>
              <w:adjustRightInd w:val="0"/>
              <w:snapToGrid w:val="0"/>
              <w:spacing w:line="288" w:lineRule="auto"/>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质保期满后，如采购人需继续使用该系统，按不高于合同金额5%收取年维保服务费，质保期外的技术服务标准和质保期内的一致。</w:t>
            </w:r>
          </w:p>
          <w:p>
            <w:pPr>
              <w:adjustRightInd w:val="0"/>
              <w:snapToGrid w:val="0"/>
              <w:spacing w:line="288" w:lineRule="auto"/>
              <w:rPr>
                <w:rFonts w:ascii="宋体" w:hAnsi="宋体" w:cs="宋体"/>
                <w:sz w:val="21"/>
                <w:szCs w:val="21"/>
                <w:u w:val="single"/>
              </w:rPr>
            </w:pPr>
            <w:r>
              <w:rPr>
                <w:rFonts w:ascii="宋体" w:hAnsi="宋体" w:cs="宋体"/>
                <w:sz w:val="21"/>
                <w:szCs w:val="21"/>
              </w:rPr>
              <w:t>3</w:t>
            </w:r>
            <w:r>
              <w:rPr>
                <w:rFonts w:hint="eastAsia" w:ascii="宋体" w:hAnsi="宋体" w:cs="宋体"/>
                <w:sz w:val="21"/>
                <w:szCs w:val="21"/>
              </w:rPr>
              <w:t>.培训：</w:t>
            </w:r>
          </w:p>
          <w:p>
            <w:pPr>
              <w:adjustRightInd w:val="0"/>
              <w:snapToGrid w:val="0"/>
              <w:spacing w:line="288" w:lineRule="auto"/>
              <w:rPr>
                <w:rFonts w:ascii="宋体" w:hAnsi="宋体" w:cs="宋体"/>
                <w:sz w:val="21"/>
                <w:szCs w:val="21"/>
              </w:rPr>
            </w:pPr>
            <w:r>
              <w:rPr>
                <w:rFonts w:hint="eastAsia" w:ascii="宋体" w:hAnsi="宋体" w:cs="宋体"/>
                <w:sz w:val="21"/>
                <w:szCs w:val="21"/>
              </w:rPr>
              <w:t>培训应贯穿于整个项目的实施过程，包括在从项目准备、研发到项目运行的全过程中。需要提供以下几方面关于培训的描述，供应商需提供详细的培训计划和内容。</w:t>
            </w:r>
          </w:p>
          <w:p>
            <w:pPr>
              <w:adjustRightInd w:val="0"/>
              <w:snapToGrid w:val="0"/>
              <w:spacing w:line="288" w:lineRule="auto"/>
              <w:rPr>
                <w:rFonts w:ascii="宋体" w:hAnsi="宋体" w:cs="宋体"/>
                <w:sz w:val="21"/>
                <w:szCs w:val="21"/>
              </w:rPr>
            </w:pPr>
            <w:r>
              <w:rPr>
                <w:rFonts w:hint="eastAsia" w:ascii="宋体" w:hAnsi="宋体" w:cs="宋体"/>
                <w:sz w:val="21"/>
                <w:szCs w:val="21"/>
              </w:rPr>
              <w:t>1.培训要求：必须为所有被培训人员提供培训文字资料和讲义等相关材料；应按合同规定安排培训时间和培训名额。</w:t>
            </w:r>
          </w:p>
          <w:p>
            <w:pPr>
              <w:adjustRightInd w:val="0"/>
              <w:snapToGrid w:val="0"/>
              <w:spacing w:line="288" w:lineRule="auto"/>
              <w:rPr>
                <w:rFonts w:ascii="宋体" w:hAnsi="宋体" w:cs="宋体"/>
                <w:sz w:val="21"/>
                <w:szCs w:val="21"/>
              </w:rPr>
            </w:pPr>
            <w:r>
              <w:rPr>
                <w:rFonts w:hint="eastAsia" w:ascii="宋体" w:hAnsi="宋体" w:cs="宋体"/>
                <w:sz w:val="21"/>
                <w:szCs w:val="21"/>
              </w:rPr>
              <w:t>2.培训方式：为用户免费培训有关技术人员，包括系统管理员、操作员及学院要求的其他人员，培训工作包括培训方案的设计、培训开发、培训实施和培训效果评估，及时监控培训效果，保证培训课程符合采购人实际的需要。提供系统运行（含试运行）的各个阶段相应的培训内容的描述，包括：项目管理培训、系统管理培训、系统运行维护培训等。培训效果达到学院相关人员能掌握系统的使用、维护、管理、故障处理等目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1.项目试运行及初验</w:t>
            </w:r>
          </w:p>
          <w:p>
            <w:pPr>
              <w:adjustRightInd w:val="0"/>
              <w:snapToGrid w:val="0"/>
              <w:spacing w:line="288" w:lineRule="auto"/>
              <w:rPr>
                <w:rFonts w:ascii="宋体" w:hAnsi="宋体" w:cs="宋体"/>
                <w:sz w:val="21"/>
                <w:szCs w:val="21"/>
              </w:rPr>
            </w:pPr>
            <w:r>
              <w:rPr>
                <w:rFonts w:hint="eastAsia" w:ascii="宋体" w:hAnsi="宋体" w:cs="宋体"/>
                <w:sz w:val="21"/>
                <w:szCs w:val="21"/>
              </w:rPr>
              <w:t>软件到货验收、安装、开发实施并调试完成后，经过用户的认可后，由用户组织初验。软件安装调试完成并通过初步验收后投入试运行，在试运行期间，磋商响应供应商应保证任何故障或问题都能在收到故障通知后在4小时之内给出故障原因说明，24小时内（节、假日也不例外）被修复和解决，并给出详细修复细节报告，所有试运行期间软件的修改和变化都应在试运行结束后提供书面和电子文档。试运行3个月结束后方可进行终验。</w:t>
            </w:r>
          </w:p>
          <w:p>
            <w:pPr>
              <w:adjustRightInd w:val="0"/>
              <w:snapToGrid w:val="0"/>
              <w:spacing w:line="288" w:lineRule="auto"/>
              <w:rPr>
                <w:rFonts w:ascii="宋体" w:hAnsi="宋体" w:cs="宋体"/>
                <w:sz w:val="21"/>
                <w:szCs w:val="21"/>
              </w:rPr>
            </w:pPr>
            <w:r>
              <w:rPr>
                <w:rFonts w:hint="eastAsia" w:ascii="宋体" w:hAnsi="宋体" w:cs="宋体"/>
                <w:sz w:val="21"/>
                <w:szCs w:val="21"/>
              </w:rPr>
              <w:t>2.项目终验</w:t>
            </w:r>
          </w:p>
          <w:p>
            <w:pPr>
              <w:adjustRightInd w:val="0"/>
              <w:snapToGrid w:val="0"/>
              <w:spacing w:line="288" w:lineRule="auto"/>
              <w:rPr>
                <w:rFonts w:ascii="宋体" w:hAnsi="宋体" w:cs="宋体"/>
                <w:sz w:val="21"/>
                <w:szCs w:val="21"/>
              </w:rPr>
            </w:pPr>
            <w:r>
              <w:rPr>
                <w:rFonts w:hint="eastAsia" w:ascii="宋体" w:hAnsi="宋体" w:cs="宋体"/>
                <w:sz w:val="21"/>
                <w:szCs w:val="21"/>
              </w:rPr>
              <w:t>（1）项目验收材料提交</w:t>
            </w:r>
          </w:p>
          <w:p>
            <w:pPr>
              <w:adjustRightInd w:val="0"/>
              <w:snapToGrid w:val="0"/>
              <w:spacing w:line="288" w:lineRule="auto"/>
              <w:rPr>
                <w:rFonts w:ascii="宋体" w:hAnsi="宋体" w:cs="宋体"/>
                <w:sz w:val="21"/>
                <w:szCs w:val="21"/>
              </w:rPr>
            </w:pPr>
            <w:r>
              <w:rPr>
                <w:rFonts w:hint="eastAsia" w:ascii="宋体" w:hAnsi="宋体" w:cs="宋体"/>
                <w:sz w:val="21"/>
                <w:szCs w:val="21"/>
              </w:rPr>
              <w:t>系统终验时，需请成交供应商对本项目准备好以下验收材料：①立项及商务文档：投标文件、中标通知书、项目合同（有盖合同章的复印件）②项目管理文档：开工文档、进度计划报审、汇报材料汇编、会议纪要、用户使用报告（即院或业务科室的试运行情况说明）、项目总结报告、验收申请报告③项目实施文档：业务需求确认书、软件需求规格说明书、概要设计说明书、接口设计说明书、数据库设计说明书、详细设计说明书、测试方案及测试用例、测试反馈文档、技术测试文档、业务测试报告、第三方测试报告、系统安装部署手册（系统安装、部署、数据库密码等各类参数）、培训材料（用户操作手册）、试运行申请、试运行报告、系统上线申请、联调测试文档、应急文档、源代码(不用打印，只需提供优盘或者光盘。已是成熟产品可以不提供，但针对我院的开发部分必须提供)。</w:t>
            </w:r>
          </w:p>
          <w:p>
            <w:pPr>
              <w:adjustRightInd w:val="0"/>
              <w:snapToGrid w:val="0"/>
              <w:spacing w:line="288" w:lineRule="auto"/>
              <w:rPr>
                <w:rFonts w:ascii="宋体" w:hAnsi="宋体" w:cs="宋体"/>
                <w:sz w:val="21"/>
                <w:szCs w:val="21"/>
              </w:rPr>
            </w:pPr>
            <w:r>
              <w:rPr>
                <w:rFonts w:hint="eastAsia" w:ascii="宋体" w:hAnsi="宋体" w:cs="宋体"/>
                <w:sz w:val="21"/>
                <w:szCs w:val="21"/>
              </w:rPr>
              <w:t>（2）项目验收</w:t>
            </w:r>
          </w:p>
          <w:p>
            <w:pPr>
              <w:adjustRightInd w:val="0"/>
              <w:snapToGrid w:val="0"/>
              <w:spacing w:line="288" w:lineRule="auto"/>
              <w:rPr>
                <w:rFonts w:ascii="宋体" w:hAnsi="宋体" w:cs="宋体"/>
                <w:sz w:val="21"/>
                <w:szCs w:val="21"/>
              </w:rPr>
            </w:pPr>
            <w:r>
              <w:rPr>
                <w:rFonts w:hint="eastAsia" w:ascii="宋体" w:hAnsi="宋体" w:cs="宋体"/>
                <w:sz w:val="21"/>
                <w:szCs w:val="21"/>
              </w:rPr>
              <w:t>最终验收合格的条件必须至少满足：</w:t>
            </w:r>
          </w:p>
          <w:p>
            <w:pPr>
              <w:adjustRightInd w:val="0"/>
              <w:snapToGrid w:val="0"/>
              <w:spacing w:line="288" w:lineRule="auto"/>
              <w:rPr>
                <w:rFonts w:ascii="宋体" w:hAnsi="宋体" w:cs="宋体"/>
                <w:sz w:val="21"/>
                <w:szCs w:val="21"/>
              </w:rPr>
            </w:pPr>
            <w:r>
              <w:rPr>
                <w:rFonts w:hint="eastAsia" w:ascii="宋体" w:hAnsi="宋体" w:cs="宋体"/>
                <w:sz w:val="21"/>
                <w:szCs w:val="21"/>
              </w:rPr>
              <w:t>①已提供了本项目的全部产品和资料；</w:t>
            </w:r>
          </w:p>
          <w:p>
            <w:pPr>
              <w:adjustRightInd w:val="0"/>
              <w:snapToGrid w:val="0"/>
              <w:spacing w:line="288" w:lineRule="auto"/>
              <w:rPr>
                <w:rFonts w:ascii="宋体" w:hAnsi="宋体" w:cs="宋体"/>
                <w:sz w:val="21"/>
                <w:szCs w:val="21"/>
              </w:rPr>
            </w:pPr>
            <w:r>
              <w:rPr>
                <w:rFonts w:hint="eastAsia" w:ascii="宋体" w:hAnsi="宋体" w:cs="宋体"/>
                <w:sz w:val="21"/>
                <w:szCs w:val="21"/>
              </w:rPr>
              <w:t>②试运行时间满足项目要求；</w:t>
            </w:r>
          </w:p>
          <w:p>
            <w:pPr>
              <w:adjustRightInd w:val="0"/>
              <w:snapToGrid w:val="0"/>
              <w:spacing w:line="288" w:lineRule="auto"/>
              <w:rPr>
                <w:rFonts w:ascii="宋体" w:hAnsi="宋体" w:cs="宋体"/>
                <w:sz w:val="21"/>
                <w:szCs w:val="21"/>
              </w:rPr>
            </w:pPr>
            <w:r>
              <w:rPr>
                <w:rFonts w:hint="eastAsia" w:ascii="宋体" w:hAnsi="宋体" w:cs="宋体"/>
                <w:sz w:val="21"/>
                <w:szCs w:val="21"/>
              </w:rPr>
              <w:t>③试运行时出现的问题已被解决。</w:t>
            </w:r>
          </w:p>
          <w:p>
            <w:pPr>
              <w:adjustRightInd w:val="0"/>
              <w:snapToGrid w:val="0"/>
              <w:spacing w:line="288" w:lineRule="auto"/>
              <w:rPr>
                <w:rFonts w:ascii="宋体" w:hAnsi="宋体" w:cs="宋体"/>
                <w:sz w:val="21"/>
                <w:szCs w:val="21"/>
              </w:rPr>
            </w:pPr>
            <w:r>
              <w:rPr>
                <w:rFonts w:hint="eastAsia" w:ascii="宋体" w:hAnsi="宋体" w:cs="宋体"/>
                <w:sz w:val="21"/>
                <w:szCs w:val="21"/>
              </w:rPr>
              <w:t>验收形式：信息化办公室出具正式《使用报告》、《数据交换报告》，组织专家组评审，出具《信息化项目验收单》。</w:t>
            </w:r>
          </w:p>
          <w:p>
            <w:pPr>
              <w:adjustRightInd w:val="0"/>
              <w:snapToGrid w:val="0"/>
              <w:spacing w:line="288" w:lineRule="auto"/>
              <w:rPr>
                <w:rFonts w:ascii="宋体" w:hAnsi="宋体" w:cs="宋体"/>
                <w:sz w:val="21"/>
                <w:szCs w:val="21"/>
              </w:rPr>
            </w:pPr>
            <w:r>
              <w:rPr>
                <w:rFonts w:hint="eastAsia" w:ascii="宋体" w:hAnsi="宋体" w:cs="宋体"/>
                <w:sz w:val="21"/>
                <w:szCs w:val="21"/>
              </w:rPr>
              <w:t>终验结束后，进入技术支持服务期，技术支持服务期为终验通过后</w:t>
            </w:r>
            <w:r>
              <w:rPr>
                <w:rFonts w:ascii="宋体" w:hAnsi="宋体" w:cs="宋体"/>
                <w:sz w:val="21"/>
                <w:szCs w:val="21"/>
              </w:rPr>
              <w:t>3</w:t>
            </w:r>
            <w:r>
              <w:rPr>
                <w:rFonts w:hint="eastAsia" w:ascii="宋体" w:hAnsi="宋体" w:cs="宋体"/>
                <w:sz w:val="21"/>
                <w:szCs w:val="21"/>
              </w:rPr>
              <w:t>年时间。</w:t>
            </w:r>
          </w:p>
        </w:tc>
      </w:tr>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r>
        <w:rPr>
          <w:rFonts w:hint="eastAsia" w:ascii="宋体" w:hAnsi="宋体"/>
          <w:b/>
          <w:sz w:val="21"/>
          <w:szCs w:val="21"/>
        </w:rPr>
        <w:t>：</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cs="宋体"/>
          <w:b/>
          <w:bCs/>
          <w:sz w:val="21"/>
          <w:szCs w:val="21"/>
        </w:rPr>
        <w:t>2</w:t>
      </w:r>
      <w:r>
        <w:rPr>
          <w:rFonts w:hint="eastAsia" w:ascii="宋体" w:hAnsi="宋体" w:cs="宋体"/>
          <w:b/>
          <w:bCs/>
          <w:sz w:val="21"/>
          <w:szCs w:val="21"/>
        </w:rPr>
        <w:t>.需实现的功能</w:t>
      </w:r>
      <w:r>
        <w:rPr>
          <w:rFonts w:hint="eastAsia" w:ascii="宋体" w:hAnsi="宋体"/>
          <w:b/>
          <w:bCs/>
          <w:spacing w:val="-4"/>
          <w:sz w:val="21"/>
          <w:szCs w:val="21"/>
        </w:rPr>
        <w:t>等要求：</w:t>
      </w:r>
      <w:bookmarkStart w:id="31" w:name="_Toc18550"/>
    </w:p>
    <w:p>
      <w:pPr>
        <w:adjustRightInd w:val="0"/>
        <w:snapToGrid w:val="0"/>
        <w:spacing w:line="288" w:lineRule="auto"/>
        <w:ind w:firstLine="422" w:firstLineChars="200"/>
        <w:rPr>
          <w:rFonts w:ascii="宋体" w:hAnsi="宋体" w:cs="宋体"/>
          <w:b/>
          <w:bCs/>
          <w:sz w:val="21"/>
          <w:szCs w:val="21"/>
        </w:rPr>
      </w:pPr>
      <w:r>
        <w:rPr>
          <w:rFonts w:hint="eastAsia" w:ascii="宋体" w:hAnsi="宋体"/>
          <w:b/>
          <w:bCs/>
          <w:sz w:val="21"/>
          <w:szCs w:val="21"/>
        </w:rPr>
        <w:t>一、建设目标</w:t>
      </w:r>
      <w:bookmarkEnd w:id="31"/>
    </w:p>
    <w:p>
      <w:pPr>
        <w:ind w:firstLine="420" w:firstLineChars="200"/>
        <w:rPr>
          <w:rFonts w:ascii="宋体" w:hAnsi="宋体"/>
          <w:sz w:val="21"/>
          <w:szCs w:val="21"/>
        </w:rPr>
      </w:pPr>
      <w:r>
        <w:rPr>
          <w:rFonts w:hint="eastAsia" w:ascii="宋体" w:hAnsi="宋体"/>
          <w:sz w:val="21"/>
          <w:szCs w:val="21"/>
        </w:rPr>
        <w:t>1.先进的管理理念。校园智慧防控系统的宗旨在于使校门管控及其他场景管理向规范化、标准化、信息化、便捷化迈进。校园智慧防控系统将先进管理思想和方法纳入体系,充分体现“以人为本”的管理理念，通过全过程化、数据一体化的智能管理模式，助力校门管控等工作。系统将集通行码管理、出入校管理、健康信息管理管理、防疫信息统计等功能为一体，充分发挥信息数据处理技术，建设智慧防控。</w:t>
      </w:r>
    </w:p>
    <w:p>
      <w:pPr>
        <w:ind w:firstLine="420" w:firstLineChars="200"/>
        <w:rPr>
          <w:rFonts w:ascii="宋体" w:hAnsi="宋体"/>
          <w:sz w:val="21"/>
          <w:szCs w:val="21"/>
        </w:rPr>
      </w:pPr>
      <w:r>
        <w:rPr>
          <w:rFonts w:hint="eastAsia" w:ascii="宋体" w:hAnsi="宋体"/>
          <w:sz w:val="21"/>
          <w:szCs w:val="21"/>
        </w:rPr>
        <w:t>2.灵活多样的访问与管理权限体系。根据学院防控管理工作的具体要求与业务流程，实现包括学生、普通教师、班主任/辅导员、二级学院/职能部门、学院领导等在内的多级别权限分配与管理操作，以完成学院校门管控管理工作。同时，为提高可操作性、互动性，校园智慧防控系统将与学院网上办事大厅、钉钉等第三方平台进行对接，实现无缝操作与管理。</w:t>
      </w:r>
    </w:p>
    <w:p>
      <w:pPr>
        <w:ind w:firstLine="420" w:firstLineChars="200"/>
        <w:rPr>
          <w:rFonts w:ascii="宋体" w:hAnsi="宋体"/>
          <w:sz w:val="21"/>
          <w:szCs w:val="21"/>
        </w:rPr>
      </w:pPr>
      <w:r>
        <w:rPr>
          <w:rFonts w:hint="eastAsia" w:ascii="宋体" w:hAnsi="宋体"/>
          <w:sz w:val="21"/>
          <w:szCs w:val="21"/>
        </w:rPr>
        <w:t>3.多元化的信息安全防范与预警功能。校园智慧防控系统将充分考虑，确保隐私数据、敏感数据的信息安全。做到操作有记录，异常能报警。</w:t>
      </w:r>
      <w:bookmarkStart w:id="32" w:name="_Toc31071"/>
    </w:p>
    <w:p>
      <w:pPr>
        <w:ind w:firstLine="422" w:firstLineChars="200"/>
        <w:rPr>
          <w:rFonts w:ascii="宋体" w:hAnsi="宋体"/>
          <w:b/>
          <w:bCs/>
          <w:sz w:val="21"/>
          <w:szCs w:val="21"/>
        </w:rPr>
      </w:pPr>
      <w:r>
        <w:rPr>
          <w:rFonts w:hint="eastAsia" w:ascii="宋体" w:hAnsi="宋体"/>
          <w:b/>
          <w:bCs/>
          <w:sz w:val="21"/>
          <w:szCs w:val="21"/>
        </w:rPr>
        <w:t>二、采购清单</w:t>
      </w:r>
      <w:bookmarkEnd w:id="32"/>
    </w:p>
    <w:tbl>
      <w:tblPr>
        <w:tblStyle w:val="2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090"/>
        <w:gridCol w:w="706"/>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94" w:type="pct"/>
            <w:vAlign w:val="center"/>
          </w:tcPr>
          <w:p>
            <w:pPr>
              <w:tabs>
                <w:tab w:val="left" w:pos="0"/>
              </w:tabs>
              <w:jc w:val="center"/>
              <w:rPr>
                <w:rFonts w:ascii="宋体" w:hAnsi="宋体"/>
                <w:b/>
                <w:sz w:val="21"/>
                <w:szCs w:val="21"/>
              </w:rPr>
            </w:pPr>
            <w:r>
              <w:rPr>
                <w:rFonts w:hint="eastAsia" w:ascii="宋体" w:hAnsi="宋体"/>
                <w:b/>
                <w:sz w:val="21"/>
                <w:szCs w:val="21"/>
              </w:rPr>
              <w:t>序号</w:t>
            </w:r>
          </w:p>
        </w:tc>
        <w:tc>
          <w:tcPr>
            <w:tcW w:w="1087" w:type="pct"/>
            <w:vAlign w:val="center"/>
          </w:tcPr>
          <w:p>
            <w:pPr>
              <w:tabs>
                <w:tab w:val="left" w:pos="0"/>
              </w:tabs>
              <w:jc w:val="center"/>
              <w:rPr>
                <w:rFonts w:ascii="宋体" w:hAnsi="宋体"/>
                <w:b/>
                <w:sz w:val="21"/>
                <w:szCs w:val="21"/>
              </w:rPr>
            </w:pPr>
            <w:r>
              <w:rPr>
                <w:rFonts w:hint="eastAsia" w:ascii="宋体" w:hAnsi="宋体"/>
                <w:b/>
                <w:sz w:val="21"/>
                <w:szCs w:val="21"/>
              </w:rPr>
              <w:t>设备名称</w:t>
            </w:r>
          </w:p>
        </w:tc>
        <w:tc>
          <w:tcPr>
            <w:tcW w:w="367" w:type="pct"/>
            <w:vAlign w:val="center"/>
          </w:tcPr>
          <w:p>
            <w:pPr>
              <w:tabs>
                <w:tab w:val="left" w:pos="0"/>
                <w:tab w:val="left" w:pos="634"/>
              </w:tabs>
              <w:jc w:val="center"/>
              <w:rPr>
                <w:rFonts w:ascii="宋体" w:hAnsi="宋体"/>
                <w:b/>
                <w:sz w:val="21"/>
                <w:szCs w:val="21"/>
              </w:rPr>
            </w:pPr>
            <w:r>
              <w:rPr>
                <w:rFonts w:hint="eastAsia" w:ascii="宋体" w:hAnsi="宋体"/>
                <w:b/>
                <w:sz w:val="21"/>
                <w:szCs w:val="21"/>
              </w:rPr>
              <w:t>数量</w:t>
            </w:r>
          </w:p>
        </w:tc>
        <w:tc>
          <w:tcPr>
            <w:tcW w:w="3150" w:type="pct"/>
            <w:vAlign w:val="center"/>
          </w:tcPr>
          <w:p>
            <w:pPr>
              <w:tabs>
                <w:tab w:val="left" w:pos="0"/>
                <w:tab w:val="left" w:pos="1910"/>
              </w:tabs>
              <w:jc w:val="center"/>
              <w:rPr>
                <w:rFonts w:ascii="宋体" w:hAnsi="宋体"/>
                <w:b/>
                <w:sz w:val="21"/>
                <w:szCs w:val="21"/>
              </w:rPr>
            </w:pPr>
            <w:r>
              <w:rPr>
                <w:rFonts w:hint="eastAsia" w:ascii="宋体" w:hAnsi="宋体"/>
                <w:b/>
                <w:sz w:val="21"/>
                <w:szCs w:val="21"/>
              </w:rPr>
              <w:t>功能技术参数要求（详见建设需求描述）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394" w:type="pct"/>
            <w:vAlign w:val="center"/>
          </w:tcPr>
          <w:p>
            <w:pPr>
              <w:shd w:val="solid" w:color="FFFFFF" w:fill="auto"/>
              <w:autoSpaceDN w:val="0"/>
              <w:jc w:val="center"/>
              <w:textAlignment w:val="center"/>
              <w:rPr>
                <w:rFonts w:ascii="宋体" w:hAnsi="宋体"/>
                <w:sz w:val="21"/>
                <w:szCs w:val="21"/>
              </w:rPr>
            </w:pPr>
            <w:r>
              <w:rPr>
                <w:rFonts w:hint="eastAsia" w:ascii="宋体" w:hAnsi="宋体"/>
                <w:sz w:val="21"/>
                <w:szCs w:val="21"/>
              </w:rPr>
              <w:t>1</w:t>
            </w:r>
          </w:p>
        </w:tc>
        <w:tc>
          <w:tcPr>
            <w:tcW w:w="1087" w:type="pct"/>
            <w:vAlign w:val="center"/>
          </w:tcPr>
          <w:p>
            <w:pPr>
              <w:shd w:val="solid" w:color="FFFFFF" w:fill="auto"/>
              <w:autoSpaceDN w:val="0"/>
              <w:jc w:val="center"/>
              <w:textAlignment w:val="center"/>
              <w:rPr>
                <w:rFonts w:ascii="宋体" w:hAnsi="宋体"/>
                <w:sz w:val="21"/>
                <w:szCs w:val="21"/>
              </w:rPr>
            </w:pPr>
            <w:r>
              <w:rPr>
                <w:rFonts w:hint="eastAsia" w:ascii="宋体" w:hAnsi="宋体"/>
                <w:sz w:val="21"/>
                <w:szCs w:val="21"/>
              </w:rPr>
              <w:t>校园智慧防控系统</w:t>
            </w:r>
          </w:p>
        </w:tc>
        <w:tc>
          <w:tcPr>
            <w:tcW w:w="367" w:type="pct"/>
            <w:vAlign w:val="center"/>
          </w:tcPr>
          <w:p>
            <w:pPr>
              <w:shd w:val="solid" w:color="FFFFFF" w:fill="auto"/>
              <w:autoSpaceDN w:val="0"/>
              <w:jc w:val="center"/>
              <w:textAlignment w:val="center"/>
              <w:rPr>
                <w:rFonts w:ascii="宋体" w:hAnsi="宋体"/>
                <w:sz w:val="21"/>
                <w:szCs w:val="21"/>
              </w:rPr>
            </w:pPr>
            <w:r>
              <w:rPr>
                <w:rFonts w:hint="eastAsia" w:ascii="宋体" w:hAnsi="宋体"/>
                <w:sz w:val="21"/>
                <w:szCs w:val="21"/>
              </w:rPr>
              <w:t>1套</w:t>
            </w:r>
          </w:p>
        </w:tc>
        <w:tc>
          <w:tcPr>
            <w:tcW w:w="3150" w:type="pct"/>
            <w:vAlign w:val="center"/>
          </w:tcPr>
          <w:p>
            <w:pPr>
              <w:tabs>
                <w:tab w:val="left" w:pos="0"/>
              </w:tabs>
              <w:jc w:val="left"/>
              <w:rPr>
                <w:rFonts w:ascii="宋体" w:hAnsi="宋体"/>
                <w:sz w:val="21"/>
                <w:szCs w:val="21"/>
              </w:rPr>
            </w:pPr>
            <w:r>
              <w:rPr>
                <w:rFonts w:hint="eastAsia" w:ascii="宋体" w:hAnsi="宋体"/>
                <w:sz w:val="21"/>
                <w:szCs w:val="21"/>
              </w:rPr>
              <w:t>健康上报、电子通行证、学生出入管理、访客管理、其它人员管理、疫情防控大屏、大数据局接口开发、消息智能提醒、数据分析等。支持学院后续人脸认证项目，并做好对接工作。</w:t>
            </w:r>
          </w:p>
          <w:p>
            <w:pPr>
              <w:pStyle w:val="8"/>
              <w:spacing w:after="120"/>
              <w:ind w:firstLine="0"/>
              <w:rPr>
                <w:rFonts w:ascii="宋体" w:hAnsi="宋体" w:cs="宋体"/>
                <w:b/>
                <w:szCs w:val="21"/>
              </w:rPr>
            </w:pPr>
            <w:r>
              <w:rPr>
                <w:rFonts w:hint="eastAsia" w:ascii="宋体" w:hAnsi="宋体" w:cs="宋体"/>
                <w:b/>
                <w:szCs w:val="21"/>
              </w:rPr>
              <w:t>对接学院数据中心，实现数据回流与统一身份认证；对接网上办事大厅，实现申请与操作集成办理；对接钉钉（企业微信）等第三方平台，做到操作与管理无缝衔接，质保期内如需系统对接不另收费用；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vAlign w:val="center"/>
          </w:tcPr>
          <w:p>
            <w:pPr>
              <w:tabs>
                <w:tab w:val="left" w:pos="0"/>
              </w:tabs>
              <w:jc w:val="left"/>
              <w:rPr>
                <w:rFonts w:ascii="宋体" w:hAnsi="宋体"/>
                <w:sz w:val="21"/>
                <w:szCs w:val="21"/>
              </w:rPr>
            </w:pPr>
            <w:r>
              <w:rPr>
                <w:rFonts w:hint="eastAsia" w:ascii="宋体" w:hAnsi="宋体"/>
                <w:sz w:val="21"/>
                <w:szCs w:val="21"/>
              </w:rPr>
              <w:t>其它：根据疫情发展情况和相关政策文件，在质保期内</w:t>
            </w:r>
            <w:r>
              <w:rPr>
                <w:rFonts w:hint="eastAsia" w:ascii="宋体" w:hAnsi="宋体"/>
                <w:b/>
                <w:sz w:val="21"/>
                <w:szCs w:val="21"/>
              </w:rPr>
              <w:t>免费</w:t>
            </w:r>
            <w:r>
              <w:rPr>
                <w:rFonts w:hint="eastAsia" w:ascii="宋体" w:hAnsi="宋体"/>
                <w:sz w:val="21"/>
                <w:szCs w:val="21"/>
              </w:rPr>
              <w:t>做好软件不断优化、迭代工作。</w:t>
            </w:r>
          </w:p>
        </w:tc>
      </w:tr>
    </w:tbl>
    <w:p>
      <w:pPr>
        <w:ind w:firstLine="420" w:firstLineChars="200"/>
        <w:rPr>
          <w:rFonts w:ascii="宋体" w:hAnsi="宋体"/>
          <w:sz w:val="21"/>
          <w:szCs w:val="21"/>
        </w:rPr>
      </w:pPr>
    </w:p>
    <w:p>
      <w:pPr>
        <w:ind w:firstLine="422" w:firstLineChars="200"/>
        <w:rPr>
          <w:rFonts w:ascii="宋体" w:hAnsi="宋体"/>
          <w:b/>
          <w:bCs/>
          <w:sz w:val="21"/>
          <w:szCs w:val="21"/>
        </w:rPr>
      </w:pPr>
      <w:r>
        <w:rPr>
          <w:rFonts w:hint="eastAsia" w:ascii="宋体" w:hAnsi="宋体"/>
          <w:b/>
          <w:bCs/>
          <w:sz w:val="21"/>
          <w:szCs w:val="21"/>
        </w:rPr>
        <w:t>三、具体要求</w:t>
      </w:r>
    </w:p>
    <w:p>
      <w:pPr>
        <w:ind w:firstLine="420" w:firstLineChars="200"/>
        <w:rPr>
          <w:rFonts w:ascii="宋体" w:hAnsi="宋体"/>
          <w:sz w:val="21"/>
          <w:szCs w:val="21"/>
        </w:rPr>
      </w:pPr>
      <w:r>
        <w:rPr>
          <w:rFonts w:hint="eastAsia" w:ascii="宋体" w:hAnsi="宋体"/>
          <w:sz w:val="21"/>
          <w:szCs w:val="21"/>
        </w:rPr>
        <w:t>系统的建设需采用多层架构实现，充分考虑整体架构设计的科学性、数据结构的合理性、核心算法的先进性、部署设计的灵活性。确保系统整体性能科学、合理、安全，能完全满足我院工作需求与发展的要求。</w:t>
      </w:r>
    </w:p>
    <w:p>
      <w:pPr>
        <w:ind w:firstLine="422" w:firstLineChars="200"/>
        <w:rPr>
          <w:rFonts w:ascii="宋体" w:hAnsi="宋体"/>
          <w:b/>
          <w:bCs/>
          <w:sz w:val="21"/>
          <w:szCs w:val="21"/>
        </w:rPr>
      </w:pPr>
      <w:r>
        <w:rPr>
          <w:rFonts w:hint="eastAsia" w:ascii="宋体" w:hAnsi="宋体"/>
          <w:b/>
          <w:bCs/>
          <w:sz w:val="21"/>
          <w:szCs w:val="21"/>
        </w:rPr>
        <w:t>总体建设需遵循以下原则：</w:t>
      </w:r>
      <w:bookmarkStart w:id="33" w:name="_Toc96503700"/>
    </w:p>
    <w:p>
      <w:pPr>
        <w:ind w:firstLine="422" w:firstLineChars="200"/>
        <w:rPr>
          <w:rFonts w:ascii="宋体" w:hAnsi="宋体"/>
          <w:b/>
          <w:bCs/>
          <w:sz w:val="21"/>
          <w:szCs w:val="21"/>
        </w:rPr>
      </w:pPr>
      <w:r>
        <w:rPr>
          <w:rFonts w:hint="eastAsia" w:ascii="宋体" w:hAnsi="宋体"/>
          <w:b/>
          <w:bCs/>
          <w:sz w:val="21"/>
          <w:szCs w:val="21"/>
        </w:rPr>
        <w:t>（一）总体技术要求</w:t>
      </w:r>
      <w:bookmarkEnd w:id="33"/>
    </w:p>
    <w:p>
      <w:pPr>
        <w:ind w:firstLine="420" w:firstLineChars="200"/>
        <w:rPr>
          <w:rFonts w:ascii="宋体" w:hAnsi="宋体"/>
          <w:kern w:val="0"/>
          <w:sz w:val="21"/>
          <w:szCs w:val="21"/>
        </w:rPr>
      </w:pPr>
      <w:r>
        <w:rPr>
          <w:rFonts w:ascii="宋体" w:hAnsi="宋体"/>
          <w:kern w:val="0"/>
          <w:sz w:val="21"/>
          <w:szCs w:val="21"/>
        </w:rPr>
        <w:t>1</w:t>
      </w:r>
      <w:r>
        <w:rPr>
          <w:rFonts w:hint="eastAsia" w:ascii="宋体" w:hAnsi="宋体"/>
          <w:kern w:val="0"/>
          <w:sz w:val="21"/>
          <w:szCs w:val="21"/>
        </w:rPr>
        <w:t>.具有优秀的数据承载、展现、关联、流转、修改、报表分析能力，能与其它异构系统实现集成。</w:t>
      </w:r>
    </w:p>
    <w:p>
      <w:pPr>
        <w:ind w:firstLine="420" w:firstLineChars="200"/>
        <w:rPr>
          <w:rFonts w:ascii="宋体" w:hAnsi="宋体"/>
          <w:kern w:val="0"/>
          <w:sz w:val="21"/>
          <w:szCs w:val="21"/>
        </w:rPr>
      </w:pPr>
      <w:r>
        <w:rPr>
          <w:rFonts w:ascii="宋体" w:hAnsi="宋体"/>
          <w:kern w:val="0"/>
          <w:sz w:val="21"/>
          <w:szCs w:val="21"/>
        </w:rPr>
        <w:t>2</w:t>
      </w:r>
      <w:r>
        <w:rPr>
          <w:rFonts w:hint="eastAsia" w:ascii="宋体" w:hAnsi="宋体"/>
          <w:kern w:val="0"/>
          <w:sz w:val="21"/>
          <w:szCs w:val="21"/>
        </w:rPr>
        <w:t>.系统须同时具有PC端与移动端运行能力。</w:t>
      </w:r>
    </w:p>
    <w:p>
      <w:pPr>
        <w:ind w:firstLine="420" w:firstLineChars="200"/>
        <w:rPr>
          <w:rFonts w:ascii="宋体" w:hAnsi="宋体"/>
          <w:kern w:val="0"/>
          <w:sz w:val="21"/>
          <w:szCs w:val="21"/>
        </w:rPr>
      </w:pPr>
      <w:r>
        <w:rPr>
          <w:rFonts w:ascii="宋体" w:hAnsi="宋体"/>
          <w:kern w:val="0"/>
          <w:sz w:val="21"/>
          <w:szCs w:val="21"/>
        </w:rPr>
        <w:t>3</w:t>
      </w:r>
      <w:r>
        <w:rPr>
          <w:rFonts w:hint="eastAsia" w:ascii="宋体" w:hAnsi="宋体"/>
          <w:kern w:val="0"/>
          <w:sz w:val="21"/>
          <w:szCs w:val="21"/>
        </w:rPr>
        <w:t>.具有严格的权限控制。根据用户的不同级别和类别，实现权限分配与访问控制。</w:t>
      </w:r>
    </w:p>
    <w:p>
      <w:pPr>
        <w:ind w:firstLine="420" w:firstLineChars="200"/>
        <w:rPr>
          <w:rFonts w:ascii="宋体" w:hAnsi="宋体"/>
          <w:kern w:val="0"/>
          <w:sz w:val="21"/>
          <w:szCs w:val="21"/>
        </w:rPr>
      </w:pPr>
      <w:r>
        <w:rPr>
          <w:rFonts w:ascii="宋体" w:hAnsi="宋体"/>
          <w:kern w:val="0"/>
          <w:sz w:val="21"/>
          <w:szCs w:val="21"/>
        </w:rPr>
        <w:t>4</w:t>
      </w:r>
      <w:r>
        <w:rPr>
          <w:rFonts w:hint="eastAsia" w:ascii="宋体" w:hAnsi="宋体"/>
          <w:kern w:val="0"/>
          <w:sz w:val="21"/>
          <w:szCs w:val="21"/>
        </w:rPr>
        <w:t>.人性化的操作界面。界面美观大方、操作简洁、明确、友好。</w:t>
      </w:r>
    </w:p>
    <w:p>
      <w:pPr>
        <w:ind w:firstLine="420" w:firstLineChars="200"/>
        <w:rPr>
          <w:rFonts w:ascii="宋体" w:hAnsi="宋体"/>
          <w:kern w:val="0"/>
          <w:sz w:val="21"/>
          <w:szCs w:val="21"/>
        </w:rPr>
      </w:pPr>
      <w:r>
        <w:rPr>
          <w:rFonts w:ascii="宋体" w:hAnsi="宋体"/>
          <w:kern w:val="0"/>
          <w:sz w:val="21"/>
          <w:szCs w:val="21"/>
        </w:rPr>
        <w:t>5</w:t>
      </w:r>
      <w:r>
        <w:rPr>
          <w:rFonts w:hint="eastAsia" w:ascii="宋体" w:hAnsi="宋体"/>
          <w:kern w:val="0"/>
          <w:sz w:val="21"/>
          <w:szCs w:val="21"/>
        </w:rPr>
        <w:t>.系统应具有一定的容错性。在运行环境出现故障时仍能提供稳定、有序的服务；实现集群工作模式，能运行于多个节点，防止因某个节点异常而影响系统的整体运行，能实现多机热备和应用级负载均衡。</w:t>
      </w:r>
    </w:p>
    <w:p>
      <w:pPr>
        <w:ind w:firstLine="420" w:firstLineChars="200"/>
        <w:rPr>
          <w:rFonts w:ascii="宋体" w:hAnsi="宋体"/>
          <w:kern w:val="0"/>
          <w:sz w:val="21"/>
          <w:szCs w:val="21"/>
        </w:rPr>
      </w:pPr>
      <w:r>
        <w:rPr>
          <w:rFonts w:hint="eastAsia" w:ascii="宋体" w:hAnsi="宋体"/>
          <w:kern w:val="0"/>
          <w:sz w:val="21"/>
          <w:szCs w:val="21"/>
        </w:rPr>
        <w:t>6.支持大规模用户的并发访问。系统用户数、在线用户数和并发量不设限。</w:t>
      </w:r>
    </w:p>
    <w:p>
      <w:pPr>
        <w:ind w:firstLine="420" w:firstLineChars="200"/>
        <w:rPr>
          <w:rFonts w:ascii="宋体" w:hAnsi="宋体"/>
          <w:kern w:val="0"/>
          <w:sz w:val="21"/>
          <w:szCs w:val="21"/>
        </w:rPr>
      </w:pPr>
      <w:r>
        <w:rPr>
          <w:rFonts w:hint="eastAsia" w:ascii="宋体" w:hAnsi="宋体"/>
          <w:kern w:val="0"/>
          <w:sz w:val="21"/>
          <w:szCs w:val="21"/>
        </w:rPr>
        <w:t>7.数据库与应用分开设计和部署，数据标准采用国标和学院基础数据库相关标准。</w:t>
      </w:r>
    </w:p>
    <w:p>
      <w:pPr>
        <w:ind w:firstLine="420" w:firstLineChars="200"/>
        <w:rPr>
          <w:rFonts w:ascii="宋体" w:hAnsi="宋体"/>
          <w:kern w:val="0"/>
          <w:sz w:val="21"/>
          <w:szCs w:val="21"/>
        </w:rPr>
      </w:pPr>
      <w:r>
        <w:rPr>
          <w:rFonts w:hint="eastAsia" w:ascii="宋体" w:hAnsi="宋体"/>
          <w:kern w:val="0"/>
          <w:sz w:val="21"/>
          <w:szCs w:val="21"/>
        </w:rPr>
        <w:t>8.有完善的网络安全和数据安全设计。保证系统安全稳定运行和数据安全使用，能达到等保测评二级以上安全要求。</w:t>
      </w:r>
    </w:p>
    <w:p>
      <w:pPr>
        <w:ind w:firstLine="420" w:firstLineChars="200"/>
        <w:rPr>
          <w:rFonts w:ascii="宋体" w:hAnsi="宋体"/>
          <w:kern w:val="0"/>
          <w:sz w:val="21"/>
          <w:szCs w:val="21"/>
        </w:rPr>
      </w:pPr>
      <w:r>
        <w:rPr>
          <w:rFonts w:hint="eastAsia" w:ascii="宋体" w:hAnsi="宋体"/>
          <w:kern w:val="0"/>
          <w:sz w:val="21"/>
          <w:szCs w:val="21"/>
        </w:rPr>
        <w:t>9.实现与其它系统协同运行，对接学院数据中心，实现数据回流与统一身份认证；对接网上办事大厅，实现申请、审批等操作、消息推送、待办事项等功能集成。</w:t>
      </w:r>
    </w:p>
    <w:p>
      <w:pPr>
        <w:ind w:firstLine="420" w:firstLineChars="200"/>
        <w:rPr>
          <w:rFonts w:ascii="宋体" w:hAnsi="宋体"/>
          <w:kern w:val="0"/>
          <w:sz w:val="21"/>
          <w:szCs w:val="21"/>
        </w:rPr>
      </w:pPr>
      <w:r>
        <w:rPr>
          <w:rFonts w:hint="eastAsia" w:ascii="宋体" w:hAnsi="宋体"/>
          <w:kern w:val="0"/>
          <w:sz w:val="21"/>
          <w:szCs w:val="21"/>
        </w:rPr>
        <w:t>10.支持并实现第三方系统或平台的功能调用和流程调用，预留相应的接口，并提供详细的技术文档。</w:t>
      </w:r>
      <w:bookmarkStart w:id="34" w:name="_Toc60925223"/>
      <w:bookmarkStart w:id="35" w:name="_Toc96503701"/>
      <w:bookmarkStart w:id="36" w:name="_Toc60925250"/>
    </w:p>
    <w:p>
      <w:pPr>
        <w:spacing w:line="288" w:lineRule="auto"/>
        <w:ind w:firstLine="422" w:firstLineChars="200"/>
        <w:rPr>
          <w:rFonts w:ascii="宋体" w:hAnsi="宋体"/>
          <w:b/>
          <w:bCs/>
          <w:sz w:val="21"/>
          <w:szCs w:val="21"/>
        </w:rPr>
      </w:pPr>
      <w:r>
        <w:rPr>
          <w:rFonts w:hint="eastAsia" w:ascii="宋体" w:hAnsi="宋体"/>
          <w:b/>
          <w:bCs/>
          <w:sz w:val="21"/>
          <w:szCs w:val="21"/>
        </w:rPr>
        <w:t>（二）项目建设需求</w:t>
      </w:r>
      <w:bookmarkEnd w:id="34"/>
      <w:bookmarkEnd w:id="35"/>
      <w:bookmarkEnd w:id="36"/>
      <w:r>
        <w:rPr>
          <w:rFonts w:hint="eastAsia" w:ascii="宋体" w:hAnsi="宋体"/>
          <w:b/>
          <w:bCs/>
          <w:sz w:val="21"/>
          <w:szCs w:val="21"/>
        </w:rPr>
        <w:t xml:space="preserve"> </w:t>
      </w:r>
      <w:bookmarkStart w:id="37" w:name="_Toc96503702"/>
    </w:p>
    <w:p>
      <w:pPr>
        <w:spacing w:line="288" w:lineRule="auto"/>
        <w:ind w:firstLine="422" w:firstLineChars="200"/>
        <w:rPr>
          <w:rFonts w:ascii="宋体" w:hAnsi="宋体"/>
          <w:b/>
          <w:bCs/>
          <w:kern w:val="0"/>
          <w:sz w:val="21"/>
          <w:szCs w:val="21"/>
        </w:rPr>
      </w:pPr>
      <w:r>
        <w:rPr>
          <w:rFonts w:hint="eastAsia" w:ascii="宋体" w:hAnsi="宋体"/>
          <w:b/>
          <w:bCs/>
          <w:sz w:val="21"/>
          <w:szCs w:val="21"/>
        </w:rPr>
        <w:t>3.2.1校园智慧防控功能需求</w:t>
      </w:r>
      <w:bookmarkEnd w:id="37"/>
    </w:p>
    <w:p>
      <w:pPr>
        <w:pStyle w:val="82"/>
        <w:spacing w:beforeLines="0" w:afterLines="0" w:line="288" w:lineRule="auto"/>
        <w:ind w:firstLine="420"/>
        <w:rPr>
          <w:rFonts w:eastAsia="宋体"/>
          <w:sz w:val="21"/>
          <w:szCs w:val="21"/>
        </w:rPr>
      </w:pPr>
      <w:r>
        <w:rPr>
          <w:rFonts w:hint="eastAsia" w:eastAsia="宋体"/>
          <w:sz w:val="21"/>
          <w:szCs w:val="21"/>
        </w:rPr>
        <w:t>建设校园智慧防控，面向学院不同类型的人员提供相关信息服务，同时配合学院现有的硬件设备，记录和监控人员的运动轨迹。具体软件功能需求如下：</w:t>
      </w:r>
    </w:p>
    <w:p>
      <w:pPr>
        <w:pStyle w:val="83"/>
        <w:spacing w:line="288" w:lineRule="auto"/>
        <w:ind w:left="560" w:leftChars="200" w:firstLine="0" w:firstLineChars="0"/>
        <w:rPr>
          <w:b/>
          <w:bCs/>
          <w:sz w:val="21"/>
          <w:szCs w:val="21"/>
        </w:rPr>
      </w:pPr>
      <w:r>
        <w:rPr>
          <w:rFonts w:hint="eastAsia"/>
          <w:b/>
          <w:bCs/>
          <w:sz w:val="21"/>
          <w:szCs w:val="21"/>
        </w:rPr>
        <w:t>1.健康码、疫苗接种、核酸检测、中高风险地区获取和密切接触者信息抽取</w:t>
      </w:r>
    </w:p>
    <w:p>
      <w:pPr>
        <w:tabs>
          <w:tab w:val="left" w:pos="4111"/>
        </w:tabs>
        <w:spacing w:line="288" w:lineRule="auto"/>
        <w:ind w:firstLine="420" w:firstLineChars="200"/>
        <w:rPr>
          <w:rFonts w:ascii="宋体" w:hAnsi="宋体"/>
          <w:bCs/>
          <w:kern w:val="0"/>
          <w:sz w:val="21"/>
          <w:szCs w:val="21"/>
        </w:rPr>
      </w:pPr>
      <w:r>
        <w:rPr>
          <w:rFonts w:hint="eastAsia" w:ascii="宋体" w:hAnsi="宋体"/>
          <w:sz w:val="21"/>
          <w:szCs w:val="21"/>
        </w:rPr>
        <w:t>系统能够实现抽取学院师生、其他需要进校人员申请的浙江省健康码、疫苗接种记录、核酸检测情况、中高风险地区获取和密切接触者信息。对接学院数据中心，获取人员身份信息，并通过调用浙江省教育厅接口抽取对应人员的相关信息。（数据接口由采购人提供）</w:t>
      </w:r>
    </w:p>
    <w:p>
      <w:pPr>
        <w:spacing w:line="288" w:lineRule="auto"/>
        <w:ind w:firstLine="422" w:firstLineChars="200"/>
        <w:rPr>
          <w:rFonts w:ascii="宋体" w:hAnsi="宋体"/>
          <w:b/>
          <w:bCs/>
          <w:sz w:val="21"/>
          <w:szCs w:val="21"/>
        </w:rPr>
      </w:pPr>
      <w:r>
        <w:rPr>
          <w:rFonts w:hint="eastAsia" w:ascii="宋体" w:hAnsi="宋体"/>
          <w:b/>
          <w:bCs/>
          <w:sz w:val="21"/>
          <w:szCs w:val="21"/>
        </w:rPr>
        <w:t>2.校园通行码</w:t>
      </w:r>
    </w:p>
    <w:p>
      <w:pPr>
        <w:spacing w:line="288" w:lineRule="auto"/>
        <w:ind w:firstLine="420" w:firstLineChars="200"/>
        <w:rPr>
          <w:rFonts w:ascii="宋体" w:hAnsi="宋体"/>
          <w:sz w:val="21"/>
          <w:szCs w:val="21"/>
        </w:rPr>
      </w:pPr>
      <w:r>
        <w:rPr>
          <w:rFonts w:hint="eastAsia" w:ascii="宋体" w:hAnsi="宋体"/>
          <w:sz w:val="21"/>
          <w:szCs w:val="21"/>
        </w:rPr>
        <w:t>（1）未申请浙江省健康码的师生，在申请浙江省健康码完成后，系统将通过对接浙江省教育厅接口，在1小时内更新相关信息至学院数据中心。</w:t>
      </w:r>
    </w:p>
    <w:p>
      <w:pPr>
        <w:spacing w:line="288" w:lineRule="auto"/>
        <w:ind w:firstLine="420" w:firstLineChars="200"/>
        <w:rPr>
          <w:rFonts w:ascii="宋体" w:hAnsi="宋体"/>
          <w:sz w:val="21"/>
          <w:szCs w:val="21"/>
        </w:rPr>
      </w:pPr>
      <w:r>
        <w:rPr>
          <w:rFonts w:hint="eastAsia" w:ascii="宋体" w:hAnsi="宋体"/>
          <w:sz w:val="21"/>
          <w:szCs w:val="21"/>
        </w:rPr>
        <w:t>（2）当出现浙江省健康码为黄码或者红码的师生，系统能够提醒相关师生做好居家隔离和每日健康打卡功能。</w:t>
      </w:r>
    </w:p>
    <w:p>
      <w:pPr>
        <w:spacing w:line="288" w:lineRule="auto"/>
        <w:ind w:firstLine="420" w:firstLineChars="200"/>
        <w:rPr>
          <w:rFonts w:ascii="宋体" w:hAnsi="宋体"/>
          <w:sz w:val="21"/>
          <w:szCs w:val="21"/>
        </w:rPr>
      </w:pPr>
      <w:r>
        <w:rPr>
          <w:rFonts w:hint="eastAsia" w:ascii="宋体" w:hAnsi="宋体"/>
          <w:sz w:val="21"/>
          <w:szCs w:val="21"/>
        </w:rPr>
        <w:t>（3）校园通行码显示为绿码的师生，可以在校园内自由通行，系统能够实现相关测温点温度登记和扫码通行功能。</w:t>
      </w:r>
    </w:p>
    <w:p>
      <w:pPr>
        <w:spacing w:line="288" w:lineRule="auto"/>
        <w:ind w:firstLine="420" w:firstLineChars="200"/>
        <w:rPr>
          <w:rFonts w:ascii="宋体" w:hAnsi="宋体"/>
          <w:sz w:val="21"/>
          <w:szCs w:val="21"/>
        </w:rPr>
      </w:pPr>
      <w:r>
        <w:rPr>
          <w:rFonts w:hint="eastAsia" w:ascii="宋体" w:hAnsi="宋体"/>
          <w:sz w:val="21"/>
          <w:szCs w:val="21"/>
        </w:rPr>
        <w:t>（4）根据浙江省健康码的动态变化，系统能够实现师生在校期间，校园通行码可随着浙江省健康码自动变成黄码或红码。</w:t>
      </w:r>
    </w:p>
    <w:p>
      <w:pPr>
        <w:pStyle w:val="83"/>
        <w:spacing w:line="288" w:lineRule="auto"/>
        <w:ind w:left="560" w:leftChars="200" w:firstLine="0" w:firstLineChars="0"/>
        <w:rPr>
          <w:b/>
          <w:bCs/>
          <w:sz w:val="21"/>
          <w:szCs w:val="21"/>
        </w:rPr>
      </w:pPr>
      <w:r>
        <w:rPr>
          <w:rFonts w:hint="eastAsia"/>
          <w:b/>
          <w:bCs/>
          <w:sz w:val="21"/>
          <w:szCs w:val="21"/>
        </w:rPr>
        <w:t>3.出入校管理</w:t>
      </w:r>
    </w:p>
    <w:p>
      <w:pPr>
        <w:spacing w:line="288" w:lineRule="auto"/>
        <w:ind w:firstLine="420" w:firstLineChars="200"/>
        <w:rPr>
          <w:rFonts w:ascii="宋体" w:hAnsi="宋体"/>
          <w:sz w:val="21"/>
          <w:szCs w:val="21"/>
        </w:rPr>
      </w:pPr>
      <w:r>
        <w:rPr>
          <w:rFonts w:hint="eastAsia" w:ascii="宋体" w:hAnsi="宋体"/>
          <w:sz w:val="21"/>
          <w:szCs w:val="21"/>
        </w:rPr>
        <w:t>系统能够根据学院出入校管理规定，实现学生外出、返回校园的申请与审批管理功能。</w:t>
      </w:r>
    </w:p>
    <w:p>
      <w:pPr>
        <w:spacing w:line="288" w:lineRule="auto"/>
        <w:ind w:firstLine="420" w:firstLineChars="200"/>
        <w:rPr>
          <w:rFonts w:ascii="宋体" w:hAnsi="宋体"/>
          <w:sz w:val="21"/>
          <w:szCs w:val="21"/>
        </w:rPr>
      </w:pPr>
      <w:r>
        <w:rPr>
          <w:rFonts w:hint="eastAsia" w:ascii="宋体" w:hAnsi="宋体"/>
          <w:sz w:val="21"/>
          <w:szCs w:val="21"/>
        </w:rPr>
        <w:t>（1）出校前需登录智慧东方E、钉钉或者企业微信等，填写出校审批单，基本信息及历史打卡数据可从学院数据中心自动对接获取。经审批（流程按照实际情况调整）通过后，扫码出校。如外出时间超出申请时间，需重新补交申请。相关操作要求可以根据学院的具体规定与变动，进行灵活调整。</w:t>
      </w:r>
    </w:p>
    <w:p>
      <w:pPr>
        <w:spacing w:line="288" w:lineRule="auto"/>
        <w:ind w:firstLine="420" w:firstLineChars="200"/>
        <w:rPr>
          <w:rFonts w:ascii="宋体" w:hAnsi="宋体"/>
          <w:sz w:val="21"/>
          <w:szCs w:val="21"/>
        </w:rPr>
      </w:pPr>
      <w:r>
        <w:rPr>
          <w:rFonts w:hint="eastAsia" w:ascii="宋体" w:hAnsi="宋体"/>
          <w:sz w:val="21"/>
          <w:szCs w:val="21"/>
        </w:rPr>
        <w:t>（2）出校审核通过后，生成出校码。学生持出校码扫码出校。出校码扫描完成后，生成出校证，同时校园通行码暂时失效。</w:t>
      </w:r>
    </w:p>
    <w:p>
      <w:pPr>
        <w:spacing w:line="288" w:lineRule="auto"/>
        <w:ind w:firstLine="420" w:firstLineChars="200"/>
        <w:rPr>
          <w:rFonts w:ascii="宋体" w:hAnsi="宋体"/>
          <w:sz w:val="21"/>
          <w:szCs w:val="21"/>
        </w:rPr>
      </w:pPr>
      <w:r>
        <w:rPr>
          <w:rFonts w:hint="eastAsia" w:ascii="宋体" w:hAnsi="宋体"/>
          <w:sz w:val="21"/>
          <w:szCs w:val="21"/>
        </w:rPr>
        <w:t>（3）若要返回校园，学生按照学院要求，填写入校审批单（具体填报信息根据实际情况定制），由相应人员审批完成后，持校园通行码返校。扫码校园通行码完成后，校园通行码恢复正常使用。</w:t>
      </w:r>
    </w:p>
    <w:p>
      <w:pPr>
        <w:pStyle w:val="8"/>
        <w:spacing w:after="120" w:line="288" w:lineRule="auto"/>
        <w:rPr>
          <w:rFonts w:ascii="宋体" w:hAnsi="宋体"/>
          <w:szCs w:val="21"/>
        </w:rPr>
      </w:pPr>
      <w:r>
        <w:rPr>
          <w:rFonts w:hint="eastAsia" w:ascii="宋体" w:hAnsi="宋体"/>
          <w:szCs w:val="21"/>
        </w:rPr>
        <w:t>（4）师生也可通过刷脸、刷码进出校，根据数据比对，在刷脸面板显示健康码、疫苗接种等个人健康信息。</w:t>
      </w:r>
    </w:p>
    <w:p>
      <w:pPr>
        <w:pStyle w:val="8"/>
        <w:spacing w:after="120" w:line="288" w:lineRule="auto"/>
        <w:rPr>
          <w:rFonts w:ascii="宋体" w:hAnsi="宋体"/>
          <w:szCs w:val="21"/>
        </w:rPr>
      </w:pPr>
      <w:r>
        <w:rPr>
          <w:rFonts w:hint="eastAsia" w:ascii="宋体" w:hAnsi="宋体"/>
          <w:szCs w:val="21"/>
        </w:rPr>
        <w:t>（5）支持移动扫码枪对驾乘汽车的人员进行扫码核验。</w:t>
      </w:r>
    </w:p>
    <w:p>
      <w:pPr>
        <w:pStyle w:val="83"/>
        <w:spacing w:line="288" w:lineRule="auto"/>
        <w:ind w:left="560" w:leftChars="200" w:firstLine="0" w:firstLineChars="0"/>
        <w:rPr>
          <w:b/>
          <w:bCs/>
          <w:sz w:val="21"/>
          <w:szCs w:val="21"/>
        </w:rPr>
      </w:pPr>
      <w:r>
        <w:rPr>
          <w:rFonts w:hint="eastAsia"/>
          <w:b/>
          <w:bCs/>
          <w:sz w:val="21"/>
          <w:szCs w:val="21"/>
        </w:rPr>
        <w:t>4.假期返校</w:t>
      </w:r>
    </w:p>
    <w:p>
      <w:pPr>
        <w:pStyle w:val="83"/>
        <w:spacing w:line="288" w:lineRule="auto"/>
        <w:rPr>
          <w:sz w:val="21"/>
          <w:szCs w:val="21"/>
        </w:rPr>
      </w:pPr>
      <w:r>
        <w:rPr>
          <w:rFonts w:hint="eastAsia"/>
          <w:sz w:val="21"/>
          <w:szCs w:val="21"/>
        </w:rPr>
        <w:t>系统能够实现假期期间取消通行证，需要返回学院时，应填写相应的返校申请，历史打卡数据可自动填充。返校申请审核通过之后，方可进校（根据实际情况设定）。</w:t>
      </w:r>
    </w:p>
    <w:p>
      <w:pPr>
        <w:pStyle w:val="83"/>
        <w:spacing w:line="288" w:lineRule="auto"/>
        <w:ind w:left="560" w:leftChars="200" w:firstLine="0" w:firstLineChars="0"/>
        <w:rPr>
          <w:b/>
          <w:bCs/>
          <w:sz w:val="21"/>
          <w:szCs w:val="21"/>
        </w:rPr>
      </w:pPr>
      <w:r>
        <w:rPr>
          <w:rFonts w:hint="eastAsia"/>
          <w:b/>
          <w:bCs/>
          <w:sz w:val="21"/>
          <w:szCs w:val="21"/>
        </w:rPr>
        <w:t>5.限制进出校门</w:t>
      </w:r>
    </w:p>
    <w:p>
      <w:pPr>
        <w:pStyle w:val="83"/>
        <w:spacing w:line="288" w:lineRule="auto"/>
        <w:rPr>
          <w:sz w:val="21"/>
          <w:szCs w:val="21"/>
        </w:rPr>
      </w:pPr>
      <w:r>
        <w:rPr>
          <w:rFonts w:hint="eastAsia"/>
          <w:sz w:val="21"/>
          <w:szCs w:val="21"/>
        </w:rPr>
        <w:t>对于指定时间内去过指定地点的人员，应能够对其校园通行码停用或者变色等设置（具体根据实际情况决定）。</w:t>
      </w:r>
    </w:p>
    <w:p>
      <w:pPr>
        <w:pStyle w:val="83"/>
        <w:spacing w:line="288" w:lineRule="auto"/>
        <w:ind w:left="560" w:leftChars="200" w:firstLine="0" w:firstLineChars="0"/>
        <w:rPr>
          <w:b/>
          <w:bCs/>
          <w:sz w:val="21"/>
          <w:szCs w:val="21"/>
        </w:rPr>
      </w:pPr>
      <w:r>
        <w:rPr>
          <w:rFonts w:hint="eastAsia"/>
          <w:b/>
          <w:bCs/>
          <w:sz w:val="21"/>
          <w:szCs w:val="21"/>
        </w:rPr>
        <w:t>6.</w:t>
      </w:r>
      <w:r>
        <w:rPr>
          <w:b/>
          <w:bCs/>
          <w:sz w:val="21"/>
          <w:szCs w:val="21"/>
        </w:rPr>
        <w:t>健康打卡</w:t>
      </w:r>
      <w:r>
        <w:rPr>
          <w:rFonts w:hint="eastAsia"/>
          <w:b/>
          <w:bCs/>
          <w:sz w:val="21"/>
          <w:szCs w:val="21"/>
        </w:rPr>
        <w:t>与疫情数据统计</w:t>
      </w:r>
    </w:p>
    <w:p>
      <w:pPr>
        <w:spacing w:line="288" w:lineRule="auto"/>
        <w:ind w:firstLine="420" w:firstLineChars="200"/>
        <w:rPr>
          <w:rFonts w:ascii="宋体" w:hAnsi="宋体"/>
          <w:sz w:val="21"/>
          <w:szCs w:val="21"/>
        </w:rPr>
      </w:pPr>
      <w:r>
        <w:rPr>
          <w:rFonts w:hint="eastAsia" w:ascii="宋体" w:hAnsi="宋体"/>
          <w:sz w:val="21"/>
          <w:szCs w:val="21"/>
        </w:rPr>
        <w:t>系统能够支持师生按照学院提供的</w:t>
      </w:r>
      <w:r>
        <w:rPr>
          <w:rFonts w:ascii="宋体" w:hAnsi="宋体"/>
          <w:sz w:val="21"/>
          <w:szCs w:val="21"/>
        </w:rPr>
        <w:t>统一</w:t>
      </w:r>
      <w:r>
        <w:rPr>
          <w:rFonts w:hint="eastAsia" w:ascii="宋体" w:hAnsi="宋体"/>
          <w:sz w:val="21"/>
          <w:szCs w:val="21"/>
        </w:rPr>
        <w:t>表单，根据实际情况，通过每日健康打卡上报疫情防控信息（具体情况根据实际需求定制），基础信息及历史数据需自动填充。对于可以从大数据局接口拉取的数据，不再重复填写。</w:t>
      </w:r>
    </w:p>
    <w:p>
      <w:pPr>
        <w:spacing w:line="288" w:lineRule="auto"/>
        <w:ind w:firstLine="420" w:firstLineChars="200"/>
        <w:rPr>
          <w:rFonts w:ascii="宋体" w:hAnsi="宋体"/>
          <w:sz w:val="21"/>
          <w:szCs w:val="21"/>
        </w:rPr>
      </w:pPr>
      <w:r>
        <w:rPr>
          <w:rFonts w:hint="eastAsia" w:ascii="宋体" w:hAnsi="宋体"/>
          <w:sz w:val="21"/>
          <w:szCs w:val="21"/>
        </w:rPr>
        <w:t>系统能够灵活设置并发布数据表单，并能指定填报人员范围，表单在线收集，数据自动统计，汇总信息各级确认与上报功能等。</w:t>
      </w:r>
    </w:p>
    <w:p>
      <w:pPr>
        <w:pStyle w:val="83"/>
        <w:spacing w:line="288" w:lineRule="auto"/>
        <w:ind w:left="560" w:leftChars="200" w:firstLine="0" w:firstLineChars="0"/>
        <w:rPr>
          <w:b/>
          <w:bCs/>
          <w:sz w:val="21"/>
          <w:szCs w:val="21"/>
        </w:rPr>
      </w:pPr>
      <w:r>
        <w:rPr>
          <w:rFonts w:hint="eastAsia"/>
          <w:b/>
          <w:bCs/>
          <w:sz w:val="21"/>
          <w:szCs w:val="21"/>
        </w:rPr>
        <w:t>7.访客管理</w:t>
      </w:r>
    </w:p>
    <w:p>
      <w:pPr>
        <w:pStyle w:val="83"/>
        <w:spacing w:line="288" w:lineRule="auto"/>
        <w:ind w:left="560" w:leftChars="200" w:firstLine="0" w:firstLineChars="0"/>
        <w:rPr>
          <w:b/>
          <w:bCs/>
          <w:sz w:val="21"/>
          <w:szCs w:val="21"/>
        </w:rPr>
      </w:pPr>
      <w:r>
        <w:rPr>
          <w:rFonts w:hint="eastAsia"/>
          <w:b/>
          <w:bCs/>
          <w:sz w:val="21"/>
          <w:szCs w:val="21"/>
        </w:rPr>
        <w:t>（1）访客预约</w:t>
      </w:r>
    </w:p>
    <w:p>
      <w:pPr>
        <w:pStyle w:val="65"/>
        <w:widowControl/>
        <w:shd w:val="clear" w:color="auto" w:fill="FFFFFF"/>
        <w:spacing w:after="120" w:line="288" w:lineRule="auto"/>
        <w:ind w:firstLine="371" w:firstLineChars="177"/>
        <w:rPr>
          <w:rFonts w:ascii="宋体" w:hAnsi="宋体"/>
          <w:szCs w:val="21"/>
        </w:rPr>
      </w:pPr>
      <w:r>
        <w:rPr>
          <w:rFonts w:hint="eastAsia" w:ascii="宋体" w:hAnsi="宋体"/>
          <w:szCs w:val="21"/>
        </w:rPr>
        <w:t>系统需要实现对接智慧东方E、钉钉或者企业微信等。被访老师可以通过智慧东方E、钉钉或者企业微信上的访客预约功能预约外来人员，实现被访老师或者访客录入访客姓名、手机、到访时间、随行人员数量后，通过短信通知访客完善详细信息。</w:t>
      </w:r>
    </w:p>
    <w:p>
      <w:pPr>
        <w:pStyle w:val="83"/>
        <w:spacing w:line="288" w:lineRule="auto"/>
        <w:ind w:left="560" w:leftChars="200" w:firstLine="0" w:firstLineChars="0"/>
        <w:rPr>
          <w:b/>
          <w:bCs/>
          <w:sz w:val="21"/>
          <w:szCs w:val="21"/>
        </w:rPr>
      </w:pPr>
      <w:r>
        <w:rPr>
          <w:rFonts w:hint="eastAsia"/>
          <w:b/>
          <w:bCs/>
          <w:sz w:val="21"/>
          <w:szCs w:val="21"/>
        </w:rPr>
        <w:t>（2）访客登记</w:t>
      </w:r>
    </w:p>
    <w:p>
      <w:pPr>
        <w:pStyle w:val="65"/>
        <w:widowControl/>
        <w:shd w:val="clear" w:color="auto" w:fill="FFFFFF"/>
        <w:spacing w:after="120" w:line="288" w:lineRule="auto"/>
        <w:ind w:firstLine="371" w:firstLineChars="177"/>
        <w:jc w:val="left"/>
        <w:rPr>
          <w:rFonts w:ascii="宋体" w:hAnsi="宋体"/>
          <w:szCs w:val="21"/>
        </w:rPr>
      </w:pPr>
      <w:r>
        <w:rPr>
          <w:rFonts w:hint="eastAsia" w:ascii="宋体" w:hAnsi="宋体"/>
          <w:szCs w:val="21"/>
        </w:rPr>
        <w:t>系统能够实现被预约的访客收到短信后，通过短信中的链接，完善个人信息用于获取访客的浙江健康码情况、核酸检测报告和密切接触者。如存在随行人员，需主要访客填写相对应的随行人员信息，完善好信息之后，提交审核。</w:t>
      </w:r>
    </w:p>
    <w:p>
      <w:pPr>
        <w:pStyle w:val="83"/>
        <w:spacing w:line="288" w:lineRule="auto"/>
        <w:ind w:left="560" w:leftChars="200" w:firstLine="0" w:firstLineChars="0"/>
        <w:rPr>
          <w:b/>
          <w:bCs/>
          <w:sz w:val="21"/>
          <w:szCs w:val="21"/>
        </w:rPr>
      </w:pPr>
      <w:r>
        <w:rPr>
          <w:rFonts w:hint="eastAsia"/>
          <w:b/>
          <w:bCs/>
          <w:sz w:val="21"/>
          <w:szCs w:val="21"/>
        </w:rPr>
        <w:t>（3）入校审核</w:t>
      </w:r>
    </w:p>
    <w:p>
      <w:pPr>
        <w:pStyle w:val="65"/>
        <w:widowControl/>
        <w:shd w:val="clear" w:color="auto" w:fill="FFFFFF"/>
        <w:spacing w:after="120" w:line="288" w:lineRule="auto"/>
        <w:jc w:val="left"/>
        <w:rPr>
          <w:rFonts w:ascii="宋体" w:hAnsi="宋体"/>
          <w:szCs w:val="21"/>
        </w:rPr>
      </w:pPr>
      <w:r>
        <w:rPr>
          <w:rFonts w:hint="eastAsia" w:ascii="宋体" w:hAnsi="宋体"/>
          <w:szCs w:val="21"/>
        </w:rPr>
        <w:t>访客信息完善后，提交至学院被访者的部门负责人审核（具体情况根据实际需求定制）系统在审核环节时自动获取健康码，以便审核人员进行审核。</w:t>
      </w:r>
    </w:p>
    <w:p>
      <w:pPr>
        <w:pStyle w:val="83"/>
        <w:spacing w:line="288" w:lineRule="auto"/>
        <w:ind w:left="560" w:leftChars="200" w:firstLine="0" w:firstLineChars="0"/>
        <w:rPr>
          <w:b/>
          <w:bCs/>
          <w:sz w:val="21"/>
          <w:szCs w:val="21"/>
        </w:rPr>
      </w:pPr>
      <w:r>
        <w:rPr>
          <w:rFonts w:hint="eastAsia"/>
          <w:b/>
          <w:bCs/>
          <w:sz w:val="21"/>
          <w:szCs w:val="21"/>
        </w:rPr>
        <w:t>（4）访客校园通行码</w:t>
      </w:r>
    </w:p>
    <w:p>
      <w:pPr>
        <w:pStyle w:val="65"/>
        <w:widowControl/>
        <w:shd w:val="clear" w:color="auto" w:fill="FFFFFF"/>
        <w:spacing w:after="120" w:line="288" w:lineRule="auto"/>
        <w:jc w:val="left"/>
        <w:rPr>
          <w:rFonts w:ascii="宋体" w:hAnsi="宋体"/>
          <w:szCs w:val="21"/>
        </w:rPr>
      </w:pPr>
      <w:r>
        <w:rPr>
          <w:rFonts w:hint="eastAsia" w:ascii="宋体" w:hAnsi="宋体"/>
          <w:szCs w:val="21"/>
        </w:rPr>
        <w:t>学院审核通过后，系统将通过短信自动发送审核结果，告知访客和随行人员，根据短信中发送的链接，访客可查看自己的访客通行码。访客凭校园通行码，到校访问。</w:t>
      </w:r>
    </w:p>
    <w:p>
      <w:pPr>
        <w:pStyle w:val="83"/>
        <w:spacing w:line="288" w:lineRule="auto"/>
        <w:ind w:left="560" w:leftChars="200" w:firstLine="0" w:firstLineChars="0"/>
        <w:rPr>
          <w:b/>
          <w:bCs/>
          <w:sz w:val="21"/>
          <w:szCs w:val="21"/>
        </w:rPr>
      </w:pPr>
      <w:r>
        <w:rPr>
          <w:rFonts w:hint="eastAsia"/>
          <w:b/>
          <w:bCs/>
          <w:sz w:val="21"/>
          <w:szCs w:val="21"/>
        </w:rPr>
        <w:t>（5）访客入校</w:t>
      </w:r>
    </w:p>
    <w:p>
      <w:pPr>
        <w:pStyle w:val="65"/>
        <w:widowControl/>
        <w:shd w:val="clear" w:color="auto" w:fill="FFFFFF"/>
        <w:spacing w:after="120" w:line="288" w:lineRule="auto"/>
        <w:ind w:firstLine="371" w:firstLineChars="177"/>
        <w:jc w:val="left"/>
        <w:rPr>
          <w:rFonts w:ascii="宋体" w:hAnsi="宋体"/>
          <w:szCs w:val="21"/>
        </w:rPr>
      </w:pPr>
      <w:r>
        <w:rPr>
          <w:rFonts w:hint="eastAsia" w:ascii="宋体" w:hAnsi="宋体"/>
          <w:szCs w:val="21"/>
        </w:rPr>
        <w:t>访客到达学院后，打开访客通行码，通过学院提前部署好的扫码器或者手机扫码，并进行温度登记与信息核对，方可入校访问。</w:t>
      </w:r>
    </w:p>
    <w:p>
      <w:pPr>
        <w:pStyle w:val="65"/>
        <w:widowControl/>
        <w:shd w:val="clear" w:color="auto" w:fill="FFFFFF"/>
        <w:spacing w:after="120" w:line="288" w:lineRule="auto"/>
        <w:ind w:firstLine="373" w:firstLineChars="177"/>
        <w:jc w:val="left"/>
        <w:rPr>
          <w:rFonts w:ascii="宋体" w:hAnsi="宋体"/>
          <w:b/>
          <w:bCs/>
          <w:szCs w:val="21"/>
        </w:rPr>
      </w:pPr>
      <w:r>
        <w:rPr>
          <w:rFonts w:hint="eastAsia" w:ascii="宋体" w:hAnsi="宋体"/>
          <w:b/>
          <w:bCs/>
          <w:szCs w:val="21"/>
        </w:rPr>
        <w:t>3.2.1.1人员管理</w:t>
      </w:r>
    </w:p>
    <w:p>
      <w:pPr>
        <w:widowControl/>
        <w:shd w:val="clear" w:color="auto" w:fill="FFFFFF"/>
        <w:spacing w:line="288" w:lineRule="auto"/>
        <w:ind w:firstLine="482"/>
        <w:jc w:val="left"/>
        <w:rPr>
          <w:rFonts w:ascii="宋体" w:hAnsi="宋体"/>
          <w:sz w:val="21"/>
          <w:szCs w:val="21"/>
        </w:rPr>
      </w:pPr>
      <w:r>
        <w:rPr>
          <w:rFonts w:hint="eastAsia" w:ascii="宋体" w:hAnsi="宋体"/>
          <w:sz w:val="21"/>
          <w:szCs w:val="21"/>
        </w:rPr>
        <w:t>系统需要实现人员管理功能。对教师、学生、后勤、临时人员，包括离职教师、毕业学生进行分类管理，将人员分白名单，黑名单。列入白名单的人员可以自由进出校园，被列入黑名单的人员将无法亮码正常进入校园。</w:t>
      </w:r>
    </w:p>
    <w:p>
      <w:pPr>
        <w:pStyle w:val="83"/>
        <w:spacing w:line="288" w:lineRule="auto"/>
        <w:ind w:left="560" w:leftChars="200" w:firstLine="0" w:firstLineChars="0"/>
        <w:rPr>
          <w:b/>
          <w:bCs/>
          <w:sz w:val="21"/>
          <w:szCs w:val="21"/>
        </w:rPr>
      </w:pPr>
      <w:r>
        <w:rPr>
          <w:rFonts w:hint="eastAsia"/>
          <w:b/>
          <w:bCs/>
          <w:sz w:val="21"/>
          <w:szCs w:val="21"/>
        </w:rPr>
        <w:t>1.教职工白名单</w:t>
      </w:r>
    </w:p>
    <w:p>
      <w:pPr>
        <w:pStyle w:val="82"/>
        <w:spacing w:beforeLines="0" w:afterLines="0" w:line="288" w:lineRule="auto"/>
        <w:ind w:firstLine="420"/>
        <w:rPr>
          <w:rFonts w:eastAsia="宋体"/>
          <w:bCs/>
          <w:kern w:val="0"/>
          <w:sz w:val="21"/>
          <w:szCs w:val="21"/>
        </w:rPr>
      </w:pPr>
      <w:r>
        <w:rPr>
          <w:rFonts w:hint="eastAsia" w:eastAsia="宋体"/>
          <w:sz w:val="21"/>
          <w:szCs w:val="21"/>
        </w:rPr>
        <w:t>系统需要实现</w:t>
      </w:r>
      <w:r>
        <w:rPr>
          <w:rFonts w:eastAsia="宋体"/>
          <w:sz w:val="21"/>
          <w:szCs w:val="21"/>
        </w:rPr>
        <w:t>教职工信息通过</w:t>
      </w:r>
      <w:r>
        <w:rPr>
          <w:rFonts w:hint="eastAsia" w:eastAsia="宋体"/>
          <w:sz w:val="21"/>
          <w:szCs w:val="21"/>
        </w:rPr>
        <w:t>数据流、</w:t>
      </w:r>
      <w:r>
        <w:rPr>
          <w:rFonts w:eastAsia="宋体"/>
          <w:sz w:val="21"/>
          <w:szCs w:val="21"/>
        </w:rPr>
        <w:t>手动新增或导入添加</w:t>
      </w:r>
      <w:r>
        <w:rPr>
          <w:rFonts w:hint="eastAsia" w:eastAsia="宋体"/>
          <w:sz w:val="21"/>
          <w:szCs w:val="21"/>
        </w:rPr>
        <w:t>，</w:t>
      </w:r>
      <w:r>
        <w:rPr>
          <w:rFonts w:eastAsia="宋体"/>
          <w:sz w:val="21"/>
          <w:szCs w:val="21"/>
        </w:rPr>
        <w:t>将教职工名单维护到教职工白名单中</w:t>
      </w:r>
      <w:r>
        <w:rPr>
          <w:rFonts w:hint="eastAsia" w:eastAsia="宋体"/>
          <w:sz w:val="21"/>
          <w:szCs w:val="21"/>
        </w:rPr>
        <w:t>，</w:t>
      </w:r>
      <w:r>
        <w:rPr>
          <w:rFonts w:eastAsia="宋体"/>
          <w:sz w:val="21"/>
          <w:szCs w:val="21"/>
        </w:rPr>
        <w:t>被列入白名单的人员可以亮绿码</w:t>
      </w:r>
      <w:r>
        <w:rPr>
          <w:rFonts w:hint="eastAsia" w:eastAsia="宋体"/>
          <w:sz w:val="21"/>
          <w:szCs w:val="21"/>
        </w:rPr>
        <w:t>，</w:t>
      </w:r>
      <w:r>
        <w:rPr>
          <w:rFonts w:eastAsia="宋体"/>
          <w:sz w:val="21"/>
          <w:szCs w:val="21"/>
        </w:rPr>
        <w:t>自由进出校园</w:t>
      </w:r>
      <w:r>
        <w:rPr>
          <w:rFonts w:hint="eastAsia" w:eastAsia="宋体"/>
          <w:sz w:val="21"/>
          <w:szCs w:val="21"/>
        </w:rPr>
        <w:t>。</w:t>
      </w:r>
    </w:p>
    <w:p>
      <w:pPr>
        <w:pStyle w:val="83"/>
        <w:spacing w:line="288" w:lineRule="auto"/>
        <w:ind w:left="560" w:leftChars="200" w:firstLine="0" w:firstLineChars="0"/>
        <w:rPr>
          <w:b/>
          <w:bCs/>
          <w:sz w:val="21"/>
          <w:szCs w:val="21"/>
        </w:rPr>
      </w:pPr>
      <w:r>
        <w:rPr>
          <w:rFonts w:hint="eastAsia"/>
          <w:b/>
          <w:bCs/>
          <w:sz w:val="21"/>
          <w:szCs w:val="21"/>
        </w:rPr>
        <w:t>2.学生白名单</w:t>
      </w:r>
    </w:p>
    <w:p>
      <w:pPr>
        <w:pStyle w:val="82"/>
        <w:spacing w:beforeLines="0" w:afterLines="0" w:line="288" w:lineRule="auto"/>
        <w:ind w:firstLine="420"/>
        <w:rPr>
          <w:rFonts w:eastAsia="宋体"/>
          <w:sz w:val="21"/>
          <w:szCs w:val="21"/>
        </w:rPr>
      </w:pPr>
      <w:r>
        <w:rPr>
          <w:rFonts w:hint="eastAsia" w:eastAsia="宋体"/>
          <w:sz w:val="21"/>
          <w:szCs w:val="21"/>
        </w:rPr>
        <w:t>系统需要实现学生</w:t>
      </w:r>
      <w:r>
        <w:rPr>
          <w:rFonts w:eastAsia="宋体"/>
          <w:sz w:val="21"/>
          <w:szCs w:val="21"/>
        </w:rPr>
        <w:t>信息通过</w:t>
      </w:r>
      <w:r>
        <w:rPr>
          <w:rFonts w:hint="eastAsia" w:eastAsia="宋体"/>
          <w:sz w:val="21"/>
          <w:szCs w:val="21"/>
        </w:rPr>
        <w:t>数据流、</w:t>
      </w:r>
      <w:r>
        <w:rPr>
          <w:rFonts w:eastAsia="宋体"/>
          <w:sz w:val="21"/>
          <w:szCs w:val="21"/>
        </w:rPr>
        <w:t>工手动新增或导入添加</w:t>
      </w:r>
      <w:r>
        <w:rPr>
          <w:rFonts w:hint="eastAsia" w:eastAsia="宋体"/>
          <w:sz w:val="21"/>
          <w:szCs w:val="21"/>
        </w:rPr>
        <w:t>，</w:t>
      </w:r>
      <w:r>
        <w:rPr>
          <w:rFonts w:eastAsia="宋体"/>
          <w:sz w:val="21"/>
          <w:szCs w:val="21"/>
        </w:rPr>
        <w:t>将学生名单维护到学生白名单中</w:t>
      </w:r>
      <w:r>
        <w:rPr>
          <w:rFonts w:hint="eastAsia" w:eastAsia="宋体"/>
          <w:sz w:val="21"/>
          <w:szCs w:val="21"/>
        </w:rPr>
        <w:t>，</w:t>
      </w:r>
      <w:r>
        <w:rPr>
          <w:rFonts w:eastAsia="宋体"/>
          <w:sz w:val="21"/>
          <w:szCs w:val="21"/>
        </w:rPr>
        <w:t>被列入白名单的人员可以亮绿码</w:t>
      </w:r>
      <w:r>
        <w:rPr>
          <w:rFonts w:hint="eastAsia" w:eastAsia="宋体"/>
          <w:sz w:val="21"/>
          <w:szCs w:val="21"/>
        </w:rPr>
        <w:t>，</w:t>
      </w:r>
      <w:r>
        <w:rPr>
          <w:rFonts w:eastAsia="宋体"/>
          <w:sz w:val="21"/>
          <w:szCs w:val="21"/>
        </w:rPr>
        <w:t>自由进出校园</w:t>
      </w:r>
      <w:r>
        <w:rPr>
          <w:rFonts w:hint="eastAsia" w:eastAsia="宋体"/>
          <w:sz w:val="21"/>
          <w:szCs w:val="21"/>
        </w:rPr>
        <w:t>。</w:t>
      </w:r>
    </w:p>
    <w:p>
      <w:pPr>
        <w:pStyle w:val="83"/>
        <w:spacing w:line="288" w:lineRule="auto"/>
        <w:ind w:left="560" w:leftChars="200" w:firstLine="0" w:firstLineChars="0"/>
        <w:rPr>
          <w:b/>
          <w:bCs/>
          <w:sz w:val="21"/>
          <w:szCs w:val="21"/>
        </w:rPr>
      </w:pPr>
      <w:r>
        <w:rPr>
          <w:rFonts w:hint="eastAsia"/>
          <w:b/>
          <w:bCs/>
          <w:sz w:val="21"/>
          <w:szCs w:val="21"/>
        </w:rPr>
        <w:t>3.临时人员管理</w:t>
      </w:r>
    </w:p>
    <w:p>
      <w:pPr>
        <w:pStyle w:val="82"/>
        <w:spacing w:beforeLines="0" w:afterLines="0" w:line="288" w:lineRule="auto"/>
        <w:ind w:firstLine="420"/>
        <w:rPr>
          <w:rFonts w:eastAsia="宋体"/>
          <w:sz w:val="21"/>
          <w:szCs w:val="21"/>
        </w:rPr>
      </w:pPr>
      <w:r>
        <w:rPr>
          <w:rFonts w:hint="eastAsia" w:eastAsia="宋体"/>
          <w:sz w:val="21"/>
          <w:szCs w:val="21"/>
        </w:rPr>
        <w:t>系统需要实现临时人员信息新增或导入到临时人员管理中，临时人员就能实现正常亮码。临时人员离职需在系统中删除对应人员信息，校园码也会被自动取消。</w:t>
      </w:r>
    </w:p>
    <w:p>
      <w:pPr>
        <w:pStyle w:val="83"/>
        <w:spacing w:line="288" w:lineRule="auto"/>
        <w:ind w:left="560" w:leftChars="200" w:firstLine="0" w:firstLineChars="0"/>
        <w:rPr>
          <w:b/>
          <w:bCs/>
          <w:sz w:val="21"/>
          <w:szCs w:val="21"/>
        </w:rPr>
      </w:pPr>
      <w:r>
        <w:rPr>
          <w:rFonts w:hint="eastAsia"/>
          <w:b/>
          <w:bCs/>
          <w:sz w:val="21"/>
          <w:szCs w:val="21"/>
        </w:rPr>
        <w:t>4.黑名单管理</w:t>
      </w:r>
    </w:p>
    <w:p>
      <w:pPr>
        <w:pStyle w:val="82"/>
        <w:spacing w:beforeLines="0" w:afterLines="0" w:line="288" w:lineRule="auto"/>
        <w:ind w:firstLine="420"/>
        <w:rPr>
          <w:rFonts w:eastAsia="宋体"/>
          <w:sz w:val="21"/>
          <w:szCs w:val="21"/>
        </w:rPr>
      </w:pPr>
      <w:r>
        <w:rPr>
          <w:rFonts w:hint="eastAsia" w:eastAsia="宋体"/>
          <w:sz w:val="21"/>
          <w:szCs w:val="21"/>
        </w:rPr>
        <w:t>系统需要实现黑名单管理功能。黑名单中的人员，将无法正常亮码通行。</w:t>
      </w:r>
    </w:p>
    <w:p>
      <w:pPr>
        <w:pStyle w:val="83"/>
        <w:spacing w:line="288" w:lineRule="auto"/>
        <w:ind w:left="560" w:leftChars="200" w:firstLine="0" w:firstLineChars="0"/>
        <w:rPr>
          <w:b/>
          <w:bCs/>
          <w:sz w:val="21"/>
          <w:szCs w:val="21"/>
        </w:rPr>
      </w:pPr>
      <w:r>
        <w:rPr>
          <w:rFonts w:hint="eastAsia"/>
          <w:b/>
          <w:bCs/>
          <w:sz w:val="21"/>
          <w:szCs w:val="21"/>
        </w:rPr>
        <w:t>5.测温人员管理</w:t>
      </w:r>
    </w:p>
    <w:p>
      <w:pPr>
        <w:pStyle w:val="82"/>
        <w:spacing w:beforeLines="0" w:afterLines="0" w:line="288" w:lineRule="auto"/>
        <w:ind w:firstLine="420"/>
        <w:rPr>
          <w:rFonts w:eastAsia="宋体"/>
          <w:sz w:val="21"/>
          <w:szCs w:val="21"/>
        </w:rPr>
      </w:pPr>
      <w:r>
        <w:rPr>
          <w:rFonts w:hint="eastAsia" w:eastAsia="宋体"/>
          <w:sz w:val="21"/>
          <w:szCs w:val="21"/>
        </w:rPr>
        <w:t>系统需要实现测温人员管理功能。主要是针对校门口保安，使其有权限对相关人员进行扫码并登记温度。系统可以设置扫码人员的有效时间，能够控制他们的扫码有效期等。</w:t>
      </w:r>
    </w:p>
    <w:p>
      <w:pPr>
        <w:pStyle w:val="82"/>
        <w:spacing w:beforeLines="0" w:afterLines="0" w:line="288" w:lineRule="auto"/>
        <w:ind w:firstLine="422"/>
        <w:rPr>
          <w:rFonts w:eastAsia="宋体"/>
          <w:b/>
          <w:bCs/>
          <w:sz w:val="21"/>
          <w:szCs w:val="21"/>
        </w:rPr>
      </w:pPr>
      <w:r>
        <w:rPr>
          <w:rFonts w:hint="eastAsia" w:eastAsia="宋体"/>
          <w:b/>
          <w:bCs/>
          <w:sz w:val="21"/>
          <w:szCs w:val="21"/>
        </w:rPr>
        <w:t>3.2.1.2培训人员管理</w:t>
      </w:r>
    </w:p>
    <w:p>
      <w:pPr>
        <w:pStyle w:val="83"/>
        <w:spacing w:line="288" w:lineRule="auto"/>
        <w:ind w:left="560" w:leftChars="200" w:firstLine="0" w:firstLineChars="0"/>
        <w:rPr>
          <w:b/>
          <w:bCs/>
          <w:sz w:val="21"/>
          <w:szCs w:val="21"/>
        </w:rPr>
      </w:pPr>
      <w:r>
        <w:rPr>
          <w:rFonts w:hint="eastAsia"/>
          <w:b/>
          <w:bCs/>
          <w:sz w:val="21"/>
          <w:szCs w:val="21"/>
        </w:rPr>
        <w:t>（1）班级基本信息维护</w:t>
      </w:r>
    </w:p>
    <w:p>
      <w:pPr>
        <w:pStyle w:val="82"/>
        <w:spacing w:beforeLines="0" w:afterLines="0" w:line="288" w:lineRule="auto"/>
        <w:ind w:firstLine="420"/>
        <w:rPr>
          <w:rFonts w:eastAsia="宋体"/>
          <w:sz w:val="21"/>
          <w:szCs w:val="21"/>
        </w:rPr>
      </w:pPr>
      <w:r>
        <w:rPr>
          <w:rFonts w:hint="eastAsia" w:eastAsia="宋体"/>
          <w:sz w:val="21"/>
          <w:szCs w:val="21"/>
        </w:rPr>
        <w:t>系统需实现</w:t>
      </w:r>
      <w:r>
        <w:rPr>
          <w:rFonts w:eastAsia="宋体"/>
          <w:sz w:val="21"/>
          <w:szCs w:val="21"/>
        </w:rPr>
        <w:t>培训班级维护</w:t>
      </w:r>
      <w:r>
        <w:rPr>
          <w:rFonts w:hint="eastAsia" w:eastAsia="宋体"/>
          <w:sz w:val="21"/>
          <w:szCs w:val="21"/>
        </w:rPr>
        <w:t>功能。可以组间</w:t>
      </w:r>
      <w:r>
        <w:rPr>
          <w:rFonts w:eastAsia="宋体"/>
          <w:sz w:val="21"/>
          <w:szCs w:val="21"/>
        </w:rPr>
        <w:t>培训班</w:t>
      </w:r>
      <w:r>
        <w:rPr>
          <w:rFonts w:hint="eastAsia" w:eastAsia="宋体"/>
          <w:sz w:val="21"/>
          <w:szCs w:val="21"/>
        </w:rPr>
        <w:t>，</w:t>
      </w:r>
      <w:r>
        <w:rPr>
          <w:rFonts w:eastAsia="宋体"/>
          <w:sz w:val="21"/>
          <w:szCs w:val="21"/>
        </w:rPr>
        <w:t>设置</w:t>
      </w:r>
      <w:r>
        <w:rPr>
          <w:rFonts w:hint="eastAsia" w:eastAsia="宋体"/>
          <w:sz w:val="21"/>
          <w:szCs w:val="21"/>
        </w:rPr>
        <w:t>培训班所开设</w:t>
      </w:r>
      <w:r>
        <w:rPr>
          <w:rFonts w:eastAsia="宋体"/>
          <w:sz w:val="21"/>
          <w:szCs w:val="21"/>
        </w:rPr>
        <w:t>部门</w:t>
      </w:r>
      <w:r>
        <w:rPr>
          <w:rFonts w:hint="eastAsia" w:eastAsia="宋体"/>
          <w:sz w:val="21"/>
          <w:szCs w:val="21"/>
        </w:rPr>
        <w:t>/二级学院、</w:t>
      </w:r>
      <w:r>
        <w:rPr>
          <w:rFonts w:eastAsia="宋体"/>
          <w:sz w:val="21"/>
          <w:szCs w:val="21"/>
        </w:rPr>
        <w:t>班级代码以及班级</w:t>
      </w:r>
      <w:r>
        <w:rPr>
          <w:rFonts w:hint="eastAsia" w:eastAsia="宋体"/>
          <w:sz w:val="21"/>
          <w:szCs w:val="21"/>
        </w:rPr>
        <w:t>培训时间等。</w:t>
      </w:r>
      <w:r>
        <w:rPr>
          <w:rFonts w:eastAsia="宋体"/>
          <w:sz w:val="21"/>
          <w:szCs w:val="21"/>
        </w:rPr>
        <w:t>培训班结班后</w:t>
      </w:r>
      <w:r>
        <w:rPr>
          <w:rFonts w:hint="eastAsia" w:eastAsia="宋体"/>
          <w:sz w:val="21"/>
          <w:szCs w:val="21"/>
        </w:rPr>
        <w:t>，</w:t>
      </w:r>
      <w:r>
        <w:rPr>
          <w:rFonts w:eastAsia="宋体"/>
          <w:sz w:val="21"/>
          <w:szCs w:val="21"/>
        </w:rPr>
        <w:t>校园通行码自动取消</w:t>
      </w:r>
      <w:r>
        <w:rPr>
          <w:rFonts w:hint="eastAsia" w:eastAsia="宋体"/>
          <w:sz w:val="21"/>
          <w:szCs w:val="21"/>
        </w:rPr>
        <w:t>。</w:t>
      </w:r>
    </w:p>
    <w:p>
      <w:pPr>
        <w:pStyle w:val="83"/>
        <w:spacing w:line="288" w:lineRule="auto"/>
        <w:ind w:left="560" w:leftChars="200" w:firstLine="0" w:firstLineChars="0"/>
        <w:rPr>
          <w:b/>
          <w:bCs/>
          <w:sz w:val="21"/>
          <w:szCs w:val="21"/>
        </w:rPr>
      </w:pPr>
      <w:r>
        <w:rPr>
          <w:rFonts w:hint="eastAsia"/>
          <w:b/>
          <w:bCs/>
          <w:sz w:val="21"/>
          <w:szCs w:val="21"/>
        </w:rPr>
        <w:t>（2）班级人员管理</w:t>
      </w:r>
    </w:p>
    <w:p>
      <w:pPr>
        <w:pStyle w:val="82"/>
        <w:spacing w:beforeLines="0" w:afterLines="0" w:line="288" w:lineRule="auto"/>
        <w:ind w:firstLine="420"/>
        <w:rPr>
          <w:rFonts w:eastAsia="宋体"/>
          <w:sz w:val="21"/>
          <w:szCs w:val="21"/>
        </w:rPr>
      </w:pPr>
      <w:r>
        <w:rPr>
          <w:rFonts w:hint="eastAsia" w:eastAsia="宋体"/>
          <w:sz w:val="21"/>
          <w:szCs w:val="21"/>
        </w:rPr>
        <w:t>系统需要实现班级人员管理。针对培训班的管理，班级负责人可以通过人员管理将数据新增或导入到培训班中，按照学院实际业务增加一卡通号，将人员和一卡通绑定，后续方便查询人员的运动轨迹和情况。</w:t>
      </w:r>
    </w:p>
    <w:p>
      <w:pPr>
        <w:pStyle w:val="83"/>
        <w:spacing w:line="288" w:lineRule="auto"/>
        <w:ind w:left="560" w:leftChars="200" w:firstLine="0" w:firstLineChars="0"/>
        <w:rPr>
          <w:b/>
          <w:bCs/>
          <w:sz w:val="21"/>
          <w:szCs w:val="21"/>
        </w:rPr>
      </w:pPr>
      <w:r>
        <w:rPr>
          <w:rFonts w:hint="eastAsia"/>
          <w:b/>
          <w:bCs/>
          <w:sz w:val="21"/>
          <w:szCs w:val="21"/>
        </w:rPr>
        <w:t>（3）培训人员一码通生成</w:t>
      </w:r>
    </w:p>
    <w:p>
      <w:pPr>
        <w:pStyle w:val="82"/>
        <w:spacing w:beforeLines="0" w:afterLines="0" w:line="288" w:lineRule="auto"/>
        <w:ind w:firstLine="420"/>
        <w:rPr>
          <w:rFonts w:eastAsia="宋体"/>
          <w:sz w:val="21"/>
          <w:szCs w:val="21"/>
        </w:rPr>
      </w:pPr>
      <w:r>
        <w:rPr>
          <w:rFonts w:hint="eastAsia" w:eastAsia="宋体"/>
          <w:sz w:val="21"/>
          <w:szCs w:val="21"/>
        </w:rPr>
        <w:t>系统需要实现培训人员的二维码自动生成功能。</w:t>
      </w:r>
      <w:r>
        <w:rPr>
          <w:rFonts w:eastAsia="宋体"/>
          <w:sz w:val="21"/>
          <w:szCs w:val="21"/>
        </w:rPr>
        <w:t>通过用户同步功能将培训人员信息同步至</w:t>
      </w:r>
      <w:r>
        <w:rPr>
          <w:rFonts w:hint="eastAsia" w:eastAsia="宋体"/>
          <w:sz w:val="21"/>
          <w:szCs w:val="21"/>
        </w:rPr>
        <w:t>智慧东方E、钉钉或者企业微信</w:t>
      </w:r>
      <w:r>
        <w:rPr>
          <w:rFonts w:eastAsia="宋体"/>
          <w:sz w:val="21"/>
          <w:szCs w:val="21"/>
        </w:rPr>
        <w:t>中</w:t>
      </w:r>
      <w:r>
        <w:rPr>
          <w:rFonts w:hint="eastAsia" w:eastAsia="宋体"/>
          <w:sz w:val="21"/>
          <w:szCs w:val="21"/>
        </w:rPr>
        <w:t>。通过智慧东方E、钉钉或者企业微信提前配置的按钮，可进入查看。培训班截止日期到达之后，对应培训人员的通行码自动失效。</w:t>
      </w:r>
    </w:p>
    <w:p>
      <w:pPr>
        <w:pStyle w:val="82"/>
        <w:spacing w:beforeLines="0" w:afterLines="0" w:line="288" w:lineRule="auto"/>
        <w:ind w:firstLine="420"/>
        <w:rPr>
          <w:rFonts w:eastAsia="宋体"/>
          <w:sz w:val="21"/>
          <w:szCs w:val="21"/>
        </w:rPr>
      </w:pPr>
      <w:r>
        <w:rPr>
          <w:rFonts w:hint="eastAsia" w:eastAsia="宋体"/>
          <w:sz w:val="21"/>
          <w:szCs w:val="21"/>
        </w:rPr>
        <w:t>3.2.1.4数据分析</w:t>
      </w:r>
    </w:p>
    <w:p>
      <w:pPr>
        <w:pStyle w:val="83"/>
        <w:spacing w:line="288" w:lineRule="auto"/>
        <w:ind w:left="560" w:leftChars="200" w:firstLine="0" w:firstLineChars="0"/>
        <w:rPr>
          <w:b/>
          <w:bCs/>
          <w:sz w:val="21"/>
          <w:szCs w:val="21"/>
        </w:rPr>
      </w:pPr>
      <w:r>
        <w:rPr>
          <w:rFonts w:hint="eastAsia"/>
          <w:b/>
          <w:bCs/>
          <w:sz w:val="21"/>
          <w:szCs w:val="21"/>
        </w:rPr>
        <w:t>（1）健康打卡统计</w:t>
      </w:r>
    </w:p>
    <w:p>
      <w:pPr>
        <w:pStyle w:val="83"/>
        <w:spacing w:line="288" w:lineRule="auto"/>
        <w:rPr>
          <w:kern w:val="2"/>
          <w:sz w:val="21"/>
          <w:szCs w:val="21"/>
        </w:rPr>
      </w:pPr>
      <w:r>
        <w:rPr>
          <w:rFonts w:hint="eastAsia"/>
          <w:kern w:val="2"/>
          <w:sz w:val="21"/>
          <w:szCs w:val="21"/>
        </w:rPr>
        <w:t>系统能够展示每位学生的打卡信息。对应的班主任、辅导员、副书记</w:t>
      </w:r>
      <w:r>
        <w:rPr>
          <w:rFonts w:hint="eastAsia"/>
          <w:sz w:val="21"/>
          <w:szCs w:val="21"/>
        </w:rPr>
        <w:t>（具体情况根据实际需求定制）</w:t>
      </w:r>
      <w:r>
        <w:rPr>
          <w:rFonts w:hint="eastAsia"/>
          <w:kern w:val="2"/>
          <w:sz w:val="21"/>
          <w:szCs w:val="21"/>
        </w:rPr>
        <w:t>通过健康打卡统计模块查看对应学院，专业，班级学生的打卡具体情况。同时移动端能查看健康打卡汇总统计的数据。</w:t>
      </w:r>
    </w:p>
    <w:p>
      <w:pPr>
        <w:pStyle w:val="83"/>
        <w:spacing w:line="288" w:lineRule="auto"/>
        <w:rPr>
          <w:kern w:val="2"/>
          <w:sz w:val="21"/>
          <w:szCs w:val="21"/>
        </w:rPr>
      </w:pPr>
      <w:r>
        <w:rPr>
          <w:rFonts w:hint="eastAsia"/>
          <w:kern w:val="2"/>
          <w:sz w:val="21"/>
          <w:szCs w:val="21"/>
        </w:rPr>
        <w:t>系统能够展示每位教师的打卡信息。对应的教职工或人事部门通过健康打卡统计模块，查看对应部门或者分院的打卡具体情况。同时移动端能查看健康打卡汇总统计的数据。</w:t>
      </w:r>
    </w:p>
    <w:p>
      <w:pPr>
        <w:pStyle w:val="83"/>
        <w:spacing w:line="288" w:lineRule="auto"/>
        <w:rPr>
          <w:kern w:val="2"/>
          <w:sz w:val="21"/>
          <w:szCs w:val="21"/>
        </w:rPr>
      </w:pPr>
      <w:r>
        <w:rPr>
          <w:rFonts w:hint="eastAsia"/>
          <w:kern w:val="2"/>
          <w:sz w:val="21"/>
          <w:szCs w:val="21"/>
        </w:rPr>
        <w:t>系统能够实现对未打卡部分人员进行消息提醒。</w:t>
      </w:r>
    </w:p>
    <w:p>
      <w:pPr>
        <w:pStyle w:val="83"/>
        <w:spacing w:line="288" w:lineRule="auto"/>
        <w:ind w:left="560" w:leftChars="200" w:firstLine="0" w:firstLineChars="0"/>
        <w:rPr>
          <w:b/>
          <w:bCs/>
          <w:sz w:val="21"/>
          <w:szCs w:val="21"/>
        </w:rPr>
      </w:pPr>
      <w:r>
        <w:rPr>
          <w:rFonts w:hint="eastAsia"/>
          <w:b/>
          <w:bCs/>
          <w:sz w:val="21"/>
          <w:szCs w:val="21"/>
        </w:rPr>
        <w:t>（2）返校信息大屏</w:t>
      </w:r>
    </w:p>
    <w:p>
      <w:pPr>
        <w:pStyle w:val="83"/>
        <w:spacing w:line="288" w:lineRule="auto"/>
        <w:rPr>
          <w:kern w:val="2"/>
          <w:sz w:val="21"/>
          <w:szCs w:val="21"/>
        </w:rPr>
      </w:pPr>
      <w:r>
        <w:rPr>
          <w:rFonts w:hint="eastAsia"/>
          <w:kern w:val="2"/>
          <w:sz w:val="21"/>
          <w:szCs w:val="21"/>
        </w:rPr>
        <w:t>系统能够展示学生返校时，各二级学院的返校数据，各生源地区学生数量及分布情况，以及各个时间段的报到汇总信息。</w:t>
      </w:r>
    </w:p>
    <w:p>
      <w:pPr>
        <w:pStyle w:val="83"/>
        <w:spacing w:line="288" w:lineRule="auto"/>
        <w:ind w:left="560" w:leftChars="200" w:firstLine="0" w:firstLineChars="0"/>
        <w:rPr>
          <w:b/>
          <w:bCs/>
          <w:sz w:val="21"/>
          <w:szCs w:val="21"/>
        </w:rPr>
      </w:pPr>
      <w:r>
        <w:rPr>
          <w:rFonts w:hint="eastAsia"/>
          <w:b/>
          <w:bCs/>
          <w:sz w:val="21"/>
          <w:szCs w:val="21"/>
        </w:rPr>
        <w:t>（3）</w:t>
      </w:r>
      <w:r>
        <w:rPr>
          <w:b/>
          <w:bCs/>
          <w:sz w:val="21"/>
          <w:szCs w:val="21"/>
        </w:rPr>
        <w:t>访客信息大屏</w:t>
      </w:r>
    </w:p>
    <w:p>
      <w:pPr>
        <w:pStyle w:val="83"/>
        <w:spacing w:line="288" w:lineRule="auto"/>
        <w:rPr>
          <w:kern w:val="2"/>
          <w:sz w:val="21"/>
          <w:szCs w:val="21"/>
        </w:rPr>
      </w:pPr>
      <w:r>
        <w:rPr>
          <w:rFonts w:hint="eastAsia"/>
          <w:kern w:val="2"/>
          <w:sz w:val="21"/>
          <w:szCs w:val="21"/>
        </w:rPr>
        <w:t>系统能够实时展现当天预约访客数量，进校访客数量，当前访客来校时间段，当前访客的刷码记录（具体情况根据实际需求定制）。系统需要实现每日访客查询功能，用于查询当天访客的详细信息，以及访问的部门、人员和访问理由。</w:t>
      </w:r>
    </w:p>
    <w:p>
      <w:pPr>
        <w:pStyle w:val="83"/>
        <w:spacing w:line="288" w:lineRule="auto"/>
        <w:ind w:left="560" w:leftChars="200" w:firstLine="0" w:firstLineChars="0"/>
        <w:rPr>
          <w:b/>
          <w:bCs/>
          <w:sz w:val="21"/>
          <w:szCs w:val="21"/>
        </w:rPr>
      </w:pPr>
      <w:r>
        <w:rPr>
          <w:rFonts w:hint="eastAsia"/>
          <w:b/>
          <w:bCs/>
          <w:sz w:val="21"/>
          <w:szCs w:val="21"/>
        </w:rPr>
        <w:t>（4）访客管理</w:t>
      </w:r>
    </w:p>
    <w:p>
      <w:pPr>
        <w:widowControl/>
        <w:shd w:val="clear" w:color="auto" w:fill="FFFFFF"/>
        <w:spacing w:line="288" w:lineRule="auto"/>
        <w:ind w:firstLine="482"/>
        <w:jc w:val="left"/>
        <w:rPr>
          <w:rFonts w:ascii="宋体" w:hAnsi="宋体"/>
          <w:sz w:val="21"/>
          <w:szCs w:val="21"/>
        </w:rPr>
      </w:pPr>
      <w:r>
        <w:rPr>
          <w:rFonts w:hint="eastAsia" w:ascii="宋体" w:hAnsi="宋体"/>
          <w:sz w:val="21"/>
          <w:szCs w:val="21"/>
        </w:rPr>
        <w:t>系统需要实现访客信息汇总，主要用于查询指定时间段内的所有访客信息，以及访客访问的部门等情况。</w:t>
      </w:r>
    </w:p>
    <w:p>
      <w:pPr>
        <w:pStyle w:val="83"/>
        <w:spacing w:line="288" w:lineRule="auto"/>
        <w:ind w:left="560" w:leftChars="200" w:firstLine="0" w:firstLineChars="0"/>
        <w:rPr>
          <w:b/>
          <w:bCs/>
          <w:sz w:val="21"/>
          <w:szCs w:val="21"/>
        </w:rPr>
      </w:pPr>
      <w:r>
        <w:rPr>
          <w:rFonts w:hint="eastAsia"/>
          <w:b/>
          <w:bCs/>
          <w:sz w:val="21"/>
          <w:szCs w:val="21"/>
        </w:rPr>
        <w:t>（5）进出校轨迹管理</w:t>
      </w:r>
    </w:p>
    <w:p>
      <w:pPr>
        <w:widowControl/>
        <w:shd w:val="clear" w:color="auto" w:fill="FFFFFF"/>
        <w:spacing w:line="288" w:lineRule="auto"/>
        <w:ind w:firstLine="482"/>
        <w:jc w:val="left"/>
        <w:rPr>
          <w:rFonts w:ascii="宋体" w:hAnsi="宋体"/>
          <w:sz w:val="21"/>
          <w:szCs w:val="21"/>
        </w:rPr>
      </w:pPr>
      <w:r>
        <w:rPr>
          <w:rFonts w:hint="eastAsia" w:ascii="宋体" w:hAnsi="宋体"/>
          <w:sz w:val="21"/>
          <w:szCs w:val="21"/>
        </w:rPr>
        <w:t>系统需要实现进出校轨迹功能。主要用于学院查询师生出入校园记录，以及结合一卡通刷卡记录，查询师生的在校行动轨迹。</w:t>
      </w:r>
      <w:bookmarkStart w:id="38" w:name="_Toc96503703"/>
    </w:p>
    <w:p>
      <w:pPr>
        <w:widowControl/>
        <w:shd w:val="clear" w:color="auto" w:fill="FFFFFF"/>
        <w:spacing w:line="288" w:lineRule="auto"/>
        <w:ind w:firstLine="482"/>
        <w:jc w:val="left"/>
        <w:rPr>
          <w:rFonts w:ascii="宋体" w:hAnsi="宋体"/>
          <w:b/>
          <w:bCs/>
          <w:sz w:val="21"/>
          <w:szCs w:val="21"/>
        </w:rPr>
      </w:pPr>
      <w:r>
        <w:rPr>
          <w:rFonts w:hint="eastAsia" w:ascii="宋体" w:hAnsi="宋体"/>
          <w:b/>
          <w:bCs/>
          <w:sz w:val="21"/>
          <w:szCs w:val="21"/>
        </w:rPr>
        <w:t>3.2.2用户同步功能需求</w:t>
      </w:r>
      <w:bookmarkEnd w:id="38"/>
    </w:p>
    <w:p>
      <w:pPr>
        <w:pStyle w:val="82"/>
        <w:spacing w:before="120" w:after="120" w:line="288" w:lineRule="auto"/>
        <w:ind w:firstLine="420"/>
        <w:rPr>
          <w:rFonts w:eastAsia="宋体"/>
          <w:sz w:val="21"/>
          <w:szCs w:val="21"/>
        </w:rPr>
      </w:pPr>
      <w:r>
        <w:rPr>
          <w:rFonts w:hint="eastAsia" w:eastAsia="宋体"/>
          <w:sz w:val="21"/>
          <w:szCs w:val="21"/>
        </w:rPr>
        <w:t>系统可根据学院学生、在职教职工、合同工等不同用户身份数据特点，从源业务系统抽取、分析、整合、实时同步数据，并在身份认证平台上自动开通身份。需要实现学院各业务系统用户身份数据的一致性，通过统一的接口程序</w:t>
      </w:r>
      <w:r>
        <w:rPr>
          <w:rFonts w:eastAsia="宋体"/>
          <w:sz w:val="21"/>
          <w:szCs w:val="21"/>
        </w:rPr>
        <w:t>--</w:t>
      </w:r>
      <w:r>
        <w:rPr>
          <w:rFonts w:hint="eastAsia" w:eastAsia="宋体"/>
          <w:sz w:val="21"/>
          <w:szCs w:val="21"/>
        </w:rPr>
        <w:t>智慧东方E、钉钉或者企业微信</w:t>
      </w:r>
      <w:r>
        <w:rPr>
          <w:rFonts w:eastAsia="宋体"/>
          <w:sz w:val="21"/>
          <w:szCs w:val="21"/>
        </w:rPr>
        <w:t>第三方业务系统，作为用户数据发送的对象</w:t>
      </w:r>
      <w:r>
        <w:rPr>
          <w:rFonts w:hint="eastAsia" w:eastAsia="宋体"/>
          <w:sz w:val="21"/>
          <w:szCs w:val="21"/>
        </w:rPr>
        <w:t>。</w:t>
      </w:r>
      <w:bookmarkStart w:id="39" w:name="_Toc96503706"/>
    </w:p>
    <w:p>
      <w:pPr>
        <w:pStyle w:val="82"/>
        <w:spacing w:before="120" w:after="120" w:line="288" w:lineRule="auto"/>
        <w:ind w:firstLine="422"/>
        <w:rPr>
          <w:rFonts w:eastAsia="宋体"/>
          <w:b/>
          <w:bCs/>
          <w:sz w:val="21"/>
          <w:szCs w:val="21"/>
        </w:rPr>
      </w:pPr>
      <w:r>
        <w:rPr>
          <w:rFonts w:hint="eastAsia" w:eastAsia="宋体"/>
          <w:b/>
          <w:bCs/>
          <w:sz w:val="21"/>
          <w:szCs w:val="21"/>
        </w:rPr>
        <w:t>3.2.3其他需求</w:t>
      </w:r>
      <w:bookmarkEnd w:id="39"/>
      <w:r>
        <w:rPr>
          <w:rFonts w:hint="eastAsia" w:eastAsia="宋体"/>
          <w:b/>
          <w:bCs/>
          <w:sz w:val="21"/>
          <w:szCs w:val="21"/>
        </w:rPr>
        <w:t xml:space="preserve"> </w:t>
      </w:r>
    </w:p>
    <w:p>
      <w:pPr>
        <w:pStyle w:val="65"/>
        <w:widowControl/>
        <w:shd w:val="clear" w:color="auto" w:fill="FFFFFF"/>
        <w:spacing w:after="120" w:line="288" w:lineRule="auto"/>
        <w:ind w:firstLine="371" w:firstLineChars="177"/>
        <w:rPr>
          <w:rFonts w:ascii="宋体" w:hAnsi="宋体"/>
          <w:szCs w:val="21"/>
        </w:rPr>
      </w:pPr>
      <w:r>
        <w:rPr>
          <w:rFonts w:hint="eastAsia" w:ascii="宋体" w:hAnsi="宋体"/>
          <w:szCs w:val="21"/>
        </w:rPr>
        <w:t>系统需实现针对访客预约时的短信提醒和学校内容的钉钉或企业微信的消息发送。聚合各类消息</w:t>
      </w:r>
      <w:r>
        <w:rPr>
          <w:rFonts w:ascii="宋体" w:hAnsi="宋体"/>
          <w:szCs w:val="21"/>
        </w:rPr>
        <w:t>(</w:t>
      </w:r>
      <w:r>
        <w:rPr>
          <w:rFonts w:hint="eastAsia" w:ascii="宋体" w:hAnsi="宋体"/>
          <w:szCs w:val="21"/>
        </w:rPr>
        <w:t>如流程待办、通知、日程提醒等</w:t>
      </w:r>
      <w:r>
        <w:rPr>
          <w:rFonts w:ascii="宋体" w:hAnsi="宋体"/>
          <w:szCs w:val="21"/>
        </w:rPr>
        <w:t>)</w:t>
      </w:r>
      <w:r>
        <w:rPr>
          <w:rFonts w:hint="eastAsia" w:ascii="宋体" w:hAnsi="宋体"/>
          <w:szCs w:val="21"/>
        </w:rPr>
        <w:t>，整合多种通信通道（如站内信、企业微信、钉钉、邮件、短信等），多渠道消息提醒服务，支持消息点对点（</w:t>
      </w:r>
      <w:r>
        <w:rPr>
          <w:rFonts w:ascii="宋体" w:hAnsi="宋体"/>
          <w:szCs w:val="21"/>
        </w:rPr>
        <w:t>P2P</w:t>
      </w:r>
      <w:r>
        <w:rPr>
          <w:rFonts w:hint="eastAsia" w:ascii="宋体" w:hAnsi="宋体"/>
          <w:szCs w:val="21"/>
        </w:rPr>
        <w:t>）、订阅</w:t>
      </w:r>
      <w:r>
        <w:rPr>
          <w:rFonts w:ascii="宋体" w:hAnsi="宋体"/>
          <w:szCs w:val="21"/>
        </w:rPr>
        <w:t>/</w:t>
      </w:r>
      <w:r>
        <w:rPr>
          <w:rFonts w:hint="eastAsia" w:ascii="宋体" w:hAnsi="宋体"/>
          <w:szCs w:val="21"/>
        </w:rPr>
        <w:t>发布（</w:t>
      </w:r>
      <w:r>
        <w:rPr>
          <w:rFonts w:ascii="宋体" w:hAnsi="宋体"/>
          <w:szCs w:val="21"/>
        </w:rPr>
        <w:t>Pub/Sub</w:t>
      </w:r>
      <w:r>
        <w:rPr>
          <w:rFonts w:hint="eastAsia" w:ascii="宋体" w:hAnsi="宋体"/>
          <w:szCs w:val="21"/>
        </w:rPr>
        <w:t>）通讯方式。</w:t>
      </w:r>
    </w:p>
    <w:p>
      <w:pPr>
        <w:pStyle w:val="82"/>
        <w:spacing w:beforeLines="0" w:afterLines="0" w:line="288" w:lineRule="auto"/>
        <w:ind w:firstLine="420"/>
        <w:rPr>
          <w:rFonts w:eastAsia="宋体"/>
          <w:sz w:val="21"/>
          <w:szCs w:val="21"/>
        </w:rPr>
      </w:pPr>
      <w:r>
        <w:rPr>
          <w:rFonts w:hint="eastAsia" w:eastAsia="宋体"/>
          <w:sz w:val="21"/>
          <w:szCs w:val="21"/>
        </w:rPr>
        <w:t>方案当中所有与业务有关的具体需求细节，根据学院实际需求进行调整和实施。方案当中，未提及的，与实现功能需求有关的基础支撑平台，诸如报表平台等，视为确保系统完整的基础组件予以提供，并确保在维保内一直可用。</w:t>
      </w:r>
    </w:p>
    <w:p>
      <w:pPr>
        <w:pStyle w:val="82"/>
        <w:spacing w:beforeLines="0" w:afterLines="0" w:line="288" w:lineRule="auto"/>
        <w:ind w:firstLine="422"/>
        <w:rPr>
          <w:rFonts w:eastAsia="宋体"/>
          <w:b/>
          <w:bCs/>
          <w:sz w:val="21"/>
          <w:szCs w:val="21"/>
        </w:rPr>
      </w:pPr>
      <w:r>
        <w:rPr>
          <w:rFonts w:hint="eastAsia" w:eastAsia="宋体"/>
          <w:b/>
          <w:bCs/>
          <w:sz w:val="21"/>
          <w:szCs w:val="21"/>
        </w:rPr>
        <w:t>（三）项目实施要求</w:t>
      </w:r>
      <w:bookmarkStart w:id="40" w:name="_Toc60925272"/>
      <w:bookmarkStart w:id="41" w:name="_Toc96503711"/>
    </w:p>
    <w:p>
      <w:pPr>
        <w:pStyle w:val="82"/>
        <w:spacing w:beforeLines="0" w:afterLines="0" w:line="288" w:lineRule="auto"/>
        <w:ind w:firstLine="420"/>
        <w:rPr>
          <w:rFonts w:eastAsia="宋体"/>
          <w:sz w:val="21"/>
          <w:szCs w:val="21"/>
        </w:rPr>
      </w:pPr>
      <w:r>
        <w:rPr>
          <w:rFonts w:hint="eastAsia" w:eastAsia="宋体"/>
          <w:sz w:val="21"/>
          <w:szCs w:val="21"/>
        </w:rPr>
        <w:t>1.实施方案</w:t>
      </w:r>
      <w:bookmarkEnd w:id="40"/>
      <w:bookmarkEnd w:id="41"/>
    </w:p>
    <w:p>
      <w:pPr>
        <w:spacing w:line="288" w:lineRule="auto"/>
        <w:ind w:firstLine="420" w:firstLineChars="200"/>
        <w:rPr>
          <w:rFonts w:ascii="宋体" w:hAnsi="宋体"/>
          <w:sz w:val="21"/>
          <w:szCs w:val="21"/>
        </w:rPr>
      </w:pPr>
      <w:r>
        <w:rPr>
          <w:rFonts w:hint="eastAsia" w:ascii="宋体" w:hAnsi="宋体"/>
          <w:sz w:val="21"/>
          <w:szCs w:val="21"/>
        </w:rPr>
        <w:t>响应供应商方案中应进行简要的描述，主要内容应包括以下几个层面：</w:t>
      </w:r>
    </w:p>
    <w:p>
      <w:pPr>
        <w:spacing w:line="288" w:lineRule="auto"/>
        <w:ind w:firstLine="371" w:firstLineChars="177"/>
        <w:rPr>
          <w:rFonts w:ascii="宋体" w:hAnsi="宋体"/>
          <w:sz w:val="21"/>
          <w:szCs w:val="21"/>
        </w:rPr>
      </w:pPr>
      <w:r>
        <w:rPr>
          <w:rFonts w:hint="eastAsia" w:ascii="宋体" w:hAnsi="宋体"/>
          <w:sz w:val="21"/>
          <w:szCs w:val="21"/>
        </w:rPr>
        <w:t>（1）组织架构与职责：在项目的管理过程中，响应单位供应商、采购人应共同组建项目建设小组。供应商指定项目负责人和核心技术骨干，保证人员的数量、质量和人员的稳定性、连续性，实现例会制度，规划项目建设的进程、相关措施和实施办法，及时考核各阶段建设情况。</w:t>
      </w:r>
    </w:p>
    <w:p>
      <w:pPr>
        <w:spacing w:line="288" w:lineRule="auto"/>
        <w:ind w:firstLine="371" w:firstLineChars="177"/>
        <w:rPr>
          <w:rFonts w:ascii="宋体" w:hAnsi="宋体"/>
          <w:sz w:val="21"/>
          <w:szCs w:val="21"/>
        </w:rPr>
      </w:pPr>
      <w:r>
        <w:rPr>
          <w:rFonts w:hint="eastAsia" w:ascii="宋体" w:hAnsi="宋体"/>
          <w:sz w:val="21"/>
          <w:szCs w:val="21"/>
        </w:rPr>
        <w:t>（2）实施阶段划分：在分阶段实施计划的基础上，进一步明确和细化每个阶段的工作范围、内容、人力投入、过程、责任、交付成果等。</w:t>
      </w:r>
    </w:p>
    <w:p>
      <w:pPr>
        <w:spacing w:line="288" w:lineRule="auto"/>
        <w:ind w:firstLine="371" w:firstLineChars="177"/>
        <w:rPr>
          <w:rFonts w:ascii="宋体" w:hAnsi="宋体"/>
          <w:sz w:val="21"/>
          <w:szCs w:val="21"/>
        </w:rPr>
      </w:pPr>
      <w:r>
        <w:rPr>
          <w:rFonts w:hint="eastAsia" w:ascii="宋体" w:hAnsi="宋体"/>
          <w:sz w:val="21"/>
          <w:szCs w:val="21"/>
        </w:rPr>
        <w:t>（3）项目人员配置与责任：项目实施期间，供应商必须提供至少一名项目经理及一名驻场工程师负责项目现场建设和沟通工作，项目验收后，视项目运行情况，</w:t>
      </w:r>
      <w:r>
        <w:rPr>
          <w:rFonts w:hint="eastAsia" w:ascii="宋体" w:hAnsi="宋体"/>
          <w:b/>
          <w:bCs/>
          <w:sz w:val="21"/>
          <w:szCs w:val="21"/>
        </w:rPr>
        <w:t>还需提供1年驻场后期维保</w:t>
      </w:r>
      <w:r>
        <w:rPr>
          <w:rFonts w:hint="eastAsia" w:ascii="宋体" w:hAnsi="宋体"/>
          <w:sz w:val="21"/>
          <w:szCs w:val="21"/>
        </w:rPr>
        <w:t>服务，直至项目正常运行。在分阶段实施计划的基础上，进一步明确和细化每个阶段投入人力的技能要求、工作任务、承担责任等。成交供应商确保项目负责人、核心技术人员的数量、质量，提供其技术经历相关资料。</w:t>
      </w:r>
      <w:bookmarkStart w:id="42" w:name="_Toc60925273"/>
      <w:bookmarkStart w:id="43" w:name="_Toc96503712"/>
    </w:p>
    <w:p>
      <w:pPr>
        <w:spacing w:line="288" w:lineRule="auto"/>
        <w:ind w:firstLine="371" w:firstLineChars="177"/>
        <w:rPr>
          <w:rFonts w:ascii="宋体" w:hAnsi="宋体"/>
          <w:sz w:val="21"/>
          <w:szCs w:val="21"/>
        </w:rPr>
      </w:pPr>
      <w:r>
        <w:rPr>
          <w:rFonts w:hint="eastAsia" w:ascii="宋体" w:hAnsi="宋体"/>
          <w:sz w:val="21"/>
          <w:szCs w:val="21"/>
        </w:rPr>
        <w:t>2.项目管理</w:t>
      </w:r>
      <w:bookmarkEnd w:id="42"/>
      <w:bookmarkEnd w:id="43"/>
    </w:p>
    <w:p>
      <w:pPr>
        <w:spacing w:line="288" w:lineRule="auto"/>
        <w:ind w:firstLine="420" w:firstLineChars="200"/>
        <w:rPr>
          <w:rFonts w:ascii="宋体" w:hAnsi="宋体"/>
          <w:sz w:val="21"/>
          <w:szCs w:val="21"/>
        </w:rPr>
      </w:pPr>
      <w:r>
        <w:rPr>
          <w:rFonts w:hint="eastAsia" w:ascii="宋体" w:hAnsi="宋体"/>
          <w:sz w:val="21"/>
          <w:szCs w:val="21"/>
        </w:rPr>
        <w:t>响应供应商必须提出对项目的建设进行科学严格的管理方案与措施，使项目系统有计划、有序组织、科学指导和有效控制，促进项目全面顺利实施。并在采购人的项目管理平台按项目计划进行管理。</w:t>
      </w:r>
    </w:p>
    <w:p>
      <w:pPr>
        <w:spacing w:line="288" w:lineRule="auto"/>
        <w:ind w:firstLine="420" w:firstLineChars="200"/>
        <w:rPr>
          <w:rFonts w:ascii="宋体" w:hAnsi="宋体"/>
          <w:sz w:val="21"/>
          <w:szCs w:val="21"/>
        </w:rPr>
      </w:pPr>
      <w:r>
        <w:rPr>
          <w:rFonts w:hint="eastAsia" w:ascii="宋体" w:hAnsi="宋体"/>
          <w:sz w:val="21"/>
          <w:szCs w:val="21"/>
        </w:rPr>
        <w:t>（1）项目配置管理：必须建设相应的配置管理系统，通过一系列技术、方法和手段来维护产品的历史、鉴别和定位产品独有的版本、在产品开发和发布阶段控制变化，制定规范的配置管理工作计划和流程，沟通交流配置管理工作情况，从而使管理制度化、有效减少重复性工作、保证产品的质量和效率、系统的后续升级和维护。</w:t>
      </w:r>
    </w:p>
    <w:p>
      <w:pPr>
        <w:spacing w:line="288" w:lineRule="auto"/>
        <w:ind w:firstLine="420" w:firstLineChars="200"/>
        <w:rPr>
          <w:rFonts w:ascii="宋体" w:hAnsi="宋体"/>
          <w:sz w:val="21"/>
          <w:szCs w:val="21"/>
        </w:rPr>
      </w:pPr>
      <w:r>
        <w:rPr>
          <w:rFonts w:hint="eastAsia" w:ascii="宋体" w:hAnsi="宋体"/>
          <w:sz w:val="21"/>
          <w:szCs w:val="21"/>
        </w:rPr>
        <w:t>（2）项目管理规范和手段：必须建立相应的项目管理规范，包括项目执行监控流程、执行监控的方法、执行监控的责任等，使管理和监控工作流程化、规范化，管理和监控工作责任明确。</w:t>
      </w:r>
    </w:p>
    <w:p>
      <w:pPr>
        <w:spacing w:line="288" w:lineRule="auto"/>
        <w:ind w:firstLine="420" w:firstLineChars="200"/>
        <w:rPr>
          <w:rFonts w:ascii="宋体" w:hAnsi="宋体"/>
          <w:sz w:val="21"/>
          <w:szCs w:val="21"/>
        </w:rPr>
      </w:pPr>
      <w:r>
        <w:rPr>
          <w:rFonts w:hint="eastAsia" w:ascii="宋体" w:hAnsi="宋体"/>
          <w:sz w:val="21"/>
          <w:szCs w:val="21"/>
        </w:rPr>
        <w:t>（3）项目管理控制：必须对项目建设范围准确定义，一旦范围发生变更，要有相应的变更控制和应对措施。</w:t>
      </w:r>
    </w:p>
    <w:p>
      <w:pPr>
        <w:spacing w:line="288" w:lineRule="auto"/>
        <w:ind w:firstLine="420" w:firstLineChars="200"/>
        <w:rPr>
          <w:rFonts w:ascii="宋体" w:hAnsi="宋体"/>
          <w:sz w:val="21"/>
          <w:szCs w:val="21"/>
        </w:rPr>
      </w:pPr>
      <w:r>
        <w:rPr>
          <w:rFonts w:hint="eastAsia" w:ascii="宋体" w:hAnsi="宋体"/>
          <w:sz w:val="21"/>
          <w:szCs w:val="21"/>
        </w:rPr>
        <w:t>（4）风险管理：必须做到充分、有效识别风险，应对风险和控制风险，在项目实施之初，必须制定风险预测和规避风险的对策。</w:t>
      </w:r>
    </w:p>
    <w:p>
      <w:pPr>
        <w:spacing w:line="288" w:lineRule="auto"/>
        <w:ind w:firstLine="420" w:firstLineChars="200"/>
        <w:rPr>
          <w:rFonts w:ascii="宋体" w:hAnsi="宋体"/>
          <w:sz w:val="21"/>
          <w:szCs w:val="21"/>
        </w:rPr>
      </w:pPr>
      <w:r>
        <w:rPr>
          <w:rFonts w:hint="eastAsia" w:ascii="宋体" w:hAnsi="宋体"/>
          <w:sz w:val="21"/>
          <w:szCs w:val="21"/>
        </w:rPr>
        <w:t>（5）软件项目的开发管理：必须要按照软件工程的方法，开发过程满足软件生存期的要求，采用先进的软件开发方法和软件开发工具，科学地管理软件开发过程，降低软件开发的风险和成本，使软件项目获得较高的经济效益和社会效益。</w:t>
      </w:r>
    </w:p>
    <w:p>
      <w:pPr>
        <w:spacing w:line="288" w:lineRule="auto"/>
        <w:ind w:firstLine="420" w:firstLineChars="200"/>
        <w:rPr>
          <w:rFonts w:ascii="宋体" w:hAnsi="宋体"/>
          <w:sz w:val="21"/>
          <w:szCs w:val="21"/>
        </w:rPr>
      </w:pPr>
      <w:r>
        <w:rPr>
          <w:rFonts w:hint="eastAsia" w:ascii="宋体" w:hAnsi="宋体"/>
          <w:sz w:val="21"/>
          <w:szCs w:val="21"/>
        </w:rPr>
        <w:t>（6）规范的文档管理：根据项目实施进度，按时提交项目成果及相关文档。文档的提交应覆盖以下内容：项目实施前的项目实施方案、组织架构与职责等；项目实施期间的需求分析说明、详细设计说明、数据库设计说明书、程序源代码、用户手册、测试方案、测试报告等技术性文档，以及项目实施过程中的计划、会议记录、报告等管理文档；项目实施后的系统试运行报告、开发总结报告等；培训期间的培训计划、使用手册，以及其他需要提交的材料。</w:t>
      </w:r>
    </w:p>
    <w:p>
      <w:pPr>
        <w:spacing w:line="288" w:lineRule="auto"/>
        <w:ind w:firstLine="422" w:firstLineChars="200"/>
        <w:rPr>
          <w:rFonts w:ascii="宋体" w:hAnsi="宋体"/>
          <w:b/>
          <w:bCs/>
          <w:sz w:val="21"/>
          <w:szCs w:val="21"/>
        </w:rPr>
      </w:pPr>
      <w:r>
        <w:rPr>
          <w:rFonts w:hint="eastAsia" w:ascii="宋体" w:hAnsi="宋体"/>
          <w:b/>
          <w:bCs/>
          <w:sz w:val="21"/>
          <w:szCs w:val="21"/>
        </w:rPr>
        <w:t>（四）技术服务要求</w:t>
      </w:r>
    </w:p>
    <w:p>
      <w:pPr>
        <w:spacing w:line="288" w:lineRule="auto"/>
        <w:ind w:firstLine="420" w:firstLineChars="200"/>
        <w:rPr>
          <w:rFonts w:ascii="宋体" w:hAnsi="宋体"/>
          <w:sz w:val="21"/>
          <w:szCs w:val="21"/>
        </w:rPr>
      </w:pPr>
      <w:r>
        <w:rPr>
          <w:rFonts w:hint="eastAsia" w:ascii="宋体" w:hAnsi="宋体"/>
          <w:sz w:val="21"/>
          <w:szCs w:val="21"/>
        </w:rPr>
        <w:t>1.系统集成要求</w:t>
      </w:r>
    </w:p>
    <w:p>
      <w:pPr>
        <w:spacing w:line="288" w:lineRule="auto"/>
        <w:ind w:firstLine="210" w:firstLineChars="100"/>
        <w:rPr>
          <w:rFonts w:ascii="宋体" w:hAnsi="宋体"/>
          <w:sz w:val="21"/>
          <w:szCs w:val="21"/>
        </w:rPr>
      </w:pPr>
      <w:r>
        <w:rPr>
          <w:rFonts w:hint="eastAsia" w:ascii="宋体" w:hAnsi="宋体"/>
          <w:sz w:val="21"/>
          <w:szCs w:val="21"/>
        </w:rPr>
        <w:t xml:space="preserve">（1）需要与学院办事大厅、微信企业号、阿里钉钉等集成，按学院要求将相关功能模块集成到上述相关平台。 </w:t>
      </w:r>
    </w:p>
    <w:p>
      <w:pPr>
        <w:spacing w:line="288" w:lineRule="auto"/>
        <w:ind w:firstLine="420" w:firstLineChars="200"/>
        <w:rPr>
          <w:rFonts w:ascii="宋体" w:hAnsi="宋体"/>
          <w:sz w:val="21"/>
          <w:szCs w:val="21"/>
        </w:rPr>
      </w:pPr>
      <w:r>
        <w:rPr>
          <w:rFonts w:hint="eastAsia" w:ascii="宋体" w:hAnsi="宋体"/>
          <w:sz w:val="21"/>
          <w:szCs w:val="21"/>
        </w:rPr>
        <w:t>2.系统对接及共享要求</w:t>
      </w:r>
    </w:p>
    <w:p>
      <w:pPr>
        <w:spacing w:line="288" w:lineRule="auto"/>
        <w:ind w:firstLine="420"/>
        <w:rPr>
          <w:rFonts w:ascii="宋体" w:hAnsi="宋体"/>
          <w:sz w:val="21"/>
          <w:szCs w:val="21"/>
        </w:rPr>
      </w:pPr>
      <w:r>
        <w:rPr>
          <w:rFonts w:hint="eastAsia" w:ascii="宋体" w:hAnsi="宋体"/>
          <w:sz w:val="21"/>
          <w:szCs w:val="21"/>
        </w:rPr>
        <w:t>（1）与学院统一身份认证对接、数据中心、办事大厅等系统实现数据对接；相关数据需从学院数据中心主动获取，并按学院要求开放数据接口，主动将数据推送到学院数据中心；按学院要求完成与其他系统的必要对接。</w:t>
      </w:r>
    </w:p>
    <w:p>
      <w:pPr>
        <w:spacing w:line="288" w:lineRule="auto"/>
        <w:ind w:firstLine="420" w:firstLineChars="200"/>
        <w:rPr>
          <w:rFonts w:ascii="宋体" w:hAnsi="宋体"/>
          <w:sz w:val="21"/>
          <w:szCs w:val="21"/>
        </w:rPr>
      </w:pPr>
      <w:r>
        <w:rPr>
          <w:rFonts w:hint="eastAsia" w:ascii="宋体" w:hAnsi="宋体"/>
          <w:sz w:val="21"/>
          <w:szCs w:val="21"/>
        </w:rPr>
        <w:t>（2）在项目开发过程以及维护服务期之内，如果用户因系统升级导致接口的变更，只要该功能在招标功能范围之内，响应供应商须及时、免费提供变更服务。</w:t>
      </w:r>
    </w:p>
    <w:p>
      <w:pPr>
        <w:spacing w:line="288" w:lineRule="auto"/>
        <w:ind w:firstLine="420" w:firstLineChars="200"/>
        <w:rPr>
          <w:rFonts w:ascii="宋体" w:hAnsi="宋体"/>
          <w:sz w:val="21"/>
          <w:szCs w:val="21"/>
        </w:rPr>
      </w:pPr>
      <w:r>
        <w:rPr>
          <w:rFonts w:hint="eastAsia" w:ascii="宋体" w:hAnsi="宋体"/>
          <w:sz w:val="21"/>
          <w:szCs w:val="21"/>
        </w:rPr>
        <w:t>（3）在整个项目维护周期内，响应供应商须根据学院智慧校园建设要求或上级部门要求免费提供数据接口，并配合对接工作。在项目实施和质保期内的对接系统产生的费用已全部包含在本项目总价内。</w:t>
      </w:r>
    </w:p>
    <w:p>
      <w:pPr>
        <w:spacing w:line="288" w:lineRule="auto"/>
        <w:ind w:firstLine="420" w:firstLineChars="200"/>
        <w:rPr>
          <w:rFonts w:ascii="宋体" w:hAnsi="宋体"/>
          <w:sz w:val="21"/>
          <w:szCs w:val="21"/>
        </w:rPr>
      </w:pPr>
      <w:r>
        <w:rPr>
          <w:rFonts w:hint="eastAsia" w:ascii="宋体" w:hAnsi="宋体"/>
          <w:sz w:val="21"/>
          <w:szCs w:val="21"/>
        </w:rPr>
        <w:t>3.系统信息标准</w:t>
      </w:r>
    </w:p>
    <w:p>
      <w:pPr>
        <w:numPr>
          <w:ilvl w:val="0"/>
          <w:numId w:val="2"/>
        </w:numPr>
        <w:adjustRightInd w:val="0"/>
        <w:snapToGrid w:val="0"/>
        <w:spacing w:line="288" w:lineRule="auto"/>
        <w:ind w:firstLine="420" w:firstLineChars="200"/>
        <w:rPr>
          <w:rFonts w:ascii="宋体" w:hAnsi="宋体"/>
          <w:sz w:val="21"/>
          <w:szCs w:val="21"/>
        </w:rPr>
      </w:pPr>
      <w:r>
        <w:rPr>
          <w:rFonts w:ascii="宋体" w:hAnsi="宋体"/>
          <w:sz w:val="21"/>
          <w:szCs w:val="21"/>
        </w:rPr>
        <w:t>数据标准化</w:t>
      </w:r>
      <w:r>
        <w:rPr>
          <w:rFonts w:hint="eastAsia" w:ascii="宋体" w:hAnsi="宋体"/>
          <w:sz w:val="21"/>
          <w:szCs w:val="21"/>
        </w:rPr>
        <w:t>：</w:t>
      </w:r>
      <w:r>
        <w:rPr>
          <w:rFonts w:ascii="宋体" w:hAnsi="宋体"/>
          <w:sz w:val="21"/>
          <w:szCs w:val="21"/>
        </w:rPr>
        <w:t>根据《</w:t>
      </w:r>
      <w:r>
        <w:rPr>
          <w:rFonts w:hint="eastAsia" w:ascii="宋体" w:hAnsi="宋体"/>
          <w:sz w:val="21"/>
          <w:szCs w:val="21"/>
        </w:rPr>
        <w:t>浙江财经学院东方学院信息系统数据管理办法</w:t>
      </w:r>
      <w:r>
        <w:rPr>
          <w:rFonts w:ascii="宋体" w:hAnsi="宋体"/>
          <w:sz w:val="21"/>
          <w:szCs w:val="21"/>
        </w:rPr>
        <w:t>》文件要求</w:t>
      </w:r>
      <w:r>
        <w:rPr>
          <w:rFonts w:hint="eastAsia" w:ascii="宋体" w:hAnsi="宋体"/>
          <w:sz w:val="21"/>
          <w:szCs w:val="21"/>
        </w:rPr>
        <w:t>，在数据使用过程中严格遵守国家、地方及学院关于信息安全和个人信息保护的相关法律规定和规章制度，并负责监督所申请数据的全程规范使用，保障数据的使用安全，确保数据不滥用、不泄露。</w:t>
      </w:r>
    </w:p>
    <w:p>
      <w:pPr>
        <w:numPr>
          <w:ilvl w:val="0"/>
          <w:numId w:val="2"/>
        </w:numPr>
        <w:adjustRightInd w:val="0"/>
        <w:snapToGrid w:val="0"/>
        <w:spacing w:line="288" w:lineRule="auto"/>
        <w:ind w:firstLine="420" w:firstLineChars="200"/>
        <w:rPr>
          <w:rFonts w:ascii="宋体" w:hAnsi="宋体"/>
          <w:sz w:val="21"/>
          <w:szCs w:val="21"/>
        </w:rPr>
      </w:pPr>
      <w:r>
        <w:rPr>
          <w:rFonts w:hint="eastAsia" w:ascii="宋体" w:hAnsi="宋体"/>
          <w:sz w:val="21"/>
          <w:szCs w:val="21"/>
        </w:rPr>
        <w:t>开发标准化：在统一的标准和规范基础上，以开放协同、共建共享模式推进应用建设，充分利用公共组件，提升应用系统的开发效率和质量。</w:t>
      </w:r>
    </w:p>
    <w:p>
      <w:pPr>
        <w:adjustRightInd w:val="0"/>
        <w:snapToGrid w:val="0"/>
        <w:spacing w:line="288" w:lineRule="auto"/>
        <w:ind w:left="420"/>
        <w:rPr>
          <w:rFonts w:ascii="宋体" w:hAnsi="宋体"/>
          <w:sz w:val="21"/>
          <w:szCs w:val="21"/>
        </w:rPr>
      </w:pPr>
      <w:r>
        <w:rPr>
          <w:rFonts w:hint="eastAsia" w:ascii="宋体" w:hAnsi="宋体"/>
          <w:sz w:val="21"/>
          <w:szCs w:val="21"/>
        </w:rPr>
        <w:t>4.安全性</w:t>
      </w:r>
    </w:p>
    <w:p>
      <w:pPr>
        <w:spacing w:line="288" w:lineRule="auto"/>
        <w:ind w:firstLine="420" w:firstLineChars="200"/>
        <w:rPr>
          <w:rFonts w:ascii="宋体" w:hAnsi="宋体"/>
          <w:sz w:val="21"/>
          <w:szCs w:val="21"/>
        </w:rPr>
      </w:pPr>
      <w:r>
        <w:rPr>
          <w:rFonts w:hint="eastAsia" w:ascii="宋体" w:hAnsi="宋体"/>
          <w:sz w:val="21"/>
          <w:szCs w:val="21"/>
        </w:rPr>
        <w:t>（1）需提供信息系统安全等级测评报告，并在实施过程中做好系统安全和数据备份等相关安全性策略。</w:t>
      </w:r>
    </w:p>
    <w:p>
      <w:pPr>
        <w:spacing w:line="288" w:lineRule="auto"/>
        <w:ind w:firstLine="420" w:firstLineChars="200"/>
        <w:rPr>
          <w:rFonts w:ascii="宋体" w:hAnsi="宋体"/>
          <w:sz w:val="21"/>
          <w:szCs w:val="21"/>
        </w:rPr>
      </w:pPr>
      <w:r>
        <w:rPr>
          <w:rFonts w:hint="eastAsia" w:ascii="宋体" w:hAnsi="宋体"/>
          <w:sz w:val="21"/>
          <w:szCs w:val="21"/>
        </w:rPr>
        <w:t>（2）在维护期内，依据上级部门及其它安全检测机构检测出的安全漏洞问题（包括操作系统漏洞及应用系统漏洞），需免费、强制整改，整改期为3个工作日。</w:t>
      </w:r>
    </w:p>
    <w:p>
      <w:pPr>
        <w:spacing w:line="288" w:lineRule="auto"/>
        <w:ind w:firstLine="420" w:firstLineChars="200"/>
        <w:rPr>
          <w:rFonts w:ascii="宋体" w:hAnsi="宋体"/>
          <w:sz w:val="21"/>
          <w:szCs w:val="21"/>
        </w:rPr>
      </w:pPr>
      <w:r>
        <w:rPr>
          <w:rFonts w:hint="eastAsia" w:ascii="宋体" w:hAnsi="宋体"/>
          <w:sz w:val="21"/>
          <w:szCs w:val="21"/>
        </w:rPr>
        <w:t>（3）乙方需严格遵守《中华人民共和国网络安全法》、《中华人民共和国数据安全法》、《中华人民共和国个人信息保护法》等条例，严格遵守学院信息化相关管理办法，签订数据保密协议。</w:t>
      </w:r>
    </w:p>
    <w:p>
      <w:pPr>
        <w:spacing w:line="288" w:lineRule="auto"/>
        <w:ind w:firstLine="420" w:firstLineChars="200"/>
        <w:rPr>
          <w:rFonts w:ascii="宋体" w:hAnsi="宋体"/>
          <w:sz w:val="21"/>
          <w:szCs w:val="21"/>
        </w:rPr>
      </w:pPr>
      <w:r>
        <w:rPr>
          <w:rFonts w:hint="eastAsia" w:ascii="宋体" w:hAnsi="宋体"/>
          <w:bCs/>
          <w:sz w:val="21"/>
          <w:szCs w:val="21"/>
        </w:rPr>
        <w:t>5.环境支撑</w:t>
      </w:r>
      <w:r>
        <w:rPr>
          <w:rFonts w:hint="eastAsia" w:ascii="宋体" w:hAnsi="宋体"/>
          <w:sz w:val="21"/>
          <w:szCs w:val="21"/>
        </w:rPr>
        <w:t>（包括操作系统、硬件配置、安全及网络需求）</w:t>
      </w:r>
    </w:p>
    <w:p>
      <w:pPr>
        <w:spacing w:line="288" w:lineRule="auto"/>
        <w:ind w:firstLine="420" w:firstLineChars="200"/>
        <w:rPr>
          <w:rFonts w:ascii="宋体" w:hAnsi="宋体"/>
          <w:sz w:val="21"/>
          <w:szCs w:val="21"/>
        </w:rPr>
      </w:pPr>
      <w:r>
        <w:rPr>
          <w:rFonts w:hint="eastAsia" w:ascii="宋体" w:hAnsi="宋体"/>
          <w:sz w:val="21"/>
          <w:szCs w:val="21"/>
        </w:rPr>
        <w:t>（1）要明确告知应用所部署的操作系统型号及版本号。</w:t>
      </w:r>
    </w:p>
    <w:p>
      <w:pPr>
        <w:spacing w:line="288" w:lineRule="auto"/>
        <w:ind w:firstLine="420" w:firstLineChars="200"/>
        <w:rPr>
          <w:rFonts w:ascii="宋体" w:hAnsi="宋体"/>
          <w:sz w:val="21"/>
          <w:szCs w:val="21"/>
        </w:rPr>
      </w:pPr>
      <w:r>
        <w:rPr>
          <w:rFonts w:hint="eastAsia" w:ascii="宋体" w:hAnsi="宋体"/>
          <w:sz w:val="21"/>
          <w:szCs w:val="21"/>
        </w:rPr>
        <w:t>（2）提供该应用或接口部署所需的服务器配置要求，包括但不限于CPU、内存、磁盘空间、网络接口。需说明是否可以支持虚拟化部署。配置要求必须按实际情况评估，不可只写出最低或超出实际需要的硬件配置需求。</w:t>
      </w:r>
    </w:p>
    <w:p>
      <w:pPr>
        <w:spacing w:line="288" w:lineRule="auto"/>
        <w:ind w:firstLine="420" w:firstLineChars="200"/>
        <w:rPr>
          <w:rFonts w:ascii="宋体" w:hAnsi="宋体"/>
          <w:sz w:val="21"/>
          <w:szCs w:val="21"/>
        </w:rPr>
      </w:pPr>
      <w:r>
        <w:rPr>
          <w:rFonts w:hint="eastAsia" w:ascii="宋体" w:hAnsi="宋体"/>
          <w:sz w:val="21"/>
          <w:szCs w:val="21"/>
        </w:rPr>
        <w:t>（3）网络设置分为单IP和多IP情况。如应用需开通外网访问，需说明开通外网访问的协议及端口号，如存在端口冲突是否可以更改端口。</w:t>
      </w:r>
    </w:p>
    <w:p>
      <w:pPr>
        <w:spacing w:line="288" w:lineRule="auto"/>
        <w:ind w:firstLine="420" w:firstLineChars="200"/>
        <w:rPr>
          <w:rFonts w:ascii="宋体" w:hAnsi="宋体"/>
          <w:sz w:val="21"/>
          <w:szCs w:val="21"/>
        </w:rPr>
      </w:pPr>
      <w:r>
        <w:rPr>
          <w:rFonts w:hint="eastAsia" w:ascii="宋体" w:hAnsi="宋体"/>
          <w:sz w:val="21"/>
          <w:szCs w:val="21"/>
        </w:rPr>
        <w:t>（4）提供数据备份措施及备份所需硬件参数要求，提供数据恢复措施建议。</w:t>
      </w:r>
    </w:p>
    <w:p>
      <w:pPr>
        <w:spacing w:line="288" w:lineRule="auto"/>
        <w:ind w:left="282" w:firstLine="211" w:firstLineChars="100"/>
        <w:rPr>
          <w:rFonts w:ascii="宋体" w:hAnsi="宋体"/>
          <w:b/>
          <w:bCs/>
          <w:sz w:val="21"/>
          <w:szCs w:val="21"/>
        </w:rPr>
      </w:pPr>
      <w:r>
        <w:rPr>
          <w:rFonts w:hint="eastAsia" w:ascii="宋体" w:hAnsi="宋体"/>
          <w:b/>
          <w:bCs/>
          <w:sz w:val="21"/>
          <w:szCs w:val="21"/>
        </w:rPr>
        <w:t>6、成果移交</w:t>
      </w:r>
    </w:p>
    <w:p>
      <w:pPr>
        <w:spacing w:line="288" w:lineRule="auto"/>
        <w:ind w:firstLine="420" w:firstLineChars="200"/>
        <w:rPr>
          <w:rFonts w:ascii="宋体" w:hAnsi="宋体"/>
          <w:sz w:val="21"/>
          <w:szCs w:val="21"/>
        </w:rPr>
      </w:pPr>
      <w:r>
        <w:rPr>
          <w:rFonts w:hint="eastAsia" w:ascii="宋体" w:hAnsi="宋体"/>
          <w:sz w:val="21"/>
          <w:szCs w:val="21"/>
        </w:rPr>
        <w:t>（1）交付成果和文档资料</w:t>
      </w:r>
    </w:p>
    <w:p>
      <w:pPr>
        <w:spacing w:line="288" w:lineRule="auto"/>
        <w:ind w:firstLine="420" w:firstLineChars="200"/>
        <w:rPr>
          <w:rFonts w:ascii="宋体" w:hAnsi="宋体"/>
          <w:sz w:val="21"/>
          <w:szCs w:val="21"/>
        </w:rPr>
      </w:pPr>
      <w:r>
        <w:rPr>
          <w:rFonts w:hint="eastAsia" w:ascii="宋体" w:hAnsi="宋体"/>
          <w:sz w:val="21"/>
          <w:szCs w:val="21"/>
        </w:rPr>
        <w:t>在项目开发过程中和交付使用后，要求交付各个阶段产生的全面、规范的成果和文档资料，提供明确的交付清单。同时，成果和文档资料必须符合软件工程的相关要求。要交付的成果和文档资料主要包括以下部分：</w:t>
      </w:r>
    </w:p>
    <w:p>
      <w:pPr>
        <w:spacing w:line="288" w:lineRule="auto"/>
        <w:ind w:firstLine="420" w:firstLineChars="200"/>
        <w:rPr>
          <w:rFonts w:ascii="宋体" w:hAnsi="宋体"/>
          <w:sz w:val="21"/>
          <w:szCs w:val="21"/>
        </w:rPr>
      </w:pPr>
      <w:r>
        <w:rPr>
          <w:rFonts w:ascii="宋体" w:hAnsi="宋体"/>
          <w:sz w:val="21"/>
          <w:szCs w:val="21"/>
        </w:rPr>
        <w:t>A</w:t>
      </w:r>
      <w:r>
        <w:rPr>
          <w:rFonts w:hint="eastAsia" w:ascii="宋体" w:hAnsi="宋体"/>
          <w:sz w:val="21"/>
          <w:szCs w:val="21"/>
        </w:rPr>
        <w:t>、可运行的信息服务平台(含源代码)。</w:t>
      </w:r>
    </w:p>
    <w:p>
      <w:pPr>
        <w:spacing w:line="288" w:lineRule="auto"/>
        <w:ind w:firstLine="420" w:firstLineChars="200"/>
        <w:rPr>
          <w:rFonts w:ascii="宋体" w:hAnsi="宋体"/>
          <w:sz w:val="21"/>
          <w:szCs w:val="21"/>
        </w:rPr>
      </w:pPr>
      <w:r>
        <w:rPr>
          <w:rFonts w:hint="eastAsia" w:ascii="宋体" w:hAnsi="宋体"/>
          <w:sz w:val="21"/>
          <w:szCs w:val="21"/>
        </w:rPr>
        <w:t>B、技术文档：包括产品部署文档（必须）、接口规格说明书（必须）、数据字典（必须）、产品说明书（必须）、维护方案、测试文档、安全证书等等。</w:t>
      </w:r>
    </w:p>
    <w:p>
      <w:pPr>
        <w:spacing w:line="288" w:lineRule="auto"/>
        <w:ind w:firstLine="420" w:firstLineChars="200"/>
        <w:rPr>
          <w:rFonts w:ascii="宋体" w:hAnsi="宋体"/>
          <w:sz w:val="21"/>
          <w:szCs w:val="21"/>
        </w:rPr>
      </w:pPr>
      <w:r>
        <w:rPr>
          <w:rFonts w:hint="eastAsia" w:ascii="宋体" w:hAnsi="宋体"/>
          <w:sz w:val="21"/>
          <w:szCs w:val="21"/>
        </w:rPr>
        <w:t>C、管理和培训文档：包括项目开发中的一些工作文档，如，计划、报告、讨论纲要、会议记录、培训文档等。</w:t>
      </w:r>
    </w:p>
    <w:p>
      <w:pPr>
        <w:spacing w:line="288" w:lineRule="auto"/>
        <w:ind w:firstLine="420" w:firstLineChars="200"/>
        <w:rPr>
          <w:rFonts w:ascii="宋体" w:hAnsi="宋体"/>
          <w:sz w:val="21"/>
          <w:szCs w:val="21"/>
        </w:rPr>
      </w:pPr>
      <w:r>
        <w:rPr>
          <w:rFonts w:hint="eastAsia" w:ascii="宋体" w:hAnsi="宋体"/>
          <w:sz w:val="21"/>
          <w:szCs w:val="21"/>
        </w:rPr>
        <w:t>（2）版权归属及使用要求</w:t>
      </w:r>
    </w:p>
    <w:p>
      <w:pPr>
        <w:spacing w:line="288" w:lineRule="auto"/>
        <w:ind w:firstLine="420" w:firstLineChars="200"/>
        <w:rPr>
          <w:rFonts w:ascii="宋体" w:hAnsi="宋体"/>
          <w:sz w:val="21"/>
          <w:szCs w:val="21"/>
        </w:rPr>
      </w:pPr>
      <w:r>
        <w:rPr>
          <w:rFonts w:hint="eastAsia" w:ascii="宋体" w:hAnsi="宋体"/>
          <w:sz w:val="21"/>
          <w:szCs w:val="21"/>
        </w:rPr>
        <w:t>A、乙方应保证所提供的货物或其任何一部分均不会侵犯任何第三方的知识产权。</w:t>
      </w:r>
    </w:p>
    <w:p>
      <w:pPr>
        <w:spacing w:line="288" w:lineRule="auto"/>
        <w:ind w:firstLine="420" w:firstLineChars="200"/>
        <w:rPr>
          <w:rFonts w:ascii="宋体" w:hAnsi="宋体"/>
          <w:sz w:val="21"/>
          <w:szCs w:val="21"/>
        </w:rPr>
      </w:pPr>
      <w:r>
        <w:rPr>
          <w:rFonts w:hint="eastAsia" w:ascii="宋体" w:hAnsi="宋体"/>
          <w:sz w:val="21"/>
          <w:szCs w:val="21"/>
        </w:rPr>
        <w:t>B、所有权为浙江财经学院东方学院完全拥有。</w:t>
      </w:r>
    </w:p>
    <w:p>
      <w:pPr>
        <w:spacing w:line="288" w:lineRule="auto"/>
        <w:ind w:firstLine="420" w:firstLineChars="200"/>
        <w:rPr>
          <w:rFonts w:ascii="宋体" w:hAnsi="宋体"/>
          <w:sz w:val="21"/>
          <w:szCs w:val="21"/>
        </w:rPr>
      </w:pPr>
      <w:r>
        <w:rPr>
          <w:rFonts w:hint="eastAsia" w:ascii="宋体" w:hAnsi="宋体"/>
          <w:sz w:val="21"/>
          <w:szCs w:val="21"/>
        </w:rPr>
        <w:t>C、系统运行过程中产生的数字资产归浙江财经学院东方学院完全拥有。</w:t>
      </w:r>
    </w:p>
    <w:p>
      <w:pPr>
        <w:spacing w:line="288" w:lineRule="auto"/>
        <w:ind w:firstLine="422" w:firstLineChars="200"/>
        <w:rPr>
          <w:rFonts w:ascii="宋体" w:hAnsi="宋体"/>
          <w:b/>
          <w:bCs/>
          <w:sz w:val="21"/>
          <w:szCs w:val="21"/>
        </w:rPr>
      </w:pPr>
      <w:r>
        <w:rPr>
          <w:rFonts w:hint="eastAsia" w:ascii="宋体" w:hAnsi="宋体"/>
          <w:b/>
          <w:bCs/>
          <w:sz w:val="21"/>
          <w:szCs w:val="21"/>
        </w:rPr>
        <w:t>7、售后服务</w:t>
      </w:r>
    </w:p>
    <w:p>
      <w:pPr>
        <w:spacing w:line="288" w:lineRule="auto"/>
        <w:ind w:firstLine="420" w:firstLineChars="200"/>
        <w:rPr>
          <w:rFonts w:ascii="宋体" w:hAnsi="宋体"/>
          <w:sz w:val="21"/>
          <w:szCs w:val="21"/>
        </w:rPr>
      </w:pPr>
      <w:r>
        <w:rPr>
          <w:rFonts w:hint="eastAsia" w:ascii="宋体" w:hAnsi="宋体"/>
          <w:sz w:val="21"/>
          <w:szCs w:val="21"/>
        </w:rPr>
        <w:t>售后服务内容和方式包括：平台软件升级、提供技术指导、功能优化与支持服务等内容，服务方式应包括网络支持与现场服务等。关于服务保障体系的描述应具体包括如下内容：</w:t>
      </w:r>
    </w:p>
    <w:p>
      <w:pPr>
        <w:spacing w:line="288" w:lineRule="auto"/>
        <w:ind w:firstLine="420" w:firstLineChars="200"/>
        <w:rPr>
          <w:rFonts w:ascii="宋体" w:hAnsi="宋体"/>
          <w:sz w:val="21"/>
          <w:szCs w:val="21"/>
        </w:rPr>
      </w:pPr>
      <w:r>
        <w:rPr>
          <w:rFonts w:hint="eastAsia" w:ascii="宋体" w:hAnsi="宋体"/>
          <w:sz w:val="21"/>
          <w:szCs w:val="21"/>
        </w:rPr>
        <w:t>1.运行保障机构</w:t>
      </w:r>
    </w:p>
    <w:p>
      <w:pPr>
        <w:spacing w:line="288" w:lineRule="auto"/>
        <w:ind w:firstLine="420" w:firstLineChars="200"/>
        <w:rPr>
          <w:rFonts w:ascii="宋体" w:hAnsi="宋体"/>
          <w:sz w:val="21"/>
          <w:szCs w:val="21"/>
        </w:rPr>
      </w:pPr>
      <w:r>
        <w:rPr>
          <w:rFonts w:hint="eastAsia" w:ascii="宋体" w:hAnsi="宋体"/>
          <w:sz w:val="21"/>
          <w:szCs w:val="21"/>
        </w:rPr>
        <w:t>主要描述供应商对于对本项目的运行保障能力描述。</w:t>
      </w:r>
    </w:p>
    <w:p>
      <w:pPr>
        <w:spacing w:line="288" w:lineRule="auto"/>
        <w:ind w:firstLine="420" w:firstLineChars="200"/>
        <w:rPr>
          <w:rFonts w:ascii="宋体" w:hAnsi="宋体"/>
          <w:sz w:val="21"/>
          <w:szCs w:val="21"/>
        </w:rPr>
      </w:pPr>
      <w:r>
        <w:rPr>
          <w:rFonts w:hint="eastAsia" w:ascii="宋体" w:hAnsi="宋体"/>
          <w:sz w:val="21"/>
          <w:szCs w:val="21"/>
        </w:rPr>
        <w:t>2.运行服务内容</w:t>
      </w:r>
    </w:p>
    <w:p>
      <w:pPr>
        <w:spacing w:line="288" w:lineRule="auto"/>
        <w:ind w:firstLine="420" w:firstLineChars="200"/>
        <w:rPr>
          <w:rFonts w:ascii="宋体" w:hAnsi="宋体"/>
          <w:sz w:val="21"/>
          <w:szCs w:val="21"/>
        </w:rPr>
      </w:pPr>
      <w:r>
        <w:rPr>
          <w:rFonts w:hint="eastAsia" w:ascii="宋体" w:hAnsi="宋体"/>
          <w:sz w:val="21"/>
          <w:szCs w:val="21"/>
        </w:rPr>
        <w:t>系统应具备完善的授权、监控和日志管理机制，能够进行访问审计。方案中应对服务的范围和内容进行详细阐述，并至少包括以下内容：</w:t>
      </w:r>
    </w:p>
    <w:p>
      <w:pPr>
        <w:spacing w:line="288" w:lineRule="auto"/>
        <w:ind w:firstLine="420" w:firstLineChars="200"/>
        <w:rPr>
          <w:rFonts w:ascii="宋体" w:hAnsi="宋体"/>
          <w:sz w:val="21"/>
          <w:szCs w:val="21"/>
        </w:rPr>
      </w:pPr>
      <w:r>
        <w:rPr>
          <w:rFonts w:hint="eastAsia" w:ascii="宋体" w:hAnsi="宋体"/>
          <w:sz w:val="21"/>
          <w:szCs w:val="21"/>
        </w:rPr>
        <w:t>（1）缺陷管理：针对本次招标的各类应用支撑平台中存在的bug、缺陷，不论在保期内、外，投标方均应持续提供修正与消缺服务。</w:t>
      </w:r>
    </w:p>
    <w:p>
      <w:pPr>
        <w:spacing w:line="288" w:lineRule="auto"/>
        <w:ind w:firstLine="420" w:firstLineChars="200"/>
        <w:rPr>
          <w:rFonts w:ascii="宋体" w:hAnsi="宋体"/>
          <w:sz w:val="21"/>
          <w:szCs w:val="21"/>
        </w:rPr>
      </w:pPr>
      <w:r>
        <w:rPr>
          <w:rFonts w:hint="eastAsia" w:ascii="宋体" w:hAnsi="宋体"/>
          <w:sz w:val="21"/>
          <w:szCs w:val="21"/>
        </w:rPr>
        <w:t>（2）应急故障处理：系统运行环境出现故障或意外情况导致系统不能正常运行时，响应供应商响应的情况描述，包括针对不同故障级别的响应时间和响应内容。</w:t>
      </w:r>
    </w:p>
    <w:p>
      <w:pPr>
        <w:spacing w:line="288" w:lineRule="auto"/>
        <w:ind w:firstLine="420" w:firstLineChars="200"/>
        <w:rPr>
          <w:rFonts w:ascii="宋体" w:hAnsi="宋体"/>
          <w:sz w:val="21"/>
          <w:szCs w:val="21"/>
        </w:rPr>
      </w:pPr>
      <w:r>
        <w:rPr>
          <w:rFonts w:hint="eastAsia" w:ascii="宋体" w:hAnsi="宋体"/>
          <w:sz w:val="21"/>
          <w:szCs w:val="21"/>
        </w:rPr>
        <w:t>（3）系统升级：提供应用平台的软件补丁版本的升级服务。</w:t>
      </w:r>
    </w:p>
    <w:p>
      <w:pPr>
        <w:spacing w:line="288" w:lineRule="auto"/>
        <w:ind w:firstLine="420" w:firstLineChars="200"/>
        <w:rPr>
          <w:rFonts w:ascii="宋体" w:hAnsi="宋体"/>
          <w:sz w:val="21"/>
          <w:szCs w:val="21"/>
        </w:rPr>
      </w:pPr>
      <w:r>
        <w:rPr>
          <w:rFonts w:hint="eastAsia" w:ascii="宋体" w:hAnsi="宋体"/>
          <w:sz w:val="21"/>
          <w:szCs w:val="21"/>
        </w:rPr>
        <w:t>（4）需求变更：对于学院自身业务规则的变化导致的非模块级功能需求变更、性能要求提升导致的部署结构变化，可经双方协商提供限定次数的服务支持。</w:t>
      </w:r>
    </w:p>
    <w:p>
      <w:pPr>
        <w:spacing w:line="288" w:lineRule="auto"/>
        <w:ind w:firstLine="420" w:firstLineChars="200"/>
        <w:rPr>
          <w:rFonts w:ascii="宋体" w:hAnsi="宋体"/>
          <w:sz w:val="21"/>
          <w:szCs w:val="21"/>
        </w:rPr>
      </w:pPr>
      <w:r>
        <w:rPr>
          <w:rFonts w:hint="eastAsia" w:ascii="宋体" w:hAnsi="宋体"/>
          <w:sz w:val="21"/>
          <w:szCs w:val="21"/>
        </w:rPr>
        <w:t>（5）文档服务：整个服务过程均需有完善的文档记录，便于跟踪、分析问题；对各项服务提供详细的书面报告，包括故障处理报告、健康巡检报告、系统性能检测调优报告、维护总表报告、服务年度报告等。</w:t>
      </w:r>
    </w:p>
    <w:p>
      <w:pPr>
        <w:spacing w:line="288" w:lineRule="auto"/>
        <w:ind w:firstLine="420" w:firstLineChars="200"/>
        <w:rPr>
          <w:rFonts w:ascii="宋体" w:hAnsi="宋体"/>
          <w:sz w:val="21"/>
          <w:szCs w:val="21"/>
        </w:rPr>
      </w:pPr>
      <w:r>
        <w:rPr>
          <w:rFonts w:hint="eastAsia" w:ascii="宋体" w:hAnsi="宋体"/>
          <w:sz w:val="21"/>
          <w:szCs w:val="21"/>
        </w:rPr>
        <w:t>（6）运行支持：由专业的服务团队，为用户处理运行过程中出现的各类问题，并提供解决方案，跟踪直到问题圆满解决。对系统运行过程中师生用户及业务部门的问题提供解答和问题解决跟踪，需保证在1小时内对采购人所提出的维护要求做出响应，并在做出响应4小时内派出工作人员进行故障排除，主要包括所投产品在运行中的故障排错，数据备份及恢复，平台及数据库系统适配调整等工作，从而保证软件系统正常运作。对于关键业务点的上线推广与运行提供现场保障。</w:t>
      </w:r>
    </w:p>
    <w:p>
      <w:pPr>
        <w:spacing w:line="288" w:lineRule="auto"/>
        <w:ind w:firstLine="420" w:firstLineChars="200"/>
        <w:rPr>
          <w:rFonts w:ascii="宋体" w:hAnsi="宋体"/>
          <w:sz w:val="21"/>
          <w:szCs w:val="21"/>
        </w:rPr>
      </w:pPr>
      <w:r>
        <w:rPr>
          <w:rFonts w:hint="eastAsia" w:ascii="宋体" w:hAnsi="宋体"/>
          <w:sz w:val="21"/>
          <w:szCs w:val="21"/>
        </w:rPr>
        <w:t>3.服务请求流程</w:t>
      </w:r>
    </w:p>
    <w:p>
      <w:pPr>
        <w:spacing w:line="288" w:lineRule="auto"/>
        <w:ind w:firstLine="420" w:firstLineChars="200"/>
        <w:rPr>
          <w:rFonts w:ascii="宋体" w:hAnsi="宋体"/>
          <w:sz w:val="21"/>
          <w:szCs w:val="21"/>
        </w:rPr>
      </w:pPr>
      <w:r>
        <w:rPr>
          <w:rFonts w:hint="eastAsia" w:ascii="宋体" w:hAnsi="宋体"/>
          <w:sz w:val="21"/>
          <w:szCs w:val="21"/>
        </w:rPr>
        <w:t>供应商需对采购人支持或维护请求处理的流程进行详细描述。</w:t>
      </w:r>
    </w:p>
    <w:p>
      <w:pPr>
        <w:spacing w:line="288" w:lineRule="auto"/>
        <w:ind w:firstLine="420" w:firstLineChars="200"/>
        <w:rPr>
          <w:rFonts w:ascii="宋体" w:hAnsi="宋体"/>
          <w:sz w:val="21"/>
          <w:szCs w:val="21"/>
        </w:rPr>
      </w:pPr>
      <w:r>
        <w:rPr>
          <w:rFonts w:hint="eastAsia" w:ascii="宋体" w:hAnsi="宋体"/>
          <w:sz w:val="21"/>
          <w:szCs w:val="21"/>
        </w:rPr>
        <w:t>4.服务请求方式</w:t>
      </w:r>
    </w:p>
    <w:p>
      <w:pPr>
        <w:spacing w:line="288" w:lineRule="auto"/>
        <w:ind w:firstLine="420" w:firstLineChars="200"/>
        <w:rPr>
          <w:rFonts w:ascii="宋体" w:hAnsi="宋体"/>
          <w:sz w:val="21"/>
          <w:szCs w:val="21"/>
        </w:rPr>
      </w:pPr>
      <w:r>
        <w:rPr>
          <w:rFonts w:hint="eastAsia" w:ascii="宋体" w:hAnsi="宋体"/>
          <w:sz w:val="21"/>
          <w:szCs w:val="21"/>
        </w:rPr>
        <w:t>对采购人与供应商联系沟通的方式进行详细描述，以方便采购人便利的获取各类即时的和非即时的服务支持。供应商提供的服务请求方式至少应包括：服务热线电话和联系人、联系单位信息、信函/传真、电子邮件、服务网站。</w:t>
      </w:r>
    </w:p>
    <w:p>
      <w:pPr>
        <w:spacing w:line="288" w:lineRule="auto"/>
        <w:ind w:firstLine="420" w:firstLineChars="200"/>
        <w:rPr>
          <w:rFonts w:ascii="宋体" w:hAnsi="宋体"/>
          <w:sz w:val="21"/>
          <w:szCs w:val="21"/>
        </w:rPr>
      </w:pPr>
      <w:r>
        <w:rPr>
          <w:rFonts w:hint="eastAsia" w:ascii="宋体" w:hAnsi="宋体"/>
          <w:sz w:val="21"/>
          <w:szCs w:val="21"/>
        </w:rPr>
        <w:t>响应供应商是否设有用户投诉受理电话，对用户的意见做出反应。如果有用户投诉受理电话，请描述以下内容：电话号码（或传真）、投诉中心负责人和受理答复时间。</w:t>
      </w:r>
    </w:p>
    <w:p>
      <w:pPr>
        <w:spacing w:line="288" w:lineRule="auto"/>
        <w:ind w:firstLine="420" w:firstLineChars="200"/>
        <w:rPr>
          <w:rFonts w:ascii="宋体" w:hAnsi="宋体"/>
          <w:sz w:val="21"/>
          <w:szCs w:val="21"/>
        </w:rPr>
      </w:pPr>
      <w:r>
        <w:rPr>
          <w:rFonts w:hint="eastAsia" w:ascii="宋体" w:hAnsi="宋体"/>
          <w:sz w:val="21"/>
          <w:szCs w:val="21"/>
        </w:rPr>
        <w:t>5.保密要求</w:t>
      </w:r>
    </w:p>
    <w:p>
      <w:pPr>
        <w:spacing w:line="288" w:lineRule="auto"/>
        <w:ind w:firstLine="420" w:firstLineChars="200"/>
        <w:rPr>
          <w:rFonts w:ascii="宋体" w:hAnsi="宋体"/>
          <w:sz w:val="21"/>
          <w:szCs w:val="21"/>
        </w:rPr>
      </w:pPr>
      <w:r>
        <w:rPr>
          <w:rFonts w:hint="eastAsia" w:ascii="宋体" w:hAnsi="宋体"/>
          <w:sz w:val="21"/>
          <w:szCs w:val="21"/>
        </w:rPr>
        <w:t>响应供应商必须对项目技术文件以及由采购人提供的所有内部资料、技术文档、数据和信息予以保密。响应供应商必须遵守与建设单位签订的保密协议，未经采购人书面许可，响应供应商不得以任何形式向第三方透露本项目标书以及本项目的任何内容。</w:t>
      </w: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演示要求</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（一）演示时间：不超过</w:t>
      </w:r>
      <w:r>
        <w:rPr>
          <w:rFonts w:ascii="宋体" w:hAnsi="宋体"/>
          <w:sz w:val="21"/>
          <w:szCs w:val="21"/>
        </w:rPr>
        <w:t>15</w:t>
      </w:r>
      <w:r>
        <w:rPr>
          <w:rFonts w:hint="eastAsia" w:ascii="宋体" w:hAnsi="宋体"/>
          <w:sz w:val="21"/>
          <w:szCs w:val="21"/>
        </w:rPr>
        <w:t>分钟；</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（二）演示方式：响应供应商需自备电脑，现场进行功能演示，可</w:t>
      </w:r>
      <w:r>
        <w:rPr>
          <w:rFonts w:hint="eastAsia" w:ascii="宋体" w:hAnsi="宋体"/>
          <w:b/>
          <w:bCs/>
          <w:sz w:val="21"/>
          <w:szCs w:val="21"/>
        </w:rPr>
        <w:t>使用实际用户案例或demo</w:t>
      </w:r>
      <w:r>
        <w:rPr>
          <w:rFonts w:hint="eastAsia" w:ascii="宋体" w:hAnsi="宋体"/>
          <w:sz w:val="21"/>
          <w:szCs w:val="21"/>
        </w:rPr>
        <w:t>进行演示。</w:t>
      </w:r>
    </w:p>
    <w:p>
      <w:pPr>
        <w:adjustRightInd w:val="0"/>
        <w:snapToGrid w:val="0"/>
        <w:spacing w:line="288" w:lineRule="auto"/>
        <w:ind w:firstLine="422" w:firstLineChars="200"/>
        <w:rPr>
          <w:rFonts w:ascii="宋体" w:hAnsi="宋体"/>
          <w:sz w:val="21"/>
          <w:szCs w:val="21"/>
        </w:rPr>
      </w:pPr>
      <w:r>
        <w:rPr>
          <w:rFonts w:hint="eastAsia" w:ascii="宋体" w:hAnsi="宋体"/>
          <w:b/>
          <w:bCs/>
          <w:sz w:val="21"/>
          <w:szCs w:val="21"/>
        </w:rPr>
        <w:t>注：未提供演示或未按以上方式提供演示的，演示分为0分</w:t>
      </w:r>
      <w:r>
        <w:rPr>
          <w:rFonts w:hint="eastAsia" w:ascii="宋体" w:hAnsi="宋体"/>
          <w:sz w:val="21"/>
          <w:szCs w:val="21"/>
        </w:rPr>
        <w:t>。</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（三）演示内容：</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供应商须对以下</w:t>
      </w:r>
      <w:r>
        <w:rPr>
          <w:rFonts w:ascii="宋体" w:hAnsi="宋体"/>
          <w:sz w:val="21"/>
          <w:szCs w:val="21"/>
        </w:rPr>
        <w:t>8</w:t>
      </w:r>
      <w:r>
        <w:rPr>
          <w:rFonts w:hint="eastAsia" w:ascii="宋体" w:hAnsi="宋体"/>
          <w:sz w:val="21"/>
          <w:szCs w:val="21"/>
        </w:rPr>
        <w:t>个功能进行完整演示：（功能需求以学院实际情况为准，以下仅为演示）</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1、校园通行码：</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与钉钉或企业微信进行认证对接，打开后可直接进行跳转并登录。能够查看个人校园通行码。校园通行码，正常状态为绿码。若健康码状态异常（非绿码），校园通行码自动变为红码，并对本人及二级单位负责人进行消息提醒。当校园通行码非绿码时，提示不可进校。可设置允许进校时间，非允许进校时间校园通行码不可用。</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2、出入校管理：</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本功能中的个人基本信息、历史打卡数据，健康码等健康信息要求自动获取。学生出校前需通过移动端登录系统，填写出校申请单。班主任或辅导员初审学生申请，初审通过后提交给学工负责人审核。要求修改申请内容的审批，则申请流转回申请人，允许申请人对申请内容进行修改。学工负责人审批通过后，获得出校码。出校码仅在申请出校的当天有效。学生扫码出校后，校园通行码、出校码自动失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返校时，学生需通过钉钉或企业微信登录系统填写返校申请，学生返校审批流程同学生出校申请审批流程。审批通过后，学生凭校园通行码/返校码，扫码进校。扫码完成后，校园通行码恢复正常。</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若未在规定时间内出校/返校的，需要重新提交申请。</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3、假期返校：</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系统能够灵活设定假期的起止时间。根据假期安排，自动更新师生通行码状态，寒暑假期间校园通行码可设置为不可用。假期期间需返校的师生用户，通过钉钉登录系统并提交返校申请。自动获取申请人前十四天的打卡数据，包括健康码状态、位置等信息。返校申请中，需包括上传行程码和上传指定时间的核酸阴性证明。若申请中信息填写不全，或有其他非正常情况，则申请流转回申请人，补充材料或提供其他相关证明材料。教职工申请提交部门负责人审核，学生申请同出入校审批流程。审核通过后，生成通行码。</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假期后，教职工可通过钉钉或企业微信申请返校，申请由二级单位负责人审核，申请时间可灵活设置。学生假后返校申请，同出入校管理中的返校审批流程。</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4、健康打卡和疫情数据统计：</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本功能主要包括日常健康打卡表单，临时性表单填报，及其统计功能。</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表单支持健康码、核酸检测报告，疫苗接种等信息的自动获取，打卡地信息获取等。填报人员，通过移动端，实现日常健康打卡等表单填报。同时进行打卡提示，以及表单在线收集及数据的自动汇总并上报给指定人员。</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5、访客管理：</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被访老师通过钉钉、企业微信或微信小程序等移动端，登录后，为自己的访客进行预约，预约成功后发送短信给访客，访客完善自己的信息并经被访人确认，提交部门负责人审核通过后，可生成访客的校园通行码。审核后，可通过短信自动发送审核结果告知访客和随行人员，访客也可根据发送的链接，查看自己的访客通行码，在规定时间内扫码进校。</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6、健康打卡统计：</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支持健康打卡后的统计分析，自动匹配中高风险地区人员，自动生成上报表单并支持导出。统计信息能按照不同权限，进行查看。</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系统能够展示每位学生的打卡信息。对应的班主任、辅导员、副书记通过健康打卡统计模块查看对应学院，专业，班级学生的打卡具体情况。同时移动端能查看健康打卡汇总统计的数据。</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系统能够展示每位教师的打卡信息。对应的教职工或人事部门通过健康打卡统计模块，查看对应部门或者分院的打卡具体情况。同时移动端能查看健康打卡汇总统计的数据。</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系统能够实现对未打卡部分人员进行消息提醒。</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7、返校信息大屏：</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根据假期扫码返校进校数据，按二级学院实时展现学生寒暑假、法定节假日返校数据，包括当日在校学生人数，当日返校学生人数、学生地区及分布情况、各时间段的返校情况等。</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8、访客信息大屏：</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根据访客扫码进校数据，实时展示当天预约访客数量、进校访客数量、当前访客来校时间段、当前访客的刷码记录、访问的部门等，大屏采用优美的图表显示（例如饼图、柱状图等），并实现每日访客详细信息的查询，如访问部门、人员、访问理由等。</w:t>
      </w:r>
    </w:p>
    <w:p>
      <w:pPr>
        <w:widowControl/>
        <w:jc w:val="left"/>
        <w:rPr>
          <w:rFonts w:ascii="宋体" w:hAnsi="宋体"/>
          <w:sz w:val="21"/>
          <w:szCs w:val="21"/>
        </w:rPr>
      </w:pPr>
      <w:r>
        <w:rPr>
          <w:rFonts w:ascii="宋体" w:hAnsi="宋体"/>
          <w:sz w:val="21"/>
          <w:szCs w:val="21"/>
        </w:rPr>
        <w:br w:type="page"/>
      </w:r>
    </w:p>
    <w:p>
      <w:pPr>
        <w:adjustRightInd w:val="0"/>
        <w:snapToGrid w:val="0"/>
        <w:spacing w:line="288" w:lineRule="auto"/>
        <w:jc w:val="center"/>
        <w:outlineLvl w:val="0"/>
        <w:rPr>
          <w:rFonts w:ascii="宋体" w:hAnsi="宋体"/>
          <w:b/>
          <w:sz w:val="32"/>
          <w:szCs w:val="32"/>
        </w:rPr>
      </w:pPr>
      <w:r>
        <w:rPr>
          <w:rFonts w:hint="eastAsia" w:ascii="宋体" w:hAnsi="宋体"/>
          <w:b/>
          <w:sz w:val="32"/>
          <w:szCs w:val="32"/>
        </w:rPr>
        <w:t>第三章  供应商须知</w:t>
      </w:r>
    </w:p>
    <w:p>
      <w:pPr>
        <w:adjustRightInd w:val="0"/>
        <w:snapToGrid w:val="0"/>
        <w:spacing w:line="288" w:lineRule="auto"/>
        <w:ind w:left="238"/>
        <w:jc w:val="center"/>
        <w:rPr>
          <w:rFonts w:ascii="宋体" w:hAnsi="宋体"/>
          <w:b/>
          <w:sz w:val="21"/>
          <w:szCs w:val="21"/>
        </w:rPr>
      </w:pPr>
      <w:r>
        <w:rPr>
          <w:rFonts w:hint="eastAsia" w:ascii="宋体" w:hAnsi="宋体"/>
          <w:b/>
          <w:sz w:val="21"/>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条款号</w:t>
            </w:r>
          </w:p>
        </w:tc>
        <w:tc>
          <w:tcPr>
            <w:tcW w:w="1701"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内容</w:t>
            </w:r>
          </w:p>
        </w:tc>
        <w:tc>
          <w:tcPr>
            <w:tcW w:w="6663"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适用范围</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本磋商文件适用于浙江财经大学东方学院疫情防控平台建设的磋商、评审、成交、验收、合同履约、付款等（法律、法规另有规定的，从其规定）。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采购方式</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本次采购采用竞争性磋商方式进行。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竞争性磋商委托</w:t>
            </w:r>
          </w:p>
        </w:tc>
        <w:tc>
          <w:tcPr>
            <w:tcW w:w="6663" w:type="dxa"/>
            <w:vAlign w:val="center"/>
          </w:tcPr>
          <w:p>
            <w:pPr>
              <w:adjustRightInd w:val="0"/>
              <w:snapToGrid w:val="0"/>
              <w:spacing w:line="288" w:lineRule="auto"/>
              <w:rPr>
                <w:rFonts w:ascii="宋体" w:hAnsi="宋体"/>
                <w:sz w:val="21"/>
                <w:szCs w:val="21"/>
              </w:rPr>
            </w:pPr>
            <w:r>
              <w:rPr>
                <w:rFonts w:ascii="宋体" w:hAnsi="宋体"/>
                <w:sz w:val="21"/>
                <w:szCs w:val="21"/>
              </w:rPr>
              <w:t>1</w:t>
            </w:r>
            <w:r>
              <w:rPr>
                <w:rFonts w:hint="eastAsia" w:ascii="宋体" w:hAnsi="宋体"/>
                <w:sz w:val="21"/>
                <w:szCs w:val="21"/>
              </w:rPr>
              <w:t>.▲供应商授权代表必须为供应商本单位在职职工，并提供2021年12月（含）以后任意一月社保缴纳证明（授权代表为法定代表人可不提供）。</w:t>
            </w:r>
          </w:p>
          <w:p>
            <w:pPr>
              <w:adjustRightInd w:val="0"/>
              <w:snapToGrid w:val="0"/>
              <w:spacing w:line="288" w:lineRule="auto"/>
              <w:rPr>
                <w:rFonts w:ascii="宋体" w:hAnsi="宋体"/>
                <w:sz w:val="21"/>
                <w:szCs w:val="21"/>
              </w:rPr>
            </w:pPr>
            <w:r>
              <w:rPr>
                <w:rFonts w:ascii="宋体" w:hAnsi="宋体"/>
                <w:sz w:val="21"/>
                <w:szCs w:val="21"/>
              </w:rPr>
              <w:t>2</w:t>
            </w:r>
            <w:r>
              <w:rPr>
                <w:rFonts w:hint="eastAsia" w:ascii="宋体" w:hAnsi="宋体"/>
                <w:sz w:val="21"/>
                <w:szCs w:val="21"/>
              </w:rPr>
              <w:t>.如供应商代表不是法定代表人，须提供法定代表人授权委托书（格式详见磋商文件第六章）。</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3.供应商授权代表必须持本人有效的身份证原件、驾驶证原件或护照原件于响应文件提交的截止时间前到达响应文件的开启地点参与磋商。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（四）</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磋商费用</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1.不论磋商结果如何，供应商均应自行承担所有与磋商有关的全部费用；</w:t>
            </w:r>
          </w:p>
          <w:p>
            <w:pPr>
              <w:adjustRightInd w:val="0"/>
              <w:snapToGrid w:val="0"/>
              <w:spacing w:line="288" w:lineRule="auto"/>
              <w:rPr>
                <w:rFonts w:ascii="宋体" w:hAnsi="宋体"/>
                <w:sz w:val="21"/>
                <w:szCs w:val="21"/>
              </w:rPr>
            </w:pPr>
            <w:r>
              <w:rPr>
                <w:rFonts w:hint="eastAsia" w:ascii="宋体" w:hAnsi="宋体"/>
                <w:sz w:val="21"/>
                <w:szCs w:val="21"/>
              </w:rPr>
              <w:t>2.成交供应商在成交通知书发出之日起七个工作日内，向采购代理机构交纳代理服务费；</w:t>
            </w:r>
          </w:p>
          <w:p>
            <w:pPr>
              <w:adjustRightInd w:val="0"/>
              <w:snapToGrid w:val="0"/>
              <w:spacing w:line="288" w:lineRule="auto"/>
              <w:rPr>
                <w:rFonts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rFonts w:ascii="宋体" w:hAnsi="宋体"/>
                <w:sz w:val="21"/>
                <w:szCs w:val="21"/>
              </w:rPr>
            </w:pPr>
            <w:bookmarkStart w:id="44" w:name="_Hlk71808378"/>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成交金额（万元）</w:t>
                  </w:r>
                </w:p>
              </w:tc>
              <w:tc>
                <w:tcPr>
                  <w:tcW w:w="2338"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100以下</w:t>
                  </w:r>
                </w:p>
              </w:tc>
              <w:tc>
                <w:tcPr>
                  <w:tcW w:w="2338"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w:t>
                  </w:r>
                  <w:r>
                    <w:rPr>
                      <w:rFonts w:ascii="宋体" w:hAnsi="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100-500</w:t>
                  </w:r>
                </w:p>
              </w:tc>
              <w:tc>
                <w:tcPr>
                  <w:tcW w:w="2338" w:type="dxa"/>
                  <w:vAlign w:val="center"/>
                </w:tcPr>
                <w:p>
                  <w:pPr>
                    <w:adjustRightInd w:val="0"/>
                    <w:snapToGrid w:val="0"/>
                    <w:spacing w:line="288" w:lineRule="auto"/>
                    <w:jc w:val="center"/>
                    <w:rPr>
                      <w:rFonts w:ascii="宋体" w:hAnsi="宋体"/>
                      <w:sz w:val="21"/>
                      <w:szCs w:val="21"/>
                    </w:rPr>
                  </w:pPr>
                  <w:r>
                    <w:rPr>
                      <w:rFonts w:ascii="宋体" w:hAnsi="宋体"/>
                      <w:sz w:val="21"/>
                      <w:szCs w:val="21"/>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5" w:type="dxa"/>
                  <w:gridSpan w:val="2"/>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不足3</w:t>
                  </w:r>
                  <w:r>
                    <w:rPr>
                      <w:rFonts w:ascii="宋体" w:hAnsi="宋体"/>
                      <w:sz w:val="21"/>
                      <w:szCs w:val="21"/>
                    </w:rPr>
                    <w:t>000</w:t>
                  </w:r>
                  <w:r>
                    <w:rPr>
                      <w:rFonts w:hint="eastAsia" w:ascii="宋体" w:hAnsi="宋体"/>
                      <w:sz w:val="21"/>
                      <w:szCs w:val="21"/>
                    </w:rPr>
                    <w:t>元按3</w:t>
                  </w:r>
                  <w:r>
                    <w:rPr>
                      <w:rFonts w:ascii="宋体" w:hAnsi="宋体"/>
                      <w:sz w:val="21"/>
                      <w:szCs w:val="21"/>
                    </w:rPr>
                    <w:t>000</w:t>
                  </w:r>
                  <w:r>
                    <w:rPr>
                      <w:rFonts w:hint="eastAsia" w:ascii="宋体" w:hAnsi="宋体"/>
                      <w:sz w:val="21"/>
                      <w:szCs w:val="21"/>
                    </w:rPr>
                    <w:t>元收取</w:t>
                  </w:r>
                </w:p>
              </w:tc>
            </w:tr>
            <w:bookmarkEnd w:id="44"/>
          </w:tbl>
          <w:p>
            <w:pPr>
              <w:adjustRightInd w:val="0"/>
              <w:snapToGrid w:val="0"/>
              <w:spacing w:line="288"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（五）</w:t>
            </w:r>
          </w:p>
        </w:tc>
        <w:tc>
          <w:tcPr>
            <w:tcW w:w="1701" w:type="dxa"/>
            <w:vAlign w:val="center"/>
          </w:tcPr>
          <w:p>
            <w:pPr>
              <w:adjustRightInd w:val="0"/>
              <w:snapToGrid w:val="0"/>
              <w:spacing w:line="288" w:lineRule="auto"/>
              <w:ind w:right="-104" w:rightChars="-37"/>
              <w:jc w:val="center"/>
              <w:rPr>
                <w:rFonts w:ascii="宋体" w:hAnsi="宋体"/>
                <w:sz w:val="21"/>
                <w:szCs w:val="21"/>
              </w:rPr>
            </w:pPr>
            <w:r>
              <w:rPr>
                <w:rFonts w:hint="eastAsia" w:ascii="宋体" w:hAnsi="宋体"/>
                <w:spacing w:val="-6"/>
                <w:sz w:val="21"/>
                <w:szCs w:val="21"/>
              </w:rPr>
              <w:t>磋商保证金（元）</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（六）</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联合体响应</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（七）</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转包与分包</w:t>
            </w:r>
          </w:p>
        </w:tc>
        <w:tc>
          <w:tcPr>
            <w:tcW w:w="6663" w:type="dxa"/>
            <w:vAlign w:val="center"/>
          </w:tcPr>
          <w:p>
            <w:pPr>
              <w:adjustRightInd w:val="0"/>
              <w:snapToGrid w:val="0"/>
              <w:spacing w:line="288" w:lineRule="auto"/>
              <w:rPr>
                <w:rFonts w:ascii="宋体" w:hAnsi="宋体"/>
                <w:sz w:val="21"/>
                <w:szCs w:val="21"/>
              </w:rPr>
            </w:pPr>
            <w:bookmarkStart w:id="45" w:name="_Hlk71883886"/>
            <w:r>
              <w:rPr>
                <w:rFonts w:hint="eastAsia" w:ascii="宋体" w:hAnsi="宋体"/>
                <w:sz w:val="21"/>
                <w:szCs w:val="21"/>
              </w:rPr>
              <w:t>1.本项目不允许转包；</w:t>
            </w:r>
          </w:p>
          <w:p>
            <w:pPr>
              <w:adjustRightInd w:val="0"/>
              <w:snapToGrid w:val="0"/>
              <w:spacing w:line="288" w:lineRule="auto"/>
              <w:rPr>
                <w:rFonts w:ascii="宋体" w:hAnsi="宋体"/>
                <w:sz w:val="21"/>
                <w:szCs w:val="21"/>
              </w:rPr>
            </w:pPr>
            <w:r>
              <w:rPr>
                <w:rFonts w:hint="eastAsia" w:ascii="宋体" w:hAnsi="宋体"/>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（八）</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b/>
                <w:bCs/>
                <w:sz w:val="21"/>
                <w:szCs w:val="21"/>
              </w:rPr>
              <w:t>信用记录</w:t>
            </w:r>
          </w:p>
        </w:tc>
        <w:tc>
          <w:tcPr>
            <w:tcW w:w="6663" w:type="dxa"/>
            <w:vAlign w:val="center"/>
          </w:tcPr>
          <w:p>
            <w:pPr>
              <w:adjustRightInd w:val="0"/>
              <w:snapToGrid w:val="0"/>
              <w:spacing w:line="288" w:lineRule="auto"/>
              <w:rPr>
                <w:rFonts w:ascii="宋体" w:hAnsi="宋体"/>
                <w:bCs/>
                <w:sz w:val="21"/>
                <w:szCs w:val="21"/>
              </w:rPr>
            </w:pPr>
            <w:bookmarkStart w:id="46" w:name="_Hlk71808489"/>
            <w:r>
              <w:rPr>
                <w:rFonts w:hint="eastAsia" w:ascii="宋体" w:hAnsi="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sz w:val="21"/>
                <w:szCs w:val="21"/>
              </w:rPr>
              <w:t>信息查询的截止时点：响应截止时间；</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）信用信息的使用规则：供应商被列入失信被执行人、重大税收违法案件当事人名单、政府采购严重违法失信行为记录名单的，拒绝其参与采购活动。</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（九）</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资格审查要求的资格证明材料</w:t>
            </w:r>
          </w:p>
        </w:tc>
        <w:tc>
          <w:tcPr>
            <w:tcW w:w="6663" w:type="dxa"/>
            <w:vAlign w:val="center"/>
          </w:tcPr>
          <w:p>
            <w:pPr>
              <w:adjustRightInd w:val="0"/>
              <w:snapToGrid w:val="0"/>
              <w:spacing w:line="288" w:lineRule="auto"/>
              <w:rPr>
                <w:rFonts w:ascii="宋体" w:hAnsi="宋体"/>
                <w:b/>
                <w:bCs/>
                <w:sz w:val="21"/>
                <w:szCs w:val="21"/>
              </w:rPr>
            </w:pPr>
            <w:r>
              <w:rPr>
                <w:rFonts w:hint="eastAsia" w:ascii="宋体" w:hAnsi="宋体"/>
                <w:b/>
                <w:bCs/>
                <w:sz w:val="21"/>
                <w:szCs w:val="21"/>
              </w:rPr>
              <w:t>资格审查要求的资格证明材料(均需加盖公章)：</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1）有效的法人或者其他组织的营业执照等证明文件，自然人的身份证明</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b/>
                <w:bCs/>
                <w:sz w:val="21"/>
                <w:szCs w:val="21"/>
              </w:rPr>
              <w:t>响应文件份数</w:t>
            </w:r>
          </w:p>
        </w:tc>
        <w:tc>
          <w:tcPr>
            <w:tcW w:w="6663" w:type="dxa"/>
            <w:vAlign w:val="center"/>
          </w:tcPr>
          <w:p>
            <w:pPr>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合并装订成册，其中正本一份、副本三份，响应文件的封面应注明“正本“、“副本”字样。</w:t>
            </w:r>
          </w:p>
          <w:p>
            <w:pPr>
              <w:adjustRightInd w:val="0"/>
              <w:snapToGrid w:val="0"/>
              <w:spacing w:line="288" w:lineRule="auto"/>
              <w:ind w:firstLine="398" w:firstLineChars="200"/>
              <w:jc w:val="left"/>
              <w:rPr>
                <w:rFonts w:ascii="宋体" w:hAnsi="宋体"/>
                <w:bCs/>
                <w:spacing w:val="-6"/>
                <w:sz w:val="21"/>
                <w:szCs w:val="21"/>
              </w:rPr>
            </w:pPr>
            <w:r>
              <w:rPr>
                <w:rFonts w:hint="eastAsia" w:ascii="宋体" w:hAnsi="宋体"/>
                <w:b/>
                <w:spacing w:val="-6"/>
                <w:sz w:val="21"/>
                <w:szCs w:val="21"/>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b/>
                <w:bCs/>
                <w:sz w:val="21"/>
                <w:szCs w:val="21"/>
              </w:rPr>
              <w:t>磋商报价</w:t>
            </w:r>
          </w:p>
        </w:tc>
        <w:tc>
          <w:tcPr>
            <w:tcW w:w="6663" w:type="dxa"/>
            <w:vAlign w:val="center"/>
          </w:tcPr>
          <w:p>
            <w:pPr>
              <w:adjustRightInd w:val="0"/>
              <w:snapToGrid w:val="0"/>
              <w:spacing w:line="288" w:lineRule="auto"/>
              <w:rPr>
                <w:rFonts w:ascii="宋体" w:hAnsi="宋体"/>
                <w:sz w:val="21"/>
                <w:szCs w:val="21"/>
              </w:rPr>
            </w:pPr>
            <w:bookmarkStart w:id="47" w:name="_Hlk71884277"/>
            <w:r>
              <w:rPr>
                <w:rFonts w:hint="eastAsia" w:ascii="宋体" w:hAnsi="宋体"/>
                <w:sz w:val="21"/>
                <w:szCs w:val="21"/>
              </w:rPr>
              <w:t>1</w:t>
            </w:r>
            <w:r>
              <w:rPr>
                <w:rFonts w:ascii="宋体" w:hAnsi="宋体"/>
                <w:sz w:val="21"/>
                <w:szCs w:val="21"/>
              </w:rPr>
              <w:t>.</w:t>
            </w:r>
            <w:r>
              <w:rPr>
                <w:rFonts w:hint="eastAsia" w:ascii="宋体" w:hAnsi="宋体"/>
                <w:sz w:val="21"/>
                <w:szCs w:val="21"/>
              </w:rPr>
              <w:t>报价应按磋商文件要求的格式编制、填写报价内容（可自行增行），未按磋商文件要求编制、填写的响应文件可能被拒绝；</w:t>
            </w:r>
          </w:p>
          <w:p>
            <w:pPr>
              <w:adjustRightInd w:val="0"/>
              <w:snapToGrid w:val="0"/>
              <w:spacing w:line="288" w:lineRule="auto"/>
              <w:rPr>
                <w:rFonts w:ascii="宋体" w:hAnsi="宋体"/>
                <w:sz w:val="21"/>
                <w:szCs w:val="21"/>
              </w:rPr>
            </w:pPr>
            <w:r>
              <w:rPr>
                <w:rFonts w:ascii="宋体" w:hAnsi="宋体"/>
                <w:sz w:val="21"/>
                <w:szCs w:val="21"/>
              </w:rPr>
              <w:t>2</w:t>
            </w:r>
            <w:r>
              <w:rPr>
                <w:rFonts w:hint="eastAsia" w:ascii="宋体" w:hAnsi="宋体"/>
                <w:sz w:val="21"/>
                <w:szCs w:val="21"/>
              </w:rPr>
              <w:t>.本次磋商采用人民币报价；</w:t>
            </w:r>
          </w:p>
          <w:p>
            <w:pPr>
              <w:adjustRightInd w:val="0"/>
              <w:snapToGrid w:val="0"/>
              <w:spacing w:line="288" w:lineRule="auto"/>
              <w:rPr>
                <w:rFonts w:ascii="宋体" w:hAnsi="宋体"/>
                <w:sz w:val="21"/>
                <w:szCs w:val="21"/>
              </w:rPr>
            </w:pPr>
            <w:r>
              <w:rPr>
                <w:rFonts w:ascii="宋体" w:hAnsi="宋体"/>
                <w:sz w:val="21"/>
                <w:szCs w:val="21"/>
              </w:rPr>
              <w:t>3</w:t>
            </w:r>
            <w:r>
              <w:rPr>
                <w:rFonts w:hint="eastAsia" w:ascii="宋体" w:hAnsi="宋体"/>
                <w:sz w:val="21"/>
                <w:szCs w:val="21"/>
              </w:rPr>
              <w:t>.最后磋商报价是履行合同的最终价格，有关本项目实施所涉及的一切费用均计入报价。</w:t>
            </w:r>
            <w:bookmarkEnd w:id="47"/>
          </w:p>
          <w:p>
            <w:pPr>
              <w:adjustRightInd w:val="0"/>
              <w:snapToGrid w:val="0"/>
              <w:spacing w:line="288" w:lineRule="auto"/>
              <w:rPr>
                <w:rFonts w:ascii="宋体" w:hAnsi="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采购人将以合同形式有偿取得货物或服务，不接受供应商给予的赠品、回扣或者与采购无关的其他商品、服务</w:t>
            </w:r>
            <w:r>
              <w:rPr>
                <w:rFonts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b/>
                <w:bCs/>
                <w:sz w:val="21"/>
                <w:szCs w:val="21"/>
              </w:rPr>
              <w:t>响应有效期</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w:t>
            </w:r>
            <w:bookmarkStart w:id="48" w:name="_Hlk71884303"/>
            <w:r>
              <w:rPr>
                <w:rFonts w:hint="eastAsia" w:ascii="宋体" w:hAnsi="宋体"/>
                <w:sz w:val="21"/>
                <w:szCs w:val="21"/>
              </w:rPr>
              <w:t>从提交响应文件的截止之日起90天。在原响应有效期满之前，如果出现特殊情况，采购人或采购代理机构以书面形式通知供应商延长响应有效期。</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评审方法及评审标准</w:t>
            </w:r>
          </w:p>
        </w:tc>
        <w:tc>
          <w:tcPr>
            <w:tcW w:w="6663" w:type="dxa"/>
            <w:vAlign w:val="center"/>
          </w:tcPr>
          <w:p>
            <w:pPr>
              <w:adjustRightInd w:val="0"/>
              <w:snapToGrid w:val="0"/>
              <w:spacing w:line="288" w:lineRule="auto"/>
              <w:rPr>
                <w:rFonts w:ascii="宋体" w:hAnsi="宋体"/>
                <w:sz w:val="21"/>
                <w:szCs w:val="21"/>
              </w:rPr>
            </w:pPr>
            <w:r>
              <w:rPr>
                <w:rFonts w:ascii="宋体" w:hAnsi="宋体"/>
                <w:sz w:val="21"/>
                <w:szCs w:val="21"/>
              </w:rPr>
              <w:t>详见“</w:t>
            </w:r>
            <w:r>
              <w:rPr>
                <w:rFonts w:hint="eastAsia" w:ascii="宋体" w:hAnsi="宋体"/>
                <w:sz w:val="21"/>
                <w:szCs w:val="21"/>
              </w:rPr>
              <w:t>第四章  评审方法及评审标准</w:t>
            </w:r>
            <w:r>
              <w:rPr>
                <w:rFonts w:ascii="宋体" w:hAnsi="宋体"/>
                <w:sz w:val="21"/>
                <w:szCs w:val="21"/>
              </w:rPr>
              <w:t>”</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评审结果公示</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（十五）</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签订合同</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成交通知书发出之日起30日内。</w:t>
            </w:r>
          </w:p>
        </w:tc>
      </w:tr>
    </w:tbl>
    <w:p>
      <w:pPr>
        <w:pStyle w:val="14"/>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总则</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供应商应仔细阅读磋商文件的所有内容，按照磋商文件的要求提交响应文件，并对所提供的全部资料的真实性承担法律责任。</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本磋商文件适用于浙江财经大学东方学院疫情防控平台建设的磋商、评审、成交、验收、合同履约、付款等（法律、法规另有规定的，从其规定）。</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（二）定义</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1.“采购人”系指浙江财经大学东方学院；</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采购代理机构”系指组织本次竞争性磋商的浙江求是招标代理有限公司；</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3．“供应商”系指响应磋商、参加竞争的法人、其他组织或者自然人；</w:t>
      </w:r>
    </w:p>
    <w:p>
      <w:pPr>
        <w:adjustRightInd w:val="0"/>
        <w:snapToGrid w:val="0"/>
        <w:spacing w:line="288" w:lineRule="auto"/>
        <w:ind w:firstLine="420" w:firstLineChars="200"/>
        <w:rPr>
          <w:rFonts w:ascii="宋体" w:hAnsi="宋体"/>
          <w:spacing w:val="-6"/>
          <w:sz w:val="21"/>
          <w:szCs w:val="21"/>
        </w:rPr>
      </w:pPr>
      <w:r>
        <w:rPr>
          <w:rFonts w:hint="eastAsia" w:ascii="宋体" w:hAnsi="宋体"/>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5．“▲”系指实质性要求条款，供应商必须做出实质性响应。</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（三）采购方式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本次采购采用竞争性磋商方式进行。</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（四）竞争性磋商委托</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.供应商授权代表必须为供应商本单位在职职工，并提供2021年12月（含）以后任意一月社保缴纳证明（授权代表为法定代表人可不提供）。</w:t>
      </w:r>
    </w:p>
    <w:p>
      <w:pPr>
        <w:adjustRightInd w:val="0"/>
        <w:snapToGrid w:val="0"/>
        <w:spacing w:line="288" w:lineRule="auto"/>
        <w:ind w:firstLine="420" w:firstLineChars="200"/>
        <w:rPr>
          <w:rFonts w:ascii="宋体" w:hAnsi="宋体" w:cs="宋体"/>
          <w:sz w:val="21"/>
          <w:szCs w:val="21"/>
        </w:rPr>
      </w:pPr>
      <w:r>
        <w:rPr>
          <w:rFonts w:ascii="宋体" w:hAnsi="宋体" w:cs="宋体"/>
          <w:sz w:val="21"/>
          <w:szCs w:val="21"/>
        </w:rPr>
        <w:t>2</w:t>
      </w:r>
      <w:r>
        <w:rPr>
          <w:rFonts w:hint="eastAsia" w:ascii="宋体" w:hAnsi="宋体" w:cs="宋体"/>
          <w:sz w:val="21"/>
          <w:szCs w:val="21"/>
        </w:rPr>
        <w:t>.如供应商代表不是法定代表人，须提供法定代表人授权委托书（格式详见磋商文件第六章）。</w:t>
      </w:r>
    </w:p>
    <w:p>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3</w:t>
      </w:r>
      <w:r>
        <w:rPr>
          <w:rFonts w:hint="eastAsia" w:hAnsi="宋体"/>
          <w:spacing w:val="-6"/>
          <w:sz w:val="21"/>
          <w:szCs w:val="21"/>
        </w:rPr>
        <w:t>.供应商授权代表必须持本人有效的身份证原件、驾驶证原件或护照原件于响应文件提交的截止时间前到达响应文件的开启地点参与磋商。</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（五）磋商费用</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1.不论磋商结果如何，供应商均应自行承担所有与磋商有关的全部费用；</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2.成交供应商在成交通知书发出之日起七个工作日内，向采购代理机构交纳代理服务费；</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成交金额（万元）</w:t>
            </w:r>
          </w:p>
        </w:tc>
        <w:tc>
          <w:tcPr>
            <w:tcW w:w="2338"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100以下</w:t>
            </w:r>
          </w:p>
        </w:tc>
        <w:tc>
          <w:tcPr>
            <w:tcW w:w="2338"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w:t>
            </w:r>
            <w:r>
              <w:rPr>
                <w:rFonts w:ascii="宋体" w:hAnsi="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100-500</w:t>
            </w:r>
          </w:p>
        </w:tc>
        <w:tc>
          <w:tcPr>
            <w:tcW w:w="2338" w:type="dxa"/>
            <w:vAlign w:val="center"/>
          </w:tcPr>
          <w:p>
            <w:pPr>
              <w:adjustRightInd w:val="0"/>
              <w:snapToGrid w:val="0"/>
              <w:spacing w:line="288" w:lineRule="auto"/>
              <w:jc w:val="center"/>
              <w:rPr>
                <w:rFonts w:ascii="宋体" w:hAnsi="宋体"/>
                <w:sz w:val="21"/>
                <w:szCs w:val="21"/>
              </w:rPr>
            </w:pPr>
            <w:r>
              <w:rPr>
                <w:rFonts w:ascii="宋体" w:hAnsi="宋体"/>
                <w:sz w:val="21"/>
                <w:szCs w:val="21"/>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5" w:type="dxa"/>
            <w:gridSpan w:val="2"/>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不足3</w:t>
            </w:r>
            <w:r>
              <w:rPr>
                <w:rFonts w:ascii="宋体" w:hAnsi="宋体"/>
                <w:sz w:val="21"/>
                <w:szCs w:val="21"/>
              </w:rPr>
              <w:t>000</w:t>
            </w:r>
            <w:r>
              <w:rPr>
                <w:rFonts w:hint="eastAsia" w:ascii="宋体" w:hAnsi="宋体"/>
                <w:sz w:val="21"/>
                <w:szCs w:val="21"/>
              </w:rPr>
              <w:t>元按3</w:t>
            </w:r>
            <w:r>
              <w:rPr>
                <w:rFonts w:ascii="宋体" w:hAnsi="宋体"/>
                <w:sz w:val="21"/>
                <w:szCs w:val="21"/>
              </w:rPr>
              <w:t>000</w:t>
            </w:r>
            <w:r>
              <w:rPr>
                <w:rFonts w:hint="eastAsia" w:ascii="宋体" w:hAnsi="宋体"/>
                <w:sz w:val="21"/>
                <w:szCs w:val="21"/>
              </w:rPr>
              <w:t>元收取</w:t>
            </w:r>
          </w:p>
        </w:tc>
      </w:tr>
    </w:tbl>
    <w:p>
      <w:pPr>
        <w:adjustRightInd w:val="0"/>
        <w:snapToGrid w:val="0"/>
        <w:spacing w:line="288" w:lineRule="auto"/>
        <w:ind w:firstLine="420" w:firstLineChars="200"/>
        <w:rPr>
          <w:rFonts w:ascii="宋体" w:hAnsi="宋体"/>
          <w:b/>
          <w:spacing w:val="-6"/>
          <w:sz w:val="21"/>
          <w:szCs w:val="21"/>
        </w:rPr>
      </w:pPr>
      <w:r>
        <w:rPr>
          <w:rFonts w:hint="eastAsia" w:ascii="宋体" w:hAnsi="宋体"/>
          <w:sz w:val="21"/>
          <w:szCs w:val="21"/>
        </w:rPr>
        <w:t>5.磋商保证金（元）：无</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（六）联合体响应</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本项目不接受联合体响应。</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（七）转包与分包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1.本项目不允许转包；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rFonts w:ascii="宋体" w:hAnsi="宋体" w:cs="宋体"/>
          <w:b/>
          <w:bCs/>
          <w:sz w:val="21"/>
          <w:szCs w:val="21"/>
        </w:rPr>
      </w:pPr>
      <w:r>
        <w:rPr>
          <w:rFonts w:hint="eastAsia" w:ascii="宋体" w:hAnsi="宋体" w:cs="宋体"/>
          <w:b/>
          <w:bCs/>
          <w:sz w:val="21"/>
          <w:szCs w:val="21"/>
        </w:rPr>
        <w:t>（八）质疑和投诉</w:t>
      </w:r>
    </w:p>
    <w:p>
      <w:pPr>
        <w:adjustRightInd w:val="0"/>
        <w:snapToGrid w:val="0"/>
        <w:spacing w:line="288" w:lineRule="auto"/>
        <w:ind w:firstLine="396" w:firstLineChars="200"/>
        <w:jc w:val="left"/>
        <w:rPr>
          <w:rFonts w:ascii="宋体" w:hAnsi="宋体"/>
          <w:spacing w:val="-6"/>
          <w:sz w:val="21"/>
          <w:szCs w:val="21"/>
        </w:rPr>
      </w:pPr>
      <w:bookmarkStart w:id="49" w:name="_Hlk92273406"/>
      <w:bookmarkStart w:id="50" w:name="_Hlk71884065"/>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bookmarkEnd w:id="49"/>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2.供应商提出质疑应当提交质疑函和必要的证明材料，质疑函范本请到浙江政府采购网下载专区</w:t>
      </w:r>
      <w:r>
        <w:rPr>
          <w:rFonts w:ascii="宋体" w:hAnsi="宋体" w:cs="宋体"/>
          <w:b/>
          <w:bCs/>
          <w:sz w:val="21"/>
          <w:szCs w:val="21"/>
        </w:rPr>
        <w:t>下载。</w:t>
      </w:r>
      <w:r>
        <w:rPr>
          <w:rFonts w:hint="eastAsia" w:ascii="宋体" w:hAnsi="宋体" w:cs="宋体"/>
          <w:b/>
          <w:bCs/>
          <w:sz w:val="21"/>
          <w:szCs w:val="21"/>
        </w:rPr>
        <w:t>质疑函应当包括下列内容：</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（1）供应商的姓名或者名称、地址、邮编、联系人及联系电话；</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（2）质疑项目的名称、编号；</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（3）具体、明确的质疑事项和与质疑事项相关的请求；</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（4）事实依据；</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（5）必要的法律依据；</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（6）提出质疑的日期。</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rFonts w:ascii="宋体" w:hAnsi="宋体" w:cs="宋体"/>
          <w:b/>
          <w:bCs/>
          <w:sz w:val="21"/>
          <w:szCs w:val="21"/>
        </w:rPr>
      </w:pPr>
      <w:r>
        <w:rPr>
          <w:rFonts w:hint="eastAsia" w:ascii="宋体" w:hAnsi="宋体" w:cs="宋体"/>
          <w:sz w:val="21"/>
          <w:szCs w:val="21"/>
        </w:rPr>
        <w:t>3.提出质疑的供应商应当是参与本项目磋商响应活动的供应商。</w:t>
      </w:r>
      <w:r>
        <w:rPr>
          <w:rFonts w:hint="eastAsia" w:ascii="宋体" w:hAnsi="宋体" w:cs="宋体"/>
          <w:b/>
          <w:bCs/>
          <w:sz w:val="21"/>
          <w:szCs w:val="21"/>
        </w:rPr>
        <w:t>供应商在法定质疑期内应一次性提出针对同一采购程序环节的质疑。</w:t>
      </w:r>
    </w:p>
    <w:bookmarkEnd w:id="50"/>
    <w:p>
      <w:pPr>
        <w:adjustRightInd w:val="0"/>
        <w:snapToGrid w:val="0"/>
        <w:spacing w:line="288" w:lineRule="auto"/>
        <w:outlineLvl w:val="2"/>
        <w:rPr>
          <w:rFonts w:ascii="宋体" w:hAnsi="宋体" w:cs="宋体"/>
          <w:b/>
          <w:spacing w:val="-6"/>
          <w:kern w:val="0"/>
          <w:sz w:val="21"/>
          <w:szCs w:val="21"/>
        </w:rPr>
      </w:pPr>
      <w:bookmarkStart w:id="51" w:name="_Hlk92273111"/>
      <w:r>
        <w:rPr>
          <w:rFonts w:ascii="宋体" w:hAnsi="宋体" w:cs="宋体"/>
          <w:b/>
          <w:spacing w:val="-6"/>
          <w:kern w:val="0"/>
          <w:sz w:val="21"/>
          <w:szCs w:val="21"/>
        </w:rPr>
        <w:t>（</w:t>
      </w:r>
      <w:r>
        <w:rPr>
          <w:rFonts w:hint="eastAsia" w:ascii="宋体" w:hAnsi="宋体" w:cs="宋体"/>
          <w:b/>
          <w:spacing w:val="-6"/>
          <w:kern w:val="0"/>
          <w:sz w:val="21"/>
          <w:szCs w:val="21"/>
        </w:rPr>
        <w:t>九</w:t>
      </w:r>
      <w:r>
        <w:rPr>
          <w:rFonts w:ascii="宋体" w:hAnsi="宋体" w:cs="宋体"/>
          <w:b/>
          <w:spacing w:val="-6"/>
          <w:kern w:val="0"/>
          <w:sz w:val="21"/>
          <w:szCs w:val="21"/>
        </w:rPr>
        <w:t>）</w:t>
      </w:r>
      <w:r>
        <w:rPr>
          <w:rFonts w:hint="eastAsia" w:ascii="宋体" w:hAnsi="宋体" w:cs="宋体"/>
          <w:b/>
          <w:spacing w:val="-6"/>
          <w:kern w:val="0"/>
          <w:sz w:val="21"/>
          <w:szCs w:val="21"/>
        </w:rPr>
        <w:t>采购项目需要落实的政府采购政策</w:t>
      </w:r>
    </w:p>
    <w:p>
      <w:pPr>
        <w:adjustRightInd w:val="0"/>
        <w:snapToGrid w:val="0"/>
        <w:spacing w:line="288" w:lineRule="auto"/>
        <w:ind w:firstLine="398" w:firstLineChars="200"/>
        <w:jc w:val="left"/>
        <w:rPr>
          <w:rFonts w:ascii="宋体" w:hAnsi="宋体"/>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ascii="宋体" w:hAnsi="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b/>
          <w:bCs/>
          <w:spacing w:val="-6"/>
          <w:sz w:val="21"/>
          <w:szCs w:val="21"/>
        </w:rPr>
      </w:pPr>
      <w:r>
        <w:rPr>
          <w:rFonts w:ascii="宋体" w:hAnsi="宋体"/>
          <w:b/>
          <w:bCs/>
          <w:spacing w:val="-6"/>
          <w:sz w:val="21"/>
          <w:szCs w:val="21"/>
        </w:rPr>
        <w:t>2.支持绿色发展</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ascii="宋体" w:hAnsi="宋体"/>
          <w:spacing w:val="-6"/>
          <w:sz w:val="21"/>
          <w:szCs w:val="21"/>
          <w:u w:val="single"/>
        </w:rPr>
        <w:t>响应</w:t>
      </w:r>
      <w:r>
        <w:rPr>
          <w:rFonts w:ascii="宋体" w:hAnsi="宋体"/>
          <w:spacing w:val="-6"/>
          <w:sz w:val="21"/>
          <w:szCs w:val="21"/>
          <w:u w:val="single"/>
        </w:rPr>
        <w:t>无效。</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b/>
          <w:bCs/>
          <w:spacing w:val="-6"/>
          <w:sz w:val="21"/>
          <w:szCs w:val="21"/>
        </w:rPr>
      </w:pPr>
      <w:r>
        <w:rPr>
          <w:rFonts w:ascii="宋体" w:hAnsi="宋体"/>
          <w:b/>
          <w:bCs/>
          <w:spacing w:val="-6"/>
          <w:sz w:val="21"/>
          <w:szCs w:val="21"/>
        </w:rPr>
        <w:t>3.支持中小企业发展</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在政府采购活动中，供应商提供的货物、工程或者服务符合下列情形的，享受中小企业扶持政策：</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对于未预留份额专门面向中小企业的政府采购货物或服务项目，以及预留份额政府采购货物或服务项目中的非预留部分标项，对小型和微型企业的</w:t>
      </w:r>
      <w:r>
        <w:rPr>
          <w:rFonts w:hint="eastAsia" w:ascii="宋体" w:hAnsi="宋体"/>
          <w:spacing w:val="-6"/>
          <w:sz w:val="21"/>
          <w:szCs w:val="21"/>
        </w:rPr>
        <w:t>最后</w:t>
      </w:r>
      <w:r>
        <w:rPr>
          <w:rFonts w:ascii="宋体" w:hAnsi="宋体"/>
          <w:spacing w:val="-6"/>
          <w:sz w:val="21"/>
          <w:szCs w:val="21"/>
        </w:rPr>
        <w:t>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Pr>
          <w:rFonts w:hint="eastAsia" w:ascii="宋体" w:hAnsi="宋体"/>
          <w:spacing w:val="-6"/>
          <w:sz w:val="21"/>
          <w:szCs w:val="21"/>
        </w:rPr>
        <w:t>股、管理关系的，不享受价格扣除优惠政策。</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中小企业享受扶持政策获得政府采购合同的，小微企业不得将合同分包给大中型企业，中型企业不得将合同分包给大型企业。</w:t>
      </w:r>
      <w:bookmarkEnd w:id="51"/>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除财库</w:t>
      </w:r>
      <w:r>
        <w:rPr>
          <w:rFonts w:ascii="宋体" w:hAnsi="宋体"/>
          <w:spacing w:val="-6"/>
          <w:sz w:val="21"/>
          <w:szCs w:val="21"/>
        </w:rPr>
        <w:t>《政府采购促进中小企业发展管理办法》</w:t>
      </w:r>
      <w:r>
        <w:rPr>
          <w:rFonts w:hint="eastAsia" w:ascii="宋体" w:hAnsi="宋体"/>
          <w:spacing w:val="-6"/>
          <w:sz w:val="21"/>
          <w:szCs w:val="21"/>
        </w:rPr>
        <w:t>（财库〔</w:t>
      </w:r>
      <w:r>
        <w:rPr>
          <w:rFonts w:ascii="宋体" w:hAnsi="宋体"/>
          <w:spacing w:val="-6"/>
          <w:sz w:val="21"/>
          <w:szCs w:val="21"/>
        </w:rPr>
        <w:t>2020〕46号</w:t>
      </w:r>
      <w:r>
        <w:rPr>
          <w:rFonts w:hint="eastAsia" w:ascii="宋体" w:hAnsi="宋体"/>
          <w:spacing w:val="-6"/>
          <w:sz w:val="21"/>
          <w:szCs w:val="21"/>
        </w:rPr>
        <w:t>）、</w:t>
      </w:r>
      <w:r>
        <w:rPr>
          <w:rFonts w:ascii="宋体" w:hAnsi="宋体"/>
          <w:spacing w:val="-6"/>
          <w:sz w:val="21"/>
          <w:szCs w:val="21"/>
        </w:rPr>
        <w:t>《关于促进残疾人就业政府采购政策的通知》（财库〔2017〕141号）</w:t>
      </w:r>
      <w:r>
        <w:rPr>
          <w:rFonts w:hint="eastAsia" w:ascii="宋体" w:hAnsi="宋体"/>
          <w:spacing w:val="-6"/>
          <w:sz w:val="21"/>
          <w:szCs w:val="21"/>
        </w:rPr>
        <w:t>、</w:t>
      </w:r>
      <w:r>
        <w:rPr>
          <w:rFonts w:ascii="宋体" w:hAnsi="宋体"/>
          <w:spacing w:val="-6"/>
          <w:sz w:val="21"/>
          <w:szCs w:val="21"/>
        </w:rPr>
        <w:t>《关于政府采购支持监狱企业发展有关问题的通知》（财库[2014]68号）规定企业类型以外的供应商不享受中小企业扶持政策</w:t>
      </w:r>
      <w:r>
        <w:rPr>
          <w:rFonts w:hint="eastAsia" w:ascii="宋体" w:hAnsi="宋体"/>
          <w:spacing w:val="-6"/>
          <w:sz w:val="21"/>
          <w:szCs w:val="21"/>
        </w:rPr>
        <w:t>。</w:t>
      </w:r>
    </w:p>
    <w:p>
      <w:pPr>
        <w:pStyle w:val="14"/>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、磋商文件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 磋商文件的构成。本磋商文件由以下部分组成：</w:t>
      </w:r>
    </w:p>
    <w:p>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1.采购邀请</w:t>
      </w:r>
    </w:p>
    <w:p>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3.供应商须知</w:t>
      </w:r>
    </w:p>
    <w:p>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4.评审方法及评审标准</w:t>
      </w:r>
    </w:p>
    <w:p>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6.响应文件格式</w:t>
      </w:r>
    </w:p>
    <w:p>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7.本项目磋商文件的澄清、答复、修改、补充的内容</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（二） 供应商的风险</w:t>
      </w:r>
    </w:p>
    <w:p>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 磋商文件的澄清与修改</w:t>
      </w:r>
    </w:p>
    <w:p>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pPr>
        <w:pStyle w:val="14"/>
        <w:adjustRightInd w:val="0"/>
        <w:snapToGrid w:val="0"/>
        <w:spacing w:beforeLines="0" w:afterLines="0" w:line="288" w:lineRule="auto"/>
        <w:jc w:val="center"/>
        <w:outlineLvl w:val="1"/>
        <w:rPr>
          <w:rFonts w:hAnsi="宋体"/>
          <w:b/>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（一）响应文件的组成</w:t>
      </w:r>
    </w:p>
    <w:p>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响应文件由</w:t>
      </w:r>
      <w:r>
        <w:rPr>
          <w:rFonts w:hint="eastAsia" w:hAnsi="宋体"/>
          <w:b/>
          <w:bCs/>
          <w:spacing w:val="-6"/>
          <w:sz w:val="21"/>
          <w:szCs w:val="21"/>
        </w:rPr>
        <w:t>资格文件、</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组成（格式详见磋商文件第六章）。</w:t>
      </w:r>
    </w:p>
    <w:p>
      <w:pPr>
        <w:pStyle w:val="12"/>
        <w:adjustRightInd w:val="0"/>
        <w:snapToGrid w:val="0"/>
        <w:spacing w:line="288" w:lineRule="auto"/>
        <w:ind w:firstLine="398" w:firstLineChars="200"/>
        <w:jc w:val="left"/>
        <w:rPr>
          <w:rFonts w:hAnsi="宋体"/>
          <w:b/>
          <w:spacing w:val="-6"/>
          <w:sz w:val="21"/>
          <w:szCs w:val="21"/>
        </w:rPr>
      </w:pPr>
      <w:r>
        <w:rPr>
          <w:rFonts w:hint="eastAsia" w:hAnsi="宋体"/>
          <w:b/>
          <w:spacing w:val="-6"/>
          <w:sz w:val="21"/>
          <w:szCs w:val="21"/>
        </w:rPr>
        <w:t>多标项项目建议按标项分别制作。</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响应文件组成：详见“第六章</w:t>
      </w:r>
      <w:r>
        <w:rPr>
          <w:rFonts w:ascii="宋体" w:hAnsi="宋体"/>
          <w:spacing w:val="-6"/>
          <w:sz w:val="21"/>
          <w:szCs w:val="21"/>
        </w:rPr>
        <w:t xml:space="preserve">  </w:t>
      </w:r>
      <w:r>
        <w:rPr>
          <w:rFonts w:hint="eastAsia" w:ascii="宋体" w:hAnsi="宋体"/>
          <w:spacing w:val="-6"/>
          <w:sz w:val="21"/>
          <w:szCs w:val="21"/>
        </w:rPr>
        <w:t>响应</w:t>
      </w:r>
      <w:r>
        <w:rPr>
          <w:rFonts w:ascii="宋体" w:hAnsi="宋体"/>
          <w:spacing w:val="-6"/>
          <w:sz w:val="21"/>
          <w:szCs w:val="21"/>
        </w:rPr>
        <w:t>文件格式</w:t>
      </w:r>
      <w:r>
        <w:rPr>
          <w:rFonts w:hint="eastAsia" w:ascii="宋体" w:hAnsi="宋体"/>
          <w:spacing w:val="-6"/>
          <w:sz w:val="21"/>
          <w:szCs w:val="21"/>
        </w:rPr>
        <w:t>”目录</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（二）响应文件的签署和份数</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1.供应商应按本磋商文件规定的格式和顺序编制、装订响应文件，响应文件内容不完整、编排混乱导致响应文件被误读、漏读或者查找不到相关内容的，是供应商的责任。</w:t>
      </w:r>
    </w:p>
    <w:p>
      <w:pPr>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2.供应商应按资格文件、报价文件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合并装订成册，其中正本一份、副本三份，响应文件的封面应注明“正本“、“副本”字样。</w:t>
      </w:r>
    </w:p>
    <w:p>
      <w:pPr>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▲活页装订（卡条、抽杆夹、订书机、散装）的响应文件无效。</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3.响应文件的正本需打印或用不褪色的墨水填写，响应文件正本除本《供应商须知》中规定的可提供复印件外均须提供原件（复印件须加盖公章）。副本可以是正本加盖公章后的复印件。</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w:t>
      </w:r>
      <w:r>
        <w:rPr>
          <w:rFonts w:ascii="宋体" w:hAnsi="宋体"/>
          <w:spacing w:val="-6"/>
          <w:sz w:val="21"/>
          <w:szCs w:val="21"/>
        </w:rPr>
        <w:t>文件</w:t>
      </w:r>
      <w:r>
        <w:rPr>
          <w:rFonts w:hint="eastAsia" w:ascii="宋体" w:hAnsi="宋体"/>
          <w:spacing w:val="-6"/>
          <w:sz w:val="21"/>
          <w:szCs w:val="21"/>
        </w:rPr>
        <w:t>须由供应商在规定位置盖章并由供应商</w:t>
      </w:r>
      <w:r>
        <w:rPr>
          <w:rFonts w:ascii="宋体" w:hAnsi="宋体"/>
          <w:spacing w:val="-6"/>
          <w:sz w:val="21"/>
          <w:szCs w:val="21"/>
        </w:rPr>
        <w:t>代表</w:t>
      </w:r>
      <w:r>
        <w:rPr>
          <w:rFonts w:hint="eastAsia" w:ascii="宋体" w:hAnsi="宋体"/>
          <w:spacing w:val="-6"/>
          <w:sz w:val="21"/>
          <w:szCs w:val="21"/>
        </w:rPr>
        <w:t>签署，供应商应写全称。</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5.响应</w:t>
      </w:r>
      <w:r>
        <w:rPr>
          <w:rFonts w:ascii="宋体" w:hAnsi="宋体"/>
          <w:spacing w:val="-6"/>
          <w:sz w:val="21"/>
          <w:szCs w:val="21"/>
        </w:rPr>
        <w:t>文件</w:t>
      </w:r>
      <w:r>
        <w:rPr>
          <w:rFonts w:hint="eastAsia" w:ascii="宋体" w:hAnsi="宋体"/>
          <w:spacing w:val="-6"/>
          <w:sz w:val="21"/>
          <w:szCs w:val="21"/>
        </w:rPr>
        <w:t>不得涂改，若有修改错漏处，须由供应商</w:t>
      </w:r>
      <w:r>
        <w:rPr>
          <w:rFonts w:ascii="宋体" w:hAnsi="宋体"/>
          <w:spacing w:val="-6"/>
          <w:sz w:val="21"/>
          <w:szCs w:val="21"/>
        </w:rPr>
        <w:t>代表</w:t>
      </w:r>
      <w:r>
        <w:rPr>
          <w:rFonts w:hint="eastAsia" w:ascii="宋体" w:hAnsi="宋体"/>
          <w:spacing w:val="-6"/>
          <w:sz w:val="21"/>
          <w:szCs w:val="21"/>
        </w:rPr>
        <w:t>签名并加盖公章。响应文件因字迹潦草或表达不清所引起的后果由供应商负责。</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（三）响应文件的包装、递交、修改和撤回</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1.供应商应在响应文件包装封面上注明供应商名称、供应商地址、磋商响应项目名称、项目编号及“响应文件开启时启封”字样，并加盖供应商公章。</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2.未按规定密封</w:t>
      </w:r>
      <w:r>
        <w:rPr>
          <w:rFonts w:ascii="宋体" w:hAnsi="宋体"/>
          <w:spacing w:val="-6"/>
          <w:sz w:val="21"/>
          <w:szCs w:val="21"/>
        </w:rPr>
        <w:t>或</w:t>
      </w:r>
      <w:r>
        <w:rPr>
          <w:rFonts w:hint="eastAsia" w:ascii="宋体" w:hAnsi="宋体"/>
          <w:spacing w:val="-6"/>
          <w:sz w:val="21"/>
          <w:szCs w:val="21"/>
        </w:rPr>
        <w:t>标记的响应文件被误投或提前拆封的风险由供应商承担。</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（四）响应文件的语言及计量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（五）磋商响应报价</w:t>
      </w:r>
    </w:p>
    <w:p>
      <w:pPr>
        <w:pStyle w:val="14"/>
        <w:adjustRightInd w:val="0"/>
        <w:snapToGrid w:val="0"/>
        <w:spacing w:beforeLines="0" w:afterLines="0" w:line="288" w:lineRule="auto"/>
        <w:ind w:firstLine="396" w:firstLineChars="200"/>
        <w:jc w:val="left"/>
        <w:rPr>
          <w:rFonts w:hAnsi="宋体"/>
          <w:bCs/>
          <w:spacing w:val="-6"/>
          <w:sz w:val="21"/>
          <w:szCs w:val="21"/>
        </w:rPr>
      </w:pPr>
      <w:r>
        <w:rPr>
          <w:rFonts w:hint="eastAsia" w:hAnsi="宋体"/>
          <w:bCs/>
          <w:spacing w:val="-6"/>
          <w:sz w:val="21"/>
          <w:szCs w:val="21"/>
        </w:rPr>
        <w:t>1.报价应按磋商文件要求的格式编制、填写报价内容（可自行增行），未按磋商文件要求编制、填写的响应文件可能被拒绝；</w:t>
      </w:r>
    </w:p>
    <w:p>
      <w:pPr>
        <w:pStyle w:val="14"/>
        <w:adjustRightInd w:val="0"/>
        <w:snapToGrid w:val="0"/>
        <w:spacing w:beforeLines="0" w:afterLines="0" w:line="288" w:lineRule="auto"/>
        <w:ind w:firstLine="396" w:firstLineChars="200"/>
        <w:jc w:val="left"/>
        <w:rPr>
          <w:rFonts w:hAnsi="宋体"/>
          <w:bCs/>
          <w:spacing w:val="-6"/>
          <w:sz w:val="21"/>
          <w:szCs w:val="21"/>
        </w:rPr>
      </w:pPr>
      <w:r>
        <w:rPr>
          <w:rFonts w:hint="eastAsia" w:hAnsi="宋体"/>
          <w:bCs/>
          <w:spacing w:val="-6"/>
          <w:sz w:val="21"/>
          <w:szCs w:val="21"/>
        </w:rPr>
        <w:t>2.本次磋商采用人民币报价；</w:t>
      </w:r>
    </w:p>
    <w:p>
      <w:pPr>
        <w:pStyle w:val="14"/>
        <w:adjustRightInd w:val="0"/>
        <w:snapToGrid w:val="0"/>
        <w:spacing w:beforeLines="0" w:afterLines="0" w:line="288" w:lineRule="auto"/>
        <w:ind w:firstLine="396" w:firstLineChars="200"/>
        <w:jc w:val="left"/>
        <w:rPr>
          <w:rFonts w:hAnsi="宋体"/>
          <w:bCs/>
          <w:spacing w:val="-6"/>
          <w:sz w:val="21"/>
          <w:szCs w:val="21"/>
        </w:rPr>
      </w:pPr>
      <w:r>
        <w:rPr>
          <w:rFonts w:hint="eastAsia" w:hAnsi="宋体"/>
          <w:bCs/>
          <w:spacing w:val="-6"/>
          <w:sz w:val="21"/>
          <w:szCs w:val="21"/>
        </w:rPr>
        <w:t>3.最后磋商报价是履行合同的最终价格，有关本项目实施所涉及的一切费用均计入报价。</w:t>
      </w:r>
    </w:p>
    <w:p>
      <w:pPr>
        <w:adjustRightInd w:val="0"/>
        <w:snapToGrid w:val="0"/>
        <w:spacing w:line="288" w:lineRule="auto"/>
        <w:ind w:firstLine="420" w:firstLineChars="200"/>
        <w:jc w:val="left"/>
        <w:rPr>
          <w:rFonts w:ascii="宋体" w:hAnsi="宋体"/>
          <w:sz w:val="21"/>
          <w:szCs w:val="21"/>
        </w:rPr>
      </w:pP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采购人将以合同形式有偿取得货物或服务，不接受供应商给予的赠品、回扣或者与采购无关的其他商品、服务</w:t>
      </w:r>
      <w:r>
        <w:rPr>
          <w:rFonts w:ascii="宋体" w:hAnsi="宋体" w:cs="宋体"/>
          <w:sz w:val="21"/>
          <w:szCs w:val="21"/>
        </w:rPr>
        <w:t>。</w:t>
      </w:r>
    </w:p>
    <w:p>
      <w:pPr>
        <w:pStyle w:val="7"/>
        <w:widowControl w:val="0"/>
        <w:numPr>
          <w:ilvl w:val="0"/>
          <w:numId w:val="0"/>
        </w:numPr>
        <w:adjustRightInd w:val="0"/>
        <w:snapToGrid w:val="0"/>
        <w:spacing w:afterLines="0" w:line="288" w:lineRule="auto"/>
        <w:ind w:left="284" w:hanging="284" w:hangingChars="143"/>
        <w:rPr>
          <w:rFonts w:ascii="宋体" w:hAnsi="宋体"/>
          <w:b/>
          <w:spacing w:val="-6"/>
          <w:kern w:val="2"/>
          <w:sz w:val="21"/>
          <w:szCs w:val="21"/>
        </w:rPr>
      </w:pPr>
      <w:r>
        <w:rPr>
          <w:rFonts w:hint="eastAsia" w:ascii="宋体" w:hAnsi="宋体"/>
          <w:b/>
          <w:spacing w:val="-6"/>
          <w:kern w:val="2"/>
          <w:sz w:val="21"/>
          <w:szCs w:val="21"/>
        </w:rPr>
        <w:t>（六）响应有效期</w:t>
      </w:r>
    </w:p>
    <w:p>
      <w:pPr>
        <w:pStyle w:val="14"/>
        <w:adjustRightInd w:val="0"/>
        <w:snapToGrid w:val="0"/>
        <w:spacing w:beforeLines="0" w:afterLines="0" w:line="288" w:lineRule="auto"/>
        <w:ind w:firstLine="396" w:firstLineChars="200"/>
        <w:jc w:val="left"/>
        <w:rPr>
          <w:rFonts w:hAnsi="宋体"/>
          <w:spacing w:val="-6"/>
          <w:sz w:val="21"/>
          <w:szCs w:val="21"/>
        </w:rPr>
      </w:pPr>
      <w:r>
        <w:rPr>
          <w:rFonts w:hint="eastAsia" w:hAnsi="宋体"/>
          <w:spacing w:val="-6"/>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cs="宋体"/>
          <w:b/>
          <w:bCs/>
          <w:sz w:val="21"/>
          <w:szCs w:val="21"/>
        </w:rPr>
      </w:pPr>
      <w:r>
        <w:rPr>
          <w:rFonts w:hint="eastAsia" w:ascii="宋体" w:hAnsi="宋体" w:cs="宋体"/>
          <w:b/>
          <w:bCs/>
          <w:sz w:val="21"/>
          <w:szCs w:val="21"/>
        </w:rPr>
        <w:t>四、响应无效的情形</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未响应磋商文件“▲”标记条款要求的，响应无效。</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在资格审查时，如发现下列情形之一的，响应文件将被视为无效：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文件要求的</w:t>
      </w:r>
      <w:r>
        <w:rPr>
          <w:rFonts w:hint="eastAsia"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2</w:t>
      </w:r>
      <w:r>
        <w:rPr>
          <w:rFonts w:hint="eastAsia" w:ascii="宋体" w:hAnsi="宋体"/>
          <w:spacing w:val="-6"/>
          <w:sz w:val="21"/>
          <w:szCs w:val="21"/>
        </w:rPr>
        <w:t>）供应商不具备磋商文件中规定的资格要求的；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3）</w:t>
      </w:r>
      <w:r>
        <w:rPr>
          <w:rFonts w:hint="eastAsia" w:ascii="宋体" w:hAnsi="宋体"/>
          <w:spacing w:val="-6"/>
          <w:sz w:val="21"/>
          <w:szCs w:val="21"/>
        </w:rPr>
        <w:t>资格</w:t>
      </w:r>
      <w:r>
        <w:rPr>
          <w:rFonts w:ascii="宋体" w:hAnsi="宋体"/>
          <w:spacing w:val="-6"/>
          <w:sz w:val="21"/>
          <w:szCs w:val="21"/>
        </w:rPr>
        <w:t>文件</w:t>
      </w:r>
      <w:r>
        <w:rPr>
          <w:rFonts w:hint="eastAsia" w:ascii="宋体" w:hAnsi="宋体"/>
          <w:spacing w:val="-6"/>
          <w:sz w:val="21"/>
          <w:szCs w:val="21"/>
        </w:rPr>
        <w:t>未按要求签署、盖章的；</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时，如发现下列情形之一的，响应文件将被视为无效：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（2）未提供或未按要求提供响应函</w:t>
      </w:r>
      <w:r>
        <w:rPr>
          <w:rFonts w:ascii="宋体" w:hAnsi="宋体"/>
          <w:spacing w:val="-6"/>
          <w:sz w:val="21"/>
          <w:szCs w:val="21"/>
        </w:rPr>
        <w:t>、</w:t>
      </w:r>
      <w:r>
        <w:rPr>
          <w:rFonts w:hint="eastAsia" w:ascii="宋体" w:hAnsi="宋体"/>
          <w:spacing w:val="-6"/>
          <w:sz w:val="21"/>
          <w:szCs w:val="21"/>
        </w:rPr>
        <w:t>法定代表人授权委托书；</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（3）法定代表人委托授权代表</w:t>
      </w:r>
      <w:r>
        <w:rPr>
          <w:rFonts w:ascii="宋体" w:hAnsi="宋体"/>
          <w:spacing w:val="-6"/>
          <w:sz w:val="21"/>
          <w:szCs w:val="21"/>
        </w:rPr>
        <w:t>参加</w:t>
      </w:r>
      <w:r>
        <w:rPr>
          <w:rFonts w:hint="eastAsia" w:ascii="宋体" w:hAnsi="宋体"/>
          <w:spacing w:val="-6"/>
          <w:sz w:val="21"/>
          <w:szCs w:val="21"/>
        </w:rPr>
        <w:t>响应但未按要求</w:t>
      </w:r>
      <w:r>
        <w:rPr>
          <w:rFonts w:ascii="宋体" w:hAnsi="宋体"/>
          <w:spacing w:val="-6"/>
          <w:sz w:val="21"/>
          <w:szCs w:val="21"/>
        </w:rPr>
        <w:t>提供</w:t>
      </w:r>
      <w:r>
        <w:rPr>
          <w:rFonts w:hint="eastAsia" w:ascii="宋体" w:hAnsi="宋体"/>
          <w:spacing w:val="-6"/>
          <w:sz w:val="21"/>
          <w:szCs w:val="21"/>
        </w:rPr>
        <w:t>授权代表社保缴纳证明的</w:t>
      </w:r>
      <w:r>
        <w:rPr>
          <w:rFonts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w:t>
      </w:r>
      <w:r>
        <w:rPr>
          <w:rFonts w:hint="eastAsia" w:ascii="宋体" w:hAnsi="宋体"/>
          <w:spacing w:val="-6"/>
          <w:sz w:val="21"/>
          <w:szCs w:val="21"/>
        </w:rPr>
        <w:t>磋商</w:t>
      </w:r>
      <w:r>
        <w:rPr>
          <w:rFonts w:ascii="宋体" w:hAnsi="宋体"/>
          <w:spacing w:val="-6"/>
          <w:sz w:val="21"/>
          <w:szCs w:val="21"/>
        </w:rPr>
        <w:t>文件</w:t>
      </w:r>
      <w:r>
        <w:rPr>
          <w:rFonts w:hint="eastAsia" w:ascii="宋体" w:hAnsi="宋体"/>
          <w:spacing w:val="-6"/>
          <w:sz w:val="21"/>
          <w:szCs w:val="21"/>
        </w:rPr>
        <w:t>要求，或</w:t>
      </w:r>
      <w:r>
        <w:rPr>
          <w:rFonts w:hint="eastAsia" w:ascii="宋体" w:hAnsi="宋体" w:cs="宋体"/>
          <w:sz w:val="21"/>
          <w:szCs w:val="21"/>
        </w:rPr>
        <w:t>负偏离达到规定数目的</w:t>
      </w:r>
      <w:r>
        <w:rPr>
          <w:rFonts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）响应</w:t>
      </w:r>
      <w:r>
        <w:rPr>
          <w:rFonts w:ascii="宋体" w:hAnsi="宋体"/>
          <w:spacing w:val="-6"/>
          <w:sz w:val="21"/>
          <w:szCs w:val="21"/>
        </w:rPr>
        <w:t>技术方案不明确，存在一个或一个以上备选（替代）</w:t>
      </w:r>
      <w:r>
        <w:rPr>
          <w:rFonts w:hint="eastAsia" w:ascii="宋体" w:hAnsi="宋体"/>
          <w:spacing w:val="-6"/>
          <w:sz w:val="21"/>
          <w:szCs w:val="21"/>
        </w:rPr>
        <w:t>响应</w:t>
      </w:r>
      <w:r>
        <w:rPr>
          <w:rFonts w:ascii="宋体" w:hAnsi="宋体"/>
          <w:spacing w:val="-6"/>
          <w:sz w:val="21"/>
          <w:szCs w:val="21"/>
        </w:rPr>
        <w:t>方案的；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）响应文件含有采购人不能接受的附加条件的；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）法律、法规和磋商文件规定的其他无效情形。</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w:t>
      </w:r>
      <w:r>
        <w:rPr>
          <w:rFonts w:hint="eastAsia" w:ascii="宋体" w:hAnsi="宋体"/>
          <w:b/>
          <w:spacing w:val="-6"/>
          <w:sz w:val="21"/>
          <w:szCs w:val="21"/>
        </w:rPr>
        <w:t>响应</w:t>
      </w:r>
      <w:r>
        <w:rPr>
          <w:rFonts w:ascii="宋体" w:hAnsi="宋体"/>
          <w:b/>
          <w:spacing w:val="-6"/>
          <w:sz w:val="21"/>
          <w:szCs w:val="21"/>
        </w:rPr>
        <w:t>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（1）最后报价超过磋商文件中规定的预算金额或最高限价的；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（2）最后报价具有选择性的；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4.有下列情形之一的，视为供应商串通，其响应无效：</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（1）不同供应商的响应文件由同一单位或者个人编制；</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（2）不同供应商委托同一单位或者个人办理磋商事宜；</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（3）不同供应商的响应文件载明的项目管理成员或者联系人员为同一人；</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（4）不同供应商的响应文件异常一致或者最后报价呈规律性差异；</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（5）不同供应商的响应文件相互混装。</w:t>
      </w:r>
    </w:p>
    <w:p>
      <w:pPr>
        <w:pStyle w:val="14"/>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int="eastAsia" w:hAnsi="宋体"/>
          <w:b/>
          <w:spacing w:val="-6"/>
          <w:sz w:val="21"/>
          <w:szCs w:val="21"/>
        </w:rPr>
        <w:t>五、响应文件开启</w:t>
      </w:r>
    </w:p>
    <w:p>
      <w:pPr>
        <w:autoSpaceDE w:val="0"/>
        <w:autoSpaceDN w:val="0"/>
        <w:adjustRightInd w:val="0"/>
        <w:snapToGrid w:val="0"/>
        <w:spacing w:line="288" w:lineRule="auto"/>
        <w:ind w:firstLine="422" w:firstLineChars="201"/>
        <w:rPr>
          <w:rFonts w:ascii="宋体" w:hAnsi="宋体" w:cs="仿宋_GB2312"/>
          <w:kern w:val="0"/>
          <w:sz w:val="21"/>
          <w:szCs w:val="21"/>
        </w:rPr>
      </w:pPr>
      <w:r>
        <w:rPr>
          <w:rFonts w:ascii="宋体" w:hAnsi="宋体" w:cs="仿宋_GB2312"/>
          <w:kern w:val="0"/>
          <w:sz w:val="21"/>
          <w:szCs w:val="21"/>
        </w:rPr>
        <w:t>采购</w:t>
      </w:r>
      <w:r>
        <w:rPr>
          <w:rFonts w:hint="eastAsia" w:ascii="宋体" w:hAnsi="宋体" w:cs="仿宋_GB2312"/>
          <w:kern w:val="0"/>
          <w:sz w:val="21"/>
          <w:szCs w:val="21"/>
        </w:rPr>
        <w:t>代理</w:t>
      </w:r>
      <w:r>
        <w:rPr>
          <w:rFonts w:ascii="宋体" w:hAnsi="宋体" w:cs="仿宋_GB2312"/>
          <w:kern w:val="0"/>
          <w:sz w:val="21"/>
          <w:szCs w:val="21"/>
        </w:rPr>
        <w:t>机构按照磋商文件规定的时间</w:t>
      </w:r>
      <w:r>
        <w:rPr>
          <w:rFonts w:hint="eastAsia" w:ascii="宋体" w:hAnsi="宋体" w:cs="仿宋_GB2312"/>
          <w:kern w:val="0"/>
          <w:sz w:val="21"/>
          <w:szCs w:val="21"/>
        </w:rPr>
        <w:t>地点</w:t>
      </w:r>
      <w:r>
        <w:rPr>
          <w:rFonts w:ascii="宋体" w:hAnsi="宋体" w:cs="仿宋_GB2312"/>
          <w:kern w:val="0"/>
          <w:sz w:val="21"/>
          <w:szCs w:val="21"/>
        </w:rPr>
        <w:t>开启</w:t>
      </w:r>
      <w:r>
        <w:rPr>
          <w:rFonts w:hint="eastAsia" w:ascii="宋体" w:hAnsi="宋体" w:cs="仿宋_GB2312"/>
          <w:kern w:val="0"/>
          <w:sz w:val="21"/>
          <w:szCs w:val="21"/>
        </w:rPr>
        <w:t>响应文件</w:t>
      </w:r>
      <w:r>
        <w:rPr>
          <w:rFonts w:ascii="宋体" w:hAnsi="宋体" w:cs="仿宋_GB2312"/>
          <w:kern w:val="0"/>
          <w:sz w:val="21"/>
          <w:szCs w:val="21"/>
        </w:rPr>
        <w:t>，所有供应商均应当准时参加。供应商不足3家的，不得开启。</w:t>
      </w:r>
    </w:p>
    <w:p>
      <w:pPr>
        <w:pStyle w:val="12"/>
        <w:adjustRightInd w:val="0"/>
        <w:snapToGrid w:val="0"/>
        <w:spacing w:line="288" w:lineRule="auto"/>
        <w:ind w:firstLine="0"/>
        <w:rPr>
          <w:rFonts w:hAnsi="宋体"/>
          <w:b/>
          <w:spacing w:val="-6"/>
          <w:sz w:val="21"/>
          <w:szCs w:val="21"/>
        </w:rPr>
      </w:pPr>
    </w:p>
    <w:p>
      <w:pPr>
        <w:adjustRightInd w:val="0"/>
        <w:snapToGrid w:val="0"/>
        <w:spacing w:line="288" w:lineRule="auto"/>
        <w:jc w:val="center"/>
        <w:outlineLvl w:val="1"/>
        <w:rPr>
          <w:rFonts w:ascii="宋体" w:hAnsi="宋体" w:cs="宋体"/>
          <w:b/>
          <w:bCs/>
          <w:sz w:val="21"/>
          <w:szCs w:val="21"/>
        </w:rPr>
      </w:pPr>
      <w:r>
        <w:rPr>
          <w:rFonts w:hint="eastAsia" w:ascii="宋体" w:hAnsi="宋体" w:cs="宋体"/>
          <w:b/>
          <w:bCs/>
          <w:sz w:val="21"/>
          <w:szCs w:val="21"/>
        </w:rPr>
        <w:t>六、评审程序</w:t>
      </w:r>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ascii="宋体" w:hAnsi="宋体" w:cs="仿宋_GB2312"/>
          <w:b/>
          <w:sz w:val="21"/>
          <w:szCs w:val="21"/>
        </w:rPr>
      </w:pPr>
      <w:r>
        <w:rPr>
          <w:rFonts w:hint="eastAsia" w:ascii="宋体" w:hAnsi="宋体" w:cs="仿宋_GB2312"/>
          <w:b/>
          <w:sz w:val="21"/>
          <w:szCs w:val="21"/>
        </w:rPr>
        <w:t>（一）</w:t>
      </w:r>
      <w:r>
        <w:rPr>
          <w:rFonts w:ascii="宋体" w:hAnsi="宋体" w:cs="仿宋_GB2312"/>
          <w:b/>
          <w:sz w:val="21"/>
          <w:szCs w:val="21"/>
        </w:rPr>
        <w:t>资格审查</w:t>
      </w:r>
    </w:p>
    <w:p>
      <w:pPr>
        <w:adjustRightInd w:val="0"/>
        <w:snapToGrid w:val="0"/>
        <w:spacing w:line="288" w:lineRule="auto"/>
        <w:ind w:firstLine="422" w:firstLineChars="201"/>
        <w:rPr>
          <w:rFonts w:ascii="宋体" w:hAnsi="宋体" w:cs="仿宋_GB2312"/>
          <w:sz w:val="21"/>
          <w:szCs w:val="21"/>
        </w:rPr>
      </w:pPr>
      <w:r>
        <w:rPr>
          <w:rFonts w:ascii="宋体" w:hAnsi="宋体" w:cs="Arial"/>
          <w:kern w:val="0"/>
          <w:sz w:val="21"/>
          <w:szCs w:val="21"/>
        </w:rPr>
        <w:t>开启后，</w:t>
      </w:r>
      <w:r>
        <w:rPr>
          <w:rFonts w:hint="eastAsia" w:ascii="宋体" w:hAnsi="宋体"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对未通过资格审查的供应商，</w:t>
      </w:r>
      <w:r>
        <w:rPr>
          <w:rFonts w:hint="eastAsia" w:ascii="宋体" w:hAnsi="宋体" w:cs="仿宋_GB2312"/>
          <w:sz w:val="21"/>
          <w:szCs w:val="21"/>
        </w:rPr>
        <w:t>磋商小组</w:t>
      </w:r>
      <w:r>
        <w:rPr>
          <w:rFonts w:ascii="宋体" w:hAnsi="宋体" w:cs="仿宋_GB2312"/>
          <w:sz w:val="21"/>
          <w:szCs w:val="21"/>
        </w:rPr>
        <w:t>告知其未通过的原因。</w:t>
      </w:r>
    </w:p>
    <w:p>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通过资格审查的供应商不足3家的，不再评标。</w:t>
      </w:r>
    </w:p>
    <w:p>
      <w:pPr>
        <w:adjustRightInd w:val="0"/>
        <w:snapToGrid w:val="0"/>
        <w:spacing w:line="288" w:lineRule="auto"/>
        <w:ind w:firstLine="424" w:firstLineChars="201"/>
        <w:rPr>
          <w:rFonts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信用信息查询</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根据财库[2016]125号《关于在政府采购活动中查询及使用信用记录有关问题的通知》要求，采购代理机构会对供应商信用记录进行查询并甄别。信用信息查询的截止时点：响应截止时间；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）查询渠道：“信用中国”（www.creditchina.gov.cn）、“中国政府采购网”（www.ccgp.gov.cn）；</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rFonts w:ascii="宋体" w:hAnsi="宋体" w:cs="宋体"/>
          <w:bCs/>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rFonts w:ascii="宋体" w:hAnsi="宋体" w:cs="宋体"/>
          <w:kern w:val="0"/>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符合性审查</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磋商小组对符合资格的</w:t>
      </w:r>
      <w:r>
        <w:rPr>
          <w:rFonts w:hint="eastAsia" w:ascii="宋体" w:hAnsi="宋体" w:cs="Arial"/>
          <w:kern w:val="0"/>
          <w:sz w:val="21"/>
          <w:szCs w:val="21"/>
        </w:rPr>
        <w:t>供应商</w:t>
      </w:r>
      <w:r>
        <w:rPr>
          <w:rFonts w:ascii="宋体" w:hAnsi="宋体" w:cs="Arial"/>
          <w:kern w:val="0"/>
          <w:sz w:val="21"/>
          <w:szCs w:val="21"/>
        </w:rPr>
        <w:t>的</w:t>
      </w:r>
      <w:r>
        <w:rPr>
          <w:rFonts w:hint="eastAsia" w:ascii="宋体" w:hAnsi="宋体" w:cs="Arial"/>
          <w:kern w:val="0"/>
          <w:sz w:val="21"/>
          <w:szCs w:val="21"/>
        </w:rPr>
        <w:t>响应</w:t>
      </w:r>
      <w:r>
        <w:rPr>
          <w:rFonts w:ascii="宋体" w:hAnsi="宋体" w:cs="Arial"/>
          <w:kern w:val="0"/>
          <w:sz w:val="21"/>
          <w:szCs w:val="21"/>
        </w:rPr>
        <w:t>文件进行符合性审查，以确定其是否满足磋商文件的实质性要求。</w:t>
      </w:r>
    </w:p>
    <w:p>
      <w:pPr>
        <w:adjustRightInd w:val="0"/>
        <w:snapToGrid w:val="0"/>
        <w:spacing w:line="288" w:lineRule="auto"/>
        <w:ind w:firstLine="426" w:firstLineChars="202"/>
        <w:rPr>
          <w:rFonts w:ascii="宋体" w:hAnsi="宋体" w:cs="Arial"/>
          <w:b/>
          <w:bCs/>
          <w:kern w:val="0"/>
          <w:sz w:val="21"/>
          <w:szCs w:val="21"/>
        </w:rPr>
      </w:pPr>
      <w:r>
        <w:rPr>
          <w:rFonts w:hint="eastAsia" w:ascii="宋体" w:hAnsi="宋体" w:cs="Arial"/>
          <w:b/>
          <w:bCs/>
          <w:kern w:val="0"/>
          <w:sz w:val="21"/>
          <w:szCs w:val="21"/>
        </w:rPr>
        <w:t>（四）磋商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对磋商文件作出的实质性变动是磋商文件的有效组成部分，磋商小组应当及时以书面形式同时通知所有参加磋商的供应商。</w:t>
      </w:r>
    </w:p>
    <w:p>
      <w:pPr>
        <w:adjustRightInd w:val="0"/>
        <w:snapToGrid w:val="0"/>
        <w:spacing w:line="288" w:lineRule="auto"/>
        <w:ind w:firstLine="420" w:firstLineChars="200"/>
        <w:rPr>
          <w:rFonts w:ascii="宋体" w:hAnsi="宋体" w:cs="宋体"/>
          <w:kern w:val="0"/>
          <w:sz w:val="21"/>
          <w:szCs w:val="21"/>
        </w:rPr>
      </w:pPr>
      <w:r>
        <w:rPr>
          <w:rFonts w:hint="eastAsia" w:ascii="宋体" w:hAnsi="宋体" w:cs="Arial"/>
          <w:kern w:val="0"/>
          <w:sz w:val="21"/>
          <w:szCs w:val="21"/>
        </w:rPr>
        <w:t>供应商应当按照磋商文件的变动情况和磋商小组的要求提交磋商记录，并由其法定代表人或授权代表签名或者加盖公章。</w:t>
      </w:r>
    </w:p>
    <w:p>
      <w:pPr>
        <w:adjustRightInd w:val="0"/>
        <w:snapToGrid w:val="0"/>
        <w:spacing w:line="288" w:lineRule="auto"/>
        <w:ind w:firstLine="426" w:firstLineChars="202"/>
        <w:rPr>
          <w:rFonts w:ascii="宋体" w:hAnsi="宋体" w:cs="Arial"/>
          <w:b/>
          <w:bCs/>
          <w:kern w:val="0"/>
          <w:sz w:val="21"/>
          <w:szCs w:val="21"/>
        </w:rPr>
      </w:pPr>
      <w:r>
        <w:rPr>
          <w:rFonts w:hint="eastAsia" w:ascii="宋体" w:hAnsi="宋体" w:cs="Arial"/>
          <w:b/>
          <w:bCs/>
          <w:kern w:val="0"/>
          <w:sz w:val="21"/>
          <w:szCs w:val="21"/>
        </w:rPr>
        <w:t>（五）最后报价</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ascii="宋体" w:hAnsi="宋体" w:cs="Arial"/>
          <w:kern w:val="0"/>
          <w:sz w:val="21"/>
          <w:szCs w:val="21"/>
        </w:rPr>
        <w:t>3家。</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ascii="宋体" w:hAnsi="宋体" w:cs="Arial"/>
          <w:kern w:val="0"/>
          <w:sz w:val="21"/>
          <w:szCs w:val="21"/>
        </w:rPr>
        <w:t>3家以上供应商的设计方案或者解决方案，并要求其在规定时间内提交最后报价。</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最后报价是供应商响应文件的有效组成部分。符合《政府采购竞争性磋商采购方式管理暂行办法》（财库〔</w:t>
      </w:r>
      <w:r>
        <w:rPr>
          <w:rFonts w:ascii="宋体" w:hAnsi="宋体" w:cs="Arial"/>
          <w:kern w:val="0"/>
          <w:sz w:val="21"/>
          <w:szCs w:val="21"/>
        </w:rPr>
        <w:t>2014〕214号</w:t>
      </w:r>
      <w:r>
        <w:rPr>
          <w:rFonts w:hint="eastAsia" w:ascii="宋体" w:hAnsi="宋体" w:cs="Arial"/>
          <w:kern w:val="0"/>
          <w:sz w:val="21"/>
          <w:szCs w:val="21"/>
        </w:rPr>
        <w:t>）第三条第一、四项情形的，提交最后报价的供应商可以为</w:t>
      </w:r>
      <w:r>
        <w:rPr>
          <w:rFonts w:ascii="宋体" w:hAnsi="宋体" w:cs="Arial"/>
          <w:kern w:val="0"/>
          <w:sz w:val="21"/>
          <w:szCs w:val="21"/>
        </w:rPr>
        <w:t>2家。</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（六）综合评分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经磋商确定最终采购需求和提交最后报价的供应商后，由磋商小组采用</w:t>
      </w:r>
      <w:r>
        <w:rPr>
          <w:rFonts w:hint="eastAsia" w:ascii="宋体" w:hAnsi="宋体" w:cs="Arial"/>
          <w:b/>
          <w:bCs/>
          <w:kern w:val="0"/>
          <w:sz w:val="21"/>
          <w:szCs w:val="21"/>
        </w:rPr>
        <w:t>综合评分法</w:t>
      </w:r>
      <w:r>
        <w:rPr>
          <w:rFonts w:hint="eastAsia" w:ascii="宋体" w:hAnsi="宋体" w:cs="Arial"/>
          <w:kern w:val="0"/>
          <w:sz w:val="21"/>
          <w:szCs w:val="21"/>
        </w:rPr>
        <w:t>对提交最后报价的供应商的响应文件和最后报价进行综合评分。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汇总商务技术得分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ascii="宋体" w:hAnsi="宋体" w:cs="Arial"/>
          <w:kern w:val="0"/>
          <w:sz w:val="21"/>
          <w:szCs w:val="21"/>
        </w:rPr>
      </w:pPr>
      <w:bookmarkStart w:id="52" w:name="_Hlk94088579"/>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2"/>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（八）排序与推荐</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磋商小组应当根据综合评分情况，按照评审得分由高到低顺序推荐</w:t>
      </w:r>
      <w:r>
        <w:rPr>
          <w:rFonts w:ascii="宋体" w:hAnsi="宋体" w:cs="Arial"/>
          <w:kern w:val="0"/>
          <w:sz w:val="21"/>
          <w:szCs w:val="21"/>
        </w:rPr>
        <w:t>3名以上成交候选供应商，并编写评审报告。符合</w:t>
      </w:r>
      <w:r>
        <w:rPr>
          <w:rFonts w:hint="eastAsia" w:ascii="宋体" w:hAnsi="宋体" w:cs="Arial"/>
          <w:kern w:val="0"/>
          <w:sz w:val="21"/>
          <w:szCs w:val="21"/>
        </w:rPr>
        <w:t>《政府采购竞争性磋商采购方式管理暂行办法》（财库〔</w:t>
      </w:r>
      <w:r>
        <w:rPr>
          <w:rFonts w:ascii="宋体" w:hAnsi="宋体" w:cs="Arial"/>
          <w:kern w:val="0"/>
          <w:sz w:val="21"/>
          <w:szCs w:val="21"/>
        </w:rPr>
        <w:t>2014〕214号</w:t>
      </w:r>
      <w:r>
        <w:rPr>
          <w:rFonts w:hint="eastAsia" w:ascii="宋体" w:hAnsi="宋体" w:cs="Arial"/>
          <w:kern w:val="0"/>
          <w:sz w:val="21"/>
          <w:szCs w:val="21"/>
        </w:rPr>
        <w:t>）</w:t>
      </w:r>
      <w:r>
        <w:rPr>
          <w:rFonts w:ascii="宋体" w:hAnsi="宋体" w:cs="Arial"/>
          <w:kern w:val="0"/>
          <w:sz w:val="21"/>
          <w:szCs w:val="21"/>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（九）</w:t>
      </w:r>
      <w:r>
        <w:rPr>
          <w:rFonts w:ascii="宋体" w:hAnsi="宋体" w:cs="Arial"/>
          <w:b/>
          <w:kern w:val="0"/>
          <w:sz w:val="21"/>
          <w:szCs w:val="21"/>
        </w:rPr>
        <w:t>编写评标报告</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rPr>
          <w:rFonts w:ascii="宋体" w:hAnsi="宋体"/>
          <w:b/>
          <w:spacing w:val="-6"/>
          <w:sz w:val="21"/>
          <w:szCs w:val="21"/>
        </w:rPr>
      </w:pPr>
    </w:p>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七、成交与合同</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（一）成交</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w:t>
      </w:r>
      <w:bookmarkStart w:id="64" w:name="_GoBack"/>
      <w:bookmarkEnd w:id="64"/>
      <w:r>
        <w:rPr>
          <w:rFonts w:hint="eastAsia" w:ascii="宋体" w:hAnsi="宋体"/>
          <w:spacing w:val="-6"/>
          <w:sz w:val="21"/>
          <w:szCs w:val="21"/>
        </w:rPr>
        <w:t>异议的，视为确定评审报告提出的排序第一的供应商为成交供应商。</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rPr>
        <w:t>2.采购代理机构在成交供应商确定</w:t>
      </w:r>
      <w:r>
        <w:rPr>
          <w:rFonts w:hint="eastAsia" w:ascii="宋体" w:hAnsi="宋体"/>
          <w:spacing w:val="-6"/>
          <w:sz w:val="21"/>
          <w:szCs w:val="21"/>
          <w:highlight w:val="none"/>
        </w:rPr>
        <w:t>后2个工作日内公告成交结果，同时向成交供应商发出成交通知书。采购文件随成交结果同时公告。</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3.评审结果公示媒体：浙江政府采购网（http://zfcg.czt.zj.gov.cn）。</w:t>
      </w:r>
    </w:p>
    <w:p>
      <w:pPr>
        <w:adjustRightInd w:val="0"/>
        <w:snapToGrid w:val="0"/>
        <w:spacing w:line="288" w:lineRule="auto"/>
        <w:rPr>
          <w:rFonts w:ascii="宋体" w:hAnsi="宋体"/>
          <w:spacing w:val="-6"/>
          <w:sz w:val="21"/>
          <w:szCs w:val="21"/>
          <w:highlight w:val="none"/>
        </w:rPr>
      </w:pPr>
      <w:r>
        <w:rPr>
          <w:rFonts w:hint="eastAsia" w:ascii="宋体" w:hAnsi="宋体"/>
          <w:b/>
          <w:bCs/>
          <w:spacing w:val="-6"/>
          <w:sz w:val="21"/>
          <w:szCs w:val="21"/>
          <w:highlight w:val="none"/>
        </w:rPr>
        <w:t>（二）合同授予</w:t>
      </w:r>
    </w:p>
    <w:p>
      <w:pPr>
        <w:adjustRightInd w:val="0"/>
        <w:snapToGrid w:val="0"/>
        <w:spacing w:line="288" w:lineRule="auto"/>
        <w:ind w:firstLine="423" w:firstLineChars="214"/>
        <w:jc w:val="left"/>
        <w:rPr>
          <w:rFonts w:ascii="宋体" w:hAnsi="宋体"/>
          <w:spacing w:val="-6"/>
          <w:sz w:val="21"/>
          <w:szCs w:val="21"/>
          <w:highlight w:val="none"/>
        </w:rPr>
      </w:pPr>
      <w:r>
        <w:rPr>
          <w:rFonts w:hint="eastAsia" w:ascii="宋体" w:hAnsi="宋体"/>
          <w:spacing w:val="-6"/>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3" w:firstLineChars="214"/>
        <w:jc w:val="left"/>
        <w:rPr>
          <w:rFonts w:ascii="宋体" w:hAnsi="宋体"/>
          <w:spacing w:val="-6"/>
          <w:sz w:val="21"/>
          <w:szCs w:val="21"/>
          <w:highlight w:val="none"/>
        </w:rPr>
      </w:pPr>
      <w:r>
        <w:rPr>
          <w:rFonts w:hint="eastAsia" w:ascii="宋体" w:hAnsi="宋体"/>
          <w:spacing w:val="-6"/>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423" w:firstLineChars="214"/>
        <w:jc w:val="left"/>
        <w:rPr>
          <w:rFonts w:ascii="宋体" w:hAnsi="宋体"/>
          <w:spacing w:val="-6"/>
          <w:sz w:val="21"/>
          <w:szCs w:val="21"/>
          <w:highlight w:val="none"/>
        </w:rPr>
      </w:pPr>
    </w:p>
    <w:p>
      <w:pPr>
        <w:adjustRightInd w:val="0"/>
        <w:snapToGrid w:val="0"/>
        <w:spacing w:line="288" w:lineRule="auto"/>
        <w:jc w:val="center"/>
        <w:outlineLvl w:val="1"/>
        <w:rPr>
          <w:rFonts w:ascii="宋体" w:hAnsi="宋体"/>
          <w:b/>
          <w:spacing w:val="-6"/>
          <w:sz w:val="21"/>
          <w:szCs w:val="21"/>
          <w:highlight w:val="none"/>
        </w:rPr>
      </w:pPr>
      <w:r>
        <w:rPr>
          <w:rFonts w:hint="eastAsia" w:ascii="宋体" w:hAnsi="宋体"/>
          <w:b/>
          <w:spacing w:val="-6"/>
          <w:sz w:val="21"/>
          <w:szCs w:val="21"/>
          <w:highlight w:val="none"/>
        </w:rPr>
        <w:t>八、</w:t>
      </w:r>
      <w:r>
        <w:rPr>
          <w:rFonts w:ascii="宋体" w:hAnsi="宋体"/>
          <w:b/>
          <w:spacing w:val="-6"/>
          <w:sz w:val="21"/>
          <w:szCs w:val="21"/>
          <w:highlight w:val="none"/>
        </w:rPr>
        <w:t>验</w:t>
      </w:r>
      <w:r>
        <w:rPr>
          <w:rFonts w:hint="eastAsia" w:ascii="宋体" w:hAnsi="宋体"/>
          <w:b/>
          <w:spacing w:val="-6"/>
          <w:sz w:val="21"/>
          <w:szCs w:val="21"/>
          <w:highlight w:val="none"/>
        </w:rPr>
        <w:t xml:space="preserve"> </w:t>
      </w:r>
      <w:r>
        <w:rPr>
          <w:rFonts w:ascii="宋体" w:hAnsi="宋体"/>
          <w:b/>
          <w:spacing w:val="-6"/>
          <w:sz w:val="21"/>
          <w:szCs w:val="21"/>
          <w:highlight w:val="none"/>
        </w:rPr>
        <w:t xml:space="preserve"> 收</w:t>
      </w:r>
    </w:p>
    <w:p>
      <w:pPr>
        <w:tabs>
          <w:tab w:val="left" w:pos="0"/>
        </w:tabs>
        <w:adjustRightInd w:val="0"/>
        <w:snapToGrid w:val="0"/>
        <w:spacing w:line="288" w:lineRule="auto"/>
        <w:ind w:firstLine="422" w:firstLineChars="201"/>
        <w:rPr>
          <w:rFonts w:ascii="宋体" w:hAnsi="宋体" w:cs="Helvetica"/>
          <w:kern w:val="0"/>
          <w:sz w:val="21"/>
          <w:szCs w:val="21"/>
          <w:highlight w:val="none"/>
        </w:rPr>
      </w:pPr>
      <w:r>
        <w:rPr>
          <w:rFonts w:ascii="宋体" w:hAnsi="宋体" w:cs="Helvetica"/>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highlight w:val="none"/>
        </w:rPr>
        <w:t>采购人可以邀请参加本项目的其他供应商或者第三方机构参与验收。参与</w:t>
      </w:r>
      <w:r>
        <w:rPr>
          <w:rFonts w:ascii="宋体" w:hAnsi="宋体" w:cs="Helvetica"/>
          <w:kern w:val="0"/>
          <w:sz w:val="21"/>
          <w:szCs w:val="21"/>
        </w:rPr>
        <w:t>验收的供应商或者第三方机构的意见作为</w:t>
      </w:r>
      <w:r>
        <w:rPr>
          <w:rFonts w:hint="eastAsia" w:ascii="宋体" w:hAnsi="宋体" w:cs="Helvetica"/>
          <w:kern w:val="0"/>
          <w:sz w:val="21"/>
          <w:szCs w:val="21"/>
        </w:rPr>
        <w:t>验收书的参考资料一并存档。</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idowControl/>
        <w:adjustRightInd w:val="0"/>
        <w:snapToGrid w:val="0"/>
        <w:spacing w:line="288" w:lineRule="auto"/>
        <w:jc w:val="left"/>
        <w:rPr>
          <w:rFonts w:ascii="宋体" w:hAnsi="宋体"/>
          <w:b/>
          <w:spacing w:val="-6"/>
          <w:sz w:val="32"/>
          <w:szCs w:val="32"/>
        </w:rPr>
      </w:pPr>
      <w:r>
        <w:rPr>
          <w:rFonts w:ascii="宋体" w:hAnsi="宋体"/>
          <w:b/>
          <w:spacing w:val="-6"/>
          <w:sz w:val="32"/>
          <w:szCs w:val="32"/>
        </w:rPr>
        <w:br w:type="page"/>
      </w:r>
    </w:p>
    <w:p>
      <w:pPr>
        <w:adjustRightInd w:val="0"/>
        <w:snapToGrid w:val="0"/>
        <w:spacing w:line="288" w:lineRule="auto"/>
        <w:jc w:val="center"/>
        <w:outlineLvl w:val="0"/>
        <w:rPr>
          <w:rFonts w:ascii="宋体" w:hAnsi="宋体"/>
          <w:b/>
          <w:spacing w:val="-6"/>
          <w:sz w:val="32"/>
          <w:szCs w:val="32"/>
        </w:rPr>
      </w:pPr>
      <w:r>
        <w:rPr>
          <w:rFonts w:hint="eastAsia" w:ascii="宋体" w:hAnsi="宋体"/>
          <w:b/>
          <w:spacing w:val="-6"/>
          <w:sz w:val="32"/>
          <w:szCs w:val="32"/>
        </w:rPr>
        <w:t>第四章  评审方法及评审标准</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一、总则</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本次评审采用综合评分法，总分为100分。评分过程中采用四舍五入法，并保留小数2位。</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供应商评审综合得分=商务分+技术分+价格分</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二、评审内容及标准</w:t>
      </w:r>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6"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7088" w:type="dxa"/>
            <w:vAlign w:val="center"/>
          </w:tcPr>
          <w:p>
            <w:pPr>
              <w:pStyle w:val="64"/>
              <w:adjustRightInd w:val="0"/>
              <w:snapToGrid w:val="0"/>
              <w:spacing w:line="288" w:lineRule="auto"/>
              <w:ind w:firstLine="398"/>
              <w:rPr>
                <w:rFonts w:hint="default" w:ascii="宋体" w:hAnsi="宋体" w:eastAsia="宋体"/>
                <w:b/>
                <w:spacing w:val="-6"/>
                <w:sz w:val="21"/>
                <w:szCs w:val="21"/>
              </w:rPr>
            </w:pPr>
            <w:r>
              <w:rPr>
                <w:rFonts w:ascii="宋体" w:hAns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493" w:type="dxa"/>
            <w:gridSpan w:val="3"/>
            <w:vAlign w:val="center"/>
          </w:tcPr>
          <w:p>
            <w:pPr>
              <w:pStyle w:val="64"/>
              <w:adjustRightInd w:val="0"/>
              <w:snapToGrid w:val="0"/>
              <w:spacing w:line="288" w:lineRule="auto"/>
              <w:ind w:hanging="4"/>
              <w:jc w:val="left"/>
              <w:rPr>
                <w:rFonts w:hint="default" w:ascii="宋体" w:hAnsi="宋体" w:eastAsia="宋体"/>
                <w:spacing w:val="-6"/>
                <w:sz w:val="21"/>
                <w:szCs w:val="21"/>
              </w:rPr>
            </w:pPr>
            <w:r>
              <w:rPr>
                <w:rFonts w:ascii="宋体" w:hAnsi="宋体" w:eastAsia="宋体"/>
                <w:b/>
                <w:bCs/>
                <w:spacing w:val="-6"/>
                <w:kern w:val="2"/>
                <w:sz w:val="21"/>
                <w:szCs w:val="21"/>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30</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价格分采用低价优先法计算，即满足磋商文件要求且最后磋商报价最低的供应商的价格为磋商基准价，其价格分为满分。其他供应商的价格分统一按照下列公式计算：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493" w:type="dxa"/>
            <w:gridSpan w:val="3"/>
            <w:vAlign w:val="center"/>
          </w:tcPr>
          <w:p>
            <w:pPr>
              <w:pStyle w:val="64"/>
              <w:adjustRightInd w:val="0"/>
              <w:snapToGrid w:val="0"/>
              <w:spacing w:line="288" w:lineRule="auto"/>
              <w:ind w:hanging="4"/>
              <w:jc w:val="left"/>
              <w:rPr>
                <w:rFonts w:hint="default" w:ascii="宋体" w:hAnsi="宋体" w:eastAsia="宋体"/>
                <w:b/>
                <w:spacing w:val="-6"/>
                <w:sz w:val="21"/>
                <w:szCs w:val="21"/>
              </w:rPr>
            </w:pPr>
            <w:r>
              <w:rPr>
                <w:rFonts w:ascii="宋体" w:hAnsi="宋体" w:eastAsia="宋体"/>
                <w:b/>
                <w:spacing w:val="-6"/>
                <w:sz w:val="21"/>
                <w:szCs w:val="21"/>
              </w:rPr>
              <w:t>商务分</w:t>
            </w:r>
            <w:r>
              <w:rPr>
                <w:rFonts w:ascii="宋体" w:hAnsi="宋体" w:eastAsia="宋体"/>
                <w:b/>
                <w:bCs/>
                <w:spacing w:val="-6"/>
                <w:kern w:val="2"/>
                <w:sz w:val="21"/>
                <w:szCs w:val="21"/>
              </w:rPr>
              <w:t>（</w:t>
            </w:r>
            <w:r>
              <w:rPr>
                <w:rFonts w:hint="default" w:ascii="宋体" w:hAnsi="宋体" w:eastAsia="宋体"/>
                <w:b/>
                <w:bCs/>
                <w:spacing w:val="-6"/>
                <w:kern w:val="2"/>
                <w:sz w:val="21"/>
                <w:szCs w:val="21"/>
              </w:rPr>
              <w:t>9</w:t>
            </w:r>
            <w:r>
              <w:rPr>
                <w:rFonts w:ascii="宋体" w:hAnsi="宋体" w:eastAsia="宋体"/>
                <w:b/>
                <w:bCs/>
                <w:spacing w:val="-6"/>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spacing w:val="-6"/>
                <w:sz w:val="21"/>
                <w:szCs w:val="21"/>
              </w:rPr>
            </w:pPr>
            <w:r>
              <w:rPr>
                <w:rFonts w:hint="eastAsia" w:ascii="宋体" w:hAnsi="宋体"/>
                <w:b/>
                <w:bCs/>
                <w:sz w:val="21"/>
                <w:szCs w:val="21"/>
              </w:rPr>
              <w:t>质保期</w:t>
            </w:r>
          </w:p>
        </w:tc>
        <w:tc>
          <w:tcPr>
            <w:tcW w:w="709" w:type="dxa"/>
            <w:vAlign w:val="center"/>
          </w:tcPr>
          <w:p>
            <w:pPr>
              <w:adjustRightInd w:val="0"/>
              <w:snapToGrid w:val="0"/>
              <w:spacing w:line="288" w:lineRule="auto"/>
              <w:jc w:val="center"/>
              <w:rPr>
                <w:rFonts w:ascii="宋体" w:hAnsi="宋体"/>
                <w:spacing w:val="-6"/>
                <w:sz w:val="21"/>
                <w:szCs w:val="21"/>
              </w:rPr>
            </w:pPr>
            <w:r>
              <w:rPr>
                <w:rFonts w:ascii="宋体" w:hAnsi="宋体"/>
                <w:b/>
                <w:bCs/>
                <w:sz w:val="21"/>
                <w:szCs w:val="21"/>
              </w:rPr>
              <w:t>2</w:t>
            </w:r>
          </w:p>
        </w:tc>
        <w:tc>
          <w:tcPr>
            <w:tcW w:w="7088" w:type="dxa"/>
            <w:vAlign w:val="center"/>
          </w:tcPr>
          <w:p>
            <w:pPr>
              <w:adjustRightInd w:val="0"/>
              <w:snapToGrid w:val="0"/>
              <w:spacing w:line="288" w:lineRule="auto"/>
              <w:rPr>
                <w:rFonts w:ascii="宋体" w:hAnsi="宋体"/>
                <w:sz w:val="21"/>
                <w:szCs w:val="21"/>
              </w:rPr>
            </w:pPr>
            <w:r>
              <w:rPr>
                <w:rFonts w:hint="eastAsia" w:ascii="宋体" w:hAnsi="宋体"/>
                <w:sz w:val="21"/>
                <w:szCs w:val="21"/>
              </w:rPr>
              <w:t>质保期在满足磋商文件要求的基础上每延长一年加</w:t>
            </w:r>
            <w:r>
              <w:rPr>
                <w:rFonts w:ascii="宋体" w:hAnsi="宋体"/>
                <w:sz w:val="21"/>
                <w:szCs w:val="21"/>
              </w:rPr>
              <w:t>1</w:t>
            </w:r>
            <w:r>
              <w:rPr>
                <w:rFonts w:hint="eastAsia" w:ascii="宋体" w:hAnsi="宋体"/>
                <w:sz w:val="21"/>
                <w:szCs w:val="21"/>
              </w:rPr>
              <w:t>分，最多加</w:t>
            </w:r>
            <w:r>
              <w:rPr>
                <w:rFonts w:ascii="宋体" w:hAnsi="宋体"/>
                <w:sz w:val="21"/>
                <w:szCs w:val="21"/>
              </w:rPr>
              <w:t>2</w:t>
            </w:r>
            <w:r>
              <w:rPr>
                <w:rFonts w:hint="eastAsia" w:ascii="宋体" w:hAnsi="宋体"/>
                <w:sz w:val="21"/>
                <w:szCs w:val="21"/>
              </w:rPr>
              <w:t>分，延长时间不足一年的不计入加分，质保期不满足磋商文件要求的响应无效。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6" w:type="dxa"/>
            <w:vAlign w:val="center"/>
          </w:tcPr>
          <w:p>
            <w:pPr>
              <w:adjustRightInd w:val="0"/>
              <w:snapToGrid w:val="0"/>
              <w:spacing w:line="288" w:lineRule="auto"/>
              <w:jc w:val="center"/>
              <w:rPr>
                <w:rFonts w:ascii="宋体" w:hAnsi="宋体" w:cs="宋体"/>
                <w:kern w:val="0"/>
                <w:sz w:val="21"/>
                <w:szCs w:val="21"/>
              </w:rPr>
            </w:pPr>
            <w:r>
              <w:rPr>
                <w:rFonts w:hint="eastAsia" w:ascii="宋体" w:hAnsi="宋体"/>
                <w:b/>
                <w:bCs/>
                <w:sz w:val="21"/>
                <w:szCs w:val="21"/>
              </w:rPr>
              <w:t>业绩</w:t>
            </w:r>
          </w:p>
        </w:tc>
        <w:tc>
          <w:tcPr>
            <w:tcW w:w="709" w:type="dxa"/>
            <w:vAlign w:val="center"/>
          </w:tcPr>
          <w:p>
            <w:pPr>
              <w:adjustRightInd w:val="0"/>
              <w:snapToGrid w:val="0"/>
              <w:spacing w:line="288" w:lineRule="auto"/>
              <w:jc w:val="center"/>
              <w:rPr>
                <w:rFonts w:ascii="宋体" w:hAnsi="宋体" w:cs="宋体"/>
                <w:kern w:val="0"/>
                <w:sz w:val="21"/>
                <w:szCs w:val="21"/>
              </w:rPr>
            </w:pPr>
            <w:r>
              <w:rPr>
                <w:rFonts w:ascii="宋体" w:hAnsi="宋体"/>
                <w:b/>
                <w:bCs/>
                <w:sz w:val="21"/>
                <w:szCs w:val="21"/>
              </w:rPr>
              <w:t>3</w:t>
            </w:r>
          </w:p>
        </w:tc>
        <w:tc>
          <w:tcPr>
            <w:tcW w:w="7088" w:type="dxa"/>
            <w:vAlign w:val="center"/>
          </w:tcPr>
          <w:p>
            <w:pPr>
              <w:adjustRightInd w:val="0"/>
              <w:snapToGrid w:val="0"/>
              <w:spacing w:line="288" w:lineRule="auto"/>
              <w:rPr>
                <w:rFonts w:ascii="宋体" w:hAnsi="宋体" w:cs="宋体"/>
                <w:bCs/>
                <w:kern w:val="0"/>
                <w:sz w:val="21"/>
                <w:szCs w:val="21"/>
              </w:rPr>
            </w:pPr>
            <w:r>
              <w:rPr>
                <w:rFonts w:hint="eastAsia" w:ascii="宋体" w:hAnsi="宋体"/>
                <w:sz w:val="21"/>
                <w:szCs w:val="21"/>
              </w:rPr>
              <w:t>供应商自201</w:t>
            </w:r>
            <w:r>
              <w:rPr>
                <w:rFonts w:ascii="宋体" w:hAnsi="宋体"/>
                <w:sz w:val="21"/>
                <w:szCs w:val="21"/>
              </w:rPr>
              <w:t>9</w:t>
            </w:r>
            <w:r>
              <w:rPr>
                <w:rFonts w:hint="eastAsia" w:ascii="宋体" w:hAnsi="宋体"/>
                <w:sz w:val="21"/>
                <w:szCs w:val="21"/>
              </w:rPr>
              <w:t>年1月1日以来（以合同签订时间为准）同类合同业绩：每提供1份合同业绩得1分，最高得</w:t>
            </w:r>
            <w:r>
              <w:rPr>
                <w:rFonts w:ascii="宋体" w:hAnsi="宋体"/>
                <w:sz w:val="21"/>
                <w:szCs w:val="21"/>
              </w:rPr>
              <w:t>3</w:t>
            </w:r>
            <w:r>
              <w:rPr>
                <w:rFonts w:hint="eastAsia" w:ascii="宋体" w:hAnsi="宋体"/>
                <w:sz w:val="21"/>
                <w:szCs w:val="21"/>
              </w:rPr>
              <w:t>分。</w:t>
            </w:r>
            <w:r>
              <w:rPr>
                <w:rFonts w:hint="eastAsia" w:ascii="宋体" w:hAnsi="宋体" w:cs="宋体"/>
                <w:bCs/>
                <w:kern w:val="0"/>
                <w:sz w:val="21"/>
                <w:szCs w:val="21"/>
              </w:rPr>
              <w:t>（以提供的合同复印件为准）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6" w:type="dxa"/>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软件著作权</w:t>
            </w:r>
          </w:p>
        </w:tc>
        <w:tc>
          <w:tcPr>
            <w:tcW w:w="709" w:type="dxa"/>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1</w:t>
            </w:r>
          </w:p>
        </w:tc>
        <w:tc>
          <w:tcPr>
            <w:tcW w:w="7088" w:type="dxa"/>
            <w:vAlign w:val="center"/>
          </w:tcPr>
          <w:p>
            <w:pPr>
              <w:adjustRightInd w:val="0"/>
              <w:snapToGrid w:val="0"/>
              <w:spacing w:line="288" w:lineRule="auto"/>
              <w:rPr>
                <w:rFonts w:ascii="宋体" w:hAnsi="宋体"/>
                <w:sz w:val="21"/>
                <w:szCs w:val="21"/>
              </w:rPr>
            </w:pPr>
            <w:r>
              <w:rPr>
                <w:rFonts w:hint="eastAsia" w:ascii="宋体" w:hAnsi="宋体"/>
                <w:sz w:val="21"/>
                <w:szCs w:val="21"/>
              </w:rPr>
              <w:t>供应商具有疫情防控相关软件著作权的得1分，提供著作权复印件，未提供不得分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6" w:type="dxa"/>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认证证书</w:t>
            </w:r>
          </w:p>
        </w:tc>
        <w:tc>
          <w:tcPr>
            <w:tcW w:w="709" w:type="dxa"/>
            <w:vAlign w:val="center"/>
          </w:tcPr>
          <w:p>
            <w:pPr>
              <w:adjustRightInd w:val="0"/>
              <w:snapToGrid w:val="0"/>
              <w:spacing w:line="288" w:lineRule="auto"/>
              <w:jc w:val="center"/>
              <w:rPr>
                <w:rFonts w:ascii="宋体" w:hAnsi="宋体"/>
                <w:b/>
                <w:bCs/>
                <w:spacing w:val="-6"/>
                <w:sz w:val="21"/>
                <w:szCs w:val="21"/>
              </w:rPr>
            </w:pPr>
            <w:r>
              <w:rPr>
                <w:rFonts w:ascii="宋体" w:hAnsi="宋体"/>
                <w:b/>
                <w:bCs/>
                <w:spacing w:val="-6"/>
                <w:sz w:val="21"/>
                <w:szCs w:val="21"/>
              </w:rPr>
              <w:t>3</w:t>
            </w:r>
          </w:p>
        </w:tc>
        <w:tc>
          <w:tcPr>
            <w:tcW w:w="7088" w:type="dxa"/>
            <w:vAlign w:val="center"/>
          </w:tcPr>
          <w:p>
            <w:pPr>
              <w:adjustRightInd w:val="0"/>
              <w:snapToGrid w:val="0"/>
              <w:spacing w:line="288" w:lineRule="auto"/>
              <w:rPr>
                <w:rFonts w:ascii="宋体" w:hAnsi="宋体"/>
                <w:sz w:val="21"/>
                <w:szCs w:val="21"/>
              </w:rPr>
            </w:pPr>
            <w:r>
              <w:rPr>
                <w:rFonts w:hint="eastAsia" w:ascii="宋体" w:hAnsi="宋体"/>
                <w:sz w:val="21"/>
                <w:szCs w:val="21"/>
              </w:rPr>
              <w:t>供应商同时具有有效的ISO9001质量管理体系、ISO20000信息技术服务管理体系、ISO27001信息安全管理体系认证证书的得3分。提供证书复印件，未提供的不得分。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493" w:type="dxa"/>
            <w:gridSpan w:val="3"/>
            <w:vAlign w:val="center"/>
          </w:tcPr>
          <w:p>
            <w:pPr>
              <w:pStyle w:val="12"/>
              <w:adjustRightInd w:val="0"/>
              <w:snapToGrid w:val="0"/>
              <w:spacing w:line="288" w:lineRule="auto"/>
              <w:ind w:firstLine="0"/>
              <w:jc w:val="left"/>
              <w:rPr>
                <w:rFonts w:hAnsi="宋体"/>
                <w:spacing w:val="-6"/>
                <w:sz w:val="21"/>
                <w:szCs w:val="21"/>
              </w:rPr>
            </w:pPr>
            <w:r>
              <w:rPr>
                <w:rFonts w:hint="eastAsia" w:hAnsi="宋体"/>
                <w:b/>
                <w:spacing w:val="-6"/>
                <w:sz w:val="21"/>
                <w:szCs w:val="21"/>
              </w:rPr>
              <w:t>技术</w:t>
            </w:r>
            <w:r>
              <w:rPr>
                <w:rFonts w:hAnsi="宋体"/>
                <w:b/>
                <w:spacing w:val="-6"/>
                <w:sz w:val="21"/>
                <w:szCs w:val="21"/>
              </w:rPr>
              <w:t>分</w:t>
            </w:r>
            <w:r>
              <w:rPr>
                <w:rFonts w:hAnsi="宋体"/>
                <w:b/>
                <w:bCs/>
                <w:spacing w:val="-6"/>
                <w:sz w:val="21"/>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6" w:type="dxa"/>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z w:val="21"/>
                <w:szCs w:val="21"/>
              </w:rPr>
              <w:t>产品响应程度</w:t>
            </w:r>
          </w:p>
        </w:tc>
        <w:tc>
          <w:tcPr>
            <w:tcW w:w="709" w:type="dxa"/>
            <w:vAlign w:val="center"/>
          </w:tcPr>
          <w:p>
            <w:pPr>
              <w:adjustRightInd w:val="0"/>
              <w:snapToGrid w:val="0"/>
              <w:spacing w:line="288" w:lineRule="auto"/>
              <w:jc w:val="center"/>
              <w:rPr>
                <w:rFonts w:ascii="宋体" w:hAnsi="宋体"/>
                <w:b/>
                <w:bCs/>
                <w:spacing w:val="-6"/>
                <w:sz w:val="21"/>
                <w:szCs w:val="21"/>
              </w:rPr>
            </w:pPr>
            <w:r>
              <w:rPr>
                <w:rFonts w:ascii="宋体" w:hAnsi="宋体"/>
                <w:b/>
                <w:bCs/>
                <w:sz w:val="21"/>
                <w:szCs w:val="21"/>
              </w:rPr>
              <w:t>3</w:t>
            </w:r>
          </w:p>
        </w:tc>
        <w:tc>
          <w:tcPr>
            <w:tcW w:w="7088" w:type="dxa"/>
            <w:vAlign w:val="center"/>
          </w:tcPr>
          <w:p>
            <w:pPr>
              <w:adjustRightInd w:val="0"/>
              <w:snapToGrid w:val="0"/>
              <w:spacing w:line="288" w:lineRule="auto"/>
              <w:rPr>
                <w:rFonts w:ascii="宋体" w:hAnsi="宋体"/>
                <w:sz w:val="21"/>
                <w:szCs w:val="21"/>
              </w:rPr>
            </w:pPr>
            <w:r>
              <w:rPr>
                <w:rFonts w:hint="eastAsia" w:ascii="宋体" w:hAnsi="宋体"/>
                <w:sz w:val="21"/>
                <w:szCs w:val="21"/>
              </w:rPr>
              <w:t>不符合（负偏离）技术要求中标注“▲”条款（不可偏离）的响应文件无效，满足或明显优于磋商文件明确的全部技术条款要求的该项得满分；</w:t>
            </w:r>
          </w:p>
          <w:p>
            <w:pPr>
              <w:adjustRightInd w:val="0"/>
              <w:snapToGrid w:val="0"/>
              <w:spacing w:line="288" w:lineRule="auto"/>
              <w:rPr>
                <w:rFonts w:ascii="宋体" w:hAnsi="宋体"/>
                <w:sz w:val="21"/>
                <w:szCs w:val="21"/>
              </w:rPr>
            </w:pPr>
            <w:r>
              <w:rPr>
                <w:rFonts w:hint="eastAsia" w:ascii="宋体" w:hAnsi="宋体"/>
                <w:sz w:val="21"/>
                <w:szCs w:val="21"/>
              </w:rPr>
              <w:t>技术条款低于技术要求（负偏离）的每项扣</w:t>
            </w:r>
            <w:r>
              <w:rPr>
                <w:rFonts w:ascii="宋体" w:hAnsi="宋体"/>
                <w:sz w:val="21"/>
                <w:szCs w:val="21"/>
              </w:rPr>
              <w:t>1</w:t>
            </w:r>
            <w:r>
              <w:rPr>
                <w:rFonts w:hint="eastAsia" w:ascii="宋体" w:hAnsi="宋体"/>
                <w:sz w:val="21"/>
                <w:szCs w:val="21"/>
              </w:rPr>
              <w:t>分；</w:t>
            </w:r>
          </w:p>
          <w:p>
            <w:pPr>
              <w:adjustRightInd w:val="0"/>
              <w:snapToGrid w:val="0"/>
              <w:spacing w:line="288" w:lineRule="auto"/>
              <w:rPr>
                <w:rFonts w:ascii="宋体" w:hAnsi="宋体"/>
                <w:sz w:val="21"/>
                <w:szCs w:val="21"/>
              </w:rPr>
            </w:pPr>
            <w:r>
              <w:rPr>
                <w:rFonts w:hint="eastAsia" w:ascii="宋体" w:hAnsi="宋体"/>
                <w:sz w:val="21"/>
                <w:szCs w:val="21"/>
              </w:rPr>
              <w:t>负偏离</w:t>
            </w:r>
            <w:r>
              <w:rPr>
                <w:rFonts w:ascii="宋体" w:hAnsi="宋体"/>
                <w:sz w:val="21"/>
                <w:szCs w:val="21"/>
              </w:rPr>
              <w:t>4</w:t>
            </w:r>
            <w:r>
              <w:rPr>
                <w:rFonts w:hint="eastAsia" w:ascii="宋体" w:hAnsi="宋体"/>
                <w:sz w:val="21"/>
                <w:szCs w:val="21"/>
              </w:rPr>
              <w:t>项及以上的响应文件无效。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项目理解</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r>
              <w:rPr>
                <w:rFonts w:ascii="宋体" w:hAnsi="宋体"/>
                <w:b/>
                <w:bCs/>
                <w:sz w:val="21"/>
                <w:szCs w:val="21"/>
              </w:rPr>
              <w:t>5</w:t>
            </w:r>
          </w:p>
        </w:tc>
        <w:tc>
          <w:tcPr>
            <w:tcW w:w="7088"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spacing w:val="-6"/>
                <w:sz w:val="21"/>
                <w:szCs w:val="21"/>
              </w:rPr>
            </w:pPr>
            <w:r>
              <w:rPr>
                <w:rFonts w:hint="eastAsia" w:ascii="宋体" w:hAnsi="宋体"/>
                <w:sz w:val="21"/>
                <w:szCs w:val="21"/>
              </w:rPr>
              <w:t>供应商对本项目建设整体架构的理解、描述是否详细完整，对采购人建设内容是否理解准确。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6"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z w:val="21"/>
                <w:szCs w:val="21"/>
              </w:rPr>
              <w:t>项目实施方案</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ascii="宋体" w:hAnsi="宋体"/>
                <w:b/>
                <w:bCs/>
                <w:sz w:val="21"/>
                <w:szCs w:val="21"/>
              </w:rPr>
              <w:t>3</w:t>
            </w:r>
          </w:p>
        </w:tc>
        <w:tc>
          <w:tcPr>
            <w:tcW w:w="7088"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spacing w:val="-6"/>
                <w:sz w:val="21"/>
                <w:szCs w:val="21"/>
              </w:rPr>
            </w:pPr>
            <w:r>
              <w:rPr>
                <w:rFonts w:hint="eastAsia" w:ascii="宋体" w:hAnsi="宋体"/>
                <w:sz w:val="21"/>
                <w:szCs w:val="21"/>
              </w:rPr>
              <w:t>供应商提供的总体建设方案，是否详细阐述平台的体系架构、功能模块、实现思路和关键技术，以及对功能设计和实施计划的建议。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ascii="宋体" w:hAnsi="宋体"/>
                <w:b/>
                <w:bCs/>
                <w:sz w:val="21"/>
                <w:szCs w:val="21"/>
              </w:rPr>
              <w:t>3</w:t>
            </w:r>
          </w:p>
        </w:tc>
        <w:tc>
          <w:tcPr>
            <w:tcW w:w="7088"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spacing w:val="-6"/>
                <w:sz w:val="21"/>
                <w:szCs w:val="21"/>
              </w:rPr>
            </w:pPr>
            <w:r>
              <w:rPr>
                <w:rFonts w:hint="eastAsia" w:ascii="宋体" w:hAnsi="宋体"/>
                <w:sz w:val="21"/>
                <w:szCs w:val="21"/>
              </w:rPr>
              <w:t>供应商提供的数据安全及保密措施方案，对平台安全设计和数据安全保密工作措施是否详细完整。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ascii="宋体" w:hAnsi="宋体"/>
                <w:b/>
                <w:bCs/>
                <w:sz w:val="21"/>
                <w:szCs w:val="21"/>
              </w:rPr>
              <w:t>3</w:t>
            </w:r>
          </w:p>
        </w:tc>
        <w:tc>
          <w:tcPr>
            <w:tcW w:w="7088"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spacing w:val="-6"/>
                <w:sz w:val="21"/>
                <w:szCs w:val="21"/>
              </w:rPr>
            </w:pPr>
            <w:r>
              <w:rPr>
                <w:rFonts w:hint="eastAsia" w:ascii="宋体" w:hAnsi="宋体"/>
                <w:sz w:val="21"/>
                <w:szCs w:val="21"/>
              </w:rPr>
              <w:t>供应商提供进度计划，进度阶段的划分以及工作量及工期安排的合理性，是否符合采购需求。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ascii="宋体" w:hAnsi="宋体"/>
                <w:b/>
                <w:bCs/>
                <w:sz w:val="21"/>
                <w:szCs w:val="21"/>
              </w:rPr>
              <w:t>3</w:t>
            </w:r>
          </w:p>
        </w:tc>
        <w:tc>
          <w:tcPr>
            <w:tcW w:w="7088"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spacing w:val="-6"/>
                <w:sz w:val="21"/>
                <w:szCs w:val="21"/>
              </w:rPr>
            </w:pPr>
            <w:r>
              <w:rPr>
                <w:rFonts w:hint="eastAsia" w:ascii="宋体" w:hAnsi="宋体"/>
                <w:sz w:val="21"/>
                <w:szCs w:val="21"/>
              </w:rPr>
              <w:t>供应商提供的项目管理方案，包含项目管理规范和手段、项目管理控制、风险管理、质量管理、软件项目的开发管理等内容，是否详细完整。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ascii="宋体" w:hAnsi="宋体"/>
                <w:b/>
                <w:bCs/>
                <w:sz w:val="21"/>
                <w:szCs w:val="21"/>
              </w:rPr>
              <w:t>3</w:t>
            </w:r>
          </w:p>
        </w:tc>
        <w:tc>
          <w:tcPr>
            <w:tcW w:w="7088"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spacing w:val="-6"/>
                <w:sz w:val="21"/>
                <w:szCs w:val="21"/>
              </w:rPr>
            </w:pPr>
            <w:r>
              <w:rPr>
                <w:rFonts w:hint="eastAsia" w:ascii="宋体" w:hAnsi="宋体"/>
                <w:sz w:val="21"/>
                <w:szCs w:val="21"/>
              </w:rPr>
              <w:t>供应商确保项目按时交付、正常运行的措施情况。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z w:val="21"/>
                <w:szCs w:val="21"/>
              </w:rPr>
              <w:t>项目团队</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ascii="宋体" w:hAnsi="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spacing w:val="-6"/>
                <w:sz w:val="21"/>
                <w:szCs w:val="21"/>
              </w:rPr>
            </w:pPr>
            <w:r>
              <w:rPr>
                <w:rFonts w:hint="eastAsia" w:ascii="宋体" w:hAnsi="宋体"/>
                <w:sz w:val="21"/>
                <w:szCs w:val="21"/>
              </w:rPr>
              <w:t>拟投入的项目团队数量及工作经验等内容，须提供详细的人员分工表并注明驻场人员。（团队需包括项目经理、技术负责人、开发人员、测试人员、售后人员等）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6"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ascii="宋体" w:hAnsi="宋体"/>
                <w:b/>
                <w:bCs/>
                <w:sz w:val="21"/>
                <w:szCs w:val="21"/>
              </w:rPr>
              <w:t>2</w:t>
            </w:r>
          </w:p>
        </w:tc>
        <w:tc>
          <w:tcPr>
            <w:tcW w:w="7088"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spacing w:val="-6"/>
                <w:sz w:val="21"/>
                <w:szCs w:val="21"/>
              </w:rPr>
            </w:pPr>
            <w:r>
              <w:rPr>
                <w:rFonts w:hint="eastAsia" w:ascii="宋体" w:hAnsi="宋体"/>
                <w:sz w:val="21"/>
                <w:szCs w:val="21"/>
              </w:rPr>
              <w:t>项目团队人员具有信息系统项目管理师证书，系统分析师证书，系统架构设计师，网络规划设计师，系统规划与管理师，软件测评师，数据库系统工程师，信息安全工程师证书，</w:t>
            </w:r>
            <w:r>
              <w:rPr>
                <w:rFonts w:ascii="宋体" w:hAnsi="宋体"/>
                <w:sz w:val="21"/>
                <w:szCs w:val="21"/>
              </w:rPr>
              <w:t>每持有一本</w:t>
            </w:r>
            <w:r>
              <w:rPr>
                <w:rFonts w:hint="eastAsia" w:ascii="宋体" w:hAnsi="宋体"/>
                <w:sz w:val="21"/>
                <w:szCs w:val="21"/>
              </w:rPr>
              <w:t>证书得</w:t>
            </w:r>
            <w:r>
              <w:rPr>
                <w:rFonts w:ascii="宋体" w:hAnsi="宋体"/>
                <w:sz w:val="21"/>
                <w:szCs w:val="21"/>
              </w:rPr>
              <w:t>1分，最高2分</w:t>
            </w:r>
            <w:r>
              <w:rPr>
                <w:rFonts w:hint="eastAsia" w:ascii="宋体" w:hAnsi="宋体"/>
                <w:sz w:val="21"/>
                <w:szCs w:val="21"/>
              </w:rPr>
              <w:t>（单人最高累计2分）</w:t>
            </w:r>
            <w:r>
              <w:rPr>
                <w:rFonts w:ascii="宋体" w:hAnsi="宋体"/>
                <w:sz w:val="21"/>
                <w:szCs w:val="21"/>
              </w:rPr>
              <w:t>。提供</w:t>
            </w:r>
            <w:r>
              <w:rPr>
                <w:rFonts w:hint="eastAsia" w:ascii="宋体" w:hAnsi="宋体"/>
                <w:sz w:val="21"/>
                <w:szCs w:val="21"/>
              </w:rPr>
              <w:t>证书复印件</w:t>
            </w:r>
            <w:r>
              <w:rPr>
                <w:rFonts w:ascii="宋体" w:hAnsi="宋体"/>
                <w:sz w:val="21"/>
                <w:szCs w:val="21"/>
              </w:rPr>
              <w:t>及</w:t>
            </w:r>
            <w:r>
              <w:rPr>
                <w:rFonts w:hint="eastAsia" w:ascii="宋体" w:hAnsi="宋体"/>
                <w:sz w:val="21"/>
                <w:szCs w:val="21"/>
              </w:rPr>
              <w:t>供应商为该人员缴纳的近 6 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z w:val="21"/>
                <w:szCs w:val="21"/>
              </w:rPr>
              <w:t>验收方案</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ascii="宋体" w:hAnsi="宋体"/>
                <w:b/>
                <w:bCs/>
                <w:sz w:val="21"/>
                <w:szCs w:val="21"/>
              </w:rPr>
              <w:t>2</w:t>
            </w:r>
          </w:p>
        </w:tc>
        <w:tc>
          <w:tcPr>
            <w:tcW w:w="7088"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spacing w:val="-6"/>
                <w:sz w:val="21"/>
                <w:szCs w:val="21"/>
              </w:rPr>
            </w:pPr>
            <w:r>
              <w:rPr>
                <w:rFonts w:hint="eastAsia" w:ascii="宋体" w:hAnsi="宋体"/>
                <w:sz w:val="21"/>
                <w:szCs w:val="21"/>
              </w:rPr>
              <w:t>项目安装、调试、验收方法或方案的详细完整度、合理可行性。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z w:val="21"/>
                <w:szCs w:val="21"/>
              </w:rPr>
              <w:t>维护服务方案</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088"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spacing w:val="-6"/>
                <w:sz w:val="21"/>
                <w:szCs w:val="21"/>
              </w:rPr>
            </w:pPr>
            <w:r>
              <w:rPr>
                <w:rFonts w:hint="eastAsia" w:ascii="宋体" w:hAnsi="宋体"/>
                <w:sz w:val="21"/>
                <w:szCs w:val="21"/>
              </w:rPr>
              <w:t>供应商提供的维护服务方案是否合理详细，且具有完整具体的保障措施。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z w:val="21"/>
                <w:szCs w:val="21"/>
              </w:rPr>
              <w:t>故障应急处理方案</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ascii="宋体" w:hAnsi="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spacing w:val="-6"/>
                <w:sz w:val="21"/>
                <w:szCs w:val="21"/>
              </w:rPr>
            </w:pPr>
            <w:r>
              <w:rPr>
                <w:rFonts w:hint="eastAsia" w:ascii="宋体" w:hAnsi="宋体"/>
                <w:sz w:val="21"/>
                <w:szCs w:val="21"/>
              </w:rPr>
              <w:t>平台运行环境出现故障或意外情况导致平台不能正常运行时，供应商针对不同故障级别的响应时间和响应内容。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z w:val="21"/>
                <w:szCs w:val="21"/>
              </w:rPr>
              <w:t>项目培训</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ascii="宋体" w:hAnsi="宋体"/>
                <w:b/>
                <w:bCs/>
                <w:sz w:val="21"/>
                <w:szCs w:val="21"/>
              </w:rPr>
              <w:t>3</w:t>
            </w:r>
          </w:p>
        </w:tc>
        <w:tc>
          <w:tcPr>
            <w:tcW w:w="7088"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spacing w:val="-6"/>
                <w:sz w:val="21"/>
                <w:szCs w:val="21"/>
              </w:rPr>
            </w:pPr>
            <w:r>
              <w:rPr>
                <w:rFonts w:hint="eastAsia" w:ascii="宋体" w:hAnsi="宋体"/>
                <w:sz w:val="21"/>
                <w:szCs w:val="21"/>
              </w:rPr>
              <w:t>供应商提供详细完整的项目培训方案（明确培训计划、培训流程、培训课程、授课人员、培训对象与人数、培训保障等），是否详细完整，合理性及可行性高。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演示</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8</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1、校园通行码（0</w:t>
            </w:r>
            <w:r>
              <w:rPr>
                <w:rFonts w:ascii="宋体" w:hAnsi="宋体" w:cs="宋体"/>
                <w:spacing w:val="-6"/>
                <w:sz w:val="21"/>
                <w:szCs w:val="21"/>
              </w:rPr>
              <w:t>-3</w:t>
            </w:r>
            <w:r>
              <w:rPr>
                <w:rFonts w:hint="eastAsia" w:ascii="宋体" w:hAnsi="宋体" w:cs="宋体"/>
                <w:spacing w:val="-6"/>
                <w:sz w:val="21"/>
                <w:szCs w:val="21"/>
              </w:rPr>
              <w:t>分）：</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与钉钉或企业微信进行认证对接，打开后可直接进行跳转并登录。能够查看个人校园通行码。校园通行码，正常状态为绿码。若健康码状态异常（非绿码），校园通行码自动变为红码，并对本人及二级单位负责人进行消息提醒。当校园通行码非绿码时，提示不可进校。可设置允许进校时间，非允许进校时间校园通行码不可用。</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2、出入校管理（0</w:t>
            </w:r>
            <w:r>
              <w:rPr>
                <w:rFonts w:ascii="宋体" w:hAnsi="宋体" w:cs="宋体"/>
                <w:spacing w:val="-6"/>
                <w:sz w:val="21"/>
                <w:szCs w:val="21"/>
              </w:rPr>
              <w:t>-2</w:t>
            </w:r>
            <w:r>
              <w:rPr>
                <w:rFonts w:hint="eastAsia" w:ascii="宋体" w:hAnsi="宋体" w:cs="宋体"/>
                <w:spacing w:val="-6"/>
                <w:sz w:val="21"/>
                <w:szCs w:val="21"/>
              </w:rPr>
              <w:t>分）：</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本功能中的个人基本信息、历史打卡数据，健康码等健康信息要求自动获取。学生出校前需通过移动端登录系统，填写出校申请单。班主任或辅导员初审学生申请，初审通过后提交给学工负责人审核。要求修改申请内容的审批，则申请流转回申请人，允许申请人对申请内容进行修改。学工负责人审批通过后，获得出校码。出校码仅在申请出校的当天有效。学生扫码出校后，校园通行码、出校码自动失效。</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返校时，学生需通过钉钉或企业微信登录系统填写返校申请，学生返校审批流程同学生出校申请审批流程。审批通过后，学生凭校园通行码/返校码，扫码进校。扫码完成后，校园通行码恢复正常。</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若未在规定时间内出校/返校的，需要重新提交申请。</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3、假期返校（0</w:t>
            </w:r>
            <w:r>
              <w:rPr>
                <w:rFonts w:ascii="宋体" w:hAnsi="宋体" w:cs="宋体"/>
                <w:spacing w:val="-6"/>
                <w:sz w:val="21"/>
                <w:szCs w:val="21"/>
              </w:rPr>
              <w:t>-3</w:t>
            </w:r>
            <w:r>
              <w:rPr>
                <w:rFonts w:hint="eastAsia" w:ascii="宋体" w:hAnsi="宋体" w:cs="宋体"/>
                <w:spacing w:val="-6"/>
                <w:sz w:val="21"/>
                <w:szCs w:val="21"/>
              </w:rPr>
              <w:t>分）：</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系统能够灵活设定假期的起止时间。根据假期安排，自动更新师生通行码状态，寒暑假期间校园通行码可设置为不可用。假期期间需返校的师生用户，通过钉钉登录系统并提交返校申请。自动获取申请人前十四天的打卡数据，包括健康码状态、位置等信息。返校申请中，需包括上传行程码和上传指定时间的核酸阴性证明。若申请中信息填写不全，或有其他非正常情况，则申请流转回申请人，补充材料或提供其他相关证明材料。教职工申请提交部门负责人审核，学生申请同出入校审批流程。审核通过后，生成通行码。</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假期后，教职工可通过钉钉或企业微信申请返校，申请由二级单位负责人审核，申请时间可灵活设置。学生假后返校申请，同出入校管理中的返校审批流程。</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4、健康打卡和疫情数据统计（0</w:t>
            </w:r>
            <w:r>
              <w:rPr>
                <w:rFonts w:ascii="宋体" w:hAnsi="宋体" w:cs="宋体"/>
                <w:spacing w:val="-6"/>
                <w:sz w:val="21"/>
                <w:szCs w:val="21"/>
              </w:rPr>
              <w:t>-2</w:t>
            </w:r>
            <w:r>
              <w:rPr>
                <w:rFonts w:hint="eastAsia" w:ascii="宋体" w:hAnsi="宋体" w:cs="宋体"/>
                <w:spacing w:val="-6"/>
                <w:sz w:val="21"/>
                <w:szCs w:val="21"/>
              </w:rPr>
              <w:t>分）：</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本功能主要包括日常健康打卡表单，临时性表单填报，及其统计功能。</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表单支持健康码、核酸检测报告，疫苗接种等信息的自动获取，打卡地信息获取等。填报人员，通过移动端，实现日常健康打卡等表单填报。同时进行打卡提示，以及表单在线收集及数据的自动汇总并上报给指定人员。</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5、访客管理（0</w:t>
            </w:r>
            <w:r>
              <w:rPr>
                <w:rFonts w:ascii="宋体" w:hAnsi="宋体" w:cs="宋体"/>
                <w:spacing w:val="-6"/>
                <w:sz w:val="21"/>
                <w:szCs w:val="21"/>
              </w:rPr>
              <w:t>-2</w:t>
            </w:r>
            <w:r>
              <w:rPr>
                <w:rFonts w:hint="eastAsia" w:ascii="宋体" w:hAnsi="宋体" w:cs="宋体"/>
                <w:spacing w:val="-6"/>
                <w:sz w:val="21"/>
                <w:szCs w:val="21"/>
              </w:rPr>
              <w:t>分）：</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被访老师通过钉钉、企业微信或微信小程序等移动端，登录后，为自己的访客进行预约，预约成功后发送短信给访客，访客完善自己的信息并经被访人确认，提交部门负责人审核通过后，可生成访客的校园通行码。审核后，可通过短信自动发送审核结果告知访客和随行人员，访客也可根据发送的链接，查看自己的访客通行码，在规定时间内扫码进校。</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6、健康打卡统计（0</w:t>
            </w:r>
            <w:r>
              <w:rPr>
                <w:rFonts w:ascii="宋体" w:hAnsi="宋体" w:cs="宋体"/>
                <w:spacing w:val="-6"/>
                <w:sz w:val="21"/>
                <w:szCs w:val="21"/>
              </w:rPr>
              <w:t>-2</w:t>
            </w:r>
            <w:r>
              <w:rPr>
                <w:rFonts w:hint="eastAsia" w:ascii="宋体" w:hAnsi="宋体" w:cs="宋体"/>
                <w:spacing w:val="-6"/>
                <w:sz w:val="21"/>
                <w:szCs w:val="21"/>
              </w:rPr>
              <w:t>分）：</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支持健康打卡后的统计分析，自动匹配中高风险地区人员，自动生成上报表单并支持导出。统计信息能按照不同权限，进行查看。</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系统能够展示每位学生的打卡信息。对应的班主任、辅导员、副书记通过健康打卡统计模块查看对应学院，专业，班级学生的打卡具体情况。同时移动端能查看健康打卡汇总统计的数据。</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系统能够展示每位教师的打卡信息。对应的教职工或人事部门通过健康打卡统计模块，查看对应部门或者分院的打卡具体情况。同时移动端能查看健康打卡汇总统计的数据。</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系统能够实现对未打卡部分人员进行消息提醒。</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7、返校信息大屏（0</w:t>
            </w:r>
            <w:r>
              <w:rPr>
                <w:rFonts w:ascii="宋体" w:hAnsi="宋体" w:cs="宋体"/>
                <w:spacing w:val="-6"/>
                <w:sz w:val="21"/>
                <w:szCs w:val="21"/>
              </w:rPr>
              <w:t>-2</w:t>
            </w:r>
            <w:r>
              <w:rPr>
                <w:rFonts w:hint="eastAsia" w:ascii="宋体" w:hAnsi="宋体" w:cs="宋体"/>
                <w:spacing w:val="-6"/>
                <w:sz w:val="21"/>
                <w:szCs w:val="21"/>
              </w:rPr>
              <w:t>分）：</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根据假期扫码返校进校数据，按二级学院实时展现学生寒暑假、法定节假日返校数据，包括当日在校学生人数，当日返校学生人数、学生地区及分布情况、各时间段的返校情况等。</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8、访客信息大屏（0</w:t>
            </w:r>
            <w:r>
              <w:rPr>
                <w:rFonts w:ascii="宋体" w:hAnsi="宋体" w:cs="宋体"/>
                <w:spacing w:val="-6"/>
                <w:sz w:val="21"/>
                <w:szCs w:val="21"/>
              </w:rPr>
              <w:t>-2</w:t>
            </w:r>
            <w:r>
              <w:rPr>
                <w:rFonts w:hint="eastAsia" w:ascii="宋体" w:hAnsi="宋体" w:cs="宋体"/>
                <w:spacing w:val="-6"/>
                <w:sz w:val="21"/>
                <w:szCs w:val="21"/>
              </w:rPr>
              <w:t>分）：</w:t>
            </w:r>
          </w:p>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根据访客扫码进校数据，实时展示当天预约访客数量、进校访客数量、当前访客来校时间段、当前访客的刷码记录、访问的部门等，大屏采用优美的图表显示（例如饼图、柱状图等），并实现每日访客详细信息的查询，如访问部门、人员、访问理由等。</w:t>
            </w:r>
          </w:p>
        </w:tc>
      </w:tr>
    </w:tbl>
    <w:p>
      <w:pPr>
        <w:adjustRightInd w:val="0"/>
        <w:snapToGrid w:val="0"/>
        <w:spacing w:line="288" w:lineRule="auto"/>
        <w:rPr>
          <w:rFonts w:ascii="宋体" w:hAnsi="宋体"/>
          <w:b/>
          <w:sz w:val="21"/>
          <w:szCs w:val="21"/>
        </w:rPr>
      </w:pPr>
    </w:p>
    <w:p>
      <w:pPr>
        <w:adjustRightInd w:val="0"/>
        <w:snapToGrid w:val="0"/>
        <w:spacing w:line="288" w:lineRule="auto"/>
        <w:jc w:val="left"/>
        <w:rPr>
          <w:rFonts w:ascii="宋体" w:hAnsi="宋体"/>
          <w:b/>
          <w:sz w:val="21"/>
          <w:szCs w:val="21"/>
        </w:rPr>
      </w:pPr>
      <w:r>
        <w:rPr>
          <w:rFonts w:hint="eastAsia" w:ascii="宋体" w:hAnsi="宋体"/>
          <w:b/>
          <w:sz w:val="21"/>
          <w:szCs w:val="21"/>
        </w:rPr>
        <w:t>说明</w:t>
      </w:r>
      <w:r>
        <w:rPr>
          <w:rFonts w:ascii="宋体" w:hAnsi="宋体"/>
          <w:b/>
          <w:sz w:val="21"/>
          <w:szCs w:val="21"/>
        </w:rPr>
        <w:t>：</w:t>
      </w:r>
    </w:p>
    <w:p>
      <w:pPr>
        <w:adjustRightInd w:val="0"/>
        <w:snapToGrid w:val="0"/>
        <w:spacing w:line="288" w:lineRule="auto"/>
        <w:jc w:val="left"/>
        <w:rPr>
          <w:rFonts w:ascii="宋体" w:hAnsi="宋体"/>
          <w:b/>
          <w:sz w:val="21"/>
          <w:szCs w:val="21"/>
        </w:rPr>
      </w:pPr>
      <w:r>
        <w:rPr>
          <w:rFonts w:ascii="宋体" w:hAnsi="宋体"/>
          <w:b/>
          <w:sz w:val="21"/>
          <w:szCs w:val="21"/>
        </w:rPr>
        <w:t>1.</w:t>
      </w:r>
      <w:r>
        <w:rPr>
          <w:rFonts w:hint="eastAsia" w:ascii="宋体" w:hAnsi="宋体"/>
          <w:b/>
          <w:sz w:val="21"/>
          <w:szCs w:val="21"/>
        </w:rPr>
        <w:t>根据《政府采购促进中小企业发展管理办法》（财库〔2020〕46号）的规定，对符合规定的小微企业报价给予</w:t>
      </w:r>
      <w:r>
        <w:rPr>
          <w:rFonts w:ascii="宋体" w:hAnsi="宋体"/>
          <w:b/>
          <w:sz w:val="21"/>
          <w:szCs w:val="21"/>
        </w:rPr>
        <w:t>10</w:t>
      </w:r>
      <w:r>
        <w:rPr>
          <w:rFonts w:hint="eastAsia" w:ascii="宋体" w:hAnsi="宋体"/>
          <w:b/>
          <w:sz w:val="21"/>
          <w:szCs w:val="21"/>
        </w:rPr>
        <w:t>%的扣除后计算价格得分。</w:t>
      </w:r>
    </w:p>
    <w:p>
      <w:pPr>
        <w:adjustRightInd w:val="0"/>
        <w:snapToGrid w:val="0"/>
        <w:spacing w:line="288" w:lineRule="auto"/>
        <w:ind w:firstLine="396" w:firstLineChars="200"/>
        <w:jc w:val="left"/>
        <w:rPr>
          <w:rFonts w:ascii="宋体" w:hAnsi="宋体"/>
          <w:b/>
          <w:sz w:val="21"/>
          <w:szCs w:val="21"/>
        </w:rPr>
      </w:pPr>
      <w:r>
        <w:rPr>
          <w:rFonts w:hint="eastAsia" w:ascii="宋体" w:hAnsi="宋体"/>
          <w:spacing w:val="-6"/>
          <w:sz w:val="21"/>
          <w:szCs w:val="21"/>
          <w:u w:val="single"/>
        </w:rPr>
        <w:t>对于联合协议或者分包意向协议约定小微企业的合同份额占到合同总金额30%以上的，对联合体或者大中型企业的报价给予</w:t>
      </w:r>
      <w:r>
        <w:rPr>
          <w:rFonts w:ascii="宋体" w:hAnsi="宋体"/>
          <w:spacing w:val="-6"/>
          <w:sz w:val="21"/>
          <w:szCs w:val="21"/>
          <w:u w:val="single"/>
        </w:rPr>
        <w:t>3</w:t>
      </w:r>
      <w:r>
        <w:rPr>
          <w:rFonts w:hint="eastAsia" w:ascii="宋体" w:hAnsi="宋体"/>
          <w:spacing w:val="-6"/>
          <w:sz w:val="21"/>
          <w:szCs w:val="21"/>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b/>
          <w:bCs/>
          <w:spacing w:val="-6"/>
          <w:sz w:val="21"/>
          <w:szCs w:val="21"/>
        </w:rPr>
      </w:pPr>
      <w:bookmarkStart w:id="53" w:name="_Hlk81817373"/>
      <w:bookmarkStart w:id="54" w:name="_Hlk81817387"/>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根据《</w:t>
      </w:r>
      <w:r>
        <w:rPr>
          <w:rFonts w:ascii="宋体" w:hAnsi="宋体"/>
          <w:b/>
          <w:bCs/>
          <w:spacing w:val="-6"/>
          <w:sz w:val="21"/>
          <w:szCs w:val="21"/>
        </w:rPr>
        <w:t>关于政府采购支持监狱企业发展有关问题的通知</w:t>
      </w:r>
      <w:r>
        <w:rPr>
          <w:rFonts w:hint="eastAsia" w:ascii="宋体" w:hAnsi="宋体"/>
          <w:b/>
          <w:bCs/>
          <w:spacing w:val="-6"/>
          <w:sz w:val="21"/>
          <w:szCs w:val="21"/>
        </w:rPr>
        <w:t>》（</w:t>
      </w:r>
      <w:r>
        <w:rPr>
          <w:rFonts w:ascii="宋体" w:hAnsi="宋体"/>
          <w:b/>
          <w:bCs/>
          <w:spacing w:val="-6"/>
          <w:sz w:val="21"/>
          <w:szCs w:val="21"/>
        </w:rPr>
        <w:t>财库[2014]68号</w:t>
      </w:r>
      <w:r>
        <w:rPr>
          <w:rFonts w:hint="eastAsia" w:ascii="宋体" w:hAnsi="宋体"/>
          <w:b/>
          <w:bCs/>
          <w:spacing w:val="-6"/>
          <w:sz w:val="21"/>
          <w:szCs w:val="21"/>
        </w:rPr>
        <w:t>）的规定，</w:t>
      </w:r>
      <w:r>
        <w:rPr>
          <w:rFonts w:hint="eastAsia" w:ascii="宋体" w:hAnsi="宋体" w:cs="宋体"/>
          <w:color w:val="000000"/>
          <w:kern w:val="0"/>
          <w:sz w:val="21"/>
          <w:szCs w:val="21"/>
        </w:rPr>
        <w:t>监狱企业参加政府采购活动时，提供由省级以上监狱管理局</w:t>
      </w:r>
      <w:r>
        <w:rPr>
          <w:rFonts w:hint="eastAsia" w:ascii="宋体" w:hAnsi="宋体" w:cs="宋体"/>
          <w:kern w:val="0"/>
          <w:sz w:val="21"/>
          <w:szCs w:val="21"/>
        </w:rPr>
        <w:t>、戒毒管理局（含新疆生产建设兵团）出具的属于监狱企业的证明文件的，在政府采购活动中，监狱企业视</w:t>
      </w:r>
      <w:r>
        <w:rPr>
          <w:rFonts w:hint="eastAsia" w:ascii="宋体" w:hAnsi="宋体" w:cs="宋体"/>
          <w:color w:val="000000"/>
          <w:kern w:val="0"/>
          <w:sz w:val="21"/>
          <w:szCs w:val="21"/>
        </w:rPr>
        <w:t>同小型、微型企业，享受预留份额、评审中价格扣除等政府采购促进中小企业发展的政府采购政策。</w:t>
      </w:r>
    </w:p>
    <w:bookmarkEnd w:id="53"/>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根据《关于促进残疾人就业政府采购政策的通知》（财库[2017]141号）的规定，</w:t>
      </w:r>
      <w:r>
        <w:rPr>
          <w:rFonts w:hint="eastAsia" w:ascii="宋体" w:hAnsi="宋体"/>
          <w:color w:val="000000"/>
          <w:sz w:val="21"/>
          <w:szCs w:val="21"/>
        </w:rPr>
        <w:t>符合条件的残疾人福利性单位在参加政府采购活动时，</w:t>
      </w:r>
      <w:r>
        <w:rPr>
          <w:rFonts w:hint="eastAsia" w:ascii="宋体" w:hAnsi="宋体"/>
          <w:sz w:val="21"/>
          <w:szCs w:val="21"/>
        </w:rPr>
        <w:t>提供财库</w:t>
      </w:r>
      <w:r>
        <w:rPr>
          <w:rFonts w:ascii="宋体" w:hAnsi="宋体"/>
          <w:sz w:val="21"/>
          <w:szCs w:val="21"/>
        </w:rPr>
        <w:t>[2017]141号</w:t>
      </w:r>
      <w:r>
        <w:rPr>
          <w:rFonts w:hint="eastAsia" w:ascii="宋体" w:hAnsi="宋体"/>
          <w:sz w:val="21"/>
          <w:szCs w:val="21"/>
        </w:rPr>
        <w:t>文件</w:t>
      </w:r>
      <w:r>
        <w:rPr>
          <w:rFonts w:hint="eastAsia" w:ascii="宋体" w:hAnsi="宋体"/>
          <w:color w:val="000000"/>
          <w:sz w:val="21"/>
          <w:szCs w:val="21"/>
        </w:rPr>
        <w:t>规定的《残疾人福利性单位声明函》的，在政府采购活</w:t>
      </w:r>
      <w:r>
        <w:rPr>
          <w:rFonts w:hint="eastAsia" w:ascii="宋体" w:hAnsi="宋体"/>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p>
    <w:bookmarkEnd w:id="54"/>
    <w:p>
      <w:pPr>
        <w:adjustRightInd w:val="0"/>
        <w:snapToGrid w:val="0"/>
        <w:spacing w:line="288" w:lineRule="auto"/>
        <w:jc w:val="center"/>
        <w:outlineLvl w:val="0"/>
        <w:rPr>
          <w:rFonts w:ascii="宋体" w:hAnsi="宋体"/>
          <w:b/>
          <w:bCs/>
          <w:spacing w:val="-6"/>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pPr>
        <w:adjustRightInd w:val="0"/>
        <w:snapToGrid w:val="0"/>
        <w:spacing w:line="288" w:lineRule="auto"/>
        <w:jc w:val="center"/>
        <w:rPr>
          <w:rFonts w:ascii="宋体" w:hAnsi="宋体"/>
          <w:b/>
          <w:bCs/>
          <w:spacing w:val="-6"/>
          <w:sz w:val="21"/>
          <w:szCs w:val="21"/>
        </w:rPr>
      </w:pPr>
    </w:p>
    <w:p>
      <w:pPr>
        <w:adjustRightInd w:val="0"/>
        <w:snapToGrid w:val="0"/>
        <w:spacing w:line="288" w:lineRule="auto"/>
        <w:jc w:val="center"/>
        <w:rPr>
          <w:rFonts w:ascii="宋体" w:hAnsi="宋体" w:cs="宋体"/>
          <w:b/>
          <w:spacing w:val="-6"/>
          <w:sz w:val="21"/>
          <w:szCs w:val="21"/>
        </w:rPr>
      </w:pPr>
      <w:r>
        <w:rPr>
          <w:rFonts w:hint="eastAsia" w:ascii="宋体" w:hAnsi="宋体" w:cs="宋体"/>
          <w:b/>
          <w:spacing w:val="-6"/>
          <w:sz w:val="21"/>
          <w:szCs w:val="21"/>
        </w:rPr>
        <w:t>浙江财经大学东方学院</w:t>
      </w:r>
    </w:p>
    <w:p>
      <w:pPr>
        <w:adjustRightInd w:val="0"/>
        <w:snapToGrid w:val="0"/>
        <w:spacing w:line="288" w:lineRule="auto"/>
        <w:jc w:val="center"/>
        <w:rPr>
          <w:rFonts w:ascii="宋体" w:hAnsi="宋体" w:cs="宋体"/>
          <w:b/>
          <w:bCs/>
          <w:sz w:val="21"/>
          <w:szCs w:val="21"/>
        </w:rPr>
      </w:pPr>
      <w:r>
        <w:rPr>
          <w:rFonts w:hint="eastAsia" w:ascii="宋体" w:hAnsi="宋体" w:cs="宋体"/>
          <w:b/>
          <w:spacing w:val="-6"/>
          <w:sz w:val="21"/>
          <w:szCs w:val="21"/>
        </w:rPr>
        <w:t>采购合同</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项目名称：疫情防控平台建设</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项目编号：</w:t>
      </w:r>
      <w:r>
        <w:rPr>
          <w:rFonts w:ascii="宋体" w:hAnsi="宋体"/>
          <w:b/>
          <w:bCs/>
          <w:spacing w:val="-6"/>
          <w:sz w:val="21"/>
          <w:szCs w:val="21"/>
        </w:rPr>
        <w:t xml:space="preserve">QSZB-F(H)-E22038(CS) </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甲方（需方）：浙江财经大学东方学院</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乙方（供方）：</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采购代理机构：浙江求是招标代理有限公司</w:t>
      </w:r>
    </w:p>
    <w:p>
      <w:pPr>
        <w:adjustRightInd w:val="0"/>
        <w:snapToGrid w:val="0"/>
        <w:spacing w:line="288" w:lineRule="auto"/>
        <w:rPr>
          <w:rFonts w:ascii="宋体" w:hAnsi="宋体"/>
          <w:spacing w:val="-6"/>
          <w:sz w:val="21"/>
          <w:szCs w:val="21"/>
        </w:rPr>
      </w:pPr>
    </w:p>
    <w:p>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浙江求是招标代理有限公司受</w:t>
      </w:r>
      <w:r>
        <w:rPr>
          <w:rFonts w:hint="eastAsia" w:ascii="宋体" w:hAnsi="宋体" w:cs="宋体"/>
          <w:spacing w:val="-6"/>
          <w:sz w:val="21"/>
          <w:szCs w:val="21"/>
          <w:u w:val="single"/>
        </w:rPr>
        <w:t>浙江财经大学东方学院</w:t>
      </w:r>
      <w:r>
        <w:rPr>
          <w:rFonts w:hint="eastAsia" w:ascii="宋体" w:hAnsi="宋体" w:cs="宋体"/>
          <w:spacing w:val="-6"/>
          <w:sz w:val="21"/>
          <w:szCs w:val="21"/>
        </w:rPr>
        <w:t>委托，经</w:t>
      </w:r>
      <w:r>
        <w:rPr>
          <w:rFonts w:hint="eastAsia" w:ascii="宋体" w:hAnsi="宋体" w:cs="宋体"/>
          <w:spacing w:val="-6"/>
          <w:sz w:val="21"/>
          <w:szCs w:val="21"/>
          <w:u w:val="single"/>
        </w:rPr>
        <w:t>竞争性磋商采购</w:t>
      </w:r>
      <w:r>
        <w:rPr>
          <w:rFonts w:hint="eastAsia" w:ascii="宋体" w:hAnsi="宋体" w:cs="宋体"/>
          <w:spacing w:val="-6"/>
          <w:sz w:val="21"/>
          <w:szCs w:val="21"/>
        </w:rPr>
        <w:t>，确定</w:t>
      </w:r>
      <w:r>
        <w:rPr>
          <w:rFonts w:hint="eastAsia" w:ascii="宋体" w:hAnsi="宋体" w:cs="宋体"/>
          <w:spacing w:val="-6"/>
          <w:sz w:val="21"/>
          <w:szCs w:val="21"/>
          <w:u w:val="single"/>
        </w:rPr>
        <w:t xml:space="preserve">          </w:t>
      </w:r>
      <w:r>
        <w:rPr>
          <w:rFonts w:hint="eastAsia" w:ascii="宋体" w:hAnsi="宋体" w:cs="宋体"/>
          <w:spacing w:val="-6"/>
          <w:sz w:val="21"/>
          <w:szCs w:val="21"/>
        </w:rPr>
        <w:t>为</w:t>
      </w:r>
      <w:r>
        <w:rPr>
          <w:rFonts w:hint="eastAsia" w:ascii="宋体" w:hAnsi="宋体" w:cs="宋体"/>
          <w:spacing w:val="-6"/>
          <w:sz w:val="21"/>
          <w:szCs w:val="21"/>
          <w:u w:val="single"/>
        </w:rPr>
        <w:t xml:space="preserve">        </w:t>
      </w:r>
      <w:r>
        <w:rPr>
          <w:rFonts w:hint="eastAsia" w:ascii="宋体" w:hAnsi="宋体" w:cs="宋体"/>
          <w:spacing w:val="-6"/>
          <w:sz w:val="21"/>
          <w:szCs w:val="21"/>
        </w:rPr>
        <w:t>项目编号</w:t>
      </w:r>
      <w:r>
        <w:rPr>
          <w:rFonts w:hint="eastAsia" w:ascii="宋体" w:hAnsi="宋体" w:cs="宋体"/>
          <w:spacing w:val="-6"/>
          <w:sz w:val="21"/>
          <w:szCs w:val="21"/>
          <w:u w:val="single"/>
        </w:rPr>
        <w:t>（）</w:t>
      </w:r>
      <w:r>
        <w:rPr>
          <w:rFonts w:hint="eastAsia" w:ascii="宋体" w:hAnsi="宋体" w:cs="宋体"/>
          <w:spacing w:val="-6"/>
          <w:sz w:val="21"/>
          <w:szCs w:val="21"/>
        </w:rPr>
        <w:t>的成交供应商。根据《中华人民共和国民法典》规定，签署本合同。</w:t>
      </w:r>
    </w:p>
    <w:p>
      <w:pPr>
        <w:adjustRightInd w:val="0"/>
        <w:snapToGrid w:val="0"/>
        <w:spacing w:line="288" w:lineRule="auto"/>
        <w:rPr>
          <w:rFonts w:ascii="宋体" w:hAnsi="宋体" w:cs="宋体"/>
          <w:b/>
          <w:spacing w:val="-6"/>
          <w:sz w:val="21"/>
          <w:szCs w:val="21"/>
        </w:rPr>
      </w:pP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序号</w:t>
            </w:r>
          </w:p>
        </w:tc>
        <w:tc>
          <w:tcPr>
            <w:tcW w:w="2163"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名称</w:t>
            </w:r>
          </w:p>
        </w:tc>
        <w:tc>
          <w:tcPr>
            <w:tcW w:w="2532"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品牌、型号</w:t>
            </w:r>
          </w:p>
        </w:tc>
        <w:tc>
          <w:tcPr>
            <w:tcW w:w="70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数量</w:t>
            </w:r>
          </w:p>
        </w:tc>
        <w:tc>
          <w:tcPr>
            <w:tcW w:w="708"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单位</w:t>
            </w:r>
          </w:p>
        </w:tc>
        <w:tc>
          <w:tcPr>
            <w:tcW w:w="1418"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单价（元）</w:t>
            </w:r>
          </w:p>
        </w:tc>
        <w:tc>
          <w:tcPr>
            <w:tcW w:w="1300"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1</w:t>
            </w:r>
          </w:p>
        </w:tc>
        <w:tc>
          <w:tcPr>
            <w:tcW w:w="2163"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2532"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9"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41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300" w:type="dxa"/>
            <w:vAlign w:val="center"/>
          </w:tcPr>
          <w:p>
            <w:pPr>
              <w:adjustRightInd w:val="0"/>
              <w:snapToGrid w:val="0"/>
              <w:spacing w:line="288" w:lineRule="auto"/>
              <w:ind w:firstLine="396" w:firstLineChars="200"/>
              <w:jc w:val="center"/>
              <w:rPr>
                <w:rFonts w:ascii="宋体" w:hAnsi="宋体" w:cs="宋体"/>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2</w:t>
            </w:r>
          </w:p>
        </w:tc>
        <w:tc>
          <w:tcPr>
            <w:tcW w:w="2163"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2532"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9"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41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300" w:type="dxa"/>
            <w:vAlign w:val="center"/>
          </w:tcPr>
          <w:p>
            <w:pPr>
              <w:adjustRightInd w:val="0"/>
              <w:snapToGrid w:val="0"/>
              <w:spacing w:line="288" w:lineRule="auto"/>
              <w:ind w:firstLine="396" w:firstLineChars="200"/>
              <w:jc w:val="center"/>
              <w:rPr>
                <w:rFonts w:ascii="宋体" w:hAnsi="宋体" w:cs="宋体"/>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cs="宋体"/>
                <w:spacing w:val="-6"/>
                <w:sz w:val="21"/>
                <w:szCs w:val="21"/>
              </w:rPr>
            </w:pPr>
            <w:r>
              <w:rPr>
                <w:rFonts w:hint="eastAsia" w:ascii="宋体" w:hAnsi="宋体" w:cs="宋体"/>
                <w:spacing w:val="-6"/>
                <w:sz w:val="21"/>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cs="宋体"/>
                <w:spacing w:val="-6"/>
                <w:sz w:val="21"/>
                <w:szCs w:val="21"/>
                <w:lang w:val="zh-CN"/>
              </w:rPr>
            </w:pPr>
          </w:p>
          <w:p>
            <w:pPr>
              <w:adjustRightInd w:val="0"/>
              <w:snapToGrid w:val="0"/>
              <w:spacing w:line="288" w:lineRule="auto"/>
              <w:jc w:val="left"/>
              <w:rPr>
                <w:rFonts w:ascii="宋体" w:hAnsi="宋体" w:cs="宋体"/>
                <w:spacing w:val="-6"/>
                <w:sz w:val="21"/>
                <w:szCs w:val="21"/>
                <w:lang w:val="zh-CN"/>
              </w:rPr>
            </w:pPr>
            <w:r>
              <w:rPr>
                <w:rFonts w:hint="eastAsia" w:ascii="宋体" w:hAnsi="宋体" w:cs="宋体"/>
                <w:spacing w:val="-6"/>
                <w:sz w:val="21"/>
                <w:szCs w:val="21"/>
                <w:lang w:val="zh-CN"/>
              </w:rPr>
              <w:t>合同总价（大写）：</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jc w:val="left"/>
              <w:rPr>
                <w:rFonts w:ascii="宋体" w:hAnsi="宋体" w:cs="宋体"/>
                <w:spacing w:val="-6"/>
                <w:sz w:val="21"/>
                <w:szCs w:val="21"/>
              </w:rPr>
            </w:pPr>
            <w:r>
              <w:rPr>
                <w:rFonts w:hint="eastAsia" w:ascii="宋体" w:hAnsi="宋体" w:cs="宋体"/>
                <w:spacing w:val="-6"/>
                <w:sz w:val="21"/>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cs="宋体"/>
          <w:spacing w:val="-6"/>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第二条：付款方式</w:t>
      </w:r>
    </w:p>
    <w:p>
      <w:pPr>
        <w:adjustRightInd w:val="0"/>
        <w:snapToGrid w:val="0"/>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项目完成并上线试运行后支付合同总价30%。试运行满两个月并完成项目验收后，甲方向乙方支付合同总价的70%。</w:t>
      </w:r>
    </w:p>
    <w:p>
      <w:pPr>
        <w:adjustRightInd w:val="0"/>
        <w:snapToGrid w:val="0"/>
        <w:spacing w:line="288" w:lineRule="auto"/>
        <w:rPr>
          <w:rFonts w:ascii="宋体" w:hAnsi="宋体" w:cs="宋体"/>
          <w:spacing w:val="-6"/>
          <w:kern w:val="0"/>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第三条：交付时间、地点、货物质保期</w:t>
      </w:r>
    </w:p>
    <w:p>
      <w:pPr>
        <w:adjustRightInd w:val="0"/>
        <w:snapToGrid w:val="0"/>
        <w:spacing w:line="288" w:lineRule="auto"/>
        <w:ind w:right="-686" w:rightChars="-245" w:firstLine="396" w:firstLineChars="200"/>
        <w:rPr>
          <w:rFonts w:ascii="宋体" w:hAnsi="宋体"/>
          <w:spacing w:val="-6"/>
          <w:sz w:val="21"/>
          <w:szCs w:val="21"/>
        </w:rPr>
      </w:pPr>
      <w:r>
        <w:rPr>
          <w:rFonts w:hint="eastAsia" w:ascii="宋体" w:hAnsi="宋体"/>
          <w:spacing w:val="-6"/>
          <w:sz w:val="21"/>
          <w:szCs w:val="21"/>
        </w:rPr>
        <w:t>交付时间：</w:t>
      </w:r>
      <w:r>
        <w:rPr>
          <w:rFonts w:hint="eastAsia" w:ascii="宋体" w:hAnsi="宋体"/>
          <w:spacing w:val="-6"/>
          <w:sz w:val="21"/>
          <w:szCs w:val="21"/>
          <w:u w:val="single"/>
        </w:rPr>
        <w:t xml:space="preserve">    </w:t>
      </w:r>
      <w:r>
        <w:rPr>
          <w:rFonts w:hint="eastAsia" w:ascii="宋体" w:hAnsi="宋体"/>
          <w:spacing w:val="-6"/>
          <w:sz w:val="21"/>
          <w:szCs w:val="21"/>
        </w:rPr>
        <w:t>年</w:t>
      </w:r>
      <w:r>
        <w:rPr>
          <w:rFonts w:hint="eastAsia" w:ascii="宋体" w:hAnsi="宋体"/>
          <w:spacing w:val="-6"/>
          <w:sz w:val="21"/>
          <w:szCs w:val="21"/>
          <w:u w:val="single"/>
        </w:rPr>
        <w:t xml:space="preserve">    </w:t>
      </w:r>
      <w:r>
        <w:rPr>
          <w:rFonts w:hint="eastAsia" w:ascii="宋体" w:hAnsi="宋体"/>
          <w:spacing w:val="-6"/>
          <w:sz w:val="21"/>
          <w:szCs w:val="21"/>
        </w:rPr>
        <w:t>月</w:t>
      </w:r>
      <w:r>
        <w:rPr>
          <w:rFonts w:hint="eastAsia" w:ascii="宋体" w:hAnsi="宋体"/>
          <w:spacing w:val="-6"/>
          <w:sz w:val="21"/>
          <w:szCs w:val="21"/>
          <w:u w:val="single"/>
        </w:rPr>
        <w:t xml:space="preserve">    </w:t>
      </w:r>
      <w:r>
        <w:rPr>
          <w:rFonts w:hint="eastAsia" w:ascii="宋体" w:hAnsi="宋体"/>
          <w:spacing w:val="-6"/>
          <w:sz w:val="21"/>
          <w:szCs w:val="21"/>
        </w:rPr>
        <w:t>日前；</w:t>
      </w:r>
    </w:p>
    <w:p>
      <w:pPr>
        <w:adjustRightInd w:val="0"/>
        <w:snapToGrid w:val="0"/>
        <w:spacing w:line="288" w:lineRule="auto"/>
        <w:ind w:right="-686" w:rightChars="-245" w:firstLine="396" w:firstLineChars="200"/>
        <w:rPr>
          <w:rFonts w:ascii="宋体" w:hAnsi="宋体"/>
          <w:spacing w:val="-6"/>
          <w:sz w:val="21"/>
          <w:szCs w:val="21"/>
        </w:rPr>
      </w:pPr>
      <w:r>
        <w:rPr>
          <w:rFonts w:hint="eastAsia" w:ascii="宋体" w:hAnsi="宋体"/>
          <w:spacing w:val="-6"/>
          <w:sz w:val="21"/>
          <w:szCs w:val="21"/>
        </w:rPr>
        <w:t>交付地点：</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ind w:right="-686" w:rightChars="-245" w:firstLine="396" w:firstLineChars="200"/>
        <w:rPr>
          <w:rFonts w:ascii="宋体" w:hAnsi="宋体"/>
          <w:spacing w:val="-6"/>
          <w:sz w:val="21"/>
          <w:szCs w:val="21"/>
          <w:u w:val="single"/>
        </w:rPr>
      </w:pPr>
      <w:r>
        <w:rPr>
          <w:rFonts w:hint="eastAsia" w:ascii="宋体" w:hAnsi="宋体"/>
          <w:spacing w:val="-6"/>
          <w:sz w:val="21"/>
          <w:szCs w:val="21"/>
        </w:rPr>
        <w:t>货物质保期：</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u w:val="single"/>
        </w:rPr>
        <w:t>年</w:t>
      </w:r>
      <w:r>
        <w:rPr>
          <w:rFonts w:hint="eastAsia" w:ascii="宋体" w:hAnsi="宋体"/>
          <w:spacing w:val="-6"/>
          <w:sz w:val="21"/>
          <w:szCs w:val="21"/>
        </w:rPr>
        <w:t>，项目验收合格后开始计算；</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第四条：服务标准、期限、效率</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1.在质保期内，乙方应对货物出现的质量及安全问题负责处理解决并承担一切费用。</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2.质保期内出现无法排除的故障，乙方需无条件更换同型号产品。</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3.质保期满后，乙方继续为甲方服务，仅收取零配件成本费。</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4.因人为因素出现的故障不在免费保修范围内。</w:t>
      </w:r>
    </w:p>
    <w:p>
      <w:pPr>
        <w:adjustRightInd w:val="0"/>
        <w:snapToGrid w:val="0"/>
        <w:spacing w:line="288" w:lineRule="auto"/>
        <w:ind w:firstLine="396" w:firstLineChars="200"/>
        <w:rPr>
          <w:rFonts w:ascii="宋体" w:hAnsi="宋体"/>
          <w:spacing w:val="-6"/>
          <w:sz w:val="21"/>
          <w:szCs w:val="21"/>
          <w:u w:val="single"/>
        </w:rPr>
      </w:pPr>
      <w:r>
        <w:rPr>
          <w:rFonts w:hint="eastAsia" w:ascii="宋体" w:hAnsi="宋体"/>
          <w:spacing w:val="-6"/>
          <w:sz w:val="21"/>
          <w:szCs w:val="21"/>
        </w:rPr>
        <w:t>5.</w:t>
      </w:r>
      <w:r>
        <w:rPr>
          <w:rFonts w:hint="eastAsia" w:ascii="宋体" w:hAnsi="宋体"/>
          <w:spacing w:val="-6"/>
          <w:sz w:val="21"/>
          <w:szCs w:val="21"/>
          <w:u w:val="single"/>
        </w:rPr>
        <w:t>如在使用过程中发生质量问题，乙方维修响应时间：    小时以内；</w:t>
      </w:r>
    </w:p>
    <w:p>
      <w:pPr>
        <w:adjustRightInd w:val="0"/>
        <w:snapToGrid w:val="0"/>
        <w:spacing w:line="288" w:lineRule="auto"/>
        <w:ind w:firstLine="396" w:firstLineChars="200"/>
        <w:rPr>
          <w:rFonts w:ascii="宋体" w:hAnsi="宋体"/>
          <w:spacing w:val="-6"/>
          <w:sz w:val="21"/>
          <w:szCs w:val="21"/>
          <w:u w:val="single"/>
        </w:rPr>
      </w:pPr>
      <w:r>
        <w:rPr>
          <w:rFonts w:hint="eastAsia" w:ascii="宋体" w:hAnsi="宋体"/>
          <w:spacing w:val="-6"/>
          <w:sz w:val="21"/>
          <w:szCs w:val="21"/>
          <w:u w:val="single"/>
        </w:rPr>
        <w:t>电话技术支持时间：    小时以内；</w:t>
      </w:r>
    </w:p>
    <w:p>
      <w:pPr>
        <w:adjustRightInd w:val="0"/>
        <w:snapToGrid w:val="0"/>
        <w:spacing w:line="288" w:lineRule="auto"/>
        <w:ind w:firstLine="396" w:firstLineChars="200"/>
        <w:rPr>
          <w:rFonts w:ascii="宋体" w:hAnsi="宋体"/>
          <w:spacing w:val="-6"/>
          <w:sz w:val="21"/>
          <w:szCs w:val="21"/>
          <w:u w:val="single"/>
        </w:rPr>
      </w:pPr>
      <w:r>
        <w:rPr>
          <w:rFonts w:hint="eastAsia" w:ascii="宋体" w:hAnsi="宋体"/>
          <w:spacing w:val="-6"/>
          <w:sz w:val="21"/>
          <w:szCs w:val="21"/>
          <w:u w:val="single"/>
        </w:rPr>
        <w:t>若需上门维修，则在：    小时内到达现场并进行维修；</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6.培训：</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第五条：</w:t>
      </w:r>
      <w:bookmarkStart w:id="55" w:name="_Hlk79756370"/>
      <w:r>
        <w:rPr>
          <w:rFonts w:hint="eastAsia" w:ascii="宋体" w:hAnsi="宋体"/>
          <w:b/>
          <w:spacing w:val="-6"/>
          <w:sz w:val="21"/>
          <w:szCs w:val="21"/>
        </w:rPr>
        <w:t>其他技术、服务要求</w:t>
      </w:r>
      <w:bookmarkEnd w:id="55"/>
    </w:p>
    <w:p>
      <w:pPr>
        <w:adjustRightInd w:val="0"/>
        <w:snapToGrid w:val="0"/>
        <w:spacing w:line="288" w:lineRule="auto"/>
        <w:ind w:firstLine="396" w:firstLineChars="200"/>
        <w:rPr>
          <w:rFonts w:ascii="宋体" w:hAnsi="宋体"/>
          <w:spacing w:val="-6"/>
          <w:sz w:val="21"/>
          <w:szCs w:val="21"/>
        </w:rPr>
      </w:pPr>
      <w:bookmarkStart w:id="56" w:name="_Hlk79756357"/>
      <w:r>
        <w:rPr>
          <w:rFonts w:hint="eastAsia" w:ascii="宋体" w:hAnsi="宋体"/>
          <w:spacing w:val="-6"/>
          <w:sz w:val="21"/>
          <w:szCs w:val="21"/>
        </w:rPr>
        <w:t>1.乙方应按磋商文件规定的货物性能、技术要求、质量标准向甲方提供未经使用的全新产品，符合国家法律规定和技术规格、质量标准的出厂原装合格产品。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2.技术支持：</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3.安装调试：</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3.1安装地点：甲方指定地点；</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3.5乙方免费提供合同货物的安装服务；</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3.6乙方在响应文件中应提供安装调试计划、对安装场地和环境的要求。</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5.供货时提供有关的全套技术文件。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w:t>
      </w:r>
      <w:r>
        <w:rPr>
          <w:rFonts w:hint="eastAsia" w:ascii="宋体" w:hAnsi="宋体"/>
          <w:spacing w:val="-6"/>
          <w:sz w:val="21"/>
          <w:szCs w:val="21"/>
        </w:rPr>
        <w:t>乙方应保证所提供的货物或其中任何一部分均不会侵犯第三方的知识产权。</w:t>
      </w:r>
    </w:p>
    <w:bookmarkEnd w:id="56"/>
    <w:p>
      <w:pPr>
        <w:adjustRightInd w:val="0"/>
        <w:snapToGrid w:val="0"/>
        <w:spacing w:line="288" w:lineRule="auto"/>
        <w:rPr>
          <w:rFonts w:ascii="宋体" w:hAnsi="宋体"/>
          <w:b/>
          <w:spacing w:val="-6"/>
          <w:sz w:val="21"/>
          <w:szCs w:val="21"/>
        </w:rPr>
      </w:pPr>
      <w:bookmarkStart w:id="57" w:name="_Hlk79756388"/>
      <w:r>
        <w:rPr>
          <w:rFonts w:hint="eastAsia" w:ascii="宋体" w:hAnsi="宋体"/>
          <w:b/>
          <w:spacing w:val="-6"/>
          <w:sz w:val="21"/>
          <w:szCs w:val="21"/>
        </w:rPr>
        <w:t>第六条：验收标准</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1.验收由甲方负责实施；</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2.验收依据：</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2.1合同、磋商文件、响应文件；</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2.2乙方提供的技术规格、经甲方认可的合同货物的有效检验文件；</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2.3乙方响应文件中提供的经甲方认可的合同货物的验收标准（符合中国有关的国家、地方、行业标准）和检测办法及相应检测手段。</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4.验收合格的条件：</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4.1所供货物符合产品标准和合同的要求；</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4.2在进行测试和验收过程中发现的问题已被解决并得到甲方的认可；</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4.3合同中规定的所有货物和材料均已交付；</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4.4所供货物已通过使用单位组织的验收；</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4.5所有相关的技术文件及资料均已提交并得到接受。</w:t>
      </w:r>
    </w:p>
    <w:bookmarkEnd w:id="57"/>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第七条：违约责任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1.乙方逾期履行合同的，自逾期之日起，向甲方每日偿付合同总价0</w:t>
      </w:r>
      <w:r>
        <w:rPr>
          <w:rFonts w:ascii="宋体" w:hAnsi="宋体"/>
          <w:spacing w:val="-6"/>
          <w:sz w:val="21"/>
          <w:szCs w:val="21"/>
        </w:rPr>
        <w:t>.5</w:t>
      </w:r>
      <w:r>
        <w:rPr>
          <w:rFonts w:hint="eastAsia" w:ascii="宋体" w:hAnsi="宋体"/>
          <w:spacing w:val="-6"/>
          <w:sz w:val="21"/>
          <w:szCs w:val="21"/>
        </w:rPr>
        <w:t>%的滞纳金。</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2.甲方逾期支付货款的，自逾期之日起，向乙方每日偿付未付价款0</w:t>
      </w:r>
      <w:r>
        <w:rPr>
          <w:rFonts w:ascii="宋体" w:hAnsi="宋体"/>
          <w:spacing w:val="-6"/>
          <w:sz w:val="21"/>
          <w:szCs w:val="21"/>
        </w:rPr>
        <w:t>.5</w:t>
      </w:r>
      <w:r>
        <w:rPr>
          <w:rFonts w:hint="eastAsia" w:ascii="宋体" w:hAnsi="宋体"/>
          <w:spacing w:val="-6"/>
          <w:sz w:val="21"/>
          <w:szCs w:val="21"/>
        </w:rPr>
        <w:t>%的滞纳金。</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b/>
          <w:spacing w:val="-6"/>
          <w:sz w:val="21"/>
          <w:szCs w:val="21"/>
        </w:rPr>
      </w:pPr>
      <w:r>
        <w:rPr>
          <w:rFonts w:ascii="宋体" w:hAnsi="宋体"/>
          <w:b/>
          <w:spacing w:val="-6"/>
          <w:sz w:val="21"/>
          <w:szCs w:val="21"/>
        </w:rPr>
        <w:t>第</w:t>
      </w:r>
      <w:r>
        <w:rPr>
          <w:rFonts w:hint="eastAsia" w:ascii="宋体" w:hAnsi="宋体"/>
          <w:b/>
          <w:spacing w:val="-6"/>
          <w:sz w:val="21"/>
          <w:szCs w:val="21"/>
        </w:rPr>
        <w:t>八</w:t>
      </w:r>
      <w:r>
        <w:rPr>
          <w:rFonts w:ascii="宋体" w:hAnsi="宋体"/>
          <w:b/>
          <w:spacing w:val="-6"/>
          <w:sz w:val="21"/>
          <w:szCs w:val="21"/>
        </w:rPr>
        <w:t>条：不可抗力事件处理</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3.不可抗力事件延续120天以上，双方应通过友好协商，确定是否继续履行合同。</w:t>
      </w: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第九条：争议解决</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因本合同发生纠纷，甲乙双方应当及时协商，协商不成时，任何一方可向甲方所在地人民法院起诉。</w:t>
      </w: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第十条：合同生效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合同经甲、乙双方法定代表人或授权代表签名并加盖单位公章后生效。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本合同附件、磋商文件、响应文件、询标澄清、成交通知书均为合同的组成部分，与本合同具有同等法律效力。</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第十一条：合同份数</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甲方（需方）：（公章）</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甲方代表：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乙方代表：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地址：</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电话：</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开户银行：</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帐号：</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spacing w:val="-6"/>
                <w:sz w:val="21"/>
                <w:szCs w:val="21"/>
              </w:rPr>
              <w:t>采购代理机构代表：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电话：0571-87666117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鉴证日期：      年    月    日</w:t>
            </w:r>
          </w:p>
        </w:tc>
      </w:tr>
    </w:tbl>
    <w:p>
      <w:pPr>
        <w:pStyle w:val="14"/>
        <w:adjustRightInd w:val="0"/>
        <w:snapToGrid w:val="0"/>
        <w:spacing w:beforeLines="0" w:afterLines="0" w:line="288" w:lineRule="auto"/>
        <w:ind w:left="5103" w:hanging="5103" w:hangingChars="2430"/>
        <w:rPr>
          <w:rFonts w:hAnsi="宋体"/>
          <w:sz w:val="21"/>
          <w:szCs w:val="21"/>
        </w:rPr>
      </w:pPr>
    </w:p>
    <w:p>
      <w:pPr>
        <w:pStyle w:val="14"/>
        <w:tabs>
          <w:tab w:val="left" w:pos="2472"/>
        </w:tabs>
        <w:adjustRightInd w:val="0"/>
        <w:snapToGrid w:val="0"/>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 xml:space="preserve"> 响应文件格式</w:t>
      </w:r>
    </w:p>
    <w:p>
      <w:pPr>
        <w:adjustRightInd w:val="0"/>
        <w:snapToGrid w:val="0"/>
        <w:spacing w:line="288" w:lineRule="auto"/>
        <w:rPr>
          <w:rFonts w:ascii="宋体" w:hAnsi="宋体"/>
          <w:b/>
          <w:bCs/>
          <w:spacing w:val="-6"/>
          <w:sz w:val="24"/>
        </w:rPr>
      </w:pP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pPr>
        <w:adjustRightInd w:val="0"/>
        <w:snapToGrid w:val="0"/>
        <w:spacing w:line="288" w:lineRule="auto"/>
        <w:ind w:firstLine="422" w:firstLineChars="200"/>
        <w:rPr>
          <w:rFonts w:ascii="宋体" w:hAnsi="宋体" w:cs="宋体"/>
          <w:b/>
          <w:bCs/>
          <w:sz w:val="21"/>
          <w:szCs w:val="21"/>
        </w:rPr>
      </w:pPr>
      <w:bookmarkStart w:id="58" w:name="_Hlk71884160"/>
      <w:r>
        <w:rPr>
          <w:rFonts w:hint="eastAsia" w:ascii="宋体" w:hAnsi="宋体" w:cs="宋体"/>
          <w:b/>
          <w:bCs/>
          <w:sz w:val="21"/>
          <w:szCs w:val="21"/>
        </w:rPr>
        <w:t>▲1.资格文件</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资格审查要求的资格证明材料(均需加盖公章)：</w:t>
      </w:r>
    </w:p>
    <w:bookmarkEnd w:id="58"/>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（1）有效的法人或者其他组织的营业执照等证明文件，自然人的身份证明</w:t>
      </w:r>
    </w:p>
    <w:p>
      <w:pPr>
        <w:adjustRightInd w:val="0"/>
        <w:snapToGrid w:val="0"/>
        <w:spacing w:line="288" w:lineRule="auto"/>
        <w:ind w:firstLine="422" w:firstLineChars="200"/>
        <w:rPr>
          <w:rFonts w:ascii="宋体" w:hAnsi="宋体" w:cs="宋体"/>
          <w:b/>
          <w:bCs/>
          <w:sz w:val="21"/>
          <w:szCs w:val="21"/>
        </w:rPr>
      </w:pPr>
      <w:bookmarkStart w:id="59" w:name="_Hlk71884127"/>
      <w:r>
        <w:rPr>
          <w:rFonts w:hint="eastAsia" w:ascii="宋体" w:hAnsi="宋体" w:cs="宋体"/>
          <w:b/>
          <w:bCs/>
          <w:sz w:val="21"/>
          <w:szCs w:val="21"/>
        </w:rPr>
        <w:t>（</w:t>
      </w:r>
      <w:r>
        <w:rPr>
          <w:rFonts w:ascii="宋体" w:hAnsi="宋体" w:cs="宋体"/>
          <w:b/>
          <w:bCs/>
          <w:sz w:val="21"/>
          <w:szCs w:val="21"/>
        </w:rPr>
        <w:t>2）符合参加政府采购活动应当具备的一般条件的承诺函</w:t>
      </w:r>
    </w:p>
    <w:bookmarkEnd w:id="59"/>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2.报价文件</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（1）初次报价一览表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）中小企业声明函（若属于中小企业）</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）属于监狱企业的证明文件（若属于监狱企业）</w:t>
      </w:r>
    </w:p>
    <w:p>
      <w:pPr>
        <w:adjustRightInd w:val="0"/>
        <w:snapToGrid w:val="0"/>
        <w:spacing w:line="288" w:lineRule="auto"/>
        <w:ind w:firstLine="420" w:firstLineChars="200"/>
        <w:rPr>
          <w:rFonts w:ascii="宋体" w:hAnsi="宋体" w:cs="宋体"/>
          <w:sz w:val="21"/>
          <w:szCs w:val="21"/>
        </w:rPr>
      </w:pPr>
      <w:bookmarkStart w:id="60" w:name="OLE_LINK13"/>
      <w:bookmarkStart w:id="61" w:name="OLE_LINK14"/>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）残疾人福利性单位声明函</w:t>
      </w:r>
      <w:bookmarkEnd w:id="60"/>
      <w:bookmarkEnd w:id="61"/>
      <w:r>
        <w:rPr>
          <w:rFonts w:hint="eastAsia" w:ascii="宋体" w:hAnsi="宋体" w:cs="宋体"/>
          <w:sz w:val="21"/>
          <w:szCs w:val="21"/>
        </w:rPr>
        <w:t>（若属于残疾人福利性单位）</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3.商务和技术文件</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（1）响应函</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）法定代表人授权委托书</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）2021年12月（含）以后任意一月供应商授权代表社保缴纳证明</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）供应商同类合同一览表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4）采购需求偏离表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5）货物配置清单</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cs="宋体"/>
          <w:sz w:val="21"/>
          <w:szCs w:val="21"/>
        </w:rPr>
        <w:t>项目理解</w:t>
      </w:r>
    </w:p>
    <w:p>
      <w:pPr>
        <w:adjustRightInd w:val="0"/>
        <w:snapToGrid w:val="0"/>
        <w:spacing w:line="288" w:lineRule="auto"/>
        <w:ind w:firstLine="420" w:firstLineChars="200"/>
        <w:rPr>
          <w:rFonts w:ascii="宋体" w:hAnsi="宋体" w:cs="宋体"/>
          <w:sz w:val="21"/>
          <w:szCs w:val="21"/>
        </w:rPr>
      </w:pPr>
      <w:bookmarkStart w:id="62" w:name="_Hlk71884196"/>
      <w:r>
        <w:rPr>
          <w:rFonts w:hint="eastAsia" w:ascii="宋体" w:hAnsi="宋体" w:cs="宋体"/>
          <w:sz w:val="21"/>
          <w:szCs w:val="21"/>
        </w:rPr>
        <w:t>（</w:t>
      </w:r>
      <w:r>
        <w:rPr>
          <w:rFonts w:ascii="宋体" w:hAnsi="宋体" w:cs="宋体"/>
          <w:sz w:val="21"/>
          <w:szCs w:val="21"/>
        </w:rPr>
        <w:t>7）</w:t>
      </w:r>
      <w:r>
        <w:rPr>
          <w:rFonts w:hint="eastAsia" w:ascii="宋体" w:hAnsi="宋体" w:cs="宋体"/>
          <w:sz w:val="21"/>
          <w:szCs w:val="21"/>
        </w:rPr>
        <w:t>项目实施方案</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8）</w:t>
      </w:r>
      <w:r>
        <w:rPr>
          <w:rFonts w:hint="eastAsia" w:ascii="宋体" w:hAnsi="宋体" w:cs="宋体"/>
          <w:sz w:val="21"/>
          <w:szCs w:val="21"/>
        </w:rPr>
        <w:t>项目团队</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9）</w:t>
      </w:r>
      <w:r>
        <w:rPr>
          <w:rFonts w:hint="eastAsia" w:ascii="宋体" w:hAnsi="宋体" w:cs="宋体"/>
          <w:sz w:val="21"/>
          <w:szCs w:val="21"/>
        </w:rPr>
        <w:t>验收方案</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10）</w:t>
      </w:r>
      <w:r>
        <w:rPr>
          <w:rFonts w:hint="eastAsia" w:ascii="宋体" w:hAnsi="宋体" w:cs="宋体"/>
          <w:sz w:val="21"/>
          <w:szCs w:val="21"/>
        </w:rPr>
        <w:t>维护服务方案</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11）</w:t>
      </w:r>
      <w:r>
        <w:rPr>
          <w:rFonts w:hint="eastAsia" w:ascii="宋体" w:hAnsi="宋体" w:cs="宋体"/>
          <w:sz w:val="21"/>
          <w:szCs w:val="21"/>
        </w:rPr>
        <w:t>故障应急处理方案</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12）</w:t>
      </w:r>
      <w:r>
        <w:rPr>
          <w:rFonts w:hint="eastAsia" w:ascii="宋体" w:hAnsi="宋体" w:cs="宋体"/>
          <w:sz w:val="21"/>
          <w:szCs w:val="21"/>
        </w:rPr>
        <w:t>项目培训</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w:t>
      </w:r>
      <w:r>
        <w:rPr>
          <w:rFonts w:ascii="宋体" w:hAnsi="宋体" w:cs="宋体"/>
          <w:sz w:val="21"/>
          <w:szCs w:val="21"/>
        </w:rPr>
        <w:t>3）</w:t>
      </w:r>
      <w:r>
        <w:rPr>
          <w:rFonts w:hint="eastAsia" w:ascii="宋体" w:hAnsi="宋体" w:cs="宋体"/>
          <w:sz w:val="21"/>
          <w:szCs w:val="21"/>
        </w:rPr>
        <w:t>供应商</w:t>
      </w:r>
      <w:r>
        <w:rPr>
          <w:rFonts w:ascii="宋体" w:hAnsi="宋体" w:cs="宋体"/>
          <w:sz w:val="21"/>
          <w:szCs w:val="21"/>
        </w:rPr>
        <w:t>需要说明的其他文件和材料</w:t>
      </w:r>
      <w:bookmarkEnd w:id="62"/>
    </w:p>
    <w:p>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外层包装（封签）</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____________________（供应商名称）</w:t>
      </w: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竞争性磋商</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采购人：浙江财经大学东方学院</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项目名称：疫情防控平台建设</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 xml:space="preserve">项目编号：QSZB-F(H)-E22038(CS) </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标项：</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供应商地址：</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spacing w:val="-6"/>
          <w:sz w:val="21"/>
          <w:szCs w:val="21"/>
        </w:rPr>
        <w:t>供应商授权代表签名：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rPr>
          <w:rFonts w:ascii="宋体" w:hAnsi="宋体"/>
          <w:spacing w:val="-6"/>
          <w:sz w:val="21"/>
          <w:szCs w:val="21"/>
        </w:rPr>
      </w:pPr>
      <w:r>
        <w:rPr>
          <w:rFonts w:ascii="宋体" w:hAnsi="宋体"/>
          <w:bCs/>
          <w:spacing w:val="-6"/>
          <w:sz w:val="21"/>
          <w:szCs w:val="21"/>
        </w:rPr>
        <w:br w:type="page"/>
      </w:r>
      <w:r>
        <w:rPr>
          <w:rFonts w:hint="eastAsia" w:ascii="宋体" w:hAnsi="宋体"/>
          <w:spacing w:val="-6"/>
          <w:sz w:val="21"/>
          <w:szCs w:val="21"/>
        </w:rPr>
        <w:t>封面</w:t>
      </w:r>
    </w:p>
    <w:p>
      <w:pPr>
        <w:adjustRightInd w:val="0"/>
        <w:snapToGrid w:val="0"/>
        <w:spacing w:line="288" w:lineRule="auto"/>
        <w:jc w:val="right"/>
        <w:rPr>
          <w:rFonts w:ascii="宋体" w:hAnsi="宋体"/>
          <w:spacing w:val="-6"/>
          <w:sz w:val="21"/>
          <w:szCs w:val="21"/>
        </w:rPr>
      </w:pPr>
      <w:r>
        <w:rPr>
          <w:rFonts w:hint="eastAsia" w:ascii="宋体" w:hAnsi="宋体"/>
          <w:b/>
          <w:bCs/>
          <w:spacing w:val="-6"/>
          <w:sz w:val="21"/>
          <w:szCs w:val="21"/>
        </w:rPr>
        <w:t>正本或副本</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____________________（供应商名称）</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竞争性磋商</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采购人：浙江财经大学东方学院</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项目名称：疫情防控平台建设</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 xml:space="preserve">项目编号：QSZB-F(H)-E22038(CS) </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标项：</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供应商地址：</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供应商授权代表签名：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jc w:val="center"/>
        <w:rPr>
          <w:rFonts w:ascii="宋体" w:hAnsi="宋体"/>
          <w:bCs/>
          <w:spacing w:val="-6"/>
          <w:sz w:val="21"/>
          <w:szCs w:val="21"/>
        </w:rPr>
      </w:pPr>
      <w:r>
        <w:rPr>
          <w:rFonts w:ascii="宋体" w:hAnsi="宋体"/>
          <w:bCs/>
          <w:spacing w:val="-6"/>
          <w:sz w:val="21"/>
          <w:szCs w:val="21"/>
        </w:rPr>
        <w:br w:type="page"/>
      </w:r>
    </w:p>
    <w:p>
      <w:pPr>
        <w:adjustRightInd w:val="0"/>
        <w:snapToGrid w:val="0"/>
        <w:spacing w:line="288" w:lineRule="auto"/>
        <w:jc w:val="center"/>
        <w:outlineLvl w:val="1"/>
        <w:rPr>
          <w:rFonts w:ascii="宋体" w:hAnsi="宋体"/>
          <w:b/>
          <w:spacing w:val="-6"/>
          <w:sz w:val="32"/>
          <w:szCs w:val="32"/>
        </w:rPr>
      </w:pPr>
      <w:r>
        <w:rPr>
          <w:rFonts w:hint="eastAsia" w:ascii="宋体" w:hAnsi="宋体"/>
          <w:b/>
          <w:spacing w:val="-6"/>
          <w:sz w:val="32"/>
          <w:szCs w:val="32"/>
        </w:rPr>
        <w:t>资格文件</w:t>
      </w:r>
    </w:p>
    <w:p>
      <w:pPr>
        <w:pStyle w:val="19"/>
        <w:adjustRightInd w:val="0"/>
        <w:snapToGrid w:val="0"/>
        <w:spacing w:line="288" w:lineRule="auto"/>
        <w:ind w:left="0" w:firstLine="0" w:firstLineChars="0"/>
        <w:jc w:val="center"/>
        <w:rPr>
          <w:rFonts w:ascii="宋体" w:hAnsi="宋体"/>
          <w:bCs/>
          <w:spacing w:val="-6"/>
          <w:sz w:val="21"/>
          <w:szCs w:val="21"/>
        </w:rPr>
      </w:pPr>
    </w:p>
    <w:p>
      <w:pPr>
        <w:adjustRightInd w:val="0"/>
        <w:snapToGrid w:val="0"/>
        <w:spacing w:line="288" w:lineRule="auto"/>
        <w:jc w:val="center"/>
        <w:rPr>
          <w:rFonts w:ascii="宋体" w:hAnsi="宋体" w:cs="宋体"/>
          <w:b/>
          <w:bCs/>
          <w:sz w:val="21"/>
          <w:szCs w:val="21"/>
        </w:rPr>
      </w:pPr>
      <w:bookmarkStart w:id="63" w:name="_Hlk94097338"/>
      <w:r>
        <w:rPr>
          <w:rFonts w:hint="eastAsia" w:ascii="宋体" w:hAnsi="宋体" w:cs="宋体"/>
          <w:b/>
          <w:bCs/>
          <w:sz w:val="21"/>
          <w:szCs w:val="21"/>
        </w:rPr>
        <w:t>资格审查要求的资格证明材料(均需加盖公章)</w:t>
      </w:r>
    </w:p>
    <w:bookmarkEnd w:id="63"/>
    <w:p>
      <w:pPr>
        <w:pStyle w:val="19"/>
        <w:adjustRightInd w:val="0"/>
        <w:snapToGrid w:val="0"/>
        <w:spacing w:line="288" w:lineRule="auto"/>
        <w:ind w:left="0" w:firstLine="0" w:firstLineChars="0"/>
        <w:jc w:val="center"/>
        <w:rPr>
          <w:rFonts w:ascii="宋体" w:hAnsi="宋体"/>
          <w:bCs/>
          <w:spacing w:val="-6"/>
          <w:sz w:val="21"/>
          <w:szCs w:val="21"/>
        </w:rPr>
      </w:pPr>
    </w:p>
    <w:p>
      <w:pPr>
        <w:pStyle w:val="19"/>
        <w:adjustRightInd w:val="0"/>
        <w:snapToGrid w:val="0"/>
        <w:spacing w:line="288" w:lineRule="auto"/>
        <w:ind w:left="0" w:firstLine="0" w:firstLineChars="0"/>
        <w:jc w:val="center"/>
        <w:rPr>
          <w:rFonts w:ascii="宋体" w:hAnsi="宋体"/>
          <w:bCs/>
          <w:spacing w:val="-6"/>
          <w:sz w:val="21"/>
          <w:szCs w:val="21"/>
        </w:rPr>
      </w:pPr>
    </w:p>
    <w:p>
      <w:pPr>
        <w:pStyle w:val="19"/>
        <w:adjustRightInd w:val="0"/>
        <w:snapToGrid w:val="0"/>
        <w:spacing w:line="288" w:lineRule="auto"/>
        <w:ind w:left="0" w:firstLine="0" w:firstLineChars="0"/>
        <w:jc w:val="center"/>
        <w:outlineLvl w:val="2"/>
        <w:rPr>
          <w:rFonts w:ascii="宋体" w:hAnsi="宋体"/>
          <w:b/>
          <w:spacing w:val="-6"/>
          <w:sz w:val="21"/>
          <w:szCs w:val="21"/>
        </w:rPr>
      </w:pPr>
      <w:r>
        <w:rPr>
          <w:rFonts w:hint="eastAsia" w:ascii="宋体" w:hAnsi="宋体"/>
          <w:b/>
          <w:spacing w:val="-6"/>
          <w:sz w:val="21"/>
          <w:szCs w:val="21"/>
        </w:rPr>
        <w:t>（1）有效的法人或者其他组织的营业执照等证明文件</w:t>
      </w:r>
      <w:r>
        <w:rPr>
          <w:rFonts w:hint="eastAsia" w:ascii="宋体" w:hAnsi="宋体"/>
          <w:spacing w:val="-6"/>
          <w:sz w:val="21"/>
          <w:szCs w:val="21"/>
        </w:rPr>
        <w:t>（复印件加盖公章）</w:t>
      </w:r>
      <w:r>
        <w:rPr>
          <w:rFonts w:hint="eastAsia" w:ascii="宋体" w:hAnsi="宋体"/>
          <w:b/>
          <w:spacing w:val="-6"/>
          <w:sz w:val="21"/>
          <w:szCs w:val="21"/>
        </w:rPr>
        <w:t>，自然人的身份证明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adjustRightInd w:val="0"/>
        <w:snapToGrid w:val="0"/>
        <w:spacing w:line="288"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如供应商是企业（包括合伙企业），提供在工商部门注册的有效“企业法人营业执照”或“营业执照”；</w:t>
      </w:r>
    </w:p>
    <w:p>
      <w:pPr>
        <w:adjustRightInd w:val="0"/>
        <w:snapToGrid w:val="0"/>
        <w:spacing w:line="288"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如供应商是事业单位，提供有效的“事业单位法人证书”；</w:t>
      </w:r>
    </w:p>
    <w:p>
      <w:pPr>
        <w:adjustRightInd w:val="0"/>
        <w:snapToGrid w:val="0"/>
        <w:spacing w:line="288"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如供应商是非企业专业服务机构的，提供执业许可证等证明文件；</w:t>
      </w:r>
    </w:p>
    <w:p>
      <w:pPr>
        <w:adjustRightInd w:val="0"/>
        <w:snapToGrid w:val="0"/>
        <w:spacing w:line="288" w:lineRule="auto"/>
        <w:rPr>
          <w:rFonts w:ascii="宋体" w:hAnsi="宋体"/>
          <w:b/>
          <w:sz w:val="21"/>
          <w:szCs w:val="21"/>
        </w:rPr>
      </w:pPr>
      <w:r>
        <w:rPr>
          <w:rFonts w:hint="eastAsia" w:ascii="宋体" w:hAnsi="宋体"/>
          <w:b/>
          <w:sz w:val="21"/>
          <w:szCs w:val="21"/>
        </w:rPr>
        <w:t>4</w:t>
      </w:r>
      <w:r>
        <w:rPr>
          <w:rFonts w:ascii="宋体" w:hAnsi="宋体"/>
          <w:b/>
          <w:sz w:val="21"/>
          <w:szCs w:val="21"/>
        </w:rPr>
        <w:t>.</w:t>
      </w:r>
      <w:r>
        <w:rPr>
          <w:rFonts w:hint="eastAsia" w:ascii="宋体" w:hAnsi="宋体"/>
          <w:b/>
          <w:sz w:val="21"/>
          <w:szCs w:val="21"/>
        </w:rPr>
        <w:t>如供应商是个体工商户，提供有效的“个体工商户营业执照”；</w:t>
      </w:r>
    </w:p>
    <w:p>
      <w:pPr>
        <w:adjustRightInd w:val="0"/>
        <w:snapToGrid w:val="0"/>
        <w:spacing w:line="288" w:lineRule="auto"/>
        <w:rPr>
          <w:rFonts w:ascii="宋体" w:hAnsi="宋体"/>
          <w:b/>
          <w:sz w:val="21"/>
          <w:szCs w:val="21"/>
        </w:rPr>
      </w:pPr>
      <w:r>
        <w:rPr>
          <w:rFonts w:hint="eastAsia" w:ascii="宋体" w:hAnsi="宋体"/>
          <w:b/>
          <w:sz w:val="21"/>
          <w:szCs w:val="21"/>
        </w:rPr>
        <w:t>5</w:t>
      </w:r>
      <w:r>
        <w:rPr>
          <w:rFonts w:ascii="宋体" w:hAnsi="宋体"/>
          <w:b/>
          <w:sz w:val="21"/>
          <w:szCs w:val="21"/>
        </w:rPr>
        <w:t>.</w:t>
      </w:r>
      <w:r>
        <w:rPr>
          <w:rFonts w:hint="eastAsia" w:ascii="宋体" w:hAnsi="宋体"/>
          <w:b/>
          <w:sz w:val="21"/>
          <w:szCs w:val="21"/>
        </w:rPr>
        <w:t>如供应商是自然人，提供有效的自然人身份证明。</w:t>
      </w:r>
    </w:p>
    <w:p>
      <w:pPr>
        <w:adjustRightInd w:val="0"/>
        <w:snapToGrid w:val="0"/>
        <w:spacing w:line="288" w:lineRule="auto"/>
        <w:rPr>
          <w:rFonts w:ascii="宋体" w:hAnsi="宋体"/>
          <w:b/>
          <w:sz w:val="21"/>
          <w:szCs w:val="21"/>
        </w:rPr>
      </w:pPr>
    </w:p>
    <w:p>
      <w:pPr>
        <w:widowControl/>
        <w:adjustRightInd w:val="0"/>
        <w:snapToGrid w:val="0"/>
        <w:spacing w:line="288" w:lineRule="auto"/>
        <w:jc w:val="left"/>
        <w:rPr>
          <w:rFonts w:ascii="宋体" w:hAnsi="宋体"/>
          <w:b/>
          <w:sz w:val="21"/>
          <w:szCs w:val="21"/>
        </w:rPr>
      </w:pPr>
      <w:r>
        <w:rPr>
          <w:rFonts w:ascii="宋体" w:hAnsi="宋体"/>
          <w:b/>
          <w:sz w:val="21"/>
          <w:szCs w:val="21"/>
        </w:rPr>
        <w:br w:type="page"/>
      </w:r>
    </w:p>
    <w:p>
      <w:pPr>
        <w:adjustRightInd w:val="0"/>
        <w:snapToGrid w:val="0"/>
        <w:spacing w:line="288" w:lineRule="auto"/>
        <w:jc w:val="center"/>
        <w:outlineLvl w:val="2"/>
        <w:rPr>
          <w:rFonts w:ascii="宋体" w:hAnsi="宋体"/>
          <w:b/>
          <w:bCs/>
          <w:color w:val="000000"/>
          <w:sz w:val="21"/>
          <w:szCs w:val="21"/>
          <w:shd w:val="clear" w:color="auto" w:fill="FFFFFF"/>
        </w:rPr>
      </w:pPr>
      <w:r>
        <w:rPr>
          <w:rFonts w:hint="eastAsia" w:ascii="宋体" w:hAnsi="宋体"/>
          <w:b/>
          <w:spacing w:val="-6"/>
          <w:sz w:val="21"/>
          <w:szCs w:val="21"/>
        </w:rPr>
        <w:t>（2）</w:t>
      </w:r>
      <w:r>
        <w:rPr>
          <w:rFonts w:hint="eastAsia" w:ascii="宋体" w:hAnsi="宋体"/>
          <w:b/>
          <w:bCs/>
          <w:sz w:val="21"/>
          <w:szCs w:val="21"/>
        </w:rPr>
        <w:t>符合参加政府采购活动应当具备的一般条件的承诺函</w:t>
      </w:r>
    </w:p>
    <w:p>
      <w:pPr>
        <w:adjustRightInd w:val="0"/>
        <w:snapToGrid w:val="0"/>
        <w:spacing w:line="288" w:lineRule="auto"/>
        <w:rPr>
          <w:rFonts w:ascii="宋体" w:hAnsi="宋体"/>
          <w:color w:val="000000"/>
          <w:sz w:val="21"/>
          <w:szCs w:val="21"/>
          <w:shd w:val="clear" w:color="auto" w:fill="FFFFFF"/>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致：浙江财经大学东方学院、浙江求是招标代理有限公司</w:t>
      </w:r>
    </w:p>
    <w:p>
      <w:pPr>
        <w:adjustRightInd w:val="0"/>
        <w:snapToGrid w:val="0"/>
        <w:spacing w:line="288" w:lineRule="auto"/>
        <w:rPr>
          <w:rFonts w:ascii="宋体" w:hAnsi="宋体"/>
          <w:spacing w:val="-6"/>
          <w:sz w:val="21"/>
          <w:szCs w:val="21"/>
        </w:rPr>
      </w:pP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（供应商名称）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 xml:space="preserve">（项目名称）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hint="eastAsia" w:ascii="宋体" w:hAnsi="宋体"/>
          <w:spacing w:val="-6"/>
          <w:sz w:val="21"/>
          <w:szCs w:val="21"/>
        </w:rPr>
        <w:t>项目的采购活动并承诺如下：</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一、我方满足《中华人民共和国政府采购法》第二十二条规定：</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（一）具有独立承担民事责任的能力；</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（二）具有良好的商业信誉和健全的财务会计制度；</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（三）具有履行合同所必需的设备和专业技术能力；</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（四）有依法缴纳税收和社会保障资金的良好记录；</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（五）参加本项目政府采购活动前三年内，在经营活动中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（六）法律、行政法规规定的其他条件。</w:t>
      </w:r>
    </w:p>
    <w:p>
      <w:pPr>
        <w:adjustRightInd w:val="0"/>
        <w:snapToGrid w:val="0"/>
        <w:spacing w:line="288" w:lineRule="auto"/>
        <w:ind w:firstLine="396" w:firstLineChars="200"/>
        <w:rPr>
          <w:rFonts w:ascii="宋体" w:hAnsi="宋体"/>
          <w:color w:val="FF0000"/>
          <w:spacing w:val="-6"/>
          <w:sz w:val="21"/>
          <w:szCs w:val="21"/>
        </w:rPr>
      </w:pPr>
      <w:r>
        <w:rPr>
          <w:rFonts w:hint="eastAsia" w:ascii="宋体" w:hAnsi="宋体"/>
          <w:color w:val="FF0000"/>
          <w:spacing w:val="-6"/>
          <w:sz w:val="21"/>
          <w:szCs w:val="21"/>
        </w:rPr>
        <w:t>二、未被信用中国（</w:t>
      </w:r>
      <w:r>
        <w:rPr>
          <w:rFonts w:ascii="宋体" w:hAnsi="宋体"/>
          <w:color w:val="FF0000"/>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三、不存在以下情况：</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供应商名称（盖章）：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供应商代表签名：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widowControl/>
        <w:adjustRightInd w:val="0"/>
        <w:snapToGrid w:val="0"/>
        <w:spacing w:line="288" w:lineRule="auto"/>
        <w:jc w:val="left"/>
        <w:rPr>
          <w:rFonts w:ascii="宋体" w:hAnsi="宋体"/>
          <w:spacing w:val="-6"/>
          <w:sz w:val="21"/>
          <w:szCs w:val="21"/>
        </w:rPr>
      </w:pPr>
      <w:r>
        <w:rPr>
          <w:rFonts w:ascii="宋体" w:hAnsi="宋体"/>
          <w:spacing w:val="-6"/>
          <w:sz w:val="21"/>
          <w:szCs w:val="21"/>
        </w:rPr>
        <w:br w:type="page"/>
      </w:r>
    </w:p>
    <w:p>
      <w:pPr>
        <w:adjustRightInd w:val="0"/>
        <w:snapToGrid w:val="0"/>
        <w:spacing w:line="288" w:lineRule="auto"/>
        <w:jc w:val="center"/>
        <w:outlineLvl w:val="1"/>
        <w:rPr>
          <w:rFonts w:ascii="宋体" w:hAnsi="宋体"/>
          <w:b/>
          <w:spacing w:val="-6"/>
          <w:sz w:val="32"/>
          <w:szCs w:val="32"/>
        </w:rPr>
      </w:pPr>
      <w:r>
        <w:rPr>
          <w:rFonts w:hint="eastAsia" w:ascii="宋体" w:hAnsi="宋体"/>
          <w:b/>
          <w:spacing w:val="-6"/>
          <w:sz w:val="32"/>
          <w:szCs w:val="32"/>
        </w:rPr>
        <w:t>报价文件</w:t>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（1）初次报价一览表</w:t>
      </w:r>
    </w:p>
    <w:p>
      <w:pPr>
        <w:adjustRightInd w:val="0"/>
        <w:snapToGrid w:val="0"/>
        <w:spacing w:line="288" w:lineRule="auto"/>
        <w:rPr>
          <w:rFonts w:ascii="宋体" w:hAnsi="宋体" w:cs="宋体"/>
          <w:sz w:val="21"/>
          <w:szCs w:val="21"/>
        </w:rPr>
      </w:pPr>
      <w:r>
        <w:rPr>
          <w:rFonts w:hint="eastAsia" w:ascii="宋体" w:hAnsi="宋体" w:cs="宋体"/>
          <w:sz w:val="21"/>
          <w:szCs w:val="21"/>
        </w:rPr>
        <w:t>采 购 人：浙江财经大学东方学院</w:t>
      </w:r>
    </w:p>
    <w:p>
      <w:pPr>
        <w:adjustRightInd w:val="0"/>
        <w:snapToGrid w:val="0"/>
        <w:spacing w:line="288" w:lineRule="auto"/>
        <w:rPr>
          <w:rFonts w:ascii="宋体" w:hAnsi="宋体" w:cs="宋体"/>
          <w:sz w:val="21"/>
          <w:szCs w:val="21"/>
        </w:rPr>
      </w:pPr>
      <w:r>
        <w:rPr>
          <w:rFonts w:hint="eastAsia" w:ascii="宋体" w:hAnsi="宋体" w:cs="宋体"/>
          <w:sz w:val="21"/>
          <w:szCs w:val="21"/>
        </w:rPr>
        <w:t>项目名称：疫情防控平台建设</w:t>
      </w:r>
    </w:p>
    <w:p>
      <w:pPr>
        <w:adjustRightInd w:val="0"/>
        <w:snapToGrid w:val="0"/>
        <w:spacing w:line="288" w:lineRule="auto"/>
        <w:rPr>
          <w:rFonts w:ascii="宋体" w:hAnsi="宋体" w:cs="宋体"/>
          <w:sz w:val="21"/>
          <w:szCs w:val="21"/>
        </w:rPr>
      </w:pPr>
      <w:r>
        <w:rPr>
          <w:rFonts w:hint="eastAsia" w:ascii="宋体" w:hAnsi="宋体" w:cs="宋体"/>
          <w:sz w:val="21"/>
          <w:szCs w:val="21"/>
        </w:rPr>
        <w:t xml:space="preserve">项目编号：QSZB-F(H)-E22038(CS) </w:t>
      </w:r>
    </w:p>
    <w:tbl>
      <w:tblPr>
        <w:tblStyle w:val="23"/>
        <w:tblpPr w:topFromText="180" w:bottomFromText="180" w:vertAnchor="text" w:horzAnchor="page" w:tblpX="1269" w:tblpY="513"/>
        <w:tblOverlap w:val="never"/>
        <w:tblW w:w="94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218"/>
        <w:gridCol w:w="3998"/>
        <w:gridCol w:w="1417"/>
        <w:gridCol w:w="1011"/>
        <w:gridCol w:w="1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733" w:type="dxa"/>
            <w:vAlign w:val="center"/>
          </w:tcPr>
          <w:p>
            <w:pPr>
              <w:jc w:val="center"/>
              <w:rPr>
                <w:rFonts w:ascii="宋体" w:hAnsi="宋体"/>
                <w:sz w:val="24"/>
              </w:rPr>
            </w:pPr>
            <w:r>
              <w:rPr>
                <w:rFonts w:hint="eastAsia" w:ascii="宋体" w:hAnsi="宋体"/>
                <w:sz w:val="24"/>
              </w:rPr>
              <w:t>序号</w:t>
            </w:r>
          </w:p>
        </w:tc>
        <w:tc>
          <w:tcPr>
            <w:tcW w:w="1218" w:type="dxa"/>
            <w:vAlign w:val="center"/>
          </w:tcPr>
          <w:p>
            <w:pPr>
              <w:jc w:val="center"/>
              <w:rPr>
                <w:rFonts w:ascii="宋体" w:hAnsi="宋体"/>
                <w:sz w:val="24"/>
              </w:rPr>
            </w:pPr>
            <w:r>
              <w:rPr>
                <w:rFonts w:hint="eastAsia" w:ascii="宋体" w:hAnsi="宋体"/>
                <w:sz w:val="24"/>
              </w:rPr>
              <w:t>模块</w:t>
            </w:r>
          </w:p>
        </w:tc>
        <w:tc>
          <w:tcPr>
            <w:tcW w:w="3998" w:type="dxa"/>
            <w:vAlign w:val="center"/>
          </w:tcPr>
          <w:p>
            <w:pPr>
              <w:ind w:firstLine="360" w:firstLineChars="150"/>
              <w:jc w:val="center"/>
              <w:rPr>
                <w:rFonts w:ascii="宋体" w:hAnsi="宋体"/>
                <w:sz w:val="24"/>
              </w:rPr>
            </w:pPr>
            <w:r>
              <w:rPr>
                <w:rFonts w:hint="eastAsia" w:ascii="宋体" w:hAnsi="宋体"/>
                <w:sz w:val="24"/>
              </w:rPr>
              <w:t>主要内容</w:t>
            </w:r>
          </w:p>
        </w:tc>
        <w:tc>
          <w:tcPr>
            <w:tcW w:w="1417" w:type="dxa"/>
            <w:vAlign w:val="center"/>
          </w:tcPr>
          <w:p>
            <w:pPr>
              <w:ind w:firstLine="120" w:firstLineChars="50"/>
              <w:jc w:val="center"/>
              <w:rPr>
                <w:rFonts w:ascii="宋体" w:hAnsi="宋体"/>
                <w:sz w:val="24"/>
              </w:rPr>
            </w:pPr>
            <w:r>
              <w:rPr>
                <w:rFonts w:hint="eastAsia" w:ascii="宋体" w:hAnsi="宋体"/>
                <w:sz w:val="24"/>
              </w:rPr>
              <w:t>单价/元</w:t>
            </w:r>
          </w:p>
        </w:tc>
        <w:tc>
          <w:tcPr>
            <w:tcW w:w="1011" w:type="dxa"/>
            <w:vAlign w:val="center"/>
          </w:tcPr>
          <w:p>
            <w:pPr>
              <w:jc w:val="center"/>
              <w:rPr>
                <w:rFonts w:ascii="宋体" w:hAnsi="宋体"/>
                <w:sz w:val="24"/>
              </w:rPr>
            </w:pPr>
            <w:r>
              <w:rPr>
                <w:rFonts w:hint="eastAsia" w:ascii="宋体" w:hAnsi="宋体"/>
                <w:sz w:val="24"/>
              </w:rPr>
              <w:t>数量</w:t>
            </w:r>
          </w:p>
        </w:tc>
        <w:tc>
          <w:tcPr>
            <w:tcW w:w="1071" w:type="dxa"/>
            <w:vAlign w:val="center"/>
          </w:tcPr>
          <w:p>
            <w:pPr>
              <w:jc w:val="center"/>
              <w:rPr>
                <w:rFonts w:ascii="宋体" w:hAnsi="宋体"/>
                <w:sz w:val="24"/>
              </w:rPr>
            </w:pPr>
            <w:r>
              <w:rPr>
                <w:rFonts w:hint="eastAsia" w:ascii="宋体" w:hAnsi="宋体"/>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733" w:type="dxa"/>
            <w:vMerge w:val="restart"/>
            <w:vAlign w:val="center"/>
          </w:tcPr>
          <w:p>
            <w:pPr>
              <w:jc w:val="center"/>
              <w:rPr>
                <w:rFonts w:ascii="宋体" w:hAnsi="宋体"/>
                <w:sz w:val="24"/>
              </w:rPr>
            </w:pPr>
            <w:r>
              <w:rPr>
                <w:rFonts w:hint="eastAsia" w:ascii="宋体" w:hAnsi="宋体"/>
                <w:sz w:val="24"/>
              </w:rPr>
              <w:t>1</w:t>
            </w:r>
          </w:p>
        </w:tc>
        <w:tc>
          <w:tcPr>
            <w:tcW w:w="1218" w:type="dxa"/>
            <w:vAlign w:val="center"/>
          </w:tcPr>
          <w:p>
            <w:pPr>
              <w:jc w:val="center"/>
              <w:rPr>
                <w:rFonts w:ascii="宋体" w:hAnsi="宋体"/>
                <w:sz w:val="24"/>
              </w:rPr>
            </w:pPr>
            <w:r>
              <w:rPr>
                <w:rFonts w:hint="eastAsia" w:ascii="宋体" w:hAnsi="宋体"/>
                <w:sz w:val="24"/>
              </w:rPr>
              <w:t>大数据局接口开发</w:t>
            </w:r>
          </w:p>
        </w:tc>
        <w:tc>
          <w:tcPr>
            <w:tcW w:w="3998" w:type="dxa"/>
            <w:vAlign w:val="center"/>
          </w:tcPr>
          <w:p>
            <w:pPr>
              <w:jc w:val="left"/>
              <w:rPr>
                <w:rFonts w:ascii="宋体" w:hAnsi="宋体"/>
                <w:sz w:val="24"/>
              </w:rPr>
            </w:pPr>
            <w:r>
              <w:rPr>
                <w:rFonts w:hint="eastAsia" w:ascii="宋体" w:hAnsi="宋体"/>
                <w:sz w:val="24"/>
              </w:rPr>
              <w:t>健康码、疫苗、核酸和密切接触者抽取，用户同步，中高风险地区获取。</w:t>
            </w:r>
          </w:p>
        </w:tc>
        <w:tc>
          <w:tcPr>
            <w:tcW w:w="1417" w:type="dxa"/>
            <w:vMerge w:val="restart"/>
            <w:vAlign w:val="center"/>
          </w:tcPr>
          <w:p>
            <w:pPr>
              <w:ind w:firstLine="120" w:firstLineChars="50"/>
              <w:rPr>
                <w:rFonts w:ascii="宋体" w:hAnsi="宋体"/>
                <w:sz w:val="24"/>
              </w:rPr>
            </w:pPr>
          </w:p>
        </w:tc>
        <w:tc>
          <w:tcPr>
            <w:tcW w:w="1011" w:type="dxa"/>
            <w:vMerge w:val="restart"/>
            <w:vAlign w:val="center"/>
          </w:tcPr>
          <w:p>
            <w:pPr>
              <w:jc w:val="center"/>
              <w:rPr>
                <w:rFonts w:ascii="宋体" w:hAnsi="宋体"/>
                <w:sz w:val="24"/>
              </w:rPr>
            </w:pPr>
            <w:r>
              <w:rPr>
                <w:rFonts w:hint="eastAsia" w:ascii="宋体" w:hAnsi="宋体"/>
                <w:sz w:val="24"/>
              </w:rPr>
              <w:t>1套</w:t>
            </w:r>
          </w:p>
        </w:tc>
        <w:tc>
          <w:tcPr>
            <w:tcW w:w="1071" w:type="dxa"/>
            <w:vMerge w:val="restart"/>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733" w:type="dxa"/>
            <w:vMerge w:val="continue"/>
            <w:vAlign w:val="center"/>
          </w:tcPr>
          <w:p>
            <w:pPr>
              <w:jc w:val="center"/>
              <w:rPr>
                <w:rFonts w:ascii="宋体" w:hAnsi="宋体"/>
                <w:sz w:val="24"/>
              </w:rPr>
            </w:pPr>
          </w:p>
        </w:tc>
        <w:tc>
          <w:tcPr>
            <w:tcW w:w="1218" w:type="dxa"/>
            <w:vAlign w:val="center"/>
          </w:tcPr>
          <w:p>
            <w:pPr>
              <w:jc w:val="center"/>
              <w:rPr>
                <w:rFonts w:ascii="宋体" w:hAnsi="宋体"/>
                <w:sz w:val="24"/>
              </w:rPr>
            </w:pPr>
            <w:r>
              <w:rPr>
                <w:rFonts w:hint="eastAsia" w:ascii="宋体" w:hAnsi="宋体"/>
                <w:sz w:val="24"/>
              </w:rPr>
              <w:t>校园通行码建设</w:t>
            </w:r>
          </w:p>
        </w:tc>
        <w:tc>
          <w:tcPr>
            <w:tcW w:w="3998" w:type="dxa"/>
            <w:vAlign w:val="center"/>
          </w:tcPr>
          <w:p>
            <w:pPr>
              <w:jc w:val="left"/>
              <w:rPr>
                <w:rFonts w:ascii="宋体" w:hAnsi="宋体"/>
                <w:sz w:val="24"/>
              </w:rPr>
            </w:pPr>
            <w:r>
              <w:rPr>
                <w:rFonts w:hint="eastAsia" w:ascii="宋体" w:hAnsi="宋体"/>
                <w:sz w:val="24"/>
              </w:rPr>
              <w:t>系统根据获取的健康码的情况显示当前人员的电子通行码，只有正常的绿码才能进行通行。</w:t>
            </w:r>
          </w:p>
        </w:tc>
        <w:tc>
          <w:tcPr>
            <w:tcW w:w="1417" w:type="dxa"/>
            <w:vMerge w:val="continue"/>
            <w:vAlign w:val="center"/>
          </w:tcPr>
          <w:p>
            <w:pPr>
              <w:ind w:firstLine="120" w:firstLineChars="50"/>
              <w:rPr>
                <w:rFonts w:ascii="宋体" w:hAnsi="宋体"/>
                <w:sz w:val="24"/>
              </w:rPr>
            </w:pPr>
          </w:p>
        </w:tc>
        <w:tc>
          <w:tcPr>
            <w:tcW w:w="1011" w:type="dxa"/>
            <w:vMerge w:val="continue"/>
            <w:vAlign w:val="center"/>
          </w:tcPr>
          <w:p>
            <w:pPr>
              <w:jc w:val="center"/>
              <w:rPr>
                <w:rFonts w:ascii="宋体" w:hAnsi="宋体"/>
                <w:sz w:val="24"/>
              </w:rPr>
            </w:pPr>
          </w:p>
        </w:tc>
        <w:tc>
          <w:tcPr>
            <w:tcW w:w="1071" w:type="dxa"/>
            <w:vMerge w:val="continue"/>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733" w:type="dxa"/>
            <w:vMerge w:val="continue"/>
            <w:vAlign w:val="center"/>
          </w:tcPr>
          <w:p>
            <w:pPr>
              <w:jc w:val="center"/>
              <w:rPr>
                <w:rFonts w:ascii="宋体" w:hAnsi="宋体"/>
                <w:sz w:val="24"/>
              </w:rPr>
            </w:pPr>
          </w:p>
        </w:tc>
        <w:tc>
          <w:tcPr>
            <w:tcW w:w="1218" w:type="dxa"/>
            <w:vAlign w:val="center"/>
          </w:tcPr>
          <w:p>
            <w:pPr>
              <w:jc w:val="center"/>
              <w:rPr>
                <w:rFonts w:ascii="宋体" w:hAnsi="宋体"/>
                <w:sz w:val="24"/>
              </w:rPr>
            </w:pPr>
            <w:r>
              <w:rPr>
                <w:rFonts w:hint="eastAsia" w:ascii="宋体" w:hAnsi="宋体"/>
                <w:sz w:val="24"/>
              </w:rPr>
              <w:t>假期返校</w:t>
            </w:r>
          </w:p>
        </w:tc>
        <w:tc>
          <w:tcPr>
            <w:tcW w:w="3998" w:type="dxa"/>
            <w:vAlign w:val="center"/>
          </w:tcPr>
          <w:p>
            <w:pPr>
              <w:jc w:val="left"/>
              <w:rPr>
                <w:rFonts w:ascii="宋体" w:hAnsi="宋体"/>
                <w:sz w:val="24"/>
              </w:rPr>
            </w:pPr>
            <w:r>
              <w:rPr>
                <w:rFonts w:hint="eastAsia" w:ascii="宋体" w:hAnsi="宋体"/>
                <w:sz w:val="24"/>
              </w:rPr>
              <w:t>学生假期离校后通过返校申请重新获取校园通行码。</w:t>
            </w:r>
          </w:p>
        </w:tc>
        <w:tc>
          <w:tcPr>
            <w:tcW w:w="1417" w:type="dxa"/>
            <w:vMerge w:val="continue"/>
            <w:vAlign w:val="center"/>
          </w:tcPr>
          <w:p>
            <w:pPr>
              <w:ind w:firstLine="120" w:firstLineChars="50"/>
              <w:rPr>
                <w:rFonts w:ascii="宋体" w:hAnsi="宋体"/>
                <w:sz w:val="24"/>
              </w:rPr>
            </w:pPr>
          </w:p>
        </w:tc>
        <w:tc>
          <w:tcPr>
            <w:tcW w:w="1011" w:type="dxa"/>
            <w:vMerge w:val="continue"/>
            <w:vAlign w:val="center"/>
          </w:tcPr>
          <w:p>
            <w:pPr>
              <w:jc w:val="center"/>
              <w:rPr>
                <w:rFonts w:ascii="宋体" w:hAnsi="宋体"/>
                <w:sz w:val="24"/>
              </w:rPr>
            </w:pPr>
          </w:p>
        </w:tc>
        <w:tc>
          <w:tcPr>
            <w:tcW w:w="1071" w:type="dxa"/>
            <w:vMerge w:val="continue"/>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733" w:type="dxa"/>
            <w:vMerge w:val="continue"/>
            <w:vAlign w:val="center"/>
          </w:tcPr>
          <w:p>
            <w:pPr>
              <w:jc w:val="center"/>
              <w:rPr>
                <w:rFonts w:ascii="宋体" w:hAnsi="宋体"/>
                <w:sz w:val="24"/>
              </w:rPr>
            </w:pPr>
          </w:p>
        </w:tc>
        <w:tc>
          <w:tcPr>
            <w:tcW w:w="1218" w:type="dxa"/>
            <w:vAlign w:val="center"/>
          </w:tcPr>
          <w:p>
            <w:pPr>
              <w:rPr>
                <w:rFonts w:ascii="宋体" w:hAnsi="宋体"/>
                <w:sz w:val="24"/>
              </w:rPr>
            </w:pPr>
            <w:r>
              <w:rPr>
                <w:rFonts w:hint="eastAsia" w:ascii="宋体" w:hAnsi="宋体"/>
                <w:sz w:val="24"/>
              </w:rPr>
              <w:t>学生出入管理</w:t>
            </w:r>
          </w:p>
        </w:tc>
        <w:tc>
          <w:tcPr>
            <w:tcW w:w="3998" w:type="dxa"/>
            <w:vAlign w:val="center"/>
          </w:tcPr>
          <w:p>
            <w:pPr>
              <w:jc w:val="left"/>
              <w:rPr>
                <w:rFonts w:ascii="宋体" w:hAnsi="宋体"/>
                <w:sz w:val="24"/>
              </w:rPr>
            </w:pPr>
            <w:r>
              <w:rPr>
                <w:rFonts w:hint="eastAsia" w:ascii="宋体" w:hAnsi="宋体"/>
                <w:sz w:val="24"/>
              </w:rPr>
              <w:t>学生通过请假模块正常进出校园。</w:t>
            </w:r>
          </w:p>
        </w:tc>
        <w:tc>
          <w:tcPr>
            <w:tcW w:w="1417" w:type="dxa"/>
            <w:vMerge w:val="continue"/>
            <w:vAlign w:val="center"/>
          </w:tcPr>
          <w:p>
            <w:pPr>
              <w:ind w:firstLine="120" w:firstLineChars="50"/>
              <w:rPr>
                <w:rFonts w:ascii="宋体" w:hAnsi="宋体"/>
                <w:sz w:val="24"/>
              </w:rPr>
            </w:pPr>
          </w:p>
        </w:tc>
        <w:tc>
          <w:tcPr>
            <w:tcW w:w="1011" w:type="dxa"/>
            <w:vMerge w:val="continue"/>
            <w:vAlign w:val="center"/>
          </w:tcPr>
          <w:p>
            <w:pPr>
              <w:jc w:val="center"/>
              <w:rPr>
                <w:rFonts w:ascii="宋体" w:hAnsi="宋体"/>
                <w:sz w:val="24"/>
              </w:rPr>
            </w:pPr>
          </w:p>
        </w:tc>
        <w:tc>
          <w:tcPr>
            <w:tcW w:w="1071" w:type="dxa"/>
            <w:vMerge w:val="continue"/>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733" w:type="dxa"/>
            <w:vAlign w:val="center"/>
          </w:tcPr>
          <w:p>
            <w:pPr>
              <w:jc w:val="center"/>
              <w:rPr>
                <w:rFonts w:ascii="宋体" w:hAnsi="宋体"/>
                <w:sz w:val="24"/>
              </w:rPr>
            </w:pPr>
            <w:r>
              <w:rPr>
                <w:rFonts w:hint="eastAsia" w:ascii="宋体" w:hAnsi="宋体"/>
                <w:sz w:val="24"/>
              </w:rPr>
              <w:t>2</w:t>
            </w:r>
          </w:p>
        </w:tc>
        <w:tc>
          <w:tcPr>
            <w:tcW w:w="1218" w:type="dxa"/>
            <w:vAlign w:val="center"/>
          </w:tcPr>
          <w:p>
            <w:pPr>
              <w:jc w:val="center"/>
              <w:rPr>
                <w:rFonts w:ascii="宋体" w:hAnsi="宋体"/>
                <w:sz w:val="24"/>
              </w:rPr>
            </w:pPr>
            <w:r>
              <w:rPr>
                <w:rFonts w:hint="eastAsia" w:ascii="宋体" w:hAnsi="宋体"/>
                <w:sz w:val="24"/>
              </w:rPr>
              <w:t>访客进出校管理</w:t>
            </w:r>
          </w:p>
        </w:tc>
        <w:tc>
          <w:tcPr>
            <w:tcW w:w="3998" w:type="dxa"/>
            <w:vAlign w:val="center"/>
          </w:tcPr>
          <w:p>
            <w:pPr>
              <w:jc w:val="left"/>
              <w:rPr>
                <w:rFonts w:ascii="宋体" w:hAnsi="宋体"/>
                <w:sz w:val="24"/>
              </w:rPr>
            </w:pPr>
            <w:r>
              <w:rPr>
                <w:rFonts w:hint="eastAsia" w:ascii="宋体" w:hAnsi="宋体"/>
                <w:sz w:val="24"/>
              </w:rPr>
              <w:t>访客预约、访客登记、入校审核、访客通行码、访客入校、消息发送</w:t>
            </w:r>
          </w:p>
        </w:tc>
        <w:tc>
          <w:tcPr>
            <w:tcW w:w="1417" w:type="dxa"/>
            <w:vAlign w:val="center"/>
          </w:tcPr>
          <w:p>
            <w:pPr>
              <w:ind w:firstLine="120" w:firstLineChars="50"/>
              <w:rPr>
                <w:rFonts w:ascii="宋体" w:hAnsi="宋体"/>
                <w:sz w:val="24"/>
              </w:rPr>
            </w:pPr>
          </w:p>
        </w:tc>
        <w:tc>
          <w:tcPr>
            <w:tcW w:w="1011" w:type="dxa"/>
            <w:vAlign w:val="center"/>
          </w:tcPr>
          <w:p>
            <w:pPr>
              <w:jc w:val="center"/>
              <w:rPr>
                <w:rFonts w:ascii="宋体" w:hAnsi="宋体"/>
                <w:sz w:val="24"/>
              </w:rPr>
            </w:pPr>
            <w:r>
              <w:rPr>
                <w:rFonts w:hint="eastAsia" w:ascii="宋体" w:hAnsi="宋体"/>
                <w:sz w:val="24"/>
              </w:rPr>
              <w:t>1套</w:t>
            </w:r>
          </w:p>
        </w:tc>
        <w:tc>
          <w:tcPr>
            <w:tcW w:w="1071"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6" w:hRule="atLeast"/>
        </w:trPr>
        <w:tc>
          <w:tcPr>
            <w:tcW w:w="733" w:type="dxa"/>
            <w:vAlign w:val="center"/>
          </w:tcPr>
          <w:p>
            <w:pPr>
              <w:jc w:val="center"/>
              <w:rPr>
                <w:rFonts w:ascii="宋体" w:hAnsi="宋体"/>
                <w:sz w:val="24"/>
              </w:rPr>
            </w:pPr>
            <w:r>
              <w:rPr>
                <w:rFonts w:hint="eastAsia" w:ascii="宋体" w:hAnsi="宋体"/>
                <w:sz w:val="24"/>
              </w:rPr>
              <w:t>3</w:t>
            </w:r>
          </w:p>
        </w:tc>
        <w:tc>
          <w:tcPr>
            <w:tcW w:w="1218" w:type="dxa"/>
            <w:vAlign w:val="center"/>
          </w:tcPr>
          <w:p>
            <w:pPr>
              <w:jc w:val="center"/>
              <w:rPr>
                <w:rFonts w:ascii="宋体" w:hAnsi="宋体"/>
                <w:sz w:val="24"/>
              </w:rPr>
            </w:pPr>
            <w:r>
              <w:rPr>
                <w:rFonts w:hint="eastAsia" w:ascii="宋体" w:hAnsi="宋体"/>
                <w:sz w:val="24"/>
              </w:rPr>
              <w:t>数据分析和人员管理模块</w:t>
            </w:r>
          </w:p>
        </w:tc>
        <w:tc>
          <w:tcPr>
            <w:tcW w:w="3998" w:type="dxa"/>
            <w:vAlign w:val="center"/>
          </w:tcPr>
          <w:p>
            <w:pPr>
              <w:jc w:val="left"/>
              <w:rPr>
                <w:rFonts w:ascii="宋体" w:hAnsi="宋体"/>
                <w:sz w:val="24"/>
              </w:rPr>
            </w:pPr>
            <w:r>
              <w:rPr>
                <w:rFonts w:hint="eastAsia" w:ascii="宋体" w:hAnsi="宋体"/>
                <w:sz w:val="24"/>
              </w:rPr>
              <w:t>人员管理、培训人员管理、数据分析</w:t>
            </w:r>
          </w:p>
        </w:tc>
        <w:tc>
          <w:tcPr>
            <w:tcW w:w="1417" w:type="dxa"/>
            <w:vAlign w:val="center"/>
          </w:tcPr>
          <w:p>
            <w:pPr>
              <w:ind w:firstLine="120" w:firstLineChars="50"/>
              <w:rPr>
                <w:rFonts w:ascii="宋体" w:hAnsi="宋体"/>
                <w:sz w:val="24"/>
              </w:rPr>
            </w:pPr>
          </w:p>
        </w:tc>
        <w:tc>
          <w:tcPr>
            <w:tcW w:w="1011" w:type="dxa"/>
            <w:vAlign w:val="center"/>
          </w:tcPr>
          <w:p>
            <w:pPr>
              <w:jc w:val="center"/>
              <w:rPr>
                <w:rFonts w:ascii="宋体" w:hAnsi="宋体"/>
                <w:sz w:val="24"/>
              </w:rPr>
            </w:pPr>
            <w:r>
              <w:rPr>
                <w:rFonts w:hint="eastAsia" w:ascii="宋体" w:hAnsi="宋体"/>
                <w:sz w:val="24"/>
              </w:rPr>
              <w:t>1套</w:t>
            </w:r>
          </w:p>
        </w:tc>
        <w:tc>
          <w:tcPr>
            <w:tcW w:w="1071"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733" w:type="dxa"/>
            <w:vAlign w:val="center"/>
          </w:tcPr>
          <w:p>
            <w:pPr>
              <w:jc w:val="center"/>
              <w:rPr>
                <w:rFonts w:ascii="宋体" w:hAnsi="宋体"/>
                <w:sz w:val="24"/>
              </w:rPr>
            </w:pPr>
            <w:r>
              <w:rPr>
                <w:rFonts w:hint="eastAsia" w:ascii="宋体" w:hAnsi="宋体"/>
                <w:sz w:val="24"/>
              </w:rPr>
              <w:t>4</w:t>
            </w:r>
          </w:p>
        </w:tc>
        <w:tc>
          <w:tcPr>
            <w:tcW w:w="1218" w:type="dxa"/>
            <w:vAlign w:val="center"/>
          </w:tcPr>
          <w:p>
            <w:pPr>
              <w:jc w:val="center"/>
              <w:rPr>
                <w:rFonts w:ascii="宋体" w:hAnsi="宋体"/>
                <w:sz w:val="24"/>
              </w:rPr>
            </w:pPr>
            <w:r>
              <w:rPr>
                <w:rFonts w:hint="eastAsia" w:ascii="宋体" w:hAnsi="宋体"/>
                <w:sz w:val="24"/>
              </w:rPr>
              <w:t>校园数据集成</w:t>
            </w:r>
          </w:p>
        </w:tc>
        <w:tc>
          <w:tcPr>
            <w:tcW w:w="3998" w:type="dxa"/>
            <w:vAlign w:val="center"/>
          </w:tcPr>
          <w:p>
            <w:pPr>
              <w:jc w:val="left"/>
              <w:rPr>
                <w:rFonts w:ascii="宋体" w:hAnsi="宋体"/>
                <w:sz w:val="24"/>
              </w:rPr>
            </w:pPr>
            <w:r>
              <w:rPr>
                <w:rFonts w:hint="eastAsia" w:ascii="宋体" w:hAnsi="宋体"/>
                <w:sz w:val="24"/>
              </w:rPr>
              <w:t>学校请假数据、打卡数据、APP集成等</w:t>
            </w:r>
          </w:p>
        </w:tc>
        <w:tc>
          <w:tcPr>
            <w:tcW w:w="1417" w:type="dxa"/>
            <w:vAlign w:val="center"/>
          </w:tcPr>
          <w:p>
            <w:pPr>
              <w:ind w:firstLine="120" w:firstLineChars="50"/>
              <w:rPr>
                <w:rFonts w:ascii="宋体" w:hAnsi="宋体"/>
                <w:sz w:val="24"/>
              </w:rPr>
            </w:pPr>
          </w:p>
        </w:tc>
        <w:tc>
          <w:tcPr>
            <w:tcW w:w="1011" w:type="dxa"/>
            <w:vAlign w:val="center"/>
          </w:tcPr>
          <w:p>
            <w:pPr>
              <w:jc w:val="center"/>
              <w:rPr>
                <w:rFonts w:ascii="宋体" w:hAnsi="宋体"/>
                <w:sz w:val="24"/>
              </w:rPr>
            </w:pPr>
            <w:r>
              <w:rPr>
                <w:rFonts w:hint="eastAsia" w:ascii="宋体" w:hAnsi="宋体"/>
                <w:sz w:val="24"/>
              </w:rPr>
              <w:t>1套</w:t>
            </w:r>
          </w:p>
        </w:tc>
        <w:tc>
          <w:tcPr>
            <w:tcW w:w="1071"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9448" w:type="dxa"/>
            <w:gridSpan w:val="6"/>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总价（人民币元）</w:t>
            </w:r>
          </w:p>
          <w:p>
            <w:pPr>
              <w:adjustRightInd w:val="0"/>
              <w:snapToGrid w:val="0"/>
              <w:spacing w:line="288" w:lineRule="auto"/>
              <w:rPr>
                <w:rFonts w:ascii="宋体" w:hAnsi="宋体" w:cs="宋体"/>
                <w:b/>
                <w:bCs/>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小写：_________________________</w:t>
            </w:r>
          </w:p>
          <w:p>
            <w:pPr>
              <w:adjustRightInd w:val="0"/>
              <w:snapToGrid w:val="0"/>
              <w:spacing w:line="288" w:lineRule="auto"/>
              <w:rPr>
                <w:rFonts w:ascii="宋体" w:hAnsi="宋体" w:cs="宋体"/>
                <w:b/>
                <w:bCs/>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大写：_________________________</w:t>
            </w:r>
          </w:p>
          <w:p>
            <w:pPr>
              <w:adjustRightInd w:val="0"/>
              <w:snapToGrid w:val="0"/>
              <w:spacing w:line="288" w:lineRule="auto"/>
              <w:jc w:val="left"/>
              <w:rPr>
                <w:rFonts w:ascii="宋体" w:hAnsi="宋体" w:cs="宋体"/>
                <w:b/>
                <w:bCs/>
                <w:sz w:val="21"/>
                <w:szCs w:val="21"/>
              </w:rPr>
            </w:pPr>
            <w:r>
              <w:rPr>
                <w:rFonts w:hint="eastAsia" w:ascii="宋体" w:hAnsi="宋体"/>
                <w:b/>
                <w:spacing w:val="-6"/>
                <w:sz w:val="21"/>
                <w:szCs w:val="21"/>
              </w:rPr>
              <w:t>说明：采购人将以合同形式有偿取得货物或服务，不接受供应商给予的赠品、回扣或者与采购无关的其他商品、服务。</w:t>
            </w:r>
          </w:p>
        </w:tc>
      </w:tr>
    </w:tbl>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Cs/>
          <w:spacing w:val="-6"/>
          <w:sz w:val="21"/>
          <w:szCs w:val="21"/>
        </w:rPr>
      </w:pPr>
      <w:r>
        <w:rPr>
          <w:rFonts w:ascii="宋体" w:hAnsi="宋体"/>
          <w:bCs/>
          <w:spacing w:val="-6"/>
          <w:sz w:val="21"/>
          <w:szCs w:val="21"/>
        </w:rPr>
        <w:t>1.</w:t>
      </w:r>
      <w:r>
        <w:rPr>
          <w:rFonts w:hint="eastAsia" w:ascii="宋体" w:hAnsi="宋体"/>
          <w:bCs/>
          <w:spacing w:val="-6"/>
          <w:sz w:val="21"/>
          <w:szCs w:val="21"/>
        </w:rPr>
        <w:t>供应商按此表内容进行报价。</w:t>
      </w:r>
    </w:p>
    <w:p>
      <w:pPr>
        <w:adjustRightInd w:val="0"/>
        <w:snapToGrid w:val="0"/>
        <w:spacing w:line="288" w:lineRule="auto"/>
        <w:jc w:val="left"/>
        <w:rPr>
          <w:rFonts w:ascii="宋体" w:hAnsi="宋体"/>
          <w:b/>
          <w:spacing w:val="-6"/>
          <w:sz w:val="21"/>
          <w:szCs w:val="21"/>
        </w:rPr>
      </w:pPr>
      <w:r>
        <w:rPr>
          <w:rFonts w:ascii="宋体" w:hAnsi="宋体"/>
          <w:bCs/>
          <w:spacing w:val="-6"/>
          <w:sz w:val="21"/>
          <w:szCs w:val="21"/>
        </w:rPr>
        <w:t>2.有关本项目实施所涉及的一切费用均计入报价。</w:t>
      </w: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r>
        <w:rPr>
          <w:rFonts w:hint="eastAsia" w:ascii="宋体" w:hAnsi="宋体" w:cs="宋体"/>
          <w:sz w:val="21"/>
          <w:szCs w:val="21"/>
        </w:rPr>
        <w:t>供应商名称（盖章）：</w:t>
      </w:r>
    </w:p>
    <w:p>
      <w:pPr>
        <w:adjustRightInd w:val="0"/>
        <w:snapToGrid w:val="0"/>
        <w:spacing w:line="288" w:lineRule="auto"/>
        <w:rPr>
          <w:rFonts w:ascii="宋体" w:hAnsi="宋体" w:cs="宋体"/>
          <w:sz w:val="21"/>
          <w:szCs w:val="21"/>
        </w:rPr>
      </w:pPr>
      <w:r>
        <w:rPr>
          <w:rFonts w:hint="eastAsia" w:ascii="宋体" w:hAnsi="宋体" w:cs="宋体"/>
          <w:sz w:val="21"/>
          <w:szCs w:val="21"/>
        </w:rPr>
        <w:t>供应商代表签名：</w:t>
      </w:r>
    </w:p>
    <w:p>
      <w:pPr>
        <w:adjustRightInd w:val="0"/>
        <w:snapToGrid w:val="0"/>
        <w:spacing w:line="288" w:lineRule="auto"/>
        <w:rPr>
          <w:rFonts w:ascii="宋体" w:hAnsi="宋体" w:cs="宋体"/>
          <w:sz w:val="21"/>
          <w:szCs w:val="21"/>
        </w:rPr>
      </w:pPr>
      <w:r>
        <w:rPr>
          <w:rFonts w:hint="eastAsia" w:ascii="宋体" w:hAnsi="宋体" w:cs="宋体"/>
          <w:sz w:val="21"/>
          <w:szCs w:val="21"/>
        </w:rPr>
        <w:t>日期：________年____月____日</w:t>
      </w:r>
    </w:p>
    <w:p>
      <w:pPr>
        <w:pStyle w:val="14"/>
        <w:adjustRightInd w:val="0"/>
        <w:snapToGrid w:val="0"/>
        <w:spacing w:beforeLines="0" w:afterLines="0" w:line="288" w:lineRule="auto"/>
        <w:jc w:val="center"/>
        <w:outlineLvl w:val="2"/>
        <w:rPr>
          <w:rFonts w:hAnsi="宋体"/>
          <w:spacing w:val="-6"/>
          <w:sz w:val="21"/>
          <w:szCs w:val="21"/>
        </w:rPr>
      </w:pPr>
      <w:r>
        <w:rPr>
          <w:rFonts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w:t>
      </w:r>
      <w:r>
        <w:rPr>
          <w:rFonts w:ascii="宋体" w:hAnsi="宋体"/>
          <w:b/>
          <w:bCs/>
          <w:sz w:val="21"/>
          <w:szCs w:val="21"/>
        </w:rPr>
        <w:t>中小企业声明函（货物）</w:t>
      </w:r>
      <w:r>
        <w:rPr>
          <w:rFonts w:hint="eastAsia" w:ascii="宋体" w:hAnsi="宋体"/>
          <w:b/>
          <w:bCs/>
          <w:sz w:val="21"/>
          <w:szCs w:val="21"/>
        </w:rPr>
        <w:t>（若属于中小企业）</w:t>
      </w:r>
    </w:p>
    <w:p>
      <w:pPr>
        <w:adjustRightInd w:val="0"/>
        <w:snapToGrid w:val="0"/>
        <w:spacing w:line="288" w:lineRule="auto"/>
        <w:ind w:firstLine="498" w:firstLineChars="236"/>
        <w:rPr>
          <w:rFonts w:ascii="宋体" w:hAnsi="宋体"/>
          <w:b/>
          <w:sz w:val="21"/>
          <w:szCs w:val="21"/>
        </w:rPr>
      </w:pPr>
    </w:p>
    <w:p>
      <w:pPr>
        <w:adjustRightInd w:val="0"/>
        <w:snapToGrid w:val="0"/>
        <w:spacing w:line="288" w:lineRule="auto"/>
        <w:ind w:firstLine="495" w:firstLineChars="236"/>
        <w:rPr>
          <w:rFonts w:ascii="宋体" w:hAnsi="宋体"/>
          <w:sz w:val="21"/>
          <w:szCs w:val="21"/>
        </w:rPr>
      </w:pPr>
      <w:r>
        <w:rPr>
          <w:rFonts w:ascii="宋体" w:hAnsi="宋体"/>
          <w:sz w:val="21"/>
          <w:szCs w:val="21"/>
        </w:rPr>
        <w:t>本公司（联合体）郑重声明，根据《政府采购促进中小企业发展管理办法》（财库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号）的规定，本公司（联合体）参加</w:t>
      </w:r>
      <w:r>
        <w:rPr>
          <w:rFonts w:ascii="宋体" w:hAnsi="宋体"/>
          <w:i/>
          <w:sz w:val="21"/>
          <w:szCs w:val="21"/>
          <w:u w:val="single"/>
        </w:rPr>
        <w:t>（单位名称）</w:t>
      </w:r>
      <w:r>
        <w:rPr>
          <w:rFonts w:ascii="宋体" w:hAnsi="宋体"/>
          <w:sz w:val="21"/>
          <w:szCs w:val="21"/>
        </w:rPr>
        <w:t>的</w:t>
      </w:r>
      <w:r>
        <w:rPr>
          <w:rFonts w:ascii="宋体" w:hAnsi="宋体"/>
          <w:i/>
          <w:sz w:val="21"/>
          <w:szCs w:val="21"/>
          <w:u w:val="single"/>
        </w:rPr>
        <w:t>（项目名称）</w:t>
      </w:r>
      <w:r>
        <w:rPr>
          <w:rFonts w:ascii="宋体" w:hAnsi="宋体"/>
          <w:sz w:val="21"/>
          <w:szCs w:val="21"/>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sz w:val="21"/>
          <w:szCs w:val="21"/>
        </w:rPr>
      </w:pPr>
      <w:r>
        <w:rPr>
          <w:rFonts w:ascii="宋体" w:hAnsi="宋体"/>
          <w:i/>
          <w:sz w:val="21"/>
          <w:szCs w:val="21"/>
          <w:u w:val="single"/>
        </w:rPr>
        <w:t>1. （标的名称）</w:t>
      </w:r>
      <w:r>
        <w:rPr>
          <w:rFonts w:ascii="宋体" w:hAnsi="宋体"/>
          <w:i/>
          <w:sz w:val="21"/>
          <w:szCs w:val="21"/>
        </w:rPr>
        <w:t xml:space="preserve"> </w:t>
      </w:r>
      <w:r>
        <w:rPr>
          <w:rFonts w:ascii="宋体" w:hAnsi="宋体"/>
          <w:sz w:val="21"/>
          <w:szCs w:val="21"/>
        </w:rPr>
        <w:t>，属于</w:t>
      </w:r>
      <w:r>
        <w:rPr>
          <w:rFonts w:ascii="宋体" w:hAnsi="宋体"/>
          <w:i/>
          <w:sz w:val="21"/>
          <w:szCs w:val="21"/>
        </w:rPr>
        <w:t>（</w:t>
      </w:r>
      <w:r>
        <w:rPr>
          <w:rFonts w:ascii="宋体" w:hAnsi="宋体"/>
          <w:i/>
          <w:sz w:val="21"/>
          <w:szCs w:val="21"/>
          <w:u w:val="single"/>
        </w:rPr>
        <w:t>采购文件中明确的所属行业）行业</w:t>
      </w:r>
      <w:r>
        <w:rPr>
          <w:rFonts w:ascii="宋体" w:hAnsi="宋体"/>
          <w:sz w:val="21"/>
          <w:szCs w:val="21"/>
        </w:rPr>
        <w:t>；制造商为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i/>
          <w:sz w:val="21"/>
          <w:szCs w:val="21"/>
          <w:u w:val="single"/>
        </w:rPr>
        <w:t>2. （标的名称）</w:t>
      </w:r>
      <w:r>
        <w:rPr>
          <w:rFonts w:ascii="宋体" w:hAnsi="宋体"/>
          <w:i/>
          <w:sz w:val="21"/>
          <w:szCs w:val="21"/>
        </w:rPr>
        <w:t xml:space="preserve"> </w:t>
      </w:r>
      <w:r>
        <w:rPr>
          <w:rFonts w:ascii="宋体" w:hAnsi="宋体"/>
          <w:sz w:val="21"/>
          <w:szCs w:val="21"/>
        </w:rPr>
        <w:t>，属于</w:t>
      </w:r>
      <w:r>
        <w:rPr>
          <w:rFonts w:ascii="宋体" w:hAnsi="宋体"/>
          <w:i/>
          <w:sz w:val="21"/>
          <w:szCs w:val="21"/>
        </w:rPr>
        <w:t>（</w:t>
      </w:r>
      <w:r>
        <w:rPr>
          <w:rFonts w:ascii="宋体" w:hAnsi="宋体"/>
          <w:i/>
          <w:sz w:val="21"/>
          <w:szCs w:val="21"/>
          <w:u w:val="single"/>
        </w:rPr>
        <w:t>采购文件中明确的所属行业）行业</w:t>
      </w:r>
      <w:r>
        <w:rPr>
          <w:rFonts w:ascii="宋体" w:hAnsi="宋体"/>
          <w:sz w:val="21"/>
          <w:szCs w:val="21"/>
        </w:rPr>
        <w:t>；制造商为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hint="eastAsia"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sz w:val="21"/>
          <w:szCs w:val="21"/>
        </w:rPr>
      </w:pPr>
      <w:r>
        <w:rPr>
          <w:rFonts w:ascii="宋体" w:hAnsi="宋体"/>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sz w:val="21"/>
          <w:szCs w:val="21"/>
        </w:rPr>
      </w:pPr>
    </w:p>
    <w:p>
      <w:pPr>
        <w:adjustRightInd w:val="0"/>
        <w:snapToGrid w:val="0"/>
        <w:spacing w:line="288" w:lineRule="auto"/>
        <w:ind w:firstLine="495" w:firstLineChars="236"/>
        <w:rPr>
          <w:rFonts w:ascii="宋体" w:hAnsi="宋体"/>
          <w:sz w:val="21"/>
          <w:szCs w:val="21"/>
        </w:rPr>
      </w:pPr>
      <w:r>
        <w:rPr>
          <w:rFonts w:ascii="宋体" w:hAnsi="宋体"/>
          <w:sz w:val="21"/>
          <w:szCs w:val="21"/>
        </w:rPr>
        <w:t>企业名称（盖章）：</w:t>
      </w:r>
    </w:p>
    <w:p>
      <w:pPr>
        <w:adjustRightInd w:val="0"/>
        <w:snapToGrid w:val="0"/>
        <w:spacing w:line="288" w:lineRule="auto"/>
        <w:ind w:firstLine="495" w:firstLineChars="236"/>
        <w:rPr>
          <w:rFonts w:ascii="宋体" w:hAnsi="宋体"/>
          <w:sz w:val="21"/>
          <w:szCs w:val="21"/>
        </w:rPr>
      </w:pPr>
      <w:r>
        <w:rPr>
          <w:rFonts w:ascii="宋体" w:hAnsi="宋体"/>
          <w:sz w:val="21"/>
          <w:szCs w:val="21"/>
        </w:rPr>
        <w:t>日期：</w:t>
      </w:r>
    </w:p>
    <w:p>
      <w:pPr>
        <w:adjustRightInd w:val="0"/>
        <w:snapToGrid w:val="0"/>
        <w:spacing w:line="288" w:lineRule="auto"/>
        <w:ind w:firstLine="495" w:firstLineChars="236"/>
        <w:rPr>
          <w:rFonts w:ascii="宋体" w:hAnsi="宋体"/>
          <w:sz w:val="21"/>
          <w:szCs w:val="21"/>
        </w:rPr>
      </w:pP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sz w:val="21"/>
          <w:szCs w:val="21"/>
        </w:rPr>
      </w:pPr>
      <w:r>
        <w:rPr>
          <w:rFonts w:ascii="宋体" w:hAnsi="宋体"/>
          <w:sz w:val="21"/>
          <w:szCs w:val="21"/>
        </w:rPr>
        <w:t>3.</w:t>
      </w:r>
      <w:r>
        <w:rPr>
          <w:rFonts w:hint="eastAsia" w:ascii="宋体" w:hAnsi="宋体"/>
          <w:sz w:val="21"/>
          <w:szCs w:val="21"/>
        </w:rPr>
        <w:t>《中小企业声明函》填写不全的，视为未提供《中小企业声明函》（从业人员、营业收入、资产总额在中小企业划型标准规定中不涉及的除外），不享受价格优惠。</w:t>
      </w:r>
      <w:r>
        <w:rPr>
          <w:rFonts w:ascii="宋体" w:hAnsi="宋体" w:cs="宋体"/>
          <w:sz w:val="21"/>
          <w:szCs w:val="21"/>
        </w:rPr>
        <w:t>如项目包含“多件”标的物的，需按标的物项数逐项填写。</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5.本项目只以《中小企业声明函》作为评判供应商是否属于中小企业的唯一依据。</w:t>
      </w:r>
    </w:p>
    <w:p>
      <w:pPr>
        <w:widowControl/>
        <w:adjustRightInd w:val="0"/>
        <w:snapToGrid w:val="0"/>
        <w:spacing w:line="288" w:lineRule="auto"/>
        <w:ind w:firstLine="495" w:firstLineChars="236"/>
        <w:jc w:val="left"/>
        <w:rPr>
          <w:rFonts w:ascii="宋体" w:hAnsi="宋体"/>
          <w:sz w:val="21"/>
          <w:szCs w:val="21"/>
        </w:rPr>
      </w:pPr>
      <w:r>
        <w:rPr>
          <w:rFonts w:ascii="宋体" w:hAnsi="宋体"/>
          <w:sz w:val="21"/>
          <w:szCs w:val="21"/>
        </w:rPr>
        <w:br w:type="page"/>
      </w:r>
    </w:p>
    <w:p>
      <w:pPr>
        <w:adjustRightInd w:val="0"/>
        <w:snapToGrid w:val="0"/>
        <w:spacing w:line="288" w:lineRule="auto"/>
        <w:jc w:val="center"/>
        <w:outlineLvl w:val="2"/>
        <w:rPr>
          <w:rFonts w:ascii="宋体" w:hAnsi="宋体" w:cs="宋体"/>
          <w:color w:val="000000"/>
          <w:kern w:val="0"/>
          <w:sz w:val="21"/>
          <w:szCs w:val="21"/>
          <w:highlight w:val="yellow"/>
        </w:rPr>
      </w:pPr>
      <w:r>
        <w:rPr>
          <w:rFonts w:hint="eastAsia" w:ascii="宋体" w:hAnsi="宋体" w:cs="宋体"/>
          <w:b/>
          <w:spacing w:val="-6"/>
          <w:sz w:val="21"/>
          <w:szCs w:val="21"/>
        </w:rPr>
        <w:t>（</w:t>
      </w:r>
      <w:r>
        <w:rPr>
          <w:rFonts w:ascii="宋体" w:hAnsi="宋体" w:cs="宋体"/>
          <w:b/>
          <w:spacing w:val="-6"/>
          <w:sz w:val="21"/>
          <w:szCs w:val="21"/>
        </w:rPr>
        <w:t>3</w:t>
      </w:r>
      <w:r>
        <w:rPr>
          <w:rFonts w:hint="eastAsia" w:ascii="宋体" w:hAnsi="宋体" w:cs="宋体"/>
          <w:b/>
          <w:spacing w:val="-6"/>
          <w:sz w:val="21"/>
          <w:szCs w:val="21"/>
        </w:rPr>
        <w:t>）属于监狱企业的证明文件（若属于监狱企业）</w:t>
      </w:r>
    </w:p>
    <w:p>
      <w:pPr>
        <w:adjustRightInd w:val="0"/>
        <w:snapToGrid w:val="0"/>
        <w:spacing w:line="288" w:lineRule="auto"/>
        <w:rPr>
          <w:rFonts w:ascii="宋体" w:hAnsi="宋体" w:cs="宋体"/>
          <w:color w:val="000000"/>
          <w:kern w:val="0"/>
          <w:sz w:val="21"/>
          <w:szCs w:val="21"/>
        </w:rPr>
      </w:pPr>
    </w:p>
    <w:p>
      <w:pPr>
        <w:adjustRightInd w:val="0"/>
        <w:snapToGrid w:val="0"/>
        <w:spacing w:line="288" w:lineRule="auto"/>
        <w:ind w:firstLine="373" w:firstLineChars="177"/>
        <w:rPr>
          <w:rFonts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pPr>
        <w:adjustRightInd w:val="0"/>
        <w:snapToGrid w:val="0"/>
        <w:spacing w:line="288" w:lineRule="auto"/>
        <w:jc w:val="center"/>
        <w:outlineLvl w:val="2"/>
        <w:rPr>
          <w:rFonts w:ascii="宋体" w:hAnsi="宋体" w:cs="宋体"/>
          <w:b/>
          <w:spacing w:val="-6"/>
          <w:sz w:val="21"/>
          <w:szCs w:val="21"/>
        </w:rPr>
      </w:pPr>
      <w:r>
        <w:rPr>
          <w:rFonts w:hint="eastAsia" w:ascii="宋体" w:hAnsi="宋体" w:cs="宋体"/>
          <w:b/>
          <w:spacing w:val="-6"/>
          <w:sz w:val="21"/>
          <w:szCs w:val="21"/>
        </w:rPr>
        <w:t>（</w:t>
      </w:r>
      <w:r>
        <w:rPr>
          <w:rFonts w:ascii="宋体" w:hAnsi="宋体" w:cs="宋体"/>
          <w:b/>
          <w:spacing w:val="-6"/>
          <w:sz w:val="21"/>
          <w:szCs w:val="21"/>
        </w:rPr>
        <w:t>4</w:t>
      </w:r>
      <w:r>
        <w:rPr>
          <w:rFonts w:hint="eastAsia" w:ascii="宋体" w:hAnsi="宋体" w:cs="宋体"/>
          <w:b/>
          <w:spacing w:val="-6"/>
          <w:sz w:val="21"/>
          <w:szCs w:val="21"/>
        </w:rPr>
        <w:t>）残疾人福利性单位声明函（若属于残疾人福利性单位）</w:t>
      </w:r>
    </w:p>
    <w:p>
      <w:pPr>
        <w:adjustRightInd w:val="0"/>
        <w:snapToGrid w:val="0"/>
        <w:spacing w:line="288" w:lineRule="auto"/>
        <w:rPr>
          <w:rFonts w:ascii="宋体" w:hAnsi="宋体"/>
          <w:b/>
          <w:spacing w:val="6"/>
          <w:sz w:val="21"/>
          <w:szCs w:val="21"/>
        </w:rPr>
      </w:pP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单位名称（盖章）：</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日  期：</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1"/>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pPr>
        <w:adjustRightInd w:val="0"/>
        <w:snapToGrid w:val="0"/>
        <w:spacing w:line="288" w:lineRule="auto"/>
        <w:jc w:val="center"/>
        <w:outlineLvl w:val="1"/>
        <w:rPr>
          <w:rFonts w:ascii="宋体" w:hAnsi="宋体"/>
          <w:b/>
          <w:spacing w:val="-6"/>
          <w:sz w:val="32"/>
          <w:szCs w:val="32"/>
        </w:rPr>
      </w:pPr>
      <w:r>
        <w:rPr>
          <w:rFonts w:hint="eastAsia" w:ascii="宋体" w:hAnsi="宋体"/>
          <w:b/>
          <w:spacing w:val="-6"/>
          <w:sz w:val="32"/>
          <w:szCs w:val="32"/>
        </w:rPr>
        <w:t>商务和技术文件</w:t>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（1）响应函</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提交商务和技术文件正本一份、副本____份。</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致：浙江财经大学东方学院</w:t>
      </w:r>
      <w:r>
        <w:rPr>
          <w:rFonts w:ascii="宋体" w:hAnsi="宋体" w:cs="宋体"/>
          <w:b/>
          <w:bCs/>
          <w:sz w:val="21"/>
          <w:szCs w:val="21"/>
        </w:rPr>
        <w:t>、</w:t>
      </w:r>
      <w:r>
        <w:rPr>
          <w:rFonts w:hint="eastAsia" w:ascii="宋体" w:hAnsi="宋体" w:cs="宋体"/>
          <w:b/>
          <w:bCs/>
          <w:sz w:val="21"/>
          <w:szCs w:val="21"/>
        </w:rPr>
        <w:t>浙江求是招标代理有限公司</w:t>
      </w:r>
    </w:p>
    <w:p>
      <w:pPr>
        <w:adjustRightInd w:val="0"/>
        <w:snapToGrid w:val="0"/>
        <w:spacing w:line="288" w:lineRule="auto"/>
        <w:rPr>
          <w:rFonts w:ascii="宋体" w:hAnsi="宋体"/>
          <w:spacing w:val="-6"/>
          <w:sz w:val="21"/>
          <w:szCs w:val="21"/>
          <w:highlight w:val="cyan"/>
        </w:rPr>
      </w:pPr>
    </w:p>
    <w:p>
      <w:pPr>
        <w:adjustRightInd w:val="0"/>
        <w:snapToGrid w:val="0"/>
        <w:spacing w:line="288" w:lineRule="auto"/>
        <w:ind w:firstLine="396" w:firstLineChars="200"/>
        <w:rPr>
          <w:rFonts w:ascii="宋体" w:hAnsi="宋体" w:cs="宋体"/>
          <w:sz w:val="21"/>
          <w:szCs w:val="21"/>
        </w:rPr>
      </w:pPr>
      <w:r>
        <w:rPr>
          <w:rFonts w:hint="eastAsia" w:ascii="宋体" w:hAnsi="宋体"/>
          <w:spacing w:val="-6"/>
          <w:sz w:val="21"/>
          <w:szCs w:val="21"/>
        </w:rPr>
        <w:t>我方参加</w:t>
      </w:r>
      <w:r>
        <w:rPr>
          <w:rFonts w:hint="eastAsia" w:ascii="宋体" w:hAnsi="宋体"/>
          <w:bCs/>
          <w:spacing w:val="-6"/>
          <w:sz w:val="21"/>
          <w:szCs w:val="21"/>
          <w:u w:val="single"/>
        </w:rPr>
        <w:t>浙江财经大学东方学院疫情防控平台建设</w:t>
      </w:r>
      <w:r>
        <w:rPr>
          <w:rFonts w:hint="eastAsia" w:ascii="宋体" w:hAnsi="宋体"/>
          <w:spacing w:val="-6"/>
          <w:sz w:val="21"/>
          <w:szCs w:val="21"/>
          <w:u w:val="single"/>
        </w:rPr>
        <w:t>（项目编号</w:t>
      </w:r>
      <w:r>
        <w:rPr>
          <w:rFonts w:hint="eastAsia" w:ascii="宋体" w:hAnsi="宋体"/>
          <w:bCs/>
          <w:spacing w:val="-6"/>
          <w:sz w:val="21"/>
          <w:szCs w:val="21"/>
          <w:u w:val="single"/>
        </w:rPr>
        <w:t xml:space="preserve">：QSZB-F(H)-E22038(CS) </w:t>
      </w:r>
      <w:r>
        <w:rPr>
          <w:rFonts w:hint="eastAsia" w:ascii="宋体" w:hAnsi="宋体"/>
          <w:spacing w:val="-6"/>
          <w:sz w:val="21"/>
          <w:szCs w:val="21"/>
          <w:u w:val="single"/>
        </w:rPr>
        <w:t>）</w:t>
      </w:r>
      <w:r>
        <w:rPr>
          <w:rFonts w:hint="eastAsia" w:ascii="宋体" w:hAnsi="宋体"/>
          <w:spacing w:val="-6"/>
          <w:sz w:val="21"/>
          <w:szCs w:val="21"/>
        </w:rPr>
        <w:t>项目，为此，我方提交响应文件（资格文件、报价文件、商务和技术文件）正本一份、副本____份。签名代表宣布同意如下：</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3.响应有效期自提交响应文件的截止之日起</w:t>
      </w:r>
      <w:r>
        <w:rPr>
          <w:rFonts w:hint="eastAsia" w:ascii="宋体" w:hAnsi="宋体" w:cs="宋体"/>
          <w:sz w:val="21"/>
          <w:szCs w:val="21"/>
          <w:u w:val="single"/>
        </w:rPr>
        <w:t>90</w:t>
      </w:r>
      <w:r>
        <w:rPr>
          <w:rFonts w:hint="eastAsia" w:ascii="宋体" w:hAnsi="宋体" w:cs="宋体"/>
          <w:sz w:val="21"/>
          <w:szCs w:val="21"/>
        </w:rPr>
        <w:t>天。</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5.我方同意按照贵方要求提供与磋商有关的一切数据或资料。</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6.与本磋商有关的一切正式往来信函联系：</w:t>
      </w:r>
    </w:p>
    <w:tbl>
      <w:tblPr>
        <w:tblStyle w:val="7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联系人：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职务：</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手机：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电子邮箱：</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银行账号：</w:t>
            </w:r>
          </w:p>
        </w:tc>
        <w:tc>
          <w:tcPr>
            <w:tcW w:w="6808" w:type="dxa"/>
          </w:tcPr>
          <w:p>
            <w:pPr>
              <w:adjustRightInd w:val="0"/>
              <w:snapToGrid w:val="0"/>
              <w:spacing w:line="288" w:lineRule="auto"/>
              <w:rPr>
                <w:rFonts w:ascii="宋体" w:hAnsi="宋体"/>
                <w:spacing w:val="-6"/>
                <w:sz w:val="21"/>
                <w:szCs w:val="21"/>
              </w:rPr>
            </w:pPr>
          </w:p>
        </w:tc>
      </w:tr>
    </w:tbl>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r>
        <w:rPr>
          <w:rFonts w:hint="eastAsia" w:ascii="宋体" w:hAnsi="宋体" w:cs="宋体"/>
          <w:sz w:val="21"/>
          <w:szCs w:val="21"/>
        </w:rPr>
        <w:t>供应商名称（盖章）：</w:t>
      </w:r>
    </w:p>
    <w:p>
      <w:pPr>
        <w:adjustRightInd w:val="0"/>
        <w:snapToGrid w:val="0"/>
        <w:spacing w:line="288" w:lineRule="auto"/>
        <w:rPr>
          <w:rFonts w:ascii="宋体" w:hAnsi="宋体" w:cs="宋体"/>
          <w:sz w:val="21"/>
          <w:szCs w:val="21"/>
        </w:rPr>
      </w:pPr>
      <w:r>
        <w:rPr>
          <w:rFonts w:hint="eastAsia" w:ascii="宋体" w:hAnsi="宋体" w:cs="宋体"/>
          <w:sz w:val="21"/>
          <w:szCs w:val="21"/>
        </w:rPr>
        <w:t>供应商代表签名：</w:t>
      </w:r>
    </w:p>
    <w:p>
      <w:pPr>
        <w:adjustRightInd w:val="0"/>
        <w:snapToGrid w:val="0"/>
        <w:spacing w:line="288" w:lineRule="auto"/>
        <w:rPr>
          <w:rFonts w:ascii="宋体" w:hAnsi="宋体" w:cs="宋体"/>
          <w:sz w:val="21"/>
          <w:szCs w:val="21"/>
        </w:rPr>
      </w:pPr>
      <w:r>
        <w:rPr>
          <w:rFonts w:hint="eastAsia" w:ascii="宋体" w:hAnsi="宋体" w:cs="宋体"/>
          <w:sz w:val="21"/>
          <w:szCs w:val="21"/>
        </w:rPr>
        <w:t>日期：________年____月____日</w:t>
      </w:r>
    </w:p>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2"/>
        <w:rPr>
          <w:rFonts w:ascii="宋体" w:hAnsi="宋体" w:cs="宋体"/>
          <w:b/>
          <w:bCs/>
          <w:sz w:val="21"/>
          <w:szCs w:val="21"/>
        </w:rPr>
      </w:pPr>
      <w:r>
        <w:rPr>
          <w:rFonts w:hint="eastAsia" w:ascii="宋体" w:hAnsi="宋体" w:cs="宋体"/>
          <w:b/>
          <w:bCs/>
          <w:sz w:val="21"/>
          <w:szCs w:val="21"/>
        </w:rPr>
        <w:t>（</w:t>
      </w:r>
      <w:r>
        <w:rPr>
          <w:rFonts w:ascii="宋体" w:hAnsi="宋体" w:cs="宋体"/>
          <w:b/>
          <w:bCs/>
          <w:sz w:val="21"/>
          <w:szCs w:val="21"/>
        </w:rPr>
        <w:t>2</w:t>
      </w:r>
      <w:r>
        <w:rPr>
          <w:rFonts w:hint="eastAsia" w:ascii="宋体" w:hAnsi="宋体" w:cs="宋体"/>
          <w:b/>
          <w:bCs/>
          <w:sz w:val="21"/>
          <w:szCs w:val="21"/>
        </w:rPr>
        <w:t>）法定代表人授权委托书</w:t>
      </w:r>
    </w:p>
    <w:p>
      <w:pPr>
        <w:adjustRightInd w:val="0"/>
        <w:snapToGrid w:val="0"/>
        <w:spacing w:line="288" w:lineRule="auto"/>
        <w:rPr>
          <w:rFonts w:ascii="宋体" w:hAnsi="宋体" w:cs="宋体"/>
          <w:sz w:val="21"/>
          <w:szCs w:val="21"/>
        </w:rPr>
      </w:pPr>
      <w:r>
        <w:rPr>
          <w:rFonts w:hint="eastAsia" w:ascii="宋体" w:hAnsi="宋体" w:cs="宋体"/>
          <w:sz w:val="21"/>
          <w:szCs w:val="21"/>
        </w:rPr>
        <w:t>致：浙江财经大学东方学院、浙江求是招标代理有限公司</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我</w:t>
      </w:r>
      <w:r>
        <w:rPr>
          <w:rFonts w:ascii="宋体" w:hAnsi="宋体"/>
          <w:spacing w:val="-6"/>
          <w:sz w:val="21"/>
          <w:szCs w:val="21"/>
        </w:rPr>
        <w:t>________________</w:t>
      </w:r>
      <w:r>
        <w:rPr>
          <w:rFonts w:hint="eastAsia" w:ascii="宋体" w:hAnsi="宋体"/>
          <w:spacing w:val="-6"/>
          <w:sz w:val="21"/>
          <w:szCs w:val="21"/>
        </w:rPr>
        <w:t>（</w:t>
      </w:r>
      <w:r>
        <w:rPr>
          <w:rFonts w:ascii="宋体" w:hAnsi="宋体"/>
          <w:bCs/>
          <w:spacing w:val="-6"/>
          <w:sz w:val="21"/>
          <w:szCs w:val="21"/>
        </w:rPr>
        <w:t>姓名</w:t>
      </w:r>
      <w:r>
        <w:rPr>
          <w:rFonts w:hint="eastAsia" w:ascii="宋体" w:hAnsi="宋体"/>
          <w:bCs/>
          <w:spacing w:val="-6"/>
          <w:sz w:val="21"/>
          <w:szCs w:val="21"/>
        </w:rPr>
        <w:t>）</w:t>
      </w:r>
      <w:r>
        <w:rPr>
          <w:rFonts w:ascii="宋体" w:hAnsi="宋体"/>
          <w:bCs/>
          <w:spacing w:val="-6"/>
          <w:sz w:val="21"/>
          <w:szCs w:val="21"/>
        </w:rPr>
        <w:t>系</w:t>
      </w:r>
      <w:r>
        <w:rPr>
          <w:rFonts w:hint="eastAsia" w:ascii="宋体" w:hAnsi="宋体"/>
          <w:bCs/>
          <w:spacing w:val="-6"/>
          <w:sz w:val="21"/>
          <w:szCs w:val="21"/>
        </w:rPr>
        <w:t>_________________________（供应商名称）</w:t>
      </w:r>
      <w:r>
        <w:rPr>
          <w:rFonts w:ascii="宋体" w:hAnsi="宋体"/>
          <w:bCs/>
          <w:spacing w:val="-6"/>
          <w:sz w:val="21"/>
          <w:szCs w:val="21"/>
        </w:rPr>
        <w:t>的法定代表人，身份证</w:t>
      </w:r>
      <w:r>
        <w:rPr>
          <w:rFonts w:hint="eastAsia" w:ascii="宋体" w:hAnsi="宋体"/>
          <w:bCs/>
          <w:spacing w:val="-6"/>
          <w:sz w:val="21"/>
          <w:szCs w:val="21"/>
        </w:rPr>
        <w:t>号码：_________________________________。</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现授权委托本单位在职职工：</w:t>
      </w:r>
      <w:r>
        <w:rPr>
          <w:rFonts w:ascii="宋体" w:hAnsi="宋体"/>
          <w:spacing w:val="-6"/>
          <w:sz w:val="21"/>
          <w:szCs w:val="21"/>
        </w:rPr>
        <w:t>_________</w:t>
      </w:r>
      <w:r>
        <w:rPr>
          <w:rFonts w:hint="eastAsia" w:ascii="宋体" w:hAnsi="宋体"/>
          <w:spacing w:val="-6"/>
          <w:sz w:val="21"/>
          <w:szCs w:val="21"/>
        </w:rPr>
        <w:t>（姓名），身份证号码：</w:t>
      </w:r>
      <w:r>
        <w:rPr>
          <w:rFonts w:ascii="宋体" w:hAnsi="宋体"/>
          <w:spacing w:val="-6"/>
          <w:sz w:val="21"/>
          <w:szCs w:val="21"/>
        </w:rPr>
        <w:t>_______________</w:t>
      </w:r>
      <w:r>
        <w:rPr>
          <w:rFonts w:hint="eastAsia" w:ascii="宋体" w:hAnsi="宋体"/>
          <w:spacing w:val="-6"/>
          <w:sz w:val="21"/>
          <w:szCs w:val="21"/>
        </w:rPr>
        <w:t>，以我方的名义参加</w:t>
      </w:r>
      <w:r>
        <w:rPr>
          <w:rFonts w:hint="eastAsia" w:ascii="宋体" w:hAnsi="宋体"/>
          <w:bCs/>
          <w:spacing w:val="-6"/>
          <w:sz w:val="21"/>
          <w:szCs w:val="21"/>
        </w:rPr>
        <w:t>浙江财经大学东方学院疫情防控平台建设</w:t>
      </w:r>
      <w:r>
        <w:rPr>
          <w:rFonts w:hint="eastAsia" w:ascii="宋体" w:hAnsi="宋体"/>
          <w:spacing w:val="-6"/>
          <w:sz w:val="21"/>
          <w:szCs w:val="21"/>
        </w:rPr>
        <w:t>的磋商活动，并代表我方全权办理针对上述项目的</w:t>
      </w:r>
      <w:r>
        <w:rPr>
          <w:rFonts w:hint="eastAsia" w:ascii="宋体" w:hAnsi="宋体" w:cs="宋体"/>
          <w:sz w:val="21"/>
          <w:szCs w:val="21"/>
        </w:rPr>
        <w:t>磋商文件开启、磋商、评审、签约等具体事务和签署相关文件。</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我方对被授权人的签名负全部责任。</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被授权人无转委托权，特此委托。</w:t>
      </w:r>
    </w:p>
    <w:p>
      <w:pPr>
        <w:adjustRightInd w:val="0"/>
        <w:snapToGrid w:val="0"/>
        <w:spacing w:line="288" w:lineRule="auto"/>
        <w:ind w:firstLine="420" w:firstLineChars="200"/>
        <w:rPr>
          <w:rFonts w:ascii="宋体" w:hAnsi="宋体" w:cs="宋体"/>
          <w:sz w:val="21"/>
          <w:szCs w:val="21"/>
          <w:u w:val="single"/>
        </w:rPr>
      </w:pPr>
      <w:r>
        <w:rPr>
          <w:rFonts w:hint="eastAsia" w:ascii="宋体" w:hAnsi="宋体" w:cs="宋体"/>
          <w:sz w:val="21"/>
          <w:szCs w:val="21"/>
          <w:u w:val="single"/>
        </w:rPr>
        <w:t>▲供应商授权代表必须为供应商本单位在职职工，并提供</w:t>
      </w:r>
      <w:r>
        <w:rPr>
          <w:rFonts w:ascii="宋体" w:hAnsi="宋体" w:cs="宋体"/>
          <w:sz w:val="21"/>
          <w:szCs w:val="21"/>
          <w:u w:val="single"/>
        </w:rPr>
        <w:t>2021年12月（含）以后任意一月社保缴纳证明</w:t>
      </w:r>
      <w:r>
        <w:rPr>
          <w:rFonts w:hint="eastAsia" w:ascii="宋体" w:hAnsi="宋体" w:cs="宋体"/>
          <w:sz w:val="21"/>
          <w:szCs w:val="21"/>
          <w:u w:val="single"/>
        </w:rPr>
        <w:t>。</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法定代表人（签名或盖章）：</w:t>
      </w: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r>
        <w:rPr>
          <w:rFonts w:hint="eastAsia" w:ascii="宋体" w:hAnsi="宋体" w:cs="宋体"/>
          <w:sz w:val="21"/>
          <w:szCs w:val="21"/>
        </w:rPr>
        <w:t>供应商名称（盖章）：</w:t>
      </w:r>
    </w:p>
    <w:p>
      <w:pPr>
        <w:adjustRightInd w:val="0"/>
        <w:snapToGrid w:val="0"/>
        <w:spacing w:line="288" w:lineRule="auto"/>
        <w:rPr>
          <w:rFonts w:ascii="宋体" w:hAnsi="宋体" w:cs="宋体"/>
          <w:sz w:val="21"/>
          <w:szCs w:val="21"/>
        </w:rPr>
      </w:pPr>
      <w:r>
        <w:rPr>
          <w:rFonts w:hint="eastAsia" w:ascii="宋体" w:hAnsi="宋体" w:cs="宋体"/>
          <w:sz w:val="21"/>
          <w:szCs w:val="21"/>
        </w:rPr>
        <w:t>日期：________年____月____日</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ascii="宋体" w:hAnsi="宋体"/>
                <w:sz w:val="21"/>
                <w:szCs w:val="21"/>
              </w:rPr>
            </w:pPr>
            <w:r>
              <w:rPr>
                <w:rFonts w:hint="eastAsia" w:ascii="宋体" w:hAnsi="宋体"/>
                <w:sz w:val="21"/>
                <w:szCs w:val="21"/>
              </w:rPr>
              <w:t>法定代表人身份证明：</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r>
              <w:rPr>
                <w:rFonts w:hint="eastAsia" w:ascii="宋体" w:hAnsi="宋体"/>
                <w:sz w:val="21"/>
                <w:szCs w:val="21"/>
              </w:rPr>
              <w:t>授权代表身份证明：</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p>
        </w:tc>
      </w:tr>
    </w:tbl>
    <w:p>
      <w:pPr>
        <w:adjustRightInd w:val="0"/>
        <w:snapToGrid w:val="0"/>
        <w:spacing w:line="288" w:lineRule="auto"/>
        <w:jc w:val="center"/>
        <w:outlineLvl w:val="2"/>
        <w:rPr>
          <w:rFonts w:ascii="宋体" w:hAnsi="宋体"/>
          <w:b/>
          <w:spacing w:val="-6"/>
          <w:sz w:val="21"/>
          <w:szCs w:val="21"/>
        </w:rPr>
      </w:pPr>
      <w:r>
        <w:rPr>
          <w:rFonts w:ascii="宋体" w:hAnsi="宋体"/>
          <w:b/>
          <w:spacing w:val="-6"/>
          <w:sz w:val="21"/>
          <w:szCs w:val="21"/>
        </w:rPr>
        <w:br w:type="page"/>
      </w:r>
      <w:r>
        <w:rPr>
          <w:rFonts w:hint="eastAsia" w:ascii="宋体" w:hAnsi="宋体"/>
          <w:b/>
          <w:spacing w:val="-6"/>
          <w:sz w:val="21"/>
          <w:szCs w:val="21"/>
        </w:rPr>
        <w:t>（</w:t>
      </w:r>
      <w:r>
        <w:rPr>
          <w:rFonts w:ascii="宋体" w:hAnsi="宋体"/>
          <w:b/>
          <w:spacing w:val="-6"/>
          <w:sz w:val="21"/>
          <w:szCs w:val="21"/>
        </w:rPr>
        <w:t>2</w:t>
      </w:r>
      <w:r>
        <w:rPr>
          <w:rFonts w:hint="eastAsia" w:ascii="宋体" w:hAnsi="宋体"/>
          <w:b/>
          <w:spacing w:val="-6"/>
          <w:sz w:val="21"/>
          <w:szCs w:val="21"/>
        </w:rPr>
        <w:t>）2021年12月（含）以后任意一月供应商</w:t>
      </w:r>
      <w:r>
        <w:rPr>
          <w:rFonts w:ascii="宋体" w:hAnsi="宋体"/>
          <w:b/>
          <w:spacing w:val="-6"/>
          <w:sz w:val="21"/>
          <w:szCs w:val="21"/>
        </w:rPr>
        <w:t>授权代表社保缴纳证明</w:t>
      </w:r>
    </w:p>
    <w:p>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3</w:t>
      </w:r>
      <w:r>
        <w:rPr>
          <w:rFonts w:hint="eastAsia" w:ascii="宋体" w:hAnsi="宋体"/>
          <w:b/>
          <w:spacing w:val="-6"/>
          <w:sz w:val="21"/>
          <w:szCs w:val="21"/>
        </w:rPr>
        <w:t>）供应商同类合同一览表</w:t>
      </w:r>
    </w:p>
    <w:p>
      <w:pPr>
        <w:pStyle w:val="19"/>
        <w:adjustRightInd w:val="0"/>
        <w:snapToGrid w:val="0"/>
        <w:spacing w:line="288" w:lineRule="auto"/>
        <w:ind w:left="420" w:hanging="420"/>
        <w:rPr>
          <w:rFonts w:ascii="宋体" w:hAnsi="宋体"/>
          <w:sz w:val="21"/>
          <w:szCs w:val="21"/>
        </w:rPr>
      </w:pPr>
    </w:p>
    <w:tbl>
      <w:tblPr>
        <w:tblStyle w:val="2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合同金额</w:t>
            </w:r>
          </w:p>
          <w:p>
            <w:pPr>
              <w:adjustRightInd w:val="0"/>
              <w:snapToGrid w:val="0"/>
              <w:spacing w:line="288" w:lineRule="auto"/>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采购单位联系人</w:t>
            </w:r>
          </w:p>
          <w:p>
            <w:pPr>
              <w:adjustRightInd w:val="0"/>
              <w:snapToGrid w:val="0"/>
              <w:spacing w:line="288" w:lineRule="auto"/>
              <w:jc w:val="center"/>
              <w:rPr>
                <w:rFonts w:ascii="宋体" w:hAnsi="宋体"/>
                <w:b/>
                <w:sz w:val="21"/>
                <w:szCs w:val="21"/>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jc w:val="center"/>
              <w:rPr>
                <w:rFonts w:ascii="宋体" w:hAnsi="宋体"/>
                <w:sz w:val="21"/>
                <w:szCs w:val="21"/>
              </w:rPr>
            </w:pPr>
          </w:p>
        </w:tc>
      </w:tr>
    </w:tbl>
    <w:p>
      <w:pPr>
        <w:pStyle w:val="19"/>
        <w:adjustRightInd w:val="0"/>
        <w:snapToGrid w:val="0"/>
        <w:spacing w:line="288" w:lineRule="auto"/>
        <w:ind w:left="420" w:hanging="420"/>
        <w:rPr>
          <w:rFonts w:ascii="宋体" w:hAnsi="宋体"/>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供应商须提供上述业绩合同复印件；</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供应商应在不涉及商业秘密的前提下尽可能提供详细的合同复印件内容。</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供应商名称（盖章）：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供应商授权代表签名：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pStyle w:val="19"/>
        <w:adjustRightInd w:val="0"/>
        <w:snapToGrid w:val="0"/>
        <w:spacing w:line="288" w:lineRule="auto"/>
        <w:ind w:left="0" w:firstLine="0" w:firstLineChars="0"/>
        <w:jc w:val="center"/>
        <w:outlineLvl w:val="2"/>
        <w:rPr>
          <w:rFonts w:ascii="宋体" w:hAnsi="宋体"/>
          <w:b/>
          <w:sz w:val="21"/>
          <w:szCs w:val="21"/>
        </w:rPr>
      </w:pPr>
      <w:r>
        <w:rPr>
          <w:rFonts w:ascii="宋体" w:hAnsi="宋体"/>
          <w:b/>
          <w:sz w:val="21"/>
          <w:szCs w:val="21"/>
        </w:rPr>
        <w:br w:type="page"/>
      </w:r>
    </w:p>
    <w:p>
      <w:pPr>
        <w:adjustRightInd w:val="0"/>
        <w:snapToGrid w:val="0"/>
        <w:spacing w:line="288" w:lineRule="auto"/>
        <w:jc w:val="center"/>
        <w:outlineLvl w:val="2"/>
        <w:rPr>
          <w:rFonts w:ascii="宋体" w:hAnsi="宋体"/>
          <w:b/>
          <w:bCs/>
          <w:iCs/>
          <w:spacing w:val="-6"/>
          <w:sz w:val="21"/>
          <w:szCs w:val="21"/>
        </w:rPr>
      </w:pPr>
      <w:r>
        <w:rPr>
          <w:rFonts w:hint="eastAsia" w:ascii="宋体" w:hAnsi="宋体"/>
          <w:b/>
          <w:bCs/>
          <w:iCs/>
          <w:spacing w:val="-6"/>
          <w:sz w:val="21"/>
          <w:szCs w:val="21"/>
        </w:rPr>
        <w:t>（</w:t>
      </w:r>
      <w:r>
        <w:rPr>
          <w:rFonts w:ascii="宋体" w:hAnsi="宋体"/>
          <w:b/>
          <w:bCs/>
          <w:iCs/>
          <w:spacing w:val="-6"/>
          <w:sz w:val="21"/>
          <w:szCs w:val="21"/>
        </w:rPr>
        <w:t>4</w:t>
      </w:r>
      <w:r>
        <w:rPr>
          <w:rFonts w:hint="eastAsia" w:ascii="宋体" w:hAnsi="宋体"/>
          <w:b/>
          <w:bCs/>
          <w:iCs/>
          <w:spacing w:val="-6"/>
          <w:sz w:val="21"/>
          <w:szCs w:val="21"/>
        </w:rPr>
        <w:t>）采购</w:t>
      </w:r>
      <w:r>
        <w:rPr>
          <w:rFonts w:ascii="宋体" w:hAnsi="宋体"/>
          <w:b/>
          <w:bCs/>
          <w:iCs/>
          <w:spacing w:val="-6"/>
          <w:sz w:val="21"/>
          <w:szCs w:val="21"/>
        </w:rPr>
        <w:t>需求</w:t>
      </w:r>
      <w:r>
        <w:rPr>
          <w:rFonts w:hint="eastAsia" w:ascii="宋体" w:hAnsi="宋体"/>
          <w:b/>
          <w:bCs/>
          <w:iCs/>
          <w:spacing w:val="-6"/>
          <w:sz w:val="21"/>
          <w:szCs w:val="21"/>
        </w:rPr>
        <w:t>偏离表</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采购人：浙江财经大学东方学院</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项目名称：疫情防控平台建设</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 xml:space="preserve">项目编号：QSZB-F(H)-E22038(CS) </w:t>
      </w:r>
    </w:p>
    <w:p>
      <w:pPr>
        <w:adjustRightInd w:val="0"/>
        <w:snapToGrid w:val="0"/>
        <w:spacing w:line="288" w:lineRule="auto"/>
        <w:rPr>
          <w:rFonts w:ascii="宋体" w:hAnsi="宋体"/>
          <w:bCs/>
          <w:spacing w:val="-6"/>
          <w:sz w:val="21"/>
          <w:szCs w:val="21"/>
        </w:rPr>
      </w:pPr>
    </w:p>
    <w:tbl>
      <w:tblPr>
        <w:tblStyle w:val="2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3260"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磋商文件要求</w:t>
            </w:r>
          </w:p>
        </w:tc>
        <w:tc>
          <w:tcPr>
            <w:tcW w:w="3402"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响应内容</w:t>
            </w:r>
          </w:p>
        </w:tc>
        <w:tc>
          <w:tcPr>
            <w:tcW w:w="1985"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是否偏离</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adjustRightInd w:val="0"/>
              <w:snapToGrid w:val="0"/>
              <w:spacing w:line="288" w:lineRule="auto"/>
              <w:rPr>
                <w:rFonts w:ascii="宋体" w:hAnsi="宋体"/>
                <w:spacing w:val="-6"/>
                <w:sz w:val="21"/>
                <w:szCs w:val="21"/>
              </w:rPr>
            </w:pPr>
            <w:r>
              <w:rPr>
                <w:rFonts w:hint="eastAsia" w:ascii="宋体" w:hAnsi="宋体"/>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spacing w:val="-6"/>
                <w:sz w:val="21"/>
                <w:szCs w:val="21"/>
              </w:rPr>
            </w:pP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spacing w:val="-6"/>
                <w:sz w:val="21"/>
                <w:szCs w:val="21"/>
              </w:rPr>
            </w:pP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adjustRightInd w:val="0"/>
              <w:snapToGrid w:val="0"/>
              <w:spacing w:line="288" w:lineRule="auto"/>
              <w:rPr>
                <w:rFonts w:ascii="宋体" w:hAnsi="宋体"/>
                <w:spacing w:val="-6"/>
                <w:sz w:val="21"/>
                <w:szCs w:val="21"/>
              </w:rPr>
            </w:pPr>
            <w:r>
              <w:rPr>
                <w:rFonts w:hint="eastAsia" w:ascii="宋体" w:hAnsi="宋体"/>
                <w:sz w:val="21"/>
                <w:szCs w:val="21"/>
              </w:rPr>
              <w:t>服务</w:t>
            </w:r>
            <w:r>
              <w:rPr>
                <w:rFonts w:ascii="宋体" w:hAnsi="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spacing w:val="-6"/>
                <w:sz w:val="21"/>
                <w:szCs w:val="21"/>
              </w:rPr>
            </w:pP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spacing w:val="-6"/>
                <w:sz w:val="21"/>
                <w:szCs w:val="21"/>
              </w:rPr>
            </w:pP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adjustRightInd w:val="0"/>
              <w:snapToGrid w:val="0"/>
              <w:spacing w:line="288" w:lineRule="auto"/>
              <w:rPr>
                <w:rFonts w:ascii="宋体" w:hAnsi="宋体"/>
                <w:spacing w:val="-6"/>
                <w:sz w:val="21"/>
                <w:szCs w:val="21"/>
              </w:rPr>
            </w:pPr>
            <w:r>
              <w:rPr>
                <w:rFonts w:ascii="宋体" w:hAnsi="宋体"/>
                <w:spacing w:val="-6"/>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spacing w:val="-6"/>
                <w:sz w:val="21"/>
                <w:szCs w:val="21"/>
              </w:rPr>
            </w:pP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spacing w:val="-6"/>
                <w:sz w:val="21"/>
                <w:szCs w:val="21"/>
              </w:rPr>
            </w:pP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bl>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偏离说明是指对磋商文件要求存在不同之处的解释说明。偏离系指：正偏离（高于招标要求）、负偏离（低于招标要求）、无偏离（满足招标要求）；</w:t>
      </w:r>
    </w:p>
    <w:p>
      <w:pPr>
        <w:adjustRightInd w:val="0"/>
        <w:snapToGrid w:val="0"/>
        <w:spacing w:line="288"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供应商名称（盖章）：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供应商授权代表签名：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jc w:val="center"/>
        <w:outlineLvl w:val="2"/>
        <w:rPr>
          <w:rFonts w:ascii="宋体" w:hAnsi="宋体"/>
          <w:spacing w:val="-6"/>
          <w:sz w:val="21"/>
          <w:szCs w:val="21"/>
        </w:rPr>
      </w:pPr>
      <w:r>
        <w:rPr>
          <w:rFonts w:ascii="宋体" w:hAnsi="宋体"/>
          <w:spacing w:val="-6"/>
          <w:sz w:val="21"/>
          <w:szCs w:val="21"/>
        </w:rPr>
        <w:br w:type="page"/>
      </w:r>
      <w:r>
        <w:rPr>
          <w:rFonts w:hint="eastAsia" w:ascii="宋体" w:hAnsi="宋体" w:cs="宋体"/>
          <w:b/>
          <w:bCs/>
          <w:sz w:val="21"/>
          <w:szCs w:val="21"/>
        </w:rPr>
        <w:t>（</w:t>
      </w:r>
      <w:r>
        <w:rPr>
          <w:rFonts w:ascii="宋体" w:hAnsi="宋体" w:cs="宋体"/>
          <w:b/>
          <w:bCs/>
          <w:sz w:val="21"/>
          <w:szCs w:val="21"/>
        </w:rPr>
        <w:t>5</w:t>
      </w:r>
      <w:r>
        <w:rPr>
          <w:rFonts w:hint="eastAsia" w:ascii="宋体" w:hAnsi="宋体" w:cs="宋体"/>
          <w:b/>
          <w:bCs/>
          <w:sz w:val="21"/>
          <w:szCs w:val="21"/>
        </w:rPr>
        <w:t>）标的物配置清单</w:t>
      </w:r>
      <w:r>
        <w:rPr>
          <w:rFonts w:hint="eastAsia" w:ascii="宋体" w:hAnsi="宋体" w:cs="宋体"/>
          <w:sz w:val="21"/>
          <w:szCs w:val="21"/>
        </w:rPr>
        <w:t>（不含报价）</w:t>
      </w:r>
    </w:p>
    <w:p>
      <w:pPr>
        <w:adjustRightInd w:val="0"/>
        <w:snapToGrid w:val="0"/>
        <w:spacing w:line="288" w:lineRule="auto"/>
        <w:rPr>
          <w:rFonts w:ascii="宋体" w:hAnsi="宋体"/>
          <w:spacing w:val="-6"/>
          <w:sz w:val="21"/>
          <w:szCs w:val="21"/>
        </w:rPr>
      </w:pPr>
    </w:p>
    <w:tbl>
      <w:tblPr>
        <w:tblStyle w:val="23"/>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8"/>
        <w:gridCol w:w="993"/>
        <w:gridCol w:w="993"/>
        <w:gridCol w:w="991"/>
        <w:gridCol w:w="1134"/>
        <w:gridCol w:w="1418"/>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名称</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数量</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单位</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品牌</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58"/>
              <w:widowControl w:val="0"/>
              <w:adjustRightInd w:val="0"/>
              <w:snapToGrid w:val="0"/>
              <w:spacing w:before="0" w:beforeAutospacing="0" w:after="0" w:afterAutospacing="0" w:line="288" w:lineRule="auto"/>
              <w:rPr>
                <w:rFonts w:hint="default" w:ascii="宋体" w:eastAsia="宋体"/>
                <w:b/>
                <w:kern w:val="2"/>
                <w:sz w:val="21"/>
                <w:szCs w:val="21"/>
              </w:rPr>
            </w:pPr>
            <w:r>
              <w:rPr>
                <w:rFonts w:ascii="宋体" w:eastAsia="宋体"/>
                <w:b/>
                <w:kern w:val="2"/>
                <w:sz w:val="21"/>
                <w:szCs w:val="21"/>
              </w:rPr>
              <w:t>配置（</w:t>
            </w:r>
            <w:r>
              <w:rPr>
                <w:rFonts w:hint="default" w:ascii="宋体" w:eastAsia="宋体"/>
                <w:b/>
                <w:kern w:val="2"/>
                <w:sz w:val="21"/>
                <w:szCs w:val="21"/>
              </w:rPr>
              <w:t>可另附页）</w:t>
            </w:r>
          </w:p>
        </w:tc>
        <w:tc>
          <w:tcPr>
            <w:tcW w:w="1134" w:type="dxa"/>
            <w:tcBorders>
              <w:top w:val="single" w:color="auto" w:sz="4" w:space="0"/>
              <w:left w:val="single" w:color="auto" w:sz="4" w:space="0"/>
              <w:bottom w:val="single" w:color="auto" w:sz="4" w:space="0"/>
              <w:right w:val="single" w:color="auto" w:sz="4" w:space="0"/>
            </w:tcBorders>
            <w:vAlign w:val="center"/>
          </w:tcPr>
          <w:p>
            <w:pPr>
              <w:pStyle w:val="58"/>
              <w:widowControl w:val="0"/>
              <w:adjustRightInd w:val="0"/>
              <w:snapToGrid w:val="0"/>
              <w:spacing w:before="0" w:beforeAutospacing="0" w:after="0" w:afterAutospacing="0" w:line="288" w:lineRule="auto"/>
              <w:rPr>
                <w:rFonts w:hint="default" w:ascii="宋体" w:eastAsia="宋体"/>
                <w:b/>
                <w:kern w:val="2"/>
                <w:sz w:val="21"/>
                <w:szCs w:val="21"/>
              </w:rPr>
            </w:pPr>
            <w:r>
              <w:rPr>
                <w:rFonts w:ascii="宋体" w:eastAsia="宋体"/>
                <w:b/>
                <w:sz w:val="21"/>
                <w:szCs w:val="21"/>
              </w:rPr>
              <w:t>产地</w:t>
            </w:r>
          </w:p>
        </w:tc>
        <w:tc>
          <w:tcPr>
            <w:tcW w:w="850" w:type="dxa"/>
            <w:tcBorders>
              <w:top w:val="single" w:color="auto" w:sz="4" w:space="0"/>
              <w:left w:val="single" w:color="auto" w:sz="4" w:space="0"/>
              <w:bottom w:val="single" w:color="auto" w:sz="4" w:space="0"/>
              <w:right w:val="single" w:color="auto" w:sz="4" w:space="0"/>
            </w:tcBorders>
            <w:vAlign w:val="center"/>
          </w:tcPr>
          <w:p>
            <w:pPr>
              <w:pStyle w:val="58"/>
              <w:widowControl w:val="0"/>
              <w:adjustRightInd w:val="0"/>
              <w:snapToGrid w:val="0"/>
              <w:spacing w:before="0" w:beforeAutospacing="0" w:after="0" w:afterAutospacing="0" w:line="288" w:lineRule="auto"/>
              <w:rPr>
                <w:rFonts w:hint="default" w:ascii="宋体" w:eastAsia="宋体"/>
                <w:b/>
                <w:kern w:val="2"/>
                <w:sz w:val="21"/>
                <w:szCs w:val="21"/>
              </w:rPr>
            </w:pPr>
            <w:r>
              <w:rPr>
                <w:rFonts w:ascii="宋体" w:eastAsia="宋体"/>
                <w:b/>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8"/>
              <w:widowControl w:val="0"/>
              <w:adjustRightInd w:val="0"/>
              <w:snapToGrid w:val="0"/>
              <w:spacing w:before="0" w:beforeAutospacing="0" w:after="0" w:afterAutospacing="0" w:line="288" w:lineRule="auto"/>
              <w:rPr>
                <w:rFonts w:hint="default"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8"/>
              <w:widowControl w:val="0"/>
              <w:adjustRightInd w:val="0"/>
              <w:snapToGrid w:val="0"/>
              <w:spacing w:before="0" w:beforeAutospacing="0" w:after="0" w:afterAutospacing="0" w:line="288" w:lineRule="auto"/>
              <w:rPr>
                <w:rFonts w:hint="default" w:ascii="宋体" w:eastAsia="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8"/>
              <w:widowControl w:val="0"/>
              <w:adjustRightInd w:val="0"/>
              <w:snapToGrid w:val="0"/>
              <w:spacing w:before="0" w:beforeAutospacing="0" w:after="0" w:afterAutospacing="0" w:line="288" w:lineRule="auto"/>
              <w:rPr>
                <w:rFonts w:hint="default"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8"/>
              <w:widowControl w:val="0"/>
              <w:adjustRightInd w:val="0"/>
              <w:snapToGrid w:val="0"/>
              <w:spacing w:before="0" w:beforeAutospacing="0" w:after="0" w:afterAutospacing="0" w:line="288" w:lineRule="auto"/>
              <w:rPr>
                <w:rFonts w:hint="default" w:ascii="宋体" w:eastAsia="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8"/>
              <w:widowControl w:val="0"/>
              <w:adjustRightInd w:val="0"/>
              <w:snapToGrid w:val="0"/>
              <w:spacing w:before="0" w:beforeAutospacing="0" w:after="0" w:afterAutospacing="0" w:line="288" w:lineRule="auto"/>
              <w:rPr>
                <w:rFonts w:hint="default"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8"/>
              <w:widowControl w:val="0"/>
              <w:adjustRightInd w:val="0"/>
              <w:snapToGrid w:val="0"/>
              <w:spacing w:before="0" w:beforeAutospacing="0" w:after="0" w:afterAutospacing="0" w:line="288" w:lineRule="auto"/>
              <w:rPr>
                <w:rFonts w:hint="default" w:ascii="宋体" w:eastAsia="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8"/>
              <w:widowControl w:val="0"/>
              <w:adjustRightInd w:val="0"/>
              <w:snapToGrid w:val="0"/>
              <w:spacing w:before="0" w:beforeAutospacing="0" w:after="0" w:afterAutospacing="0" w:line="288" w:lineRule="auto"/>
              <w:rPr>
                <w:rFonts w:hint="default"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8"/>
              <w:widowControl w:val="0"/>
              <w:adjustRightInd w:val="0"/>
              <w:snapToGrid w:val="0"/>
              <w:spacing w:before="0" w:beforeAutospacing="0" w:after="0" w:afterAutospacing="0" w:line="288" w:lineRule="auto"/>
              <w:rPr>
                <w:rFonts w:hint="default" w:ascii="宋体" w:eastAsia="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8"/>
              <w:widowControl w:val="0"/>
              <w:adjustRightInd w:val="0"/>
              <w:snapToGrid w:val="0"/>
              <w:spacing w:before="0" w:beforeAutospacing="0" w:after="0" w:afterAutospacing="0" w:line="288" w:lineRule="auto"/>
              <w:rPr>
                <w:rFonts w:hint="default"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8"/>
              <w:widowControl w:val="0"/>
              <w:adjustRightInd w:val="0"/>
              <w:snapToGrid w:val="0"/>
              <w:spacing w:before="0" w:beforeAutospacing="0" w:after="0" w:afterAutospacing="0" w:line="288" w:lineRule="auto"/>
              <w:rPr>
                <w:rFonts w:hint="default" w:ascii="宋体" w:eastAsia="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8"/>
              <w:widowControl w:val="0"/>
              <w:adjustRightInd w:val="0"/>
              <w:snapToGrid w:val="0"/>
              <w:spacing w:before="0" w:beforeAutospacing="0" w:after="0" w:afterAutospacing="0" w:line="288" w:lineRule="auto"/>
              <w:rPr>
                <w:rFonts w:hint="default"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8"/>
              <w:widowControl w:val="0"/>
              <w:adjustRightInd w:val="0"/>
              <w:snapToGrid w:val="0"/>
              <w:spacing w:before="0" w:beforeAutospacing="0" w:after="0" w:afterAutospacing="0" w:line="288" w:lineRule="auto"/>
              <w:rPr>
                <w:rFonts w:hint="default" w:ascii="宋体" w:eastAsia="宋体"/>
                <w:b/>
                <w:kern w:val="2"/>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供应商名称（盖章）：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供应商授权代表签名：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highlight w:val="yellow"/>
        </w:rPr>
        <w:t>附：产品技术支持材料</w:t>
      </w:r>
    </w:p>
    <w:p>
      <w:pPr>
        <w:adjustRightInd w:val="0"/>
        <w:snapToGrid w:val="0"/>
        <w:spacing w:line="288" w:lineRule="auto"/>
        <w:rPr>
          <w:rFonts w:ascii="宋体" w:hAnsi="宋体"/>
          <w:spacing w:val="-6"/>
          <w:sz w:val="21"/>
          <w:szCs w:val="21"/>
        </w:rPr>
      </w:pPr>
    </w:p>
    <w:p>
      <w:pPr>
        <w:adjustRightInd w:val="0"/>
        <w:snapToGrid w:val="0"/>
        <w:spacing w:line="288" w:lineRule="auto"/>
        <w:jc w:val="center"/>
        <w:outlineLvl w:val="2"/>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left"/>
        <w:outlineLvl w:val="2"/>
        <w:rPr>
          <w:rFonts w:ascii="宋体" w:hAnsi="宋体" w:cs="宋体"/>
          <w:b/>
          <w:spacing w:val="-6"/>
          <w:sz w:val="21"/>
          <w:szCs w:val="21"/>
        </w:rPr>
      </w:pPr>
      <w:r>
        <w:rPr>
          <w:rFonts w:hint="eastAsia" w:ascii="宋体" w:hAnsi="宋体" w:cs="宋体"/>
          <w:b/>
          <w:spacing w:val="-6"/>
          <w:sz w:val="21"/>
          <w:szCs w:val="21"/>
        </w:rPr>
        <w:t>（6）项目理解</w:t>
      </w:r>
    </w:p>
    <w:p>
      <w:pPr>
        <w:adjustRightInd w:val="0"/>
        <w:snapToGrid w:val="0"/>
        <w:spacing w:line="288" w:lineRule="auto"/>
        <w:jc w:val="left"/>
        <w:outlineLvl w:val="2"/>
        <w:rPr>
          <w:rFonts w:ascii="宋体" w:hAnsi="宋体" w:cs="宋体"/>
          <w:b/>
          <w:spacing w:val="-6"/>
          <w:sz w:val="21"/>
          <w:szCs w:val="21"/>
        </w:rPr>
      </w:pPr>
      <w:r>
        <w:rPr>
          <w:rFonts w:hint="eastAsia" w:ascii="宋体" w:hAnsi="宋体" w:cs="宋体"/>
          <w:b/>
          <w:spacing w:val="-6"/>
          <w:sz w:val="21"/>
          <w:szCs w:val="21"/>
        </w:rPr>
        <w:t>（7）项目实施方案</w:t>
      </w:r>
    </w:p>
    <w:p>
      <w:pPr>
        <w:adjustRightInd w:val="0"/>
        <w:snapToGrid w:val="0"/>
        <w:spacing w:line="288" w:lineRule="auto"/>
        <w:jc w:val="left"/>
        <w:outlineLvl w:val="2"/>
        <w:rPr>
          <w:rFonts w:ascii="宋体" w:hAnsi="宋体" w:cs="宋体"/>
          <w:b/>
          <w:spacing w:val="-6"/>
          <w:sz w:val="21"/>
          <w:szCs w:val="21"/>
        </w:rPr>
      </w:pPr>
      <w:r>
        <w:rPr>
          <w:rFonts w:hint="eastAsia" w:ascii="宋体" w:hAnsi="宋体" w:cs="宋体"/>
          <w:b/>
          <w:spacing w:val="-6"/>
          <w:sz w:val="21"/>
          <w:szCs w:val="21"/>
        </w:rPr>
        <w:t>（8）项目团队</w:t>
      </w:r>
    </w:p>
    <w:p>
      <w:pPr>
        <w:adjustRightInd w:val="0"/>
        <w:snapToGrid w:val="0"/>
        <w:spacing w:line="288" w:lineRule="auto"/>
        <w:jc w:val="left"/>
        <w:outlineLvl w:val="2"/>
        <w:rPr>
          <w:rFonts w:ascii="宋体" w:hAnsi="宋体" w:cs="宋体"/>
          <w:b/>
          <w:spacing w:val="-6"/>
          <w:sz w:val="21"/>
          <w:szCs w:val="21"/>
        </w:rPr>
      </w:pPr>
      <w:r>
        <w:rPr>
          <w:rFonts w:hint="eastAsia" w:ascii="宋体" w:hAnsi="宋体" w:cs="宋体"/>
          <w:b/>
          <w:spacing w:val="-6"/>
          <w:sz w:val="21"/>
          <w:szCs w:val="21"/>
        </w:rPr>
        <w:t>（9）验收方案</w:t>
      </w:r>
    </w:p>
    <w:p>
      <w:pPr>
        <w:adjustRightInd w:val="0"/>
        <w:snapToGrid w:val="0"/>
        <w:spacing w:line="288" w:lineRule="auto"/>
        <w:jc w:val="left"/>
        <w:outlineLvl w:val="2"/>
        <w:rPr>
          <w:rFonts w:ascii="宋体" w:hAnsi="宋体" w:cs="宋体"/>
          <w:b/>
          <w:spacing w:val="-6"/>
          <w:sz w:val="21"/>
          <w:szCs w:val="21"/>
        </w:rPr>
      </w:pPr>
      <w:r>
        <w:rPr>
          <w:rFonts w:hint="eastAsia" w:ascii="宋体" w:hAnsi="宋体" w:cs="宋体"/>
          <w:b/>
          <w:spacing w:val="-6"/>
          <w:sz w:val="21"/>
          <w:szCs w:val="21"/>
        </w:rPr>
        <w:t>（10）维护服务方案</w:t>
      </w:r>
    </w:p>
    <w:p>
      <w:pPr>
        <w:adjustRightInd w:val="0"/>
        <w:snapToGrid w:val="0"/>
        <w:spacing w:line="288" w:lineRule="auto"/>
        <w:jc w:val="left"/>
        <w:outlineLvl w:val="2"/>
        <w:rPr>
          <w:rFonts w:ascii="宋体" w:hAnsi="宋体" w:cs="宋体"/>
          <w:b/>
          <w:spacing w:val="-6"/>
          <w:sz w:val="21"/>
          <w:szCs w:val="21"/>
        </w:rPr>
      </w:pPr>
      <w:r>
        <w:rPr>
          <w:rFonts w:hint="eastAsia" w:ascii="宋体" w:hAnsi="宋体" w:cs="宋体"/>
          <w:b/>
          <w:spacing w:val="-6"/>
          <w:sz w:val="21"/>
          <w:szCs w:val="21"/>
        </w:rPr>
        <w:t>（11）故障应急处理方案</w:t>
      </w:r>
    </w:p>
    <w:p>
      <w:pPr>
        <w:adjustRightInd w:val="0"/>
        <w:snapToGrid w:val="0"/>
        <w:spacing w:line="288" w:lineRule="auto"/>
        <w:jc w:val="left"/>
        <w:outlineLvl w:val="2"/>
        <w:rPr>
          <w:rFonts w:ascii="宋体" w:hAnsi="宋体" w:cs="宋体"/>
          <w:b/>
          <w:spacing w:val="-6"/>
          <w:sz w:val="21"/>
          <w:szCs w:val="21"/>
        </w:rPr>
      </w:pPr>
      <w:r>
        <w:rPr>
          <w:rFonts w:hint="eastAsia" w:ascii="宋体" w:hAnsi="宋体" w:cs="宋体"/>
          <w:b/>
          <w:spacing w:val="-6"/>
          <w:sz w:val="21"/>
          <w:szCs w:val="21"/>
        </w:rPr>
        <w:t>（12）项目培训</w:t>
      </w:r>
    </w:p>
    <w:p>
      <w:pPr>
        <w:adjustRightInd w:val="0"/>
        <w:snapToGrid w:val="0"/>
        <w:spacing w:line="288" w:lineRule="auto"/>
        <w:jc w:val="left"/>
        <w:outlineLvl w:val="2"/>
        <w:rPr>
          <w:rFonts w:ascii="宋体" w:hAnsi="宋体"/>
          <w:b/>
          <w:spacing w:val="-6"/>
          <w:sz w:val="21"/>
          <w:szCs w:val="21"/>
        </w:rPr>
      </w:pPr>
      <w:r>
        <w:rPr>
          <w:rFonts w:hint="eastAsia" w:ascii="宋体" w:hAnsi="宋体" w:cs="宋体"/>
          <w:b/>
          <w:spacing w:val="-6"/>
          <w:sz w:val="21"/>
          <w:szCs w:val="21"/>
        </w:rPr>
        <w:t>（13）供应商需要说明的其他文件和材料</w:t>
      </w:r>
    </w:p>
    <w:sectPr>
      <w:footerReference r:id="rId5" w:type="default"/>
      <w:pgSz w:w="11906" w:h="16838"/>
      <w:pgMar w:top="1247" w:right="1247" w:bottom="1247" w:left="1247" w:header="0"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7040001" w:usb3="00000000" w:csb0="00020000"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 xml:space="preserve">PAGE   \* MERGEFORMAT</w:instrText>
    </w:r>
    <w:r>
      <w:rPr>
        <w:rFonts w:ascii="宋体" w:hAnsi="宋体" w:cstheme="majorBidi"/>
        <w:sz w:val="21"/>
        <w:szCs w:val="21"/>
        <w:lang w:val="zh-CN"/>
      </w:rPr>
      <w:fldChar w:fldCharType="separate"/>
    </w:r>
    <w:r>
      <w:rPr>
        <w:rFonts w:ascii="宋体" w:hAnsi="宋体" w:cstheme="majorBidi"/>
        <w:sz w:val="21"/>
        <w:szCs w:val="21"/>
        <w:lang w:val="zh-CN"/>
      </w:rPr>
      <w:t>1</w:t>
    </w:r>
    <w:r>
      <w:rPr>
        <w:rFonts w:ascii="宋体" w:hAnsi="宋体" w:cstheme="majorBidi"/>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0531BEE"/>
    <w:multiLevelType w:val="singleLevel"/>
    <w:tmpl w:val="10531BE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8D4"/>
    <w:rsid w:val="00003256"/>
    <w:rsid w:val="0000392F"/>
    <w:rsid w:val="0000407F"/>
    <w:rsid w:val="00007362"/>
    <w:rsid w:val="000114CE"/>
    <w:rsid w:val="00012EBC"/>
    <w:rsid w:val="0001334A"/>
    <w:rsid w:val="0001458C"/>
    <w:rsid w:val="000145B8"/>
    <w:rsid w:val="00014602"/>
    <w:rsid w:val="0001520A"/>
    <w:rsid w:val="000153ED"/>
    <w:rsid w:val="00015891"/>
    <w:rsid w:val="0001610F"/>
    <w:rsid w:val="000169AF"/>
    <w:rsid w:val="000169F9"/>
    <w:rsid w:val="00017BEE"/>
    <w:rsid w:val="00020E8C"/>
    <w:rsid w:val="00021187"/>
    <w:rsid w:val="00021D4E"/>
    <w:rsid w:val="00024130"/>
    <w:rsid w:val="00025067"/>
    <w:rsid w:val="00026EE5"/>
    <w:rsid w:val="000270D8"/>
    <w:rsid w:val="00027A3C"/>
    <w:rsid w:val="00030DB5"/>
    <w:rsid w:val="000310FE"/>
    <w:rsid w:val="00031E2B"/>
    <w:rsid w:val="00032047"/>
    <w:rsid w:val="00032280"/>
    <w:rsid w:val="000325E1"/>
    <w:rsid w:val="00035A33"/>
    <w:rsid w:val="000362B2"/>
    <w:rsid w:val="00036996"/>
    <w:rsid w:val="0003700E"/>
    <w:rsid w:val="00037598"/>
    <w:rsid w:val="0003797E"/>
    <w:rsid w:val="00040041"/>
    <w:rsid w:val="00041D0F"/>
    <w:rsid w:val="0004239D"/>
    <w:rsid w:val="00043E78"/>
    <w:rsid w:val="000459B5"/>
    <w:rsid w:val="00045C96"/>
    <w:rsid w:val="00045EE2"/>
    <w:rsid w:val="000468CE"/>
    <w:rsid w:val="000475A7"/>
    <w:rsid w:val="00047DF2"/>
    <w:rsid w:val="0005166C"/>
    <w:rsid w:val="00051736"/>
    <w:rsid w:val="00052C43"/>
    <w:rsid w:val="00052CE7"/>
    <w:rsid w:val="000530F5"/>
    <w:rsid w:val="00053A36"/>
    <w:rsid w:val="00053AD2"/>
    <w:rsid w:val="000558AF"/>
    <w:rsid w:val="00056574"/>
    <w:rsid w:val="000572E5"/>
    <w:rsid w:val="00057B3C"/>
    <w:rsid w:val="00057C6A"/>
    <w:rsid w:val="0006044C"/>
    <w:rsid w:val="00061307"/>
    <w:rsid w:val="00061500"/>
    <w:rsid w:val="00061C96"/>
    <w:rsid w:val="000626B1"/>
    <w:rsid w:val="00062C77"/>
    <w:rsid w:val="00062D03"/>
    <w:rsid w:val="000645A8"/>
    <w:rsid w:val="00064F1A"/>
    <w:rsid w:val="00065362"/>
    <w:rsid w:val="00065539"/>
    <w:rsid w:val="00066072"/>
    <w:rsid w:val="00067095"/>
    <w:rsid w:val="0006785D"/>
    <w:rsid w:val="00067B67"/>
    <w:rsid w:val="00071C2A"/>
    <w:rsid w:val="00072425"/>
    <w:rsid w:val="00073FF7"/>
    <w:rsid w:val="00074D7B"/>
    <w:rsid w:val="00075C1B"/>
    <w:rsid w:val="00076570"/>
    <w:rsid w:val="00077067"/>
    <w:rsid w:val="00077A8E"/>
    <w:rsid w:val="00077A9F"/>
    <w:rsid w:val="000804A7"/>
    <w:rsid w:val="00080A03"/>
    <w:rsid w:val="000828E2"/>
    <w:rsid w:val="00082F7C"/>
    <w:rsid w:val="00084D5F"/>
    <w:rsid w:val="00085DF5"/>
    <w:rsid w:val="00085EC0"/>
    <w:rsid w:val="00087452"/>
    <w:rsid w:val="00087DAC"/>
    <w:rsid w:val="000904F8"/>
    <w:rsid w:val="00090F34"/>
    <w:rsid w:val="00091E28"/>
    <w:rsid w:val="00093340"/>
    <w:rsid w:val="00093A4B"/>
    <w:rsid w:val="00093FB0"/>
    <w:rsid w:val="000941F1"/>
    <w:rsid w:val="00094C73"/>
    <w:rsid w:val="000957CD"/>
    <w:rsid w:val="00095E66"/>
    <w:rsid w:val="00096127"/>
    <w:rsid w:val="000965C7"/>
    <w:rsid w:val="00096836"/>
    <w:rsid w:val="00096CEF"/>
    <w:rsid w:val="00097C05"/>
    <w:rsid w:val="00097FA1"/>
    <w:rsid w:val="000A2678"/>
    <w:rsid w:val="000A28E5"/>
    <w:rsid w:val="000A3119"/>
    <w:rsid w:val="000A4DE3"/>
    <w:rsid w:val="000A584B"/>
    <w:rsid w:val="000A7CFC"/>
    <w:rsid w:val="000B08AC"/>
    <w:rsid w:val="000B0CF9"/>
    <w:rsid w:val="000B1842"/>
    <w:rsid w:val="000B2628"/>
    <w:rsid w:val="000B3E1B"/>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5F12"/>
    <w:rsid w:val="00106134"/>
    <w:rsid w:val="001065B0"/>
    <w:rsid w:val="00106973"/>
    <w:rsid w:val="00106EF6"/>
    <w:rsid w:val="00110125"/>
    <w:rsid w:val="00110547"/>
    <w:rsid w:val="00110AE7"/>
    <w:rsid w:val="00110F05"/>
    <w:rsid w:val="00111B51"/>
    <w:rsid w:val="00112093"/>
    <w:rsid w:val="00112A94"/>
    <w:rsid w:val="001144F7"/>
    <w:rsid w:val="00114BEF"/>
    <w:rsid w:val="00116AC0"/>
    <w:rsid w:val="00117084"/>
    <w:rsid w:val="001178FF"/>
    <w:rsid w:val="00117E89"/>
    <w:rsid w:val="0012048B"/>
    <w:rsid w:val="00121040"/>
    <w:rsid w:val="00121153"/>
    <w:rsid w:val="0012178A"/>
    <w:rsid w:val="0012181B"/>
    <w:rsid w:val="00124DE1"/>
    <w:rsid w:val="00124F72"/>
    <w:rsid w:val="00125768"/>
    <w:rsid w:val="00126C29"/>
    <w:rsid w:val="00126C83"/>
    <w:rsid w:val="00130627"/>
    <w:rsid w:val="00130CAF"/>
    <w:rsid w:val="00130ED6"/>
    <w:rsid w:val="00131252"/>
    <w:rsid w:val="00131A09"/>
    <w:rsid w:val="0013247C"/>
    <w:rsid w:val="00132A2E"/>
    <w:rsid w:val="001330A8"/>
    <w:rsid w:val="001350A2"/>
    <w:rsid w:val="00136919"/>
    <w:rsid w:val="00136C4A"/>
    <w:rsid w:val="0013796A"/>
    <w:rsid w:val="00140256"/>
    <w:rsid w:val="001411DB"/>
    <w:rsid w:val="00142B06"/>
    <w:rsid w:val="0014310B"/>
    <w:rsid w:val="00143148"/>
    <w:rsid w:val="00143754"/>
    <w:rsid w:val="00143EF4"/>
    <w:rsid w:val="0014555E"/>
    <w:rsid w:val="00146B7D"/>
    <w:rsid w:val="001475CB"/>
    <w:rsid w:val="001478E0"/>
    <w:rsid w:val="001502BC"/>
    <w:rsid w:val="00150D1E"/>
    <w:rsid w:val="00150EBF"/>
    <w:rsid w:val="00150EE4"/>
    <w:rsid w:val="00151C82"/>
    <w:rsid w:val="00152A4A"/>
    <w:rsid w:val="00152D27"/>
    <w:rsid w:val="00153628"/>
    <w:rsid w:val="001536ED"/>
    <w:rsid w:val="00154A6A"/>
    <w:rsid w:val="00155AFA"/>
    <w:rsid w:val="00155BC8"/>
    <w:rsid w:val="00155DAF"/>
    <w:rsid w:val="00156153"/>
    <w:rsid w:val="001566F2"/>
    <w:rsid w:val="001572A5"/>
    <w:rsid w:val="00157BA2"/>
    <w:rsid w:val="00160182"/>
    <w:rsid w:val="00160B84"/>
    <w:rsid w:val="001613DD"/>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2F1"/>
    <w:rsid w:val="00172615"/>
    <w:rsid w:val="00172A27"/>
    <w:rsid w:val="001735C7"/>
    <w:rsid w:val="001763B3"/>
    <w:rsid w:val="00176D03"/>
    <w:rsid w:val="00177FB3"/>
    <w:rsid w:val="001809F4"/>
    <w:rsid w:val="001818E9"/>
    <w:rsid w:val="00181A44"/>
    <w:rsid w:val="00182D78"/>
    <w:rsid w:val="00183235"/>
    <w:rsid w:val="0018377D"/>
    <w:rsid w:val="00183AEF"/>
    <w:rsid w:val="00184D3D"/>
    <w:rsid w:val="00184E31"/>
    <w:rsid w:val="00190C4E"/>
    <w:rsid w:val="00190DBC"/>
    <w:rsid w:val="00191584"/>
    <w:rsid w:val="00192B0E"/>
    <w:rsid w:val="00193798"/>
    <w:rsid w:val="00193CB3"/>
    <w:rsid w:val="00195094"/>
    <w:rsid w:val="00195167"/>
    <w:rsid w:val="00195A86"/>
    <w:rsid w:val="001965A7"/>
    <w:rsid w:val="001969F2"/>
    <w:rsid w:val="00196D4A"/>
    <w:rsid w:val="00197580"/>
    <w:rsid w:val="00197E96"/>
    <w:rsid w:val="001A16C8"/>
    <w:rsid w:val="001A1D09"/>
    <w:rsid w:val="001A25C8"/>
    <w:rsid w:val="001A322B"/>
    <w:rsid w:val="001A4D48"/>
    <w:rsid w:val="001A5A88"/>
    <w:rsid w:val="001A5DA8"/>
    <w:rsid w:val="001A6AB8"/>
    <w:rsid w:val="001A7747"/>
    <w:rsid w:val="001B045F"/>
    <w:rsid w:val="001B0E53"/>
    <w:rsid w:val="001B0ED0"/>
    <w:rsid w:val="001B1D6A"/>
    <w:rsid w:val="001B20DE"/>
    <w:rsid w:val="001B3E88"/>
    <w:rsid w:val="001B5FB1"/>
    <w:rsid w:val="001B6F07"/>
    <w:rsid w:val="001B7804"/>
    <w:rsid w:val="001C11F4"/>
    <w:rsid w:val="001C18CF"/>
    <w:rsid w:val="001C2375"/>
    <w:rsid w:val="001C4908"/>
    <w:rsid w:val="001C4959"/>
    <w:rsid w:val="001C4FC9"/>
    <w:rsid w:val="001C5AEF"/>
    <w:rsid w:val="001C787A"/>
    <w:rsid w:val="001D0F0B"/>
    <w:rsid w:val="001D273B"/>
    <w:rsid w:val="001D2BC7"/>
    <w:rsid w:val="001D37E3"/>
    <w:rsid w:val="001D4791"/>
    <w:rsid w:val="001D4A34"/>
    <w:rsid w:val="001D584D"/>
    <w:rsid w:val="001E1578"/>
    <w:rsid w:val="001E1686"/>
    <w:rsid w:val="001E1703"/>
    <w:rsid w:val="001E2199"/>
    <w:rsid w:val="001E2316"/>
    <w:rsid w:val="001E27B1"/>
    <w:rsid w:val="001E2B4D"/>
    <w:rsid w:val="001E309E"/>
    <w:rsid w:val="001E3A76"/>
    <w:rsid w:val="001E4FB8"/>
    <w:rsid w:val="001E57A3"/>
    <w:rsid w:val="001E690B"/>
    <w:rsid w:val="001E6A29"/>
    <w:rsid w:val="001E7735"/>
    <w:rsid w:val="001E7C22"/>
    <w:rsid w:val="001F01E8"/>
    <w:rsid w:val="001F21F0"/>
    <w:rsid w:val="001F2717"/>
    <w:rsid w:val="001F2961"/>
    <w:rsid w:val="001F3F3F"/>
    <w:rsid w:val="001F4502"/>
    <w:rsid w:val="001F4531"/>
    <w:rsid w:val="001F464D"/>
    <w:rsid w:val="001F5FE3"/>
    <w:rsid w:val="001F6162"/>
    <w:rsid w:val="001F631F"/>
    <w:rsid w:val="001F6DFD"/>
    <w:rsid w:val="001F7D64"/>
    <w:rsid w:val="00200BA4"/>
    <w:rsid w:val="00201740"/>
    <w:rsid w:val="00202AFC"/>
    <w:rsid w:val="002032D2"/>
    <w:rsid w:val="00203DAA"/>
    <w:rsid w:val="00204379"/>
    <w:rsid w:val="002048D6"/>
    <w:rsid w:val="00205352"/>
    <w:rsid w:val="002053B5"/>
    <w:rsid w:val="00206878"/>
    <w:rsid w:val="00206B67"/>
    <w:rsid w:val="00206C9F"/>
    <w:rsid w:val="002102BE"/>
    <w:rsid w:val="0021085B"/>
    <w:rsid w:val="00210B1B"/>
    <w:rsid w:val="00210BCF"/>
    <w:rsid w:val="00210DE3"/>
    <w:rsid w:val="00212052"/>
    <w:rsid w:val="002126B6"/>
    <w:rsid w:val="00212E29"/>
    <w:rsid w:val="002143CB"/>
    <w:rsid w:val="00214FEB"/>
    <w:rsid w:val="00215C0E"/>
    <w:rsid w:val="00216BB7"/>
    <w:rsid w:val="00216E5F"/>
    <w:rsid w:val="00217173"/>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EE5"/>
    <w:rsid w:val="00240C9B"/>
    <w:rsid w:val="00241C15"/>
    <w:rsid w:val="00242080"/>
    <w:rsid w:val="00242148"/>
    <w:rsid w:val="00242235"/>
    <w:rsid w:val="00242E6A"/>
    <w:rsid w:val="00243CEF"/>
    <w:rsid w:val="00243E14"/>
    <w:rsid w:val="00244AA6"/>
    <w:rsid w:val="00246231"/>
    <w:rsid w:val="0024679B"/>
    <w:rsid w:val="00247211"/>
    <w:rsid w:val="00250C0D"/>
    <w:rsid w:val="00251533"/>
    <w:rsid w:val="00251F41"/>
    <w:rsid w:val="0025247A"/>
    <w:rsid w:val="00253721"/>
    <w:rsid w:val="0025435A"/>
    <w:rsid w:val="002547BE"/>
    <w:rsid w:val="002548B0"/>
    <w:rsid w:val="00255253"/>
    <w:rsid w:val="0025535C"/>
    <w:rsid w:val="00255532"/>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61A"/>
    <w:rsid w:val="00282FB2"/>
    <w:rsid w:val="00283516"/>
    <w:rsid w:val="0028576A"/>
    <w:rsid w:val="00291E79"/>
    <w:rsid w:val="00292964"/>
    <w:rsid w:val="00294556"/>
    <w:rsid w:val="002960F3"/>
    <w:rsid w:val="0029652F"/>
    <w:rsid w:val="002968CF"/>
    <w:rsid w:val="00296EF4"/>
    <w:rsid w:val="002972C0"/>
    <w:rsid w:val="002A0C1E"/>
    <w:rsid w:val="002A127B"/>
    <w:rsid w:val="002A14AF"/>
    <w:rsid w:val="002A3506"/>
    <w:rsid w:val="002A3C05"/>
    <w:rsid w:val="002A3CBC"/>
    <w:rsid w:val="002A3E8A"/>
    <w:rsid w:val="002A49A6"/>
    <w:rsid w:val="002A5CCC"/>
    <w:rsid w:val="002A6C7B"/>
    <w:rsid w:val="002B11C3"/>
    <w:rsid w:val="002B1A46"/>
    <w:rsid w:val="002B2506"/>
    <w:rsid w:val="002B2768"/>
    <w:rsid w:val="002B2B72"/>
    <w:rsid w:val="002B3E2B"/>
    <w:rsid w:val="002B4E83"/>
    <w:rsid w:val="002B5DAB"/>
    <w:rsid w:val="002B6BA6"/>
    <w:rsid w:val="002B6F01"/>
    <w:rsid w:val="002B7E93"/>
    <w:rsid w:val="002C076E"/>
    <w:rsid w:val="002C1460"/>
    <w:rsid w:val="002C1912"/>
    <w:rsid w:val="002C1B38"/>
    <w:rsid w:val="002C2627"/>
    <w:rsid w:val="002C33CA"/>
    <w:rsid w:val="002C3EAE"/>
    <w:rsid w:val="002C40FF"/>
    <w:rsid w:val="002C44E9"/>
    <w:rsid w:val="002C477A"/>
    <w:rsid w:val="002C5CB1"/>
    <w:rsid w:val="002C5E13"/>
    <w:rsid w:val="002C5EBF"/>
    <w:rsid w:val="002C75A5"/>
    <w:rsid w:val="002D10B5"/>
    <w:rsid w:val="002D1786"/>
    <w:rsid w:val="002D2735"/>
    <w:rsid w:val="002D3048"/>
    <w:rsid w:val="002D382A"/>
    <w:rsid w:val="002D3F02"/>
    <w:rsid w:val="002D47F3"/>
    <w:rsid w:val="002D5589"/>
    <w:rsid w:val="002D5FFD"/>
    <w:rsid w:val="002D69B5"/>
    <w:rsid w:val="002D7BD0"/>
    <w:rsid w:val="002E07ED"/>
    <w:rsid w:val="002E241B"/>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6DD9"/>
    <w:rsid w:val="0031267B"/>
    <w:rsid w:val="0031342B"/>
    <w:rsid w:val="00313747"/>
    <w:rsid w:val="003140F3"/>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DE6"/>
    <w:rsid w:val="00330A9F"/>
    <w:rsid w:val="00331BE2"/>
    <w:rsid w:val="00331BE9"/>
    <w:rsid w:val="0033370A"/>
    <w:rsid w:val="0033444D"/>
    <w:rsid w:val="00335F05"/>
    <w:rsid w:val="003369C9"/>
    <w:rsid w:val="00336C64"/>
    <w:rsid w:val="00340383"/>
    <w:rsid w:val="003414EF"/>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57661"/>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202A"/>
    <w:rsid w:val="00372CD5"/>
    <w:rsid w:val="00373C6C"/>
    <w:rsid w:val="00374413"/>
    <w:rsid w:val="00374F03"/>
    <w:rsid w:val="003766F3"/>
    <w:rsid w:val="003773A7"/>
    <w:rsid w:val="00381337"/>
    <w:rsid w:val="003839BD"/>
    <w:rsid w:val="00385944"/>
    <w:rsid w:val="00385FBB"/>
    <w:rsid w:val="00386087"/>
    <w:rsid w:val="00386526"/>
    <w:rsid w:val="00386F68"/>
    <w:rsid w:val="00387150"/>
    <w:rsid w:val="00387DEF"/>
    <w:rsid w:val="003925E7"/>
    <w:rsid w:val="00393095"/>
    <w:rsid w:val="003933A4"/>
    <w:rsid w:val="00394115"/>
    <w:rsid w:val="0039432A"/>
    <w:rsid w:val="00394C42"/>
    <w:rsid w:val="003953E4"/>
    <w:rsid w:val="00395436"/>
    <w:rsid w:val="0039578F"/>
    <w:rsid w:val="00395BA7"/>
    <w:rsid w:val="00395F72"/>
    <w:rsid w:val="003A06EB"/>
    <w:rsid w:val="003A09FA"/>
    <w:rsid w:val="003A1756"/>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3DEE"/>
    <w:rsid w:val="003C4A24"/>
    <w:rsid w:val="003C4DEA"/>
    <w:rsid w:val="003C5342"/>
    <w:rsid w:val="003C6699"/>
    <w:rsid w:val="003C7359"/>
    <w:rsid w:val="003C746E"/>
    <w:rsid w:val="003C77EB"/>
    <w:rsid w:val="003D002F"/>
    <w:rsid w:val="003D0A0A"/>
    <w:rsid w:val="003D13D8"/>
    <w:rsid w:val="003D1E07"/>
    <w:rsid w:val="003D2811"/>
    <w:rsid w:val="003D35A3"/>
    <w:rsid w:val="003D5252"/>
    <w:rsid w:val="003D6E3B"/>
    <w:rsid w:val="003D71F0"/>
    <w:rsid w:val="003E01CF"/>
    <w:rsid w:val="003E10E5"/>
    <w:rsid w:val="003E420E"/>
    <w:rsid w:val="003E432C"/>
    <w:rsid w:val="003E4AC9"/>
    <w:rsid w:val="003E4D6D"/>
    <w:rsid w:val="003E5479"/>
    <w:rsid w:val="003E68D9"/>
    <w:rsid w:val="003E72D6"/>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1B60"/>
    <w:rsid w:val="00403823"/>
    <w:rsid w:val="004047A6"/>
    <w:rsid w:val="0040605A"/>
    <w:rsid w:val="00406DA6"/>
    <w:rsid w:val="00406F68"/>
    <w:rsid w:val="00407021"/>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2E4D"/>
    <w:rsid w:val="0042563A"/>
    <w:rsid w:val="00427131"/>
    <w:rsid w:val="00427E22"/>
    <w:rsid w:val="0043054E"/>
    <w:rsid w:val="0043176C"/>
    <w:rsid w:val="00432148"/>
    <w:rsid w:val="00432766"/>
    <w:rsid w:val="00433638"/>
    <w:rsid w:val="00434010"/>
    <w:rsid w:val="00434CF8"/>
    <w:rsid w:val="004355DD"/>
    <w:rsid w:val="004370B3"/>
    <w:rsid w:val="00441172"/>
    <w:rsid w:val="00441323"/>
    <w:rsid w:val="004414EE"/>
    <w:rsid w:val="00441565"/>
    <w:rsid w:val="00441F66"/>
    <w:rsid w:val="00442074"/>
    <w:rsid w:val="0044381E"/>
    <w:rsid w:val="00443DCD"/>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42ED"/>
    <w:rsid w:val="004559C3"/>
    <w:rsid w:val="00455AF6"/>
    <w:rsid w:val="00455FDE"/>
    <w:rsid w:val="00456080"/>
    <w:rsid w:val="0045627E"/>
    <w:rsid w:val="00457648"/>
    <w:rsid w:val="0045778D"/>
    <w:rsid w:val="00460046"/>
    <w:rsid w:val="004608B3"/>
    <w:rsid w:val="00460ED4"/>
    <w:rsid w:val="00462652"/>
    <w:rsid w:val="00462B19"/>
    <w:rsid w:val="00463A34"/>
    <w:rsid w:val="00463D29"/>
    <w:rsid w:val="004659A2"/>
    <w:rsid w:val="00465A6B"/>
    <w:rsid w:val="004662E6"/>
    <w:rsid w:val="004667D5"/>
    <w:rsid w:val="00466F63"/>
    <w:rsid w:val="00466FB4"/>
    <w:rsid w:val="00470A07"/>
    <w:rsid w:val="0047158C"/>
    <w:rsid w:val="0047167D"/>
    <w:rsid w:val="004722A2"/>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955"/>
    <w:rsid w:val="00483F4B"/>
    <w:rsid w:val="00484415"/>
    <w:rsid w:val="00490624"/>
    <w:rsid w:val="004921C2"/>
    <w:rsid w:val="004925C8"/>
    <w:rsid w:val="00492B0C"/>
    <w:rsid w:val="00494866"/>
    <w:rsid w:val="00494993"/>
    <w:rsid w:val="0049588B"/>
    <w:rsid w:val="00495BB8"/>
    <w:rsid w:val="00496AF0"/>
    <w:rsid w:val="00496B2B"/>
    <w:rsid w:val="00497D90"/>
    <w:rsid w:val="004A0013"/>
    <w:rsid w:val="004A225A"/>
    <w:rsid w:val="004A236D"/>
    <w:rsid w:val="004A24A6"/>
    <w:rsid w:val="004A2DE8"/>
    <w:rsid w:val="004A3D82"/>
    <w:rsid w:val="004A63E5"/>
    <w:rsid w:val="004B12AD"/>
    <w:rsid w:val="004B1BE5"/>
    <w:rsid w:val="004B2453"/>
    <w:rsid w:val="004B38A3"/>
    <w:rsid w:val="004B5782"/>
    <w:rsid w:val="004B759C"/>
    <w:rsid w:val="004C07AF"/>
    <w:rsid w:val="004C0B2C"/>
    <w:rsid w:val="004C0FB9"/>
    <w:rsid w:val="004C18F8"/>
    <w:rsid w:val="004C1E55"/>
    <w:rsid w:val="004C3E5D"/>
    <w:rsid w:val="004C3F08"/>
    <w:rsid w:val="004C4640"/>
    <w:rsid w:val="004C4D43"/>
    <w:rsid w:val="004C4FAA"/>
    <w:rsid w:val="004C5352"/>
    <w:rsid w:val="004C5C99"/>
    <w:rsid w:val="004C5F78"/>
    <w:rsid w:val="004C6118"/>
    <w:rsid w:val="004C6264"/>
    <w:rsid w:val="004C696F"/>
    <w:rsid w:val="004C6BBE"/>
    <w:rsid w:val="004C7410"/>
    <w:rsid w:val="004D0196"/>
    <w:rsid w:val="004D0FDB"/>
    <w:rsid w:val="004D2173"/>
    <w:rsid w:val="004D244D"/>
    <w:rsid w:val="004D338F"/>
    <w:rsid w:val="004D34B1"/>
    <w:rsid w:val="004D43DF"/>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269"/>
    <w:rsid w:val="004F1C64"/>
    <w:rsid w:val="004F25EC"/>
    <w:rsid w:val="004F374C"/>
    <w:rsid w:val="004F3EB8"/>
    <w:rsid w:val="004F3F0F"/>
    <w:rsid w:val="004F4496"/>
    <w:rsid w:val="004F49E7"/>
    <w:rsid w:val="004F5086"/>
    <w:rsid w:val="004F5F86"/>
    <w:rsid w:val="004F618C"/>
    <w:rsid w:val="004F76EF"/>
    <w:rsid w:val="004F7AAC"/>
    <w:rsid w:val="00501DC4"/>
    <w:rsid w:val="0050283A"/>
    <w:rsid w:val="00502E5B"/>
    <w:rsid w:val="00502E66"/>
    <w:rsid w:val="00502F81"/>
    <w:rsid w:val="0050309D"/>
    <w:rsid w:val="00503D73"/>
    <w:rsid w:val="00504712"/>
    <w:rsid w:val="00505A25"/>
    <w:rsid w:val="005069F0"/>
    <w:rsid w:val="00510880"/>
    <w:rsid w:val="00510BB7"/>
    <w:rsid w:val="00511929"/>
    <w:rsid w:val="00512334"/>
    <w:rsid w:val="00513B1C"/>
    <w:rsid w:val="005147FF"/>
    <w:rsid w:val="0051588D"/>
    <w:rsid w:val="005165D5"/>
    <w:rsid w:val="00516932"/>
    <w:rsid w:val="00517286"/>
    <w:rsid w:val="005205F6"/>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2103"/>
    <w:rsid w:val="005324DF"/>
    <w:rsid w:val="00532D35"/>
    <w:rsid w:val="00532F04"/>
    <w:rsid w:val="00533518"/>
    <w:rsid w:val="00533667"/>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6DEB"/>
    <w:rsid w:val="005476C8"/>
    <w:rsid w:val="0054774A"/>
    <w:rsid w:val="00551107"/>
    <w:rsid w:val="005518B4"/>
    <w:rsid w:val="0055250B"/>
    <w:rsid w:val="00552A8A"/>
    <w:rsid w:val="00553DF6"/>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2F52"/>
    <w:rsid w:val="005634A9"/>
    <w:rsid w:val="005636A6"/>
    <w:rsid w:val="005643E8"/>
    <w:rsid w:val="005644F8"/>
    <w:rsid w:val="00564D6C"/>
    <w:rsid w:val="005651B9"/>
    <w:rsid w:val="005654BE"/>
    <w:rsid w:val="00565879"/>
    <w:rsid w:val="00566529"/>
    <w:rsid w:val="00567533"/>
    <w:rsid w:val="00567BB1"/>
    <w:rsid w:val="00571DBA"/>
    <w:rsid w:val="005726F3"/>
    <w:rsid w:val="00573617"/>
    <w:rsid w:val="0057439E"/>
    <w:rsid w:val="00574DC1"/>
    <w:rsid w:val="00575672"/>
    <w:rsid w:val="00575895"/>
    <w:rsid w:val="0057684F"/>
    <w:rsid w:val="005769CA"/>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569E"/>
    <w:rsid w:val="00595962"/>
    <w:rsid w:val="005967EE"/>
    <w:rsid w:val="00597461"/>
    <w:rsid w:val="005977A9"/>
    <w:rsid w:val="00597CF0"/>
    <w:rsid w:val="005A0B3D"/>
    <w:rsid w:val="005A0F39"/>
    <w:rsid w:val="005A2394"/>
    <w:rsid w:val="005A2822"/>
    <w:rsid w:val="005A3ADA"/>
    <w:rsid w:val="005A4528"/>
    <w:rsid w:val="005A4E57"/>
    <w:rsid w:val="005A5D84"/>
    <w:rsid w:val="005A6080"/>
    <w:rsid w:val="005A63E9"/>
    <w:rsid w:val="005A6690"/>
    <w:rsid w:val="005A68EE"/>
    <w:rsid w:val="005A6EB6"/>
    <w:rsid w:val="005A7811"/>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5EC0"/>
    <w:rsid w:val="005B6045"/>
    <w:rsid w:val="005B6590"/>
    <w:rsid w:val="005B7B7A"/>
    <w:rsid w:val="005B7F8C"/>
    <w:rsid w:val="005C0C37"/>
    <w:rsid w:val="005C4263"/>
    <w:rsid w:val="005C464D"/>
    <w:rsid w:val="005C4A34"/>
    <w:rsid w:val="005C4CDD"/>
    <w:rsid w:val="005C4D66"/>
    <w:rsid w:val="005C512B"/>
    <w:rsid w:val="005C55A7"/>
    <w:rsid w:val="005C613B"/>
    <w:rsid w:val="005C619B"/>
    <w:rsid w:val="005C6E9F"/>
    <w:rsid w:val="005C6EB2"/>
    <w:rsid w:val="005C6F03"/>
    <w:rsid w:val="005C78BD"/>
    <w:rsid w:val="005C7EC8"/>
    <w:rsid w:val="005C7F10"/>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AC8"/>
    <w:rsid w:val="0060710A"/>
    <w:rsid w:val="006073C4"/>
    <w:rsid w:val="006075EB"/>
    <w:rsid w:val="00607642"/>
    <w:rsid w:val="00610B2E"/>
    <w:rsid w:val="00611844"/>
    <w:rsid w:val="00611BD5"/>
    <w:rsid w:val="00611D13"/>
    <w:rsid w:val="006124EC"/>
    <w:rsid w:val="006137A4"/>
    <w:rsid w:val="006144CE"/>
    <w:rsid w:val="0061497F"/>
    <w:rsid w:val="00614D33"/>
    <w:rsid w:val="0061597A"/>
    <w:rsid w:val="00616A3B"/>
    <w:rsid w:val="00616B49"/>
    <w:rsid w:val="00617997"/>
    <w:rsid w:val="00617E4F"/>
    <w:rsid w:val="00620516"/>
    <w:rsid w:val="0062136D"/>
    <w:rsid w:val="00622715"/>
    <w:rsid w:val="00622BCB"/>
    <w:rsid w:val="006234A2"/>
    <w:rsid w:val="00624B01"/>
    <w:rsid w:val="006253D5"/>
    <w:rsid w:val="00625F2E"/>
    <w:rsid w:val="0062605F"/>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3429"/>
    <w:rsid w:val="00643E26"/>
    <w:rsid w:val="00643F89"/>
    <w:rsid w:val="006441C6"/>
    <w:rsid w:val="006442C3"/>
    <w:rsid w:val="0064658F"/>
    <w:rsid w:val="00646B6F"/>
    <w:rsid w:val="0064712A"/>
    <w:rsid w:val="006471BB"/>
    <w:rsid w:val="00650350"/>
    <w:rsid w:val="00650418"/>
    <w:rsid w:val="00650D4C"/>
    <w:rsid w:val="006514AD"/>
    <w:rsid w:val="00651518"/>
    <w:rsid w:val="00651589"/>
    <w:rsid w:val="00651BA8"/>
    <w:rsid w:val="00652282"/>
    <w:rsid w:val="00652723"/>
    <w:rsid w:val="0065275D"/>
    <w:rsid w:val="0065339E"/>
    <w:rsid w:val="00653E9A"/>
    <w:rsid w:val="00656B4B"/>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3FE1"/>
    <w:rsid w:val="006742A5"/>
    <w:rsid w:val="0067535B"/>
    <w:rsid w:val="00676BF1"/>
    <w:rsid w:val="00676D52"/>
    <w:rsid w:val="006773E9"/>
    <w:rsid w:val="0068034F"/>
    <w:rsid w:val="00680E5F"/>
    <w:rsid w:val="006810AD"/>
    <w:rsid w:val="006811F9"/>
    <w:rsid w:val="00681E36"/>
    <w:rsid w:val="00682082"/>
    <w:rsid w:val="00682876"/>
    <w:rsid w:val="006839CB"/>
    <w:rsid w:val="00684614"/>
    <w:rsid w:val="00684F77"/>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B048D"/>
    <w:rsid w:val="006B1614"/>
    <w:rsid w:val="006B17ED"/>
    <w:rsid w:val="006B1A92"/>
    <w:rsid w:val="006B2B16"/>
    <w:rsid w:val="006B2CC2"/>
    <w:rsid w:val="006B35A1"/>
    <w:rsid w:val="006B362D"/>
    <w:rsid w:val="006B42CD"/>
    <w:rsid w:val="006B53D3"/>
    <w:rsid w:val="006B5DCA"/>
    <w:rsid w:val="006B67DB"/>
    <w:rsid w:val="006B68D7"/>
    <w:rsid w:val="006B77E9"/>
    <w:rsid w:val="006B7912"/>
    <w:rsid w:val="006C062B"/>
    <w:rsid w:val="006C10EA"/>
    <w:rsid w:val="006C20D9"/>
    <w:rsid w:val="006C5EFA"/>
    <w:rsid w:val="006C6A41"/>
    <w:rsid w:val="006C7041"/>
    <w:rsid w:val="006C770C"/>
    <w:rsid w:val="006C77EC"/>
    <w:rsid w:val="006C7C24"/>
    <w:rsid w:val="006D0283"/>
    <w:rsid w:val="006D1D73"/>
    <w:rsid w:val="006D33C0"/>
    <w:rsid w:val="006D365E"/>
    <w:rsid w:val="006D385A"/>
    <w:rsid w:val="006D4F4A"/>
    <w:rsid w:val="006D5AC9"/>
    <w:rsid w:val="006D5EB4"/>
    <w:rsid w:val="006D6F17"/>
    <w:rsid w:val="006D7269"/>
    <w:rsid w:val="006E01E1"/>
    <w:rsid w:val="006E0B5D"/>
    <w:rsid w:val="006E0D0B"/>
    <w:rsid w:val="006E1442"/>
    <w:rsid w:val="006E1A6B"/>
    <w:rsid w:val="006E23DF"/>
    <w:rsid w:val="006E25DC"/>
    <w:rsid w:val="006E29B9"/>
    <w:rsid w:val="006E2B55"/>
    <w:rsid w:val="006E30CC"/>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20BA"/>
    <w:rsid w:val="007074C0"/>
    <w:rsid w:val="007079FC"/>
    <w:rsid w:val="00710906"/>
    <w:rsid w:val="00710D9B"/>
    <w:rsid w:val="00710DA2"/>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301B8"/>
    <w:rsid w:val="00730985"/>
    <w:rsid w:val="007323DC"/>
    <w:rsid w:val="007338C8"/>
    <w:rsid w:val="007345F6"/>
    <w:rsid w:val="007348F8"/>
    <w:rsid w:val="007349FB"/>
    <w:rsid w:val="0073516A"/>
    <w:rsid w:val="0073637A"/>
    <w:rsid w:val="00736481"/>
    <w:rsid w:val="007374E8"/>
    <w:rsid w:val="007409D3"/>
    <w:rsid w:val="00740D39"/>
    <w:rsid w:val="007413B9"/>
    <w:rsid w:val="007425CB"/>
    <w:rsid w:val="007425E6"/>
    <w:rsid w:val="007427F5"/>
    <w:rsid w:val="00743B76"/>
    <w:rsid w:val="0074591B"/>
    <w:rsid w:val="007459CF"/>
    <w:rsid w:val="0075024D"/>
    <w:rsid w:val="00753C8E"/>
    <w:rsid w:val="00753DD1"/>
    <w:rsid w:val="00753DDE"/>
    <w:rsid w:val="007541AB"/>
    <w:rsid w:val="00755CAC"/>
    <w:rsid w:val="00755D20"/>
    <w:rsid w:val="007563F9"/>
    <w:rsid w:val="00756A83"/>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C3B"/>
    <w:rsid w:val="00767771"/>
    <w:rsid w:val="00771263"/>
    <w:rsid w:val="007716CF"/>
    <w:rsid w:val="00771A36"/>
    <w:rsid w:val="007727D6"/>
    <w:rsid w:val="0077295E"/>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4690"/>
    <w:rsid w:val="0078478C"/>
    <w:rsid w:val="007848CC"/>
    <w:rsid w:val="00784FDC"/>
    <w:rsid w:val="0078513E"/>
    <w:rsid w:val="00785EFF"/>
    <w:rsid w:val="0079130B"/>
    <w:rsid w:val="00791653"/>
    <w:rsid w:val="00792A9D"/>
    <w:rsid w:val="00793896"/>
    <w:rsid w:val="007941DF"/>
    <w:rsid w:val="00794444"/>
    <w:rsid w:val="0079468C"/>
    <w:rsid w:val="00795DC1"/>
    <w:rsid w:val="007963D1"/>
    <w:rsid w:val="007965AF"/>
    <w:rsid w:val="0079687A"/>
    <w:rsid w:val="00797AC4"/>
    <w:rsid w:val="00797B98"/>
    <w:rsid w:val="007A14F4"/>
    <w:rsid w:val="007A163A"/>
    <w:rsid w:val="007A46E3"/>
    <w:rsid w:val="007A517D"/>
    <w:rsid w:val="007A5684"/>
    <w:rsid w:val="007A56D2"/>
    <w:rsid w:val="007A56F1"/>
    <w:rsid w:val="007A6062"/>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7679"/>
    <w:rsid w:val="007D7947"/>
    <w:rsid w:val="007E058F"/>
    <w:rsid w:val="007E1C8C"/>
    <w:rsid w:val="007E205A"/>
    <w:rsid w:val="007E3405"/>
    <w:rsid w:val="007E34A8"/>
    <w:rsid w:val="007E41F2"/>
    <w:rsid w:val="007E48B5"/>
    <w:rsid w:val="007E6081"/>
    <w:rsid w:val="007E6121"/>
    <w:rsid w:val="007E709F"/>
    <w:rsid w:val="007E765F"/>
    <w:rsid w:val="007E7CA0"/>
    <w:rsid w:val="007F087E"/>
    <w:rsid w:val="007F0B33"/>
    <w:rsid w:val="007F0B48"/>
    <w:rsid w:val="007F0BAD"/>
    <w:rsid w:val="007F1F2A"/>
    <w:rsid w:val="007F3330"/>
    <w:rsid w:val="007F43C2"/>
    <w:rsid w:val="007F4CA3"/>
    <w:rsid w:val="007F647D"/>
    <w:rsid w:val="007F6D41"/>
    <w:rsid w:val="007F7330"/>
    <w:rsid w:val="007F750D"/>
    <w:rsid w:val="007F794F"/>
    <w:rsid w:val="008029B2"/>
    <w:rsid w:val="00802E9D"/>
    <w:rsid w:val="00804FDD"/>
    <w:rsid w:val="008059CB"/>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109C"/>
    <w:rsid w:val="00821290"/>
    <w:rsid w:val="0082202C"/>
    <w:rsid w:val="00822912"/>
    <w:rsid w:val="00822C2E"/>
    <w:rsid w:val="008232F5"/>
    <w:rsid w:val="008235ED"/>
    <w:rsid w:val="00823C42"/>
    <w:rsid w:val="00824308"/>
    <w:rsid w:val="00824BD3"/>
    <w:rsid w:val="008265DB"/>
    <w:rsid w:val="00826A78"/>
    <w:rsid w:val="00826B17"/>
    <w:rsid w:val="0082730A"/>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D83"/>
    <w:rsid w:val="00844F2F"/>
    <w:rsid w:val="00846521"/>
    <w:rsid w:val="008466CA"/>
    <w:rsid w:val="00846CE8"/>
    <w:rsid w:val="00847048"/>
    <w:rsid w:val="008471B7"/>
    <w:rsid w:val="008471C4"/>
    <w:rsid w:val="00847385"/>
    <w:rsid w:val="00847843"/>
    <w:rsid w:val="00847A88"/>
    <w:rsid w:val="00847D22"/>
    <w:rsid w:val="00850E08"/>
    <w:rsid w:val="00851C77"/>
    <w:rsid w:val="00851D97"/>
    <w:rsid w:val="008522D3"/>
    <w:rsid w:val="008524D2"/>
    <w:rsid w:val="008524FC"/>
    <w:rsid w:val="00852630"/>
    <w:rsid w:val="008539EE"/>
    <w:rsid w:val="008553B2"/>
    <w:rsid w:val="008557ED"/>
    <w:rsid w:val="00855903"/>
    <w:rsid w:val="00861B88"/>
    <w:rsid w:val="00861F7D"/>
    <w:rsid w:val="00863302"/>
    <w:rsid w:val="008644B1"/>
    <w:rsid w:val="00866362"/>
    <w:rsid w:val="0086636C"/>
    <w:rsid w:val="008671E2"/>
    <w:rsid w:val="00867941"/>
    <w:rsid w:val="00867F31"/>
    <w:rsid w:val="00870E1A"/>
    <w:rsid w:val="008720A7"/>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58BB"/>
    <w:rsid w:val="008A01CB"/>
    <w:rsid w:val="008A105A"/>
    <w:rsid w:val="008A1C04"/>
    <w:rsid w:val="008A2779"/>
    <w:rsid w:val="008A2AD9"/>
    <w:rsid w:val="008A3630"/>
    <w:rsid w:val="008A41BA"/>
    <w:rsid w:val="008A4257"/>
    <w:rsid w:val="008A4836"/>
    <w:rsid w:val="008A68A7"/>
    <w:rsid w:val="008A6F60"/>
    <w:rsid w:val="008A6F63"/>
    <w:rsid w:val="008A73AA"/>
    <w:rsid w:val="008B0295"/>
    <w:rsid w:val="008B17B6"/>
    <w:rsid w:val="008B1963"/>
    <w:rsid w:val="008B1BE7"/>
    <w:rsid w:val="008B37A5"/>
    <w:rsid w:val="008B525E"/>
    <w:rsid w:val="008B5A6D"/>
    <w:rsid w:val="008B5D73"/>
    <w:rsid w:val="008B6169"/>
    <w:rsid w:val="008B6802"/>
    <w:rsid w:val="008B6D7F"/>
    <w:rsid w:val="008B74D7"/>
    <w:rsid w:val="008C0FE3"/>
    <w:rsid w:val="008C1158"/>
    <w:rsid w:val="008C1AF6"/>
    <w:rsid w:val="008C2E48"/>
    <w:rsid w:val="008C3F51"/>
    <w:rsid w:val="008C57AC"/>
    <w:rsid w:val="008C6582"/>
    <w:rsid w:val="008C6E5C"/>
    <w:rsid w:val="008C774F"/>
    <w:rsid w:val="008D1021"/>
    <w:rsid w:val="008D1E33"/>
    <w:rsid w:val="008D2A54"/>
    <w:rsid w:val="008D2BAF"/>
    <w:rsid w:val="008D337E"/>
    <w:rsid w:val="008D3665"/>
    <w:rsid w:val="008D4A72"/>
    <w:rsid w:val="008D4F4C"/>
    <w:rsid w:val="008D50A2"/>
    <w:rsid w:val="008D56CE"/>
    <w:rsid w:val="008D5E71"/>
    <w:rsid w:val="008D73CD"/>
    <w:rsid w:val="008E0D71"/>
    <w:rsid w:val="008E0F85"/>
    <w:rsid w:val="008E1925"/>
    <w:rsid w:val="008E1A89"/>
    <w:rsid w:val="008E1E97"/>
    <w:rsid w:val="008E52F6"/>
    <w:rsid w:val="008E6B93"/>
    <w:rsid w:val="008E76FC"/>
    <w:rsid w:val="008F0181"/>
    <w:rsid w:val="008F2A5A"/>
    <w:rsid w:val="008F398B"/>
    <w:rsid w:val="008F3EF5"/>
    <w:rsid w:val="008F3FFA"/>
    <w:rsid w:val="008F4A59"/>
    <w:rsid w:val="008F4E92"/>
    <w:rsid w:val="008F50E2"/>
    <w:rsid w:val="008F5B12"/>
    <w:rsid w:val="008F619D"/>
    <w:rsid w:val="008F61A4"/>
    <w:rsid w:val="008F6AAD"/>
    <w:rsid w:val="008F7251"/>
    <w:rsid w:val="008F7726"/>
    <w:rsid w:val="00900AE3"/>
    <w:rsid w:val="00901116"/>
    <w:rsid w:val="0090242D"/>
    <w:rsid w:val="009027E6"/>
    <w:rsid w:val="00902874"/>
    <w:rsid w:val="00903E8C"/>
    <w:rsid w:val="00904B1B"/>
    <w:rsid w:val="0090501C"/>
    <w:rsid w:val="00905495"/>
    <w:rsid w:val="00906B13"/>
    <w:rsid w:val="00906CE8"/>
    <w:rsid w:val="0090767E"/>
    <w:rsid w:val="009079F8"/>
    <w:rsid w:val="00910AB5"/>
    <w:rsid w:val="00910C17"/>
    <w:rsid w:val="00911E91"/>
    <w:rsid w:val="00913341"/>
    <w:rsid w:val="00914860"/>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408"/>
    <w:rsid w:val="00937A59"/>
    <w:rsid w:val="00940CFF"/>
    <w:rsid w:val="00942170"/>
    <w:rsid w:val="00942CC3"/>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603"/>
    <w:rsid w:val="00953663"/>
    <w:rsid w:val="00953808"/>
    <w:rsid w:val="009544BF"/>
    <w:rsid w:val="0095619B"/>
    <w:rsid w:val="00956A06"/>
    <w:rsid w:val="00956EC0"/>
    <w:rsid w:val="009572D0"/>
    <w:rsid w:val="00961136"/>
    <w:rsid w:val="00962D5A"/>
    <w:rsid w:val="009630F7"/>
    <w:rsid w:val="00963598"/>
    <w:rsid w:val="00963697"/>
    <w:rsid w:val="009659CD"/>
    <w:rsid w:val="00970C98"/>
    <w:rsid w:val="0097108B"/>
    <w:rsid w:val="00971335"/>
    <w:rsid w:val="00973BBE"/>
    <w:rsid w:val="00974045"/>
    <w:rsid w:val="00974C39"/>
    <w:rsid w:val="00974F18"/>
    <w:rsid w:val="00974F5F"/>
    <w:rsid w:val="0097510A"/>
    <w:rsid w:val="00975D97"/>
    <w:rsid w:val="0097602D"/>
    <w:rsid w:val="009762FA"/>
    <w:rsid w:val="00976953"/>
    <w:rsid w:val="009773C6"/>
    <w:rsid w:val="009773C8"/>
    <w:rsid w:val="0097775D"/>
    <w:rsid w:val="00980117"/>
    <w:rsid w:val="00980524"/>
    <w:rsid w:val="00980AFA"/>
    <w:rsid w:val="009814C8"/>
    <w:rsid w:val="00981F85"/>
    <w:rsid w:val="009825C0"/>
    <w:rsid w:val="0098412D"/>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E34"/>
    <w:rsid w:val="00996D2C"/>
    <w:rsid w:val="00997783"/>
    <w:rsid w:val="009A01D0"/>
    <w:rsid w:val="009A0417"/>
    <w:rsid w:val="009A0894"/>
    <w:rsid w:val="009A185F"/>
    <w:rsid w:val="009A244E"/>
    <w:rsid w:val="009A3AFF"/>
    <w:rsid w:val="009A71F0"/>
    <w:rsid w:val="009A7D0E"/>
    <w:rsid w:val="009B07B3"/>
    <w:rsid w:val="009B0A15"/>
    <w:rsid w:val="009B0E95"/>
    <w:rsid w:val="009B256C"/>
    <w:rsid w:val="009B36B4"/>
    <w:rsid w:val="009B42C7"/>
    <w:rsid w:val="009B4484"/>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85E"/>
    <w:rsid w:val="009D6B85"/>
    <w:rsid w:val="009D7DCF"/>
    <w:rsid w:val="009E1C6C"/>
    <w:rsid w:val="009E1D25"/>
    <w:rsid w:val="009E3036"/>
    <w:rsid w:val="009E4E14"/>
    <w:rsid w:val="009E59D2"/>
    <w:rsid w:val="009E61D2"/>
    <w:rsid w:val="009F071D"/>
    <w:rsid w:val="009F0AC9"/>
    <w:rsid w:val="009F1718"/>
    <w:rsid w:val="009F3518"/>
    <w:rsid w:val="009F4741"/>
    <w:rsid w:val="009F62BD"/>
    <w:rsid w:val="009F63BE"/>
    <w:rsid w:val="009F7D5C"/>
    <w:rsid w:val="00A00DB1"/>
    <w:rsid w:val="00A02135"/>
    <w:rsid w:val="00A02621"/>
    <w:rsid w:val="00A04118"/>
    <w:rsid w:val="00A0427E"/>
    <w:rsid w:val="00A05A52"/>
    <w:rsid w:val="00A06B84"/>
    <w:rsid w:val="00A07B93"/>
    <w:rsid w:val="00A07C0C"/>
    <w:rsid w:val="00A10199"/>
    <w:rsid w:val="00A10456"/>
    <w:rsid w:val="00A1142B"/>
    <w:rsid w:val="00A11DBA"/>
    <w:rsid w:val="00A11EAD"/>
    <w:rsid w:val="00A1392D"/>
    <w:rsid w:val="00A141D4"/>
    <w:rsid w:val="00A145E1"/>
    <w:rsid w:val="00A14728"/>
    <w:rsid w:val="00A1491D"/>
    <w:rsid w:val="00A14A5F"/>
    <w:rsid w:val="00A14A74"/>
    <w:rsid w:val="00A14BB6"/>
    <w:rsid w:val="00A14BCD"/>
    <w:rsid w:val="00A14C52"/>
    <w:rsid w:val="00A157FB"/>
    <w:rsid w:val="00A15DFA"/>
    <w:rsid w:val="00A1621C"/>
    <w:rsid w:val="00A16AAB"/>
    <w:rsid w:val="00A16AF9"/>
    <w:rsid w:val="00A2035F"/>
    <w:rsid w:val="00A21540"/>
    <w:rsid w:val="00A2203F"/>
    <w:rsid w:val="00A23505"/>
    <w:rsid w:val="00A236DE"/>
    <w:rsid w:val="00A2439F"/>
    <w:rsid w:val="00A25439"/>
    <w:rsid w:val="00A25CB7"/>
    <w:rsid w:val="00A2655C"/>
    <w:rsid w:val="00A26651"/>
    <w:rsid w:val="00A26AB9"/>
    <w:rsid w:val="00A27933"/>
    <w:rsid w:val="00A30DD5"/>
    <w:rsid w:val="00A312EA"/>
    <w:rsid w:val="00A32176"/>
    <w:rsid w:val="00A323B3"/>
    <w:rsid w:val="00A33692"/>
    <w:rsid w:val="00A339DF"/>
    <w:rsid w:val="00A354B4"/>
    <w:rsid w:val="00A35A18"/>
    <w:rsid w:val="00A36666"/>
    <w:rsid w:val="00A36A14"/>
    <w:rsid w:val="00A3777B"/>
    <w:rsid w:val="00A42FC9"/>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77AC8"/>
    <w:rsid w:val="00A80836"/>
    <w:rsid w:val="00A810FA"/>
    <w:rsid w:val="00A81205"/>
    <w:rsid w:val="00A81B4E"/>
    <w:rsid w:val="00A824E5"/>
    <w:rsid w:val="00A8260B"/>
    <w:rsid w:val="00A82D8A"/>
    <w:rsid w:val="00A836BC"/>
    <w:rsid w:val="00A83AB2"/>
    <w:rsid w:val="00A83E81"/>
    <w:rsid w:val="00A85BAC"/>
    <w:rsid w:val="00A876D6"/>
    <w:rsid w:val="00A901B8"/>
    <w:rsid w:val="00A91BD6"/>
    <w:rsid w:val="00A91D8F"/>
    <w:rsid w:val="00A92965"/>
    <w:rsid w:val="00A929B0"/>
    <w:rsid w:val="00A92AB9"/>
    <w:rsid w:val="00A9301D"/>
    <w:rsid w:val="00A9426A"/>
    <w:rsid w:val="00A9427B"/>
    <w:rsid w:val="00A94D48"/>
    <w:rsid w:val="00A95ADB"/>
    <w:rsid w:val="00A95D38"/>
    <w:rsid w:val="00A9668B"/>
    <w:rsid w:val="00A96BFB"/>
    <w:rsid w:val="00A97C80"/>
    <w:rsid w:val="00A97F2D"/>
    <w:rsid w:val="00AA0B04"/>
    <w:rsid w:val="00AA0FC2"/>
    <w:rsid w:val="00AA1381"/>
    <w:rsid w:val="00AA1595"/>
    <w:rsid w:val="00AA2EC2"/>
    <w:rsid w:val="00AA329E"/>
    <w:rsid w:val="00AA4173"/>
    <w:rsid w:val="00AA45BF"/>
    <w:rsid w:val="00AA4B1A"/>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3EB"/>
    <w:rsid w:val="00AC122A"/>
    <w:rsid w:val="00AC142E"/>
    <w:rsid w:val="00AC195F"/>
    <w:rsid w:val="00AC2329"/>
    <w:rsid w:val="00AC3928"/>
    <w:rsid w:val="00AC3BD2"/>
    <w:rsid w:val="00AC406A"/>
    <w:rsid w:val="00AC40D6"/>
    <w:rsid w:val="00AC413C"/>
    <w:rsid w:val="00AC44C3"/>
    <w:rsid w:val="00AC4E1D"/>
    <w:rsid w:val="00AC511F"/>
    <w:rsid w:val="00AC547C"/>
    <w:rsid w:val="00AC5679"/>
    <w:rsid w:val="00AC6458"/>
    <w:rsid w:val="00AC6725"/>
    <w:rsid w:val="00AC7D8F"/>
    <w:rsid w:val="00AC7E2E"/>
    <w:rsid w:val="00AD04AA"/>
    <w:rsid w:val="00AD1265"/>
    <w:rsid w:val="00AD1D47"/>
    <w:rsid w:val="00AD25B9"/>
    <w:rsid w:val="00AD2BBC"/>
    <w:rsid w:val="00AD54E8"/>
    <w:rsid w:val="00AD5C5B"/>
    <w:rsid w:val="00AD5D77"/>
    <w:rsid w:val="00AD7BDC"/>
    <w:rsid w:val="00AD7EF4"/>
    <w:rsid w:val="00AE1BD6"/>
    <w:rsid w:val="00AE1D46"/>
    <w:rsid w:val="00AE282F"/>
    <w:rsid w:val="00AE294D"/>
    <w:rsid w:val="00AE370C"/>
    <w:rsid w:val="00AE4ECF"/>
    <w:rsid w:val="00AE6003"/>
    <w:rsid w:val="00AE624F"/>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168B"/>
    <w:rsid w:val="00B02A47"/>
    <w:rsid w:val="00B036E1"/>
    <w:rsid w:val="00B038D8"/>
    <w:rsid w:val="00B052E0"/>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A24"/>
    <w:rsid w:val="00B240C6"/>
    <w:rsid w:val="00B25609"/>
    <w:rsid w:val="00B25A51"/>
    <w:rsid w:val="00B2610C"/>
    <w:rsid w:val="00B26575"/>
    <w:rsid w:val="00B26E42"/>
    <w:rsid w:val="00B274DC"/>
    <w:rsid w:val="00B27829"/>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50639"/>
    <w:rsid w:val="00B50E78"/>
    <w:rsid w:val="00B51B73"/>
    <w:rsid w:val="00B5288F"/>
    <w:rsid w:val="00B5299E"/>
    <w:rsid w:val="00B53074"/>
    <w:rsid w:val="00B568E1"/>
    <w:rsid w:val="00B571AD"/>
    <w:rsid w:val="00B60EF2"/>
    <w:rsid w:val="00B6105C"/>
    <w:rsid w:val="00B61313"/>
    <w:rsid w:val="00B61FFB"/>
    <w:rsid w:val="00B67D0C"/>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40A7"/>
    <w:rsid w:val="00B84CE8"/>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5659"/>
    <w:rsid w:val="00BA5BAD"/>
    <w:rsid w:val="00BA6299"/>
    <w:rsid w:val="00BA649A"/>
    <w:rsid w:val="00BA6D34"/>
    <w:rsid w:val="00BA7992"/>
    <w:rsid w:val="00BB0418"/>
    <w:rsid w:val="00BB08D9"/>
    <w:rsid w:val="00BB1A99"/>
    <w:rsid w:val="00BB2057"/>
    <w:rsid w:val="00BB2F7F"/>
    <w:rsid w:val="00BB3E9A"/>
    <w:rsid w:val="00BB4D76"/>
    <w:rsid w:val="00BB674F"/>
    <w:rsid w:val="00BB6764"/>
    <w:rsid w:val="00BB69AD"/>
    <w:rsid w:val="00BB6E1C"/>
    <w:rsid w:val="00BB7240"/>
    <w:rsid w:val="00BB739E"/>
    <w:rsid w:val="00BB7F19"/>
    <w:rsid w:val="00BC019B"/>
    <w:rsid w:val="00BC0FEB"/>
    <w:rsid w:val="00BC100F"/>
    <w:rsid w:val="00BC2D79"/>
    <w:rsid w:val="00BC3629"/>
    <w:rsid w:val="00BC5ABD"/>
    <w:rsid w:val="00BC6BDA"/>
    <w:rsid w:val="00BC6DAD"/>
    <w:rsid w:val="00BD014D"/>
    <w:rsid w:val="00BD16E8"/>
    <w:rsid w:val="00BD2C6A"/>
    <w:rsid w:val="00BD6158"/>
    <w:rsid w:val="00BD66A2"/>
    <w:rsid w:val="00BD6E0C"/>
    <w:rsid w:val="00BD7AC5"/>
    <w:rsid w:val="00BD7F4D"/>
    <w:rsid w:val="00BE037A"/>
    <w:rsid w:val="00BE19B8"/>
    <w:rsid w:val="00BE2B7F"/>
    <w:rsid w:val="00BE2C75"/>
    <w:rsid w:val="00BE369D"/>
    <w:rsid w:val="00BE3B36"/>
    <w:rsid w:val="00BE417C"/>
    <w:rsid w:val="00BE4D03"/>
    <w:rsid w:val="00BE5725"/>
    <w:rsid w:val="00BE7017"/>
    <w:rsid w:val="00BE7906"/>
    <w:rsid w:val="00BE798B"/>
    <w:rsid w:val="00BF0969"/>
    <w:rsid w:val="00BF108E"/>
    <w:rsid w:val="00BF15F0"/>
    <w:rsid w:val="00BF1BD6"/>
    <w:rsid w:val="00BF2EDB"/>
    <w:rsid w:val="00BF3658"/>
    <w:rsid w:val="00BF49B0"/>
    <w:rsid w:val="00BF53D2"/>
    <w:rsid w:val="00BF6C41"/>
    <w:rsid w:val="00C00996"/>
    <w:rsid w:val="00C00A93"/>
    <w:rsid w:val="00C00BB2"/>
    <w:rsid w:val="00C00F72"/>
    <w:rsid w:val="00C01D3E"/>
    <w:rsid w:val="00C01DDE"/>
    <w:rsid w:val="00C038FE"/>
    <w:rsid w:val="00C03FFD"/>
    <w:rsid w:val="00C04D10"/>
    <w:rsid w:val="00C04EAA"/>
    <w:rsid w:val="00C04F4F"/>
    <w:rsid w:val="00C0506A"/>
    <w:rsid w:val="00C0606C"/>
    <w:rsid w:val="00C066B2"/>
    <w:rsid w:val="00C07C4D"/>
    <w:rsid w:val="00C11BE8"/>
    <w:rsid w:val="00C141C9"/>
    <w:rsid w:val="00C15BA8"/>
    <w:rsid w:val="00C17123"/>
    <w:rsid w:val="00C1777B"/>
    <w:rsid w:val="00C17781"/>
    <w:rsid w:val="00C20A27"/>
    <w:rsid w:val="00C21349"/>
    <w:rsid w:val="00C21B4E"/>
    <w:rsid w:val="00C21CD1"/>
    <w:rsid w:val="00C21E75"/>
    <w:rsid w:val="00C22D7A"/>
    <w:rsid w:val="00C22E8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6C10"/>
    <w:rsid w:val="00C41977"/>
    <w:rsid w:val="00C41D81"/>
    <w:rsid w:val="00C43F18"/>
    <w:rsid w:val="00C445A9"/>
    <w:rsid w:val="00C455E5"/>
    <w:rsid w:val="00C4672B"/>
    <w:rsid w:val="00C468E9"/>
    <w:rsid w:val="00C4747B"/>
    <w:rsid w:val="00C50917"/>
    <w:rsid w:val="00C50971"/>
    <w:rsid w:val="00C52BC8"/>
    <w:rsid w:val="00C52E2C"/>
    <w:rsid w:val="00C536B8"/>
    <w:rsid w:val="00C54612"/>
    <w:rsid w:val="00C55F54"/>
    <w:rsid w:val="00C560D6"/>
    <w:rsid w:val="00C561BE"/>
    <w:rsid w:val="00C563D3"/>
    <w:rsid w:val="00C565EB"/>
    <w:rsid w:val="00C57B19"/>
    <w:rsid w:val="00C6150A"/>
    <w:rsid w:val="00C620D3"/>
    <w:rsid w:val="00C626D1"/>
    <w:rsid w:val="00C63087"/>
    <w:rsid w:val="00C63338"/>
    <w:rsid w:val="00C6410B"/>
    <w:rsid w:val="00C64265"/>
    <w:rsid w:val="00C6448D"/>
    <w:rsid w:val="00C65278"/>
    <w:rsid w:val="00C66CBE"/>
    <w:rsid w:val="00C6719A"/>
    <w:rsid w:val="00C67342"/>
    <w:rsid w:val="00C67743"/>
    <w:rsid w:val="00C6774A"/>
    <w:rsid w:val="00C67D83"/>
    <w:rsid w:val="00C7227F"/>
    <w:rsid w:val="00C7239A"/>
    <w:rsid w:val="00C7284E"/>
    <w:rsid w:val="00C7417D"/>
    <w:rsid w:val="00C76859"/>
    <w:rsid w:val="00C76C16"/>
    <w:rsid w:val="00C77317"/>
    <w:rsid w:val="00C80BEA"/>
    <w:rsid w:val="00C80F89"/>
    <w:rsid w:val="00C813DE"/>
    <w:rsid w:val="00C8241F"/>
    <w:rsid w:val="00C83623"/>
    <w:rsid w:val="00C842A2"/>
    <w:rsid w:val="00C84BA9"/>
    <w:rsid w:val="00C86BA3"/>
    <w:rsid w:val="00C90674"/>
    <w:rsid w:val="00C93A92"/>
    <w:rsid w:val="00C93C59"/>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4B3"/>
    <w:rsid w:val="00CE4CD5"/>
    <w:rsid w:val="00CE4EC2"/>
    <w:rsid w:val="00CE6AC0"/>
    <w:rsid w:val="00CF0656"/>
    <w:rsid w:val="00CF10D8"/>
    <w:rsid w:val="00CF1CEF"/>
    <w:rsid w:val="00CF21CA"/>
    <w:rsid w:val="00CF2411"/>
    <w:rsid w:val="00CF2569"/>
    <w:rsid w:val="00CF3161"/>
    <w:rsid w:val="00CF350E"/>
    <w:rsid w:val="00CF3F70"/>
    <w:rsid w:val="00CF69AC"/>
    <w:rsid w:val="00CF6E4F"/>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2ED9"/>
    <w:rsid w:val="00D133EA"/>
    <w:rsid w:val="00D13706"/>
    <w:rsid w:val="00D15967"/>
    <w:rsid w:val="00D15E6E"/>
    <w:rsid w:val="00D16437"/>
    <w:rsid w:val="00D208C8"/>
    <w:rsid w:val="00D20B0D"/>
    <w:rsid w:val="00D20F14"/>
    <w:rsid w:val="00D24153"/>
    <w:rsid w:val="00D24548"/>
    <w:rsid w:val="00D26E98"/>
    <w:rsid w:val="00D27718"/>
    <w:rsid w:val="00D301DB"/>
    <w:rsid w:val="00D30C4A"/>
    <w:rsid w:val="00D31775"/>
    <w:rsid w:val="00D31A29"/>
    <w:rsid w:val="00D31AC2"/>
    <w:rsid w:val="00D32A81"/>
    <w:rsid w:val="00D32F5C"/>
    <w:rsid w:val="00D338D6"/>
    <w:rsid w:val="00D33C1E"/>
    <w:rsid w:val="00D3484A"/>
    <w:rsid w:val="00D34881"/>
    <w:rsid w:val="00D35360"/>
    <w:rsid w:val="00D35DA5"/>
    <w:rsid w:val="00D36981"/>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51D2"/>
    <w:rsid w:val="00D974F8"/>
    <w:rsid w:val="00D9781D"/>
    <w:rsid w:val="00D978A4"/>
    <w:rsid w:val="00D97BFF"/>
    <w:rsid w:val="00D97EA7"/>
    <w:rsid w:val="00DA0037"/>
    <w:rsid w:val="00DA00ED"/>
    <w:rsid w:val="00DA0497"/>
    <w:rsid w:val="00DA0A2F"/>
    <w:rsid w:val="00DA11D1"/>
    <w:rsid w:val="00DA1E64"/>
    <w:rsid w:val="00DA23DC"/>
    <w:rsid w:val="00DA29E6"/>
    <w:rsid w:val="00DA31F8"/>
    <w:rsid w:val="00DA33BB"/>
    <w:rsid w:val="00DA3650"/>
    <w:rsid w:val="00DA427C"/>
    <w:rsid w:val="00DA4579"/>
    <w:rsid w:val="00DA51AD"/>
    <w:rsid w:val="00DA621E"/>
    <w:rsid w:val="00DA7373"/>
    <w:rsid w:val="00DB25C8"/>
    <w:rsid w:val="00DB2EAE"/>
    <w:rsid w:val="00DB39BE"/>
    <w:rsid w:val="00DB3CE6"/>
    <w:rsid w:val="00DB483F"/>
    <w:rsid w:val="00DB5075"/>
    <w:rsid w:val="00DB6895"/>
    <w:rsid w:val="00DB6A00"/>
    <w:rsid w:val="00DB733D"/>
    <w:rsid w:val="00DC0027"/>
    <w:rsid w:val="00DC046E"/>
    <w:rsid w:val="00DC0616"/>
    <w:rsid w:val="00DC0B7E"/>
    <w:rsid w:val="00DC1A0D"/>
    <w:rsid w:val="00DC2136"/>
    <w:rsid w:val="00DC255F"/>
    <w:rsid w:val="00DC2904"/>
    <w:rsid w:val="00DC31E3"/>
    <w:rsid w:val="00DC4563"/>
    <w:rsid w:val="00DC56D0"/>
    <w:rsid w:val="00DC64C1"/>
    <w:rsid w:val="00DC6EDC"/>
    <w:rsid w:val="00DC7FA7"/>
    <w:rsid w:val="00DD0768"/>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1D2C"/>
    <w:rsid w:val="00DE2B6B"/>
    <w:rsid w:val="00DE2DFD"/>
    <w:rsid w:val="00DE3475"/>
    <w:rsid w:val="00DE4BCD"/>
    <w:rsid w:val="00DE6595"/>
    <w:rsid w:val="00DF0108"/>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1469"/>
    <w:rsid w:val="00E02269"/>
    <w:rsid w:val="00E03EB4"/>
    <w:rsid w:val="00E03F23"/>
    <w:rsid w:val="00E04D76"/>
    <w:rsid w:val="00E06A26"/>
    <w:rsid w:val="00E07AAE"/>
    <w:rsid w:val="00E07E09"/>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358A"/>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D4"/>
    <w:rsid w:val="00EA5EB5"/>
    <w:rsid w:val="00EA5EFF"/>
    <w:rsid w:val="00EA63F4"/>
    <w:rsid w:val="00EA64A0"/>
    <w:rsid w:val="00EA6E92"/>
    <w:rsid w:val="00EA74CD"/>
    <w:rsid w:val="00EA7908"/>
    <w:rsid w:val="00EB196C"/>
    <w:rsid w:val="00EB2541"/>
    <w:rsid w:val="00EB2A4D"/>
    <w:rsid w:val="00EB409C"/>
    <w:rsid w:val="00EB574C"/>
    <w:rsid w:val="00EB5D91"/>
    <w:rsid w:val="00EB5EF0"/>
    <w:rsid w:val="00EB7767"/>
    <w:rsid w:val="00EB7BE3"/>
    <w:rsid w:val="00EC0D0A"/>
    <w:rsid w:val="00EC2129"/>
    <w:rsid w:val="00EC24FD"/>
    <w:rsid w:val="00EC2961"/>
    <w:rsid w:val="00EC2B12"/>
    <w:rsid w:val="00EC5351"/>
    <w:rsid w:val="00EC57DE"/>
    <w:rsid w:val="00EC66F2"/>
    <w:rsid w:val="00ED086F"/>
    <w:rsid w:val="00ED0DBE"/>
    <w:rsid w:val="00ED12BE"/>
    <w:rsid w:val="00ED12C0"/>
    <w:rsid w:val="00ED1795"/>
    <w:rsid w:val="00ED1A80"/>
    <w:rsid w:val="00ED1B26"/>
    <w:rsid w:val="00ED3597"/>
    <w:rsid w:val="00ED3F6D"/>
    <w:rsid w:val="00ED5598"/>
    <w:rsid w:val="00ED5AF8"/>
    <w:rsid w:val="00ED5EA1"/>
    <w:rsid w:val="00ED6B1B"/>
    <w:rsid w:val="00ED6D73"/>
    <w:rsid w:val="00EE001B"/>
    <w:rsid w:val="00EE02CF"/>
    <w:rsid w:val="00EE0AAC"/>
    <w:rsid w:val="00EE11DA"/>
    <w:rsid w:val="00EE14D6"/>
    <w:rsid w:val="00EE2345"/>
    <w:rsid w:val="00EE2B66"/>
    <w:rsid w:val="00EE2C08"/>
    <w:rsid w:val="00EE2E80"/>
    <w:rsid w:val="00EE4342"/>
    <w:rsid w:val="00EE470A"/>
    <w:rsid w:val="00EE47E7"/>
    <w:rsid w:val="00EE564A"/>
    <w:rsid w:val="00EE58BF"/>
    <w:rsid w:val="00EE6DBC"/>
    <w:rsid w:val="00EF132F"/>
    <w:rsid w:val="00EF1652"/>
    <w:rsid w:val="00EF1C3F"/>
    <w:rsid w:val="00EF204D"/>
    <w:rsid w:val="00EF22A6"/>
    <w:rsid w:val="00EF253C"/>
    <w:rsid w:val="00EF2C0A"/>
    <w:rsid w:val="00EF5884"/>
    <w:rsid w:val="00EF5A30"/>
    <w:rsid w:val="00EF6155"/>
    <w:rsid w:val="00EF636C"/>
    <w:rsid w:val="00EF7267"/>
    <w:rsid w:val="00F00E12"/>
    <w:rsid w:val="00F00E4D"/>
    <w:rsid w:val="00F012B1"/>
    <w:rsid w:val="00F01C52"/>
    <w:rsid w:val="00F01E55"/>
    <w:rsid w:val="00F0291D"/>
    <w:rsid w:val="00F029D8"/>
    <w:rsid w:val="00F044F7"/>
    <w:rsid w:val="00F0706C"/>
    <w:rsid w:val="00F07277"/>
    <w:rsid w:val="00F110BC"/>
    <w:rsid w:val="00F1181C"/>
    <w:rsid w:val="00F11C98"/>
    <w:rsid w:val="00F14514"/>
    <w:rsid w:val="00F154E5"/>
    <w:rsid w:val="00F15C6C"/>
    <w:rsid w:val="00F16673"/>
    <w:rsid w:val="00F16E54"/>
    <w:rsid w:val="00F1780A"/>
    <w:rsid w:val="00F17D5E"/>
    <w:rsid w:val="00F17FDA"/>
    <w:rsid w:val="00F209B8"/>
    <w:rsid w:val="00F20C60"/>
    <w:rsid w:val="00F21131"/>
    <w:rsid w:val="00F2136C"/>
    <w:rsid w:val="00F22455"/>
    <w:rsid w:val="00F231F1"/>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32"/>
    <w:rsid w:val="00F27D23"/>
    <w:rsid w:val="00F30615"/>
    <w:rsid w:val="00F314A9"/>
    <w:rsid w:val="00F31782"/>
    <w:rsid w:val="00F31F2E"/>
    <w:rsid w:val="00F327CC"/>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31FC"/>
    <w:rsid w:val="00F5350D"/>
    <w:rsid w:val="00F53E8B"/>
    <w:rsid w:val="00F54A4A"/>
    <w:rsid w:val="00F55A54"/>
    <w:rsid w:val="00F55BB3"/>
    <w:rsid w:val="00F564C6"/>
    <w:rsid w:val="00F56EAB"/>
    <w:rsid w:val="00F5753F"/>
    <w:rsid w:val="00F57559"/>
    <w:rsid w:val="00F57D43"/>
    <w:rsid w:val="00F57FC1"/>
    <w:rsid w:val="00F60672"/>
    <w:rsid w:val="00F60D93"/>
    <w:rsid w:val="00F628BF"/>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67E0"/>
    <w:rsid w:val="00F77687"/>
    <w:rsid w:val="00F77BA2"/>
    <w:rsid w:val="00F8053B"/>
    <w:rsid w:val="00F81F7D"/>
    <w:rsid w:val="00F81F7F"/>
    <w:rsid w:val="00F83154"/>
    <w:rsid w:val="00F84107"/>
    <w:rsid w:val="00F85B77"/>
    <w:rsid w:val="00F8683C"/>
    <w:rsid w:val="00F87A0D"/>
    <w:rsid w:val="00F91F7F"/>
    <w:rsid w:val="00F923E9"/>
    <w:rsid w:val="00F9259A"/>
    <w:rsid w:val="00F92688"/>
    <w:rsid w:val="00F92C6E"/>
    <w:rsid w:val="00F92DC1"/>
    <w:rsid w:val="00F93287"/>
    <w:rsid w:val="00F943FD"/>
    <w:rsid w:val="00F9586A"/>
    <w:rsid w:val="00F95C6D"/>
    <w:rsid w:val="00F971A0"/>
    <w:rsid w:val="00F9738A"/>
    <w:rsid w:val="00FA0852"/>
    <w:rsid w:val="00FA1842"/>
    <w:rsid w:val="00FA1B34"/>
    <w:rsid w:val="00FA43C2"/>
    <w:rsid w:val="00FA4890"/>
    <w:rsid w:val="00FA4F5E"/>
    <w:rsid w:val="00FA57ED"/>
    <w:rsid w:val="00FA66D0"/>
    <w:rsid w:val="00FA6A77"/>
    <w:rsid w:val="00FA7309"/>
    <w:rsid w:val="00FB03BD"/>
    <w:rsid w:val="00FB3FE6"/>
    <w:rsid w:val="00FB41D0"/>
    <w:rsid w:val="00FB4C94"/>
    <w:rsid w:val="00FB574F"/>
    <w:rsid w:val="00FB5CF8"/>
    <w:rsid w:val="00FB6B6B"/>
    <w:rsid w:val="00FC00F2"/>
    <w:rsid w:val="00FC0536"/>
    <w:rsid w:val="00FC0949"/>
    <w:rsid w:val="00FC11CB"/>
    <w:rsid w:val="00FC287F"/>
    <w:rsid w:val="00FC3488"/>
    <w:rsid w:val="00FC4494"/>
    <w:rsid w:val="00FC5CC7"/>
    <w:rsid w:val="00FD0974"/>
    <w:rsid w:val="00FD0A83"/>
    <w:rsid w:val="00FD12E6"/>
    <w:rsid w:val="00FD188A"/>
    <w:rsid w:val="00FD1905"/>
    <w:rsid w:val="00FD1C7E"/>
    <w:rsid w:val="00FD338D"/>
    <w:rsid w:val="00FD3F9D"/>
    <w:rsid w:val="00FD4E6D"/>
    <w:rsid w:val="00FD58B0"/>
    <w:rsid w:val="00FD5F8B"/>
    <w:rsid w:val="00FD71D1"/>
    <w:rsid w:val="00FE03A0"/>
    <w:rsid w:val="00FE12B4"/>
    <w:rsid w:val="00FE15A0"/>
    <w:rsid w:val="00FE1AD5"/>
    <w:rsid w:val="00FE1E56"/>
    <w:rsid w:val="00FE211E"/>
    <w:rsid w:val="00FE2603"/>
    <w:rsid w:val="00FE3B6E"/>
    <w:rsid w:val="00FE4359"/>
    <w:rsid w:val="00FE5345"/>
    <w:rsid w:val="00FE5DEF"/>
    <w:rsid w:val="00FE61A1"/>
    <w:rsid w:val="00FE6685"/>
    <w:rsid w:val="00FE6E07"/>
    <w:rsid w:val="00FE7213"/>
    <w:rsid w:val="00FF0154"/>
    <w:rsid w:val="00FF0603"/>
    <w:rsid w:val="00FF113B"/>
    <w:rsid w:val="00FF20A4"/>
    <w:rsid w:val="00FF2234"/>
    <w:rsid w:val="00FF23A5"/>
    <w:rsid w:val="00FF3136"/>
    <w:rsid w:val="00FF425C"/>
    <w:rsid w:val="00FF5665"/>
    <w:rsid w:val="00FF6157"/>
    <w:rsid w:val="00FF68DD"/>
    <w:rsid w:val="00FF7858"/>
    <w:rsid w:val="013A1130"/>
    <w:rsid w:val="02236824"/>
    <w:rsid w:val="024E46ED"/>
    <w:rsid w:val="0431382D"/>
    <w:rsid w:val="04500C13"/>
    <w:rsid w:val="05166466"/>
    <w:rsid w:val="053A6065"/>
    <w:rsid w:val="059B3AAE"/>
    <w:rsid w:val="05CC10A3"/>
    <w:rsid w:val="06833BD2"/>
    <w:rsid w:val="074C774E"/>
    <w:rsid w:val="080B7C0E"/>
    <w:rsid w:val="084E3529"/>
    <w:rsid w:val="08732BE6"/>
    <w:rsid w:val="089B45A8"/>
    <w:rsid w:val="096B180A"/>
    <w:rsid w:val="09F304B2"/>
    <w:rsid w:val="09FF14CE"/>
    <w:rsid w:val="0A6A4B3C"/>
    <w:rsid w:val="0AEC7889"/>
    <w:rsid w:val="0B4654C4"/>
    <w:rsid w:val="0B505B9B"/>
    <w:rsid w:val="0B7C4CD0"/>
    <w:rsid w:val="0BCF050F"/>
    <w:rsid w:val="0C2333E1"/>
    <w:rsid w:val="0CC66731"/>
    <w:rsid w:val="0D0A5D09"/>
    <w:rsid w:val="0DEF1ED0"/>
    <w:rsid w:val="0E3436CA"/>
    <w:rsid w:val="0E3520B1"/>
    <w:rsid w:val="0E632E24"/>
    <w:rsid w:val="0ED84F6A"/>
    <w:rsid w:val="0F34788B"/>
    <w:rsid w:val="0F714588"/>
    <w:rsid w:val="0FB26A4C"/>
    <w:rsid w:val="130A06A1"/>
    <w:rsid w:val="133E369B"/>
    <w:rsid w:val="14F14A2B"/>
    <w:rsid w:val="152B3DC1"/>
    <w:rsid w:val="16501FA9"/>
    <w:rsid w:val="16D05439"/>
    <w:rsid w:val="16D704B9"/>
    <w:rsid w:val="16DF3580"/>
    <w:rsid w:val="17D9549A"/>
    <w:rsid w:val="195B65E5"/>
    <w:rsid w:val="1AA34806"/>
    <w:rsid w:val="1B3D3845"/>
    <w:rsid w:val="1C171F7D"/>
    <w:rsid w:val="1C2703A5"/>
    <w:rsid w:val="1C857C15"/>
    <w:rsid w:val="1DAB010F"/>
    <w:rsid w:val="1DB945CA"/>
    <w:rsid w:val="1E7A25D0"/>
    <w:rsid w:val="1EC835CB"/>
    <w:rsid w:val="1EDA248C"/>
    <w:rsid w:val="20870629"/>
    <w:rsid w:val="20F952A8"/>
    <w:rsid w:val="21FB29C4"/>
    <w:rsid w:val="229C30C2"/>
    <w:rsid w:val="22E91128"/>
    <w:rsid w:val="22EE450C"/>
    <w:rsid w:val="231D77B9"/>
    <w:rsid w:val="2353380A"/>
    <w:rsid w:val="23E4105C"/>
    <w:rsid w:val="24287BD3"/>
    <w:rsid w:val="2439606F"/>
    <w:rsid w:val="246227C9"/>
    <w:rsid w:val="24983B90"/>
    <w:rsid w:val="24E21EE4"/>
    <w:rsid w:val="255F6C5D"/>
    <w:rsid w:val="265B0866"/>
    <w:rsid w:val="26655095"/>
    <w:rsid w:val="27A55152"/>
    <w:rsid w:val="27B045C5"/>
    <w:rsid w:val="281313DD"/>
    <w:rsid w:val="28463993"/>
    <w:rsid w:val="29042498"/>
    <w:rsid w:val="294A5A4D"/>
    <w:rsid w:val="2A59481B"/>
    <w:rsid w:val="2A930A12"/>
    <w:rsid w:val="2AE95EBF"/>
    <w:rsid w:val="2AF979C2"/>
    <w:rsid w:val="2AFD3C60"/>
    <w:rsid w:val="2B0C371E"/>
    <w:rsid w:val="2B743395"/>
    <w:rsid w:val="2BD860B6"/>
    <w:rsid w:val="2C0F4C44"/>
    <w:rsid w:val="2CA169F7"/>
    <w:rsid w:val="2CEC6272"/>
    <w:rsid w:val="2D3938B4"/>
    <w:rsid w:val="2D8E78CE"/>
    <w:rsid w:val="2DCD3E28"/>
    <w:rsid w:val="2E7F4673"/>
    <w:rsid w:val="2E8B0993"/>
    <w:rsid w:val="2EE12E83"/>
    <w:rsid w:val="2F920DEB"/>
    <w:rsid w:val="2FCA6682"/>
    <w:rsid w:val="31626EEC"/>
    <w:rsid w:val="31D502D7"/>
    <w:rsid w:val="32FD3BE5"/>
    <w:rsid w:val="340772C2"/>
    <w:rsid w:val="343D54B3"/>
    <w:rsid w:val="34D74C20"/>
    <w:rsid w:val="34DA604A"/>
    <w:rsid w:val="36BA3301"/>
    <w:rsid w:val="37365EB5"/>
    <w:rsid w:val="37A10767"/>
    <w:rsid w:val="382F5281"/>
    <w:rsid w:val="385100C7"/>
    <w:rsid w:val="39EA6ECB"/>
    <w:rsid w:val="3A4E0637"/>
    <w:rsid w:val="3AB02844"/>
    <w:rsid w:val="3AC35398"/>
    <w:rsid w:val="3B054818"/>
    <w:rsid w:val="3B650EBF"/>
    <w:rsid w:val="3C022718"/>
    <w:rsid w:val="3C485AA7"/>
    <w:rsid w:val="3C824CFC"/>
    <w:rsid w:val="3D3C78B9"/>
    <w:rsid w:val="3DC12EEA"/>
    <w:rsid w:val="3DCD7D26"/>
    <w:rsid w:val="3E7E11CD"/>
    <w:rsid w:val="3F9F114C"/>
    <w:rsid w:val="3FBE237E"/>
    <w:rsid w:val="3FD008F7"/>
    <w:rsid w:val="3FEE332F"/>
    <w:rsid w:val="400F065B"/>
    <w:rsid w:val="41122B16"/>
    <w:rsid w:val="417D7A48"/>
    <w:rsid w:val="41823B99"/>
    <w:rsid w:val="42355F51"/>
    <w:rsid w:val="429168DD"/>
    <w:rsid w:val="42A0345F"/>
    <w:rsid w:val="42A56EBA"/>
    <w:rsid w:val="42CE0D35"/>
    <w:rsid w:val="432B09D4"/>
    <w:rsid w:val="43435576"/>
    <w:rsid w:val="434542A3"/>
    <w:rsid w:val="43661115"/>
    <w:rsid w:val="44BE65E0"/>
    <w:rsid w:val="45012F8D"/>
    <w:rsid w:val="45045AC7"/>
    <w:rsid w:val="450E1320"/>
    <w:rsid w:val="45470CB6"/>
    <w:rsid w:val="458E64E3"/>
    <w:rsid w:val="45B401D3"/>
    <w:rsid w:val="45ED636E"/>
    <w:rsid w:val="471D5D1F"/>
    <w:rsid w:val="472A4DB0"/>
    <w:rsid w:val="4738342D"/>
    <w:rsid w:val="475D536A"/>
    <w:rsid w:val="47911341"/>
    <w:rsid w:val="47C47362"/>
    <w:rsid w:val="481A5F60"/>
    <w:rsid w:val="4987571E"/>
    <w:rsid w:val="49936DA3"/>
    <w:rsid w:val="4A8C4473"/>
    <w:rsid w:val="4AB33D29"/>
    <w:rsid w:val="4B1F647F"/>
    <w:rsid w:val="4C233239"/>
    <w:rsid w:val="4C3B6727"/>
    <w:rsid w:val="4CAB6713"/>
    <w:rsid w:val="4D202F62"/>
    <w:rsid w:val="4DBD1A4F"/>
    <w:rsid w:val="4DCB2E58"/>
    <w:rsid w:val="4DDA0EAA"/>
    <w:rsid w:val="4E3B4E99"/>
    <w:rsid w:val="4EC45334"/>
    <w:rsid w:val="4FA47FEB"/>
    <w:rsid w:val="503912EB"/>
    <w:rsid w:val="503C4167"/>
    <w:rsid w:val="50F22391"/>
    <w:rsid w:val="5105698F"/>
    <w:rsid w:val="51E312A3"/>
    <w:rsid w:val="521A50CA"/>
    <w:rsid w:val="523D1809"/>
    <w:rsid w:val="54345D59"/>
    <w:rsid w:val="543B7DDF"/>
    <w:rsid w:val="54622723"/>
    <w:rsid w:val="54F24A86"/>
    <w:rsid w:val="55B2291D"/>
    <w:rsid w:val="56B57908"/>
    <w:rsid w:val="56CB53DD"/>
    <w:rsid w:val="56FE2233"/>
    <w:rsid w:val="57397077"/>
    <w:rsid w:val="57C51437"/>
    <w:rsid w:val="59300AFE"/>
    <w:rsid w:val="5B4F3C48"/>
    <w:rsid w:val="5B842A2E"/>
    <w:rsid w:val="5BE905BF"/>
    <w:rsid w:val="5C077BF3"/>
    <w:rsid w:val="5CF97198"/>
    <w:rsid w:val="5CFC53FF"/>
    <w:rsid w:val="5D993762"/>
    <w:rsid w:val="5DAD294E"/>
    <w:rsid w:val="5E732FE7"/>
    <w:rsid w:val="5EA165A4"/>
    <w:rsid w:val="5EB52965"/>
    <w:rsid w:val="5F0D3D8E"/>
    <w:rsid w:val="5F726888"/>
    <w:rsid w:val="60370D9C"/>
    <w:rsid w:val="60834791"/>
    <w:rsid w:val="61106291"/>
    <w:rsid w:val="620B22C0"/>
    <w:rsid w:val="623E7551"/>
    <w:rsid w:val="628A0D56"/>
    <w:rsid w:val="632D793D"/>
    <w:rsid w:val="63F50756"/>
    <w:rsid w:val="64C3075A"/>
    <w:rsid w:val="650E3F83"/>
    <w:rsid w:val="65964E5D"/>
    <w:rsid w:val="65A72B32"/>
    <w:rsid w:val="663B6125"/>
    <w:rsid w:val="66AD6293"/>
    <w:rsid w:val="670B0904"/>
    <w:rsid w:val="679720DB"/>
    <w:rsid w:val="679B3DAE"/>
    <w:rsid w:val="67FA3ADA"/>
    <w:rsid w:val="682723E8"/>
    <w:rsid w:val="688450B6"/>
    <w:rsid w:val="69A306CC"/>
    <w:rsid w:val="6A101101"/>
    <w:rsid w:val="6A6E291A"/>
    <w:rsid w:val="6A945A9B"/>
    <w:rsid w:val="6AC140B1"/>
    <w:rsid w:val="6BA74315"/>
    <w:rsid w:val="6BAB19C6"/>
    <w:rsid w:val="6C490484"/>
    <w:rsid w:val="6CF55FCB"/>
    <w:rsid w:val="6D2F76A6"/>
    <w:rsid w:val="6D4B3B3D"/>
    <w:rsid w:val="6D9739BE"/>
    <w:rsid w:val="6E033242"/>
    <w:rsid w:val="6E425DEE"/>
    <w:rsid w:val="701F0BE2"/>
    <w:rsid w:val="702B4173"/>
    <w:rsid w:val="70412B82"/>
    <w:rsid w:val="70AC3247"/>
    <w:rsid w:val="70B25325"/>
    <w:rsid w:val="71272202"/>
    <w:rsid w:val="71286EED"/>
    <w:rsid w:val="71502C3D"/>
    <w:rsid w:val="71D91954"/>
    <w:rsid w:val="71FA03D2"/>
    <w:rsid w:val="7214068D"/>
    <w:rsid w:val="72664FD3"/>
    <w:rsid w:val="727033D1"/>
    <w:rsid w:val="72A9539D"/>
    <w:rsid w:val="72C82DDB"/>
    <w:rsid w:val="73392470"/>
    <w:rsid w:val="73982572"/>
    <w:rsid w:val="746369B9"/>
    <w:rsid w:val="751F1A4B"/>
    <w:rsid w:val="75747893"/>
    <w:rsid w:val="76250B47"/>
    <w:rsid w:val="76513577"/>
    <w:rsid w:val="769A0ED4"/>
    <w:rsid w:val="76FE0CDA"/>
    <w:rsid w:val="77520979"/>
    <w:rsid w:val="777271B3"/>
    <w:rsid w:val="7872717E"/>
    <w:rsid w:val="78987255"/>
    <w:rsid w:val="7910745F"/>
    <w:rsid w:val="791F21A9"/>
    <w:rsid w:val="7A6811A8"/>
    <w:rsid w:val="7AFD495C"/>
    <w:rsid w:val="7B8B4159"/>
    <w:rsid w:val="7BA01856"/>
    <w:rsid w:val="7BB27003"/>
    <w:rsid w:val="7C851FC2"/>
    <w:rsid w:val="7CAB1C8C"/>
    <w:rsid w:val="7DBA0D42"/>
    <w:rsid w:val="7DD341AE"/>
    <w:rsid w:val="7DE50D8D"/>
    <w:rsid w:val="7E25518C"/>
    <w:rsid w:val="7E3D0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78"/>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9"/>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80"/>
    <w:semiHidden/>
    <w:unhideWhenUsed/>
    <w:qFormat/>
    <w:uiPriority w:val="9"/>
    <w:pPr>
      <w:keepNext/>
      <w:keepLines/>
      <w:spacing w:before="280" w:after="290" w:line="376" w:lineRule="auto"/>
      <w:outlineLvl w:val="4"/>
    </w:pPr>
    <w:rPr>
      <w:b/>
      <w:bCs/>
      <w:szCs w:val="28"/>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7">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8">
    <w:name w:val="Normal Indent"/>
    <w:basedOn w:val="1"/>
    <w:link w:val="30"/>
    <w:qFormat/>
    <w:uiPriority w:val="0"/>
    <w:pPr>
      <w:ind w:firstLine="420"/>
    </w:pPr>
    <w:rPr>
      <w:sz w:val="21"/>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72"/>
    <w:semiHidden/>
    <w:unhideWhenUsed/>
    <w:qFormat/>
    <w:uiPriority w:val="99"/>
    <w:rPr>
      <w:rFonts w:ascii="宋体"/>
      <w:sz w:val="18"/>
      <w:szCs w:val="18"/>
    </w:rPr>
  </w:style>
  <w:style w:type="paragraph" w:styleId="11">
    <w:name w:val="annotation text"/>
    <w:basedOn w:val="1"/>
    <w:link w:val="34"/>
    <w:unhideWhenUsed/>
    <w:qFormat/>
    <w:uiPriority w:val="99"/>
    <w:pPr>
      <w:jc w:val="left"/>
    </w:pPr>
  </w:style>
  <w:style w:type="paragraph" w:styleId="12">
    <w:name w:val="Body Text Indent"/>
    <w:basedOn w:val="1"/>
    <w:link w:val="35"/>
    <w:qFormat/>
    <w:uiPriority w:val="0"/>
    <w:pPr>
      <w:spacing w:line="200" w:lineRule="atLeast"/>
      <w:ind w:firstLine="301"/>
    </w:pPr>
    <w:rPr>
      <w:rFonts w:ascii="宋体" w:hAnsi="Courier New"/>
      <w:spacing w:val="-4"/>
      <w:sz w:val="18"/>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link w:val="54"/>
    <w:qFormat/>
    <w:uiPriority w:val="0"/>
    <w:pPr>
      <w:spacing w:beforeLines="50" w:afterLines="50" w:line="400" w:lineRule="atLeast"/>
    </w:pPr>
    <w:rPr>
      <w:rFonts w:ascii="宋体" w:hAnsi="Courier New"/>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Balloon Text"/>
    <w:basedOn w:val="1"/>
    <w:qFormat/>
    <w:uiPriority w:val="0"/>
    <w:rPr>
      <w:sz w:val="18"/>
      <w:szCs w:val="18"/>
    </w:rPr>
  </w:style>
  <w:style w:type="paragraph" w:styleId="17">
    <w:name w:val="footer"/>
    <w:basedOn w:val="1"/>
    <w:link w:val="42"/>
    <w:qFormat/>
    <w:uiPriority w:val="99"/>
    <w:pPr>
      <w:tabs>
        <w:tab w:val="center" w:pos="4153"/>
        <w:tab w:val="right" w:pos="8306"/>
      </w:tabs>
      <w:snapToGrid w:val="0"/>
      <w:jc w:val="left"/>
    </w:pPr>
    <w:rPr>
      <w:sz w:val="18"/>
      <w:szCs w:val="18"/>
    </w:rPr>
  </w:style>
  <w:style w:type="paragraph" w:styleId="18">
    <w:name w:val="header"/>
    <w:basedOn w:val="1"/>
    <w:link w:val="33"/>
    <w:qFormat/>
    <w:uiPriority w:val="99"/>
    <w:pP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style>
  <w:style w:type="paragraph" w:styleId="20">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2">
    <w:name w:val="annotation subject"/>
    <w:basedOn w:val="11"/>
    <w:next w:val="11"/>
    <w:link w:val="31"/>
    <w:unhideWhenUsed/>
    <w:qFormat/>
    <w:uiPriority w:val="99"/>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99"/>
    <w:rPr>
      <w:color w:val="0000FF"/>
      <w:u w:val="single"/>
    </w:rPr>
  </w:style>
  <w:style w:type="character" w:styleId="29">
    <w:name w:val="annotation reference"/>
    <w:unhideWhenUsed/>
    <w:qFormat/>
    <w:uiPriority w:val="99"/>
    <w:rPr>
      <w:sz w:val="21"/>
      <w:szCs w:val="21"/>
    </w:rPr>
  </w:style>
  <w:style w:type="character" w:customStyle="1" w:styleId="30">
    <w:name w:val="正文缩进 字符"/>
    <w:link w:val="8"/>
    <w:qFormat/>
    <w:uiPriority w:val="0"/>
    <w:rPr>
      <w:rFonts w:eastAsia="宋体"/>
      <w:kern w:val="2"/>
      <w:sz w:val="21"/>
      <w:lang w:val="en-US" w:eastAsia="zh-CN" w:bidi="ar-SA"/>
    </w:rPr>
  </w:style>
  <w:style w:type="character" w:customStyle="1" w:styleId="31">
    <w:name w:val="批注主题 字符"/>
    <w:link w:val="22"/>
    <w:semiHidden/>
    <w:qFormat/>
    <w:uiPriority w:val="99"/>
    <w:rPr>
      <w:b/>
      <w:bCs/>
      <w:kern w:val="2"/>
      <w:sz w:val="28"/>
      <w:szCs w:val="24"/>
    </w:rPr>
  </w:style>
  <w:style w:type="character" w:customStyle="1" w:styleId="32">
    <w:name w:val="访问过的超链接1"/>
    <w:unhideWhenUsed/>
    <w:qFormat/>
    <w:uiPriority w:val="99"/>
    <w:rPr>
      <w:color w:val="800080"/>
      <w:u w:val="single"/>
    </w:rPr>
  </w:style>
  <w:style w:type="character" w:customStyle="1" w:styleId="33">
    <w:name w:val="页眉 字符1"/>
    <w:link w:val="18"/>
    <w:qFormat/>
    <w:uiPriority w:val="99"/>
    <w:rPr>
      <w:kern w:val="2"/>
      <w:sz w:val="18"/>
      <w:szCs w:val="18"/>
    </w:rPr>
  </w:style>
  <w:style w:type="character" w:customStyle="1" w:styleId="34">
    <w:name w:val="批注文字 字符1"/>
    <w:link w:val="11"/>
    <w:semiHidden/>
    <w:qFormat/>
    <w:uiPriority w:val="99"/>
    <w:rPr>
      <w:kern w:val="2"/>
      <w:sz w:val="28"/>
      <w:szCs w:val="24"/>
    </w:rPr>
  </w:style>
  <w:style w:type="character" w:customStyle="1" w:styleId="35">
    <w:name w:val="正文文本缩进 字符1"/>
    <w:link w:val="12"/>
    <w:qFormat/>
    <w:uiPriority w:val="0"/>
    <w:rPr>
      <w:rFonts w:ascii="宋体" w:hAnsi="Courier New"/>
      <w:spacing w:val="-4"/>
      <w:kern w:val="2"/>
      <w:sz w:val="18"/>
    </w:rPr>
  </w:style>
  <w:style w:type="character" w:customStyle="1" w:styleId="36">
    <w:name w:val="z-窗体顶端 Char"/>
    <w:link w:val="37"/>
    <w:semiHidden/>
    <w:qFormat/>
    <w:uiPriority w:val="99"/>
    <w:rPr>
      <w:rFonts w:ascii="Arial" w:hAnsi="Arial"/>
      <w:vanish/>
      <w:sz w:val="16"/>
      <w:szCs w:val="16"/>
    </w:rPr>
  </w:style>
  <w:style w:type="paragraph" w:customStyle="1" w:styleId="37">
    <w:name w:val="z-窗体顶端1"/>
    <w:basedOn w:val="1"/>
    <w:next w:val="1"/>
    <w:link w:val="36"/>
    <w:unhideWhenUsed/>
    <w:qFormat/>
    <w:uiPriority w:val="99"/>
    <w:pPr>
      <w:widowControl/>
      <w:pBdr>
        <w:bottom w:val="single" w:color="auto" w:sz="6" w:space="1"/>
      </w:pBdr>
      <w:jc w:val="center"/>
    </w:pPr>
    <w:rPr>
      <w:rFonts w:ascii="Arial" w:hAnsi="Arial"/>
      <w:vanish/>
      <w:kern w:val="0"/>
      <w:sz w:val="16"/>
      <w:szCs w:val="16"/>
    </w:rPr>
  </w:style>
  <w:style w:type="character" w:customStyle="1" w:styleId="38">
    <w:name w:val="正方框图 Char Char Char"/>
    <w:link w:val="39"/>
    <w:qFormat/>
    <w:uiPriority w:val="0"/>
    <w:rPr>
      <w:kern w:val="2"/>
      <w:sz w:val="21"/>
      <w:szCs w:val="21"/>
    </w:rPr>
  </w:style>
  <w:style w:type="paragraph" w:customStyle="1" w:styleId="39">
    <w:name w:val="正方框图 Char Char"/>
    <w:basedOn w:val="1"/>
    <w:link w:val="38"/>
    <w:qFormat/>
    <w:uiPriority w:val="0"/>
    <w:pPr>
      <w:snapToGrid w:val="0"/>
      <w:jc w:val="center"/>
    </w:pPr>
    <w:rPr>
      <w:sz w:val="21"/>
      <w:szCs w:val="21"/>
    </w:rPr>
  </w:style>
  <w:style w:type="character" w:customStyle="1" w:styleId="40">
    <w:name w:val="正文文本缩进 字符"/>
    <w:qFormat/>
    <w:uiPriority w:val="0"/>
    <w:rPr>
      <w:rFonts w:ascii="宋体" w:hAnsi="Courier New"/>
      <w:spacing w:val="-4"/>
      <w:kern w:val="2"/>
      <w:sz w:val="18"/>
    </w:rPr>
  </w:style>
  <w:style w:type="character" w:customStyle="1" w:styleId="41">
    <w:name w:val="标题 1 Char Char"/>
    <w:qFormat/>
    <w:uiPriority w:val="0"/>
    <w:rPr>
      <w:rFonts w:eastAsia="宋体"/>
      <w:b/>
      <w:spacing w:val="-2"/>
      <w:sz w:val="24"/>
      <w:lang w:val="en-US" w:eastAsia="zh-CN" w:bidi="ar-SA"/>
    </w:rPr>
  </w:style>
  <w:style w:type="character" w:customStyle="1" w:styleId="42">
    <w:name w:val="页脚 字符1"/>
    <w:link w:val="17"/>
    <w:qFormat/>
    <w:uiPriority w:val="99"/>
    <w:rPr>
      <w:kern w:val="2"/>
      <w:sz w:val="18"/>
      <w:szCs w:val="18"/>
    </w:rPr>
  </w:style>
  <w:style w:type="character" w:customStyle="1" w:styleId="43">
    <w:name w:val="标题 2 字符"/>
    <w:link w:val="3"/>
    <w:semiHidden/>
    <w:qFormat/>
    <w:uiPriority w:val="9"/>
    <w:rPr>
      <w:rFonts w:ascii="Cambria" w:hAnsi="Cambria" w:eastAsia="宋体" w:cs="Times New Roman"/>
      <w:b/>
      <w:bCs/>
      <w:kern w:val="2"/>
      <w:sz w:val="32"/>
      <w:szCs w:val="32"/>
    </w:rPr>
  </w:style>
  <w:style w:type="character" w:customStyle="1" w:styleId="44">
    <w:name w:val="标题 1 字符"/>
    <w:link w:val="2"/>
    <w:qFormat/>
    <w:uiPriority w:val="9"/>
    <w:rPr>
      <w:b/>
      <w:bCs/>
      <w:kern w:val="44"/>
      <w:sz w:val="44"/>
      <w:szCs w:val="44"/>
    </w:rPr>
  </w:style>
  <w:style w:type="character" w:customStyle="1" w:styleId="45">
    <w:name w:val="纯文本 字符"/>
    <w:qFormat/>
    <w:uiPriority w:val="0"/>
    <w:rPr>
      <w:rFonts w:ascii="宋体" w:hAnsi="Courier New"/>
      <w:kern w:val="2"/>
      <w:sz w:val="24"/>
      <w:szCs w:val="24"/>
    </w:rPr>
  </w:style>
  <w:style w:type="character" w:customStyle="1" w:styleId="46">
    <w:name w:val="页脚 字符"/>
    <w:qFormat/>
    <w:uiPriority w:val="99"/>
  </w:style>
  <w:style w:type="character" w:customStyle="1" w:styleId="47">
    <w:name w:val="maywed421"/>
    <w:qFormat/>
    <w:uiPriority w:val="0"/>
    <w:rPr>
      <w:color w:val="366FB6"/>
      <w:u w:val="none"/>
    </w:rPr>
  </w:style>
  <w:style w:type="character" w:customStyle="1" w:styleId="48">
    <w:name w:val="Plain Text Char Char"/>
    <w:link w:val="49"/>
    <w:qFormat/>
    <w:uiPriority w:val="0"/>
    <w:rPr>
      <w:rFonts w:ascii="宋体" w:hAnsi="Courier New" w:cs="宋体"/>
    </w:rPr>
  </w:style>
  <w:style w:type="paragraph" w:customStyle="1" w:styleId="49">
    <w:name w:val="纯文本1"/>
    <w:basedOn w:val="1"/>
    <w:link w:val="48"/>
    <w:qFormat/>
    <w:uiPriority w:val="0"/>
    <w:rPr>
      <w:rFonts w:ascii="宋体" w:hAnsi="Courier New"/>
      <w:kern w:val="0"/>
      <w:sz w:val="20"/>
      <w:szCs w:val="20"/>
    </w:rPr>
  </w:style>
  <w:style w:type="character" w:customStyle="1" w:styleId="50">
    <w:name w:val="纯文本 Char1"/>
    <w:qFormat/>
    <w:uiPriority w:val="0"/>
    <w:rPr>
      <w:rFonts w:ascii="宋体" w:hAnsi="Courier New"/>
      <w:kern w:val="2"/>
      <w:sz w:val="21"/>
    </w:rPr>
  </w:style>
  <w:style w:type="character" w:customStyle="1" w:styleId="51">
    <w:name w:val="black601"/>
    <w:qFormat/>
    <w:uiPriority w:val="0"/>
    <w:rPr>
      <w:color w:val="666666"/>
    </w:rPr>
  </w:style>
  <w:style w:type="character" w:customStyle="1" w:styleId="52">
    <w:name w:val="z-窗体底端 Char"/>
    <w:link w:val="53"/>
    <w:semiHidden/>
    <w:qFormat/>
    <w:uiPriority w:val="99"/>
    <w:rPr>
      <w:rFonts w:ascii="Arial" w:hAnsi="Arial"/>
      <w:vanish/>
      <w:sz w:val="16"/>
      <w:szCs w:val="16"/>
    </w:rPr>
  </w:style>
  <w:style w:type="paragraph" w:customStyle="1" w:styleId="53">
    <w:name w:val="z-窗体底端1"/>
    <w:basedOn w:val="1"/>
    <w:next w:val="1"/>
    <w:link w:val="52"/>
    <w:unhideWhenUsed/>
    <w:qFormat/>
    <w:uiPriority w:val="99"/>
    <w:pPr>
      <w:widowControl/>
      <w:pBdr>
        <w:top w:val="single" w:color="auto" w:sz="6" w:space="1"/>
      </w:pBdr>
      <w:jc w:val="center"/>
    </w:pPr>
    <w:rPr>
      <w:rFonts w:ascii="Arial" w:hAnsi="Arial"/>
      <w:vanish/>
      <w:kern w:val="0"/>
      <w:sz w:val="16"/>
      <w:szCs w:val="16"/>
    </w:rPr>
  </w:style>
  <w:style w:type="character" w:customStyle="1" w:styleId="54">
    <w:name w:val="纯文本 字符1"/>
    <w:link w:val="14"/>
    <w:qFormat/>
    <w:uiPriority w:val="99"/>
    <w:rPr>
      <w:rFonts w:ascii="宋体" w:hAnsi="Courier New"/>
      <w:kern w:val="2"/>
      <w:sz w:val="24"/>
      <w:szCs w:val="24"/>
    </w:rPr>
  </w:style>
  <w:style w:type="character" w:customStyle="1" w:styleId="55">
    <w:name w:val="页眉 字符"/>
    <w:qFormat/>
    <w:uiPriority w:val="99"/>
  </w:style>
  <w:style w:type="paragraph" w:styleId="5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paragraph" w:customStyle="1" w:styleId="60">
    <w:name w:val="List Paragraph1"/>
    <w:basedOn w:val="1"/>
    <w:qFormat/>
    <w:uiPriority w:val="99"/>
    <w:pPr>
      <w:ind w:firstLine="420" w:firstLineChars="200"/>
    </w:pPr>
    <w:rPr>
      <w:sz w:val="21"/>
    </w:rPr>
  </w:style>
  <w:style w:type="paragraph" w:customStyle="1" w:styleId="61">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3">
    <w:name w:val="列出段落1"/>
    <w:basedOn w:val="1"/>
    <w:qFormat/>
    <w:uiPriority w:val="0"/>
    <w:pPr>
      <w:ind w:firstLine="420" w:firstLineChars="200"/>
    </w:pPr>
    <w:rPr>
      <w:rFonts w:ascii="Calibri" w:hAnsi="Calibri"/>
      <w:sz w:val="21"/>
    </w:rPr>
  </w:style>
  <w:style w:type="paragraph" w:customStyle="1" w:styleId="6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styleId="65">
    <w:name w:val="List Paragraph"/>
    <w:basedOn w:val="1"/>
    <w:link w:val="81"/>
    <w:qFormat/>
    <w:uiPriority w:val="0"/>
    <w:pPr>
      <w:ind w:firstLine="420" w:firstLineChars="200"/>
    </w:pPr>
    <w:rPr>
      <w:rFonts w:ascii="Calibri" w:hAnsi="Calibri"/>
      <w:sz w:val="21"/>
      <w:szCs w:val="22"/>
    </w:rPr>
  </w:style>
  <w:style w:type="paragraph" w:customStyle="1" w:styleId="66">
    <w:name w:val="正文段"/>
    <w:basedOn w:val="1"/>
    <w:qFormat/>
    <w:uiPriority w:val="0"/>
    <w:pPr>
      <w:widowControl/>
      <w:snapToGrid w:val="0"/>
      <w:spacing w:afterLines="50"/>
      <w:ind w:firstLine="200" w:firstLineChars="200"/>
    </w:pPr>
    <w:rPr>
      <w:kern w:val="0"/>
      <w:sz w:val="24"/>
      <w:szCs w:val="20"/>
    </w:rPr>
  </w:style>
  <w:style w:type="character" w:customStyle="1" w:styleId="67">
    <w:name w:val="正文文本缩进 Char"/>
    <w:qFormat/>
    <w:uiPriority w:val="0"/>
    <w:rPr>
      <w:rFonts w:ascii="宋体" w:hAnsi="Courier New"/>
      <w:spacing w:val="-4"/>
      <w:kern w:val="2"/>
      <w:sz w:val="18"/>
    </w:rPr>
  </w:style>
  <w:style w:type="character" w:customStyle="1" w:styleId="68">
    <w:name w:val="批注文字 Char"/>
    <w:qFormat/>
    <w:uiPriority w:val="99"/>
    <w:rPr>
      <w:kern w:val="2"/>
      <w:sz w:val="28"/>
      <w:szCs w:val="24"/>
    </w:rPr>
  </w:style>
  <w:style w:type="paragraph" w:customStyle="1" w:styleId="69">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70">
    <w:name w:val="纯文本 Char2"/>
    <w:qFormat/>
    <w:uiPriority w:val="99"/>
    <w:rPr>
      <w:rFonts w:ascii="宋体" w:hAnsi="Courier New"/>
      <w:kern w:val="2"/>
      <w:sz w:val="24"/>
      <w:szCs w:val="24"/>
    </w:rPr>
  </w:style>
  <w:style w:type="character" w:customStyle="1" w:styleId="71">
    <w:name w:val="批注文字 Char1"/>
    <w:semiHidden/>
    <w:qFormat/>
    <w:locked/>
    <w:uiPriority w:val="99"/>
    <w:rPr>
      <w:kern w:val="2"/>
      <w:sz w:val="28"/>
      <w:szCs w:val="24"/>
    </w:rPr>
  </w:style>
  <w:style w:type="character" w:customStyle="1" w:styleId="72">
    <w:name w:val="文档结构图 字符"/>
    <w:basedOn w:val="25"/>
    <w:link w:val="10"/>
    <w:semiHidden/>
    <w:qFormat/>
    <w:uiPriority w:val="99"/>
    <w:rPr>
      <w:rFonts w:ascii="宋体"/>
      <w:kern w:val="2"/>
      <w:sz w:val="18"/>
      <w:szCs w:val="18"/>
    </w:rPr>
  </w:style>
  <w:style w:type="character" w:customStyle="1" w:styleId="73">
    <w:name w:val="批注文字 字符"/>
    <w:qFormat/>
    <w:uiPriority w:val="99"/>
    <w:rPr>
      <w:kern w:val="2"/>
      <w:sz w:val="28"/>
      <w:szCs w:val="24"/>
    </w:rPr>
  </w:style>
  <w:style w:type="character" w:customStyle="1" w:styleId="74">
    <w:name w:val="正文文本缩进 字符2"/>
    <w:qFormat/>
    <w:uiPriority w:val="0"/>
    <w:rPr>
      <w:rFonts w:ascii="宋体" w:hAnsi="Courier New"/>
      <w:spacing w:val="-4"/>
      <w:kern w:val="2"/>
      <w:sz w:val="18"/>
    </w:rPr>
  </w:style>
  <w:style w:type="character" w:customStyle="1" w:styleId="75">
    <w:name w:val="Unresolved Mention"/>
    <w:basedOn w:val="25"/>
    <w:semiHidden/>
    <w:unhideWhenUsed/>
    <w:qFormat/>
    <w:uiPriority w:val="99"/>
    <w:rPr>
      <w:color w:val="605E5C"/>
      <w:shd w:val="clear" w:color="auto" w:fill="E1DFDD"/>
    </w:rPr>
  </w:style>
  <w:style w:type="table" w:customStyle="1" w:styleId="76">
    <w:name w:val="网格型1"/>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2"/>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
    <w:name w:val="标题 3 字符"/>
    <w:basedOn w:val="25"/>
    <w:link w:val="4"/>
    <w:semiHidden/>
    <w:uiPriority w:val="9"/>
    <w:rPr>
      <w:b/>
      <w:bCs/>
      <w:kern w:val="2"/>
      <w:sz w:val="32"/>
      <w:szCs w:val="32"/>
    </w:rPr>
  </w:style>
  <w:style w:type="character" w:customStyle="1" w:styleId="79">
    <w:name w:val="标题 4 字符"/>
    <w:basedOn w:val="25"/>
    <w:link w:val="5"/>
    <w:semiHidden/>
    <w:uiPriority w:val="9"/>
    <w:rPr>
      <w:rFonts w:asciiTheme="majorHAnsi" w:hAnsiTheme="majorHAnsi" w:eastAsiaTheme="majorEastAsia" w:cstheme="majorBidi"/>
      <w:b/>
      <w:bCs/>
      <w:kern w:val="2"/>
      <w:sz w:val="28"/>
      <w:szCs w:val="28"/>
    </w:rPr>
  </w:style>
  <w:style w:type="character" w:customStyle="1" w:styleId="80">
    <w:name w:val="标题 5 字符"/>
    <w:basedOn w:val="25"/>
    <w:link w:val="6"/>
    <w:semiHidden/>
    <w:uiPriority w:val="9"/>
    <w:rPr>
      <w:b/>
      <w:bCs/>
      <w:kern w:val="2"/>
      <w:sz w:val="28"/>
      <w:szCs w:val="28"/>
    </w:rPr>
  </w:style>
  <w:style w:type="character" w:customStyle="1" w:styleId="81">
    <w:name w:val="列表段落 字符"/>
    <w:link w:val="65"/>
    <w:uiPriority w:val="0"/>
    <w:rPr>
      <w:rFonts w:ascii="Calibri" w:hAnsi="Calibri"/>
      <w:kern w:val="2"/>
      <w:sz w:val="21"/>
      <w:szCs w:val="22"/>
    </w:rPr>
  </w:style>
  <w:style w:type="paragraph" w:customStyle="1" w:styleId="82">
    <w:name w:val="样式3123"/>
    <w:basedOn w:val="1"/>
    <w:qFormat/>
    <w:uiPriority w:val="0"/>
    <w:pPr>
      <w:adjustRightInd w:val="0"/>
      <w:snapToGrid w:val="0"/>
      <w:spacing w:beforeLines="50" w:afterLines="50" w:line="360" w:lineRule="auto"/>
      <w:ind w:firstLine="200" w:firstLineChars="200"/>
    </w:pPr>
    <w:rPr>
      <w:rFonts w:ascii="宋体" w:hAnsi="宋体" w:eastAsia="楷体" w:cs="宋体"/>
      <w:sz w:val="24"/>
    </w:rPr>
  </w:style>
  <w:style w:type="paragraph" w:customStyle="1" w:styleId="83">
    <w:name w:val="列出段落8"/>
    <w:basedOn w:val="1"/>
    <w:qFormat/>
    <w:uiPriority w:val="0"/>
    <w:pPr>
      <w:adjustRightInd w:val="0"/>
      <w:snapToGrid w:val="0"/>
      <w:spacing w:line="360" w:lineRule="auto"/>
      <w:ind w:firstLine="420" w:firstLineChars="200"/>
    </w:pPr>
    <w:rPr>
      <w:rFonts w:ascii="宋体" w:hAnsi="宋体" w:cs="宋体"/>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33533</Words>
  <Characters>34905</Characters>
  <Lines>26</Lines>
  <Paragraphs>73</Paragraphs>
  <TotalTime>1</TotalTime>
  <ScaleCrop>false</ScaleCrop>
  <LinksUpToDate>false</LinksUpToDate>
  <CharactersWithSpaces>35222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2022-04-06T07:21:00Z</dcterms:created>
  <dc:creator>jj</dc:creator>
  <cp:lastModifiedBy>Administrator</cp:lastModifiedBy>
  <cp:lastPrinted>2016-03-21T00:55:00Z</cp:lastPrinted>
  <dcterms:modified xsi:type="dcterms:W3CDTF">2022-04-11T07:48:03Z</dcterms:modified>
  <dc:title>求是招标代理有限公司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19489B5858354B36968112EB033AB174</vt:lpwstr>
  </property>
</Properties>
</file>