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拱墅区城市级实景三维工程建设项目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编号:TCZX-ZFCG(F)-</w:t>
      </w:r>
      <w:r>
        <w:rPr>
          <w:rFonts w:hint="eastAsia" w:ascii="宋体" w:hAnsi="宋体" w:cs="宋体"/>
          <w:color w:val="auto"/>
          <w:sz w:val="30"/>
          <w:szCs w:val="30"/>
          <w:highlight w:val="none"/>
          <w:lang w:eastAsia="zh-CN"/>
        </w:rPr>
        <w:t>2024005</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杭州市规划和自然资源局拱墅分局</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浙江天辰工程咨询有限公司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二〇二四年五月</w:t>
      </w:r>
      <w:r>
        <w:rPr>
          <w:rFonts w:hint="eastAsia" w:ascii="宋体" w:hAnsi="宋体" w:cs="宋体"/>
          <w:bCs/>
          <w:color w:val="auto"/>
          <w:sz w:val="32"/>
          <w:szCs w:val="32"/>
          <w:highlight w:val="none"/>
          <w:lang w:val="en-US" w:eastAsia="zh-CN"/>
        </w:rPr>
        <w:t>二十三</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7"/>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拱墅区城市级实景三维工程建设项目</w:t>
      </w:r>
      <w:r>
        <w:rPr>
          <w:rFonts w:hint="eastAsia" w:ascii="宋体" w:hAnsi="宋体" w:cs="宋体"/>
          <w:color w:val="auto"/>
          <w:sz w:val="24"/>
          <w:highlight w:val="none"/>
        </w:rPr>
        <w:t>招标项目的潜在投标人应在政采云平台（</w:t>
      </w:r>
      <w:r>
        <w:rPr>
          <w:rFonts w:hint="eastAsia"/>
          <w:color w:val="auto"/>
          <w:highlight w:val="none"/>
        </w:rPr>
        <w:fldChar w:fldCharType="begin"/>
      </w:r>
      <w:r>
        <w:rPr>
          <w:color w:val="auto"/>
          <w:highlight w:val="none"/>
        </w:rPr>
        <w:instrText xml:space="preserve"> HYPERLINK "https://www.zcygov.cn/）获取（下载）招标文件，并于202%20年%20月%20日%20点%20分00秒" </w:instrText>
      </w:r>
      <w:r>
        <w:rPr>
          <w:rFonts w:hint="eastAsia"/>
          <w:color w:val="auto"/>
          <w:highlight w:val="none"/>
        </w:rPr>
        <w:fldChar w:fldCharType="separate"/>
      </w:r>
      <w:r>
        <w:rPr>
          <w:rStyle w:val="78"/>
          <w:rFonts w:hint="eastAsia" w:ascii="宋体" w:hAnsi="宋体" w:eastAsia="宋体" w:cs="宋体"/>
          <w:snapToGrid/>
          <w:color w:val="auto"/>
          <w:kern w:val="2"/>
          <w:sz w:val="24"/>
          <w:szCs w:val="24"/>
          <w:highlight w:val="none"/>
        </w:rPr>
        <w:t>https://www.zcygov.cn/）获取（下载）招标文件，并于2024年0</w:t>
      </w:r>
      <w:r>
        <w:rPr>
          <w:rStyle w:val="78"/>
          <w:rFonts w:hint="eastAsia" w:ascii="宋体" w:hAnsi="宋体" w:cs="宋体"/>
          <w:snapToGrid/>
          <w:color w:val="auto"/>
          <w:kern w:val="2"/>
          <w:sz w:val="24"/>
          <w:szCs w:val="24"/>
          <w:highlight w:val="none"/>
          <w:lang w:val="en-US" w:eastAsia="zh-CN"/>
        </w:rPr>
        <w:t>6</w:t>
      </w:r>
      <w:r>
        <w:rPr>
          <w:rStyle w:val="78"/>
          <w:rFonts w:hint="eastAsia" w:ascii="宋体" w:hAnsi="宋体" w:eastAsia="宋体" w:cs="宋体"/>
          <w:snapToGrid/>
          <w:color w:val="auto"/>
          <w:kern w:val="2"/>
          <w:sz w:val="24"/>
          <w:szCs w:val="24"/>
          <w:highlight w:val="none"/>
        </w:rPr>
        <w:t>月</w:t>
      </w:r>
      <w:r>
        <w:rPr>
          <w:rStyle w:val="78"/>
          <w:rFonts w:hint="eastAsia" w:ascii="宋体" w:hAnsi="宋体" w:cs="宋体"/>
          <w:snapToGrid/>
          <w:color w:val="auto"/>
          <w:kern w:val="2"/>
          <w:sz w:val="24"/>
          <w:szCs w:val="24"/>
          <w:highlight w:val="none"/>
          <w:lang w:val="en-US" w:eastAsia="zh-CN"/>
        </w:rPr>
        <w:t>13</w:t>
      </w:r>
      <w:r>
        <w:rPr>
          <w:rStyle w:val="78"/>
          <w:rFonts w:hint="eastAsia" w:ascii="宋体" w:hAnsi="宋体" w:eastAsia="宋体" w:cs="宋体"/>
          <w:snapToGrid/>
          <w:color w:val="auto"/>
          <w:kern w:val="2"/>
          <w:sz w:val="24"/>
          <w:szCs w:val="24"/>
          <w:highlight w:val="none"/>
        </w:rPr>
        <w:t>日</w:t>
      </w:r>
      <w:r>
        <w:rPr>
          <w:rStyle w:val="78"/>
          <w:rFonts w:hint="eastAsia" w:ascii="宋体" w:hAnsi="宋体" w:cs="宋体"/>
          <w:snapToGrid/>
          <w:color w:val="auto"/>
          <w:kern w:val="2"/>
          <w:sz w:val="24"/>
          <w:szCs w:val="24"/>
          <w:highlight w:val="none"/>
          <w:lang w:val="en-US" w:eastAsia="zh-CN"/>
        </w:rPr>
        <w:t>09</w:t>
      </w:r>
      <w:r>
        <w:rPr>
          <w:rStyle w:val="78"/>
          <w:rFonts w:hint="eastAsia" w:ascii="宋体" w:hAnsi="宋体" w:eastAsia="宋体" w:cs="宋体"/>
          <w:snapToGrid/>
          <w:color w:val="auto"/>
          <w:kern w:val="2"/>
          <w:sz w:val="24"/>
          <w:szCs w:val="24"/>
          <w:highlight w:val="none"/>
        </w:rPr>
        <w:t>点</w:t>
      </w:r>
      <w:r>
        <w:rPr>
          <w:rStyle w:val="78"/>
          <w:rFonts w:hint="eastAsia" w:ascii="宋体" w:hAnsi="宋体" w:cs="宋体"/>
          <w:snapToGrid/>
          <w:color w:val="auto"/>
          <w:kern w:val="2"/>
          <w:sz w:val="24"/>
          <w:szCs w:val="24"/>
          <w:highlight w:val="none"/>
          <w:lang w:val="en-US" w:eastAsia="zh-CN"/>
        </w:rPr>
        <w:t>30</w:t>
      </w:r>
      <w:r>
        <w:rPr>
          <w:rStyle w:val="78"/>
          <w:rFonts w:hint="eastAsia" w:ascii="宋体" w:hAnsi="宋体" w:eastAsia="宋体" w:cs="宋体"/>
          <w:snapToGrid/>
          <w:color w:val="auto"/>
          <w:kern w:val="2"/>
          <w:sz w:val="24"/>
          <w:szCs w:val="24"/>
          <w:highlight w:val="none"/>
        </w:rPr>
        <w:t>分</w:t>
      </w:r>
      <w:r>
        <w:rPr>
          <w:rStyle w:val="78"/>
          <w:rFonts w:hint="eastAsia" w:ascii="宋体" w:hAnsi="宋体" w:eastAsia="宋体" w:cs="宋体"/>
          <w:bCs/>
          <w:snapToGrid/>
          <w:color w:val="auto"/>
          <w:kern w:val="2"/>
          <w:sz w:val="24"/>
          <w:szCs w:val="24"/>
          <w:highlight w:val="none"/>
        </w:rPr>
        <w:t>00秒</w:t>
      </w:r>
      <w:r>
        <w:rPr>
          <w:rStyle w:val="78"/>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rPr>
        <w:t>TCZX-ZFCG(F)-</w:t>
      </w:r>
      <w:r>
        <w:rPr>
          <w:rFonts w:hint="eastAsia" w:ascii="宋体" w:hAnsi="宋体" w:cs="宋体"/>
          <w:color w:val="auto"/>
          <w:sz w:val="24"/>
          <w:highlight w:val="none"/>
          <w:lang w:eastAsia="zh-CN"/>
        </w:rPr>
        <w:t>2024005</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rPr>
        <w:t>拱墅区城市级实景三维工程建设项目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ascii="宋体" w:hAnsi="宋体" w:cs="宋体"/>
          <w:color w:val="auto"/>
          <w:sz w:val="24"/>
          <w:highlight w:val="none"/>
        </w:rPr>
        <w:t xml:space="preserve"> 160</w:t>
      </w:r>
      <w:r>
        <w:rPr>
          <w:rFonts w:hint="eastAsia" w:ascii="宋体" w:hAnsi="宋体" w:cs="宋体"/>
          <w:color w:val="auto"/>
          <w:sz w:val="24"/>
          <w:highlight w:val="none"/>
        </w:rPr>
        <w:t>0000.00</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ascii="宋体" w:hAnsi="宋体" w:cs="宋体"/>
          <w:color w:val="auto"/>
          <w:sz w:val="24"/>
          <w:highlight w:val="none"/>
        </w:rPr>
        <w:t xml:space="preserve"> 1600000.00</w:t>
      </w:r>
    </w:p>
    <w:p>
      <w:pPr>
        <w:pStyle w:val="7"/>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rPr>
        <w:t>拱墅区城市级实景三维工程建设项目主要内容：根据杭州市城市级实景三维工程建设要求，建设拱墅区城市级实景三维模型和数字表面模型。1、3cm精度的Mesh三维模型数据更新；2、城市级基础地理实体生产；3、城市三维模型快速构建。具体以招标文件第三部分采购需求为准，供应商可点击本公告下方“浏览采购文件”查看采购需求</w:t>
      </w:r>
      <w:r>
        <w:rPr>
          <w:rFonts w:hint="eastAsia" w:asciiTheme="minorEastAsia" w:hAnsiTheme="minorEastAsia" w:eastAsiaTheme="minorEastAsia"/>
          <w:snapToGrid/>
          <w:color w:val="auto"/>
          <w:kern w:val="2"/>
          <w:sz w:val="24"/>
          <w:szCs w:val="24"/>
          <w:highlight w:val="none"/>
        </w:rPr>
        <w:t>。</w:t>
      </w:r>
    </w:p>
    <w:p>
      <w:pPr>
        <w:pStyle w:val="131"/>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color w:val="auto"/>
          <w:highlight w:val="none"/>
        </w:rPr>
        <w:t>自合同签订之日起至2</w:t>
      </w:r>
      <w:r>
        <w:rPr>
          <w:rFonts w:ascii="宋体" w:hAnsi="宋体" w:cs="宋体"/>
          <w:color w:val="auto"/>
          <w:highlight w:val="none"/>
        </w:rPr>
        <w:t>025</w:t>
      </w:r>
      <w:r>
        <w:rPr>
          <w:rFonts w:hint="eastAsia" w:ascii="宋体" w:hAnsi="宋体" w:cs="宋体"/>
          <w:color w:val="auto"/>
          <w:highlight w:val="none"/>
        </w:rPr>
        <w:t>年1</w:t>
      </w:r>
      <w:r>
        <w:rPr>
          <w:rFonts w:ascii="宋体" w:hAnsi="宋体" w:cs="宋体"/>
          <w:color w:val="auto"/>
          <w:highlight w:val="none"/>
        </w:rPr>
        <w:t>2</w:t>
      </w:r>
      <w:r>
        <w:rPr>
          <w:rFonts w:hint="eastAsia" w:ascii="宋体" w:hAnsi="宋体" w:cs="宋体"/>
          <w:color w:val="auto"/>
          <w:highlight w:val="none"/>
        </w:rPr>
        <w:t>月3</w:t>
      </w:r>
      <w:r>
        <w:rPr>
          <w:rFonts w:ascii="宋体" w:hAnsi="宋体" w:cs="宋体"/>
          <w:color w:val="auto"/>
          <w:highlight w:val="none"/>
        </w:rPr>
        <w:t>1</w:t>
      </w:r>
      <w:r>
        <w:rPr>
          <w:rFonts w:hint="eastAsia" w:ascii="宋体" w:hAnsi="宋体" w:cs="宋体"/>
          <w:color w:val="auto"/>
          <w:highlight w:val="none"/>
        </w:rPr>
        <w:t>日</w:t>
      </w:r>
      <w:r>
        <w:rPr>
          <w:rFonts w:ascii="宋体" w:hAnsi="宋体" w:cs="宋体"/>
          <w:color w:val="auto"/>
          <w:highlight w:val="none"/>
        </w:rPr>
        <w:t xml:space="preserve"> </w:t>
      </w:r>
    </w:p>
    <w:p>
      <w:pPr>
        <w:pStyle w:val="7"/>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sym w:font="Wingdings" w:char="F0FE"/>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sym w:font="Wingdings" w:char="F0FE"/>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29482699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40</w:t>
      </w:r>
      <w:r>
        <w:rPr>
          <w:rFonts w:hint="eastAsia" w:ascii="宋体" w:hAnsi="宋体" w:cs="宋体"/>
          <w:color w:val="auto"/>
          <w:sz w:val="24"/>
          <w:highlight w:val="none"/>
        </w:rPr>
        <w:t>%</w:t>
      </w:r>
      <w:r>
        <w:rPr>
          <w:rFonts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w:t>
      </w:r>
      <w:r>
        <w:rPr>
          <w:rFonts w:hint="eastAsia" w:ascii="宋体" w:hAnsi="宋体" w:cs="宋体"/>
          <w:color w:val="auto"/>
          <w:sz w:val="24"/>
          <w:highlight w:val="none"/>
        </w:rPr>
        <w:t>了资格条件，无需再向中小企业分包，无需提供分包意向协议；</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.本项目的特定资格要求：具有测绘地理信息行政主管部门颁发的乙级及以上测绘资质（专业范围同时包含地理信息系统工程、测绘航空摄影、摄影测量与遥感）；</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2024年0</w:t>
      </w:r>
      <w:r>
        <w:rPr>
          <w:rFonts w:hint="eastAsia" w:ascii="宋体" w:hAnsi="宋体" w:cs="宋体"/>
          <w:color w:val="auto"/>
          <w:sz w:val="24"/>
          <w:highlight w:val="none"/>
          <w:u w:val="single"/>
          <w:lang w:val="en-US" w:eastAsia="zh-CN"/>
        </w:rPr>
        <w:t>6</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2024年06月13日09点30分00秒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2024年06月13日09点30分00秒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称：杭州市规划和自然资源局拱墅分局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址：杭州市拱墅区北城街55号人防大厦13楼</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项目联系人（询问）：陈文达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ascii="宋体" w:hAnsi="宋体" w:cs="宋体"/>
          <w:color w:val="auto"/>
          <w:sz w:val="24"/>
          <w:highlight w:val="none"/>
        </w:rPr>
        <w:t>0571-87335677</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质疑联系人：吴梦姣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ascii="宋体" w:hAnsi="宋体" w:cs="宋体"/>
          <w:color w:val="auto"/>
          <w:sz w:val="24"/>
          <w:highlight w:val="none"/>
        </w:rPr>
        <w:t>0571- 87335689</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称：浙江天辰工程咨询有限公司</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址：杭州市拱墅区杭行路688号星运大厦1幢1006室</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r>
        <w:rPr>
          <w:rFonts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项目联系人（询问）：李喜林、龚梦雪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项目联系方式（询问）：0571-86771198、13665768754</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质疑联系人：赵旭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ascii="宋体" w:hAnsi="宋体" w:cs="宋体"/>
          <w:color w:val="auto"/>
          <w:sz w:val="24"/>
          <w:highlight w:val="none"/>
        </w:rPr>
        <w:t>0571-86771198</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称：杭州市拱墅区财政局 /浙江省政府采购行政裁决服务中心（杭州）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监督投诉电话：电话：0571-85252453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政策咨询：陈先生、厉先生，0571-89580460、89580456</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color w:val="auto"/>
                <w:sz w:val="24"/>
                <w:szCs w:val="32"/>
                <w:highlight w:val="none"/>
              </w:rPr>
            </w:pPr>
            <w:r>
              <w:rPr>
                <w:rFonts w:hint="eastAsia"/>
                <w:color w:val="auto"/>
                <w:sz w:val="24"/>
                <w:szCs w:val="32"/>
                <w:highlight w:val="none"/>
              </w:rPr>
              <w:t>标的：</w:t>
            </w:r>
            <w:r>
              <w:rPr>
                <w:rFonts w:hint="eastAsia"/>
                <w:color w:val="auto"/>
                <w:sz w:val="24"/>
                <w:szCs w:val="32"/>
                <w:highlight w:val="none"/>
                <w:u w:val="single"/>
              </w:rPr>
              <w:t>拱墅区城市级实景三维工程建设项目</w:t>
            </w:r>
            <w:r>
              <w:rPr>
                <w:rFonts w:hint="eastAsia"/>
                <w:color w:val="auto"/>
                <w:sz w:val="24"/>
                <w:szCs w:val="32"/>
                <w:highlight w:val="none"/>
              </w:rPr>
              <w:t>，属于</w:t>
            </w:r>
            <w:r>
              <w:rPr>
                <w:rFonts w:hint="eastAsia"/>
                <w:color w:val="auto"/>
                <w:sz w:val="24"/>
                <w:szCs w:val="32"/>
                <w:highlight w:val="none"/>
                <w:u w:val="single"/>
              </w:rPr>
              <w:t>其他未列明</w:t>
            </w:r>
            <w:r>
              <w:rPr>
                <w:rFonts w:hint="eastAsia"/>
                <w:color w:val="auto"/>
                <w:sz w:val="24"/>
                <w:szCs w:val="32"/>
                <w:highlight w:val="none"/>
              </w:rPr>
              <w:t>行业；</w:t>
            </w:r>
          </w:p>
          <w:p>
            <w:pPr>
              <w:spacing w:line="360" w:lineRule="auto"/>
              <w:rPr>
                <w:color w:val="auto"/>
                <w:sz w:val="24"/>
                <w:highlight w:val="none"/>
              </w:rPr>
            </w:pPr>
            <w:r>
              <w:rPr>
                <w:rFonts w:hint="eastAsia"/>
                <w:color w:val="auto"/>
                <w:sz w:val="24"/>
                <w:highlight w:val="none"/>
              </w:rPr>
              <w:t>说明：《关于印发中小企业划型标准规定的通知》（工信部联企业〔2011〕300号）中关于其他未列明行业划型标准如下：</w:t>
            </w:r>
          </w:p>
          <w:p>
            <w:pPr>
              <w:spacing w:line="360" w:lineRule="auto"/>
              <w:rPr>
                <w:rFonts w:ascii="宋体" w:hAnsi="宋体" w:cs="宋体"/>
                <w:b/>
                <w:bCs/>
                <w:color w:val="auto"/>
                <w:sz w:val="24"/>
                <w:highlight w:val="none"/>
              </w:rPr>
            </w:pPr>
            <w:r>
              <w:rPr>
                <w:rFonts w:hint="eastAsia"/>
                <w:b/>
                <w:bCs/>
                <w:color w:val="auto"/>
                <w:sz w:val="24"/>
                <w:highlight w:val="none"/>
              </w:rPr>
              <w:t xml:space="preserve"> </w:t>
            </w:r>
            <w:r>
              <w:rPr>
                <w:b/>
                <w:bCs/>
                <w:color w:val="auto"/>
                <w:sz w:val="24"/>
                <w:highlight w:val="none"/>
              </w:rPr>
              <w:t xml:space="preserve">   </w:t>
            </w:r>
            <w:r>
              <w:rPr>
                <w:rFonts w:hint="eastAsia"/>
                <w:b/>
                <w:bCs/>
                <w:color w:val="auto"/>
                <w:sz w:val="24"/>
                <w:highlight w:val="none"/>
              </w:rPr>
              <w:t>其他未列明行业，从业人员300人以下的为中小微型企业。其中，从业人员100人及以上的为中型企业；从业人员10人及以上的为小型企业；从业人员10人以下的为微型企业。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浙江天辰工程咨询有限公司评标室</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2</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采购代理服务费</w:t>
            </w:r>
          </w:p>
        </w:tc>
        <w:tc>
          <w:tcPr>
            <w:tcW w:w="6095" w:type="dxa"/>
            <w:tcBorders>
              <w:top w:val="single" w:color="000000" w:sz="8" w:space="0"/>
              <w:left w:val="single" w:color="000000" w:sz="2" w:space="0"/>
              <w:right w:val="single" w:color="000000" w:sz="8" w:space="0"/>
            </w:tcBorders>
            <w:vAlign w:val="center"/>
          </w:tcPr>
          <w:p>
            <w:pPr>
              <w:pStyle w:val="34"/>
              <w:spacing w:line="360" w:lineRule="auto"/>
              <w:ind w:firstLine="480" w:firstLineChars="200"/>
              <w:rPr>
                <w:rFonts w:hAnsi="宋体"/>
                <w:color w:val="auto"/>
                <w:sz w:val="24"/>
                <w:szCs w:val="24"/>
                <w:highlight w:val="none"/>
              </w:rPr>
            </w:pPr>
            <w:r>
              <w:rPr>
                <w:rFonts w:hint="eastAsia"/>
                <w:color w:val="auto"/>
                <w:sz w:val="24"/>
                <w:szCs w:val="24"/>
                <w:highlight w:val="none"/>
              </w:rPr>
              <w:t>本项目的采购代理服务费由中标人支付，服务费按计价格【2002】1980号文件收费标准*</w:t>
            </w:r>
            <w:r>
              <w:rPr>
                <w:color w:val="auto"/>
                <w:sz w:val="24"/>
                <w:szCs w:val="24"/>
                <w:highlight w:val="none"/>
              </w:rPr>
              <w:t>80%</w:t>
            </w:r>
            <w:r>
              <w:rPr>
                <w:rFonts w:hint="eastAsia"/>
                <w:color w:val="auto"/>
                <w:sz w:val="24"/>
                <w:szCs w:val="24"/>
                <w:highlight w:val="none"/>
              </w:rPr>
              <w:t>计取。在接到中标通知书</w:t>
            </w:r>
            <w:r>
              <w:rPr>
                <w:rFonts w:hint="eastAsia" w:hAnsi="宋体"/>
                <w:color w:val="auto"/>
                <w:sz w:val="24"/>
                <w:szCs w:val="24"/>
                <w:highlight w:val="none"/>
              </w:rPr>
              <w:t>后两个工作日内</w:t>
            </w:r>
            <w:r>
              <w:rPr>
                <w:rFonts w:hint="eastAsia"/>
                <w:color w:val="auto"/>
                <w:sz w:val="24"/>
                <w:szCs w:val="24"/>
                <w:highlight w:val="none"/>
              </w:rPr>
              <w:t>由中标人一次性向采购代理机构付清。</w:t>
            </w:r>
            <w:r>
              <w:rPr>
                <w:rFonts w:hint="eastAsia" w:hAnsi="宋体"/>
                <w:color w:val="auto"/>
                <w:sz w:val="24"/>
                <w:szCs w:val="24"/>
                <w:highlight w:val="none"/>
              </w:rPr>
              <w:t>采购代理服务费须包含在投标报价中，并以人民币方式支付。服务费汇入以下账号：</w:t>
            </w:r>
          </w:p>
          <w:p>
            <w:pPr>
              <w:pStyle w:val="34"/>
              <w:spacing w:line="360" w:lineRule="auto"/>
              <w:ind w:firstLine="480" w:firstLineChars="200"/>
              <w:rPr>
                <w:rFonts w:cs="Times New Roman" w:asciiTheme="minorEastAsia" w:hAnsiTheme="minorEastAsia"/>
                <w:color w:val="auto"/>
                <w:kern w:val="28"/>
                <w:sz w:val="24"/>
                <w:szCs w:val="24"/>
                <w:highlight w:val="none"/>
              </w:rPr>
            </w:pPr>
            <w:r>
              <w:rPr>
                <w:rFonts w:hint="eastAsia" w:cs="Times New Roman" w:asciiTheme="minorEastAsia" w:hAnsiTheme="minorEastAsia"/>
                <w:color w:val="auto"/>
                <w:kern w:val="28"/>
                <w:sz w:val="24"/>
                <w:szCs w:val="24"/>
                <w:highlight w:val="none"/>
              </w:rPr>
              <w:t>户</w:t>
            </w:r>
            <w:r>
              <w:rPr>
                <w:rFonts w:cs="Times New Roman" w:asciiTheme="minorEastAsia" w:hAnsiTheme="minorEastAsia"/>
                <w:color w:val="auto"/>
                <w:kern w:val="28"/>
                <w:sz w:val="24"/>
                <w:szCs w:val="24"/>
                <w:highlight w:val="none"/>
              </w:rPr>
              <w:t xml:space="preserve"> </w:t>
            </w:r>
            <w:r>
              <w:rPr>
                <w:rFonts w:hint="eastAsia" w:cs="Times New Roman" w:asciiTheme="minorEastAsia" w:hAnsiTheme="minorEastAsia"/>
                <w:color w:val="auto"/>
                <w:kern w:val="28"/>
                <w:sz w:val="24"/>
                <w:szCs w:val="24"/>
                <w:highlight w:val="none"/>
              </w:rPr>
              <w:t>名：</w:t>
            </w:r>
            <w:r>
              <w:rPr>
                <w:rFonts w:hint="eastAsia"/>
                <w:color w:val="auto"/>
                <w:sz w:val="24"/>
                <w:szCs w:val="24"/>
                <w:highlight w:val="none"/>
              </w:rPr>
              <w:t>浙江天辰工程咨询有限公司</w:t>
            </w:r>
          </w:p>
          <w:p>
            <w:pPr>
              <w:pStyle w:val="34"/>
              <w:spacing w:line="360" w:lineRule="auto"/>
              <w:ind w:firstLine="480" w:firstLineChars="200"/>
              <w:rPr>
                <w:rFonts w:asciiTheme="minorEastAsia" w:hAnsiTheme="minorEastAsia" w:eastAsiaTheme="minorEastAsia"/>
                <w:color w:val="auto"/>
                <w:sz w:val="24"/>
                <w:szCs w:val="24"/>
                <w:highlight w:val="none"/>
              </w:rPr>
            </w:pPr>
            <w:r>
              <w:rPr>
                <w:rFonts w:hint="eastAsia" w:cs="Times New Roman" w:asciiTheme="minorEastAsia" w:hAnsiTheme="minorEastAsia" w:eastAsiaTheme="minorEastAsia"/>
                <w:color w:val="auto"/>
                <w:kern w:val="28"/>
                <w:sz w:val="24"/>
                <w:szCs w:val="24"/>
                <w:highlight w:val="none"/>
              </w:rPr>
              <w:t>开</w:t>
            </w:r>
            <w:r>
              <w:rPr>
                <w:rFonts w:cs="Times New Roman" w:asciiTheme="minorEastAsia" w:hAnsiTheme="minorEastAsia" w:eastAsiaTheme="minorEastAsia"/>
                <w:color w:val="auto"/>
                <w:kern w:val="28"/>
                <w:sz w:val="24"/>
                <w:szCs w:val="24"/>
                <w:highlight w:val="none"/>
              </w:rPr>
              <w:t xml:space="preserve"> </w:t>
            </w:r>
            <w:r>
              <w:rPr>
                <w:rFonts w:hint="eastAsia" w:cs="Times New Roman" w:asciiTheme="minorEastAsia" w:hAnsiTheme="minorEastAsia" w:eastAsiaTheme="minorEastAsia"/>
                <w:color w:val="auto"/>
                <w:kern w:val="28"/>
                <w:sz w:val="24"/>
                <w:szCs w:val="24"/>
                <w:highlight w:val="none"/>
              </w:rPr>
              <w:t>户：</w:t>
            </w:r>
            <w:r>
              <w:rPr>
                <w:rFonts w:hint="eastAsia" w:asciiTheme="minorEastAsia" w:hAnsiTheme="minorEastAsia" w:eastAsiaTheme="minorEastAsia"/>
                <w:color w:val="auto"/>
                <w:sz w:val="24"/>
                <w:szCs w:val="24"/>
                <w:highlight w:val="none"/>
              </w:rPr>
              <w:t>杭州银行丰潭支行</w:t>
            </w:r>
          </w:p>
          <w:p>
            <w:pPr>
              <w:pStyle w:val="34"/>
              <w:spacing w:line="360" w:lineRule="auto"/>
              <w:ind w:firstLine="480" w:firstLineChars="200"/>
              <w:rPr>
                <w:rFonts w:hAnsi="宋体" w:cs="宋体"/>
                <w:color w:val="auto"/>
                <w:kern w:val="28"/>
                <w:sz w:val="24"/>
                <w:highlight w:val="none"/>
              </w:rPr>
            </w:pPr>
            <w:r>
              <w:rPr>
                <w:rFonts w:hint="eastAsia" w:cs="Times New Roman" w:asciiTheme="minorEastAsia" w:hAnsiTheme="minorEastAsia" w:eastAsiaTheme="minorEastAsia"/>
                <w:color w:val="auto"/>
                <w:kern w:val="28"/>
                <w:sz w:val="24"/>
                <w:szCs w:val="24"/>
                <w:highlight w:val="none"/>
              </w:rPr>
              <w:t>账</w:t>
            </w:r>
            <w:r>
              <w:rPr>
                <w:rFonts w:cs="Times New Roman" w:asciiTheme="minorEastAsia" w:hAnsiTheme="minorEastAsia" w:eastAsiaTheme="minorEastAsia"/>
                <w:color w:val="auto"/>
                <w:kern w:val="28"/>
                <w:sz w:val="24"/>
                <w:szCs w:val="24"/>
                <w:highlight w:val="none"/>
              </w:rPr>
              <w:t xml:space="preserve"> </w:t>
            </w:r>
            <w:r>
              <w:rPr>
                <w:rFonts w:hint="eastAsia" w:cs="Times New Roman" w:asciiTheme="minorEastAsia" w:hAnsiTheme="minorEastAsia" w:eastAsiaTheme="minorEastAsia"/>
                <w:color w:val="auto"/>
                <w:kern w:val="28"/>
                <w:sz w:val="24"/>
                <w:szCs w:val="24"/>
                <w:highlight w:val="none"/>
              </w:rPr>
              <w:t>号：</w:t>
            </w:r>
            <w:r>
              <w:rPr>
                <w:rFonts w:cs="Times New Roman" w:asciiTheme="minorEastAsia" w:hAnsiTheme="minorEastAsia" w:eastAsiaTheme="minorEastAsia"/>
                <w:color w:val="auto"/>
                <w:kern w:val="28"/>
                <w:sz w:val="24"/>
                <w:szCs w:val="24"/>
                <w:highlight w:val="none"/>
              </w:rPr>
              <w:t>3301040160017413256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rPr>
              <w:t>杭州市拱墅区杭行路688号星运大厦1幢1006室</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龚梦雪0571-86771198</w:t>
            </w:r>
            <w:r>
              <w:rPr>
                <w:rFonts w:hint="eastAsia" w:hAnsi="宋体" w:cs="宋体"/>
                <w:color w:val="auto"/>
                <w:sz w:val="24"/>
                <w:szCs w:val="24"/>
                <w:highlight w:val="none"/>
              </w:rPr>
              <w:t>。</w:t>
            </w:r>
            <w:r>
              <w:rPr>
                <w:rFonts w:hint="eastAsia" w:hAnsi="宋体" w:cs="宋体"/>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4</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highlight w:val="none"/>
        </w:rPr>
      </w:pPr>
    </w:p>
    <w:bookmarkEnd w:id="10"/>
    <w:p>
      <w:pPr>
        <w:widowControl/>
        <w:adjustRightInd/>
        <w:jc w:val="left"/>
        <w:rPr>
          <w:rFonts w:ascii="宋体" w:hAnsi="宋体" w:cs="宋体"/>
          <w:b/>
          <w:color w:val="auto"/>
          <w:sz w:val="32"/>
          <w:szCs w:val="20"/>
          <w:highlight w:val="none"/>
        </w:rPr>
      </w:pPr>
      <w:bookmarkStart w:id="11" w:name="第三部分"/>
      <w:bookmarkStart w:id="12" w:name="_Toc164416483"/>
      <w:r>
        <w:rPr>
          <w:rFonts w:ascii="宋体" w:hAnsi="宋体" w:cs="宋体"/>
          <w:b/>
          <w:color w:val="auto"/>
          <w:sz w:val="32"/>
          <w:szCs w:val="20"/>
          <w:highlight w:val="none"/>
        </w:rPr>
        <w:br w:type="page"/>
      </w:r>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3.2.4</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5"/>
        <w:adjustRightInd w:val="0"/>
        <w:ind w:left="0" w:firstLine="480" w:firstLineChars="200"/>
        <w:rPr>
          <w:color w:val="auto"/>
          <w:highlight w:val="none"/>
        </w:rPr>
      </w:pPr>
      <w:r>
        <w:rPr>
          <w:rFonts w:ascii="宋体" w:hAnsi="宋体" w:eastAsia="宋体" w:cs="仿宋"/>
          <w:b w:val="0"/>
          <w:bCs w:val="0"/>
          <w:color w:val="auto"/>
          <w:sz w:val="24"/>
          <w:szCs w:val="24"/>
          <w:highlight w:val="none"/>
          <w:lang w:val="en-US"/>
        </w:rPr>
        <w:t>3.4.3</w:t>
      </w:r>
      <w:r>
        <w:rPr>
          <w:rFonts w:hint="eastAsia" w:ascii="宋体" w:hAnsi="宋体" w:eastAsia="宋体" w:cs="仿宋"/>
          <w:b w:val="0"/>
          <w:bCs w:val="0"/>
          <w:color w:val="auto"/>
          <w:sz w:val="24"/>
          <w:szCs w:val="24"/>
          <w:highlight w:val="none"/>
          <w:lang w:val="en-US"/>
        </w:rPr>
        <w:t>采购人应当贯彻落实知识产权保护相关法律法规，应当采购使用正版软件。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r>
        <w:rPr>
          <w:rFonts w:hint="eastAsia" w:ascii="宋体" w:hAnsi="宋体" w:cs="仿宋"/>
          <w:color w:val="auto"/>
          <w:sz w:val="24"/>
          <w:highlight w:val="none"/>
        </w:rPr>
        <w:t>、补偿救济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snapToGrid w:val="0"/>
        <w:spacing w:line="360" w:lineRule="auto"/>
        <w:ind w:firstLine="480" w:firstLineChars="200"/>
        <w:rPr>
          <w:rFonts w:ascii="宋体" w:hAnsi="宋体" w:cs="仿宋"/>
          <w:color w:val="auto"/>
          <w:sz w:val="24"/>
          <w:highlight w:val="none"/>
        </w:rPr>
      </w:pPr>
      <w:r>
        <w:rPr>
          <w:rFonts w:ascii="宋体" w:hAnsi="宋体" w:cs="仿宋"/>
          <w:color w:val="auto"/>
          <w:sz w:val="24"/>
          <w:highlight w:val="none"/>
        </w:rPr>
        <w:t>4.5</w:t>
      </w:r>
      <w:r>
        <w:rPr>
          <w:rFonts w:hint="eastAsia" w:ascii="宋体" w:hAnsi="宋体" w:cs="仿宋"/>
          <w:color w:val="auto"/>
          <w:sz w:val="24"/>
          <w:highlight w:val="none"/>
        </w:rPr>
        <w:t>补偿救济</w:t>
      </w:r>
    </w:p>
    <w:p>
      <w:pPr>
        <w:snapToGrid w:val="0"/>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采购人（行政机关）因政策变化、规划调整而不履行政府采购合同的，供应商可依据《杭州市涉企补偿救济实施办法（试行）》向采购人（行政机关）提起补偿申请。</w:t>
      </w:r>
    </w:p>
    <w:p>
      <w:pPr>
        <w:pStyle w:val="888"/>
        <w:shd w:val="clear" w:color="auto" w:fill="FFFFFF"/>
        <w:snapToGrid w:val="0"/>
        <w:spacing w:after="240" w:afterAutospacing="0" w:line="360" w:lineRule="auto"/>
        <w:ind w:firstLine="400"/>
        <w:contextualSpacing/>
        <w:rPr>
          <w:color w:val="auto"/>
          <w:highlight w:val="none"/>
        </w:rPr>
      </w:pP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31"/>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6.1已获取招标文件的潜在投标人，若有问题需要澄清，应于投标截止时间前，以书面形式向采购代理机构提出。</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6.2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7.招标文件的获取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7"/>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10.投标文件的语言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11.投标文件的组成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pStyle w:val="5"/>
        <w:adjustRightInd w:val="0"/>
        <w:ind w:left="0" w:firstLine="960" w:firstLineChars="400"/>
        <w:rPr>
          <w:color w:val="auto"/>
          <w:highlight w:val="none"/>
        </w:rPr>
      </w:pPr>
      <w:r>
        <w:rPr>
          <w:rFonts w:ascii="宋体" w:hAnsi="宋体" w:eastAsia="宋体" w:cs="宋体"/>
          <w:b w:val="0"/>
          <w:bCs w:val="0"/>
          <w:color w:val="auto"/>
          <w:sz w:val="24"/>
          <w:szCs w:val="24"/>
          <w:highlight w:val="none"/>
          <w:lang w:val="en-US"/>
        </w:rPr>
        <w:t>11.3.2报价情况说明（如供应商报价低于项目预算50%的，应当提交本文档，详细阐述不影响产品质量或者诚信履约的具体原因）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11.3.3中小企业声明函。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0" w:firstLineChars="300"/>
        <w:rPr>
          <w:color w:val="auto"/>
          <w:highlight w:val="none"/>
        </w:rPr>
      </w:pPr>
      <w:r>
        <w:rPr>
          <w:rFonts w:hint="eastAsia"/>
          <w:color w:val="auto"/>
          <w:sz w:val="24"/>
          <w:highlight w:val="none"/>
          <w:shd w:val="clear" w:color="auto" w:fill="FFFFFF"/>
        </w:rPr>
        <w:t>投标人应对投标文件中材料的真实性、合法性负责。</w:t>
      </w:r>
    </w:p>
    <w:p>
      <w:pPr>
        <w:pStyle w:val="131"/>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1"/>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14.投标文件的提交、补充、修改、撤回</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但采购人、采购代理机构不强制或变相强制投标人提交备份投标文件。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1"/>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1"/>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1"/>
        <w:spacing w:before="0"/>
        <w:ind w:firstLine="643"/>
        <w:rPr>
          <w:rFonts w:ascii="宋体" w:hAnsi="宋体" w:cs="宋体"/>
          <w:b/>
          <w:color w:val="auto"/>
          <w:sz w:val="32"/>
          <w:highlight w:val="none"/>
        </w:rPr>
      </w:pPr>
    </w:p>
    <w:p>
      <w:pPr>
        <w:pStyle w:val="131"/>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7"/>
        <w:spacing w:before="0" w:line="360" w:lineRule="auto"/>
        <w:ind w:left="0" w:firstLine="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7"/>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pStyle w:val="131"/>
        <w:widowControl/>
        <w:spacing w:before="0" w:beforeAutospacing="1" w:after="240"/>
        <w:ind w:firstLine="0" w:firstLineChars="0"/>
        <w:jc w:val="left"/>
        <w:rPr>
          <w:rFonts w:ascii="宋体" w:hAnsi="宋体" w:cs="宋体"/>
          <w:b/>
          <w:color w:val="auto"/>
          <w:highlight w:val="none"/>
        </w:rPr>
      </w:pPr>
      <w:r>
        <w:rPr>
          <w:rFonts w:hint="eastAsia" w:ascii="宋体" w:hAnsi="宋体" w:cs="宋体"/>
          <w:b/>
          <w:color w:val="auto"/>
          <w:szCs w:val="24"/>
          <w:highlight w:val="none"/>
        </w:rPr>
        <w:t>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19.1</w:t>
      </w:r>
      <w:r>
        <w:rPr>
          <w:rFonts w:hint="eastAsia" w:ascii="宋体" w:hAnsi="宋体" w:cs="宋体"/>
          <w:color w:val="auto"/>
          <w:sz w:val="24"/>
          <w:highlight w:val="none"/>
        </w:rPr>
        <w:t>采购人或采购代理机构依据法律法规和招标文件的规定，对投标人的资格进行审查。</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3对未通过资格审查的投标人，采购人或采购代理机构告知其未通过的原因。</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31"/>
        <w:snapToGrid w:val="0"/>
        <w:spacing w:before="0"/>
        <w:ind w:firstLine="480"/>
        <w:rPr>
          <w:rFonts w:ascii="宋体" w:hAnsi="宋体" w:cs="宋体"/>
          <w:color w:val="auto"/>
          <w:highlight w:val="none"/>
        </w:rPr>
      </w:pPr>
      <w:r>
        <w:rPr>
          <w:rFonts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13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1"/>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spacing w:line="360" w:lineRule="auto"/>
        <w:ind w:left="479" w:hanging="479" w:hangingChars="199"/>
        <w:rPr>
          <w:rFonts w:cs="宋体"/>
          <w:b/>
          <w:color w:val="auto"/>
          <w:highlight w:val="none"/>
        </w:rPr>
      </w:pPr>
      <w:r>
        <w:rPr>
          <w:rFonts w:hint="eastAsia" w:cs="宋体"/>
          <w:b/>
          <w:color w:val="auto"/>
          <w:highlight w:val="none"/>
        </w:rPr>
        <w:t>22.确定中标供应商</w:t>
      </w:r>
    </w:p>
    <w:p>
      <w:pPr>
        <w:pStyle w:val="131"/>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31"/>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pStyle w:val="131"/>
        <w:snapToGrid w:val="0"/>
        <w:spacing w:before="0"/>
        <w:ind w:firstLine="480"/>
        <w:rPr>
          <w:rStyle w:val="80"/>
          <w:color w:val="auto"/>
          <w:highlight w:val="none"/>
        </w:rPr>
      </w:pPr>
      <w:r>
        <w:rPr>
          <w:rFonts w:hint="eastAsia" w:ascii="宋体" w:hAnsi="宋体" w:cs="宋体"/>
          <w:color w:val="auto"/>
          <w:szCs w:val="24"/>
          <w:highlight w:val="none"/>
        </w:rPr>
        <w:t>23.4</w:t>
      </w:r>
      <w:r>
        <w:rPr>
          <w:rFonts w:hint="eastAsia" w:ascii="宋体" w:hAnsi="宋体" w:cs="宋体"/>
          <w:bCs/>
          <w:color w:val="auto"/>
          <w:szCs w:val="24"/>
          <w:highlight w:val="none"/>
        </w:rPr>
        <w:t>由于中标、成交供应商原因导致重新采购的，应当承担支付代理费和专家评审费等费用在内的赔偿责任。</w:t>
      </w:r>
    </w:p>
    <w:p>
      <w:pPr>
        <w:pStyle w:val="2"/>
        <w:rPr>
          <w:color w:val="auto"/>
          <w:highlight w:val="none"/>
        </w:rPr>
      </w:pP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spacing w:line="360" w:lineRule="auto"/>
        <w:ind w:left="479" w:hanging="479" w:hangingChars="199"/>
        <w:rPr>
          <w:rFonts w:cs="宋体"/>
          <w:b/>
          <w:color w:val="auto"/>
          <w:highlight w:val="none"/>
        </w:rPr>
      </w:pPr>
      <w:r>
        <w:rPr>
          <w:rFonts w:hint="eastAsia" w:cs="宋体"/>
          <w:b/>
          <w:color w:val="auto"/>
          <w:highlight w:val="none"/>
        </w:rPr>
        <w:t>24.</w:t>
      </w:r>
      <w:r>
        <w:rPr>
          <w:rFonts w:hint="eastAsia" w:cs="宋体"/>
          <w:color w:val="auto"/>
          <w:highlight w:val="none"/>
        </w:rPr>
        <w:t>合同主要条款详见第五部分拟签订的合同文本。</w:t>
      </w:r>
    </w:p>
    <w:p>
      <w:pPr>
        <w:pStyle w:val="26"/>
        <w:spacing w:line="360" w:lineRule="auto"/>
        <w:ind w:left="479" w:hanging="479" w:hangingChars="199"/>
        <w:rPr>
          <w:rFonts w:cs="宋体"/>
          <w:b/>
          <w:color w:val="auto"/>
          <w:highlight w:val="none"/>
        </w:rPr>
      </w:pPr>
      <w:r>
        <w:rPr>
          <w:rFonts w:hint="eastAsia" w:cs="宋体"/>
          <w:b/>
          <w:color w:val="auto"/>
          <w:highlight w:val="none"/>
        </w:rPr>
        <w:t>25.合同的签订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auto"/>
          <w:highlight w:val="none"/>
        </w:rPr>
      </w:pPr>
      <w:r>
        <w:rPr>
          <w:rFonts w:hint="eastAsia" w:cs="宋体"/>
          <w:b/>
          <w:color w:val="auto"/>
          <w:highlight w:val="none"/>
        </w:rPr>
        <w:t>26.履约保证金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5"/>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color w:val="auto"/>
          <w:highlight w:val="none"/>
        </w:rPr>
      </w:pPr>
      <w:r>
        <w:rPr>
          <w:rFonts w:ascii="宋体" w:hAnsi="宋体" w:eastAsia="宋体"/>
          <w:color w:val="auto"/>
          <w:sz w:val="24"/>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1"/>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ascii="宋体" w:hAnsi="宋体" w:cs="宋体"/>
          <w:b/>
          <w:bCs/>
          <w:color w:val="auto"/>
          <w:szCs w:val="24"/>
          <w:highlight w:val="none"/>
        </w:rPr>
        <w:t>8</w:t>
      </w:r>
      <w:r>
        <w:rPr>
          <w:rFonts w:hint="eastAsia" w:ascii="宋体" w:hAnsi="宋体" w:cs="宋体"/>
          <w:b/>
          <w:color w:val="auto"/>
          <w:szCs w:val="24"/>
          <w:highlight w:val="none"/>
        </w:rPr>
        <w:t>.电子交易活动的中止。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1"/>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1"/>
        <w:snapToGrid w:val="0"/>
        <w:spacing w:before="0"/>
        <w:ind w:firstLine="0" w:firstLineChars="0"/>
        <w:rPr>
          <w:rFonts w:ascii="宋体" w:hAnsi="宋体" w:cs="宋体"/>
          <w:color w:val="auto"/>
          <w:highlight w:val="none"/>
        </w:rPr>
      </w:pPr>
      <w:r>
        <w:rPr>
          <w:rFonts w:hint="eastAsia" w:ascii="宋体" w:hAnsi="宋体" w:cs="宋体"/>
          <w:color w:val="auto"/>
          <w:highlight w:val="none"/>
        </w:rPr>
        <w:t>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6"/>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5"/>
        <w:adjustRightInd w:val="0"/>
        <w:snapToGrid w:val="0"/>
        <w:ind w:left="0" w:firstLine="480" w:firstLineChars="200"/>
        <w:rPr>
          <w:rFonts w:ascii="宋体" w:hAnsi="宋体" w:eastAsia="宋体" w:cs="宋体"/>
          <w:b w:val="0"/>
          <w:bCs w:val="0"/>
          <w:color w:val="auto"/>
          <w:kern w:val="0"/>
          <w:sz w:val="24"/>
          <w:szCs w:val="24"/>
          <w:highlight w:val="none"/>
          <w:lang w:val="en-US"/>
        </w:rPr>
      </w:pPr>
      <w:r>
        <w:rPr>
          <w:rFonts w:ascii="宋体" w:hAnsi="宋体" w:eastAsia="宋体" w:cs="宋体"/>
          <w:b w:val="0"/>
          <w:bCs w:val="0"/>
          <w:color w:val="auto"/>
          <w:kern w:val="0"/>
          <w:sz w:val="24"/>
          <w:szCs w:val="24"/>
          <w:highlight w:val="none"/>
          <w:lang w:val="en-US"/>
        </w:rPr>
        <w:t>30.5</w:t>
      </w:r>
      <w:r>
        <w:rPr>
          <w:rFonts w:hint="eastAsia" w:ascii="宋体" w:hAnsi="宋体" w:eastAsia="宋体" w:cs="宋体"/>
          <w:b w:val="0"/>
          <w:bCs w:val="0"/>
          <w:color w:val="auto"/>
          <w:kern w:val="0"/>
          <w:sz w:val="24"/>
          <w:szCs w:val="24"/>
          <w:highlight w:val="none"/>
          <w:lang w:val="en-US"/>
        </w:rPr>
        <w:t>对于满足合同约定的采购资金支付条件的，供应商可通过政采云平台提起在线支付申请、查询支付结果，路径为政采云</w:t>
      </w:r>
      <w:r>
        <w:rPr>
          <w:rFonts w:ascii="宋体" w:hAnsi="宋体" w:eastAsia="宋体" w:cs="宋体"/>
          <w:b w:val="0"/>
          <w:bCs w:val="0"/>
          <w:color w:val="auto"/>
          <w:kern w:val="0"/>
          <w:sz w:val="24"/>
          <w:szCs w:val="24"/>
          <w:highlight w:val="none"/>
          <w:lang w:val="en-US"/>
        </w:rPr>
        <w:t>-我的工作台-</w:t>
      </w:r>
      <w:r>
        <w:rPr>
          <w:rFonts w:hint="eastAsia" w:ascii="宋体" w:hAnsi="宋体" w:eastAsia="宋体" w:cs="宋体"/>
          <w:b w:val="0"/>
          <w:bCs w:val="0"/>
          <w:color w:val="auto"/>
          <w:kern w:val="0"/>
          <w:sz w:val="24"/>
          <w:szCs w:val="24"/>
          <w:highlight w:val="none"/>
          <w:lang w:val="en-US"/>
        </w:rPr>
        <w:t>合同管理</w:t>
      </w:r>
      <w:r>
        <w:rPr>
          <w:rFonts w:ascii="宋体" w:hAnsi="宋体" w:eastAsia="宋体" w:cs="宋体"/>
          <w:b w:val="0"/>
          <w:bCs w:val="0"/>
          <w:color w:val="auto"/>
          <w:kern w:val="0"/>
          <w:sz w:val="24"/>
          <w:szCs w:val="24"/>
          <w:highlight w:val="none"/>
          <w:lang w:val="en-US"/>
        </w:rPr>
        <w:t>-支付管理。对于供应商提起在线支付申请的，采购</w:t>
      </w:r>
      <w:r>
        <w:rPr>
          <w:rFonts w:hint="eastAsia" w:ascii="宋体" w:hAnsi="宋体" w:eastAsia="宋体" w:cs="宋体"/>
          <w:b w:val="0"/>
          <w:bCs w:val="0"/>
          <w:color w:val="auto"/>
          <w:kern w:val="0"/>
          <w:sz w:val="24"/>
          <w:szCs w:val="24"/>
          <w:highlight w:val="none"/>
          <w:lang w:val="en-US"/>
        </w:rPr>
        <w:t>人应当按规定做好审核并完成支付。</w:t>
      </w:r>
    </w:p>
    <w:p>
      <w:pPr>
        <w:pStyle w:val="2"/>
        <w:rPr>
          <w:color w:val="auto"/>
          <w:highlight w:val="none"/>
        </w:rPr>
      </w:pP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403820"/>
      <w:bookmarkEnd w:id="15"/>
      <w:bookmarkStart w:id="16" w:name="_Hlt68073093"/>
      <w:bookmarkEnd w:id="16"/>
      <w:bookmarkStart w:id="17" w:name="_Hlt68057669"/>
      <w:bookmarkEnd w:id="17"/>
      <w:bookmarkStart w:id="18" w:name="_Hlt74730295"/>
      <w:bookmarkEnd w:id="18"/>
      <w:bookmarkStart w:id="19" w:name="_Hlt74714665"/>
      <w:bookmarkEnd w:id="19"/>
      <w:bookmarkStart w:id="20" w:name="_Hlt75236011"/>
      <w:bookmarkEnd w:id="20"/>
      <w:bookmarkStart w:id="21" w:name="_Hlt68072990"/>
      <w:bookmarkEnd w:id="21"/>
      <w:bookmarkStart w:id="22" w:name="_Hlt74729768"/>
      <w:bookmarkEnd w:id="22"/>
      <w:bookmarkStart w:id="23" w:name="_Hlt74707468"/>
      <w:bookmarkEnd w:id="23"/>
      <w:bookmarkStart w:id="24" w:name="_Hlt75236290"/>
      <w:bookmarkEnd w:id="24"/>
      <w:bookmarkStart w:id="25" w:name="_Hlt75236101"/>
      <w:bookmarkEnd w:id="25"/>
      <w:bookmarkStart w:id="26" w:name="_Hlt68072998"/>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pStyle w:val="258"/>
        <w:numPr>
          <w:ilvl w:val="0"/>
          <w:numId w:val="1"/>
        </w:numPr>
        <w:ind w:firstLineChars="0"/>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建设背景</w:t>
      </w:r>
    </w:p>
    <w:p>
      <w:pPr>
        <w:pStyle w:val="26"/>
        <w:spacing w:line="360" w:lineRule="auto"/>
        <w:ind w:firstLine="490" w:firstLineChars="0"/>
        <w:jc w:val="left"/>
        <w:rPr>
          <w:rFonts w:cs="宋体"/>
          <w:color w:val="auto"/>
          <w:highlight w:val="none"/>
        </w:rPr>
      </w:pPr>
      <w:r>
        <w:rPr>
          <w:rFonts w:cs="宋体"/>
          <w:color w:val="auto"/>
          <w:highlight w:val="none"/>
        </w:rPr>
        <w:t xml:space="preserve">党的二十大报告指出，要加快建设数字中国，发展数字经济，准确把握数字化、网络化、智能化融合发展契机。中共中央国务院印发《关于数字中国建设整体布局规划》，指出建设数字中国是数字时代推进中国式现代化的重要引擎，是构筑国家竞争新优势的有力支撑。实景三维作为真实、立体、时序化反映人类生产、生活和生态空间的时空信息，是国家重要的新型基础设施。自然资源部将实景三维中国建设作为提升测绘地理信息服务数字中国建设的重要抓手，于2023年3月印发《实景三维中国建设总体实施方案(2023-2025年)》，强调各级自然资源主管部门要加强统筹、协同建设、资源共享、高质量做好实景三维建设工作，为数字中国建设打造统一的时空基底，为高质量发展提供丰富的数据要素保障。 </w:t>
      </w:r>
    </w:p>
    <w:p>
      <w:pPr>
        <w:pStyle w:val="26"/>
        <w:spacing w:line="360" w:lineRule="auto"/>
        <w:ind w:firstLine="490" w:firstLineChars="0"/>
        <w:jc w:val="left"/>
        <w:rPr>
          <w:rFonts w:cs="宋体"/>
          <w:color w:val="auto"/>
          <w:highlight w:val="none"/>
        </w:rPr>
      </w:pPr>
      <w:r>
        <w:rPr>
          <w:rFonts w:cs="宋体"/>
          <w:color w:val="auto"/>
          <w:highlight w:val="none"/>
        </w:rPr>
        <w:t xml:space="preserve">为加快建成实景三维浙江成果，落实国家关于实景三维中国建设部署要求，实现“各领域治理数字化，打造数字孪生城市”“打造空间治理数字化改革先行省”，于2023年9月省自然资源厅印发《实景三维浙江建设实施方案(2023-2025年)》，强调于2025年前开展实景三维浙江建设，进一步提升全省测绘地理信息服务能力，以便更好满足各领域对三维地理信息的需求。 </w:t>
      </w:r>
    </w:p>
    <w:p>
      <w:pPr>
        <w:pStyle w:val="26"/>
        <w:spacing w:line="360" w:lineRule="auto"/>
        <w:ind w:firstLine="490" w:firstLineChars="0"/>
        <w:jc w:val="left"/>
        <w:rPr>
          <w:rFonts w:cs="宋体"/>
          <w:color w:val="auto"/>
          <w:highlight w:val="none"/>
        </w:rPr>
      </w:pPr>
      <w:r>
        <w:rPr>
          <w:rFonts w:cs="宋体"/>
          <w:color w:val="auto"/>
          <w:highlight w:val="none"/>
        </w:rPr>
        <w:t>为落实部、省实景三维建设要求，结合现有基础地理信息成果和全市2021-2022年城镇开发边界范围内的实景三维成果，统筹开展杭州市实景三维建设，实现在2025年前完成全市平原区域范围的激光点云获取及数字表面模型生产和城镇开发边界范围城市级实景三维模型建设。</w:t>
      </w:r>
    </w:p>
    <w:p>
      <w:pPr>
        <w:pStyle w:val="258"/>
        <w:numPr>
          <w:ilvl w:val="0"/>
          <w:numId w:val="1"/>
        </w:numPr>
        <w:ind w:firstLineChars="0"/>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建设目标</w:t>
      </w:r>
    </w:p>
    <w:p>
      <w:pPr>
        <w:pStyle w:val="26"/>
        <w:spacing w:line="360" w:lineRule="auto"/>
        <w:ind w:firstLine="490" w:firstLineChars="0"/>
        <w:jc w:val="left"/>
        <w:rPr>
          <w:rFonts w:cs="宋体"/>
          <w:color w:val="auto"/>
          <w:highlight w:val="none"/>
        </w:rPr>
      </w:pPr>
      <w:r>
        <w:rPr>
          <w:rFonts w:hint="eastAsia" w:cs="宋体"/>
          <w:color w:val="auto"/>
          <w:highlight w:val="none"/>
        </w:rPr>
        <w:t>落实部、省、市实景三维建设要求，结合拱墅区已有的基础地理信息成果和实景三维成果，采用航空摄影测量、激光雷达、地理信息系统、云技术、实体三维建模等技术，按照“统筹协同、规范一致、统一平台、分工负责”的原则，建设拱墅区开发边界范围内8</w:t>
      </w:r>
      <w:r>
        <w:rPr>
          <w:rFonts w:cs="宋体"/>
          <w:color w:val="auto"/>
          <w:highlight w:val="none"/>
        </w:rPr>
        <w:t>8平方千米</w:t>
      </w:r>
      <w:r>
        <w:rPr>
          <w:rFonts w:hint="eastAsia" w:cs="宋体"/>
          <w:color w:val="auto"/>
          <w:highlight w:val="none"/>
        </w:rPr>
        <w:t>城市级实景三维模型和数字表面模型。</w:t>
      </w:r>
    </w:p>
    <w:p>
      <w:pPr>
        <w:pStyle w:val="258"/>
        <w:numPr>
          <w:ilvl w:val="0"/>
          <w:numId w:val="1"/>
        </w:numPr>
        <w:ind w:firstLineChars="0"/>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采购标的需执行的国家相关标准、行业标准、地方标准或者其他标准、规范等</w:t>
      </w:r>
    </w:p>
    <w:p>
      <w:pPr>
        <w:pStyle w:val="26"/>
        <w:spacing w:line="360" w:lineRule="auto"/>
        <w:ind w:firstLine="490" w:firstLineChars="0"/>
        <w:jc w:val="left"/>
        <w:rPr>
          <w:rFonts w:cs="宋体"/>
          <w:color w:val="auto"/>
          <w:highlight w:val="none"/>
        </w:rPr>
      </w:pPr>
      <w:r>
        <w:rPr>
          <w:rFonts w:cs="宋体"/>
          <w:color w:val="auto"/>
          <w:highlight w:val="none"/>
        </w:rPr>
        <w:t xml:space="preserve">1.政策依据 </w:t>
      </w:r>
    </w:p>
    <w:p>
      <w:pPr>
        <w:pStyle w:val="26"/>
        <w:spacing w:line="360" w:lineRule="auto"/>
        <w:ind w:firstLine="490" w:firstLineChars="0"/>
        <w:jc w:val="left"/>
        <w:rPr>
          <w:rFonts w:cs="宋体"/>
          <w:color w:val="auto"/>
          <w:highlight w:val="none"/>
        </w:rPr>
      </w:pPr>
      <w:r>
        <w:rPr>
          <w:rFonts w:hint="eastAsia" w:cs="宋体"/>
          <w:color w:val="auto"/>
          <w:highlight w:val="none"/>
        </w:rPr>
        <w:t>（1）</w:t>
      </w:r>
      <w:r>
        <w:rPr>
          <w:rFonts w:cs="宋体"/>
          <w:color w:val="auto"/>
          <w:highlight w:val="none"/>
        </w:rPr>
        <w:t>《自然资源部关于印发&lt;实景三维中国建设总体实施方案(2023-2025年)&gt;的通知》(自然资发</w:t>
      </w:r>
      <w:r>
        <w:rPr>
          <w:rFonts w:hint="eastAsia" w:cs="宋体"/>
          <w:color w:val="auto"/>
          <w:highlight w:val="none"/>
        </w:rPr>
        <w:t>【</w:t>
      </w:r>
      <w:r>
        <w:rPr>
          <w:rFonts w:cs="宋体"/>
          <w:color w:val="auto"/>
          <w:highlight w:val="none"/>
        </w:rPr>
        <w:t>2023</w:t>
      </w:r>
      <w:r>
        <w:rPr>
          <w:rFonts w:hint="eastAsia" w:ascii="Times New Roman" w:hAnsi="Times New Roman"/>
          <w:color w:val="auto"/>
          <w:highlight w:val="none"/>
        </w:rPr>
        <w:t>】</w:t>
      </w:r>
      <w:r>
        <w:rPr>
          <w:rFonts w:cs="宋体"/>
          <w:color w:val="auto"/>
          <w:highlight w:val="none"/>
        </w:rPr>
        <w:t>31号)</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（2）</w:t>
      </w:r>
      <w:r>
        <w:rPr>
          <w:rFonts w:cs="宋体"/>
          <w:color w:val="auto"/>
          <w:highlight w:val="none"/>
        </w:rPr>
        <w:t>《自然资源部关于“十四五”测绘地理信息重点工作安排的通知》(自然资发</w:t>
      </w:r>
      <w:r>
        <w:rPr>
          <w:rFonts w:hint="eastAsia" w:cs="宋体"/>
          <w:color w:val="auto"/>
          <w:highlight w:val="none"/>
        </w:rPr>
        <w:t>【</w:t>
      </w:r>
      <w:r>
        <w:rPr>
          <w:rFonts w:cs="宋体"/>
          <w:color w:val="auto"/>
          <w:highlight w:val="none"/>
        </w:rPr>
        <w:t>2022</w:t>
      </w:r>
      <w:r>
        <w:rPr>
          <w:rFonts w:hint="eastAsia" w:ascii="Times New Roman" w:hAnsi="Times New Roman"/>
          <w:color w:val="auto"/>
          <w:highlight w:val="none"/>
        </w:rPr>
        <w:t>】</w:t>
      </w:r>
      <w:r>
        <w:rPr>
          <w:rFonts w:cs="宋体"/>
          <w:color w:val="auto"/>
          <w:highlight w:val="none"/>
        </w:rPr>
        <w:t>22号)</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（3）</w:t>
      </w:r>
      <w:r>
        <w:rPr>
          <w:rFonts w:cs="宋体"/>
          <w:color w:val="auto"/>
          <w:highlight w:val="none"/>
        </w:rPr>
        <w:t>《自然资源部办公厅关于全面推进实景三维中国建设的通知》(自然资办发</w:t>
      </w:r>
      <w:r>
        <w:rPr>
          <w:rFonts w:hint="eastAsia" w:cs="宋体"/>
          <w:color w:val="auto"/>
          <w:highlight w:val="none"/>
        </w:rPr>
        <w:t>【</w:t>
      </w:r>
      <w:r>
        <w:rPr>
          <w:rFonts w:cs="宋体"/>
          <w:color w:val="auto"/>
          <w:highlight w:val="none"/>
        </w:rPr>
        <w:t>2022</w:t>
      </w:r>
      <w:r>
        <w:rPr>
          <w:rFonts w:hint="eastAsia" w:ascii="Times New Roman" w:hAnsi="Times New Roman"/>
          <w:color w:val="auto"/>
          <w:highlight w:val="none"/>
        </w:rPr>
        <w:t>】</w:t>
      </w:r>
      <w:r>
        <w:rPr>
          <w:rFonts w:cs="宋体"/>
          <w:color w:val="auto"/>
          <w:highlight w:val="none"/>
        </w:rPr>
        <w:t>7号)</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（4）</w:t>
      </w:r>
      <w:r>
        <w:rPr>
          <w:rFonts w:cs="宋体"/>
          <w:color w:val="auto"/>
          <w:highlight w:val="none"/>
        </w:rPr>
        <w:t>《自然资源部办公厅关于印发&lt;实景三维中国建设技术大纲(2021版)&gt;的通知》(自然资办发</w:t>
      </w:r>
      <w:r>
        <w:rPr>
          <w:rFonts w:hint="eastAsia" w:cs="宋体"/>
          <w:color w:val="auto"/>
          <w:highlight w:val="none"/>
        </w:rPr>
        <w:t>【</w:t>
      </w:r>
      <w:r>
        <w:rPr>
          <w:rFonts w:cs="宋体"/>
          <w:color w:val="auto"/>
          <w:highlight w:val="none"/>
        </w:rPr>
        <w:t>2021</w:t>
      </w:r>
      <w:r>
        <w:rPr>
          <w:rFonts w:hint="eastAsia" w:cs="宋体"/>
          <w:color w:val="auto"/>
          <w:highlight w:val="none"/>
        </w:rPr>
        <w:t>】</w:t>
      </w:r>
      <w:r>
        <w:rPr>
          <w:rFonts w:cs="宋体"/>
          <w:color w:val="auto"/>
          <w:highlight w:val="none"/>
        </w:rPr>
        <w:t>56号)</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（5）</w:t>
      </w:r>
      <w:r>
        <w:rPr>
          <w:rFonts w:cs="宋体"/>
          <w:color w:val="auto"/>
          <w:highlight w:val="none"/>
        </w:rPr>
        <w:t>《自然资源部国土测绘司关于印发新型基础测绘与实景三维中国建设技术文件(1-4)的函》(自然资测绘函</w:t>
      </w:r>
      <w:r>
        <w:rPr>
          <w:rFonts w:hint="eastAsia" w:cs="宋体"/>
          <w:color w:val="auto"/>
          <w:highlight w:val="none"/>
        </w:rPr>
        <w:t>【</w:t>
      </w:r>
      <w:r>
        <w:rPr>
          <w:rFonts w:cs="宋体"/>
          <w:color w:val="auto"/>
          <w:highlight w:val="none"/>
        </w:rPr>
        <w:t>2021</w:t>
      </w:r>
      <w:r>
        <w:rPr>
          <w:rFonts w:hint="eastAsia" w:cs="宋体"/>
          <w:color w:val="auto"/>
          <w:highlight w:val="none"/>
        </w:rPr>
        <w:t>】</w:t>
      </w:r>
      <w:r>
        <w:rPr>
          <w:rFonts w:cs="宋体"/>
          <w:color w:val="auto"/>
          <w:highlight w:val="none"/>
        </w:rPr>
        <w:t>68号)</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（6）</w:t>
      </w:r>
      <w:r>
        <w:rPr>
          <w:rFonts w:cs="宋体"/>
          <w:color w:val="auto"/>
          <w:highlight w:val="none"/>
        </w:rPr>
        <w:t>《自然资源部办公厅关于印发新型基础测绘与实景三维中国建设技术文件(5-7)的通知》(自然资办函</w:t>
      </w:r>
      <w:r>
        <w:rPr>
          <w:rFonts w:hint="eastAsia" w:cs="宋体"/>
          <w:color w:val="auto"/>
          <w:highlight w:val="none"/>
        </w:rPr>
        <w:t>【</w:t>
      </w:r>
      <w:r>
        <w:rPr>
          <w:rFonts w:cs="宋体"/>
          <w:color w:val="auto"/>
          <w:highlight w:val="none"/>
        </w:rPr>
        <w:t>2022</w:t>
      </w:r>
      <w:r>
        <w:rPr>
          <w:rFonts w:hint="eastAsia" w:ascii="Times New Roman" w:hAnsi="Times New Roman"/>
          <w:color w:val="auto"/>
          <w:highlight w:val="none"/>
        </w:rPr>
        <w:t>】</w:t>
      </w:r>
      <w:r>
        <w:rPr>
          <w:rFonts w:cs="宋体"/>
          <w:color w:val="auto"/>
          <w:highlight w:val="none"/>
        </w:rPr>
        <w:t>639号)</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（7）</w:t>
      </w:r>
      <w:r>
        <w:rPr>
          <w:rFonts w:cs="宋体"/>
          <w:color w:val="auto"/>
          <w:highlight w:val="none"/>
        </w:rPr>
        <w:t>《浙江省自然资源发展“十四五”规划》(浙发改规划</w:t>
      </w:r>
      <w:r>
        <w:rPr>
          <w:rFonts w:hint="eastAsia" w:cs="宋体"/>
          <w:color w:val="auto"/>
          <w:highlight w:val="none"/>
        </w:rPr>
        <w:t>【</w:t>
      </w:r>
      <w:r>
        <w:rPr>
          <w:rFonts w:cs="宋体"/>
          <w:color w:val="auto"/>
          <w:highlight w:val="none"/>
        </w:rPr>
        <w:t>2021</w:t>
      </w:r>
      <w:r>
        <w:rPr>
          <w:rFonts w:hint="eastAsia" w:ascii="Times New Roman" w:hAnsi="Times New Roman"/>
          <w:color w:val="auto"/>
          <w:highlight w:val="none"/>
        </w:rPr>
        <w:t>】</w:t>
      </w:r>
      <w:r>
        <w:rPr>
          <w:rFonts w:cs="宋体"/>
          <w:color w:val="auto"/>
          <w:highlight w:val="none"/>
        </w:rPr>
        <w:t>159号)</w:t>
      </w:r>
      <w:r>
        <w:rPr>
          <w:rFonts w:hint="eastAsia" w:cs="宋体"/>
          <w:color w:val="auto"/>
          <w:highlight w:val="none"/>
        </w:rPr>
        <w:t>；</w:t>
      </w:r>
      <w:r>
        <w:rPr>
          <w:rFonts w:cs="宋体"/>
          <w:color w:val="auto"/>
          <w:highlight w:val="none"/>
        </w:rPr>
        <w:t xml:space="preserve"> </w:t>
      </w:r>
    </w:p>
    <w:p>
      <w:pPr>
        <w:pStyle w:val="26"/>
        <w:spacing w:line="360" w:lineRule="auto"/>
        <w:ind w:firstLine="490" w:firstLineChars="0"/>
        <w:jc w:val="left"/>
        <w:rPr>
          <w:rFonts w:cs="宋体"/>
          <w:color w:val="auto"/>
          <w:highlight w:val="none"/>
        </w:rPr>
      </w:pPr>
      <w:r>
        <w:rPr>
          <w:rFonts w:hint="eastAsia" w:cs="宋体"/>
          <w:color w:val="auto"/>
          <w:highlight w:val="none"/>
        </w:rPr>
        <w:t>（8）</w:t>
      </w:r>
      <w:r>
        <w:rPr>
          <w:rFonts w:cs="宋体"/>
          <w:color w:val="auto"/>
          <w:highlight w:val="none"/>
        </w:rPr>
        <w:t>《浙江省基础测绘“十四五”规划》(浙发改规划</w:t>
      </w:r>
      <w:r>
        <w:rPr>
          <w:rFonts w:hint="eastAsia" w:cs="宋体"/>
          <w:color w:val="auto"/>
          <w:highlight w:val="none"/>
        </w:rPr>
        <w:t>【</w:t>
      </w:r>
      <w:r>
        <w:rPr>
          <w:rFonts w:cs="宋体"/>
          <w:color w:val="auto"/>
          <w:highlight w:val="none"/>
        </w:rPr>
        <w:t>2021</w:t>
      </w:r>
      <w:r>
        <w:rPr>
          <w:rFonts w:hint="eastAsia" w:ascii="Times New Roman" w:hAnsi="Times New Roman"/>
          <w:color w:val="auto"/>
          <w:highlight w:val="none"/>
        </w:rPr>
        <w:t>】</w:t>
      </w:r>
      <w:r>
        <w:rPr>
          <w:rFonts w:cs="宋体"/>
          <w:color w:val="auto"/>
          <w:highlight w:val="none"/>
        </w:rPr>
        <w:t>158号)</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（9）</w:t>
      </w:r>
      <w:r>
        <w:rPr>
          <w:rFonts w:cs="宋体"/>
          <w:color w:val="auto"/>
          <w:highlight w:val="none"/>
        </w:rPr>
        <w:t>《实景三维浙江建设实施方案(2023-2025年)》(浙自然资函</w:t>
      </w:r>
      <w:r>
        <w:rPr>
          <w:rFonts w:hint="eastAsia" w:cs="宋体"/>
          <w:color w:val="auto"/>
          <w:highlight w:val="none"/>
        </w:rPr>
        <w:t>【</w:t>
      </w:r>
      <w:r>
        <w:rPr>
          <w:rFonts w:cs="宋体"/>
          <w:color w:val="auto"/>
          <w:highlight w:val="none"/>
        </w:rPr>
        <w:t>2023</w:t>
      </w:r>
      <w:r>
        <w:rPr>
          <w:rFonts w:hint="eastAsia" w:ascii="Times New Roman" w:hAnsi="Times New Roman"/>
          <w:color w:val="auto"/>
          <w:highlight w:val="none"/>
        </w:rPr>
        <w:t>】</w:t>
      </w:r>
      <w:r>
        <w:rPr>
          <w:rFonts w:cs="宋体"/>
          <w:color w:val="auto"/>
          <w:highlight w:val="none"/>
        </w:rPr>
        <w:t>83号</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（1</w:t>
      </w:r>
      <w:r>
        <w:rPr>
          <w:rFonts w:cs="宋体"/>
          <w:color w:val="auto"/>
          <w:highlight w:val="none"/>
        </w:rPr>
        <w:t>0</w:t>
      </w:r>
      <w:r>
        <w:rPr>
          <w:rFonts w:hint="eastAsia" w:cs="宋体"/>
          <w:color w:val="auto"/>
          <w:highlight w:val="none"/>
        </w:rPr>
        <w:t>）</w:t>
      </w:r>
      <w:r>
        <w:rPr>
          <w:rFonts w:cs="宋体"/>
          <w:color w:val="auto"/>
          <w:highlight w:val="none"/>
        </w:rPr>
        <w:t>《浙江省城市级实景三维工程建设指南》(浙自然资函</w:t>
      </w:r>
      <w:r>
        <w:rPr>
          <w:rFonts w:hint="eastAsia" w:cs="宋体"/>
          <w:color w:val="auto"/>
          <w:highlight w:val="none"/>
        </w:rPr>
        <w:t>【</w:t>
      </w:r>
      <w:r>
        <w:rPr>
          <w:rFonts w:cs="宋体"/>
          <w:color w:val="auto"/>
          <w:highlight w:val="none"/>
        </w:rPr>
        <w:t>2023</w:t>
      </w:r>
      <w:r>
        <w:rPr>
          <w:rFonts w:hint="eastAsia" w:ascii="Times New Roman" w:hAnsi="Times New Roman"/>
          <w:color w:val="auto"/>
          <w:highlight w:val="none"/>
        </w:rPr>
        <w:t>】</w:t>
      </w:r>
      <w:r>
        <w:rPr>
          <w:rFonts w:cs="宋体"/>
          <w:color w:val="auto"/>
          <w:highlight w:val="none"/>
        </w:rPr>
        <w:t>87号)</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（1</w:t>
      </w:r>
      <w:r>
        <w:rPr>
          <w:rFonts w:cs="宋体"/>
          <w:color w:val="auto"/>
          <w:highlight w:val="none"/>
        </w:rPr>
        <w:t>1</w:t>
      </w:r>
      <w:r>
        <w:rPr>
          <w:rFonts w:hint="eastAsia" w:cs="宋体"/>
          <w:color w:val="auto"/>
          <w:highlight w:val="none"/>
        </w:rPr>
        <w:t>）</w:t>
      </w:r>
      <w:r>
        <w:rPr>
          <w:rFonts w:cs="宋体"/>
          <w:color w:val="auto"/>
          <w:highlight w:val="none"/>
        </w:rPr>
        <w:t>《杭州市基础测绘“十四五”规划》(杭规划资源发</w:t>
      </w:r>
      <w:r>
        <w:rPr>
          <w:rFonts w:hint="eastAsia" w:cs="宋体"/>
          <w:color w:val="auto"/>
          <w:highlight w:val="none"/>
        </w:rPr>
        <w:t>【</w:t>
      </w:r>
      <w:r>
        <w:rPr>
          <w:rFonts w:cs="宋体"/>
          <w:color w:val="auto"/>
          <w:highlight w:val="none"/>
        </w:rPr>
        <w:t>2021</w:t>
      </w:r>
      <w:r>
        <w:rPr>
          <w:rFonts w:hint="eastAsia" w:ascii="Times New Roman" w:hAnsi="Times New Roman"/>
          <w:color w:val="auto"/>
          <w:highlight w:val="none"/>
        </w:rPr>
        <w:t>】</w:t>
      </w:r>
      <w:r>
        <w:rPr>
          <w:rFonts w:cs="宋体"/>
          <w:color w:val="auto"/>
          <w:highlight w:val="none"/>
        </w:rPr>
        <w:t>28号)</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cs="宋体"/>
          <w:color w:val="auto"/>
          <w:highlight w:val="none"/>
        </w:rPr>
        <w:t xml:space="preserve">2.技术依据 </w:t>
      </w:r>
    </w:p>
    <w:p>
      <w:pPr>
        <w:pStyle w:val="26"/>
        <w:spacing w:line="360" w:lineRule="auto"/>
        <w:ind w:firstLine="490" w:firstLineChars="0"/>
        <w:jc w:val="left"/>
        <w:rPr>
          <w:rFonts w:cs="宋体"/>
          <w:color w:val="auto"/>
          <w:highlight w:val="none"/>
        </w:rPr>
      </w:pPr>
      <w:r>
        <w:rPr>
          <w:rFonts w:hint="eastAsia" w:cs="宋体"/>
          <w:color w:val="auto"/>
          <w:highlight w:val="none"/>
        </w:rPr>
        <w:t>（1）</w:t>
      </w:r>
      <w:r>
        <w:rPr>
          <w:rFonts w:cs="宋体"/>
          <w:color w:val="auto"/>
          <w:highlight w:val="none"/>
        </w:rPr>
        <w:t>《基础地理信息要素分类与代码》(GB/T13923-2022)</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（2）</w:t>
      </w:r>
      <w:r>
        <w:rPr>
          <w:rFonts w:cs="宋体"/>
          <w:color w:val="auto"/>
          <w:highlight w:val="none"/>
        </w:rPr>
        <w:t>《计算机软件测试规范》(GB/T15532-2008)</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（3）</w:t>
      </w:r>
      <w:r>
        <w:rPr>
          <w:rFonts w:cs="宋体"/>
          <w:color w:val="auto"/>
          <w:highlight w:val="none"/>
        </w:rPr>
        <w:t>《数字测绘成果质量检查与验收》(GB/T18316-2008)</w:t>
      </w:r>
      <w:r>
        <w:rPr>
          <w:rFonts w:hint="eastAsia" w:cs="宋体"/>
          <w:color w:val="auto"/>
          <w:highlight w:val="none"/>
        </w:rPr>
        <w:t>；</w:t>
      </w:r>
      <w:r>
        <w:rPr>
          <w:rFonts w:cs="宋体"/>
          <w:color w:val="auto"/>
          <w:highlight w:val="none"/>
        </w:rPr>
        <w:t xml:space="preserve"> </w:t>
      </w:r>
    </w:p>
    <w:p>
      <w:pPr>
        <w:pStyle w:val="26"/>
        <w:spacing w:line="360" w:lineRule="auto"/>
        <w:ind w:firstLine="490" w:firstLineChars="0"/>
        <w:jc w:val="left"/>
        <w:rPr>
          <w:rFonts w:cs="宋体"/>
          <w:color w:val="auto"/>
          <w:highlight w:val="none"/>
        </w:rPr>
      </w:pPr>
      <w:r>
        <w:rPr>
          <w:rFonts w:hint="eastAsia" w:cs="宋体"/>
          <w:color w:val="auto"/>
          <w:highlight w:val="none"/>
        </w:rPr>
        <w:t>（4）</w:t>
      </w:r>
      <w:r>
        <w:rPr>
          <w:rFonts w:cs="宋体"/>
          <w:color w:val="auto"/>
          <w:highlight w:val="none"/>
        </w:rPr>
        <w:t>《信息安全技术网络安全等级保护基本要求》(GB/T22239-2019)</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（5）</w:t>
      </w:r>
      <w:r>
        <w:rPr>
          <w:rFonts w:cs="宋体"/>
          <w:color w:val="auto"/>
          <w:highlight w:val="none"/>
        </w:rPr>
        <w:t>《倾斜数字航空摄影成果质量检验技术规程》(CH/T1050-2021)</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（6）</w:t>
      </w:r>
      <w:r>
        <w:rPr>
          <w:rFonts w:cs="宋体"/>
          <w:color w:val="auto"/>
          <w:highlight w:val="none"/>
        </w:rPr>
        <w:t>《数字表面模型航空摄影测量生产技术规程》(CH/T3012-2014)</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（7）</w:t>
      </w:r>
      <w:r>
        <w:rPr>
          <w:rFonts w:cs="宋体"/>
          <w:color w:val="auto"/>
          <w:highlight w:val="none"/>
        </w:rPr>
        <w:t>《倾斜数字摄影测量技术规程》(CH/T3025-2023)</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w:t>
      </w:r>
      <w:r>
        <w:rPr>
          <w:rFonts w:cs="宋体"/>
          <w:color w:val="auto"/>
          <w:highlight w:val="none"/>
        </w:rPr>
        <w:t>8</w:t>
      </w:r>
      <w:r>
        <w:rPr>
          <w:rFonts w:hint="eastAsia" w:cs="宋体"/>
          <w:color w:val="auto"/>
          <w:highlight w:val="none"/>
        </w:rPr>
        <w:t>）</w:t>
      </w:r>
      <w:r>
        <w:rPr>
          <w:rFonts w:cs="宋体"/>
          <w:color w:val="auto"/>
          <w:highlight w:val="none"/>
        </w:rPr>
        <w:t xml:space="preserve">《实景三维数据倾斜摄影测量技术规程》(CH/T3026-2023); </w:t>
      </w:r>
    </w:p>
    <w:p>
      <w:pPr>
        <w:pStyle w:val="26"/>
        <w:spacing w:line="360" w:lineRule="auto"/>
        <w:ind w:firstLine="490" w:firstLineChars="0"/>
        <w:jc w:val="left"/>
        <w:rPr>
          <w:rFonts w:cs="宋体"/>
          <w:color w:val="auto"/>
          <w:highlight w:val="none"/>
        </w:rPr>
      </w:pPr>
      <w:r>
        <w:rPr>
          <w:rFonts w:hint="eastAsia" w:cs="宋体"/>
          <w:color w:val="auto"/>
          <w:highlight w:val="none"/>
        </w:rPr>
        <w:t>（9）</w:t>
      </w:r>
      <w:r>
        <w:rPr>
          <w:rFonts w:cs="宋体"/>
          <w:color w:val="auto"/>
          <w:highlight w:val="none"/>
        </w:rPr>
        <w:t>《机载激光雷达数据获取技术规范》(CH/T8024-2011)</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（1</w:t>
      </w:r>
      <w:r>
        <w:rPr>
          <w:rFonts w:cs="宋体"/>
          <w:color w:val="auto"/>
          <w:highlight w:val="none"/>
        </w:rPr>
        <w:t>0</w:t>
      </w:r>
      <w:r>
        <w:rPr>
          <w:rFonts w:hint="eastAsia" w:cs="宋体"/>
          <w:color w:val="auto"/>
          <w:highlight w:val="none"/>
        </w:rPr>
        <w:t>）</w:t>
      </w:r>
      <w:r>
        <w:rPr>
          <w:rFonts w:cs="宋体"/>
          <w:color w:val="auto"/>
          <w:highlight w:val="none"/>
        </w:rPr>
        <w:t>《基础地理信息要素分类与图形表达代码》(DB33/T817-2010)</w:t>
      </w:r>
      <w:r>
        <w:rPr>
          <w:rFonts w:hint="eastAsia" w:cs="宋体"/>
          <w:color w:val="auto"/>
          <w:highlight w:val="none"/>
        </w:rPr>
        <w:t>；</w:t>
      </w:r>
      <w:r>
        <w:rPr>
          <w:rFonts w:cs="宋体"/>
          <w:color w:val="auto"/>
          <w:highlight w:val="none"/>
        </w:rPr>
        <w:t xml:space="preserve"> </w:t>
      </w:r>
    </w:p>
    <w:p>
      <w:pPr>
        <w:pStyle w:val="26"/>
        <w:spacing w:line="360" w:lineRule="auto"/>
        <w:ind w:firstLine="490" w:firstLineChars="0"/>
        <w:jc w:val="left"/>
        <w:rPr>
          <w:rFonts w:cs="宋体"/>
          <w:color w:val="auto"/>
          <w:highlight w:val="none"/>
        </w:rPr>
      </w:pPr>
      <w:r>
        <w:rPr>
          <w:rFonts w:hint="eastAsia" w:cs="宋体"/>
          <w:color w:val="auto"/>
          <w:highlight w:val="none"/>
        </w:rPr>
        <w:t>（1</w:t>
      </w:r>
      <w:r>
        <w:rPr>
          <w:rFonts w:cs="宋体"/>
          <w:color w:val="auto"/>
          <w:highlight w:val="none"/>
        </w:rPr>
        <w:t>1</w:t>
      </w:r>
      <w:r>
        <w:rPr>
          <w:rFonts w:hint="eastAsia" w:cs="宋体"/>
          <w:color w:val="auto"/>
          <w:highlight w:val="none"/>
        </w:rPr>
        <w:t>）</w:t>
      </w:r>
      <w:r>
        <w:rPr>
          <w:rFonts w:cs="宋体"/>
          <w:color w:val="auto"/>
          <w:highlight w:val="none"/>
        </w:rPr>
        <w:t>《三维数字地图技术规范》(DB33/T934-2014)</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（1</w:t>
      </w:r>
      <w:r>
        <w:rPr>
          <w:rFonts w:cs="宋体"/>
          <w:color w:val="auto"/>
          <w:highlight w:val="none"/>
        </w:rPr>
        <w:t>2</w:t>
      </w:r>
      <w:r>
        <w:rPr>
          <w:rFonts w:hint="eastAsia" w:cs="宋体"/>
          <w:color w:val="auto"/>
          <w:highlight w:val="none"/>
        </w:rPr>
        <w:t>）</w:t>
      </w:r>
      <w:r>
        <w:rPr>
          <w:rFonts w:cs="宋体"/>
          <w:color w:val="auto"/>
          <w:highlight w:val="none"/>
        </w:rPr>
        <w:t>《浙江省1:2000比例尺基础地理信息资源更新技术规定》(浙自然资函</w:t>
      </w:r>
      <w:r>
        <w:rPr>
          <w:rFonts w:hint="eastAsia" w:cs="宋体"/>
          <w:color w:val="auto"/>
          <w:highlight w:val="none"/>
        </w:rPr>
        <w:t>【</w:t>
      </w:r>
      <w:r>
        <w:rPr>
          <w:rFonts w:cs="宋体"/>
          <w:color w:val="auto"/>
          <w:highlight w:val="none"/>
        </w:rPr>
        <w:t>2020</w:t>
      </w:r>
      <w:r>
        <w:rPr>
          <w:rFonts w:hint="eastAsia" w:ascii="Times New Roman" w:hAnsi="Times New Roman"/>
          <w:color w:val="auto"/>
          <w:highlight w:val="none"/>
        </w:rPr>
        <w:t>】</w:t>
      </w:r>
      <w:r>
        <w:rPr>
          <w:rFonts w:cs="宋体"/>
          <w:color w:val="auto"/>
          <w:highlight w:val="none"/>
        </w:rPr>
        <w:t>85号)</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w:t>
      </w:r>
      <w:r>
        <w:rPr>
          <w:rFonts w:cs="宋体"/>
          <w:color w:val="auto"/>
          <w:highlight w:val="none"/>
        </w:rPr>
        <w:t>3</w:t>
      </w:r>
      <w:r>
        <w:rPr>
          <w:rFonts w:hint="eastAsia" w:cs="宋体"/>
          <w:color w:val="auto"/>
          <w:highlight w:val="none"/>
        </w:rPr>
        <w:t>）</w:t>
      </w:r>
      <w:r>
        <w:rPr>
          <w:rFonts w:cs="宋体"/>
          <w:color w:val="auto"/>
          <w:highlight w:val="none"/>
        </w:rPr>
        <w:t>《浙江省1:2000比例尺基础地理信息资源更新数据字典(2021年)》</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（1</w:t>
      </w:r>
      <w:r>
        <w:rPr>
          <w:rFonts w:cs="宋体"/>
          <w:color w:val="auto"/>
          <w:highlight w:val="none"/>
        </w:rPr>
        <w:t>4</w:t>
      </w:r>
      <w:r>
        <w:rPr>
          <w:rFonts w:hint="eastAsia" w:cs="宋体"/>
          <w:color w:val="auto"/>
          <w:highlight w:val="none"/>
        </w:rPr>
        <w:t>）</w:t>
      </w:r>
      <w:r>
        <w:rPr>
          <w:rFonts w:cs="宋体"/>
          <w:color w:val="auto"/>
          <w:highlight w:val="none"/>
        </w:rPr>
        <w:t>《浙江省1:10000基础地理信息数据更新技术规程(2022年)》</w:t>
      </w:r>
      <w:r>
        <w:rPr>
          <w:rFonts w:hint="eastAsia" w:cs="宋体"/>
          <w:color w:val="auto"/>
          <w:highlight w:val="none"/>
        </w:rPr>
        <w:t>；</w:t>
      </w:r>
    </w:p>
    <w:p>
      <w:pPr>
        <w:pStyle w:val="26"/>
        <w:spacing w:line="360" w:lineRule="auto"/>
        <w:ind w:firstLine="490" w:firstLineChars="0"/>
        <w:jc w:val="left"/>
        <w:rPr>
          <w:rFonts w:cs="宋体"/>
          <w:color w:val="auto"/>
          <w:highlight w:val="none"/>
        </w:rPr>
      </w:pPr>
      <w:r>
        <w:rPr>
          <w:rFonts w:hint="eastAsia" w:cs="宋体"/>
          <w:color w:val="auto"/>
          <w:highlight w:val="none"/>
        </w:rPr>
        <w:t>（1</w:t>
      </w:r>
      <w:r>
        <w:rPr>
          <w:rFonts w:cs="宋体"/>
          <w:color w:val="auto"/>
          <w:highlight w:val="none"/>
        </w:rPr>
        <w:t>5</w:t>
      </w:r>
      <w:r>
        <w:rPr>
          <w:rFonts w:hint="eastAsia" w:cs="宋体"/>
          <w:color w:val="auto"/>
          <w:highlight w:val="none"/>
        </w:rPr>
        <w:t>）</w:t>
      </w:r>
      <w:r>
        <w:rPr>
          <w:rFonts w:cs="宋体"/>
          <w:color w:val="auto"/>
          <w:highlight w:val="none"/>
        </w:rPr>
        <w:t>《实景三维浙江建设技术方案》(浙自然资函</w:t>
      </w:r>
      <w:r>
        <w:rPr>
          <w:rFonts w:hint="eastAsia" w:cs="宋体"/>
          <w:color w:val="auto"/>
          <w:highlight w:val="none"/>
        </w:rPr>
        <w:t>【</w:t>
      </w:r>
      <w:r>
        <w:rPr>
          <w:rFonts w:cs="宋体"/>
          <w:color w:val="auto"/>
          <w:highlight w:val="none"/>
        </w:rPr>
        <w:t>2023</w:t>
      </w:r>
      <w:r>
        <w:rPr>
          <w:rFonts w:hint="eastAsia" w:ascii="Times New Roman" w:hAnsi="Times New Roman"/>
          <w:color w:val="auto"/>
          <w:highlight w:val="none"/>
        </w:rPr>
        <w:t>】</w:t>
      </w:r>
      <w:r>
        <w:rPr>
          <w:rFonts w:cs="宋体"/>
          <w:color w:val="auto"/>
          <w:highlight w:val="none"/>
        </w:rPr>
        <w:t>87号)</w:t>
      </w:r>
      <w:r>
        <w:rPr>
          <w:rFonts w:hint="eastAsia" w:cs="宋体"/>
          <w:color w:val="auto"/>
          <w:highlight w:val="none"/>
        </w:rPr>
        <w:t>；</w:t>
      </w:r>
      <w:r>
        <w:rPr>
          <w:rFonts w:cs="宋体"/>
          <w:color w:val="auto"/>
          <w:highlight w:val="none"/>
        </w:rPr>
        <w:t xml:space="preserve"> </w:t>
      </w:r>
    </w:p>
    <w:p>
      <w:pPr>
        <w:pStyle w:val="26"/>
        <w:spacing w:line="360" w:lineRule="auto"/>
        <w:ind w:firstLine="490" w:firstLineChars="0"/>
        <w:jc w:val="left"/>
        <w:rPr>
          <w:color w:val="auto"/>
          <w:highlight w:val="none"/>
        </w:rPr>
      </w:pPr>
      <w:r>
        <w:rPr>
          <w:rFonts w:hint="eastAsia" w:cs="宋体"/>
          <w:color w:val="auto"/>
          <w:highlight w:val="none"/>
        </w:rPr>
        <w:t>（1</w:t>
      </w:r>
      <w:r>
        <w:rPr>
          <w:rFonts w:cs="宋体"/>
          <w:color w:val="auto"/>
          <w:highlight w:val="none"/>
        </w:rPr>
        <w:t>6</w:t>
      </w:r>
      <w:r>
        <w:rPr>
          <w:rFonts w:hint="eastAsia" w:cs="宋体"/>
          <w:color w:val="auto"/>
          <w:highlight w:val="none"/>
        </w:rPr>
        <w:t>）</w:t>
      </w:r>
      <w:r>
        <w:rPr>
          <w:color w:val="auto"/>
          <w:highlight w:val="none"/>
        </w:rPr>
        <w:t>《</w:t>
      </w:r>
      <w:r>
        <w:rPr>
          <w:rFonts w:hint="eastAsia"/>
          <w:color w:val="auto"/>
          <w:highlight w:val="none"/>
        </w:rPr>
        <w:t>杭州市城市级实景三维工程建设实施方案</w:t>
      </w:r>
      <w:r>
        <w:rPr>
          <w:color w:val="auto"/>
          <w:highlight w:val="none"/>
        </w:rPr>
        <w:t>》</w:t>
      </w:r>
      <w:r>
        <w:rPr>
          <w:rFonts w:hint="eastAsia"/>
          <w:color w:val="auto"/>
          <w:highlight w:val="none"/>
        </w:rPr>
        <w:t>；</w:t>
      </w:r>
    </w:p>
    <w:p>
      <w:pPr>
        <w:autoSpaceDE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7</w:t>
      </w:r>
      <w:r>
        <w:rPr>
          <w:rFonts w:hint="eastAsia" w:ascii="宋体" w:hAnsi="宋体" w:cs="宋体"/>
          <w:color w:val="auto"/>
          <w:sz w:val="24"/>
          <w:highlight w:val="none"/>
        </w:rPr>
        <w:t>）《实景三维浙江建设质量控制方案》。</w:t>
      </w:r>
    </w:p>
    <w:p>
      <w:pPr>
        <w:snapToGrid w:val="0"/>
        <w:spacing w:line="360" w:lineRule="auto"/>
        <w:ind w:firstLine="480" w:firstLineChars="200"/>
        <w:rPr>
          <w:color w:val="auto"/>
          <w:sz w:val="24"/>
          <w:szCs w:val="32"/>
          <w:highlight w:val="none"/>
        </w:rPr>
      </w:pPr>
      <w:r>
        <w:rPr>
          <w:rFonts w:hint="eastAsia"/>
          <w:color w:val="auto"/>
          <w:sz w:val="24"/>
          <w:szCs w:val="32"/>
          <w:highlight w:val="none"/>
        </w:rPr>
        <w:t>除上述规范以外的遵循</w:t>
      </w:r>
      <w:r>
        <w:rPr>
          <w:color w:val="auto"/>
          <w:sz w:val="24"/>
          <w:szCs w:val="32"/>
          <w:highlight w:val="none"/>
        </w:rPr>
        <w:t>平安城市建设相关地方规范与标准</w:t>
      </w:r>
      <w:r>
        <w:rPr>
          <w:rFonts w:hint="eastAsia"/>
          <w:color w:val="auto"/>
          <w:sz w:val="24"/>
          <w:szCs w:val="32"/>
          <w:highlight w:val="none"/>
        </w:rPr>
        <w:t>以及国家、省市、相关行业的技术要求及规范。</w:t>
      </w:r>
    </w:p>
    <w:p>
      <w:pPr>
        <w:pStyle w:val="258"/>
        <w:numPr>
          <w:ilvl w:val="0"/>
          <w:numId w:val="1"/>
        </w:numPr>
        <w:ind w:firstLineChars="0"/>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建设内容</w:t>
      </w:r>
    </w:p>
    <w:p>
      <w:pPr>
        <w:pStyle w:val="26"/>
        <w:spacing w:line="360" w:lineRule="auto"/>
        <w:ind w:firstLine="490" w:firstLineChars="0"/>
        <w:jc w:val="left"/>
        <w:rPr>
          <w:rFonts w:cs="宋体"/>
          <w:color w:val="auto"/>
          <w:highlight w:val="none"/>
        </w:rPr>
      </w:pPr>
      <w:r>
        <w:rPr>
          <w:rFonts w:hint="eastAsia" w:cs="宋体"/>
          <w:color w:val="auto"/>
          <w:highlight w:val="none"/>
        </w:rPr>
        <w:t>根据杭州市城市级实景三维工程建设要求，建设拱墅区8</w:t>
      </w:r>
      <w:r>
        <w:rPr>
          <w:rFonts w:cs="宋体"/>
          <w:color w:val="auto"/>
          <w:highlight w:val="none"/>
        </w:rPr>
        <w:t>8平方千米</w:t>
      </w:r>
      <w:r>
        <w:rPr>
          <w:rFonts w:hint="eastAsia" w:cs="宋体"/>
          <w:color w:val="auto"/>
          <w:highlight w:val="none"/>
        </w:rPr>
        <w:t>城市级实景三维模型和数字表面模型。</w:t>
      </w:r>
    </w:p>
    <w:p>
      <w:pPr>
        <w:pStyle w:val="26"/>
        <w:spacing w:line="360" w:lineRule="auto"/>
        <w:ind w:firstLine="490" w:firstLineChars="0"/>
        <w:jc w:val="left"/>
        <w:rPr>
          <w:rFonts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1.</w:t>
      </w:r>
      <w:r>
        <w:rPr>
          <w:rFonts w:hint="eastAsia" w:cs="宋体"/>
          <w:b/>
          <w:bCs/>
          <w:color w:val="auto"/>
          <w:highlight w:val="none"/>
        </w:rPr>
        <w:t>城市级实景三维模型建设</w:t>
      </w:r>
    </w:p>
    <w:p>
      <w:pPr>
        <w:pStyle w:val="26"/>
        <w:spacing w:line="360" w:lineRule="auto"/>
        <w:ind w:firstLine="490" w:firstLineChars="0"/>
        <w:jc w:val="left"/>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1.1</w:t>
      </w:r>
      <w:r>
        <w:rPr>
          <w:rFonts w:hint="eastAsia" w:cs="宋体" w:asciiTheme="minorEastAsia" w:hAnsiTheme="minorEastAsia" w:eastAsiaTheme="minorEastAsia"/>
          <w:color w:val="auto"/>
          <w:highlight w:val="none"/>
        </w:rPr>
        <w:t>城市级地理场景生产</w:t>
      </w:r>
    </w:p>
    <w:p>
      <w:pPr>
        <w:pStyle w:val="26"/>
        <w:spacing w:line="360" w:lineRule="auto"/>
        <w:ind w:firstLine="490" w:firstLineChars="0"/>
        <w:jc w:val="left"/>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在已有</w:t>
      </w:r>
      <w:r>
        <w:rPr>
          <w:rFonts w:hint="eastAsia" w:cs="宋体" w:asciiTheme="minorEastAsia" w:hAnsiTheme="minorEastAsia" w:eastAsiaTheme="minorEastAsia"/>
          <w:color w:val="auto"/>
          <w:highlight w:val="none"/>
        </w:rPr>
        <w:t>拱墅区</w:t>
      </w:r>
      <w:r>
        <w:rPr>
          <w:rFonts w:cs="宋体" w:asciiTheme="minorEastAsia" w:hAnsiTheme="minorEastAsia" w:eastAsiaTheme="minorEastAsia"/>
          <w:color w:val="auto"/>
          <w:highlight w:val="none"/>
        </w:rPr>
        <w:t>Mesh三维模型数据的基础上，补充生产拱墅区</w:t>
      </w:r>
      <w:r>
        <w:rPr>
          <w:rFonts w:hint="eastAsia" w:cs="宋体" w:asciiTheme="minorEastAsia" w:hAnsiTheme="minorEastAsia" w:eastAsiaTheme="minorEastAsia"/>
          <w:color w:val="auto"/>
          <w:highlight w:val="none"/>
        </w:rPr>
        <w:t>8</w:t>
      </w:r>
      <w:r>
        <w:rPr>
          <w:rFonts w:cs="宋体" w:asciiTheme="minorEastAsia" w:hAnsiTheme="minorEastAsia" w:eastAsiaTheme="minorEastAsia"/>
          <w:color w:val="auto"/>
          <w:highlight w:val="none"/>
        </w:rPr>
        <w:t>8平方千米范围内尚未覆盖区域的Mesh三维模型，更新生产不满足现势性要求区域的Mesh三维模型并进行融合接边处理。</w:t>
      </w:r>
    </w:p>
    <w:p>
      <w:pPr>
        <w:pStyle w:val="26"/>
        <w:spacing w:line="360" w:lineRule="auto"/>
        <w:ind w:firstLine="490" w:firstLineChars="0"/>
        <w:jc w:val="left"/>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1.2</w:t>
      </w:r>
      <w:r>
        <w:rPr>
          <w:rFonts w:hint="eastAsia" w:cs="宋体" w:asciiTheme="minorEastAsia" w:hAnsiTheme="minorEastAsia" w:eastAsiaTheme="minorEastAsia"/>
          <w:color w:val="auto"/>
          <w:highlight w:val="none"/>
        </w:rPr>
        <w:t>城市级基础地理实体生产</w:t>
      </w:r>
    </w:p>
    <w:p>
      <w:pPr>
        <w:pStyle w:val="26"/>
        <w:spacing w:line="360" w:lineRule="auto"/>
        <w:ind w:firstLine="490" w:firstLineChars="0"/>
        <w:jc w:val="left"/>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基于1∶2000比例尺DLG数据以及国土变更调查、不动产权籍调查、水利、交通等专题数据，生产拱墅区</w:t>
      </w:r>
      <w:r>
        <w:rPr>
          <w:rFonts w:hint="eastAsia" w:cs="宋体" w:asciiTheme="minorEastAsia" w:hAnsiTheme="minorEastAsia" w:eastAsiaTheme="minorEastAsia"/>
          <w:color w:val="auto"/>
          <w:highlight w:val="none"/>
        </w:rPr>
        <w:t>8</w:t>
      </w:r>
      <w:r>
        <w:rPr>
          <w:rFonts w:cs="宋体" w:asciiTheme="minorEastAsia" w:hAnsiTheme="minorEastAsia" w:eastAsiaTheme="minorEastAsia"/>
          <w:color w:val="auto"/>
          <w:highlight w:val="none"/>
        </w:rPr>
        <w:t>8平方千米二维形式表达的基础地理实体</w:t>
      </w:r>
      <w:r>
        <w:rPr>
          <w:rFonts w:hint="eastAsia" w:cs="宋体" w:asciiTheme="minorEastAsia" w:hAnsiTheme="minorEastAsia" w:eastAsiaTheme="minorEastAsia"/>
          <w:color w:val="auto"/>
          <w:highlight w:val="none"/>
        </w:rPr>
        <w:t>。</w:t>
      </w:r>
    </w:p>
    <w:p>
      <w:pPr>
        <w:pStyle w:val="26"/>
        <w:spacing w:line="360" w:lineRule="auto"/>
        <w:ind w:firstLine="490" w:firstLineChars="0"/>
        <w:jc w:val="left"/>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1.3</w:t>
      </w:r>
      <w:r>
        <w:rPr>
          <w:rFonts w:hint="eastAsia" w:cs="宋体" w:asciiTheme="minorEastAsia" w:hAnsiTheme="minorEastAsia" w:eastAsiaTheme="minorEastAsia"/>
          <w:color w:val="auto"/>
          <w:highlight w:val="none"/>
        </w:rPr>
        <w:t>城市三维模型快速构建</w:t>
      </w:r>
    </w:p>
    <w:p>
      <w:pPr>
        <w:pStyle w:val="26"/>
        <w:spacing w:line="360" w:lineRule="auto"/>
        <w:ind w:firstLine="490" w:firstLineChars="0"/>
        <w:jc w:val="left"/>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利用1:2000比例尺DLG数据、Mesh三维模型、不动产权籍数据、自然灾害综合风险普查数据等各类数据，构建拱墅区</w:t>
      </w:r>
      <w:r>
        <w:rPr>
          <w:rFonts w:hint="eastAsia" w:cs="宋体" w:asciiTheme="minorEastAsia" w:hAnsiTheme="minorEastAsia" w:eastAsiaTheme="minorEastAsia"/>
          <w:color w:val="auto"/>
          <w:highlight w:val="none"/>
        </w:rPr>
        <w:t>8</w:t>
      </w:r>
      <w:r>
        <w:rPr>
          <w:rFonts w:cs="宋体" w:asciiTheme="minorEastAsia" w:hAnsiTheme="minorEastAsia" w:eastAsiaTheme="minorEastAsia"/>
          <w:color w:val="auto"/>
          <w:highlight w:val="none"/>
        </w:rPr>
        <w:t>8平方千米不低于L</w:t>
      </w:r>
      <w:r>
        <w:rPr>
          <w:rFonts w:hint="eastAsia" w:cs="宋体" w:asciiTheme="minorEastAsia" w:hAnsiTheme="minorEastAsia" w:eastAsiaTheme="minorEastAsia"/>
          <w:color w:val="auto"/>
          <w:highlight w:val="none"/>
        </w:rPr>
        <w:t>O</w:t>
      </w:r>
      <w:r>
        <w:rPr>
          <w:rFonts w:cs="宋体" w:asciiTheme="minorEastAsia" w:hAnsiTheme="minorEastAsia" w:eastAsiaTheme="minorEastAsia"/>
          <w:color w:val="auto"/>
          <w:highlight w:val="none"/>
        </w:rPr>
        <w:t>D1.3级的建（构）筑物三维模型，并与基础地理实体中相应实体进行融合处理、统一编码，形成二三维一体的建（构）筑物实体。</w:t>
      </w:r>
    </w:p>
    <w:p>
      <w:pPr>
        <w:pStyle w:val="26"/>
        <w:spacing w:line="360" w:lineRule="auto"/>
        <w:ind w:firstLine="490" w:firstLineChars="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r>
        <w:rPr>
          <w:rFonts w:cs="宋体" w:asciiTheme="minorEastAsia" w:hAnsiTheme="minorEastAsia" w:eastAsiaTheme="minorEastAsia"/>
          <w:color w:val="auto"/>
          <w:highlight w:val="none"/>
        </w:rPr>
        <w:t xml:space="preserve">.4城市级实景三维模型构建 </w:t>
      </w:r>
    </w:p>
    <w:p>
      <w:pPr>
        <w:pStyle w:val="26"/>
        <w:spacing w:line="360" w:lineRule="auto"/>
        <w:ind w:firstLine="490" w:firstLineChars="0"/>
        <w:jc w:val="left"/>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对城市级实景三维模型数据进行按需组装，构建城市级实景三维模型。根据实际应用需要，对地理场景、基础地理实体、城市三维模型快速构建等成果进行轻量化处理</w:t>
      </w:r>
      <w:r>
        <w:rPr>
          <w:rFonts w:hint="eastAsia" w:cs="宋体" w:asciiTheme="minorEastAsia" w:hAnsiTheme="minorEastAsia" w:eastAsiaTheme="minorEastAsia"/>
          <w:color w:val="auto"/>
          <w:highlight w:val="none"/>
        </w:rPr>
        <w:t>，在保证数据精度和可视化效果的前提下减小数据量，以保障后期大范围实景三维数据的加载和浏览效率。</w:t>
      </w:r>
    </w:p>
    <w:p>
      <w:pPr>
        <w:pStyle w:val="258"/>
        <w:numPr>
          <w:ilvl w:val="0"/>
          <w:numId w:val="1"/>
        </w:numPr>
        <w:ind w:firstLineChars="0"/>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建设要求</w:t>
      </w:r>
    </w:p>
    <w:p>
      <w:pPr>
        <w:pStyle w:val="26"/>
        <w:spacing w:line="360" w:lineRule="auto"/>
        <w:ind w:firstLine="490" w:firstLineChars="0"/>
        <w:jc w:val="left"/>
        <w:rPr>
          <w:rFonts w:cs="宋体" w:asciiTheme="minorEastAsia" w:hAnsiTheme="minorEastAsia" w:eastAsiaTheme="minorEastAsia"/>
          <w:b/>
          <w:bCs/>
          <w:color w:val="auto"/>
          <w:highlight w:val="none"/>
        </w:rPr>
      </w:pPr>
      <w:r>
        <w:rPr>
          <w:rFonts w:hint="eastAsia" w:cs="宋体"/>
          <w:b/>
          <w:bCs/>
          <w:color w:val="auto"/>
          <w:highlight w:val="none"/>
        </w:rPr>
        <w:t>1</w:t>
      </w:r>
      <w:r>
        <w:rPr>
          <w:rFonts w:cs="宋体"/>
          <w:b/>
          <w:bCs/>
          <w:color w:val="auto"/>
          <w:highlight w:val="none"/>
        </w:rPr>
        <w:t>.</w:t>
      </w:r>
      <w:r>
        <w:rPr>
          <w:rFonts w:hint="eastAsia" w:cs="宋体"/>
          <w:b/>
          <w:bCs/>
          <w:color w:val="auto"/>
          <w:highlight w:val="none"/>
        </w:rPr>
        <w:t>城市级实景三维模型建设</w:t>
      </w:r>
    </w:p>
    <w:p>
      <w:pPr>
        <w:pStyle w:val="26"/>
        <w:spacing w:line="360" w:lineRule="auto"/>
        <w:ind w:firstLine="490" w:firstLineChars="0"/>
        <w:jc w:val="left"/>
        <w:rPr>
          <w:rFonts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 xml:space="preserve">1.1城市级地理场景生产 </w:t>
      </w:r>
    </w:p>
    <w:p>
      <w:pPr>
        <w:pStyle w:val="26"/>
        <w:spacing w:line="360" w:lineRule="auto"/>
        <w:ind w:firstLine="490" w:firstLineChars="0"/>
        <w:jc w:val="left"/>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1.1.1</w:t>
      </w:r>
      <w:r>
        <w:rPr>
          <w:rFonts w:hint="eastAsia" w:cs="宋体" w:asciiTheme="minorEastAsia" w:hAnsiTheme="minorEastAsia" w:eastAsiaTheme="minorEastAsia"/>
          <w:color w:val="auto"/>
          <w:highlight w:val="none"/>
        </w:rPr>
        <w:t>项目内容</w:t>
      </w:r>
    </w:p>
    <w:p>
      <w:pPr>
        <w:pStyle w:val="26"/>
        <w:spacing w:line="360" w:lineRule="auto"/>
        <w:ind w:firstLine="490" w:firstLineChars="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（1）在已有</w:t>
      </w:r>
      <w:r>
        <w:rPr>
          <w:rFonts w:cs="宋体" w:asciiTheme="minorEastAsia" w:hAnsiTheme="minorEastAsia" w:eastAsiaTheme="minorEastAsia"/>
          <w:color w:val="auto"/>
          <w:highlight w:val="none"/>
        </w:rPr>
        <w:t>Mesh三维模型数据的基础上，进行倾斜摄影数据采集，通过空三加密、点云匹配、模型构建、模型修饰等环节</w:t>
      </w:r>
      <w:r>
        <w:rPr>
          <w:rFonts w:hint="eastAsia" w:cs="宋体" w:asciiTheme="minorEastAsia" w:hAnsiTheme="minorEastAsia" w:eastAsiaTheme="minorEastAsia"/>
          <w:color w:val="auto"/>
          <w:highlight w:val="none"/>
        </w:rPr>
        <w:t>补充生产拱墅区</w:t>
      </w:r>
      <w:r>
        <w:rPr>
          <w:rFonts w:cs="宋体" w:asciiTheme="minorEastAsia" w:hAnsiTheme="minorEastAsia" w:eastAsiaTheme="minorEastAsia"/>
          <w:color w:val="auto"/>
          <w:highlight w:val="none"/>
        </w:rPr>
        <w:t>88</w:t>
      </w:r>
      <w:r>
        <w:rPr>
          <w:rFonts w:hint="eastAsia" w:cs="宋体" w:asciiTheme="minorEastAsia" w:hAnsiTheme="minorEastAsia" w:eastAsiaTheme="minorEastAsia"/>
          <w:color w:val="auto"/>
          <w:highlight w:val="none"/>
        </w:rPr>
        <w:t>平方公里范围内尚未覆盖区域的</w:t>
      </w:r>
      <w:r>
        <w:rPr>
          <w:rFonts w:cs="宋体" w:asciiTheme="minorEastAsia" w:hAnsiTheme="minorEastAsia" w:eastAsiaTheme="minorEastAsia"/>
          <w:color w:val="auto"/>
          <w:highlight w:val="none"/>
        </w:rPr>
        <w:t>Mesh三维模型，更新生产不满足现势性要求区域的Mesh三维模型</w:t>
      </w:r>
      <w:r>
        <w:rPr>
          <w:rFonts w:hint="eastAsia" w:cs="宋体" w:asciiTheme="minorEastAsia" w:hAnsiTheme="minorEastAsia" w:eastAsiaTheme="minorEastAsia"/>
          <w:color w:val="auto"/>
          <w:highlight w:val="none"/>
        </w:rPr>
        <w:t>，范围示意图如下所示：</w:t>
      </w:r>
    </w:p>
    <w:p>
      <w:pPr>
        <w:pStyle w:val="63"/>
        <w:ind w:firstLine="420"/>
        <w:rPr>
          <w:color w:val="auto"/>
          <w:highlight w:val="none"/>
        </w:rPr>
      </w:pPr>
      <w:r>
        <w:rPr>
          <w:color w:val="auto"/>
          <w:highlight w:val="none"/>
        </w:rPr>
        <w:drawing>
          <wp:inline distT="0" distB="0" distL="0" distR="0">
            <wp:extent cx="4568825" cy="5794375"/>
            <wp:effectExtent l="0" t="0" r="3175" b="0"/>
            <wp:docPr id="2" name="图片 2" descr="C:\Users\zm\Desktop\无标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m\Desktop\无标题.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577555" cy="5805502"/>
                    </a:xfrm>
                    <a:prstGeom prst="rect">
                      <a:avLst/>
                    </a:prstGeom>
                    <a:noFill/>
                    <a:ln>
                      <a:noFill/>
                    </a:ln>
                  </pic:spPr>
                </pic:pic>
              </a:graphicData>
            </a:graphic>
          </wp:inline>
        </w:drawing>
      </w:r>
    </w:p>
    <w:p>
      <w:pPr>
        <w:pStyle w:val="26"/>
        <w:spacing w:line="360" w:lineRule="auto"/>
        <w:ind w:firstLine="490" w:firstLineChars="0"/>
        <w:jc w:val="left"/>
        <w:rPr>
          <w:rFonts w:cs="宋体"/>
          <w:color w:val="auto"/>
          <w:highlight w:val="none"/>
        </w:rPr>
      </w:pPr>
      <w:r>
        <w:rPr>
          <w:rFonts w:hint="eastAsia" w:cs="宋体"/>
          <w:color w:val="auto"/>
          <w:highlight w:val="none"/>
        </w:rPr>
        <w:t xml:space="preserve">（2）三维模型接边融合。对于新增采集模型数据，获取新增采集范围相邻区块内的模型数据，通过三角网编辑、纹理映射、纹理纠正等，完成不同区块间的接边处理；对于更新模型数据，删除更新范围内原有模型数据后参照新增采集模型数据接边方式完成与周边模型数据的接边融合。 </w:t>
      </w:r>
    </w:p>
    <w:p>
      <w:pPr>
        <w:pStyle w:val="26"/>
        <w:spacing w:line="360" w:lineRule="auto"/>
        <w:ind w:firstLine="490" w:firstLineChars="0"/>
        <w:jc w:val="left"/>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1.1.2</w:t>
      </w:r>
      <w:r>
        <w:rPr>
          <w:rFonts w:hint="eastAsia" w:cs="宋体" w:asciiTheme="minorEastAsia" w:hAnsiTheme="minorEastAsia" w:eastAsiaTheme="minorEastAsia"/>
          <w:color w:val="auto"/>
          <w:highlight w:val="none"/>
        </w:rPr>
        <w:t>技术要求</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（1）数据精度</w:t>
      </w:r>
    </w:p>
    <w:p>
      <w:pPr>
        <w:pStyle w:val="965"/>
        <w:snapToGrid w:val="0"/>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项目示意图中蓝色区域为倾</w:t>
      </w:r>
      <w:r>
        <w:rPr>
          <w:rFonts w:hint="eastAsia" w:ascii="宋体" w:hAnsi="宋体" w:eastAsia="宋体" w:cs="宋体"/>
          <w:color w:val="auto"/>
          <w:sz w:val="24"/>
          <w:szCs w:val="24"/>
          <w:highlight w:val="none"/>
        </w:rPr>
        <w:t>斜摄影，航片分辨率应优于0</w:t>
      </w:r>
      <w:r>
        <w:rPr>
          <w:rFonts w:ascii="宋体" w:hAnsi="宋体" w:eastAsia="宋体"/>
          <w:color w:val="auto"/>
          <w:sz w:val="24"/>
          <w:szCs w:val="24"/>
          <w:highlight w:val="none"/>
        </w:rPr>
        <w:t>.03米。实景三维</w:t>
      </w:r>
      <w:r>
        <w:rPr>
          <w:rFonts w:hint="eastAsia" w:ascii="宋体" w:hAnsi="宋体" w:eastAsia="宋体"/>
          <w:color w:val="auto"/>
          <w:sz w:val="24"/>
          <w:szCs w:val="24"/>
          <w:highlight w:val="none"/>
        </w:rPr>
        <w:t>模型</w:t>
      </w:r>
      <w:r>
        <w:rPr>
          <w:rFonts w:ascii="宋体" w:hAnsi="宋体" w:eastAsia="宋体"/>
          <w:color w:val="auto"/>
          <w:sz w:val="24"/>
          <w:szCs w:val="24"/>
          <w:highlight w:val="none"/>
        </w:rPr>
        <w:t>建筑</w:t>
      </w:r>
      <w:r>
        <w:rPr>
          <w:rFonts w:hint="eastAsia" w:ascii="宋体" w:hAnsi="宋体" w:eastAsia="宋体"/>
          <w:color w:val="auto"/>
          <w:sz w:val="24"/>
          <w:szCs w:val="24"/>
          <w:highlight w:val="none"/>
        </w:rPr>
        <w:t>顶部</w:t>
      </w:r>
      <w:r>
        <w:rPr>
          <w:rFonts w:ascii="宋体" w:hAnsi="宋体" w:eastAsia="宋体"/>
          <w:color w:val="auto"/>
          <w:sz w:val="24"/>
          <w:szCs w:val="24"/>
          <w:highlight w:val="none"/>
        </w:rPr>
        <w:t>、道路铺装等特征点相对邻近控制点的平面位置中误差应当小于±0.3米，高程中误差应当小于±0.3米。</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（2）模型处理技术</w:t>
      </w:r>
    </w:p>
    <w:p>
      <w:pPr>
        <w:pStyle w:val="965"/>
        <w:snapToGrid w:val="0"/>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模型生成：在空三成果基础上，采用主流的建模软件可自动生成模型；生成时需对模型进行简化处理、同时对纹理进行匀光处理；</w:t>
      </w:r>
    </w:p>
    <w:p>
      <w:pPr>
        <w:pStyle w:val="965"/>
        <w:snapToGrid w:val="0"/>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模型交互修补处理：自动生成的模型局部存在的效果缺陷，需通过第三方编辑软件进行交互编辑处理。具体包括悬浮物的删除、水面漏洞、凹凸处理、道路的压平处理、建筑的处理等</w:t>
      </w:r>
      <w:r>
        <w:rPr>
          <w:rFonts w:hint="eastAsia" w:ascii="宋体" w:hAnsi="宋体" w:eastAsia="宋体"/>
          <w:color w:val="auto"/>
          <w:sz w:val="24"/>
          <w:szCs w:val="24"/>
          <w:highlight w:val="none"/>
        </w:rPr>
        <w:t>。</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（3）模型质量</w:t>
      </w:r>
    </w:p>
    <w:p>
      <w:pPr>
        <w:pStyle w:val="965"/>
        <w:snapToGrid w:val="0"/>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Mesh三维模型要求结构、纹理完整</w:t>
      </w:r>
      <w:r>
        <w:rPr>
          <w:rFonts w:hint="eastAsia" w:ascii="宋体" w:hAnsi="宋体" w:eastAsia="宋体"/>
          <w:color w:val="auto"/>
          <w:sz w:val="24"/>
          <w:szCs w:val="24"/>
          <w:highlight w:val="none"/>
        </w:rPr>
        <w:t>；</w:t>
      </w:r>
      <w:r>
        <w:rPr>
          <w:rFonts w:ascii="宋体" w:hAnsi="宋体" w:eastAsia="宋体"/>
          <w:color w:val="auto"/>
          <w:sz w:val="24"/>
          <w:szCs w:val="24"/>
          <w:highlight w:val="none"/>
        </w:rPr>
        <w:t>模型表面纹理颜色均匀，明暗合理。建筑物模型数据不应出现露面、镂空、黑洞等现象，保证模型的完整性。生成的建筑物模型应对产生的噪声、漏洞进行人工干预、修改，保持建筑物模型完整、棱角分明、线条顺直、结构清晰准确，各立面平整。水面必须通过压平处理，保证水面没有破洞。植被整体轮廓清晰自然，道路平整真实自然。三维数据应以所见即所得的方式真实反映城市原貌，地形、地物形状真实准</w:t>
      </w:r>
      <w:r>
        <w:rPr>
          <w:rFonts w:hint="eastAsia" w:ascii="宋体" w:hAnsi="宋体" w:eastAsia="宋体"/>
          <w:color w:val="auto"/>
          <w:sz w:val="24"/>
          <w:szCs w:val="24"/>
          <w:highlight w:val="none"/>
        </w:rPr>
        <w:t>确</w:t>
      </w:r>
      <w:r>
        <w:rPr>
          <w:rFonts w:ascii="宋体" w:hAnsi="宋体" w:eastAsia="宋体"/>
          <w:color w:val="auto"/>
          <w:sz w:val="24"/>
          <w:szCs w:val="24"/>
          <w:highlight w:val="none"/>
        </w:rPr>
        <w:t>。</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（4）数据格式要求</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城市级实景三维模型数据以三角网格为几何框架，以真实表面纹理为框架表面的贴图影像，成果格式为*.OSGB，服务数据成果格式为*.S3M，元数据格式为*.GDB；</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（5）航飞要求</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航线重叠度：为保证项目成果质量要求，航空摄影像片旁向重叠度不低于</w:t>
      </w:r>
      <w:r>
        <w:rPr>
          <w:rFonts w:ascii="宋体" w:hAnsi="宋体" w:eastAsia="宋体"/>
          <w:color w:val="auto"/>
          <w:sz w:val="24"/>
          <w:szCs w:val="24"/>
          <w:highlight w:val="none"/>
        </w:rPr>
        <w:t>70</w:t>
      </w:r>
      <w:r>
        <w:rPr>
          <w:rFonts w:hint="eastAsia" w:ascii="宋体" w:hAnsi="宋体" w:eastAsia="宋体"/>
          <w:color w:val="auto"/>
          <w:sz w:val="24"/>
          <w:szCs w:val="24"/>
          <w:highlight w:val="none"/>
        </w:rPr>
        <w:t>%，航向重叠度不低于80%，投标单位应采取必要的控制措施和检查手段保障影像重叠度。</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影像质量：影像应清晰，层次分明，颜色饱和，色调均匀，反差适中，不偏色，能辨别出地面上最暗处的影像细节，不得有色斑，线阵丢失以及曝光过度等情况。</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项目实施过程中，涉及航飞空域管制相关审批与责任的，由中标方负责。</w:t>
      </w:r>
    </w:p>
    <w:p>
      <w:pPr>
        <w:pStyle w:val="26"/>
        <w:spacing w:line="360" w:lineRule="auto"/>
        <w:ind w:firstLine="490" w:firstLineChars="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（6）航飞系统构成：无人机、5S传感器、地面控制软件。</w:t>
      </w:r>
    </w:p>
    <w:p>
      <w:pPr>
        <w:pStyle w:val="26"/>
        <w:spacing w:line="360" w:lineRule="auto"/>
        <w:ind w:firstLine="490" w:firstLineChars="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无人机要求：</w:t>
      </w:r>
    </w:p>
    <w:tbl>
      <w:tblPr>
        <w:tblStyle w:val="6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5"/>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2"/>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项  目</w:t>
            </w:r>
          </w:p>
        </w:tc>
        <w:tc>
          <w:tcPr>
            <w:tcW w:w="3534"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2"/>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类 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航飞无人机</w:t>
            </w:r>
          </w:p>
        </w:tc>
        <w:tc>
          <w:tcPr>
            <w:tcW w:w="3534"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无人直升机或多</w:t>
            </w:r>
            <w:r>
              <w:rPr>
                <w:rFonts w:hint="eastAsia" w:ascii="宋体" w:hAnsi="宋体" w:eastAsia="宋体" w:cs="宋体"/>
                <w:color w:val="auto"/>
                <w:sz w:val="24"/>
                <w:szCs w:val="24"/>
                <w:highlight w:val="none"/>
              </w:rPr>
              <w:t>旋翼、固定翼</w:t>
            </w:r>
            <w:r>
              <w:rPr>
                <w:rFonts w:hint="eastAsia" w:ascii="宋体" w:hAnsi="宋体" w:eastAsia="宋体"/>
                <w:color w:val="auto"/>
                <w:sz w:val="24"/>
                <w:szCs w:val="24"/>
                <w:highlight w:val="none"/>
              </w:rPr>
              <w:t>无人机</w:t>
            </w:r>
          </w:p>
        </w:tc>
      </w:tr>
    </w:tbl>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5S传感器要求：</w:t>
      </w:r>
    </w:p>
    <w:tbl>
      <w:tblPr>
        <w:tblStyle w:val="6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3"/>
        <w:gridCol w:w="3116"/>
        <w:gridCol w:w="4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22"/>
              <w:rPr>
                <w:rFonts w:ascii="宋体" w:hAnsi="宋体" w:eastAsia="宋体"/>
                <w:b/>
                <w:bCs/>
                <w:color w:val="auto"/>
                <w:szCs w:val="21"/>
                <w:highlight w:val="none"/>
              </w:rPr>
            </w:pPr>
            <w:r>
              <w:rPr>
                <w:rFonts w:hint="eastAsia" w:ascii="宋体" w:hAnsi="宋体" w:eastAsia="宋体"/>
                <w:b/>
                <w:bCs/>
                <w:color w:val="auto"/>
                <w:szCs w:val="21"/>
                <w:highlight w:val="none"/>
              </w:rPr>
              <w:t>序号</w:t>
            </w:r>
          </w:p>
        </w:tc>
        <w:tc>
          <w:tcPr>
            <w:tcW w:w="1719"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22"/>
              <w:rPr>
                <w:rFonts w:ascii="宋体" w:hAnsi="宋体" w:eastAsia="宋体"/>
                <w:b/>
                <w:bCs/>
                <w:color w:val="auto"/>
                <w:szCs w:val="21"/>
                <w:highlight w:val="none"/>
              </w:rPr>
            </w:pPr>
            <w:r>
              <w:rPr>
                <w:rFonts w:hint="eastAsia" w:ascii="宋体" w:hAnsi="宋体" w:eastAsia="宋体"/>
                <w:b/>
                <w:bCs/>
                <w:color w:val="auto"/>
                <w:szCs w:val="21"/>
                <w:highlight w:val="none"/>
              </w:rPr>
              <w:t>参数项</w:t>
            </w:r>
          </w:p>
        </w:tc>
        <w:tc>
          <w:tcPr>
            <w:tcW w:w="2422"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22"/>
              <w:rPr>
                <w:rFonts w:ascii="宋体" w:hAnsi="宋体" w:eastAsia="宋体"/>
                <w:b/>
                <w:bCs/>
                <w:color w:val="auto"/>
                <w:szCs w:val="21"/>
                <w:highlight w:val="none"/>
              </w:rPr>
            </w:pPr>
            <w:r>
              <w:rPr>
                <w:rFonts w:hint="eastAsia" w:ascii="宋体" w:hAnsi="宋体" w:eastAsia="宋体"/>
                <w:b/>
                <w:bCs/>
                <w:color w:val="auto"/>
                <w:szCs w:val="21"/>
                <w:highlight w:val="none"/>
              </w:rPr>
              <w:t>参数值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7"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1719"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镜头数量</w:t>
            </w:r>
          </w:p>
        </w:tc>
        <w:tc>
          <w:tcPr>
            <w:tcW w:w="2422"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7"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1719"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相机总像素</w:t>
            </w:r>
          </w:p>
        </w:tc>
        <w:tc>
          <w:tcPr>
            <w:tcW w:w="2422"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7"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1719"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相机倾角</w:t>
            </w:r>
          </w:p>
        </w:tc>
        <w:tc>
          <w:tcPr>
            <w:tcW w:w="2422"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0度1个、30度到60度≥4个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7"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4</w:t>
            </w:r>
          </w:p>
        </w:tc>
        <w:tc>
          <w:tcPr>
            <w:tcW w:w="1719"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表面影像分辨率</w:t>
            </w:r>
          </w:p>
        </w:tc>
        <w:tc>
          <w:tcPr>
            <w:tcW w:w="2422"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优于0.03米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7"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5</w:t>
            </w:r>
          </w:p>
        </w:tc>
        <w:tc>
          <w:tcPr>
            <w:tcW w:w="1719"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自带pos数据</w:t>
            </w:r>
          </w:p>
        </w:tc>
        <w:tc>
          <w:tcPr>
            <w:tcW w:w="2422" w:type="pct"/>
            <w:tcBorders>
              <w:top w:val="single" w:color="auto" w:sz="4" w:space="0"/>
              <w:left w:val="single" w:color="auto" w:sz="4" w:space="0"/>
              <w:bottom w:val="single" w:color="auto" w:sz="4" w:space="0"/>
              <w:right w:val="single" w:color="auto" w:sz="4" w:space="0"/>
            </w:tcBorders>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是</w:t>
            </w:r>
          </w:p>
        </w:tc>
      </w:tr>
    </w:tbl>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（7）模型数据质检、管理及更新要求</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针对模型成果进行三维空间质量检验，可便捷地进行平面、高度、纹理等层次进行立体空间精度检测质检。</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将倾斜摄影成果源数据进行统一建库管理，并导入杭州市“空间智治”数字化平台统一管理，可以便捷地对任一地块进行时间轴成果查询管理、原始航拍图数据关联查询管理。</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实现与历史数据的无缝融合展示与管理，整合原有三维地理信息数据库达到统一展示。</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1.1.3工期要求：2024年11月15日前完成并提交以下数据成果：</w:t>
      </w:r>
    </w:p>
    <w:tbl>
      <w:tblPr>
        <w:tblStyle w:val="64"/>
        <w:tblW w:w="4999" w:type="pct"/>
        <w:tblInd w:w="0" w:type="dxa"/>
        <w:tblLayout w:type="autofit"/>
        <w:tblCellMar>
          <w:top w:w="0" w:type="dxa"/>
          <w:left w:w="0" w:type="dxa"/>
          <w:bottom w:w="0" w:type="dxa"/>
          <w:right w:w="0" w:type="dxa"/>
        </w:tblCellMar>
      </w:tblPr>
      <w:tblGrid>
        <w:gridCol w:w="3498"/>
        <w:gridCol w:w="3058"/>
        <w:gridCol w:w="2318"/>
      </w:tblGrid>
      <w:tr>
        <w:tblPrEx>
          <w:tblCellMar>
            <w:top w:w="0" w:type="dxa"/>
            <w:left w:w="0" w:type="dxa"/>
            <w:bottom w:w="0" w:type="dxa"/>
            <w:right w:w="0" w:type="dxa"/>
          </w:tblCellMar>
        </w:tblPrEx>
        <w:tc>
          <w:tcPr>
            <w:tcW w:w="19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资料类别</w:t>
            </w:r>
          </w:p>
        </w:tc>
        <w:tc>
          <w:tcPr>
            <w:tcW w:w="17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数据类型</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数据格式</w:t>
            </w:r>
          </w:p>
        </w:tc>
      </w:tr>
      <w:tr>
        <w:tblPrEx>
          <w:tblCellMar>
            <w:top w:w="0" w:type="dxa"/>
            <w:left w:w="0" w:type="dxa"/>
            <w:bottom w:w="0" w:type="dxa"/>
            <w:right w:w="0" w:type="dxa"/>
          </w:tblCellMar>
        </w:tblPrEx>
        <w:tc>
          <w:tcPr>
            <w:tcW w:w="1971"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航飞资料类</w:t>
            </w:r>
          </w:p>
        </w:tc>
        <w:tc>
          <w:tcPr>
            <w:tcW w:w="17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航线设计图</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jpg</w:t>
            </w:r>
          </w:p>
        </w:tc>
      </w:tr>
      <w:tr>
        <w:tblPrEx>
          <w:tblCellMar>
            <w:top w:w="0" w:type="dxa"/>
            <w:left w:w="0" w:type="dxa"/>
            <w:bottom w:w="0" w:type="dxa"/>
            <w:right w:w="0" w:type="dxa"/>
          </w:tblCellMar>
        </w:tblPrEx>
        <w:tc>
          <w:tcPr>
            <w:tcW w:w="1971"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p>
        </w:tc>
        <w:tc>
          <w:tcPr>
            <w:tcW w:w="17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原始航摄相片</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jpg</w:t>
            </w:r>
          </w:p>
        </w:tc>
      </w:tr>
      <w:tr>
        <w:tblPrEx>
          <w:tblCellMar>
            <w:top w:w="0" w:type="dxa"/>
            <w:left w:w="0" w:type="dxa"/>
            <w:bottom w:w="0" w:type="dxa"/>
            <w:right w:w="0" w:type="dxa"/>
          </w:tblCellMar>
        </w:tblPrEx>
        <w:tc>
          <w:tcPr>
            <w:tcW w:w="1971"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p>
        </w:tc>
        <w:tc>
          <w:tcPr>
            <w:tcW w:w="17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曝光点POS数据</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txt</w:t>
            </w:r>
          </w:p>
        </w:tc>
      </w:tr>
      <w:tr>
        <w:tblPrEx>
          <w:tblCellMar>
            <w:top w:w="0" w:type="dxa"/>
            <w:left w:w="0" w:type="dxa"/>
            <w:bottom w:w="0" w:type="dxa"/>
            <w:right w:w="0" w:type="dxa"/>
          </w:tblCellMar>
        </w:tblPrEx>
        <w:tc>
          <w:tcPr>
            <w:tcW w:w="1971"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Mesh三维模型</w:t>
            </w:r>
          </w:p>
        </w:tc>
        <w:tc>
          <w:tcPr>
            <w:tcW w:w="17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模型数据</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osgb/obj</w:t>
            </w:r>
          </w:p>
        </w:tc>
      </w:tr>
      <w:tr>
        <w:tblPrEx>
          <w:tblCellMar>
            <w:top w:w="0" w:type="dxa"/>
            <w:left w:w="0" w:type="dxa"/>
            <w:bottom w:w="0" w:type="dxa"/>
            <w:right w:w="0" w:type="dxa"/>
          </w:tblCellMar>
        </w:tblPrEx>
        <w:tc>
          <w:tcPr>
            <w:tcW w:w="1971"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p>
        </w:tc>
        <w:tc>
          <w:tcPr>
            <w:tcW w:w="17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服务数据</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3DTiles/S3M</w:t>
            </w:r>
          </w:p>
        </w:tc>
      </w:tr>
      <w:tr>
        <w:tblPrEx>
          <w:tblCellMar>
            <w:top w:w="0" w:type="dxa"/>
            <w:left w:w="0" w:type="dxa"/>
            <w:bottom w:w="0" w:type="dxa"/>
            <w:right w:w="0" w:type="dxa"/>
          </w:tblCellMar>
        </w:tblPrEx>
        <w:tc>
          <w:tcPr>
            <w:tcW w:w="1971"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p>
        </w:tc>
        <w:tc>
          <w:tcPr>
            <w:tcW w:w="17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元数据</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gdb</w:t>
            </w:r>
          </w:p>
        </w:tc>
      </w:tr>
    </w:tbl>
    <w:p>
      <w:pPr>
        <w:pStyle w:val="965"/>
        <w:spacing w:line="360" w:lineRule="auto"/>
        <w:ind w:firstLine="720" w:firstLineChars="300"/>
        <w:rPr>
          <w:rFonts w:ascii="宋体" w:hAnsi="宋体" w:eastAsia="宋体"/>
          <w:color w:val="auto"/>
          <w:sz w:val="24"/>
          <w:szCs w:val="24"/>
          <w:highlight w:val="none"/>
        </w:rPr>
      </w:pPr>
      <w:r>
        <w:rPr>
          <w:rFonts w:hint="eastAsia" w:ascii="宋体" w:hAnsi="宋体" w:eastAsia="宋体"/>
          <w:color w:val="auto"/>
          <w:sz w:val="24"/>
          <w:szCs w:val="24"/>
          <w:highlight w:val="none"/>
        </w:rPr>
        <w:t>▲成果需通过省级测绘质量检验机构的质量检验。</w:t>
      </w:r>
    </w:p>
    <w:p>
      <w:pPr>
        <w:pStyle w:val="26"/>
        <w:spacing w:line="360" w:lineRule="auto"/>
        <w:ind w:firstLine="490" w:firstLineChars="0"/>
        <w:jc w:val="left"/>
        <w:rPr>
          <w:rFonts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 xml:space="preserve">1.2城市级基础地理实体生产 </w:t>
      </w:r>
    </w:p>
    <w:p>
      <w:pPr>
        <w:pStyle w:val="26"/>
        <w:spacing w:line="360" w:lineRule="auto"/>
        <w:ind w:firstLine="490" w:firstLineChars="0"/>
        <w:jc w:val="left"/>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1.</w:t>
      </w:r>
      <w:r>
        <w:rPr>
          <w:rFonts w:hint="eastAsia"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rPr>
        <w:t>.1</w:t>
      </w:r>
      <w:r>
        <w:rPr>
          <w:rFonts w:hint="eastAsia" w:cs="宋体" w:asciiTheme="minorEastAsia" w:hAnsiTheme="minorEastAsia" w:eastAsiaTheme="minorEastAsia"/>
          <w:color w:val="auto"/>
          <w:highlight w:val="none"/>
        </w:rPr>
        <w:t>项目内容</w:t>
      </w:r>
    </w:p>
    <w:p>
      <w:pPr>
        <w:pStyle w:val="965"/>
        <w:spacing w:line="360" w:lineRule="auto"/>
        <w:ind w:firstLine="480"/>
        <w:rPr>
          <w:rFonts w:ascii="宋体" w:hAnsi="宋体" w:eastAsia="宋体"/>
          <w:color w:val="auto"/>
          <w:sz w:val="24"/>
          <w:szCs w:val="24"/>
          <w:highlight w:val="none"/>
        </w:rPr>
      </w:pPr>
      <w:r>
        <w:rPr>
          <w:rFonts w:hint="eastAsia" w:ascii="宋体" w:eastAsia="宋体"/>
          <w:color w:val="auto"/>
          <w:sz w:val="24"/>
          <w:szCs w:val="24"/>
          <w:highlight w:val="none"/>
        </w:rPr>
        <w:t>基于</w:t>
      </w:r>
      <w:r>
        <w:rPr>
          <w:rFonts w:ascii="宋体" w:eastAsia="宋体"/>
          <w:color w:val="auto"/>
          <w:sz w:val="24"/>
          <w:szCs w:val="24"/>
          <w:highlight w:val="none"/>
        </w:rPr>
        <w:t>1</w:t>
      </w:r>
      <w:r>
        <w:rPr>
          <w:rFonts w:hint="eastAsia" w:ascii="宋体" w:eastAsia="宋体"/>
          <w:color w:val="auto"/>
          <w:sz w:val="24"/>
          <w:szCs w:val="24"/>
          <w:highlight w:val="none"/>
        </w:rPr>
        <w:t>∶</w:t>
      </w:r>
      <w:r>
        <w:rPr>
          <w:rFonts w:ascii="宋体" w:eastAsia="宋体"/>
          <w:color w:val="auto"/>
          <w:sz w:val="24"/>
          <w:szCs w:val="24"/>
          <w:highlight w:val="none"/>
        </w:rPr>
        <w:t>2000</w:t>
      </w:r>
      <w:r>
        <w:rPr>
          <w:rFonts w:hint="eastAsia" w:ascii="宋体" w:eastAsia="宋体"/>
          <w:color w:val="auto"/>
          <w:sz w:val="24"/>
          <w:szCs w:val="24"/>
          <w:highlight w:val="none"/>
        </w:rPr>
        <w:t>比</w:t>
      </w:r>
      <w:r>
        <w:rPr>
          <w:rFonts w:hint="eastAsia" w:ascii="宋体" w:hAnsi="宋体" w:eastAsia="宋体"/>
          <w:color w:val="auto"/>
          <w:sz w:val="24"/>
          <w:szCs w:val="24"/>
          <w:highlight w:val="none"/>
        </w:rPr>
        <w:t>例尺DLG数据以及国土变更调查、不动产权籍调查、水利、交通等专题数据为辅助数据源，通过数据预处理、映射转换、实体赋码、关系构建等环节，生产二维形式表达的基础地理实体,2024年度完成生产88平方公里。对与城市级基础地理实体不存在映射关系的1∶2000比例尺DLG数据（如等高线、</w:t>
      </w:r>
      <w:r>
        <w:rPr>
          <w:rFonts w:hint="eastAsia" w:ascii="宋体" w:eastAsia="宋体"/>
          <w:color w:val="auto"/>
          <w:sz w:val="24"/>
          <w:szCs w:val="24"/>
          <w:highlight w:val="none"/>
        </w:rPr>
        <w:t>高程点等），保留该部分要素数据，统一归为制图要素数据集，作为成图辅助数据进行存储或管理。</w:t>
      </w:r>
    </w:p>
    <w:p>
      <w:pPr>
        <w:pStyle w:val="964"/>
        <w:ind w:firstLine="480" w:firstLineChars="200"/>
        <w:textAlignment w:val="center"/>
        <w:rPr>
          <w:rFonts w:ascii="宋体" w:eastAsia="宋体"/>
          <w:color w:val="auto"/>
          <w:sz w:val="24"/>
          <w:szCs w:val="24"/>
          <w:highlight w:val="none"/>
        </w:rPr>
      </w:pPr>
      <w:r>
        <w:rPr>
          <w:rFonts w:ascii="宋体" w:eastAsia="宋体"/>
          <w:color w:val="auto"/>
          <w:sz w:val="24"/>
          <w:szCs w:val="24"/>
          <w:highlight w:val="none"/>
        </w:rPr>
        <w:t>1.2.2技术要求</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（1）数据精度要求</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城市级基础地理实体成果的平面中误差要求不低于转换数据源。</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（2）生产技术要求</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利用1:2000比例尺DLG数据成果（2023年度）和最新的不动产权籍调查、地理国情监测、国土变更调查、水域调查、公路基础数据库等专题数据，根据实景三维浙江建设技术方案，通过数据预处理、图形与属性的映射转换、图元与属性的采集生产等技术流程，构建城市级基础地理实体。</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（3）数据格式要求</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城市级基础地理实体以二维形式表达，由图元、实体表、实体-图元关联表、实体关系表、元数据组成，成果格式均为*.GDB。</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1.2.3工期要求：2024年11月15日前完成并提交以下数据成果：</w:t>
      </w:r>
    </w:p>
    <w:tbl>
      <w:tblPr>
        <w:tblStyle w:val="64"/>
        <w:tblW w:w="4999" w:type="pct"/>
        <w:tblInd w:w="0" w:type="dxa"/>
        <w:tblLayout w:type="autofit"/>
        <w:tblCellMar>
          <w:top w:w="0" w:type="dxa"/>
          <w:left w:w="0" w:type="dxa"/>
          <w:bottom w:w="0" w:type="dxa"/>
          <w:right w:w="0" w:type="dxa"/>
        </w:tblCellMar>
      </w:tblPr>
      <w:tblGrid>
        <w:gridCol w:w="3497"/>
        <w:gridCol w:w="3057"/>
        <w:gridCol w:w="2320"/>
      </w:tblGrid>
      <w:tr>
        <w:tblPrEx>
          <w:tblCellMar>
            <w:top w:w="0" w:type="dxa"/>
            <w:left w:w="0" w:type="dxa"/>
            <w:bottom w:w="0" w:type="dxa"/>
            <w:right w:w="0" w:type="dxa"/>
          </w:tblCellMar>
        </w:tblPrEx>
        <w:tc>
          <w:tcPr>
            <w:tcW w:w="19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资料类别</w:t>
            </w:r>
          </w:p>
        </w:tc>
        <w:tc>
          <w:tcPr>
            <w:tcW w:w="17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数据类型</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2"/>
              <w:rPr>
                <w:rFonts w:ascii="宋体" w:hAnsi="宋体" w:eastAsia="宋体"/>
                <w:b/>
                <w:color w:val="auto"/>
                <w:sz w:val="24"/>
                <w:szCs w:val="24"/>
                <w:highlight w:val="none"/>
              </w:rPr>
            </w:pPr>
            <w:r>
              <w:rPr>
                <w:rFonts w:hint="eastAsia" w:ascii="宋体" w:hAnsi="宋体" w:eastAsia="宋体"/>
                <w:b/>
                <w:color w:val="auto"/>
                <w:sz w:val="24"/>
                <w:szCs w:val="24"/>
                <w:highlight w:val="none"/>
              </w:rPr>
              <w:t>数据格式</w:t>
            </w:r>
          </w:p>
        </w:tc>
      </w:tr>
      <w:tr>
        <w:tblPrEx>
          <w:tblCellMar>
            <w:top w:w="0" w:type="dxa"/>
            <w:left w:w="0" w:type="dxa"/>
            <w:bottom w:w="0" w:type="dxa"/>
            <w:right w:w="0" w:type="dxa"/>
          </w:tblCellMar>
        </w:tblPrEx>
        <w:tc>
          <w:tcPr>
            <w:tcW w:w="1970"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城市级基础地理实体</w:t>
            </w:r>
          </w:p>
        </w:tc>
        <w:tc>
          <w:tcPr>
            <w:tcW w:w="17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图元</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gdb</w:t>
            </w:r>
          </w:p>
        </w:tc>
      </w:tr>
      <w:tr>
        <w:tblPrEx>
          <w:tblCellMar>
            <w:top w:w="0" w:type="dxa"/>
            <w:left w:w="0" w:type="dxa"/>
            <w:bottom w:w="0" w:type="dxa"/>
            <w:right w:w="0" w:type="dxa"/>
          </w:tblCellMar>
        </w:tblPrEx>
        <w:tc>
          <w:tcPr>
            <w:tcW w:w="1970"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p>
        </w:tc>
        <w:tc>
          <w:tcPr>
            <w:tcW w:w="17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实体表</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gdb</w:t>
            </w:r>
          </w:p>
        </w:tc>
      </w:tr>
      <w:tr>
        <w:tblPrEx>
          <w:tblCellMar>
            <w:top w:w="0" w:type="dxa"/>
            <w:left w:w="0" w:type="dxa"/>
            <w:bottom w:w="0" w:type="dxa"/>
            <w:right w:w="0" w:type="dxa"/>
          </w:tblCellMar>
        </w:tblPrEx>
        <w:tc>
          <w:tcPr>
            <w:tcW w:w="1970"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p>
        </w:tc>
        <w:tc>
          <w:tcPr>
            <w:tcW w:w="17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实体-图元关联表</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gdb</w:t>
            </w:r>
          </w:p>
        </w:tc>
      </w:tr>
      <w:tr>
        <w:tblPrEx>
          <w:tblCellMar>
            <w:top w:w="0" w:type="dxa"/>
            <w:left w:w="0" w:type="dxa"/>
            <w:bottom w:w="0" w:type="dxa"/>
            <w:right w:w="0" w:type="dxa"/>
          </w:tblCellMar>
        </w:tblPrEx>
        <w:tc>
          <w:tcPr>
            <w:tcW w:w="1970"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p>
        </w:tc>
        <w:tc>
          <w:tcPr>
            <w:tcW w:w="17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实体关系表</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gdb</w:t>
            </w:r>
          </w:p>
        </w:tc>
      </w:tr>
      <w:tr>
        <w:tblPrEx>
          <w:tblCellMar>
            <w:top w:w="0" w:type="dxa"/>
            <w:left w:w="0" w:type="dxa"/>
            <w:bottom w:w="0" w:type="dxa"/>
            <w:right w:w="0" w:type="dxa"/>
          </w:tblCellMar>
        </w:tblPrEx>
        <w:tc>
          <w:tcPr>
            <w:tcW w:w="1970"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p>
        </w:tc>
        <w:tc>
          <w:tcPr>
            <w:tcW w:w="17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元数据</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gdb</w:t>
            </w:r>
          </w:p>
        </w:tc>
      </w:tr>
    </w:tbl>
    <w:p>
      <w:pPr>
        <w:pStyle w:val="965"/>
        <w:spacing w:line="360" w:lineRule="auto"/>
        <w:ind w:firstLine="720" w:firstLineChars="300"/>
        <w:rPr>
          <w:rFonts w:ascii="宋体" w:hAnsi="宋体" w:eastAsia="宋体"/>
          <w:color w:val="auto"/>
          <w:sz w:val="24"/>
          <w:szCs w:val="24"/>
          <w:highlight w:val="none"/>
        </w:rPr>
      </w:pPr>
      <w:r>
        <w:rPr>
          <w:rFonts w:hint="eastAsia" w:ascii="宋体" w:hAnsi="宋体" w:eastAsia="宋体"/>
          <w:color w:val="auto"/>
          <w:sz w:val="24"/>
          <w:szCs w:val="24"/>
          <w:highlight w:val="none"/>
        </w:rPr>
        <w:t>▲成果需通过省级测绘质量检验机构的质量检验。</w:t>
      </w:r>
    </w:p>
    <w:p>
      <w:pPr>
        <w:pStyle w:val="26"/>
        <w:spacing w:line="360" w:lineRule="auto"/>
        <w:ind w:firstLine="490" w:firstLineChars="0"/>
        <w:jc w:val="left"/>
        <w:rPr>
          <w:rFonts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 xml:space="preserve">1.3城市三维模型快速构建 </w:t>
      </w:r>
    </w:p>
    <w:p>
      <w:pPr>
        <w:pStyle w:val="965"/>
        <w:spacing w:line="360" w:lineRule="auto"/>
        <w:ind w:firstLine="480"/>
        <w:rPr>
          <w:rFonts w:ascii="宋体" w:eastAsia="宋体"/>
          <w:color w:val="auto"/>
          <w:sz w:val="24"/>
          <w:szCs w:val="24"/>
          <w:highlight w:val="none"/>
        </w:rPr>
      </w:pPr>
      <w:r>
        <w:rPr>
          <w:rFonts w:ascii="宋体" w:eastAsia="宋体"/>
          <w:color w:val="auto"/>
          <w:sz w:val="24"/>
          <w:szCs w:val="24"/>
          <w:highlight w:val="none"/>
        </w:rPr>
        <w:t>1.3.1</w:t>
      </w:r>
      <w:r>
        <w:rPr>
          <w:rFonts w:hint="eastAsia" w:ascii="宋体" w:eastAsia="宋体"/>
          <w:color w:val="auto"/>
          <w:sz w:val="24"/>
          <w:szCs w:val="24"/>
          <w:highlight w:val="none"/>
        </w:rPr>
        <w:t>项目内容</w:t>
      </w:r>
    </w:p>
    <w:p>
      <w:pPr>
        <w:pStyle w:val="964"/>
        <w:ind w:firstLine="480" w:firstLineChars="200"/>
        <w:textAlignment w:val="center"/>
        <w:rPr>
          <w:rFonts w:ascii="宋体" w:eastAsia="宋体"/>
          <w:color w:val="auto"/>
          <w:sz w:val="24"/>
          <w:szCs w:val="24"/>
          <w:highlight w:val="none"/>
        </w:rPr>
      </w:pPr>
      <w:r>
        <w:rPr>
          <w:rFonts w:hint="eastAsia" w:ascii="宋体" w:eastAsia="宋体"/>
          <w:color w:val="auto"/>
          <w:sz w:val="24"/>
          <w:szCs w:val="24"/>
          <w:highlight w:val="none"/>
        </w:rPr>
        <w:t>利用</w:t>
      </w:r>
      <w:r>
        <w:rPr>
          <w:rFonts w:ascii="宋体" w:eastAsia="宋体"/>
          <w:color w:val="auto"/>
          <w:sz w:val="24"/>
          <w:szCs w:val="24"/>
          <w:highlight w:val="none"/>
        </w:rPr>
        <w:t>1:2000</w:t>
      </w:r>
      <w:r>
        <w:rPr>
          <w:rFonts w:hint="eastAsia" w:ascii="宋体" w:eastAsia="宋体"/>
          <w:color w:val="auto"/>
          <w:sz w:val="24"/>
          <w:szCs w:val="24"/>
          <w:highlight w:val="none"/>
        </w:rPr>
        <w:t>比例尺</w:t>
      </w:r>
      <w:r>
        <w:rPr>
          <w:rFonts w:ascii="宋体" w:eastAsia="宋体"/>
          <w:color w:val="auto"/>
          <w:sz w:val="24"/>
          <w:szCs w:val="24"/>
          <w:highlight w:val="none"/>
        </w:rPr>
        <w:t>DLG</w:t>
      </w:r>
      <w:r>
        <w:rPr>
          <w:rFonts w:hint="eastAsia" w:ascii="宋体" w:eastAsia="宋体"/>
          <w:color w:val="auto"/>
          <w:sz w:val="24"/>
          <w:szCs w:val="24"/>
          <w:highlight w:val="none"/>
        </w:rPr>
        <w:t>数据、</w:t>
      </w:r>
      <w:r>
        <w:rPr>
          <w:rFonts w:hint="eastAsia" w:ascii="宋体" w:eastAsia="宋体" w:cs="Calibri"/>
          <w:color w:val="auto"/>
          <w:kern w:val="2"/>
          <w:sz w:val="24"/>
          <w:szCs w:val="24"/>
          <w:highlight w:val="none"/>
        </w:rPr>
        <w:t>Mesh三维模型、不动产权籍数据、自然灾害综合风险普查数据等各类数据，通过建(构)筑物面采集和处理、高度信息采集、体块模型构建、纹理映射、属性填写等环节构建88平方公里不低</w:t>
      </w:r>
      <w:r>
        <w:rPr>
          <w:rFonts w:hint="eastAsia" w:ascii="宋体" w:eastAsia="宋体"/>
          <w:color w:val="auto"/>
          <w:sz w:val="24"/>
          <w:szCs w:val="24"/>
          <w:highlight w:val="none"/>
        </w:rPr>
        <w:t>于</w:t>
      </w:r>
      <w:r>
        <w:rPr>
          <w:rFonts w:ascii="宋体" w:eastAsia="宋体"/>
          <w:color w:val="auto"/>
          <w:sz w:val="24"/>
          <w:szCs w:val="24"/>
          <w:highlight w:val="none"/>
        </w:rPr>
        <w:t>LOD1.3</w:t>
      </w:r>
      <w:r>
        <w:rPr>
          <w:rFonts w:hint="eastAsia" w:ascii="宋体" w:eastAsia="宋体"/>
          <w:color w:val="auto"/>
          <w:sz w:val="24"/>
          <w:szCs w:val="24"/>
          <w:highlight w:val="none"/>
        </w:rPr>
        <w:t>级的建（构）筑物三维模型，并与基础地理实体中相应实体进行融合处理、统一编码，形成二三维一体的建（构）筑物实体。</w:t>
      </w:r>
    </w:p>
    <w:p>
      <w:pPr>
        <w:pStyle w:val="964"/>
        <w:ind w:firstLine="480" w:firstLineChars="200"/>
        <w:textAlignment w:val="center"/>
        <w:rPr>
          <w:rFonts w:ascii="宋体" w:eastAsia="宋体"/>
          <w:color w:val="auto"/>
          <w:sz w:val="24"/>
          <w:szCs w:val="24"/>
          <w:highlight w:val="none"/>
        </w:rPr>
      </w:pPr>
      <w:r>
        <w:rPr>
          <w:rFonts w:ascii="宋体" w:eastAsia="宋体"/>
          <w:color w:val="auto"/>
          <w:sz w:val="24"/>
          <w:szCs w:val="24"/>
          <w:highlight w:val="none"/>
        </w:rPr>
        <w:t>1.3.2</w:t>
      </w:r>
      <w:r>
        <w:rPr>
          <w:rFonts w:hint="eastAsia" w:ascii="宋体" w:eastAsia="宋体"/>
          <w:color w:val="auto"/>
          <w:sz w:val="24"/>
          <w:szCs w:val="24"/>
          <w:highlight w:val="none"/>
        </w:rPr>
        <w:t>技术要求</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（1）数据精度</w:t>
      </w:r>
    </w:p>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城市三维模型快速构建成果按照LOD1.3级别进行生产，基底面拐点对邻近野外控制点的平面位置中误差在平地、丘陵地区应当小于±2.5米，在山地应当小于±3.75米；城市三维模型快速构建成果基底面拐点对邻近野外控制点高程中误差在平地应当小于±0.5米，丘陵地应当小于±1.2米，山地应当小于±2.5米；高度小于30米（含）的建（构）筑物，三维模型高度（三维模型顶部到基底面的垂直距离）与实际高度（建（构）筑物顶部到基底面的垂直距离，不含顶部建筑附属设施）之差与实际高度的比值不应大于10%。高于30米的建（构）筑物，三维模型高度与实际高度之差不应大于3.0米。高度值取位至0.1米。</w:t>
      </w:r>
    </w:p>
    <w:p>
      <w:pPr>
        <w:pStyle w:val="965"/>
        <w:spacing w:line="360" w:lineRule="auto"/>
        <w:ind w:firstLine="480"/>
        <w:rPr>
          <w:rFonts w:ascii="宋体" w:hAnsi="宋体" w:eastAsia="宋体"/>
          <w:color w:val="auto"/>
          <w:sz w:val="24"/>
          <w:szCs w:val="24"/>
          <w:highlight w:val="none"/>
        </w:rPr>
      </w:pP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（2）模型处理技术</w:t>
      </w:r>
    </w:p>
    <w:p>
      <w:pPr>
        <w:pStyle w:val="965"/>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基底面积大于8平方米且高度大于3米的建筑物全部采集，体型高大、影响城市景观的构筑物全部采集，重要的、标志性的单栋建筑物全部采集，标志性建筑物和构筑物应正确</w:t>
      </w:r>
      <w:r>
        <w:rPr>
          <w:rFonts w:hint="eastAsia" w:ascii="宋体" w:hAnsi="宋体" w:eastAsia="宋体"/>
          <w:color w:val="auto"/>
          <w:sz w:val="24"/>
          <w:szCs w:val="24"/>
          <w:highlight w:val="none"/>
        </w:rPr>
        <w:t>表示整体形态，外立面和顶部的细节无需表示。城市低矮建筑（1-3层）密集区可按院落、区块连片采集，并扣除其中大于400平方米的空地；高于3层的建筑物按单体模型采集</w:t>
      </w:r>
      <w:r>
        <w:rPr>
          <w:rFonts w:ascii="宋体" w:hAnsi="宋体" w:eastAsia="宋体"/>
          <w:color w:val="auto"/>
          <w:sz w:val="24"/>
          <w:szCs w:val="24"/>
          <w:highlight w:val="none"/>
        </w:rPr>
        <w:t>；报亭等临时建筑物不采集；建筑物附属设施不采集；局部突出屋顶满足指标时采集。</w:t>
      </w:r>
    </w:p>
    <w:p>
      <w:pPr>
        <w:pStyle w:val="965"/>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建筑物外立面上的凹凸变化（如：飘楼、檐廊等）无需采集；一个建（构）筑物应采集为一个连续、闭合的体块三维模型；建筑物基底面基于数据源转换的凹凸变化与数据源</w:t>
      </w:r>
      <w:r>
        <w:rPr>
          <w:rFonts w:hint="eastAsia" w:ascii="宋体" w:hAnsi="宋体" w:eastAsia="宋体"/>
          <w:color w:val="auto"/>
          <w:sz w:val="24"/>
          <w:szCs w:val="24"/>
          <w:highlight w:val="none"/>
        </w:rPr>
        <w:t>保持</w:t>
      </w:r>
      <w:r>
        <w:rPr>
          <w:rFonts w:ascii="宋体" w:hAnsi="宋体" w:eastAsia="宋体"/>
          <w:color w:val="auto"/>
          <w:sz w:val="24"/>
          <w:szCs w:val="24"/>
          <w:highlight w:val="none"/>
        </w:rPr>
        <w:t>一致；顶部大于3米的高度变化，当变化部分基底面积大于12平方米时，高度变化应正确表示。</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（3）模型质量</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普通建筑物采用通用纹理或真实纹理，标志性的建（构）筑物采用真实纹理，纹理图像文件采用RGB或RGBA色彩模式。以无符号8位存储，可在满足视觉效果的情况下，适度降低纹理分辨率。</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（4）数据格式要求</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模型数据成果格式为*.OBJ,纹理数据成果格式为*.JPG，属性数据成果格式为*.SHP，元数据成果格式为*.GDB。</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（5）模型数据质检要求</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针对模型成果进行三维空间质量检验，可便捷地进行平面、高度、纹理等层次进行立体空间精度检测质检。</w:t>
      </w:r>
    </w:p>
    <w:p>
      <w:pPr>
        <w:pStyle w:val="965"/>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1</w:t>
      </w:r>
      <w:r>
        <w:rPr>
          <w:rFonts w:hint="eastAsia" w:ascii="宋体" w:hAnsi="宋体" w:eastAsia="宋体"/>
          <w:color w:val="auto"/>
          <w:sz w:val="24"/>
          <w:szCs w:val="24"/>
          <w:highlight w:val="none"/>
        </w:rPr>
        <w:t>.3.</w:t>
      </w:r>
      <w:r>
        <w:rPr>
          <w:rFonts w:ascii="宋体" w:hAnsi="宋体" w:eastAsia="宋体"/>
          <w:color w:val="auto"/>
          <w:sz w:val="24"/>
          <w:szCs w:val="24"/>
          <w:highlight w:val="none"/>
        </w:rPr>
        <w:t>3</w:t>
      </w:r>
      <w:r>
        <w:rPr>
          <w:rFonts w:hint="eastAsia" w:ascii="宋体" w:hAnsi="宋体" w:eastAsia="宋体"/>
          <w:color w:val="auto"/>
          <w:sz w:val="24"/>
          <w:szCs w:val="24"/>
          <w:highlight w:val="none"/>
        </w:rPr>
        <w:t>工期要求：202</w:t>
      </w:r>
      <w:r>
        <w:rPr>
          <w:rFonts w:ascii="宋体" w:hAnsi="宋体" w:eastAsia="宋体"/>
          <w:color w:val="auto"/>
          <w:sz w:val="24"/>
          <w:szCs w:val="24"/>
          <w:highlight w:val="none"/>
        </w:rPr>
        <w:t>4</w:t>
      </w:r>
      <w:r>
        <w:rPr>
          <w:rFonts w:hint="eastAsia" w:ascii="宋体" w:hAnsi="宋体" w:eastAsia="宋体"/>
          <w:color w:val="auto"/>
          <w:sz w:val="24"/>
          <w:szCs w:val="24"/>
          <w:highlight w:val="none"/>
        </w:rPr>
        <w:t>年</w:t>
      </w:r>
      <w:r>
        <w:rPr>
          <w:rFonts w:ascii="宋体" w:hAnsi="宋体" w:eastAsia="宋体"/>
          <w:color w:val="auto"/>
          <w:sz w:val="24"/>
          <w:szCs w:val="24"/>
          <w:highlight w:val="none"/>
        </w:rPr>
        <w:t>11</w:t>
      </w:r>
      <w:r>
        <w:rPr>
          <w:rFonts w:hint="eastAsia" w:ascii="宋体" w:hAnsi="宋体" w:eastAsia="宋体"/>
          <w:color w:val="auto"/>
          <w:sz w:val="24"/>
          <w:szCs w:val="24"/>
          <w:highlight w:val="none"/>
        </w:rPr>
        <w:t>月</w:t>
      </w:r>
      <w:r>
        <w:rPr>
          <w:rFonts w:ascii="宋体" w:hAnsi="宋体" w:eastAsia="宋体"/>
          <w:color w:val="auto"/>
          <w:sz w:val="24"/>
          <w:szCs w:val="24"/>
          <w:highlight w:val="none"/>
        </w:rPr>
        <w:t>15</w:t>
      </w:r>
      <w:r>
        <w:rPr>
          <w:rFonts w:hint="eastAsia" w:ascii="宋体" w:hAnsi="宋体" w:eastAsia="宋体"/>
          <w:color w:val="auto"/>
          <w:sz w:val="24"/>
          <w:szCs w:val="24"/>
          <w:highlight w:val="none"/>
        </w:rPr>
        <w:t>日前完成并提交以下数据成果：</w:t>
      </w:r>
    </w:p>
    <w:tbl>
      <w:tblPr>
        <w:tblStyle w:val="64"/>
        <w:tblW w:w="4999" w:type="pct"/>
        <w:tblInd w:w="0" w:type="dxa"/>
        <w:tblLayout w:type="autofit"/>
        <w:tblCellMar>
          <w:top w:w="0" w:type="dxa"/>
          <w:left w:w="0" w:type="dxa"/>
          <w:bottom w:w="0" w:type="dxa"/>
          <w:right w:w="0" w:type="dxa"/>
        </w:tblCellMar>
      </w:tblPr>
      <w:tblGrid>
        <w:gridCol w:w="3497"/>
        <w:gridCol w:w="3057"/>
        <w:gridCol w:w="2320"/>
      </w:tblGrid>
      <w:tr>
        <w:tblPrEx>
          <w:tblCellMar>
            <w:top w:w="0" w:type="dxa"/>
            <w:left w:w="0" w:type="dxa"/>
            <w:bottom w:w="0" w:type="dxa"/>
            <w:right w:w="0" w:type="dxa"/>
          </w:tblCellMar>
        </w:tblPrEx>
        <w:trPr>
          <w:trHeight w:val="283" w:hRule="atLeast"/>
        </w:trPr>
        <w:tc>
          <w:tcPr>
            <w:tcW w:w="19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2"/>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资料类别</w:t>
            </w:r>
          </w:p>
        </w:tc>
        <w:tc>
          <w:tcPr>
            <w:tcW w:w="17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2"/>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数据类型</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2"/>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数据格式</w:t>
            </w:r>
          </w:p>
        </w:tc>
      </w:tr>
      <w:tr>
        <w:tblPrEx>
          <w:tblCellMar>
            <w:top w:w="0" w:type="dxa"/>
            <w:left w:w="0" w:type="dxa"/>
            <w:bottom w:w="0" w:type="dxa"/>
            <w:right w:w="0" w:type="dxa"/>
          </w:tblCellMar>
        </w:tblPrEx>
        <w:trPr>
          <w:trHeight w:val="283" w:hRule="atLeast"/>
        </w:trPr>
        <w:tc>
          <w:tcPr>
            <w:tcW w:w="1970"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城市三维模型快速构建成果</w:t>
            </w:r>
          </w:p>
        </w:tc>
        <w:tc>
          <w:tcPr>
            <w:tcW w:w="17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模型数据</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obj</w:t>
            </w:r>
          </w:p>
        </w:tc>
      </w:tr>
      <w:tr>
        <w:tblPrEx>
          <w:tblCellMar>
            <w:top w:w="0" w:type="dxa"/>
            <w:left w:w="0" w:type="dxa"/>
            <w:bottom w:w="0" w:type="dxa"/>
            <w:right w:w="0" w:type="dxa"/>
          </w:tblCellMar>
        </w:tblPrEx>
        <w:trPr>
          <w:trHeight w:val="283" w:hRule="atLeast"/>
        </w:trPr>
        <w:tc>
          <w:tcPr>
            <w:tcW w:w="1970"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p>
        </w:tc>
        <w:tc>
          <w:tcPr>
            <w:tcW w:w="17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纹理数据</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jpg</w:t>
            </w:r>
          </w:p>
        </w:tc>
      </w:tr>
      <w:tr>
        <w:tblPrEx>
          <w:tblCellMar>
            <w:top w:w="0" w:type="dxa"/>
            <w:left w:w="0" w:type="dxa"/>
            <w:bottom w:w="0" w:type="dxa"/>
            <w:right w:w="0" w:type="dxa"/>
          </w:tblCellMar>
        </w:tblPrEx>
        <w:trPr>
          <w:trHeight w:val="283" w:hRule="atLeast"/>
        </w:trPr>
        <w:tc>
          <w:tcPr>
            <w:tcW w:w="1970"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p>
        </w:tc>
        <w:tc>
          <w:tcPr>
            <w:tcW w:w="17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属性数据</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shp</w:t>
            </w:r>
          </w:p>
        </w:tc>
      </w:tr>
      <w:tr>
        <w:tblPrEx>
          <w:tblCellMar>
            <w:top w:w="0" w:type="dxa"/>
            <w:left w:w="0" w:type="dxa"/>
            <w:bottom w:w="0" w:type="dxa"/>
            <w:right w:w="0" w:type="dxa"/>
          </w:tblCellMar>
        </w:tblPrEx>
        <w:trPr>
          <w:trHeight w:val="283" w:hRule="atLeast"/>
        </w:trPr>
        <w:tc>
          <w:tcPr>
            <w:tcW w:w="1970"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p>
        </w:tc>
        <w:tc>
          <w:tcPr>
            <w:tcW w:w="17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元数据</w:t>
            </w:r>
          </w:p>
        </w:tc>
        <w:tc>
          <w:tcPr>
            <w:tcW w:w="1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65"/>
              <w:snapToGrid w:val="0"/>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gdb</w:t>
            </w:r>
          </w:p>
        </w:tc>
      </w:tr>
    </w:tbl>
    <w:p>
      <w:pPr>
        <w:pStyle w:val="964"/>
        <w:ind w:firstLine="480" w:firstLineChars="200"/>
        <w:textAlignment w:val="center"/>
        <w:rPr>
          <w:rFonts w:ascii="宋体" w:eastAsia="宋体"/>
          <w:color w:val="auto"/>
          <w:sz w:val="24"/>
          <w:szCs w:val="24"/>
          <w:highlight w:val="none"/>
        </w:rPr>
      </w:pPr>
      <w:r>
        <w:rPr>
          <w:rFonts w:hint="eastAsia" w:ascii="宋体" w:eastAsia="宋体"/>
          <w:color w:val="auto"/>
          <w:sz w:val="24"/>
          <w:szCs w:val="24"/>
          <w:highlight w:val="none"/>
        </w:rPr>
        <w:t>▲成果需通过省级测绘质量检验机构的质量检验</w:t>
      </w:r>
    </w:p>
    <w:p>
      <w:pPr>
        <w:pStyle w:val="26"/>
        <w:spacing w:line="360" w:lineRule="auto"/>
        <w:ind w:firstLine="490" w:firstLineChars="0"/>
        <w:jc w:val="left"/>
        <w:rPr>
          <w:rFonts w:cs="宋体" w:asciiTheme="minorEastAsia" w:hAnsiTheme="minorEastAsia" w:eastAsiaTheme="minorEastAsia"/>
          <w:color w:val="auto"/>
          <w:highlight w:val="none"/>
        </w:rPr>
      </w:pPr>
      <w:r>
        <w:rPr>
          <w:rFonts w:cs="宋体" w:asciiTheme="minorEastAsia" w:hAnsiTheme="minorEastAsia" w:eastAsiaTheme="minorEastAsia"/>
          <w:b/>
          <w:bCs/>
          <w:color w:val="auto"/>
          <w:highlight w:val="none"/>
        </w:rPr>
        <w:t xml:space="preserve">1.4城市级实景三维模型构建 </w:t>
      </w:r>
    </w:p>
    <w:p>
      <w:pPr>
        <w:pStyle w:val="965"/>
        <w:spacing w:line="360" w:lineRule="auto"/>
        <w:ind w:firstLine="480"/>
        <w:rPr>
          <w:rFonts w:ascii="宋体" w:eastAsia="宋体"/>
          <w:color w:val="auto"/>
          <w:sz w:val="24"/>
          <w:szCs w:val="24"/>
          <w:highlight w:val="none"/>
        </w:rPr>
      </w:pPr>
      <w:r>
        <w:rPr>
          <w:rFonts w:ascii="宋体" w:eastAsia="宋体"/>
          <w:color w:val="auto"/>
          <w:sz w:val="24"/>
          <w:szCs w:val="24"/>
          <w:highlight w:val="none"/>
        </w:rPr>
        <w:t>1.4.1</w:t>
      </w:r>
      <w:r>
        <w:rPr>
          <w:rFonts w:hint="eastAsia" w:ascii="宋体" w:eastAsia="宋体"/>
          <w:color w:val="auto"/>
          <w:sz w:val="24"/>
          <w:szCs w:val="24"/>
          <w:highlight w:val="none"/>
        </w:rPr>
        <w:t>项目内容</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对城市级实景三维模型数据进行按需组装，构建城市级实景三维模型。根据实际应用需要，对地理场景、基础地理实体、城市三维模型快速构建等成果进行轻量化处理，在保证数据精度和可视化效果的前提下减小数据量，以保障后期大范围实景三维数据的加载和浏览效率。</w:t>
      </w:r>
    </w:p>
    <w:p>
      <w:pPr>
        <w:pStyle w:val="965"/>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1.4.2工期要求：2024年11月15日前。</w:t>
      </w:r>
    </w:p>
    <w:p>
      <w:pPr>
        <w:pStyle w:val="258"/>
        <w:numPr>
          <w:ilvl w:val="0"/>
          <w:numId w:val="1"/>
        </w:numPr>
        <w:ind w:firstLineChars="0"/>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质量成果要求</w:t>
      </w:r>
    </w:p>
    <w:p>
      <w:pPr>
        <w:pStyle w:val="26"/>
        <w:spacing w:line="360" w:lineRule="auto"/>
        <w:ind w:firstLine="490" w:firstLineChars="0"/>
        <w:jc w:val="left"/>
        <w:rPr>
          <w:rFonts w:cs="Calibri"/>
          <w:color w:val="auto"/>
          <w:highlight w:val="none"/>
        </w:rPr>
      </w:pPr>
      <w:r>
        <w:rPr>
          <w:rFonts w:hint="eastAsia" w:cs="Calibri"/>
          <w:color w:val="auto"/>
          <w:highlight w:val="none"/>
        </w:rPr>
        <w:t>1.质量要求</w:t>
      </w:r>
    </w:p>
    <w:p>
      <w:pPr>
        <w:pStyle w:val="26"/>
        <w:spacing w:line="360" w:lineRule="auto"/>
        <w:ind w:firstLine="490" w:firstLineChars="0"/>
        <w:jc w:val="left"/>
        <w:rPr>
          <w:rFonts w:cs="Calibri"/>
          <w:color w:val="auto"/>
          <w:highlight w:val="none"/>
        </w:rPr>
      </w:pPr>
      <w:r>
        <w:rPr>
          <w:rFonts w:hint="eastAsia" w:cs="Calibri"/>
          <w:color w:val="auto"/>
          <w:highlight w:val="none"/>
        </w:rPr>
        <w:t xml:space="preserve">（1）质量目标 </w:t>
      </w:r>
    </w:p>
    <w:p>
      <w:pPr>
        <w:pStyle w:val="26"/>
        <w:spacing w:line="360" w:lineRule="auto"/>
        <w:ind w:firstLine="490" w:firstLineChars="0"/>
        <w:jc w:val="left"/>
        <w:rPr>
          <w:rFonts w:cs="Calibri"/>
          <w:color w:val="auto"/>
          <w:highlight w:val="none"/>
        </w:rPr>
      </w:pPr>
      <w:r>
        <w:rPr>
          <w:rFonts w:hint="eastAsia" w:cs="Calibri"/>
          <w:color w:val="auto"/>
          <w:highlight w:val="none"/>
        </w:rPr>
        <w:t xml:space="preserve">实景三维建设的质量管理目标是成果质量合格率达到100%，优良品率达到86%以上。 </w:t>
      </w:r>
    </w:p>
    <w:p>
      <w:pPr>
        <w:pStyle w:val="26"/>
        <w:spacing w:line="360" w:lineRule="auto"/>
        <w:ind w:firstLine="490" w:firstLineChars="0"/>
        <w:jc w:val="left"/>
        <w:rPr>
          <w:rFonts w:cs="Calibri"/>
          <w:color w:val="auto"/>
          <w:highlight w:val="none"/>
        </w:rPr>
      </w:pPr>
      <w:r>
        <w:rPr>
          <w:rFonts w:hint="eastAsia" w:cs="Calibri"/>
          <w:color w:val="auto"/>
          <w:highlight w:val="none"/>
        </w:rPr>
        <w:t>（2）质量管理内容</w:t>
      </w:r>
    </w:p>
    <w:p>
      <w:pPr>
        <w:pStyle w:val="26"/>
        <w:spacing w:line="360" w:lineRule="auto"/>
        <w:ind w:firstLine="490" w:firstLineChars="0"/>
        <w:jc w:val="left"/>
        <w:rPr>
          <w:rFonts w:cs="Calibri"/>
          <w:color w:val="auto"/>
          <w:highlight w:val="none"/>
        </w:rPr>
      </w:pPr>
      <w:r>
        <w:rPr>
          <w:rFonts w:hint="eastAsia" w:cs="Calibri"/>
          <w:color w:val="auto"/>
          <w:highlight w:val="none"/>
        </w:rPr>
        <w:t>杭州市实景三维质量检查按照成果类型分为:地理场景数据质量检查、基础地理实体数据质量检查、城市三维模型快速构建成果及元数据质量检查。</w:t>
      </w:r>
    </w:p>
    <w:p>
      <w:pPr>
        <w:pStyle w:val="26"/>
        <w:spacing w:line="360" w:lineRule="auto"/>
        <w:ind w:firstLine="490" w:firstLineChars="0"/>
        <w:jc w:val="left"/>
        <w:rPr>
          <w:rFonts w:cs="Calibri"/>
          <w:color w:val="auto"/>
          <w:highlight w:val="none"/>
        </w:rPr>
      </w:pPr>
      <w:r>
        <w:rPr>
          <w:rFonts w:hint="eastAsia" w:cs="Calibri"/>
          <w:color w:val="auto"/>
          <w:highlight w:val="none"/>
        </w:rPr>
        <w:t xml:space="preserve">（3）过程质量控制 </w:t>
      </w:r>
    </w:p>
    <w:p>
      <w:pPr>
        <w:pStyle w:val="26"/>
        <w:spacing w:line="360" w:lineRule="auto"/>
        <w:ind w:firstLine="490" w:firstLineChars="0"/>
        <w:jc w:val="left"/>
        <w:rPr>
          <w:rFonts w:cs="Calibri"/>
          <w:color w:val="auto"/>
          <w:highlight w:val="none"/>
        </w:rPr>
      </w:pPr>
      <w:r>
        <w:rPr>
          <w:rFonts w:hint="eastAsia" w:cs="Calibri"/>
          <w:color w:val="auto"/>
          <w:highlight w:val="none"/>
        </w:rPr>
        <w:t xml:space="preserve">按照省厅制定的项目验收管理规定要求，通过省级及以上具有资质的测绘质量检验机构对项目的检验，检验合格后，申请市级验收。 </w:t>
      </w:r>
    </w:p>
    <w:p>
      <w:pPr>
        <w:pStyle w:val="26"/>
        <w:spacing w:line="360" w:lineRule="auto"/>
        <w:ind w:firstLine="490" w:firstLineChars="0"/>
        <w:jc w:val="left"/>
        <w:rPr>
          <w:rFonts w:cs="Calibri"/>
          <w:color w:val="auto"/>
          <w:highlight w:val="none"/>
        </w:rPr>
      </w:pPr>
      <w:r>
        <w:rPr>
          <w:rFonts w:hint="eastAsia" w:cs="Calibri"/>
          <w:color w:val="auto"/>
          <w:highlight w:val="none"/>
        </w:rPr>
        <w:t xml:space="preserve">（4）市级验收 </w:t>
      </w:r>
    </w:p>
    <w:p>
      <w:pPr>
        <w:pStyle w:val="26"/>
        <w:spacing w:line="360" w:lineRule="auto"/>
        <w:ind w:firstLine="490" w:firstLineChars="0"/>
        <w:jc w:val="left"/>
        <w:rPr>
          <w:rFonts w:cs="Calibri"/>
          <w:color w:val="auto"/>
          <w:highlight w:val="none"/>
        </w:rPr>
      </w:pPr>
      <w:r>
        <w:rPr>
          <w:rFonts w:hint="eastAsia" w:cs="Calibri"/>
          <w:color w:val="auto"/>
          <w:highlight w:val="none"/>
        </w:rPr>
        <w:t>市自然资源主管部门负责组织全市实景三维工程的验收工作，市级验收合格后申请省级验收，验收结果纳入省厅年度综合考核内容。</w:t>
      </w:r>
    </w:p>
    <w:p>
      <w:pPr>
        <w:pStyle w:val="26"/>
        <w:spacing w:line="360" w:lineRule="auto"/>
        <w:ind w:firstLine="490" w:firstLineChars="0"/>
        <w:jc w:val="left"/>
        <w:rPr>
          <w:rFonts w:cs="宋体" w:asciiTheme="minorEastAsia" w:hAnsiTheme="minorEastAsia" w:eastAsiaTheme="minorEastAsia"/>
          <w:b/>
          <w:bCs/>
          <w:color w:val="auto"/>
          <w:highlight w:val="none"/>
        </w:rPr>
      </w:pPr>
      <w:r>
        <w:rPr>
          <w:rFonts w:hint="eastAsia" w:cs="宋体" w:asciiTheme="minorEastAsia" w:hAnsiTheme="minorEastAsia" w:eastAsiaTheme="minorEastAsia"/>
          <w:b/>
          <w:bCs/>
          <w:color w:val="auto"/>
          <w:highlight w:val="none"/>
        </w:rPr>
        <w:t>2</w:t>
      </w:r>
      <w:r>
        <w:rPr>
          <w:rFonts w:cs="宋体" w:asciiTheme="minorEastAsia" w:hAnsiTheme="minorEastAsia" w:eastAsiaTheme="minorEastAsia"/>
          <w:b/>
          <w:bCs/>
          <w:color w:val="auto"/>
          <w:highlight w:val="none"/>
        </w:rPr>
        <w:t>.</w:t>
      </w:r>
      <w:r>
        <w:rPr>
          <w:rFonts w:hint="eastAsia" w:cs="宋体" w:asciiTheme="minorEastAsia" w:hAnsiTheme="minorEastAsia" w:eastAsiaTheme="minorEastAsia"/>
          <w:b/>
          <w:bCs/>
          <w:color w:val="auto"/>
          <w:highlight w:val="none"/>
        </w:rPr>
        <w:t>提交成果要求：</w:t>
      </w:r>
    </w:p>
    <w:p>
      <w:pPr>
        <w:spacing w:line="360" w:lineRule="auto"/>
        <w:ind w:firstLine="480" w:firstLineChars="200"/>
        <w:rPr>
          <w:bCs/>
          <w:color w:val="auto"/>
          <w:sz w:val="24"/>
          <w:highlight w:val="none"/>
        </w:rPr>
      </w:pPr>
      <w:r>
        <w:rPr>
          <w:rFonts w:hint="eastAsia"/>
          <w:bCs/>
          <w:color w:val="auto"/>
          <w:sz w:val="24"/>
          <w:highlight w:val="none"/>
        </w:rPr>
        <w:t>2</w:t>
      </w:r>
      <w:r>
        <w:rPr>
          <w:bCs/>
          <w:color w:val="auto"/>
          <w:sz w:val="24"/>
          <w:highlight w:val="none"/>
        </w:rPr>
        <w:t>.1</w:t>
      </w:r>
      <w:r>
        <w:rPr>
          <w:rFonts w:hint="eastAsia"/>
          <w:bCs/>
          <w:color w:val="auto"/>
          <w:sz w:val="24"/>
          <w:highlight w:val="none"/>
        </w:rPr>
        <w:t>数据成果</w:t>
      </w:r>
    </w:p>
    <w:p>
      <w:pPr>
        <w:spacing w:line="360" w:lineRule="auto"/>
        <w:ind w:firstLine="480" w:firstLineChars="200"/>
        <w:rPr>
          <w:rFonts w:ascii="宋体" w:hAnsi="宋体" w:cs="Calibri"/>
          <w:color w:val="auto"/>
          <w:sz w:val="24"/>
          <w:highlight w:val="none"/>
        </w:rPr>
      </w:pPr>
      <w:r>
        <w:rPr>
          <w:rFonts w:hint="eastAsia" w:ascii="宋体" w:hAnsi="宋体" w:cs="Calibri"/>
          <w:color w:val="auto"/>
          <w:sz w:val="24"/>
          <w:highlight w:val="none"/>
        </w:rPr>
        <w:t>（1）2024年11月15日前提交3cm精度的Mesh三维模型数据更新成果；</w:t>
      </w:r>
    </w:p>
    <w:p>
      <w:pPr>
        <w:spacing w:line="360" w:lineRule="auto"/>
        <w:ind w:firstLine="480" w:firstLineChars="200"/>
        <w:rPr>
          <w:rFonts w:ascii="宋体" w:hAnsi="宋体" w:cs="Calibri"/>
          <w:color w:val="auto"/>
          <w:sz w:val="24"/>
          <w:highlight w:val="none"/>
        </w:rPr>
      </w:pPr>
      <w:r>
        <w:rPr>
          <w:rFonts w:hint="eastAsia" w:ascii="宋体" w:hAnsi="宋体" w:cs="Calibri"/>
          <w:color w:val="auto"/>
          <w:sz w:val="24"/>
          <w:highlight w:val="none"/>
        </w:rPr>
        <w:t>（2）2024年11月15日前提交城市级基础地理实体生产成果；</w:t>
      </w:r>
    </w:p>
    <w:p>
      <w:pPr>
        <w:spacing w:line="360" w:lineRule="auto"/>
        <w:ind w:firstLine="480" w:firstLineChars="200"/>
        <w:rPr>
          <w:rFonts w:ascii="宋体" w:hAnsi="宋体" w:cs="Calibri"/>
          <w:color w:val="auto"/>
          <w:sz w:val="24"/>
          <w:highlight w:val="none"/>
        </w:rPr>
      </w:pPr>
      <w:r>
        <w:rPr>
          <w:rFonts w:hint="eastAsia" w:ascii="宋体" w:hAnsi="宋体" w:cs="Calibri"/>
          <w:color w:val="auto"/>
          <w:sz w:val="24"/>
          <w:highlight w:val="none"/>
        </w:rPr>
        <w:t>（3）2024年11月15日前提交城市三维模型快速构建成果；</w:t>
      </w:r>
    </w:p>
    <w:p>
      <w:pPr>
        <w:spacing w:line="360" w:lineRule="auto"/>
        <w:ind w:firstLine="480" w:firstLineChars="200"/>
        <w:rPr>
          <w:rFonts w:ascii="宋体" w:hAnsi="宋体" w:cs="Calibri"/>
          <w:color w:val="auto"/>
          <w:sz w:val="24"/>
          <w:highlight w:val="none"/>
        </w:rPr>
      </w:pPr>
      <w:r>
        <w:rPr>
          <w:rFonts w:hint="eastAsia" w:ascii="宋体" w:hAnsi="宋体" w:cs="Calibri"/>
          <w:color w:val="auto"/>
          <w:sz w:val="24"/>
          <w:highlight w:val="none"/>
        </w:rPr>
        <w:t>（4）2024年11月15日前提交城市级实景三维构建成果；</w:t>
      </w:r>
    </w:p>
    <w:p>
      <w:pPr>
        <w:snapToGrid w:val="0"/>
        <w:spacing w:line="360" w:lineRule="auto"/>
        <w:ind w:firstLine="480" w:firstLineChars="200"/>
        <w:rPr>
          <w:color w:val="auto"/>
          <w:sz w:val="24"/>
          <w:highlight w:val="none"/>
        </w:rPr>
      </w:pPr>
      <w:r>
        <w:rPr>
          <w:rFonts w:hint="eastAsia"/>
          <w:color w:val="auto"/>
          <w:sz w:val="24"/>
          <w:highlight w:val="none"/>
        </w:rPr>
        <w:t>2.</w:t>
      </w:r>
      <w:r>
        <w:rPr>
          <w:color w:val="auto"/>
          <w:sz w:val="24"/>
          <w:highlight w:val="none"/>
        </w:rPr>
        <w:t>2</w:t>
      </w:r>
      <w:r>
        <w:rPr>
          <w:rFonts w:hint="eastAsia"/>
          <w:color w:val="auto"/>
          <w:sz w:val="24"/>
          <w:highlight w:val="none"/>
        </w:rPr>
        <w:t>文档成果</w:t>
      </w:r>
    </w:p>
    <w:p>
      <w:pPr>
        <w:spacing w:line="360" w:lineRule="auto"/>
        <w:ind w:firstLine="480" w:firstLineChars="200"/>
        <w:rPr>
          <w:bCs/>
          <w:color w:val="auto"/>
          <w:sz w:val="24"/>
          <w:highlight w:val="none"/>
        </w:rPr>
      </w:pPr>
      <w:r>
        <w:rPr>
          <w:rFonts w:hint="eastAsia"/>
          <w:bCs/>
          <w:color w:val="auto"/>
          <w:sz w:val="24"/>
          <w:highlight w:val="none"/>
        </w:rPr>
        <w:t>（1）</w:t>
      </w:r>
      <w:r>
        <w:rPr>
          <w:bCs/>
          <w:color w:val="auto"/>
          <w:sz w:val="24"/>
          <w:highlight w:val="none"/>
        </w:rPr>
        <w:t>2024年</w:t>
      </w:r>
      <w:r>
        <w:rPr>
          <w:rFonts w:hint="eastAsia" w:ascii="宋体" w:hAnsi="宋体" w:cs="Calibri"/>
          <w:color w:val="auto"/>
          <w:sz w:val="24"/>
          <w:highlight w:val="none"/>
        </w:rPr>
        <w:t>6月30日前完</w:t>
      </w:r>
      <w:r>
        <w:rPr>
          <w:bCs/>
          <w:color w:val="auto"/>
          <w:sz w:val="24"/>
          <w:highlight w:val="none"/>
        </w:rPr>
        <w:t>成技术设计书评审（提交技术设计书和评审意见）</w:t>
      </w:r>
    </w:p>
    <w:p>
      <w:pPr>
        <w:spacing w:line="360" w:lineRule="auto"/>
        <w:ind w:firstLine="480" w:firstLineChars="200"/>
        <w:rPr>
          <w:bCs/>
          <w:color w:val="auto"/>
          <w:sz w:val="24"/>
          <w:highlight w:val="none"/>
        </w:rPr>
      </w:pPr>
      <w:r>
        <w:rPr>
          <w:rFonts w:hint="eastAsia"/>
          <w:bCs/>
          <w:color w:val="auto"/>
          <w:sz w:val="24"/>
          <w:highlight w:val="none"/>
        </w:rPr>
        <w:t>（2）</w:t>
      </w:r>
      <w:r>
        <w:rPr>
          <w:bCs/>
          <w:color w:val="auto"/>
          <w:sz w:val="24"/>
          <w:highlight w:val="none"/>
        </w:rPr>
        <w:t>2024年</w:t>
      </w:r>
      <w:r>
        <w:rPr>
          <w:rFonts w:hint="eastAsia"/>
          <w:bCs/>
          <w:color w:val="auto"/>
          <w:sz w:val="24"/>
          <w:highlight w:val="none"/>
        </w:rPr>
        <w:t>7</w:t>
      </w:r>
      <w:r>
        <w:rPr>
          <w:bCs/>
          <w:color w:val="auto"/>
          <w:sz w:val="24"/>
          <w:highlight w:val="none"/>
        </w:rPr>
        <w:t>月31日前向市局提交首件成果及其检查记录，首件成果区域面积不低于任务面积10%</w:t>
      </w:r>
      <w:r>
        <w:rPr>
          <w:rFonts w:hint="eastAsia"/>
          <w:bCs/>
          <w:color w:val="auto"/>
          <w:sz w:val="24"/>
          <w:highlight w:val="none"/>
        </w:rPr>
        <w:t>；</w:t>
      </w:r>
    </w:p>
    <w:p>
      <w:pPr>
        <w:spacing w:line="360" w:lineRule="auto"/>
        <w:ind w:firstLine="480" w:firstLineChars="200"/>
        <w:rPr>
          <w:bCs/>
          <w:color w:val="auto"/>
          <w:sz w:val="24"/>
          <w:highlight w:val="none"/>
        </w:rPr>
      </w:pPr>
      <w:r>
        <w:rPr>
          <w:rFonts w:hint="eastAsia"/>
          <w:bCs/>
          <w:color w:val="auto"/>
          <w:sz w:val="24"/>
          <w:highlight w:val="none"/>
        </w:rPr>
        <w:t>（3）</w:t>
      </w:r>
      <w:r>
        <w:rPr>
          <w:bCs/>
          <w:color w:val="auto"/>
          <w:sz w:val="24"/>
          <w:highlight w:val="none"/>
        </w:rPr>
        <w:t>2024年8月30日前向市局提交项目阶段性成果及其检查记录：</w:t>
      </w:r>
    </w:p>
    <w:p>
      <w:pPr>
        <w:spacing w:line="360" w:lineRule="auto"/>
        <w:ind w:firstLine="480" w:firstLineChars="200"/>
        <w:rPr>
          <w:bCs/>
          <w:color w:val="auto"/>
          <w:sz w:val="24"/>
          <w:highlight w:val="none"/>
        </w:rPr>
      </w:pPr>
      <w:r>
        <w:rPr>
          <w:rFonts w:ascii="Cambria Math" w:hAnsi="Cambria Math" w:cs="Cambria Math"/>
          <w:bCs/>
          <w:color w:val="auto"/>
          <w:sz w:val="24"/>
          <w:highlight w:val="none"/>
        </w:rPr>
        <w:t>①</w:t>
      </w:r>
      <w:r>
        <w:rPr>
          <w:bCs/>
          <w:color w:val="auto"/>
          <w:sz w:val="24"/>
          <w:highlight w:val="none"/>
        </w:rPr>
        <w:t>完成Mesh三维模型数据更新任务的80%；</w:t>
      </w:r>
    </w:p>
    <w:p>
      <w:pPr>
        <w:spacing w:line="360" w:lineRule="auto"/>
        <w:ind w:firstLine="480" w:firstLineChars="200"/>
        <w:rPr>
          <w:bCs/>
          <w:color w:val="auto"/>
          <w:sz w:val="24"/>
          <w:highlight w:val="none"/>
        </w:rPr>
      </w:pPr>
      <w:r>
        <w:rPr>
          <w:rFonts w:ascii="Cambria Math" w:hAnsi="Cambria Math" w:cs="Cambria Math"/>
          <w:bCs/>
          <w:color w:val="auto"/>
          <w:sz w:val="24"/>
          <w:highlight w:val="none"/>
        </w:rPr>
        <w:t>②</w:t>
      </w:r>
      <w:r>
        <w:rPr>
          <w:bCs/>
          <w:color w:val="auto"/>
          <w:sz w:val="24"/>
          <w:highlight w:val="none"/>
        </w:rPr>
        <w:t>完成基础地理实体生产任务的50%；</w:t>
      </w:r>
    </w:p>
    <w:p>
      <w:pPr>
        <w:spacing w:line="360" w:lineRule="auto"/>
        <w:ind w:firstLine="480" w:firstLineChars="200"/>
        <w:rPr>
          <w:bCs/>
          <w:color w:val="auto"/>
          <w:sz w:val="24"/>
          <w:highlight w:val="none"/>
        </w:rPr>
      </w:pPr>
      <w:r>
        <w:rPr>
          <w:rFonts w:ascii="Cambria Math" w:hAnsi="Cambria Math" w:cs="Cambria Math"/>
          <w:bCs/>
          <w:color w:val="auto"/>
          <w:sz w:val="24"/>
          <w:highlight w:val="none"/>
        </w:rPr>
        <w:t>③</w:t>
      </w:r>
      <w:r>
        <w:rPr>
          <w:bCs/>
          <w:color w:val="auto"/>
          <w:sz w:val="24"/>
          <w:highlight w:val="none"/>
        </w:rPr>
        <w:t>完成城市三维模型快速构建</w:t>
      </w:r>
      <w:r>
        <w:rPr>
          <w:rFonts w:hint="eastAsia"/>
          <w:bCs/>
          <w:color w:val="auto"/>
          <w:sz w:val="24"/>
          <w:highlight w:val="none"/>
        </w:rPr>
        <w:t>任务的</w:t>
      </w:r>
      <w:r>
        <w:rPr>
          <w:bCs/>
          <w:color w:val="auto"/>
          <w:sz w:val="24"/>
          <w:highlight w:val="none"/>
        </w:rPr>
        <w:t>50%。</w:t>
      </w:r>
    </w:p>
    <w:p>
      <w:pPr>
        <w:spacing w:line="360" w:lineRule="auto"/>
        <w:ind w:firstLine="480" w:firstLineChars="200"/>
        <w:rPr>
          <w:bCs/>
          <w:color w:val="auto"/>
          <w:sz w:val="24"/>
          <w:highlight w:val="none"/>
        </w:rPr>
      </w:pPr>
      <w:r>
        <w:rPr>
          <w:rFonts w:hint="eastAsia"/>
          <w:bCs/>
          <w:color w:val="auto"/>
          <w:sz w:val="24"/>
          <w:highlight w:val="none"/>
        </w:rPr>
        <w:t>（</w:t>
      </w:r>
      <w:r>
        <w:rPr>
          <w:bCs/>
          <w:color w:val="auto"/>
          <w:sz w:val="24"/>
          <w:highlight w:val="none"/>
        </w:rPr>
        <w:t>4</w:t>
      </w:r>
      <w:r>
        <w:rPr>
          <w:rFonts w:hint="eastAsia"/>
          <w:bCs/>
          <w:color w:val="auto"/>
          <w:sz w:val="24"/>
          <w:highlight w:val="none"/>
        </w:rPr>
        <w:t>）</w:t>
      </w:r>
      <w:r>
        <w:rPr>
          <w:bCs/>
          <w:color w:val="auto"/>
          <w:sz w:val="24"/>
          <w:highlight w:val="none"/>
        </w:rPr>
        <w:t>2024年10月25日前，委托测绘成果质量检验机构对项目成果进行检验，检验合格后，向市局提出市级验收申请。（提交质检报告和项目总结文档）</w:t>
      </w:r>
      <w:r>
        <w:rPr>
          <w:rFonts w:hint="eastAsia"/>
          <w:bCs/>
          <w:color w:val="auto"/>
          <w:sz w:val="24"/>
          <w:highlight w:val="none"/>
        </w:rPr>
        <w:t>；</w:t>
      </w:r>
    </w:p>
    <w:p>
      <w:pPr>
        <w:spacing w:line="360" w:lineRule="auto"/>
        <w:ind w:firstLine="480" w:firstLineChars="200"/>
        <w:rPr>
          <w:bCs/>
          <w:color w:val="auto"/>
          <w:sz w:val="24"/>
          <w:highlight w:val="none"/>
        </w:rPr>
      </w:pPr>
      <w:r>
        <w:rPr>
          <w:rFonts w:hint="eastAsia"/>
          <w:bCs/>
          <w:color w:val="auto"/>
          <w:sz w:val="24"/>
          <w:highlight w:val="none"/>
        </w:rPr>
        <w:t>（5）</w:t>
      </w:r>
      <w:r>
        <w:rPr>
          <w:bCs/>
          <w:color w:val="auto"/>
          <w:sz w:val="24"/>
          <w:highlight w:val="none"/>
        </w:rPr>
        <w:t>2024年11月20日前，针对省、市两级检查验收反馈问题，完成整改并提交整改成果。</w:t>
      </w:r>
    </w:p>
    <w:p>
      <w:pPr>
        <w:spacing w:line="360" w:lineRule="auto"/>
        <w:ind w:firstLine="480" w:firstLineChars="200"/>
        <w:rPr>
          <w:bCs/>
          <w:color w:val="auto"/>
          <w:sz w:val="24"/>
          <w:highlight w:val="none"/>
        </w:rPr>
      </w:pPr>
      <w:r>
        <w:rPr>
          <w:rFonts w:hint="eastAsia"/>
          <w:bCs/>
          <w:color w:val="auto"/>
          <w:sz w:val="24"/>
          <w:highlight w:val="none"/>
        </w:rPr>
        <w:t>（5）成果文档及类型：</w:t>
      </w:r>
    </w:p>
    <w:tbl>
      <w:tblPr>
        <w:tblStyle w:val="64"/>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415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016" w:type="dxa"/>
            <w:vAlign w:val="center"/>
          </w:tcPr>
          <w:p>
            <w:pPr>
              <w:pStyle w:val="839"/>
              <w:spacing w:after="120"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类型</w:t>
            </w:r>
          </w:p>
        </w:tc>
        <w:tc>
          <w:tcPr>
            <w:tcW w:w="4156" w:type="dxa"/>
            <w:vAlign w:val="center"/>
          </w:tcPr>
          <w:p>
            <w:pPr>
              <w:pStyle w:val="839"/>
              <w:spacing w:after="120"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名称</w:t>
            </w:r>
          </w:p>
        </w:tc>
        <w:tc>
          <w:tcPr>
            <w:tcW w:w="2552" w:type="dxa"/>
            <w:vAlign w:val="center"/>
          </w:tcPr>
          <w:p>
            <w:pPr>
              <w:pStyle w:val="839"/>
              <w:spacing w:after="120"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016" w:type="dxa"/>
            <w:vMerge w:val="restart"/>
            <w:vAlign w:val="center"/>
          </w:tcPr>
          <w:p>
            <w:pPr>
              <w:pStyle w:val="839"/>
              <w:spacing w:after="120"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技术文档</w:t>
            </w:r>
          </w:p>
        </w:tc>
        <w:tc>
          <w:tcPr>
            <w:tcW w:w="4156" w:type="dxa"/>
            <w:vAlign w:val="center"/>
          </w:tcPr>
          <w:p>
            <w:pPr>
              <w:pStyle w:val="839"/>
              <w:spacing w:after="120"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实施方案</w:t>
            </w:r>
          </w:p>
        </w:tc>
        <w:tc>
          <w:tcPr>
            <w:tcW w:w="2552" w:type="dxa"/>
            <w:vMerge w:val="restart"/>
            <w:vAlign w:val="center"/>
          </w:tcPr>
          <w:p>
            <w:pPr>
              <w:pStyle w:val="839"/>
              <w:spacing w:after="120"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Word/Pdf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016" w:type="dxa"/>
            <w:vMerge w:val="continue"/>
            <w:vAlign w:val="center"/>
          </w:tcPr>
          <w:p>
            <w:pPr>
              <w:pStyle w:val="839"/>
              <w:spacing w:after="120" w:line="360" w:lineRule="auto"/>
              <w:jc w:val="center"/>
              <w:rPr>
                <w:rFonts w:cs="宋体" w:asciiTheme="minorEastAsia" w:hAnsiTheme="minorEastAsia" w:eastAsiaTheme="minorEastAsia"/>
                <w:color w:val="auto"/>
                <w:highlight w:val="none"/>
              </w:rPr>
            </w:pPr>
          </w:p>
        </w:tc>
        <w:tc>
          <w:tcPr>
            <w:tcW w:w="4156" w:type="dxa"/>
            <w:vAlign w:val="center"/>
          </w:tcPr>
          <w:p>
            <w:pPr>
              <w:pStyle w:val="839"/>
              <w:spacing w:after="120"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技术设计</w:t>
            </w:r>
          </w:p>
        </w:tc>
        <w:tc>
          <w:tcPr>
            <w:tcW w:w="2552" w:type="dxa"/>
            <w:vMerge w:val="continue"/>
            <w:vAlign w:val="center"/>
          </w:tcPr>
          <w:p>
            <w:pPr>
              <w:pStyle w:val="839"/>
              <w:spacing w:after="120" w:line="360" w:lineRule="auto"/>
              <w:jc w:val="center"/>
              <w:rPr>
                <w:rFonts w:cs="宋体"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016" w:type="dxa"/>
            <w:vMerge w:val="continue"/>
            <w:vAlign w:val="center"/>
          </w:tcPr>
          <w:p>
            <w:pPr>
              <w:pStyle w:val="839"/>
              <w:spacing w:after="120" w:line="360" w:lineRule="auto"/>
              <w:jc w:val="center"/>
              <w:rPr>
                <w:rFonts w:cs="宋体" w:asciiTheme="minorEastAsia" w:hAnsiTheme="minorEastAsia" w:eastAsiaTheme="minorEastAsia"/>
                <w:color w:val="auto"/>
                <w:highlight w:val="none"/>
              </w:rPr>
            </w:pPr>
          </w:p>
        </w:tc>
        <w:tc>
          <w:tcPr>
            <w:tcW w:w="4156" w:type="dxa"/>
            <w:vAlign w:val="center"/>
          </w:tcPr>
          <w:p>
            <w:pPr>
              <w:pStyle w:val="839"/>
              <w:spacing w:after="120"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技术总结</w:t>
            </w:r>
          </w:p>
        </w:tc>
        <w:tc>
          <w:tcPr>
            <w:tcW w:w="2552" w:type="dxa"/>
            <w:vMerge w:val="continue"/>
            <w:vAlign w:val="center"/>
          </w:tcPr>
          <w:p>
            <w:pPr>
              <w:pStyle w:val="839"/>
              <w:spacing w:after="120" w:line="360" w:lineRule="auto"/>
              <w:jc w:val="center"/>
              <w:rPr>
                <w:rFonts w:cs="宋体"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016" w:type="dxa"/>
            <w:vMerge w:val="continue"/>
            <w:vAlign w:val="center"/>
          </w:tcPr>
          <w:p>
            <w:pPr>
              <w:pStyle w:val="839"/>
              <w:spacing w:after="120" w:line="360" w:lineRule="auto"/>
              <w:jc w:val="center"/>
              <w:rPr>
                <w:rFonts w:cs="宋体" w:asciiTheme="minorEastAsia" w:hAnsiTheme="minorEastAsia" w:eastAsiaTheme="minorEastAsia"/>
                <w:color w:val="auto"/>
                <w:highlight w:val="none"/>
              </w:rPr>
            </w:pPr>
          </w:p>
        </w:tc>
        <w:tc>
          <w:tcPr>
            <w:tcW w:w="4156" w:type="dxa"/>
            <w:vAlign w:val="center"/>
          </w:tcPr>
          <w:p>
            <w:pPr>
              <w:pStyle w:val="839"/>
              <w:spacing w:after="120"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工作总结</w:t>
            </w:r>
          </w:p>
        </w:tc>
        <w:tc>
          <w:tcPr>
            <w:tcW w:w="2552" w:type="dxa"/>
            <w:vMerge w:val="continue"/>
            <w:vAlign w:val="center"/>
          </w:tcPr>
          <w:p>
            <w:pPr>
              <w:pStyle w:val="839"/>
              <w:spacing w:after="120" w:line="360" w:lineRule="auto"/>
              <w:jc w:val="center"/>
              <w:rPr>
                <w:rFonts w:cs="宋体"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016" w:type="dxa"/>
            <w:vMerge w:val="continue"/>
            <w:vAlign w:val="center"/>
          </w:tcPr>
          <w:p>
            <w:pPr>
              <w:pStyle w:val="839"/>
              <w:spacing w:after="120" w:line="360" w:lineRule="auto"/>
              <w:jc w:val="center"/>
              <w:rPr>
                <w:rFonts w:cs="宋体" w:asciiTheme="minorEastAsia" w:hAnsiTheme="minorEastAsia" w:eastAsiaTheme="minorEastAsia"/>
                <w:color w:val="auto"/>
                <w:highlight w:val="none"/>
              </w:rPr>
            </w:pPr>
          </w:p>
        </w:tc>
        <w:tc>
          <w:tcPr>
            <w:tcW w:w="4156" w:type="dxa"/>
            <w:vAlign w:val="center"/>
          </w:tcPr>
          <w:p>
            <w:pPr>
              <w:pStyle w:val="839"/>
              <w:spacing w:after="120" w:line="360" w:lineRule="auto"/>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质量检验报告</w:t>
            </w:r>
          </w:p>
        </w:tc>
        <w:tc>
          <w:tcPr>
            <w:tcW w:w="2552" w:type="dxa"/>
            <w:vMerge w:val="continue"/>
            <w:vAlign w:val="center"/>
          </w:tcPr>
          <w:p>
            <w:pPr>
              <w:pStyle w:val="839"/>
              <w:spacing w:after="120" w:line="360" w:lineRule="auto"/>
              <w:jc w:val="center"/>
              <w:rPr>
                <w:rFonts w:cs="宋体" w:asciiTheme="minorEastAsia" w:hAnsiTheme="minorEastAsia" w:eastAsiaTheme="minorEastAsia"/>
                <w:color w:val="auto"/>
                <w:highlight w:val="none"/>
              </w:rPr>
            </w:pPr>
          </w:p>
        </w:tc>
      </w:tr>
    </w:tbl>
    <w:p>
      <w:pPr>
        <w:ind w:firstLine="480" w:firstLineChars="200"/>
        <w:rPr>
          <w:bCs/>
          <w:color w:val="auto"/>
          <w:sz w:val="24"/>
          <w:szCs w:val="32"/>
          <w:highlight w:val="none"/>
        </w:rPr>
      </w:pPr>
      <w:r>
        <w:rPr>
          <w:bCs/>
          <w:color w:val="auto"/>
          <w:sz w:val="24"/>
          <w:szCs w:val="32"/>
          <w:highlight w:val="none"/>
        </w:rPr>
        <w:t>2.</w:t>
      </w:r>
      <w:r>
        <w:rPr>
          <w:rFonts w:hint="eastAsia"/>
          <w:bCs/>
          <w:color w:val="auto"/>
          <w:sz w:val="24"/>
          <w:szCs w:val="32"/>
          <w:highlight w:val="none"/>
        </w:rPr>
        <w:t>3提交</w:t>
      </w:r>
      <w:r>
        <w:rPr>
          <w:bCs/>
          <w:color w:val="auto"/>
          <w:sz w:val="24"/>
          <w:szCs w:val="32"/>
          <w:highlight w:val="none"/>
        </w:rPr>
        <w:t>所有成果的电子数据一套</w:t>
      </w:r>
      <w:r>
        <w:rPr>
          <w:rFonts w:hint="eastAsia"/>
          <w:bCs/>
          <w:color w:val="auto"/>
          <w:sz w:val="24"/>
          <w:szCs w:val="32"/>
          <w:highlight w:val="none"/>
        </w:rPr>
        <w:t>。</w:t>
      </w:r>
    </w:p>
    <w:p>
      <w:pPr>
        <w:pStyle w:val="2"/>
        <w:ind w:firstLine="0" w:firstLineChars="0"/>
        <w:rPr>
          <w:color w:val="auto"/>
          <w:highlight w:val="none"/>
          <w:lang w:val="en-US"/>
        </w:rPr>
      </w:pPr>
    </w:p>
    <w:p>
      <w:pPr>
        <w:pStyle w:val="258"/>
        <w:numPr>
          <w:ilvl w:val="0"/>
          <w:numId w:val="1"/>
        </w:numPr>
        <w:ind w:firstLineChars="0"/>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人员要求</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1</w:t>
      </w:r>
      <w:r>
        <w:rPr>
          <w:rFonts w:hint="eastAsia" w:ascii="宋体" w:hAnsi="宋体" w:cs="仿宋"/>
          <w:color w:val="auto"/>
          <w:sz w:val="24"/>
          <w:highlight w:val="none"/>
        </w:rPr>
        <w:t>）设项目负责人1名，项目负责人同时具有国家注册测绘师执业资格证书和正高级工程师职称（摄影测量与遥感专业类）；拟派项目组成员具有国家注册测绘师、高级工程师职称（测绘或地理信息类）、无人机驾驶执照</w:t>
      </w:r>
      <w:r>
        <w:rPr>
          <w:rFonts w:ascii="宋体" w:hAnsi="宋体" w:cs="仿宋"/>
          <w:color w:val="auto"/>
          <w:sz w:val="24"/>
          <w:highlight w:val="none"/>
        </w:rPr>
        <w:t>AOPA</w:t>
      </w:r>
      <w:r>
        <w:rPr>
          <w:rFonts w:hint="eastAsia" w:ascii="宋体" w:hAnsi="宋体" w:cs="仿宋"/>
          <w:color w:val="auto"/>
          <w:sz w:val="24"/>
          <w:highlight w:val="none"/>
        </w:rPr>
        <w:t>、涉密测绘成果管理人员岗位培训证书、测绘成果质量检查培训证书。</w:t>
      </w:r>
    </w:p>
    <w:p>
      <w:pPr>
        <w:snapToGrid w:val="0"/>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2</w:t>
      </w:r>
      <w:r>
        <w:rPr>
          <w:rFonts w:hint="eastAsia" w:ascii="宋体" w:hAnsi="宋体" w:cs="仿宋"/>
          <w:color w:val="auto"/>
          <w:sz w:val="24"/>
          <w:highlight w:val="none"/>
        </w:rPr>
        <w:t>）投标人不得随意更换服务人员，若必须更换需提前15天向采购人提出申请，采购人对服务人员变更进行审批，签发人员变更审批单，更换人员需在采购人同意后24小时内保证更换人员到位,更换人员资质不得低于投标时人员资历。</w:t>
      </w:r>
    </w:p>
    <w:p>
      <w:pPr>
        <w:snapToGrid w:val="0"/>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3</w:t>
      </w:r>
      <w:r>
        <w:rPr>
          <w:rFonts w:hint="eastAsia" w:ascii="宋体" w:hAnsi="宋体" w:cs="仿宋"/>
          <w:color w:val="auto"/>
          <w:sz w:val="24"/>
          <w:highlight w:val="none"/>
        </w:rPr>
        <w:t>）合同期间，工作时间发生的所有人员的意外伤害、车辆事故等所有安全事故，由中标单位自行负责。</w:t>
      </w:r>
    </w:p>
    <w:p>
      <w:pPr>
        <w:snapToGrid w:val="0"/>
        <w:spacing w:line="360" w:lineRule="auto"/>
        <w:ind w:firstLine="480" w:firstLineChars="200"/>
        <w:rPr>
          <w:rFonts w:ascii="宋体" w:hAnsi="宋体"/>
          <w:color w:val="auto"/>
          <w:sz w:val="24"/>
          <w:highlight w:val="none"/>
        </w:rPr>
      </w:pPr>
      <w:r>
        <w:rPr>
          <w:rFonts w:hint="eastAsia" w:ascii="宋体" w:hAnsi="宋体" w:cs="仿宋"/>
          <w:color w:val="auto"/>
          <w:sz w:val="24"/>
          <w:highlight w:val="none"/>
        </w:rPr>
        <w:t>（</w:t>
      </w:r>
      <w:r>
        <w:rPr>
          <w:rFonts w:ascii="宋体" w:hAnsi="宋体" w:cs="仿宋"/>
          <w:color w:val="auto"/>
          <w:sz w:val="24"/>
          <w:highlight w:val="none"/>
        </w:rPr>
        <w:t>4</w:t>
      </w:r>
      <w:r>
        <w:rPr>
          <w:rFonts w:hint="eastAsia" w:ascii="宋体" w:hAnsi="宋体" w:cs="仿宋"/>
          <w:color w:val="auto"/>
          <w:sz w:val="24"/>
          <w:highlight w:val="none"/>
        </w:rPr>
        <w:t>）中标人对服务人员必须按有关规定签订劳动合同并办理基本养老保险、基本医疗保险、生育保险、失业保险、工伤保险、意外人身伤害险等手续；工资待遇按《劳动法》有关规定执行，如不按规定办理，将扣除履约保证金。</w:t>
      </w:r>
    </w:p>
    <w:p>
      <w:pPr>
        <w:pStyle w:val="258"/>
        <w:numPr>
          <w:ilvl w:val="0"/>
          <w:numId w:val="1"/>
        </w:numPr>
        <w:ind w:firstLineChars="0"/>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其他工作要求</w:t>
      </w:r>
    </w:p>
    <w:p>
      <w:pPr>
        <w:pStyle w:val="964"/>
        <w:ind w:firstLine="480" w:firstLineChars="200"/>
        <w:textAlignment w:val="center"/>
        <w:rPr>
          <w:rFonts w:ascii="宋体" w:eastAsia="宋体" w:cs="Calibri"/>
          <w:color w:val="auto"/>
          <w:kern w:val="2"/>
          <w:sz w:val="24"/>
          <w:szCs w:val="24"/>
          <w:highlight w:val="none"/>
        </w:rPr>
      </w:pPr>
      <w:r>
        <w:rPr>
          <w:rFonts w:hint="eastAsia" w:ascii="宋体" w:eastAsia="宋体" w:cs="Calibri"/>
          <w:color w:val="auto"/>
          <w:kern w:val="2"/>
          <w:sz w:val="24"/>
          <w:szCs w:val="24"/>
          <w:highlight w:val="none"/>
        </w:rPr>
        <w:t>1</w:t>
      </w:r>
      <w:r>
        <w:rPr>
          <w:rFonts w:ascii="宋体" w:eastAsia="宋体" w:cs="Calibri"/>
          <w:color w:val="auto"/>
          <w:kern w:val="2"/>
          <w:sz w:val="24"/>
          <w:szCs w:val="24"/>
          <w:highlight w:val="none"/>
        </w:rPr>
        <w:t>.</w:t>
      </w:r>
      <w:r>
        <w:rPr>
          <w:rFonts w:hint="eastAsia" w:ascii="宋体" w:eastAsia="宋体" w:cs="Calibri"/>
          <w:color w:val="auto"/>
          <w:kern w:val="2"/>
          <w:sz w:val="24"/>
          <w:szCs w:val="24"/>
          <w:highlight w:val="none"/>
        </w:rPr>
        <w:t>结合《杭州市城市级实景三维工程建设实施方案》等最新要求，完成拱墅区城市级实景三维模型和数字表面模型建设。</w:t>
      </w:r>
    </w:p>
    <w:p>
      <w:pPr>
        <w:pStyle w:val="26"/>
        <w:spacing w:line="360" w:lineRule="auto"/>
        <w:ind w:firstLine="490" w:firstLineChars="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w:t>
      </w:r>
      <w:r>
        <w:rPr>
          <w:rFonts w:cs="宋体" w:asciiTheme="minorEastAsia" w:hAnsiTheme="minorEastAsia" w:eastAsiaTheme="minorEastAsia"/>
          <w:color w:val="auto"/>
          <w:highlight w:val="none"/>
        </w:rPr>
        <w:t>.</w:t>
      </w:r>
      <w:r>
        <w:rPr>
          <w:rFonts w:hint="eastAsia"/>
          <w:color w:val="auto"/>
          <w:highlight w:val="none"/>
        </w:rPr>
        <w:t>▲</w:t>
      </w:r>
      <w:r>
        <w:rPr>
          <w:rFonts w:cs="宋体" w:asciiTheme="minorEastAsia" w:hAnsiTheme="minorEastAsia" w:eastAsiaTheme="minorEastAsia"/>
          <w:color w:val="auto"/>
          <w:highlight w:val="none"/>
        </w:rPr>
        <w:t>2024</w:t>
      </w:r>
      <w:r>
        <w:rPr>
          <w:rFonts w:hint="eastAsia" w:cs="宋体" w:asciiTheme="minorEastAsia" w:hAnsiTheme="minorEastAsia" w:eastAsiaTheme="minorEastAsia"/>
          <w:color w:val="auto"/>
          <w:highlight w:val="none"/>
        </w:rPr>
        <w:t>年</w:t>
      </w:r>
      <w:r>
        <w:rPr>
          <w:rFonts w:hint="eastAsia" w:cs="Calibri"/>
          <w:color w:val="auto"/>
          <w:highlight w:val="none"/>
        </w:rPr>
        <w:t>底成果提交后，如在项目完成省级验收前拱墅区</w:t>
      </w:r>
      <w:r>
        <w:rPr>
          <w:rFonts w:hint="eastAsia" w:cs="宋体" w:asciiTheme="minorEastAsia" w:hAnsiTheme="minorEastAsia" w:eastAsiaTheme="minorEastAsia"/>
          <w:color w:val="auto"/>
          <w:highlight w:val="none"/>
        </w:rPr>
        <w:t>新增标志性建筑，投标人须承诺按采购人要求补充生产拱墅区新完工的标志性建筑</w:t>
      </w:r>
      <w:r>
        <w:rPr>
          <w:rFonts w:cs="宋体" w:asciiTheme="minorEastAsia" w:hAnsiTheme="minorEastAsia" w:eastAsiaTheme="minorEastAsia"/>
          <w:color w:val="auto"/>
          <w:highlight w:val="none"/>
        </w:rPr>
        <w:t>Mesh三维模型</w:t>
      </w:r>
      <w:r>
        <w:rPr>
          <w:rFonts w:hint="eastAsia" w:cs="宋体" w:asciiTheme="minorEastAsia" w:hAnsiTheme="minorEastAsia" w:eastAsiaTheme="minorEastAsia"/>
          <w:color w:val="auto"/>
          <w:highlight w:val="none"/>
        </w:rPr>
        <w:t>并提交成果资料，以满足采购单位的需求。</w:t>
      </w:r>
    </w:p>
    <w:p>
      <w:pPr>
        <w:autoSpaceDE w:val="0"/>
        <w:spacing w:line="360" w:lineRule="auto"/>
        <w:ind w:firstLine="482" w:firstLineChars="200"/>
        <w:rPr>
          <w:b/>
          <w:bCs/>
          <w:color w:val="auto"/>
          <w:sz w:val="24"/>
          <w:highlight w:val="none"/>
        </w:rPr>
      </w:pPr>
      <w:r>
        <w:rPr>
          <w:b/>
          <w:bCs/>
          <w:color w:val="auto"/>
          <w:sz w:val="24"/>
          <w:highlight w:val="none"/>
        </w:rPr>
        <w:t>3.</w:t>
      </w:r>
      <w:r>
        <w:rPr>
          <w:rFonts w:hint="eastAsia"/>
          <w:b/>
          <w:bCs/>
          <w:color w:val="auto"/>
          <w:sz w:val="24"/>
          <w:highlight w:val="none"/>
        </w:rPr>
        <w:t>项目在实施过程中，若自然资源部、省厅、市局下发的工作要求有所补充和调整，则需按新的工作要求执行。</w:t>
      </w:r>
    </w:p>
    <w:p>
      <w:pPr>
        <w:pStyle w:val="258"/>
        <w:numPr>
          <w:ilvl w:val="0"/>
          <w:numId w:val="1"/>
        </w:numPr>
        <w:ind w:firstLineChars="0"/>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商务要求</w:t>
      </w:r>
    </w:p>
    <w:p>
      <w:pPr>
        <w:pStyle w:val="26"/>
        <w:spacing w:line="360" w:lineRule="auto"/>
        <w:ind w:firstLine="490" w:firstLineChars="0"/>
        <w:jc w:val="left"/>
        <w:rPr>
          <w:rFonts w:cs="宋体"/>
          <w:color w:val="auto"/>
          <w:highlight w:val="none"/>
        </w:rPr>
      </w:pPr>
      <w:r>
        <w:rPr>
          <w:rFonts w:cs="宋体"/>
          <w:b/>
          <w:bCs/>
          <w:color w:val="auto"/>
          <w:highlight w:val="none"/>
        </w:rPr>
        <w:t>1.</w:t>
      </w:r>
      <w:r>
        <w:rPr>
          <w:rFonts w:hint="eastAsia" w:cs="宋体"/>
          <w:b/>
          <w:bCs/>
          <w:color w:val="auto"/>
          <w:highlight w:val="none"/>
        </w:rPr>
        <w:t>服务期：</w:t>
      </w:r>
      <w:r>
        <w:rPr>
          <w:rFonts w:hint="eastAsia" w:cs="宋体"/>
          <w:color w:val="auto"/>
          <w:highlight w:val="none"/>
        </w:rPr>
        <w:t>自合同签订起</w:t>
      </w:r>
      <w:r>
        <w:rPr>
          <w:rFonts w:hint="eastAsia" w:cs="Calibri"/>
          <w:color w:val="auto"/>
          <w:highlight w:val="none"/>
        </w:rPr>
        <w:t>至2025年12月31日。</w:t>
      </w:r>
    </w:p>
    <w:p>
      <w:pPr>
        <w:spacing w:line="360" w:lineRule="auto"/>
        <w:ind w:firstLine="482" w:firstLineChars="200"/>
        <w:rPr>
          <w:color w:val="auto"/>
          <w:sz w:val="24"/>
          <w:szCs w:val="32"/>
          <w:highlight w:val="none"/>
        </w:rPr>
      </w:pPr>
      <w:r>
        <w:rPr>
          <w:rFonts w:hint="eastAsia"/>
          <w:b/>
          <w:bCs/>
          <w:color w:val="auto"/>
          <w:sz w:val="24"/>
          <w:szCs w:val="32"/>
          <w:highlight w:val="none"/>
        </w:rPr>
        <w:t>2.项目地点：</w:t>
      </w:r>
      <w:r>
        <w:rPr>
          <w:rFonts w:hint="eastAsia"/>
          <w:color w:val="auto"/>
          <w:sz w:val="24"/>
          <w:szCs w:val="32"/>
          <w:highlight w:val="none"/>
        </w:rPr>
        <w:t>杭州市规划和自然资源局拱墅分局指定地点。</w:t>
      </w:r>
    </w:p>
    <w:p>
      <w:pPr>
        <w:spacing w:line="360" w:lineRule="auto"/>
        <w:ind w:firstLine="482" w:firstLineChars="200"/>
        <w:rPr>
          <w:rFonts w:asciiTheme="minorEastAsia" w:hAnsiTheme="minorEastAsia" w:eastAsiaTheme="minorEastAsia"/>
          <w:b/>
          <w:bCs/>
          <w:color w:val="auto"/>
          <w:sz w:val="24"/>
          <w:szCs w:val="32"/>
          <w:highlight w:val="none"/>
        </w:rPr>
      </w:pPr>
      <w:r>
        <w:rPr>
          <w:rFonts w:asciiTheme="minorEastAsia" w:hAnsiTheme="minorEastAsia" w:eastAsiaTheme="minorEastAsia"/>
          <w:b/>
          <w:bCs/>
          <w:color w:val="auto"/>
          <w:sz w:val="24"/>
          <w:szCs w:val="32"/>
          <w:highlight w:val="none"/>
        </w:rPr>
        <w:t>3</w:t>
      </w:r>
      <w:r>
        <w:rPr>
          <w:rFonts w:hint="eastAsia" w:asciiTheme="minorEastAsia" w:hAnsiTheme="minorEastAsia" w:eastAsiaTheme="minorEastAsia"/>
          <w:b/>
          <w:bCs/>
          <w:color w:val="auto"/>
          <w:sz w:val="24"/>
          <w:szCs w:val="32"/>
          <w:highlight w:val="none"/>
        </w:rPr>
        <w:t>.付款条件：</w:t>
      </w:r>
    </w:p>
    <w:tbl>
      <w:tblPr>
        <w:tblStyle w:val="64"/>
        <w:tblW w:w="8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48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64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付款比例（%）</w:t>
            </w:r>
          </w:p>
        </w:tc>
        <w:tc>
          <w:tcPr>
            <w:tcW w:w="1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648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仿宋_GB2312"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第一次付款：</w:t>
            </w:r>
            <w:r>
              <w:rPr>
                <w:rFonts w:hint="eastAsia" w:cs="仿宋_GB2312" w:asciiTheme="minorEastAsia" w:hAnsiTheme="minorEastAsia" w:eastAsiaTheme="minorEastAsia"/>
                <w:color w:val="auto"/>
                <w:sz w:val="24"/>
                <w:highlight w:val="none"/>
              </w:rPr>
              <w:t>采购合同签订生效并具备实施条件，供应商向采购人提供正式发票后7个工作日内，采购人支付合同总价</w:t>
            </w:r>
          </w:p>
          <w:p>
            <w:pPr>
              <w:spacing w:line="360" w:lineRule="auto"/>
              <w:rPr>
                <w:rFonts w:hint="eastAsia"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rPr>
              <w:t>的30%</w:t>
            </w:r>
            <w:r>
              <w:rPr>
                <w:rFonts w:hint="eastAsia" w:cs="仿宋_GB2312" w:asciiTheme="minorEastAsia" w:hAnsiTheme="minorEastAsia" w:eastAsiaTheme="minorEastAsia"/>
                <w:color w:val="auto"/>
                <w:sz w:val="24"/>
                <w:highlight w:val="none"/>
                <w:lang w:eastAsia="zh-CN"/>
              </w:rPr>
              <w:t>；</w:t>
            </w:r>
          </w:p>
        </w:tc>
        <w:tc>
          <w:tcPr>
            <w:tcW w:w="1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转账支付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648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bCs/>
                <w:color w:val="auto"/>
                <w:sz w:val="24"/>
                <w:highlight w:val="none"/>
                <w:lang w:eastAsia="zh-Hans"/>
              </w:rPr>
            </w:pPr>
            <w:r>
              <w:rPr>
                <w:rFonts w:hint="eastAsia" w:asciiTheme="minorEastAsia" w:hAnsiTheme="minorEastAsia" w:eastAsiaTheme="minorEastAsia"/>
                <w:b/>
                <w:bCs/>
                <w:color w:val="auto"/>
                <w:sz w:val="24"/>
                <w:highlight w:val="none"/>
              </w:rPr>
              <w:t>第二次付款：</w:t>
            </w:r>
            <w:r>
              <w:rPr>
                <w:rFonts w:hint="eastAsia" w:asciiTheme="minorEastAsia" w:hAnsiTheme="minorEastAsia"/>
                <w:bCs/>
                <w:color w:val="auto"/>
                <w:sz w:val="24"/>
                <w:highlight w:val="none"/>
                <w:lang w:eastAsia="zh-Hans"/>
              </w:rPr>
              <w:t>项目通过第三方质量验收及采购人组织的最终</w:t>
            </w:r>
          </w:p>
          <w:p>
            <w:pPr>
              <w:spacing w:line="360" w:lineRule="auto"/>
              <w:rPr>
                <w:rFonts w:hint="eastAsia" w:eastAsia="宋体" w:asciiTheme="minorEastAsia" w:hAnsiTheme="minorEastAsia"/>
                <w:b/>
                <w:bCs/>
                <w:color w:val="auto"/>
                <w:sz w:val="24"/>
                <w:highlight w:val="none"/>
                <w:lang w:eastAsia="zh-CN"/>
              </w:rPr>
            </w:pPr>
            <w:r>
              <w:rPr>
                <w:rFonts w:hint="eastAsia" w:asciiTheme="minorEastAsia" w:hAnsiTheme="minorEastAsia"/>
                <w:bCs/>
                <w:color w:val="auto"/>
                <w:sz w:val="24"/>
                <w:highlight w:val="none"/>
                <w:lang w:eastAsia="zh-Hans"/>
              </w:rPr>
              <w:t>验收，满足合同约定支付条件的，采购人自收到发票后7个工作日向供应商支付合同总价 20%的款项</w:t>
            </w:r>
            <w:r>
              <w:rPr>
                <w:rFonts w:hint="eastAsia" w:asciiTheme="minorEastAsia" w:hAnsiTheme="minorEastAsia"/>
                <w:bCs/>
                <w:color w:val="auto"/>
                <w:sz w:val="24"/>
                <w:highlight w:val="none"/>
                <w:lang w:eastAsia="zh-CN"/>
              </w:rPr>
              <w:t>；</w:t>
            </w:r>
          </w:p>
        </w:tc>
        <w:tc>
          <w:tcPr>
            <w:tcW w:w="1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转账支付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648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bCs/>
                <w:color w:val="auto"/>
                <w:sz w:val="24"/>
                <w:highlight w:val="none"/>
                <w:lang w:eastAsia="zh-Hans"/>
              </w:rPr>
            </w:pPr>
            <w:r>
              <w:rPr>
                <w:rFonts w:hint="eastAsia" w:asciiTheme="minorEastAsia" w:hAnsiTheme="minorEastAsia" w:eastAsiaTheme="minorEastAsia"/>
                <w:b/>
                <w:bCs/>
                <w:color w:val="auto"/>
                <w:sz w:val="24"/>
                <w:highlight w:val="none"/>
              </w:rPr>
              <w:t>第三次付款：</w:t>
            </w:r>
            <w:r>
              <w:rPr>
                <w:rFonts w:hint="eastAsia" w:asciiTheme="minorEastAsia" w:hAnsiTheme="minorEastAsia"/>
                <w:bCs/>
                <w:color w:val="auto"/>
                <w:sz w:val="24"/>
                <w:highlight w:val="none"/>
                <w:lang w:eastAsia="zh-Hans"/>
              </w:rPr>
              <w:t>项目通过市级验收、省级、部级验收，满足合</w:t>
            </w:r>
          </w:p>
          <w:p>
            <w:pPr>
              <w:spacing w:line="360" w:lineRule="auto"/>
              <w:rPr>
                <w:rFonts w:hint="eastAsia" w:asciiTheme="minorEastAsia" w:hAnsiTheme="minorEastAsia"/>
                <w:bCs/>
                <w:color w:val="auto"/>
                <w:sz w:val="24"/>
                <w:highlight w:val="none"/>
                <w:lang w:eastAsia="zh-Hans"/>
              </w:rPr>
            </w:pPr>
            <w:r>
              <w:rPr>
                <w:rFonts w:hint="eastAsia" w:asciiTheme="minorEastAsia" w:hAnsiTheme="minorEastAsia"/>
                <w:bCs/>
                <w:color w:val="auto"/>
                <w:sz w:val="24"/>
                <w:highlight w:val="none"/>
                <w:lang w:eastAsia="zh-Hans"/>
              </w:rPr>
              <w:t>同约定支付条件的，采购人自收到发票后7个工作日向供应</w:t>
            </w:r>
          </w:p>
          <w:p>
            <w:pPr>
              <w:spacing w:line="360" w:lineRule="auto"/>
              <w:rPr>
                <w:rFonts w:hint="eastAsia" w:eastAsia="宋体" w:asciiTheme="minorEastAsia" w:hAnsiTheme="minorEastAsia"/>
                <w:bCs/>
                <w:color w:val="auto"/>
                <w:sz w:val="24"/>
                <w:highlight w:val="none"/>
                <w:lang w:eastAsia="zh-CN"/>
              </w:rPr>
            </w:pPr>
            <w:r>
              <w:rPr>
                <w:rFonts w:hint="eastAsia" w:asciiTheme="minorEastAsia" w:hAnsiTheme="minorEastAsia"/>
                <w:bCs/>
                <w:color w:val="auto"/>
                <w:sz w:val="24"/>
                <w:highlight w:val="none"/>
                <w:lang w:eastAsia="zh-Hans"/>
              </w:rPr>
              <w:t>商支付合同总价 50%的款项</w:t>
            </w:r>
            <w:r>
              <w:rPr>
                <w:rFonts w:hint="eastAsia" w:asciiTheme="minorEastAsia" w:hAnsiTheme="minorEastAsia"/>
                <w:bCs/>
                <w:color w:val="auto"/>
                <w:sz w:val="24"/>
                <w:highlight w:val="none"/>
                <w:lang w:eastAsia="zh-CN"/>
              </w:rPr>
              <w:t>；</w:t>
            </w:r>
          </w:p>
        </w:tc>
        <w:tc>
          <w:tcPr>
            <w:tcW w:w="1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转账支付</w:t>
            </w:r>
          </w:p>
        </w:tc>
      </w:tr>
    </w:tbl>
    <w:p>
      <w:pPr>
        <w:spacing w:line="360" w:lineRule="auto"/>
        <w:ind w:firstLine="480" w:firstLineChars="200"/>
        <w:rPr>
          <w:rFonts w:asciiTheme="minorEastAsia" w:hAnsiTheme="minorEastAsia"/>
          <w:bCs/>
          <w:color w:val="auto"/>
          <w:sz w:val="24"/>
          <w:highlight w:val="none"/>
          <w:lang w:eastAsia="zh-Hans"/>
        </w:rPr>
      </w:pPr>
      <w:r>
        <w:rPr>
          <w:rFonts w:hint="eastAsia" w:asciiTheme="minorEastAsia" w:hAnsiTheme="minorEastAsia"/>
          <w:bCs/>
          <w:color w:val="auto"/>
          <w:sz w:val="24"/>
          <w:highlight w:val="none"/>
          <w:lang w:eastAsia="zh-Hans"/>
        </w:rPr>
        <w:t>注：每次付款前，乙方提供</w:t>
      </w:r>
      <w:r>
        <w:rPr>
          <w:rFonts w:hint="eastAsia" w:asciiTheme="minorEastAsia" w:hAnsiTheme="minorEastAsia"/>
          <w:bCs/>
          <w:color w:val="auto"/>
          <w:sz w:val="24"/>
          <w:highlight w:val="none"/>
        </w:rPr>
        <w:t>采购人</w:t>
      </w:r>
      <w:r>
        <w:rPr>
          <w:rFonts w:hint="eastAsia" w:asciiTheme="minorEastAsia" w:hAnsiTheme="minorEastAsia"/>
          <w:bCs/>
          <w:color w:val="auto"/>
          <w:sz w:val="24"/>
          <w:highlight w:val="none"/>
          <w:lang w:eastAsia="zh-Hans"/>
        </w:rPr>
        <w:t>要求的正规发票。</w:t>
      </w:r>
    </w:p>
    <w:p>
      <w:pPr>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4、售后服务要求</w:t>
      </w:r>
    </w:p>
    <w:p>
      <w:pPr>
        <w:snapToGrid w:val="0"/>
        <w:spacing w:line="360" w:lineRule="auto"/>
        <w:ind w:firstLine="480" w:firstLineChars="200"/>
        <w:rPr>
          <w:color w:val="auto"/>
          <w:sz w:val="24"/>
          <w:highlight w:val="none"/>
        </w:rPr>
      </w:pPr>
      <w:r>
        <w:rPr>
          <w:rFonts w:hint="eastAsia"/>
          <w:color w:val="auto"/>
          <w:sz w:val="24"/>
          <w:highlight w:val="none"/>
        </w:rPr>
        <w:t>4</w:t>
      </w:r>
      <w:r>
        <w:rPr>
          <w:color w:val="auto"/>
          <w:sz w:val="24"/>
          <w:highlight w:val="none"/>
        </w:rPr>
        <w:t>.1</w:t>
      </w:r>
      <w:r>
        <w:rPr>
          <w:rFonts w:hint="eastAsia"/>
          <w:color w:val="auto"/>
          <w:sz w:val="24"/>
          <w:highlight w:val="none"/>
        </w:rPr>
        <w:t>质量保证期：自验收之日起，提供</w:t>
      </w:r>
      <w:r>
        <w:rPr>
          <w:color w:val="auto"/>
          <w:sz w:val="24"/>
          <w:highlight w:val="none"/>
        </w:rPr>
        <w:t>2</w:t>
      </w:r>
      <w:r>
        <w:rPr>
          <w:rFonts w:hint="eastAsia"/>
          <w:color w:val="auto"/>
          <w:sz w:val="24"/>
          <w:highlight w:val="none"/>
        </w:rPr>
        <w:t>年的免费服务质保期。</w:t>
      </w:r>
    </w:p>
    <w:p>
      <w:pPr>
        <w:snapToGrid w:val="0"/>
        <w:spacing w:line="360" w:lineRule="auto"/>
        <w:ind w:firstLine="480" w:firstLineChars="200"/>
        <w:rPr>
          <w:color w:val="auto"/>
          <w:sz w:val="24"/>
          <w:highlight w:val="none"/>
        </w:rPr>
      </w:pPr>
      <w:r>
        <w:rPr>
          <w:rFonts w:hint="eastAsia"/>
          <w:color w:val="auto"/>
          <w:sz w:val="24"/>
          <w:highlight w:val="none"/>
        </w:rPr>
        <w:t>4</w:t>
      </w:r>
      <w:r>
        <w:rPr>
          <w:color w:val="auto"/>
          <w:sz w:val="24"/>
          <w:highlight w:val="none"/>
        </w:rPr>
        <w:t>.2</w:t>
      </w:r>
      <w:r>
        <w:rPr>
          <w:rFonts w:hint="eastAsia"/>
          <w:color w:val="auto"/>
          <w:sz w:val="24"/>
          <w:highlight w:val="none"/>
        </w:rPr>
        <w:t>售后服务内容</w:t>
      </w:r>
    </w:p>
    <w:p>
      <w:pPr>
        <w:snapToGrid w:val="0"/>
        <w:spacing w:line="360" w:lineRule="auto"/>
        <w:ind w:firstLine="480" w:firstLineChars="200"/>
        <w:rPr>
          <w:color w:val="auto"/>
          <w:sz w:val="24"/>
          <w:highlight w:val="none"/>
        </w:rPr>
      </w:pPr>
      <w:r>
        <w:rPr>
          <w:rFonts w:hint="eastAsia"/>
          <w:color w:val="auto"/>
          <w:sz w:val="24"/>
          <w:highlight w:val="none"/>
        </w:rPr>
        <w:t>（1）电话咨询</w:t>
      </w:r>
    </w:p>
    <w:p>
      <w:pPr>
        <w:snapToGrid w:val="0"/>
        <w:spacing w:line="360" w:lineRule="auto"/>
        <w:ind w:firstLine="480" w:firstLineChars="200"/>
        <w:rPr>
          <w:color w:val="auto"/>
          <w:sz w:val="24"/>
          <w:highlight w:val="none"/>
        </w:rPr>
      </w:pPr>
      <w:r>
        <w:rPr>
          <w:rFonts w:hint="eastAsia"/>
          <w:color w:val="auto"/>
          <w:sz w:val="24"/>
          <w:highlight w:val="none"/>
        </w:rPr>
        <w:t>投标方应当为采购方提供技术援助电话，解答采购方在使用中遇到的问题，及时为采购方提出解决问题的建议。</w:t>
      </w:r>
    </w:p>
    <w:p>
      <w:pPr>
        <w:snapToGrid w:val="0"/>
        <w:spacing w:line="360" w:lineRule="auto"/>
        <w:ind w:firstLine="480" w:firstLineChars="200"/>
        <w:rPr>
          <w:color w:val="auto"/>
          <w:sz w:val="24"/>
          <w:highlight w:val="none"/>
        </w:rPr>
      </w:pPr>
      <w:r>
        <w:rPr>
          <w:rFonts w:hint="eastAsia"/>
          <w:color w:val="auto"/>
          <w:sz w:val="24"/>
          <w:highlight w:val="none"/>
        </w:rPr>
        <w:t>（2）现场响应</w:t>
      </w:r>
    </w:p>
    <w:p>
      <w:pPr>
        <w:snapToGrid w:val="0"/>
        <w:spacing w:line="360" w:lineRule="auto"/>
        <w:ind w:firstLine="480" w:firstLineChars="200"/>
        <w:rPr>
          <w:color w:val="auto"/>
          <w:sz w:val="24"/>
          <w:highlight w:val="none"/>
        </w:rPr>
      </w:pPr>
      <w:r>
        <w:rPr>
          <w:rFonts w:hint="eastAsia"/>
          <w:color w:val="auto"/>
          <w:sz w:val="24"/>
          <w:highlight w:val="none"/>
        </w:rPr>
        <w:t>投标方接到采购方产品出现问题的通知后立即作出响应，24小时内到达现场进行处理。</w:t>
      </w:r>
    </w:p>
    <w:p>
      <w:pPr>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5、其他商务要求：</w:t>
      </w:r>
    </w:p>
    <w:p>
      <w:pPr>
        <w:spacing w:line="360" w:lineRule="auto"/>
        <w:rPr>
          <w:color w:val="auto"/>
          <w:sz w:val="24"/>
          <w:highlight w:val="none"/>
          <w:lang w:val="zh-CN"/>
        </w:rPr>
      </w:pPr>
      <w:r>
        <w:rPr>
          <w:rFonts w:hint="eastAsia"/>
          <w:color w:val="auto"/>
          <w:sz w:val="24"/>
          <w:highlight w:val="none"/>
        </w:rPr>
        <w:t xml:space="preserve">    </w:t>
      </w:r>
      <w:r>
        <w:rPr>
          <w:rFonts w:hint="eastAsia"/>
          <w:color w:val="auto"/>
          <w:sz w:val="24"/>
          <w:highlight w:val="none"/>
          <w:lang w:val="zh-CN"/>
        </w:rPr>
        <w:t>采购人对投标人及工作人员开展常态化安全保密教育，组织签订安全保密承诺书，明确具体安全管理内容、安全保密义务和责任；投标人及工作人员违反保密安全管理要求，构成违法犯罪的，采购人将及时报送本级政府采购和市场监督管理部门，提请列入政府采购严重违法失信行为记录名单、市场监督管理严重失信名单，并追究相关责任</w:t>
      </w:r>
      <w:r>
        <w:rPr>
          <w:color w:val="auto"/>
          <w:sz w:val="24"/>
          <w:highlight w:val="none"/>
          <w:lang w:val="zh-CN"/>
        </w:rPr>
        <w:t>。</w:t>
      </w:r>
    </w:p>
    <w:p>
      <w:pPr>
        <w:spacing w:line="360" w:lineRule="auto"/>
        <w:ind w:firstLine="480" w:firstLineChars="200"/>
        <w:rPr>
          <w:color w:val="auto"/>
          <w:sz w:val="24"/>
          <w:highlight w:val="none"/>
          <w:lang w:val="zh-CN"/>
        </w:rPr>
      </w:pPr>
      <w:r>
        <w:rPr>
          <w:rFonts w:hint="eastAsia"/>
          <w:color w:val="auto"/>
          <w:sz w:val="24"/>
          <w:highlight w:val="none"/>
          <w:lang w:val="zh-CN"/>
        </w:rPr>
        <w:t>严格按照采购人规定使用、存储、处理文档资料和数据。合同终止时，应当交还全部项目资料和数据。</w:t>
      </w:r>
    </w:p>
    <w:p>
      <w:pPr>
        <w:spacing w:line="360" w:lineRule="auto"/>
        <w:ind w:firstLine="480" w:firstLineChars="200"/>
        <w:rPr>
          <w:color w:val="auto"/>
          <w:sz w:val="24"/>
          <w:highlight w:val="none"/>
          <w:lang w:val="zh-CN"/>
        </w:rPr>
      </w:pPr>
      <w:r>
        <w:rPr>
          <w:rFonts w:hint="eastAsia"/>
          <w:color w:val="auto"/>
          <w:sz w:val="24"/>
          <w:highlight w:val="none"/>
          <w:lang w:val="zh-CN"/>
        </w:rPr>
        <w:t>保密协议：投标人需与采购人签署保密协议，投标人对在项目实施期间所获得的采购人的情报和资料有保密义务，泄漏秘密应承担的责任。如有违反，按合同的违约条款向采购人支付违约金，造成采购人损失的应予赔偿，涉嫌犯罪的依法追究刑事责任。</w:t>
      </w:r>
    </w:p>
    <w:p>
      <w:pPr>
        <w:spacing w:line="360" w:lineRule="auto"/>
        <w:ind w:firstLine="482" w:firstLineChars="200"/>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6、驻场要求：</w:t>
      </w:r>
    </w:p>
    <w:p>
      <w:pPr>
        <w:snapToGrid w:val="0"/>
        <w:spacing w:line="360" w:lineRule="auto"/>
        <w:ind w:firstLine="480" w:firstLineChars="200"/>
        <w:rPr>
          <w:color w:val="auto"/>
          <w:sz w:val="24"/>
          <w:highlight w:val="none"/>
        </w:rPr>
      </w:pPr>
      <w:r>
        <w:rPr>
          <w:rFonts w:hint="eastAsia"/>
          <w:color w:val="auto"/>
          <w:sz w:val="24"/>
          <w:highlight w:val="none"/>
        </w:rPr>
        <w:t>6</w:t>
      </w:r>
      <w:r>
        <w:rPr>
          <w:color w:val="auto"/>
          <w:sz w:val="24"/>
          <w:highlight w:val="none"/>
        </w:rPr>
        <w:t>.1</w:t>
      </w:r>
      <w:r>
        <w:rPr>
          <w:rFonts w:hint="eastAsia"/>
          <w:color w:val="auto"/>
          <w:sz w:val="24"/>
          <w:highlight w:val="none"/>
        </w:rPr>
        <w:t>提供</w:t>
      </w:r>
      <w:r>
        <w:rPr>
          <w:color w:val="auto"/>
          <w:sz w:val="24"/>
          <w:highlight w:val="none"/>
        </w:rPr>
        <w:t>1</w:t>
      </w:r>
      <w:r>
        <w:rPr>
          <w:rFonts w:hint="eastAsia"/>
          <w:color w:val="auto"/>
          <w:sz w:val="24"/>
          <w:highlight w:val="none"/>
        </w:rPr>
        <w:t>名驻场服务人员，驻场服务至</w:t>
      </w:r>
      <w:r>
        <w:rPr>
          <w:color w:val="auto"/>
          <w:sz w:val="24"/>
          <w:highlight w:val="none"/>
        </w:rPr>
        <w:t>2025</w:t>
      </w:r>
      <w:r>
        <w:rPr>
          <w:rFonts w:hint="eastAsia"/>
          <w:color w:val="auto"/>
          <w:sz w:val="24"/>
          <w:highlight w:val="none"/>
        </w:rPr>
        <w:t>年</w:t>
      </w:r>
      <w:r>
        <w:rPr>
          <w:color w:val="auto"/>
          <w:sz w:val="24"/>
          <w:highlight w:val="none"/>
        </w:rPr>
        <w:t>12</w:t>
      </w:r>
      <w:r>
        <w:rPr>
          <w:rFonts w:hint="eastAsia"/>
          <w:color w:val="auto"/>
          <w:sz w:val="24"/>
          <w:highlight w:val="none"/>
        </w:rPr>
        <w:t>月</w:t>
      </w:r>
      <w:r>
        <w:rPr>
          <w:color w:val="auto"/>
          <w:sz w:val="24"/>
          <w:highlight w:val="none"/>
        </w:rPr>
        <w:t>31</w:t>
      </w:r>
      <w:r>
        <w:rPr>
          <w:rFonts w:hint="eastAsia"/>
          <w:color w:val="auto"/>
          <w:sz w:val="24"/>
          <w:highlight w:val="none"/>
        </w:rPr>
        <w:t>日。</w:t>
      </w:r>
    </w:p>
    <w:p>
      <w:pPr>
        <w:snapToGrid w:val="0"/>
        <w:spacing w:line="360" w:lineRule="auto"/>
        <w:ind w:firstLine="480" w:firstLineChars="200"/>
        <w:rPr>
          <w:color w:val="auto"/>
          <w:sz w:val="24"/>
          <w:highlight w:val="none"/>
        </w:rPr>
      </w:pPr>
      <w:r>
        <w:rPr>
          <w:color w:val="auto"/>
          <w:sz w:val="24"/>
          <w:highlight w:val="none"/>
        </w:rPr>
        <w:t>6.2</w:t>
      </w:r>
      <w:r>
        <w:rPr>
          <w:rFonts w:hint="eastAsia"/>
          <w:color w:val="auto"/>
          <w:sz w:val="24"/>
          <w:highlight w:val="none"/>
        </w:rPr>
        <w:t>人员服务时间</w:t>
      </w:r>
    </w:p>
    <w:p>
      <w:pPr>
        <w:spacing w:line="360" w:lineRule="auto"/>
        <w:ind w:firstLine="480" w:firstLineChars="200"/>
        <w:rPr>
          <w:color w:val="auto"/>
          <w:sz w:val="24"/>
          <w:highlight w:val="none"/>
          <w:lang w:val="zh-CN"/>
        </w:rPr>
      </w:pPr>
      <w:r>
        <w:rPr>
          <w:rFonts w:hint="eastAsia"/>
          <w:color w:val="auto"/>
          <w:sz w:val="24"/>
          <w:highlight w:val="none"/>
          <w:lang w:val="zh-CN"/>
        </w:rPr>
        <w:t>（</w:t>
      </w:r>
      <w:r>
        <w:rPr>
          <w:color w:val="auto"/>
          <w:sz w:val="24"/>
          <w:highlight w:val="none"/>
          <w:lang w:val="zh-CN"/>
        </w:rPr>
        <w:t>1</w:t>
      </w:r>
      <w:r>
        <w:rPr>
          <w:rFonts w:hint="eastAsia"/>
          <w:color w:val="auto"/>
          <w:sz w:val="24"/>
          <w:highlight w:val="none"/>
          <w:lang w:val="zh-CN"/>
        </w:rPr>
        <w:t>）驻场人员服务时间：服务期内提供</w:t>
      </w:r>
      <w:r>
        <w:rPr>
          <w:color w:val="auto"/>
          <w:sz w:val="24"/>
          <w:highlight w:val="none"/>
          <w:lang w:val="zh-CN"/>
        </w:rPr>
        <w:t>5*8</w:t>
      </w:r>
      <w:r>
        <w:rPr>
          <w:rFonts w:hint="eastAsia"/>
          <w:color w:val="auto"/>
          <w:sz w:val="24"/>
          <w:highlight w:val="none"/>
          <w:lang w:val="zh-CN"/>
        </w:rPr>
        <w:t>小时（除法定节假日）驻点服务。</w:t>
      </w:r>
    </w:p>
    <w:p>
      <w:pPr>
        <w:spacing w:line="360" w:lineRule="auto"/>
        <w:ind w:firstLine="480" w:firstLineChars="200"/>
        <w:rPr>
          <w:color w:val="auto"/>
          <w:sz w:val="24"/>
          <w:highlight w:val="none"/>
          <w:lang w:val="zh-CN"/>
        </w:rPr>
      </w:pPr>
      <w:r>
        <w:rPr>
          <w:rFonts w:hint="eastAsia"/>
          <w:color w:val="auto"/>
          <w:sz w:val="24"/>
          <w:highlight w:val="none"/>
          <w:lang w:val="zh-CN"/>
        </w:rPr>
        <w:t>（</w:t>
      </w:r>
      <w:r>
        <w:rPr>
          <w:color w:val="auto"/>
          <w:sz w:val="24"/>
          <w:highlight w:val="none"/>
          <w:lang w:val="zh-CN"/>
        </w:rPr>
        <w:t>2</w:t>
      </w:r>
      <w:r>
        <w:rPr>
          <w:rFonts w:hint="eastAsia"/>
          <w:color w:val="auto"/>
          <w:sz w:val="24"/>
          <w:highlight w:val="none"/>
          <w:lang w:val="zh-CN"/>
        </w:rPr>
        <w:t>）驻场人员服务地点：杭州市拱墅区人防大厦；</w:t>
      </w:r>
    </w:p>
    <w:p>
      <w:pPr>
        <w:pStyle w:val="258"/>
        <w:numPr>
          <w:ilvl w:val="0"/>
          <w:numId w:val="1"/>
        </w:numPr>
        <w:ind w:firstLineChars="0"/>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验收要求</w:t>
      </w:r>
    </w:p>
    <w:p>
      <w:pPr>
        <w:spacing w:line="360" w:lineRule="auto"/>
        <w:ind w:firstLine="480" w:firstLineChars="200"/>
        <w:rPr>
          <w:color w:val="auto"/>
          <w:sz w:val="24"/>
          <w:highlight w:val="none"/>
          <w:lang w:val="zh-CN"/>
        </w:rPr>
      </w:pPr>
      <w:r>
        <w:rPr>
          <w:color w:val="auto"/>
          <w:sz w:val="24"/>
          <w:highlight w:val="none"/>
          <w:lang w:val="zh-CN"/>
        </w:rPr>
        <w:t>1.</w:t>
      </w:r>
      <w:r>
        <w:rPr>
          <w:rFonts w:hint="eastAsia"/>
          <w:color w:val="auto"/>
          <w:sz w:val="24"/>
          <w:highlight w:val="none"/>
          <w:lang w:val="zh-CN"/>
        </w:rPr>
        <w:t>根据采购文件确定的技术指标或者服务要求确定验收指标和标准。未进行相应约定的，应当符合国家强制性规定、政策要求、安全标准、行业或企业有关标准等。</w:t>
      </w:r>
    </w:p>
    <w:p>
      <w:pPr>
        <w:spacing w:line="360" w:lineRule="auto"/>
        <w:ind w:firstLine="480" w:firstLineChars="200"/>
        <w:rPr>
          <w:color w:val="auto"/>
          <w:sz w:val="24"/>
          <w:highlight w:val="none"/>
          <w:lang w:val="zh-CN"/>
        </w:rPr>
      </w:pPr>
      <w:r>
        <w:rPr>
          <w:color w:val="auto"/>
          <w:sz w:val="24"/>
          <w:highlight w:val="none"/>
          <w:lang w:val="zh-CN"/>
        </w:rPr>
        <w:t>2</w:t>
      </w:r>
      <w:r>
        <w:rPr>
          <w:rFonts w:hint="eastAsia"/>
          <w:color w:val="auto"/>
          <w:sz w:val="24"/>
          <w:highlight w:val="none"/>
          <w:lang w:val="zh-CN"/>
        </w:rPr>
        <w:t>.采购人或其委托的代理机构参照《杭州市政府采购履约验收暂行办法》（杭财采监[2019]10号）规定组织对成交人履约的验收。验收方成员应当在验收书上签字，并承担相应的法律责任。如果发现与合同中要求不符，中标人须承担由此发生的一切损失和费用，并接受相应的处理。</w:t>
      </w:r>
    </w:p>
    <w:p>
      <w:pPr>
        <w:spacing w:line="360" w:lineRule="auto"/>
        <w:ind w:firstLine="480" w:firstLineChars="200"/>
        <w:rPr>
          <w:color w:val="auto"/>
          <w:sz w:val="24"/>
          <w:highlight w:val="none"/>
          <w:lang w:val="zh-CN"/>
        </w:rPr>
      </w:pPr>
      <w:r>
        <w:rPr>
          <w:color w:val="auto"/>
          <w:sz w:val="24"/>
          <w:highlight w:val="none"/>
          <w:lang w:val="zh-CN"/>
        </w:rPr>
        <w:t>3</w:t>
      </w:r>
      <w:r>
        <w:rPr>
          <w:rFonts w:hint="eastAsia"/>
          <w:color w:val="auto"/>
          <w:sz w:val="24"/>
          <w:highlight w:val="none"/>
          <w:lang w:val="zh-CN"/>
        </w:rPr>
        <w:t>.严格按照采购合同开展履约验收。采购人成立验收小组，按照采购合同的约定对供应商履约情况进行验收，验收时，按照采购合同的约定对每一项技术、服务、安全标准的履约情况进行确认，验收小组成员现场组织对产品进行清点及现场演示，出具验收报告并经验收小组全体成员签字。采购人根据验收报告形成验收意见并经采购人与成交供应商签字盖章，并在财政指定媒体上公示无异议后生效。验收结果与采购合同约定的资金支付及履约保证金返还条件挂钩。履约验收的各项资料应当存档备查。</w:t>
      </w:r>
    </w:p>
    <w:p>
      <w:pPr>
        <w:spacing w:line="360" w:lineRule="auto"/>
        <w:ind w:firstLine="480" w:firstLineChars="200"/>
        <w:rPr>
          <w:color w:val="auto"/>
          <w:sz w:val="24"/>
          <w:highlight w:val="none"/>
          <w:lang w:val="zh-CN"/>
        </w:rPr>
      </w:pPr>
      <w:r>
        <w:rPr>
          <w:color w:val="auto"/>
          <w:sz w:val="24"/>
          <w:highlight w:val="none"/>
          <w:lang w:val="zh-CN"/>
        </w:rPr>
        <w:t>4</w:t>
      </w:r>
      <w:r>
        <w:rPr>
          <w:rFonts w:hint="eastAsia"/>
          <w:color w:val="auto"/>
          <w:sz w:val="24"/>
          <w:highlight w:val="none"/>
          <w:lang w:val="zh-CN"/>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p>
    <w:p>
      <w:pPr>
        <w:spacing w:line="360" w:lineRule="auto"/>
        <w:ind w:firstLine="480" w:firstLineChars="200"/>
        <w:rPr>
          <w:color w:val="auto"/>
          <w:sz w:val="24"/>
          <w:highlight w:val="none"/>
          <w:lang w:val="zh-CN"/>
        </w:rPr>
      </w:pPr>
      <w:r>
        <w:rPr>
          <w:rFonts w:hint="eastAsia"/>
          <w:color w:val="auto"/>
          <w:sz w:val="24"/>
          <w:highlight w:val="none"/>
          <w:lang w:val="zh-CN"/>
        </w:rPr>
        <w:t>5、验收产生的费用由投标人支付。</w:t>
      </w:r>
    </w:p>
    <w:p>
      <w:pPr>
        <w:spacing w:line="360" w:lineRule="auto"/>
        <w:ind w:firstLine="480" w:firstLineChars="200"/>
        <w:rPr>
          <w:color w:val="auto"/>
          <w:sz w:val="24"/>
          <w:highlight w:val="none"/>
          <w:lang w:val="zh-CN"/>
        </w:rPr>
      </w:pPr>
      <w:r>
        <w:rPr>
          <w:color w:val="auto"/>
          <w:sz w:val="24"/>
          <w:highlight w:val="none"/>
          <w:lang w:val="zh-CN"/>
        </w:rPr>
        <w:t>6</w:t>
      </w:r>
      <w:r>
        <w:rPr>
          <w:rFonts w:hint="eastAsia"/>
          <w:color w:val="auto"/>
          <w:sz w:val="24"/>
          <w:highlight w:val="none"/>
          <w:lang w:val="zh-CN"/>
        </w:rPr>
        <w:t>.履约验收时间：服务期结束后。</w:t>
      </w:r>
    </w:p>
    <w:p>
      <w:pPr>
        <w:pStyle w:val="258"/>
        <w:numPr>
          <w:ilvl w:val="0"/>
          <w:numId w:val="1"/>
        </w:numPr>
        <w:ind w:firstLineChars="0"/>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质量考核</w:t>
      </w:r>
    </w:p>
    <w:p>
      <w:pPr>
        <w:autoSpaceDE w:val="0"/>
        <w:autoSpaceDN w:val="0"/>
        <w:spacing w:line="360" w:lineRule="auto"/>
        <w:ind w:firstLine="480" w:firstLineChars="200"/>
        <w:rPr>
          <w:color w:val="auto"/>
          <w:sz w:val="24"/>
          <w:highlight w:val="none"/>
        </w:rPr>
      </w:pPr>
      <w:r>
        <w:rPr>
          <w:rFonts w:hint="eastAsia" w:asciiTheme="minorEastAsia" w:hAnsiTheme="minorEastAsia"/>
          <w:bCs/>
          <w:color w:val="auto"/>
          <w:sz w:val="24"/>
          <w:highlight w:val="none"/>
        </w:rPr>
        <w:t>项目完成后，采购人对项目质量进行评估。</w:t>
      </w:r>
      <w:r>
        <w:rPr>
          <w:rFonts w:hint="eastAsia"/>
          <w:color w:val="auto"/>
          <w:sz w:val="24"/>
          <w:highlight w:val="none"/>
        </w:rPr>
        <w:t>参照《实景三维杭州建设质量控制方案》委托测绘成果质量检验机构对成果进行质量评定。得分在90分以上的为优秀；得分在75（含）-90分的为良好；得分在60（含）-75分的为合格；得分在60分以下的为不合格。检查结论为不通过或不合格的，项目承担单位返修后复检一次，仍不合格的扣除合同总额</w:t>
      </w:r>
      <w:r>
        <w:rPr>
          <w:color w:val="auto"/>
          <w:sz w:val="24"/>
          <w:highlight w:val="none"/>
        </w:rPr>
        <w:t>30%</w:t>
      </w:r>
      <w:r>
        <w:rPr>
          <w:rFonts w:hint="eastAsia"/>
          <w:color w:val="auto"/>
          <w:sz w:val="24"/>
          <w:highlight w:val="none"/>
        </w:rPr>
        <w:t>的违约金。</w:t>
      </w:r>
    </w:p>
    <w:p>
      <w:pPr>
        <w:pStyle w:val="2"/>
        <w:ind w:firstLine="480"/>
        <w:rPr>
          <w:rFonts w:asciiTheme="majorEastAsia" w:hAnsiTheme="majorEastAsia" w:eastAsiaTheme="majorEastAsia"/>
          <w:color w:val="auto"/>
          <w:sz w:val="24"/>
          <w:szCs w:val="24"/>
          <w:highlight w:val="none"/>
          <w:lang w:val="en-US"/>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28" w:name="_Toc184312095"/>
      <w:bookmarkEnd w:id="28"/>
      <w:bookmarkStart w:id="29" w:name="_Toc184314481"/>
      <w:bookmarkEnd w:id="29"/>
      <w:bookmarkStart w:id="30" w:name="_Toc184308057"/>
      <w:bookmarkEnd w:id="30"/>
      <w:bookmarkStart w:id="31" w:name="_Toc184312133"/>
      <w:bookmarkEnd w:id="31"/>
      <w:bookmarkStart w:id="32" w:name="_Toc184310319"/>
      <w:bookmarkEnd w:id="32"/>
      <w:bookmarkStart w:id="33" w:name="_Toc184310321"/>
      <w:bookmarkEnd w:id="33"/>
      <w:bookmarkStart w:id="34" w:name="_Toc184313253"/>
      <w:bookmarkEnd w:id="34"/>
      <w:bookmarkStart w:id="35" w:name="_Toc184310311"/>
      <w:bookmarkEnd w:id="35"/>
      <w:bookmarkStart w:id="36" w:name="_Toc184308061"/>
      <w:bookmarkEnd w:id="36"/>
      <w:bookmarkStart w:id="37" w:name="_Toc184314461"/>
      <w:bookmarkEnd w:id="37"/>
      <w:bookmarkStart w:id="38" w:name="_Toc184313277"/>
      <w:bookmarkEnd w:id="38"/>
      <w:bookmarkStart w:id="39" w:name="_Toc184313286"/>
      <w:bookmarkEnd w:id="39"/>
      <w:bookmarkStart w:id="40" w:name="_Toc184314437"/>
      <w:bookmarkEnd w:id="40"/>
      <w:bookmarkStart w:id="41" w:name="_Toc184314451"/>
      <w:bookmarkEnd w:id="41"/>
      <w:bookmarkStart w:id="42" w:name="_Toc184314473"/>
      <w:bookmarkEnd w:id="42"/>
      <w:bookmarkStart w:id="43" w:name="_Toc184314446"/>
      <w:bookmarkEnd w:id="43"/>
      <w:bookmarkStart w:id="44" w:name="_Toc184314415"/>
      <w:bookmarkEnd w:id="44"/>
      <w:bookmarkStart w:id="45" w:name="_Toc184310293"/>
      <w:bookmarkEnd w:id="45"/>
      <w:bookmarkStart w:id="46" w:name="_Toc184312132"/>
      <w:bookmarkEnd w:id="46"/>
      <w:bookmarkStart w:id="47" w:name="_Toc184308037"/>
      <w:bookmarkEnd w:id="47"/>
      <w:bookmarkStart w:id="48" w:name="_Toc184313307"/>
      <w:bookmarkEnd w:id="48"/>
      <w:bookmarkStart w:id="49" w:name="_Toc184312069"/>
      <w:bookmarkEnd w:id="49"/>
      <w:bookmarkStart w:id="50" w:name="_Toc184310272"/>
      <w:bookmarkEnd w:id="50"/>
      <w:bookmarkStart w:id="51" w:name="_Toc184308089"/>
      <w:bookmarkEnd w:id="51"/>
      <w:bookmarkStart w:id="52" w:name="_Toc184310336"/>
      <w:bookmarkEnd w:id="52"/>
      <w:bookmarkStart w:id="53" w:name="_Toc184308084"/>
      <w:bookmarkEnd w:id="53"/>
      <w:bookmarkStart w:id="54" w:name="_Toc184313273"/>
      <w:bookmarkEnd w:id="54"/>
      <w:bookmarkStart w:id="55" w:name="_Toc184312134"/>
      <w:bookmarkEnd w:id="55"/>
      <w:bookmarkStart w:id="56" w:name="_Toc184310303"/>
      <w:bookmarkEnd w:id="56"/>
      <w:bookmarkStart w:id="57" w:name="_Toc184310299"/>
      <w:bookmarkEnd w:id="57"/>
      <w:bookmarkStart w:id="58" w:name="_Toc184312125"/>
      <w:bookmarkEnd w:id="58"/>
      <w:bookmarkStart w:id="59" w:name="_Toc184308083"/>
      <w:bookmarkEnd w:id="59"/>
      <w:bookmarkStart w:id="60" w:name="_Toc184308059"/>
      <w:bookmarkEnd w:id="60"/>
      <w:bookmarkStart w:id="61" w:name="_Toc184308105"/>
      <w:bookmarkEnd w:id="61"/>
      <w:bookmarkStart w:id="62" w:name="_Toc184313267"/>
      <w:bookmarkEnd w:id="62"/>
      <w:bookmarkStart w:id="63" w:name="_Toc184313270"/>
      <w:bookmarkEnd w:id="63"/>
      <w:bookmarkStart w:id="64" w:name="_Toc184314468"/>
      <w:bookmarkEnd w:id="64"/>
      <w:bookmarkStart w:id="65" w:name="_Toc184313296"/>
      <w:bookmarkEnd w:id="65"/>
      <w:bookmarkStart w:id="66" w:name="_Toc184314474"/>
      <w:bookmarkEnd w:id="66"/>
      <w:bookmarkStart w:id="67" w:name="_Toc184310279"/>
      <w:bookmarkEnd w:id="67"/>
      <w:bookmarkStart w:id="68" w:name="_Toc184314443"/>
      <w:bookmarkEnd w:id="68"/>
      <w:bookmarkStart w:id="69" w:name="_Toc184310274"/>
      <w:bookmarkEnd w:id="69"/>
      <w:bookmarkStart w:id="70" w:name="_Toc184313248"/>
      <w:bookmarkEnd w:id="70"/>
      <w:bookmarkStart w:id="71" w:name="_Toc184308081"/>
      <w:bookmarkEnd w:id="71"/>
      <w:bookmarkStart w:id="72" w:name="_Toc184313310"/>
      <w:bookmarkEnd w:id="72"/>
      <w:bookmarkStart w:id="73" w:name="_Toc184314439"/>
      <w:bookmarkEnd w:id="73"/>
      <w:bookmarkStart w:id="74" w:name="_Toc184312093"/>
      <w:bookmarkEnd w:id="74"/>
      <w:bookmarkStart w:id="75" w:name="_Toc184314441"/>
      <w:bookmarkEnd w:id="75"/>
      <w:bookmarkStart w:id="76" w:name="_Toc184308038"/>
      <w:bookmarkEnd w:id="76"/>
      <w:bookmarkStart w:id="77" w:name="_Toc184312138"/>
      <w:bookmarkEnd w:id="77"/>
      <w:bookmarkStart w:id="78" w:name="_Toc184310281"/>
      <w:bookmarkEnd w:id="78"/>
      <w:bookmarkStart w:id="79" w:name="_Toc184310288"/>
      <w:bookmarkEnd w:id="79"/>
      <w:bookmarkStart w:id="80" w:name="_Toc184312100"/>
      <w:bookmarkEnd w:id="80"/>
      <w:bookmarkStart w:id="81" w:name="_Toc184310291"/>
      <w:bookmarkEnd w:id="81"/>
      <w:bookmarkStart w:id="82" w:name="_Toc184314442"/>
      <w:bookmarkEnd w:id="82"/>
      <w:bookmarkStart w:id="83" w:name="_Toc184313284"/>
      <w:bookmarkEnd w:id="83"/>
      <w:bookmarkStart w:id="84" w:name="_Toc184313269"/>
      <w:bookmarkEnd w:id="84"/>
      <w:bookmarkStart w:id="85" w:name="_Toc184312137"/>
      <w:bookmarkEnd w:id="85"/>
      <w:bookmarkStart w:id="86" w:name="_Toc184313301"/>
      <w:bookmarkEnd w:id="86"/>
      <w:bookmarkStart w:id="87" w:name="_Toc184312083"/>
      <w:bookmarkEnd w:id="87"/>
      <w:bookmarkStart w:id="88" w:name="_Toc184313304"/>
      <w:bookmarkEnd w:id="88"/>
      <w:bookmarkStart w:id="89" w:name="_Toc184312081"/>
      <w:bookmarkEnd w:id="89"/>
      <w:bookmarkStart w:id="90" w:name="_Toc184308087"/>
      <w:bookmarkEnd w:id="90"/>
      <w:bookmarkStart w:id="91" w:name="_Toc184312122"/>
      <w:bookmarkEnd w:id="91"/>
      <w:bookmarkStart w:id="92" w:name="_Toc184308090"/>
      <w:bookmarkEnd w:id="92"/>
      <w:bookmarkStart w:id="93" w:name="_Toc184314438"/>
      <w:bookmarkEnd w:id="93"/>
      <w:bookmarkStart w:id="94" w:name="_Toc184314423"/>
      <w:bookmarkEnd w:id="94"/>
      <w:bookmarkStart w:id="95" w:name="_Toc184312085"/>
      <w:bookmarkEnd w:id="95"/>
      <w:bookmarkStart w:id="96" w:name="_Toc184308066"/>
      <w:bookmarkEnd w:id="96"/>
      <w:bookmarkStart w:id="97" w:name="_Toc184310328"/>
      <w:bookmarkEnd w:id="97"/>
      <w:bookmarkStart w:id="98" w:name="_Toc184314458"/>
      <w:bookmarkEnd w:id="98"/>
      <w:bookmarkStart w:id="99" w:name="_Toc184310277"/>
      <w:bookmarkEnd w:id="99"/>
      <w:bookmarkStart w:id="100" w:name="_Toc184314436"/>
      <w:bookmarkEnd w:id="100"/>
      <w:bookmarkStart w:id="101" w:name="_Toc184313271"/>
      <w:bookmarkEnd w:id="101"/>
      <w:bookmarkStart w:id="102" w:name="_Toc184312110"/>
      <w:bookmarkEnd w:id="102"/>
      <w:bookmarkStart w:id="103" w:name="_Toc184308040"/>
      <w:bookmarkEnd w:id="103"/>
      <w:bookmarkStart w:id="104" w:name="_Toc184314445"/>
      <w:bookmarkEnd w:id="104"/>
      <w:bookmarkStart w:id="105" w:name="_Toc184310280"/>
      <w:bookmarkEnd w:id="105"/>
      <w:bookmarkStart w:id="106" w:name="_Toc184308075"/>
      <w:bookmarkEnd w:id="106"/>
      <w:bookmarkStart w:id="107" w:name="_Toc184314431"/>
      <w:bookmarkEnd w:id="107"/>
      <w:bookmarkStart w:id="108" w:name="_Toc184313242"/>
      <w:bookmarkEnd w:id="108"/>
      <w:bookmarkStart w:id="109" w:name="_Toc184308062"/>
      <w:bookmarkEnd w:id="109"/>
      <w:bookmarkStart w:id="110" w:name="_Toc184313255"/>
      <w:bookmarkEnd w:id="110"/>
      <w:bookmarkStart w:id="111" w:name="_Toc184312071"/>
      <w:bookmarkEnd w:id="111"/>
      <w:bookmarkStart w:id="112" w:name="_Toc184314453"/>
      <w:bookmarkEnd w:id="112"/>
      <w:bookmarkStart w:id="113" w:name="_Toc184312099"/>
      <w:bookmarkEnd w:id="113"/>
      <w:bookmarkStart w:id="114" w:name="_Toc184310307"/>
      <w:bookmarkEnd w:id="114"/>
      <w:bookmarkStart w:id="115" w:name="_Toc184312139"/>
      <w:bookmarkEnd w:id="115"/>
      <w:bookmarkStart w:id="116" w:name="_Toc184308052"/>
      <w:bookmarkEnd w:id="116"/>
      <w:bookmarkStart w:id="117" w:name="_Toc184313243"/>
      <w:bookmarkEnd w:id="117"/>
      <w:bookmarkStart w:id="118" w:name="_Toc184314430"/>
      <w:bookmarkEnd w:id="118"/>
      <w:bookmarkStart w:id="119" w:name="_Toc184313306"/>
      <w:bookmarkEnd w:id="119"/>
      <w:bookmarkStart w:id="120" w:name="_Toc184313249"/>
      <w:bookmarkEnd w:id="120"/>
      <w:bookmarkStart w:id="121" w:name="_Toc184313281"/>
      <w:bookmarkEnd w:id="121"/>
      <w:bookmarkStart w:id="122" w:name="_Toc184310333"/>
      <w:bookmarkEnd w:id="122"/>
      <w:bookmarkStart w:id="123" w:name="_Toc184308041"/>
      <w:bookmarkEnd w:id="123"/>
      <w:bookmarkStart w:id="124" w:name="_Toc184314413"/>
      <w:bookmarkEnd w:id="124"/>
      <w:bookmarkStart w:id="125" w:name="_Toc184313292"/>
      <w:bookmarkEnd w:id="125"/>
      <w:bookmarkStart w:id="126" w:name="_Toc184308042"/>
      <w:bookmarkEnd w:id="126"/>
      <w:bookmarkStart w:id="127" w:name="_Toc184313303"/>
      <w:bookmarkEnd w:id="127"/>
      <w:bookmarkStart w:id="128" w:name="_Toc184308104"/>
      <w:bookmarkEnd w:id="128"/>
      <w:bookmarkStart w:id="129" w:name="_Toc184308067"/>
      <w:bookmarkEnd w:id="129"/>
      <w:bookmarkStart w:id="130" w:name="_Toc184313288"/>
      <w:bookmarkEnd w:id="130"/>
      <w:bookmarkStart w:id="131" w:name="_Toc184310282"/>
      <w:bookmarkEnd w:id="131"/>
      <w:bookmarkStart w:id="132" w:name="_Toc184308070"/>
      <w:bookmarkEnd w:id="132"/>
      <w:bookmarkStart w:id="133" w:name="_Toc184313308"/>
      <w:bookmarkEnd w:id="133"/>
      <w:bookmarkStart w:id="134" w:name="_Toc184314417"/>
      <w:bookmarkEnd w:id="134"/>
      <w:bookmarkStart w:id="135" w:name="_Toc184310278"/>
      <w:bookmarkEnd w:id="135"/>
      <w:bookmarkStart w:id="136" w:name="_Toc184314477"/>
      <w:bookmarkEnd w:id="136"/>
      <w:bookmarkStart w:id="137" w:name="_Toc184310289"/>
      <w:bookmarkEnd w:id="137"/>
      <w:bookmarkStart w:id="138" w:name="_Toc184308060"/>
      <w:bookmarkEnd w:id="138"/>
      <w:bookmarkStart w:id="139" w:name="_Toc184312121"/>
      <w:bookmarkEnd w:id="139"/>
      <w:bookmarkStart w:id="140" w:name="_Toc184312124"/>
      <w:bookmarkEnd w:id="140"/>
      <w:bookmarkStart w:id="141" w:name="_Toc184312109"/>
      <w:bookmarkEnd w:id="141"/>
      <w:bookmarkStart w:id="142" w:name="_Toc184312116"/>
      <w:bookmarkEnd w:id="142"/>
      <w:bookmarkStart w:id="143" w:name="_Toc184312089"/>
      <w:bookmarkEnd w:id="143"/>
      <w:bookmarkStart w:id="144" w:name="_Toc184313274"/>
      <w:bookmarkEnd w:id="144"/>
      <w:bookmarkStart w:id="145" w:name="_Toc184312113"/>
      <w:bookmarkEnd w:id="145"/>
      <w:bookmarkStart w:id="146" w:name="_Toc184308051"/>
      <w:bookmarkEnd w:id="146"/>
      <w:bookmarkStart w:id="147" w:name="_Toc184308106"/>
      <w:bookmarkEnd w:id="147"/>
      <w:bookmarkStart w:id="148" w:name="_Toc184312128"/>
      <w:bookmarkEnd w:id="148"/>
      <w:bookmarkStart w:id="149" w:name="_Toc184312129"/>
      <w:bookmarkEnd w:id="149"/>
      <w:bookmarkStart w:id="150" w:name="_Toc184310295"/>
      <w:bookmarkEnd w:id="150"/>
      <w:bookmarkStart w:id="151" w:name="_Toc184308098"/>
      <w:bookmarkEnd w:id="151"/>
      <w:bookmarkStart w:id="152" w:name="_Toc184308101"/>
      <w:bookmarkEnd w:id="152"/>
      <w:bookmarkStart w:id="153" w:name="_Toc184314470"/>
      <w:bookmarkEnd w:id="153"/>
      <w:bookmarkStart w:id="154" w:name="_Toc184313246"/>
      <w:bookmarkEnd w:id="154"/>
      <w:bookmarkStart w:id="155" w:name="_Toc184312120"/>
      <w:bookmarkEnd w:id="155"/>
      <w:bookmarkStart w:id="156" w:name="_Toc184314429"/>
      <w:bookmarkEnd w:id="156"/>
      <w:bookmarkStart w:id="157" w:name="_Toc184312074"/>
      <w:bookmarkEnd w:id="157"/>
      <w:bookmarkStart w:id="158" w:name="_Toc184313262"/>
      <w:bookmarkEnd w:id="158"/>
      <w:bookmarkStart w:id="159" w:name="_Toc184314418"/>
      <w:bookmarkEnd w:id="159"/>
      <w:bookmarkStart w:id="160" w:name="_Toc184308093"/>
      <w:bookmarkEnd w:id="160"/>
      <w:bookmarkStart w:id="161" w:name="_Toc184310285"/>
      <w:bookmarkEnd w:id="161"/>
      <w:bookmarkStart w:id="162" w:name="_Toc184308044"/>
      <w:bookmarkEnd w:id="162"/>
      <w:bookmarkStart w:id="163" w:name="_Toc184314464"/>
      <w:bookmarkEnd w:id="163"/>
      <w:bookmarkStart w:id="164" w:name="_Toc184310327"/>
      <w:bookmarkEnd w:id="164"/>
      <w:bookmarkStart w:id="165" w:name="_Toc184308071"/>
      <w:bookmarkEnd w:id="165"/>
      <w:bookmarkStart w:id="166" w:name="_Toc184313260"/>
      <w:bookmarkEnd w:id="166"/>
      <w:bookmarkStart w:id="167" w:name="_Toc184310329"/>
      <w:bookmarkEnd w:id="167"/>
      <w:bookmarkStart w:id="168" w:name="_Toc184310312"/>
      <w:bookmarkEnd w:id="168"/>
      <w:bookmarkStart w:id="169" w:name="_Toc184308047"/>
      <w:bookmarkEnd w:id="169"/>
      <w:bookmarkStart w:id="170" w:name="_Toc184310342"/>
      <w:bookmarkEnd w:id="170"/>
      <w:bookmarkStart w:id="171" w:name="_Toc184308103"/>
      <w:bookmarkEnd w:id="171"/>
      <w:bookmarkStart w:id="172" w:name="_Toc184308073"/>
      <w:bookmarkEnd w:id="172"/>
      <w:bookmarkStart w:id="173" w:name="_Toc184313265"/>
      <w:bookmarkEnd w:id="173"/>
      <w:bookmarkStart w:id="174" w:name="_Toc184312135"/>
      <w:bookmarkEnd w:id="174"/>
      <w:bookmarkStart w:id="175" w:name="_Toc184313275"/>
      <w:bookmarkEnd w:id="175"/>
      <w:bookmarkStart w:id="176" w:name="_Toc184310337"/>
      <w:bookmarkEnd w:id="176"/>
      <w:bookmarkStart w:id="177" w:name="_Toc184312119"/>
      <w:bookmarkEnd w:id="177"/>
      <w:bookmarkStart w:id="178" w:name="_Toc184308039"/>
      <w:bookmarkEnd w:id="178"/>
      <w:bookmarkStart w:id="179" w:name="_Toc184313300"/>
      <w:bookmarkEnd w:id="179"/>
      <w:bookmarkStart w:id="180" w:name="_Toc184308045"/>
      <w:bookmarkEnd w:id="180"/>
      <w:bookmarkStart w:id="181" w:name="_Toc184308100"/>
      <w:bookmarkEnd w:id="181"/>
      <w:bookmarkStart w:id="182" w:name="_Toc184313240"/>
      <w:bookmarkEnd w:id="182"/>
      <w:bookmarkStart w:id="183" w:name="_Toc184313283"/>
      <w:bookmarkEnd w:id="183"/>
      <w:bookmarkStart w:id="184" w:name="_Toc184308048"/>
      <w:bookmarkEnd w:id="184"/>
      <w:bookmarkStart w:id="185" w:name="_Toc184310304"/>
      <w:bookmarkEnd w:id="185"/>
      <w:bookmarkStart w:id="186" w:name="_Toc184314450"/>
      <w:bookmarkEnd w:id="186"/>
      <w:bookmarkStart w:id="187" w:name="_Toc184308049"/>
      <w:bookmarkEnd w:id="187"/>
      <w:bookmarkStart w:id="188" w:name="_Toc184310305"/>
      <w:bookmarkEnd w:id="188"/>
      <w:bookmarkStart w:id="189" w:name="_Toc184310322"/>
      <w:bookmarkEnd w:id="189"/>
      <w:bookmarkStart w:id="190" w:name="_Toc184313250"/>
      <w:bookmarkEnd w:id="190"/>
      <w:bookmarkStart w:id="191" w:name="_Toc184312103"/>
      <w:bookmarkEnd w:id="191"/>
      <w:bookmarkStart w:id="192" w:name="_Toc184312094"/>
      <w:bookmarkEnd w:id="192"/>
      <w:bookmarkStart w:id="193" w:name="_Toc184314414"/>
      <w:bookmarkEnd w:id="193"/>
      <w:bookmarkStart w:id="194" w:name="_Toc184313298"/>
      <w:bookmarkEnd w:id="194"/>
      <w:bookmarkStart w:id="195" w:name="_Toc184313263"/>
      <w:bookmarkEnd w:id="195"/>
      <w:bookmarkStart w:id="196" w:name="_Toc184310325"/>
      <w:bookmarkEnd w:id="196"/>
      <w:bookmarkStart w:id="197" w:name="_Toc184313280"/>
      <w:bookmarkEnd w:id="197"/>
      <w:bookmarkStart w:id="198" w:name="_Toc184312088"/>
      <w:bookmarkEnd w:id="198"/>
      <w:bookmarkStart w:id="199" w:name="_Toc184310314"/>
      <w:bookmarkEnd w:id="199"/>
      <w:bookmarkStart w:id="200" w:name="_Toc184312090"/>
      <w:bookmarkEnd w:id="200"/>
      <w:bookmarkStart w:id="201" w:name="_Toc184314482"/>
      <w:bookmarkEnd w:id="201"/>
      <w:bookmarkStart w:id="202" w:name="_Toc184308056"/>
      <w:bookmarkEnd w:id="202"/>
      <w:bookmarkStart w:id="203" w:name="_Toc184313244"/>
      <w:bookmarkEnd w:id="203"/>
      <w:bookmarkStart w:id="204" w:name="_Toc184312097"/>
      <w:bookmarkEnd w:id="204"/>
      <w:bookmarkStart w:id="205" w:name="_Toc184308080"/>
      <w:bookmarkEnd w:id="205"/>
      <w:bookmarkStart w:id="206" w:name="_Toc184310335"/>
      <w:bookmarkEnd w:id="206"/>
      <w:bookmarkStart w:id="207" w:name="_Toc184308077"/>
      <w:bookmarkEnd w:id="207"/>
      <w:bookmarkStart w:id="208" w:name="_Toc184312087"/>
      <w:bookmarkEnd w:id="208"/>
      <w:bookmarkStart w:id="209" w:name="_Toc184312091"/>
      <w:bookmarkEnd w:id="209"/>
      <w:bookmarkStart w:id="210" w:name="_Toc184310301"/>
      <w:bookmarkEnd w:id="210"/>
      <w:bookmarkStart w:id="211" w:name="_Toc184310306"/>
      <w:bookmarkEnd w:id="211"/>
      <w:bookmarkStart w:id="212" w:name="_Toc184308068"/>
      <w:bookmarkEnd w:id="212"/>
      <w:bookmarkStart w:id="213" w:name="_Toc184308097"/>
      <w:bookmarkEnd w:id="213"/>
      <w:bookmarkStart w:id="214" w:name="_Toc184310284"/>
      <w:bookmarkEnd w:id="214"/>
      <w:bookmarkStart w:id="215" w:name="_Toc184313276"/>
      <w:bookmarkEnd w:id="215"/>
      <w:bookmarkStart w:id="216" w:name="_Toc184312123"/>
      <w:bookmarkEnd w:id="216"/>
      <w:bookmarkStart w:id="217" w:name="_Toc184308082"/>
      <w:bookmarkEnd w:id="217"/>
      <w:bookmarkStart w:id="218" w:name="_Toc184313252"/>
      <w:bookmarkEnd w:id="218"/>
      <w:bookmarkStart w:id="219" w:name="_Toc184314426"/>
      <w:bookmarkEnd w:id="219"/>
      <w:bookmarkStart w:id="220" w:name="_Toc184313305"/>
      <w:bookmarkEnd w:id="220"/>
      <w:bookmarkStart w:id="221" w:name="_Toc184312136"/>
      <w:bookmarkEnd w:id="221"/>
      <w:bookmarkStart w:id="222" w:name="_Toc184310310"/>
      <w:bookmarkEnd w:id="222"/>
      <w:bookmarkStart w:id="223" w:name="_Toc184312108"/>
      <w:bookmarkEnd w:id="223"/>
      <w:bookmarkStart w:id="224" w:name="_Toc184312070"/>
      <w:bookmarkEnd w:id="224"/>
      <w:bookmarkStart w:id="225" w:name="_Toc184308036"/>
      <w:bookmarkEnd w:id="225"/>
      <w:bookmarkStart w:id="226" w:name="_Toc184314471"/>
      <w:bookmarkEnd w:id="226"/>
      <w:bookmarkStart w:id="227" w:name="_Toc184310300"/>
      <w:bookmarkEnd w:id="227"/>
      <w:bookmarkStart w:id="228" w:name="_Toc184314467"/>
      <w:bookmarkEnd w:id="228"/>
      <w:bookmarkStart w:id="229" w:name="_Toc184312107"/>
      <w:bookmarkEnd w:id="229"/>
      <w:bookmarkStart w:id="230" w:name="_Toc184310286"/>
      <w:bookmarkEnd w:id="230"/>
      <w:bookmarkStart w:id="231" w:name="_Toc184314475"/>
      <w:bookmarkEnd w:id="231"/>
      <w:bookmarkStart w:id="232" w:name="_Toc184310292"/>
      <w:bookmarkEnd w:id="232"/>
      <w:bookmarkStart w:id="233" w:name="_Toc184314480"/>
      <w:bookmarkEnd w:id="233"/>
      <w:bookmarkStart w:id="234" w:name="_Toc184314459"/>
      <w:bookmarkEnd w:id="234"/>
      <w:bookmarkStart w:id="235" w:name="_Toc184310290"/>
      <w:bookmarkEnd w:id="235"/>
      <w:bookmarkStart w:id="236" w:name="_Toc184312079"/>
      <w:bookmarkEnd w:id="236"/>
      <w:bookmarkStart w:id="237" w:name="_Toc184314425"/>
      <w:bookmarkEnd w:id="237"/>
      <w:bookmarkStart w:id="238" w:name="_Toc184314440"/>
      <w:bookmarkEnd w:id="238"/>
      <w:bookmarkStart w:id="239" w:name="_Toc184313259"/>
      <w:bookmarkEnd w:id="239"/>
      <w:bookmarkStart w:id="240" w:name="_Toc184313282"/>
      <w:bookmarkEnd w:id="240"/>
      <w:bookmarkStart w:id="241" w:name="_Toc184308094"/>
      <w:bookmarkEnd w:id="241"/>
      <w:bookmarkStart w:id="242" w:name="_Toc184310318"/>
      <w:bookmarkEnd w:id="242"/>
      <w:bookmarkStart w:id="243" w:name="_Toc184310317"/>
      <w:bookmarkEnd w:id="243"/>
      <w:bookmarkStart w:id="244" w:name="_Toc184314448"/>
      <w:bookmarkEnd w:id="244"/>
      <w:bookmarkStart w:id="245" w:name="_Toc184310340"/>
      <w:bookmarkEnd w:id="245"/>
      <w:bookmarkStart w:id="246" w:name="_Toc184313239"/>
      <w:bookmarkEnd w:id="246"/>
      <w:bookmarkStart w:id="247" w:name="_Toc184312076"/>
      <w:bookmarkEnd w:id="247"/>
      <w:bookmarkStart w:id="248" w:name="_Toc184312115"/>
      <w:bookmarkEnd w:id="248"/>
      <w:bookmarkStart w:id="249" w:name="_Toc184312105"/>
      <w:bookmarkEnd w:id="249"/>
      <w:bookmarkStart w:id="250" w:name="_Toc184313287"/>
      <w:bookmarkEnd w:id="250"/>
      <w:bookmarkStart w:id="251" w:name="_Toc184313285"/>
      <w:bookmarkEnd w:id="251"/>
      <w:bookmarkStart w:id="252" w:name="_Toc184310341"/>
      <w:bookmarkEnd w:id="252"/>
      <w:bookmarkStart w:id="253" w:name="_Toc184314432"/>
      <w:bookmarkEnd w:id="253"/>
      <w:bookmarkStart w:id="254" w:name="_Toc184313241"/>
      <w:bookmarkEnd w:id="254"/>
      <w:bookmarkStart w:id="255" w:name="_Toc184313256"/>
      <w:bookmarkEnd w:id="255"/>
      <w:bookmarkStart w:id="256" w:name="_Toc184314463"/>
      <w:bookmarkEnd w:id="256"/>
      <w:bookmarkStart w:id="257" w:name="_Toc184313289"/>
      <w:bookmarkEnd w:id="257"/>
      <w:bookmarkStart w:id="258" w:name="_Toc184313251"/>
      <w:bookmarkEnd w:id="258"/>
      <w:bookmarkStart w:id="259" w:name="_Toc184314422"/>
      <w:bookmarkEnd w:id="259"/>
      <w:bookmarkStart w:id="260" w:name="_Toc184310320"/>
      <w:bookmarkEnd w:id="260"/>
      <w:bookmarkStart w:id="261" w:name="_Toc184310276"/>
      <w:bookmarkEnd w:id="261"/>
      <w:bookmarkStart w:id="262" w:name="_Toc184314465"/>
      <w:bookmarkEnd w:id="262"/>
      <w:bookmarkStart w:id="263" w:name="_Toc184308065"/>
      <w:bookmarkEnd w:id="263"/>
      <w:bookmarkStart w:id="264" w:name="_Toc184310332"/>
      <w:bookmarkEnd w:id="264"/>
      <w:bookmarkStart w:id="265" w:name="_Toc184312127"/>
      <w:bookmarkEnd w:id="265"/>
      <w:bookmarkStart w:id="266" w:name="_Toc184313266"/>
      <w:bookmarkEnd w:id="266"/>
      <w:bookmarkStart w:id="267" w:name="_Toc184308054"/>
      <w:bookmarkEnd w:id="267"/>
      <w:bookmarkStart w:id="268" w:name="_Toc184310283"/>
      <w:bookmarkEnd w:id="268"/>
      <w:bookmarkStart w:id="269" w:name="_Toc184310339"/>
      <w:bookmarkEnd w:id="269"/>
      <w:bookmarkStart w:id="270" w:name="_Toc184310302"/>
      <w:bookmarkEnd w:id="270"/>
      <w:bookmarkStart w:id="271" w:name="_Toc184314457"/>
      <w:bookmarkEnd w:id="271"/>
      <w:bookmarkStart w:id="272" w:name="_Toc184308088"/>
      <w:bookmarkEnd w:id="272"/>
      <w:bookmarkStart w:id="273" w:name="_Toc184314478"/>
      <w:bookmarkEnd w:id="273"/>
      <w:bookmarkStart w:id="274" w:name="_Toc184310331"/>
      <w:bookmarkEnd w:id="274"/>
      <w:bookmarkStart w:id="275" w:name="_Toc184308085"/>
      <w:bookmarkEnd w:id="275"/>
      <w:bookmarkStart w:id="276" w:name="_Toc184314433"/>
      <w:bookmarkEnd w:id="276"/>
      <w:bookmarkStart w:id="277" w:name="_Toc184310298"/>
      <w:bookmarkEnd w:id="277"/>
      <w:bookmarkStart w:id="278" w:name="_Toc184312092"/>
      <w:bookmarkEnd w:id="278"/>
      <w:bookmarkStart w:id="279" w:name="_Toc184308091"/>
      <w:bookmarkEnd w:id="279"/>
      <w:bookmarkStart w:id="280" w:name="_Toc184314410"/>
      <w:bookmarkEnd w:id="280"/>
      <w:bookmarkStart w:id="281" w:name="_Toc184313245"/>
      <w:bookmarkEnd w:id="281"/>
      <w:bookmarkStart w:id="282" w:name="_Toc184310315"/>
      <w:bookmarkEnd w:id="282"/>
      <w:bookmarkStart w:id="283" w:name="_Toc184310343"/>
      <w:bookmarkEnd w:id="283"/>
      <w:bookmarkStart w:id="284" w:name="_Toc184312084"/>
      <w:bookmarkEnd w:id="284"/>
      <w:bookmarkStart w:id="285" w:name="_Toc184312082"/>
      <w:bookmarkEnd w:id="285"/>
      <w:bookmarkStart w:id="286" w:name="_Toc184308078"/>
      <w:bookmarkEnd w:id="286"/>
      <w:bookmarkStart w:id="287" w:name="_Toc184312112"/>
      <w:bookmarkEnd w:id="287"/>
      <w:bookmarkStart w:id="288" w:name="_Toc184312131"/>
      <w:bookmarkEnd w:id="288"/>
      <w:bookmarkStart w:id="289" w:name="_Toc184308046"/>
      <w:bookmarkEnd w:id="289"/>
      <w:bookmarkStart w:id="290" w:name="_Toc184314420"/>
      <w:bookmarkEnd w:id="290"/>
      <w:bookmarkStart w:id="291" w:name="_Toc184312072"/>
      <w:bookmarkEnd w:id="291"/>
      <w:bookmarkStart w:id="292" w:name="_Toc184312118"/>
      <w:bookmarkEnd w:id="292"/>
      <w:bookmarkStart w:id="293" w:name="_Toc184308064"/>
      <w:bookmarkEnd w:id="293"/>
      <w:bookmarkStart w:id="294" w:name="_Toc184312068"/>
      <w:bookmarkEnd w:id="294"/>
      <w:bookmarkStart w:id="295" w:name="_Toc184312067"/>
      <w:bookmarkEnd w:id="295"/>
      <w:bookmarkStart w:id="296" w:name="_Toc184313238"/>
      <w:bookmarkEnd w:id="296"/>
      <w:bookmarkStart w:id="297" w:name="_Toc184314476"/>
      <w:bookmarkEnd w:id="297"/>
      <w:bookmarkStart w:id="298" w:name="_Toc184310287"/>
      <w:bookmarkEnd w:id="298"/>
      <w:bookmarkStart w:id="299" w:name="_Toc184312096"/>
      <w:bookmarkEnd w:id="299"/>
      <w:bookmarkStart w:id="300" w:name="_Toc184313290"/>
      <w:bookmarkEnd w:id="300"/>
      <w:bookmarkStart w:id="301" w:name="_Toc184313293"/>
      <w:bookmarkEnd w:id="301"/>
      <w:bookmarkStart w:id="302" w:name="_Toc184313299"/>
      <w:bookmarkEnd w:id="302"/>
      <w:bookmarkStart w:id="303" w:name="_Toc184308092"/>
      <w:bookmarkEnd w:id="303"/>
      <w:bookmarkStart w:id="304" w:name="_Toc184310344"/>
      <w:bookmarkEnd w:id="304"/>
      <w:bookmarkStart w:id="305" w:name="_Toc184310296"/>
      <w:bookmarkEnd w:id="305"/>
      <w:bookmarkStart w:id="306" w:name="_Toc184314427"/>
      <w:bookmarkEnd w:id="306"/>
      <w:bookmarkStart w:id="307" w:name="_Toc184308050"/>
      <w:bookmarkEnd w:id="307"/>
      <w:bookmarkStart w:id="308" w:name="_Toc184310308"/>
      <w:bookmarkEnd w:id="308"/>
      <w:bookmarkStart w:id="309" w:name="_Toc184313302"/>
      <w:bookmarkEnd w:id="309"/>
      <w:bookmarkStart w:id="310" w:name="_Toc184312111"/>
      <w:bookmarkEnd w:id="310"/>
      <w:bookmarkStart w:id="311" w:name="_Toc184314419"/>
      <w:bookmarkEnd w:id="311"/>
      <w:bookmarkStart w:id="312" w:name="_Toc184308108"/>
      <w:bookmarkEnd w:id="312"/>
      <w:bookmarkStart w:id="313" w:name="_Toc184314454"/>
      <w:bookmarkEnd w:id="313"/>
      <w:bookmarkStart w:id="314" w:name="_Toc184308055"/>
      <w:bookmarkEnd w:id="314"/>
      <w:bookmarkStart w:id="315" w:name="_Toc184314462"/>
      <w:bookmarkEnd w:id="315"/>
      <w:bookmarkStart w:id="316" w:name="_Toc184310309"/>
      <w:bookmarkEnd w:id="316"/>
      <w:bookmarkStart w:id="317" w:name="_Toc184312086"/>
      <w:bookmarkEnd w:id="317"/>
      <w:bookmarkStart w:id="318" w:name="_Toc184312114"/>
      <w:bookmarkEnd w:id="318"/>
      <w:bookmarkStart w:id="319" w:name="_Toc184313268"/>
      <w:bookmarkEnd w:id="319"/>
      <w:bookmarkStart w:id="320" w:name="_Toc184313279"/>
      <w:bookmarkEnd w:id="320"/>
      <w:bookmarkStart w:id="321" w:name="_Toc184310294"/>
      <w:bookmarkEnd w:id="321"/>
      <w:bookmarkStart w:id="322" w:name="_Toc184313278"/>
      <w:bookmarkEnd w:id="322"/>
      <w:bookmarkStart w:id="323" w:name="_Toc184310323"/>
      <w:bookmarkEnd w:id="323"/>
      <w:bookmarkStart w:id="324" w:name="_Toc184308074"/>
      <w:bookmarkEnd w:id="324"/>
      <w:bookmarkStart w:id="325" w:name="_Toc184310313"/>
      <w:bookmarkEnd w:id="325"/>
      <w:bookmarkStart w:id="326" w:name="_Toc184308102"/>
      <w:bookmarkEnd w:id="326"/>
      <w:bookmarkStart w:id="327" w:name="_Toc184308096"/>
      <w:bookmarkEnd w:id="327"/>
      <w:bookmarkStart w:id="328" w:name="_Toc184314456"/>
      <w:bookmarkEnd w:id="328"/>
      <w:bookmarkStart w:id="329" w:name="_Toc184308069"/>
      <w:bookmarkEnd w:id="329"/>
      <w:bookmarkStart w:id="330" w:name="_Toc184310316"/>
      <w:bookmarkEnd w:id="330"/>
      <w:bookmarkStart w:id="331" w:name="_Toc184308086"/>
      <w:bookmarkEnd w:id="331"/>
      <w:bookmarkStart w:id="332" w:name="_Toc184314460"/>
      <w:bookmarkEnd w:id="332"/>
      <w:bookmarkStart w:id="333" w:name="_Toc184308058"/>
      <w:bookmarkEnd w:id="333"/>
      <w:bookmarkStart w:id="334" w:name="_Toc184314455"/>
      <w:bookmarkEnd w:id="334"/>
      <w:bookmarkStart w:id="335" w:name="_Toc184312078"/>
      <w:bookmarkEnd w:id="335"/>
      <w:bookmarkStart w:id="336" w:name="_Toc184308076"/>
      <w:bookmarkEnd w:id="336"/>
      <w:bookmarkStart w:id="337" w:name="_Toc184314469"/>
      <w:bookmarkEnd w:id="337"/>
      <w:bookmarkStart w:id="338" w:name="_Toc184313295"/>
      <w:bookmarkEnd w:id="338"/>
      <w:bookmarkStart w:id="339" w:name="_Toc184314416"/>
      <w:bookmarkEnd w:id="339"/>
      <w:bookmarkStart w:id="340" w:name="_Toc184314472"/>
      <w:bookmarkEnd w:id="340"/>
      <w:bookmarkStart w:id="341" w:name="_Toc184310330"/>
      <w:bookmarkEnd w:id="341"/>
      <w:bookmarkStart w:id="342" w:name="_Toc184308107"/>
      <w:bookmarkEnd w:id="342"/>
      <w:bookmarkStart w:id="343" w:name="_Toc184314479"/>
      <w:bookmarkEnd w:id="343"/>
      <w:bookmarkStart w:id="344" w:name="_Toc184313264"/>
      <w:bookmarkEnd w:id="344"/>
      <w:bookmarkStart w:id="345" w:name="_Toc184312106"/>
      <w:bookmarkEnd w:id="345"/>
      <w:bookmarkStart w:id="346" w:name="_Toc184308043"/>
      <w:bookmarkEnd w:id="346"/>
      <w:bookmarkStart w:id="347" w:name="_Toc184310273"/>
      <w:bookmarkEnd w:id="347"/>
      <w:bookmarkStart w:id="348" w:name="_Toc184310297"/>
      <w:bookmarkEnd w:id="348"/>
      <w:bookmarkStart w:id="349" w:name="_Toc184308079"/>
      <w:bookmarkEnd w:id="349"/>
      <w:bookmarkStart w:id="350" w:name="_Toc184308063"/>
      <w:bookmarkEnd w:id="350"/>
      <w:bookmarkStart w:id="351" w:name="_Toc184312098"/>
      <w:bookmarkEnd w:id="351"/>
      <w:bookmarkStart w:id="352" w:name="_Toc184310326"/>
      <w:bookmarkEnd w:id="352"/>
      <w:bookmarkStart w:id="353" w:name="_Toc184312117"/>
      <w:bookmarkEnd w:id="353"/>
      <w:bookmarkStart w:id="354" w:name="_Toc184312073"/>
      <w:bookmarkEnd w:id="354"/>
      <w:bookmarkStart w:id="355" w:name="_Toc184314449"/>
      <w:bookmarkEnd w:id="355"/>
      <w:bookmarkStart w:id="356" w:name="_Toc184314447"/>
      <w:bookmarkEnd w:id="356"/>
      <w:bookmarkStart w:id="357" w:name="_Toc184310275"/>
      <w:bookmarkEnd w:id="357"/>
      <w:bookmarkStart w:id="358" w:name="_Toc184313258"/>
      <w:bookmarkEnd w:id="358"/>
      <w:bookmarkStart w:id="359" w:name="_Toc184313247"/>
      <w:bookmarkEnd w:id="359"/>
      <w:bookmarkStart w:id="360" w:name="_Toc184313291"/>
      <w:bookmarkEnd w:id="360"/>
      <w:bookmarkStart w:id="361" w:name="_Toc184312126"/>
      <w:bookmarkEnd w:id="361"/>
      <w:bookmarkStart w:id="362" w:name="_Toc184313254"/>
      <w:bookmarkEnd w:id="362"/>
      <w:bookmarkStart w:id="363" w:name="_Toc184308072"/>
      <w:bookmarkEnd w:id="363"/>
      <w:bookmarkStart w:id="364" w:name="_Toc184310334"/>
      <w:bookmarkEnd w:id="364"/>
      <w:bookmarkStart w:id="365" w:name="_Toc184312101"/>
      <w:bookmarkEnd w:id="365"/>
      <w:bookmarkStart w:id="366" w:name="_Toc184314434"/>
      <w:bookmarkEnd w:id="366"/>
      <w:bookmarkStart w:id="367" w:name="_Toc184308095"/>
      <w:bookmarkEnd w:id="367"/>
      <w:bookmarkStart w:id="368" w:name="_Toc184313297"/>
      <w:bookmarkEnd w:id="368"/>
      <w:bookmarkStart w:id="369" w:name="_Toc184312104"/>
      <w:bookmarkEnd w:id="369"/>
      <w:bookmarkStart w:id="370" w:name="_Toc184313272"/>
      <w:bookmarkEnd w:id="370"/>
      <w:bookmarkStart w:id="371" w:name="_Toc184312080"/>
      <w:bookmarkEnd w:id="371"/>
      <w:bookmarkStart w:id="372" w:name="_Toc184314466"/>
      <w:bookmarkEnd w:id="372"/>
      <w:bookmarkStart w:id="373" w:name="_Toc184314424"/>
      <w:bookmarkEnd w:id="373"/>
      <w:bookmarkStart w:id="374" w:name="_Toc184314428"/>
      <w:bookmarkEnd w:id="374"/>
      <w:bookmarkStart w:id="375" w:name="_Toc184313261"/>
      <w:bookmarkEnd w:id="375"/>
      <w:bookmarkStart w:id="376" w:name="_Toc184314452"/>
      <w:bookmarkEnd w:id="376"/>
      <w:bookmarkStart w:id="377" w:name="_Toc184312075"/>
      <w:bookmarkEnd w:id="377"/>
      <w:bookmarkStart w:id="378" w:name="_Toc184312077"/>
      <w:bookmarkEnd w:id="378"/>
      <w:bookmarkStart w:id="379" w:name="_Toc184312102"/>
      <w:bookmarkEnd w:id="379"/>
      <w:bookmarkStart w:id="380" w:name="_Toc184313294"/>
      <w:bookmarkEnd w:id="380"/>
      <w:bookmarkStart w:id="381" w:name="_Toc184308099"/>
      <w:bookmarkEnd w:id="381"/>
      <w:bookmarkStart w:id="382" w:name="_Toc184313257"/>
      <w:bookmarkEnd w:id="382"/>
      <w:bookmarkStart w:id="383" w:name="_Toc184310324"/>
      <w:bookmarkEnd w:id="383"/>
      <w:bookmarkStart w:id="384" w:name="_Toc184314412"/>
      <w:bookmarkEnd w:id="384"/>
      <w:bookmarkStart w:id="385" w:name="_Toc184310338"/>
      <w:bookmarkEnd w:id="385"/>
      <w:bookmarkStart w:id="386" w:name="_Toc184312130"/>
      <w:bookmarkEnd w:id="386"/>
      <w:bookmarkStart w:id="387" w:name="_Toc184314411"/>
      <w:bookmarkEnd w:id="387"/>
      <w:bookmarkStart w:id="388" w:name="_Toc184314444"/>
      <w:bookmarkEnd w:id="388"/>
      <w:bookmarkStart w:id="389" w:name="_Toc184313309"/>
      <w:bookmarkEnd w:id="389"/>
      <w:bookmarkStart w:id="390" w:name="_Toc184314421"/>
      <w:bookmarkEnd w:id="390"/>
      <w:bookmarkStart w:id="391" w:name="_Toc184308053"/>
      <w:bookmarkEnd w:id="391"/>
      <w:bookmarkStart w:id="392" w:name="_Toc184314435"/>
      <w:bookmarkEnd w:id="392"/>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4"/>
        <w:tblW w:w="1001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10"/>
        <w:gridCol w:w="5386"/>
        <w:gridCol w:w="709"/>
        <w:gridCol w:w="1060"/>
        <w:gridCol w:w="1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5386"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评分标准</w:t>
            </w:r>
          </w:p>
        </w:tc>
        <w:tc>
          <w:tcPr>
            <w:tcW w:w="709" w:type="dxa"/>
            <w:tcBorders>
              <w:tl2br w:val="nil"/>
              <w:tr2bl w:val="nil"/>
            </w:tcBorders>
            <w:vAlign w:val="center"/>
          </w:tcPr>
          <w:p>
            <w:pPr>
              <w:spacing w:line="360" w:lineRule="auto"/>
              <w:jc w:val="center"/>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权值</w:t>
            </w:r>
          </w:p>
        </w:tc>
        <w:tc>
          <w:tcPr>
            <w:tcW w:w="1060" w:type="dxa"/>
            <w:tcBorders>
              <w:tl2br w:val="nil"/>
              <w:tr2bl w:val="nil"/>
            </w:tcBorders>
            <w:vAlign w:val="center"/>
          </w:tcPr>
          <w:p>
            <w:pPr>
              <w:snapToGrid w:val="0"/>
              <w:spacing w:line="360" w:lineRule="auto"/>
              <w:jc w:val="center"/>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主观分/客观分属性</w:t>
            </w:r>
          </w:p>
        </w:tc>
        <w:tc>
          <w:tcPr>
            <w:tcW w:w="1350" w:type="dxa"/>
            <w:tcBorders>
              <w:tl2br w:val="nil"/>
              <w:tr2bl w:val="nil"/>
            </w:tcBorders>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Cs/>
                <w:color w:val="auto"/>
                <w:sz w:val="24"/>
                <w:highlight w:val="none"/>
              </w:rPr>
              <w:t>投标文件中评标标准相应的商务技术资料目录*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0" w:type="dxa"/>
            <w:vMerge w:val="restart"/>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bCs/>
                <w:color w:val="auto"/>
                <w:sz w:val="24"/>
                <w:highlight w:val="none"/>
              </w:rPr>
              <w:t>综合实力</w:t>
            </w:r>
          </w:p>
        </w:tc>
        <w:tc>
          <w:tcPr>
            <w:tcW w:w="5386" w:type="dxa"/>
            <w:tcBorders>
              <w:tl2br w:val="nil"/>
              <w:tr2bl w:val="nil"/>
            </w:tcBorders>
            <w:vAlign w:val="center"/>
          </w:tcPr>
          <w:p>
            <w:pPr>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color w:val="auto"/>
                <w:sz w:val="24"/>
                <w:highlight w:val="none"/>
              </w:rPr>
              <w:t>投标人具有有效期内质量管理体系认证证书、环境管理体系认证证书、职业健康安全管理体系认证证书、信息安全管理体系认证证书（认证范围须包含测绘航空摄影、摄影测量与遥感、地理信息系统工程）的，的，有1个得</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分，最高得</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分。</w:t>
            </w:r>
          </w:p>
          <w:p>
            <w:pPr>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说明：提供认证证书复印件并加盖公章，未提供不得分。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客观分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0" w:type="dxa"/>
            <w:vMerge w:val="continue"/>
            <w:tcBorders>
              <w:tl2br w:val="nil"/>
              <w:tr2bl w:val="nil"/>
            </w:tcBorders>
            <w:vAlign w:val="center"/>
          </w:tcPr>
          <w:p>
            <w:pPr>
              <w:spacing w:line="360" w:lineRule="auto"/>
              <w:rPr>
                <w:rFonts w:asciiTheme="minorEastAsia" w:hAnsiTheme="minorEastAsia" w:eastAsiaTheme="minorEastAsia"/>
                <w:color w:val="auto"/>
                <w:sz w:val="24"/>
                <w:highlight w:val="none"/>
              </w:rPr>
            </w:pP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投标人获得中国测绘学会或中国地理信息产业协会或行业主管部门或政府颁发的测绘类相关荣誉或表彰，每提供1份得1分，最高得3分，投标文件中提供相关证明材料，未提供的不得分。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客观分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95" w:hRule="atLeast"/>
          <w:jc w:val="center"/>
        </w:trPr>
        <w:tc>
          <w:tcPr>
            <w:tcW w:w="1510" w:type="dxa"/>
            <w:vMerge w:val="continue"/>
            <w:tcBorders>
              <w:tl2br w:val="nil"/>
              <w:tr2bl w:val="nil"/>
            </w:tcBorders>
            <w:vAlign w:val="center"/>
          </w:tcPr>
          <w:p>
            <w:pPr>
              <w:spacing w:line="360" w:lineRule="auto"/>
              <w:rPr>
                <w:rFonts w:asciiTheme="minorEastAsia" w:hAnsiTheme="minorEastAsia" w:eastAsiaTheme="minorEastAsia"/>
                <w:color w:val="auto"/>
                <w:sz w:val="24"/>
                <w:highlight w:val="none"/>
              </w:rPr>
            </w:pP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投标人具有地理信息、摄影测量与遥感或无人机采集相关的软件著作权登记证书的每个得0.2分，最高得2分。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说明：提供认证证书复印件并加盖公章，未提供不得分。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客观分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bCs/>
                <w:color w:val="auto"/>
                <w:sz w:val="24"/>
                <w:highlight w:val="none"/>
              </w:rPr>
              <w:t>2</w:t>
            </w:r>
            <w:r>
              <w:rPr>
                <w:rFonts w:hint="eastAsia" w:asciiTheme="minorEastAsia" w:hAnsiTheme="minorEastAsia" w:eastAsiaTheme="minorEastAsia"/>
                <w:bCs/>
                <w:color w:val="auto"/>
                <w:sz w:val="24"/>
                <w:highlight w:val="none"/>
              </w:rPr>
              <w:t>、相关业绩</w:t>
            </w:r>
          </w:p>
        </w:tc>
        <w:tc>
          <w:tcPr>
            <w:tcW w:w="5386" w:type="dxa"/>
            <w:tcBorders>
              <w:tl2br w:val="nil"/>
              <w:tr2bl w:val="nil"/>
            </w:tcBorders>
            <w:vAlign w:val="center"/>
          </w:tcPr>
          <w:p>
            <w:pPr>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color w:val="auto"/>
                <w:sz w:val="24"/>
                <w:highlight w:val="none"/>
              </w:rPr>
              <w:t>投标人自20</w:t>
            </w:r>
            <w:r>
              <w:rPr>
                <w:rFonts w:asciiTheme="minorEastAsia" w:hAnsiTheme="minorEastAsia" w:eastAsiaTheme="minorEastAsia"/>
                <w:color w:val="auto"/>
                <w:sz w:val="24"/>
                <w:highlight w:val="none"/>
              </w:rPr>
              <w:t>20</w:t>
            </w:r>
            <w:r>
              <w:rPr>
                <w:rFonts w:hint="eastAsia" w:asciiTheme="minorEastAsia" w:hAnsiTheme="minorEastAsia" w:eastAsiaTheme="minorEastAsia"/>
                <w:color w:val="auto"/>
                <w:sz w:val="24"/>
                <w:highlight w:val="none"/>
              </w:rPr>
              <w:t>年1月1日（含）（以合同签订时间为准）以来，承担过类似项目</w:t>
            </w:r>
            <w:r>
              <w:rPr>
                <w:rFonts w:hint="eastAsia"/>
                <w:color w:val="auto"/>
                <w:sz w:val="24"/>
                <w:highlight w:val="none"/>
                <w:lang w:bidi="ar"/>
              </w:rPr>
              <w:t>（地理实体生产类、三维模型生产类）</w:t>
            </w:r>
            <w:r>
              <w:rPr>
                <w:rFonts w:hint="eastAsia" w:asciiTheme="minorEastAsia" w:hAnsiTheme="minorEastAsia" w:eastAsiaTheme="minorEastAsia"/>
                <w:color w:val="auto"/>
                <w:sz w:val="24"/>
                <w:highlight w:val="none"/>
              </w:rPr>
              <w:t>业绩的有1个得0.</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分，最高得1分。</w:t>
            </w:r>
          </w:p>
          <w:p>
            <w:pPr>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说明：提供的服务合同或中标通知书复印件并加盖公章，否则不得分。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客观分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04"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bCs/>
                <w:color w:val="auto"/>
                <w:sz w:val="24"/>
                <w:highlight w:val="none"/>
              </w:rPr>
              <w:t>项目理解情况</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sz w:val="24"/>
              </w:rPr>
              <w:t>根据投标人提供对项目实际情况、工作内容、项目实施目标、项目建设内容的理解，对项目实际情况认知清晰，对项目实施目标理解准确到位、对项目建设内容分析透彻情况，得</w:t>
            </w:r>
            <w:r>
              <w:rPr>
                <w:rFonts w:asciiTheme="minorEastAsia" w:hAnsiTheme="minorEastAsia" w:eastAsiaTheme="minorEastAsia"/>
                <w:sz w:val="24"/>
              </w:rPr>
              <w:t>3</w:t>
            </w:r>
            <w:r>
              <w:rPr>
                <w:rFonts w:hint="eastAsia" w:asciiTheme="minorEastAsia" w:hAnsiTheme="minorEastAsia" w:eastAsiaTheme="minorEastAsia"/>
                <w:sz w:val="24"/>
              </w:rPr>
              <w:t>分；对项目理解和认知存在欠缺</w:t>
            </w:r>
            <w:r>
              <w:rPr>
                <w:rFonts w:asciiTheme="minorEastAsia" w:hAnsiTheme="minorEastAsia" w:eastAsiaTheme="minorEastAsia"/>
                <w:sz w:val="24"/>
              </w:rPr>
              <w:t>2</w:t>
            </w:r>
            <w:r>
              <w:rPr>
                <w:rFonts w:hint="eastAsia" w:asciiTheme="minorEastAsia" w:hAnsiTheme="minorEastAsia" w:eastAsiaTheme="minorEastAsia"/>
                <w:sz w:val="24"/>
              </w:rPr>
              <w:t>分；对项目的理解和认知匹配程度较低得</w:t>
            </w:r>
            <w:r>
              <w:rPr>
                <w:rFonts w:asciiTheme="minorEastAsia" w:hAnsiTheme="minorEastAsia" w:eastAsiaTheme="minorEastAsia"/>
                <w:sz w:val="24"/>
              </w:rPr>
              <w:t>1</w:t>
            </w:r>
            <w:r>
              <w:rPr>
                <w:rFonts w:hint="eastAsia" w:asciiTheme="minorEastAsia" w:hAnsiTheme="minorEastAsia" w:eastAsiaTheme="minorEastAsia"/>
                <w:sz w:val="24"/>
              </w:rPr>
              <w:t>分；未提供的不得分。</w:t>
            </w:r>
          </w:p>
        </w:tc>
        <w:tc>
          <w:tcPr>
            <w:tcW w:w="709" w:type="dxa"/>
            <w:tcBorders>
              <w:tl2br w:val="nil"/>
              <w:tr2bl w:val="nil"/>
            </w:tcBorders>
            <w:vAlign w:val="center"/>
          </w:tcPr>
          <w:p>
            <w:pPr>
              <w:spacing w:line="360" w:lineRule="auto"/>
              <w:jc w:val="center"/>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3</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2"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、技术服务方案</w:t>
            </w:r>
          </w:p>
        </w:tc>
        <w:tc>
          <w:tcPr>
            <w:tcW w:w="5386" w:type="dxa"/>
            <w:tcBorders>
              <w:tl2br w:val="nil"/>
              <w:tr2bl w:val="nil"/>
            </w:tcBorders>
            <w:vAlign w:val="center"/>
          </w:tcPr>
          <w:p>
            <w:pPr>
              <w:spacing w:line="360" w:lineRule="auto"/>
              <w:rPr>
                <w:rFonts w:cs="仿宋"/>
                <w:color w:val="auto"/>
                <w:sz w:val="24"/>
                <w:highlight w:val="none"/>
              </w:rPr>
            </w:pPr>
            <w:bookmarkStart w:id="519" w:name="_GoBack"/>
            <w:r>
              <w:rPr>
                <w:rFonts w:hint="eastAsia"/>
                <w:color w:val="auto"/>
                <w:sz w:val="24"/>
                <w:highlight w:val="none"/>
                <w:lang w:val="zh-TW"/>
              </w:rPr>
              <w:t>（1）针对“城市级地理场景生产”技术要求的相关具体编制方案的详细、完善、可行程度覆盖采购要求全部内容。完全满足</w:t>
            </w:r>
            <w:r>
              <w:rPr>
                <w:rFonts w:cs="仿宋"/>
                <w:color w:val="auto"/>
                <w:sz w:val="24"/>
                <w:highlight w:val="none"/>
              </w:rPr>
              <w:t>采购人需求的得</w:t>
            </w:r>
            <w:r>
              <w:rPr>
                <w:rFonts w:hint="eastAsia" w:cs="仿宋"/>
                <w:color w:val="auto"/>
                <w:sz w:val="24"/>
                <w:highlight w:val="none"/>
                <w:lang w:val="en-US" w:eastAsia="zh-CN"/>
              </w:rPr>
              <w:t>4</w:t>
            </w:r>
            <w:r>
              <w:rPr>
                <w:rFonts w:cs="仿宋"/>
                <w:color w:val="auto"/>
                <w:sz w:val="24"/>
                <w:highlight w:val="none"/>
              </w:rPr>
              <w:t>分，部分</w:t>
            </w:r>
            <w:r>
              <w:rPr>
                <w:rFonts w:hint="eastAsia" w:cs="仿宋"/>
                <w:color w:val="auto"/>
                <w:sz w:val="24"/>
                <w:highlight w:val="none"/>
              </w:rPr>
              <w:t>满足</w:t>
            </w:r>
            <w:r>
              <w:rPr>
                <w:rFonts w:cs="仿宋"/>
                <w:color w:val="auto"/>
                <w:sz w:val="24"/>
                <w:highlight w:val="none"/>
              </w:rPr>
              <w:t>的得</w:t>
            </w:r>
            <w:r>
              <w:rPr>
                <w:rFonts w:hint="eastAsia" w:cs="仿宋"/>
                <w:color w:val="auto"/>
                <w:sz w:val="24"/>
                <w:highlight w:val="none"/>
                <w:lang w:val="en-US" w:eastAsia="zh-CN"/>
              </w:rPr>
              <w:t>2</w:t>
            </w:r>
            <w:r>
              <w:rPr>
                <w:rFonts w:cs="仿宋"/>
                <w:color w:val="auto"/>
                <w:sz w:val="24"/>
                <w:highlight w:val="none"/>
              </w:rPr>
              <w:t>分，不</w:t>
            </w:r>
            <w:r>
              <w:rPr>
                <w:rFonts w:hint="eastAsia" w:cs="仿宋"/>
                <w:color w:val="auto"/>
                <w:sz w:val="24"/>
                <w:highlight w:val="none"/>
              </w:rPr>
              <w:t>满足</w:t>
            </w:r>
            <w:r>
              <w:rPr>
                <w:rFonts w:cs="仿宋"/>
                <w:color w:val="auto"/>
                <w:sz w:val="24"/>
                <w:highlight w:val="none"/>
              </w:rPr>
              <w:t>不得分</w:t>
            </w:r>
            <w:r>
              <w:rPr>
                <w:rFonts w:hint="eastAsia" w:cs="仿宋"/>
                <w:color w:val="auto"/>
                <w:sz w:val="24"/>
                <w:highlight w:val="none"/>
              </w:rPr>
              <w:t>；</w:t>
            </w:r>
          </w:p>
          <w:p>
            <w:pPr>
              <w:spacing w:line="360" w:lineRule="auto"/>
              <w:rPr>
                <w:color w:val="auto"/>
                <w:sz w:val="24"/>
                <w:highlight w:val="none"/>
                <w:lang w:val="zh-TW"/>
              </w:rPr>
            </w:pPr>
            <w:r>
              <w:rPr>
                <w:rFonts w:hint="eastAsia"/>
                <w:color w:val="auto"/>
                <w:sz w:val="24"/>
                <w:highlight w:val="none"/>
                <w:lang w:val="zh-TW"/>
              </w:rPr>
              <w:t>（2）针对“城市级基础地理实体生产”技术要求的相关具体编制方案的详细、完善、可行程度覆盖采购要求全部内容。完全满足</w:t>
            </w:r>
            <w:r>
              <w:rPr>
                <w:color w:val="auto"/>
                <w:sz w:val="24"/>
                <w:highlight w:val="none"/>
                <w:lang w:val="zh-TW"/>
              </w:rPr>
              <w:t>采购人需求的得</w:t>
            </w:r>
            <w:r>
              <w:rPr>
                <w:rFonts w:hint="eastAsia"/>
                <w:color w:val="auto"/>
                <w:sz w:val="24"/>
                <w:highlight w:val="none"/>
                <w:lang w:val="en-US" w:eastAsia="zh-CN"/>
              </w:rPr>
              <w:t>4</w:t>
            </w:r>
            <w:r>
              <w:rPr>
                <w:color w:val="auto"/>
                <w:sz w:val="24"/>
                <w:highlight w:val="none"/>
                <w:lang w:val="zh-TW"/>
              </w:rPr>
              <w:t>分，部分</w:t>
            </w:r>
            <w:r>
              <w:rPr>
                <w:rFonts w:hint="eastAsia"/>
                <w:color w:val="auto"/>
                <w:sz w:val="24"/>
                <w:highlight w:val="none"/>
                <w:lang w:val="zh-TW"/>
              </w:rPr>
              <w:t>满足</w:t>
            </w:r>
            <w:r>
              <w:rPr>
                <w:color w:val="auto"/>
                <w:sz w:val="24"/>
                <w:highlight w:val="none"/>
                <w:lang w:val="zh-TW"/>
              </w:rPr>
              <w:t>的得</w:t>
            </w:r>
            <w:r>
              <w:rPr>
                <w:rFonts w:hint="eastAsia"/>
                <w:color w:val="auto"/>
                <w:sz w:val="24"/>
                <w:highlight w:val="none"/>
                <w:lang w:val="en-US" w:eastAsia="zh-CN"/>
              </w:rPr>
              <w:t>2</w:t>
            </w:r>
            <w:r>
              <w:rPr>
                <w:color w:val="auto"/>
                <w:sz w:val="24"/>
                <w:highlight w:val="none"/>
                <w:lang w:val="zh-TW"/>
              </w:rPr>
              <w:t>分，不</w:t>
            </w:r>
            <w:r>
              <w:rPr>
                <w:rFonts w:hint="eastAsia"/>
                <w:color w:val="auto"/>
                <w:sz w:val="24"/>
                <w:highlight w:val="none"/>
                <w:lang w:val="zh-TW"/>
              </w:rPr>
              <w:t>满足</w:t>
            </w:r>
            <w:r>
              <w:rPr>
                <w:color w:val="auto"/>
                <w:sz w:val="24"/>
                <w:highlight w:val="none"/>
                <w:lang w:val="zh-TW"/>
              </w:rPr>
              <w:t>不得分</w:t>
            </w:r>
            <w:r>
              <w:rPr>
                <w:rFonts w:hint="eastAsia"/>
                <w:color w:val="auto"/>
                <w:sz w:val="24"/>
                <w:highlight w:val="none"/>
                <w:lang w:val="zh-TW"/>
              </w:rPr>
              <w:t>；</w:t>
            </w:r>
          </w:p>
          <w:p>
            <w:pPr>
              <w:spacing w:line="360" w:lineRule="auto"/>
              <w:rPr>
                <w:color w:val="auto"/>
                <w:sz w:val="24"/>
                <w:highlight w:val="none"/>
                <w:lang w:val="zh-TW"/>
              </w:rPr>
            </w:pPr>
            <w:r>
              <w:rPr>
                <w:rFonts w:hint="eastAsia"/>
                <w:color w:val="auto"/>
                <w:sz w:val="24"/>
                <w:highlight w:val="none"/>
                <w:lang w:val="zh-TW"/>
              </w:rPr>
              <w:t>（3）针对“城市三维模型快速构建”技术要求的相关具体编制方案的详细、完善、可行程度覆盖采购要求全部内容。完全满足</w:t>
            </w:r>
            <w:r>
              <w:rPr>
                <w:color w:val="auto"/>
                <w:sz w:val="24"/>
                <w:highlight w:val="none"/>
                <w:lang w:val="zh-TW"/>
              </w:rPr>
              <w:t>采购人需求的得</w:t>
            </w:r>
            <w:r>
              <w:rPr>
                <w:rFonts w:hint="eastAsia"/>
                <w:color w:val="auto"/>
                <w:sz w:val="24"/>
                <w:highlight w:val="none"/>
                <w:lang w:val="en-US" w:eastAsia="zh-CN"/>
              </w:rPr>
              <w:t>4</w:t>
            </w:r>
            <w:r>
              <w:rPr>
                <w:color w:val="auto"/>
                <w:sz w:val="24"/>
                <w:highlight w:val="none"/>
                <w:lang w:val="zh-TW"/>
              </w:rPr>
              <w:t>分，部分</w:t>
            </w:r>
            <w:r>
              <w:rPr>
                <w:rFonts w:hint="eastAsia"/>
                <w:color w:val="auto"/>
                <w:sz w:val="24"/>
                <w:highlight w:val="none"/>
                <w:lang w:val="zh-TW"/>
              </w:rPr>
              <w:t>满足</w:t>
            </w:r>
            <w:r>
              <w:rPr>
                <w:color w:val="auto"/>
                <w:sz w:val="24"/>
                <w:highlight w:val="none"/>
                <w:lang w:val="zh-TW"/>
              </w:rPr>
              <w:t>的得</w:t>
            </w:r>
            <w:r>
              <w:rPr>
                <w:rFonts w:hint="eastAsia"/>
                <w:color w:val="auto"/>
                <w:sz w:val="24"/>
                <w:highlight w:val="none"/>
                <w:lang w:val="en-US" w:eastAsia="zh-CN"/>
              </w:rPr>
              <w:t>2</w:t>
            </w:r>
            <w:r>
              <w:rPr>
                <w:color w:val="auto"/>
                <w:sz w:val="24"/>
                <w:highlight w:val="none"/>
                <w:lang w:val="zh-TW"/>
              </w:rPr>
              <w:t>分，不</w:t>
            </w:r>
            <w:r>
              <w:rPr>
                <w:rFonts w:hint="eastAsia"/>
                <w:color w:val="auto"/>
                <w:sz w:val="24"/>
                <w:highlight w:val="none"/>
                <w:lang w:val="zh-TW"/>
              </w:rPr>
              <w:t>满足</w:t>
            </w:r>
            <w:r>
              <w:rPr>
                <w:color w:val="auto"/>
                <w:sz w:val="24"/>
                <w:highlight w:val="none"/>
                <w:lang w:val="zh-TW"/>
              </w:rPr>
              <w:t>不得分</w:t>
            </w:r>
            <w:r>
              <w:rPr>
                <w:rFonts w:hint="eastAsia"/>
                <w:color w:val="auto"/>
                <w:sz w:val="24"/>
                <w:highlight w:val="none"/>
                <w:lang w:val="zh-TW"/>
              </w:rPr>
              <w:t>；</w:t>
            </w:r>
          </w:p>
          <w:bookmarkEnd w:id="519"/>
          <w:p>
            <w:pPr>
              <w:spacing w:line="360" w:lineRule="auto"/>
              <w:rPr>
                <w:color w:val="auto"/>
                <w:sz w:val="24"/>
                <w:highlight w:val="none"/>
                <w:lang w:val="zh-TW"/>
              </w:rPr>
            </w:pPr>
            <w:r>
              <w:rPr>
                <w:rFonts w:hint="eastAsia"/>
                <w:color w:val="auto"/>
                <w:sz w:val="24"/>
                <w:highlight w:val="none"/>
                <w:lang w:val="zh-TW"/>
              </w:rPr>
              <w:t>（4）针对“城市级实景三维模型构建”技术要求的相关具体编制方案的详细、完善、可行程度覆盖采购要求全部内容。完全满足</w:t>
            </w:r>
            <w:r>
              <w:rPr>
                <w:color w:val="auto"/>
                <w:sz w:val="24"/>
                <w:highlight w:val="none"/>
                <w:lang w:val="zh-TW"/>
              </w:rPr>
              <w:t>采购人需求的得</w:t>
            </w:r>
            <w:r>
              <w:rPr>
                <w:rFonts w:eastAsia="PMingLiU"/>
                <w:color w:val="auto"/>
                <w:sz w:val="24"/>
                <w:highlight w:val="none"/>
                <w:lang w:eastAsia="zh-TW"/>
              </w:rPr>
              <w:t>3</w:t>
            </w:r>
            <w:r>
              <w:rPr>
                <w:color w:val="auto"/>
                <w:sz w:val="24"/>
                <w:highlight w:val="none"/>
                <w:lang w:val="zh-TW"/>
              </w:rPr>
              <w:t>分，部分</w:t>
            </w:r>
            <w:r>
              <w:rPr>
                <w:rFonts w:hint="eastAsia"/>
                <w:color w:val="auto"/>
                <w:sz w:val="24"/>
                <w:highlight w:val="none"/>
                <w:lang w:val="zh-TW"/>
              </w:rPr>
              <w:t>满足</w:t>
            </w:r>
            <w:r>
              <w:rPr>
                <w:color w:val="auto"/>
                <w:sz w:val="24"/>
                <w:highlight w:val="none"/>
                <w:lang w:val="zh-TW"/>
              </w:rPr>
              <w:t>的得</w:t>
            </w:r>
            <w:r>
              <w:rPr>
                <w:rFonts w:hint="eastAsia"/>
                <w:color w:val="auto"/>
                <w:sz w:val="24"/>
                <w:highlight w:val="none"/>
                <w:lang w:val="zh-TW"/>
              </w:rPr>
              <w:t>1</w:t>
            </w:r>
            <w:r>
              <w:rPr>
                <w:color w:val="auto"/>
                <w:sz w:val="24"/>
                <w:highlight w:val="none"/>
              </w:rPr>
              <w:t>.5</w:t>
            </w:r>
            <w:r>
              <w:rPr>
                <w:color w:val="auto"/>
                <w:sz w:val="24"/>
                <w:highlight w:val="none"/>
                <w:lang w:val="zh-TW"/>
              </w:rPr>
              <w:t>分，不符合不得分。</w:t>
            </w:r>
          </w:p>
          <w:p>
            <w:pPr>
              <w:spacing w:line="360" w:lineRule="auto"/>
              <w:rPr>
                <w:color w:val="auto"/>
                <w:sz w:val="24"/>
                <w:highlight w:val="none"/>
              </w:rPr>
            </w:pPr>
            <w:r>
              <w:rPr>
                <w:rFonts w:hint="eastAsia"/>
                <w:color w:val="auto"/>
                <w:sz w:val="24"/>
                <w:highlight w:val="none"/>
                <w:lang w:val="zh-TW"/>
              </w:rPr>
              <w:t>（</w:t>
            </w:r>
            <w:r>
              <w:rPr>
                <w:rFonts w:hint="eastAsia"/>
                <w:color w:val="auto"/>
                <w:sz w:val="24"/>
                <w:highlight w:val="none"/>
                <w:lang w:val="en-US" w:eastAsia="zh-CN"/>
              </w:rPr>
              <w:t>5</w:t>
            </w:r>
            <w:r>
              <w:rPr>
                <w:rFonts w:hint="eastAsia"/>
                <w:color w:val="auto"/>
                <w:sz w:val="24"/>
                <w:highlight w:val="none"/>
                <w:lang w:val="zh-TW"/>
              </w:rPr>
              <w:t>）基于项目现状提交的整体技术设计书目录及初步技术设计方案的合理性、项目亮点的打造及对应的工程技术措施合理。内容完善亮点突出可实施性强视为完全满足采购人需求得</w:t>
            </w:r>
            <w:r>
              <w:rPr>
                <w:color w:val="auto"/>
                <w:sz w:val="24"/>
                <w:highlight w:val="none"/>
                <w:lang w:val="zh-TW" w:eastAsia="zh-TW"/>
              </w:rPr>
              <w:t>3</w:t>
            </w:r>
            <w:r>
              <w:rPr>
                <w:rFonts w:hint="eastAsia"/>
                <w:color w:val="auto"/>
                <w:sz w:val="24"/>
                <w:highlight w:val="none"/>
                <w:lang w:val="zh-TW"/>
              </w:rPr>
              <w:t>分，</w:t>
            </w:r>
            <w:r>
              <w:rPr>
                <w:color w:val="auto"/>
                <w:sz w:val="24"/>
                <w:highlight w:val="none"/>
                <w:lang w:val="zh-TW"/>
              </w:rPr>
              <w:t>部分</w:t>
            </w:r>
            <w:r>
              <w:rPr>
                <w:rFonts w:hint="eastAsia"/>
                <w:color w:val="auto"/>
                <w:sz w:val="24"/>
                <w:highlight w:val="none"/>
                <w:lang w:val="zh-TW"/>
              </w:rPr>
              <w:t>满足</w:t>
            </w:r>
            <w:r>
              <w:rPr>
                <w:color w:val="auto"/>
                <w:sz w:val="24"/>
                <w:highlight w:val="none"/>
                <w:lang w:val="zh-TW"/>
              </w:rPr>
              <w:t>的得</w:t>
            </w:r>
            <w:r>
              <w:rPr>
                <w:color w:val="auto"/>
                <w:sz w:val="24"/>
                <w:highlight w:val="none"/>
                <w:lang w:val="zh-TW" w:eastAsia="zh-TW"/>
              </w:rPr>
              <w:t>1</w:t>
            </w:r>
            <w:r>
              <w:rPr>
                <w:color w:val="auto"/>
                <w:sz w:val="24"/>
                <w:highlight w:val="none"/>
                <w:lang w:eastAsia="zh-TW"/>
              </w:rPr>
              <w:t>.5</w:t>
            </w:r>
            <w:r>
              <w:rPr>
                <w:color w:val="auto"/>
                <w:sz w:val="24"/>
                <w:highlight w:val="none"/>
                <w:lang w:val="zh-TW"/>
              </w:rPr>
              <w:t>分，不</w:t>
            </w:r>
            <w:r>
              <w:rPr>
                <w:rFonts w:hint="eastAsia"/>
                <w:color w:val="auto"/>
                <w:sz w:val="24"/>
                <w:highlight w:val="none"/>
                <w:lang w:val="zh-TW"/>
              </w:rPr>
              <w:t>满足</w:t>
            </w:r>
            <w:r>
              <w:rPr>
                <w:color w:val="auto"/>
                <w:sz w:val="24"/>
                <w:highlight w:val="none"/>
                <w:lang w:val="zh-TW"/>
              </w:rPr>
              <w:t>不得分。</w:t>
            </w:r>
          </w:p>
        </w:tc>
        <w:tc>
          <w:tcPr>
            <w:tcW w:w="709" w:type="dxa"/>
            <w:tcBorders>
              <w:tl2br w:val="nil"/>
              <w:tr2bl w:val="nil"/>
            </w:tcBorders>
            <w:vAlign w:val="center"/>
          </w:tcPr>
          <w:p>
            <w:pPr>
              <w:spacing w:line="360" w:lineRule="auto"/>
              <w:jc w:val="center"/>
              <w:rPr>
                <w:rFonts w:hint="eastAsia" w:asciiTheme="minorEastAsia" w:hAnsiTheme="minorEastAsia" w:eastAsiaTheme="minorEastAsia"/>
                <w:color w:val="auto"/>
                <w:sz w:val="24"/>
                <w:highlight w:val="none"/>
                <w:lang w:val="en-US" w:eastAsia="zh-CN"/>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8</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2"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bCs/>
                <w:color w:val="auto"/>
                <w:sz w:val="24"/>
                <w:highlight w:val="none"/>
              </w:rPr>
              <w:t>进度保证措施</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根据投标人针对本项目实施的进度计划安排、组织机构安排，包括详细的各时间节点完成的工作任务、与该任务所匹配的人力资源配合、进度保障进行评分，进度保证措施合理且完全满足需求的得</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分；进度及保障措施有欠缺的得</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分；进度及保障措施与项目匹配度较低的得</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分；未提供不得分。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bCs/>
                <w:color w:val="auto"/>
                <w:sz w:val="24"/>
                <w:highlight w:val="none"/>
              </w:rPr>
              <w:t>质量保证措施</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根据投标人针对本项目制定的质量管理目标、质量保证措施体系、服务承诺以及服务承诺落实的保障措施合理性和先进性，由评委进行打分（须具有详细的实施内容），具体目标及措施合理且符合项目的得</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分；目标及措施有欠缺的得</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分；具体目标及措施与项目匹配度较低的得</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分；未提供不得分。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7</w:t>
            </w:r>
            <w:r>
              <w:rPr>
                <w:rFonts w:hint="eastAsia" w:asciiTheme="minorEastAsia" w:hAnsiTheme="minorEastAsia" w:eastAsiaTheme="minorEastAsia"/>
                <w:color w:val="auto"/>
                <w:sz w:val="24"/>
                <w:highlight w:val="none"/>
              </w:rPr>
              <w:t>、安全保证措施</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根据投标人提供的针对本项目实施过程中基于数据采集人员安全管理的解决方案的合理性、可行性。完全满足采购人要求得</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分，部分满足得</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.5分，不满足不得分。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8</w:t>
            </w:r>
            <w:r>
              <w:rPr>
                <w:rFonts w:hint="eastAsia" w:asciiTheme="minorEastAsia" w:hAnsiTheme="minorEastAsia" w:eastAsiaTheme="minorEastAsia"/>
                <w:color w:val="auto"/>
                <w:sz w:val="24"/>
                <w:highlight w:val="none"/>
              </w:rPr>
              <w:t>、仪器设备</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根据拟投入适用于本次</w:t>
            </w:r>
            <w:r>
              <w:rPr>
                <w:rFonts w:hint="eastAsia"/>
                <w:color w:val="auto"/>
                <w:sz w:val="24"/>
                <w:highlight w:val="none"/>
              </w:rPr>
              <w:t>三维模型构建</w:t>
            </w:r>
            <w:r>
              <w:rPr>
                <w:rFonts w:hint="eastAsia"/>
                <w:color w:val="auto"/>
                <w:sz w:val="24"/>
                <w:highlight w:val="none"/>
                <w:lang w:bidi="ar"/>
              </w:rPr>
              <w:t>要求</w:t>
            </w:r>
            <w:r>
              <w:rPr>
                <w:rFonts w:hint="eastAsia" w:asciiTheme="minorEastAsia" w:hAnsiTheme="minorEastAsia" w:eastAsiaTheme="minorEastAsia"/>
                <w:color w:val="auto"/>
                <w:sz w:val="24"/>
                <w:highlight w:val="none"/>
              </w:rPr>
              <w:t>的仪器种类、数量、质量及先进性情况：</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（1）投标人针对本项目可投入使用的无人直升机或多旋翼、固定翼无人机超过1</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架（含1</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架）得</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分，数量8架-1</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架（含8架）得</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分，数量</w:t>
            </w: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架-</w:t>
            </w:r>
            <w:r>
              <w:rPr>
                <w:rFonts w:asciiTheme="minorEastAsia" w:hAnsiTheme="minorEastAsia" w:eastAsiaTheme="minorEastAsia"/>
                <w:color w:val="auto"/>
                <w:sz w:val="24"/>
                <w:highlight w:val="none"/>
              </w:rPr>
              <w:t>8</w:t>
            </w:r>
            <w:r>
              <w:rPr>
                <w:rFonts w:hint="eastAsia" w:asciiTheme="minorEastAsia" w:hAnsiTheme="minorEastAsia" w:eastAsiaTheme="minorEastAsia"/>
                <w:color w:val="auto"/>
                <w:sz w:val="24"/>
                <w:highlight w:val="none"/>
              </w:rPr>
              <w:t>架（含</w:t>
            </w: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架）得</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分，数量不足</w:t>
            </w: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架得</w:t>
            </w:r>
            <w:r>
              <w:rPr>
                <w:rFonts w:asciiTheme="minorEastAsia" w:hAnsiTheme="minorEastAsia" w:eastAsiaTheme="minorEastAsia"/>
                <w:color w:val="auto"/>
                <w:sz w:val="24"/>
                <w:highlight w:val="none"/>
              </w:rPr>
              <w:t>0.5</w:t>
            </w:r>
            <w:r>
              <w:rPr>
                <w:rFonts w:hint="eastAsia" w:asciiTheme="minorEastAsia" w:hAnsiTheme="minorEastAsia" w:eastAsiaTheme="minorEastAsia"/>
                <w:color w:val="auto"/>
                <w:sz w:val="24"/>
                <w:highlight w:val="none"/>
              </w:rPr>
              <w:t>分，没有不得分。</w:t>
            </w:r>
          </w:p>
          <w:p>
            <w:pPr>
              <w:spacing w:line="360" w:lineRule="auto"/>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说明：须提供相关证明材料，包括采购发票，不提供不得分。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（2）投标人拥有影像数据拼接、融合、建模、镶嵌处理工具，能够满足图像处理及三维模型构建要求，每拥有1种处理系统，得0.5分，最高得</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分，没有不得分。</w:t>
            </w:r>
          </w:p>
          <w:p>
            <w:pPr>
              <w:spacing w:line="360" w:lineRule="auto"/>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说明：提供数据处理工具的产品截图和工具购买的证明材料复印件。</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9</w:t>
            </w:r>
            <w:r>
              <w:rPr>
                <w:rFonts w:hint="eastAsia" w:asciiTheme="minorEastAsia" w:hAnsiTheme="minorEastAsia" w:eastAsiaTheme="minorEastAsia"/>
                <w:color w:val="auto"/>
                <w:sz w:val="24"/>
                <w:highlight w:val="none"/>
              </w:rPr>
              <w:t>、人员培训</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根据投标人针对本项目实施人员的培训计划的合理性，须详细列明培训时间、地点、培训时长、培训次数等，培训方案完全满足采购人要求得</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分，部分满足得</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.5分，不满足不得分。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10</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bCs/>
                <w:color w:val="auto"/>
                <w:sz w:val="24"/>
                <w:highlight w:val="none"/>
              </w:rPr>
              <w:t>项目应急响应方案</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根据投标人提供的项目应急响应方案及措施的合理性、完善性进行评分。提供稳定详细的应急服务措施，方案内容完善的得</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分；提供的应急方案不全且应急措施有缺陷的得</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分；提供的应急方案与措施与本项目实施匹配程度较低得</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分；未提供不得分。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11</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bCs/>
                <w:color w:val="auto"/>
                <w:sz w:val="24"/>
                <w:highlight w:val="none"/>
              </w:rPr>
              <w:t>关键技术方案</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根据投标人针对提升核合格率、优良品率提供的关键技术解决方案进行评分，方案科学合理并能完全满足采购人要求得</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分，部分满足得</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分，不满足不得分。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12</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bCs/>
                <w:color w:val="auto"/>
                <w:sz w:val="24"/>
                <w:highlight w:val="none"/>
              </w:rPr>
              <w:t>内部管理制度</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根据投标人提供的各项公众制度、内部岗位责任制度、管理运作制度、管理人员考核制度及标准，要求符合规范，科学合理，并能有效实施；完全满足采购人要求得</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分，部分满足得</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.5分，不满足不得分。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bCs/>
                <w:color w:val="auto"/>
                <w:sz w:val="24"/>
                <w:highlight w:val="none"/>
              </w:rPr>
              <w:t>资料数据保密措施</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根据投标人提供的项目实施过程及项目成果的数据保密管理制度的明确性、合理性内容进行打分，保密措施合理的得</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分；保密措施较为合理的得</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分；保密措施较差的得</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分；不提供不得分。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0" w:hRule="atLeast"/>
          <w:jc w:val="center"/>
        </w:trPr>
        <w:tc>
          <w:tcPr>
            <w:tcW w:w="1510" w:type="dxa"/>
            <w:vMerge w:val="restart"/>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14</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bCs/>
                <w:color w:val="auto"/>
                <w:sz w:val="24"/>
                <w:highlight w:val="none"/>
              </w:rPr>
              <w:t>项目小组人员配置方案</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项目负责人：同时具有国家注册测绘师和正高级工程师职称（摄影测量与遥感专业类）的得</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客观分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3" w:hRule="atLeast"/>
          <w:jc w:val="center"/>
        </w:trPr>
        <w:tc>
          <w:tcPr>
            <w:tcW w:w="1510" w:type="dxa"/>
            <w:vMerge w:val="continue"/>
            <w:tcBorders>
              <w:tl2br w:val="nil"/>
              <w:tr2bl w:val="nil"/>
            </w:tcBorders>
            <w:vAlign w:val="center"/>
          </w:tcPr>
          <w:p>
            <w:pPr>
              <w:spacing w:line="360" w:lineRule="auto"/>
              <w:rPr>
                <w:rFonts w:asciiTheme="minorEastAsia" w:hAnsiTheme="minorEastAsia" w:eastAsiaTheme="minorEastAsia"/>
                <w:color w:val="auto"/>
                <w:sz w:val="24"/>
                <w:highlight w:val="none"/>
              </w:rPr>
            </w:pP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拟派项目组成员（项目负责人除外）：</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（1）具有注册测绘师执业资格证书的每人得1分，最高得</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分；具有高级职称证书（测绘或地理信息类）的每人得1分，最高得</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分；同一人员不重复计分，本项最高得5分。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）具有无人机驾驶执照A</w:t>
            </w:r>
            <w:r>
              <w:rPr>
                <w:rFonts w:asciiTheme="minorEastAsia" w:hAnsiTheme="minorEastAsia" w:eastAsiaTheme="minorEastAsia"/>
                <w:color w:val="auto"/>
                <w:sz w:val="24"/>
                <w:highlight w:val="none"/>
              </w:rPr>
              <w:t>OPA</w:t>
            </w:r>
            <w:r>
              <w:rPr>
                <w:rFonts w:hint="eastAsia" w:asciiTheme="minorEastAsia" w:hAnsiTheme="minorEastAsia" w:eastAsiaTheme="minorEastAsia"/>
                <w:color w:val="auto"/>
                <w:sz w:val="24"/>
                <w:highlight w:val="none"/>
              </w:rPr>
              <w:t>的，每人得0.5分，最高得</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）具有涉密测绘成果管理人员岗位培训证书持证人员，每人0.</w:t>
            </w: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人，最高得</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）具有测绘成果质量检查培训证书的，每人得</w:t>
            </w:r>
            <w:r>
              <w:rPr>
                <w:rFonts w:asciiTheme="minorEastAsia" w:hAnsiTheme="minorEastAsia" w:eastAsiaTheme="minorEastAsia"/>
                <w:color w:val="auto"/>
                <w:sz w:val="24"/>
                <w:highlight w:val="none"/>
              </w:rPr>
              <w:t>0.5</w:t>
            </w:r>
            <w:r>
              <w:rPr>
                <w:rFonts w:hint="eastAsia" w:asciiTheme="minorEastAsia" w:hAnsiTheme="minorEastAsia" w:eastAsiaTheme="minorEastAsia"/>
                <w:color w:val="auto"/>
                <w:sz w:val="24"/>
                <w:highlight w:val="none"/>
              </w:rPr>
              <w:t>分，最高得</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说明：提供人员相关证书复印件及近三个月社保缴纳证明材料或劳动合同复印件并加盖公章，未提供不得分。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10</w:t>
            </w:r>
          </w:p>
        </w:tc>
        <w:tc>
          <w:tcPr>
            <w:tcW w:w="1060" w:type="dxa"/>
            <w:tcBorders>
              <w:tl2br w:val="nil"/>
              <w:tr2bl w:val="nil"/>
            </w:tcBorders>
            <w:vAlign w:val="center"/>
          </w:tcPr>
          <w:p>
            <w:pPr>
              <w:spacing w:line="36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客观分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15</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bCs/>
                <w:color w:val="auto"/>
                <w:sz w:val="24"/>
                <w:highlight w:val="none"/>
              </w:rPr>
              <w:t>建议与意见</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根据投标人针对本项目工作提出的合理化建议综合评分，每提出一条合理化建议得1分，最高得</w:t>
            </w:r>
            <w:r>
              <w:rPr>
                <w:rFonts w:hint="eastAsia" w:asciiTheme="minorEastAsia" w:hAnsiTheme="minorEastAsia" w:eastAsiaTheme="minorEastAsia"/>
                <w:color w:val="auto"/>
                <w:sz w:val="24"/>
                <w:highlight w:val="none"/>
                <w:lang w:val="en-US" w:eastAsia="zh-CN"/>
              </w:rPr>
              <w:t>3</w:t>
            </w:r>
            <w:r>
              <w:rPr>
                <w:rFonts w:hint="eastAsia" w:asciiTheme="minorEastAsia" w:hAnsiTheme="minorEastAsia" w:eastAsiaTheme="minorEastAsia"/>
                <w:color w:val="auto"/>
                <w:sz w:val="24"/>
                <w:highlight w:val="none"/>
              </w:rPr>
              <w:t xml:space="preserve">分。 </w:t>
            </w:r>
          </w:p>
        </w:tc>
        <w:tc>
          <w:tcPr>
            <w:tcW w:w="709" w:type="dxa"/>
            <w:tcBorders>
              <w:tl2br w:val="nil"/>
              <w:tr2bl w:val="nil"/>
            </w:tcBorders>
            <w:vAlign w:val="center"/>
          </w:tcPr>
          <w:p>
            <w:pPr>
              <w:spacing w:line="360" w:lineRule="auto"/>
              <w:jc w:val="center"/>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3</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bCs/>
                <w:color w:val="auto"/>
                <w:sz w:val="24"/>
                <w:highlight w:val="none"/>
              </w:rPr>
              <w:t>售后服务方案</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根据供应商提供的对项目的售后技术服务的承诺：后期服务内容、措施适当（如与采购人完成项目后的资料响应性与配合度）、承诺明确并且合理性评分，承诺合理，措施得当的得</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分，承诺较为合理，措施较为得当的得</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分；承诺及措施与项目匹配度较低的得1分；未提出承诺不得分。</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7</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方案讲解演示</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①参与投标方案现场讲解得4分；</w:t>
            </w:r>
            <w:r>
              <w:rPr>
                <w:rFonts w:asciiTheme="minorEastAsia" w:hAnsiTheme="minorEastAsia" w:eastAsiaTheme="minorEastAsia"/>
                <w:color w:val="auto"/>
                <w:sz w:val="24"/>
                <w:highlight w:val="none"/>
              </w:rPr>
              <w:t>②对</w:t>
            </w:r>
            <w:r>
              <w:rPr>
                <w:rFonts w:hint="eastAsia" w:asciiTheme="minorEastAsia" w:hAnsiTheme="minorEastAsia" w:eastAsiaTheme="minorEastAsia"/>
                <w:color w:val="auto"/>
                <w:sz w:val="24"/>
                <w:highlight w:val="none"/>
              </w:rPr>
              <w:t>本项目采购内容等情况全面熟悉；</w:t>
            </w:r>
            <w:r>
              <w:rPr>
                <w:rFonts w:asciiTheme="minorEastAsia" w:hAnsiTheme="minorEastAsia" w:eastAsiaTheme="minorEastAsia"/>
                <w:color w:val="auto"/>
                <w:sz w:val="24"/>
                <w:highlight w:val="none"/>
              </w:rPr>
              <w:t>对投标人自身的介绍情况、项目实施和管理优势等方面因素阐述清晰、完整（4</w:t>
            </w:r>
            <w:r>
              <w:rPr>
                <w:rFonts w:hint="eastAsia" w:asciiTheme="minorEastAsia" w:hAnsiTheme="minorEastAsia" w:eastAsiaTheme="minorEastAsia"/>
                <w:color w:val="auto"/>
                <w:sz w:val="24"/>
                <w:highlight w:val="none"/>
              </w:rPr>
              <w:t>分）；</w:t>
            </w:r>
            <w:r>
              <w:rPr>
                <w:rFonts w:asciiTheme="minorEastAsia" w:hAnsiTheme="minorEastAsia" w:eastAsiaTheme="minorEastAsia"/>
                <w:color w:val="auto"/>
                <w:sz w:val="24"/>
                <w:highlight w:val="none"/>
              </w:rPr>
              <w:t>③</w:t>
            </w:r>
            <w:r>
              <w:rPr>
                <w:rFonts w:hint="eastAsia" w:asciiTheme="minorEastAsia" w:hAnsiTheme="minorEastAsia" w:eastAsiaTheme="minorEastAsia"/>
                <w:color w:val="auto"/>
                <w:sz w:val="24"/>
                <w:highlight w:val="none"/>
              </w:rPr>
              <w:t>对专家提出的问题回答是否全面、科学、合理（</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说明</w:t>
            </w:r>
            <w:r>
              <w:rPr>
                <w:rFonts w:asciiTheme="minorEastAsia" w:hAnsiTheme="minorEastAsia" w:eastAsiaTheme="minorEastAsia"/>
                <w:color w:val="auto"/>
                <w:sz w:val="24"/>
                <w:highlight w:val="none"/>
              </w:rPr>
              <w:t>:提供讲解人员在投标单位</w:t>
            </w:r>
            <w:r>
              <w:rPr>
                <w:rFonts w:hint="eastAsia" w:asciiTheme="minorEastAsia" w:hAnsiTheme="minorEastAsia" w:eastAsiaTheme="minorEastAsia"/>
                <w:color w:val="auto"/>
                <w:sz w:val="24"/>
                <w:highlight w:val="none"/>
              </w:rPr>
              <w:t>近三个月社保缴纳记录或者提供投标人和现场讲解人员共同出具的保证能在本项目服务期间专职为本项目服务的承诺函，否则不得分。</w:t>
            </w:r>
            <w:r>
              <w:rPr>
                <w:rFonts w:asciiTheme="minorEastAsia" w:hAnsiTheme="minorEastAsia" w:eastAsiaTheme="minorEastAsia"/>
                <w:color w:val="auto"/>
                <w:sz w:val="24"/>
                <w:highlight w:val="none"/>
              </w:rPr>
              <w:br w:type="page"/>
            </w:r>
            <w:r>
              <w:rPr>
                <w:rFonts w:asciiTheme="minorEastAsia" w:hAnsiTheme="minorEastAsia" w:eastAsiaTheme="minorEastAsia"/>
                <w:color w:val="auto"/>
                <w:sz w:val="24"/>
                <w:highlight w:val="none"/>
              </w:rPr>
              <w:br w:type="page"/>
            </w:r>
            <w:r>
              <w:rPr>
                <w:rFonts w:asciiTheme="minorEastAsia" w:hAnsiTheme="minorEastAsia" w:eastAsiaTheme="minorEastAsia"/>
                <w:color w:val="auto"/>
                <w:sz w:val="24"/>
                <w:highlight w:val="none"/>
              </w:rPr>
              <w:br w:type="page"/>
            </w:r>
            <w:r>
              <w:rPr>
                <w:rFonts w:asciiTheme="minorEastAsia" w:hAnsiTheme="minorEastAsia" w:eastAsiaTheme="minorEastAsia"/>
                <w:color w:val="auto"/>
                <w:sz w:val="24"/>
                <w:highlight w:val="none"/>
              </w:rPr>
              <w:br w:type="page"/>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10</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主观分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10"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1</w:t>
            </w:r>
            <w:r>
              <w:rPr>
                <w:rFonts w:asciiTheme="minorEastAsia" w:hAnsiTheme="minorEastAsia" w:eastAsiaTheme="minorEastAsia"/>
                <w:bCs/>
                <w:color w:val="auto"/>
                <w:sz w:val="24"/>
                <w:highlight w:val="none"/>
              </w:rPr>
              <w:t>8</w:t>
            </w:r>
            <w:r>
              <w:rPr>
                <w:rFonts w:hint="eastAsia" w:asciiTheme="minorEastAsia" w:hAnsiTheme="minorEastAsia" w:eastAsiaTheme="minorEastAsia"/>
                <w:bCs/>
                <w:color w:val="auto"/>
                <w:sz w:val="24"/>
                <w:highlight w:val="none"/>
              </w:rPr>
              <w:t>、价格分</w:t>
            </w:r>
          </w:p>
        </w:tc>
        <w:tc>
          <w:tcPr>
            <w:tcW w:w="5386" w:type="dxa"/>
            <w:tcBorders>
              <w:tl2br w:val="nil"/>
              <w:tr2bl w:val="nil"/>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有效投标报价的最低价作为评标基准价，其最低报价为满分；按［投标报价得分=（评标基准价/投标报价）*10］的计算公式计算，保留两位小数，后一位四舍五入。</w:t>
            </w:r>
          </w:p>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评标过程中，不得去掉报价中的最高报价和最低报价。</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对于未预留份额专门面向中小企业的政府采购服务项目，以及预留份额政府采购服务项目中的非预留部分标项，对小型和微型企业的投标报价给予</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%的扣除，用扣除后的价格参加评审。</w:t>
            </w:r>
          </w:p>
        </w:tc>
        <w:tc>
          <w:tcPr>
            <w:tcW w:w="709"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p>
        </w:tc>
        <w:tc>
          <w:tcPr>
            <w:tcW w:w="106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客观分</w:t>
            </w:r>
          </w:p>
        </w:tc>
        <w:tc>
          <w:tcPr>
            <w:tcW w:w="1350" w:type="dxa"/>
            <w:tcBorders>
              <w:tl2br w:val="nil"/>
              <w:tr2bl w:val="nil"/>
            </w:tcBorders>
            <w:vAlign w:val="center"/>
          </w:tcPr>
          <w:p>
            <w:pPr>
              <w:spacing w:line="360" w:lineRule="auto"/>
              <w:jc w:val="center"/>
              <w:rPr>
                <w:rFonts w:asciiTheme="minorEastAsia" w:hAnsiTheme="minorEastAsia" w:eastAsiaTheme="minorEastAsia"/>
                <w:color w:val="auto"/>
                <w:sz w:val="24"/>
                <w:highlight w:val="none"/>
              </w:rPr>
            </w:pP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1"/>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1"/>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5"/>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6"/>
        <w:snapToGrid w:val="0"/>
        <w:spacing w:line="360" w:lineRule="auto"/>
        <w:rPr>
          <w:rFonts w:cs="宋体"/>
          <w:color w:val="auto"/>
          <w:highlight w:val="none"/>
        </w:rPr>
      </w:pPr>
      <w:r>
        <w:rPr>
          <w:rFonts w:hint="eastAsia" w:cs="宋体"/>
          <w:color w:val="auto"/>
          <w:highlight w:val="none"/>
        </w:rPr>
        <w:t>5.4因重大变故，采购任务取消的。</w:t>
      </w:r>
    </w:p>
    <w:p>
      <w:pPr>
        <w:pStyle w:val="26"/>
        <w:snapToGrid w:val="0"/>
        <w:spacing w:line="360" w:lineRule="auto"/>
        <w:rPr>
          <w:rFonts w:cs="宋体"/>
          <w:color w:val="auto"/>
          <w:highlight w:val="none"/>
        </w:rPr>
      </w:pPr>
      <w:r>
        <w:rPr>
          <w:rFonts w:hint="eastAsia" w:cs="宋体"/>
          <w:color w:val="auto"/>
          <w:highlight w:val="none"/>
        </w:rPr>
        <w:t>废标后，采购代理机构应当将废标理由通知所有投标人。</w:t>
      </w:r>
    </w:p>
    <w:p>
      <w:pPr>
        <w:pStyle w:val="2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6"/>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2"/>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5"/>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拱墅区城市级实景三维工程建设项目   </w:t>
      </w:r>
    </w:p>
    <w:p>
      <w:pPr>
        <w:pStyle w:val="599"/>
        <w:spacing w:before="120" w:line="22" w:lineRule="atLeast"/>
        <w:rPr>
          <w:rFonts w:ascii="宋体" w:hAnsi="宋体" w:eastAsia="宋体" w:cs="宋体"/>
          <w:color w:val="auto"/>
          <w:szCs w:val="24"/>
          <w:highlight w:val="none"/>
        </w:rPr>
      </w:pPr>
    </w:p>
    <w:p>
      <w:pPr>
        <w:pStyle w:val="599"/>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杭州市规划和自然资源局拱墅分局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247"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杭州市规划和自然资源局拱墅分局</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拱墅区城市级实景三维工程建设项目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杭州市规划和自然资源局拱墅分局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5" w:name="_Toc15367"/>
      <w:bookmarkStart w:id="396" w:name="_Toc28855"/>
      <w:bookmarkStart w:id="397" w:name="_Toc19273"/>
      <w:bookmarkStart w:id="398" w:name="_Toc20421"/>
      <w:bookmarkStart w:id="399" w:name="_Toc22967"/>
      <w:r>
        <w:rPr>
          <w:rFonts w:ascii="宋体" w:hAnsi="宋体"/>
          <w:b/>
          <w:color w:val="auto"/>
          <w:sz w:val="24"/>
          <w:highlight w:val="none"/>
        </w:rPr>
        <w:t>1.1</w:t>
      </w:r>
      <w:r>
        <w:rPr>
          <w:rFonts w:hint="eastAsia" w:ascii="宋体" w:hAnsi="宋体"/>
          <w:b/>
          <w:color w:val="auto"/>
          <w:sz w:val="24"/>
          <w:highlight w:val="none"/>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1.1.1</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1.1.2</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1.1.3</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1.1.4</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1.1.5</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0" w:name="_Toc6311"/>
      <w:bookmarkStart w:id="401" w:name="_Toc2918"/>
      <w:bookmarkStart w:id="402" w:name="_Toc6773"/>
      <w:bookmarkStart w:id="403" w:name="_Toc22185"/>
      <w:bookmarkStart w:id="404" w:name="_Toc18585"/>
      <w:r>
        <w:rPr>
          <w:rFonts w:ascii="宋体" w:hAnsi="宋体"/>
          <w:b/>
          <w:color w:val="auto"/>
          <w:sz w:val="24"/>
          <w:highlight w:val="none"/>
        </w:rPr>
        <w:t>1.2</w:t>
      </w:r>
      <w:r>
        <w:rPr>
          <w:rFonts w:hint="eastAsia" w:ascii="宋体" w:hAnsi="宋体"/>
          <w:b/>
          <w:color w:val="auto"/>
          <w:sz w:val="24"/>
          <w:highlight w:val="none"/>
        </w:rPr>
        <w:t>标的</w:t>
      </w:r>
      <w:bookmarkEnd w:id="400"/>
      <w:bookmarkEnd w:id="401"/>
      <w:bookmarkEnd w:id="402"/>
      <w:bookmarkEnd w:id="403"/>
      <w:bookmarkEnd w:id="404"/>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1.2.1</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1.2.2</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1.2.3</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bookmarkStart w:id="405" w:name="_Toc1386"/>
      <w:bookmarkStart w:id="406" w:name="_Toc5635"/>
      <w:bookmarkStart w:id="407" w:name="_Toc13918"/>
      <w:bookmarkStart w:id="408" w:name="_Toc4929"/>
      <w:bookmarkStart w:id="409" w:name="_Toc21124"/>
      <w:r>
        <w:rPr>
          <w:rFonts w:hint="eastAsia" w:ascii="宋体" w:hAnsi="宋体" w:cs="宋体"/>
          <w:color w:val="auto"/>
          <w:sz w:val="24"/>
          <w:highlight w:val="none"/>
        </w:rPr>
        <w:t>1.2.5.1货物名称、品牌、规格型号、花色：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1.3价款</w:t>
      </w:r>
      <w:bookmarkEnd w:id="405"/>
      <w:bookmarkEnd w:id="406"/>
      <w:bookmarkEnd w:id="407"/>
      <w:bookmarkEnd w:id="408"/>
      <w:bookmarkEnd w:id="409"/>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20"/>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20"/>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color w:val="auto"/>
                <w:sz w:val="24"/>
                <w:szCs w:val="24"/>
                <w:highlight w:val="none"/>
              </w:rPr>
            </w:pPr>
          </w:p>
        </w:tc>
        <w:tc>
          <w:tcPr>
            <w:tcW w:w="3402" w:type="dxa"/>
            <w:vAlign w:val="center"/>
          </w:tcPr>
          <w:p>
            <w:pPr>
              <w:pStyle w:val="320"/>
              <w:spacing w:line="560" w:lineRule="exact"/>
              <w:ind w:firstLine="200"/>
              <w:jc w:val="center"/>
              <w:rPr>
                <w:rFonts w:hAnsi="宋体"/>
                <w:color w:val="auto"/>
                <w:sz w:val="24"/>
                <w:szCs w:val="24"/>
                <w:highlight w:val="none"/>
              </w:rPr>
            </w:pPr>
          </w:p>
        </w:tc>
        <w:tc>
          <w:tcPr>
            <w:tcW w:w="2552" w:type="dxa"/>
            <w:vAlign w:val="center"/>
          </w:tcPr>
          <w:p>
            <w:pPr>
              <w:pStyle w:val="320"/>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color w:val="auto"/>
                <w:sz w:val="24"/>
                <w:szCs w:val="24"/>
                <w:highlight w:val="none"/>
              </w:rPr>
            </w:pPr>
          </w:p>
        </w:tc>
        <w:tc>
          <w:tcPr>
            <w:tcW w:w="3402" w:type="dxa"/>
            <w:vAlign w:val="center"/>
          </w:tcPr>
          <w:p>
            <w:pPr>
              <w:pStyle w:val="320"/>
              <w:spacing w:line="560" w:lineRule="exact"/>
              <w:ind w:firstLine="200"/>
              <w:jc w:val="center"/>
              <w:rPr>
                <w:rFonts w:hAnsi="宋体"/>
                <w:color w:val="auto"/>
                <w:sz w:val="24"/>
                <w:szCs w:val="24"/>
                <w:highlight w:val="none"/>
              </w:rPr>
            </w:pPr>
          </w:p>
        </w:tc>
        <w:tc>
          <w:tcPr>
            <w:tcW w:w="2552" w:type="dxa"/>
            <w:vAlign w:val="center"/>
          </w:tcPr>
          <w:p>
            <w:pPr>
              <w:pStyle w:val="320"/>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color w:val="auto"/>
                <w:sz w:val="24"/>
                <w:szCs w:val="24"/>
                <w:highlight w:val="none"/>
              </w:rPr>
            </w:pPr>
          </w:p>
        </w:tc>
        <w:tc>
          <w:tcPr>
            <w:tcW w:w="3402" w:type="dxa"/>
            <w:vAlign w:val="center"/>
          </w:tcPr>
          <w:p>
            <w:pPr>
              <w:pStyle w:val="320"/>
              <w:spacing w:line="560" w:lineRule="exact"/>
              <w:ind w:firstLine="200"/>
              <w:jc w:val="center"/>
              <w:rPr>
                <w:rFonts w:hAnsi="宋体"/>
                <w:color w:val="auto"/>
                <w:sz w:val="24"/>
                <w:szCs w:val="24"/>
                <w:highlight w:val="none"/>
              </w:rPr>
            </w:pPr>
          </w:p>
        </w:tc>
        <w:tc>
          <w:tcPr>
            <w:tcW w:w="2552" w:type="dxa"/>
            <w:vAlign w:val="center"/>
          </w:tcPr>
          <w:p>
            <w:pPr>
              <w:pStyle w:val="320"/>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color w:val="auto"/>
                <w:sz w:val="24"/>
                <w:szCs w:val="24"/>
                <w:highlight w:val="none"/>
              </w:rPr>
            </w:pPr>
          </w:p>
        </w:tc>
        <w:tc>
          <w:tcPr>
            <w:tcW w:w="3402" w:type="dxa"/>
            <w:vAlign w:val="center"/>
          </w:tcPr>
          <w:p>
            <w:pPr>
              <w:pStyle w:val="320"/>
              <w:spacing w:line="560" w:lineRule="exact"/>
              <w:ind w:firstLine="200"/>
              <w:jc w:val="center"/>
              <w:rPr>
                <w:rFonts w:hAnsi="宋体"/>
                <w:color w:val="auto"/>
                <w:sz w:val="24"/>
                <w:szCs w:val="24"/>
                <w:highlight w:val="none"/>
              </w:rPr>
            </w:pPr>
          </w:p>
        </w:tc>
        <w:tc>
          <w:tcPr>
            <w:tcW w:w="2552" w:type="dxa"/>
            <w:vAlign w:val="center"/>
          </w:tcPr>
          <w:p>
            <w:pPr>
              <w:pStyle w:val="320"/>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0"/>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20"/>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0" w:name="_Toc14993"/>
      <w:bookmarkStart w:id="411" w:name="_Toc30506"/>
      <w:bookmarkStart w:id="412" w:name="_Toc3654"/>
      <w:bookmarkStart w:id="413" w:name="_Toc30158"/>
      <w:bookmarkStart w:id="414" w:name="_Toc26916"/>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5"/>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0"/>
    <w:bookmarkEnd w:id="411"/>
    <w:bookmarkEnd w:id="412"/>
    <w:bookmarkEnd w:id="413"/>
    <w:bookmarkEnd w:id="414"/>
    <w:p>
      <w:pPr>
        <w:pStyle w:val="959"/>
        <w:spacing w:before="0" w:beforeAutospacing="0" w:after="0" w:afterAutospacing="0" w:line="360" w:lineRule="auto"/>
        <w:ind w:firstLine="480"/>
        <w:rPr>
          <w:b/>
          <w:color w:val="auto"/>
          <w:highlight w:val="none"/>
        </w:rPr>
      </w:pPr>
      <w:bookmarkStart w:id="415" w:name="_Toc10340"/>
      <w:bookmarkStart w:id="416" w:name="_Toc1814"/>
      <w:bookmarkStart w:id="417" w:name="_Toc22618"/>
      <w:bookmarkStart w:id="418" w:name="_Toc4760"/>
      <w:bookmarkStart w:id="419" w:name="_Toc11108"/>
      <w:bookmarkStart w:id="420" w:name="_Toc3625"/>
      <w:bookmarkStart w:id="421" w:name="_Toc8772"/>
      <w:bookmarkStart w:id="422" w:name="_Toc31421"/>
      <w:r>
        <w:rPr>
          <w:rFonts w:hint="eastAsia"/>
          <w:b/>
          <w:color w:val="auto"/>
          <w:highlight w:val="none"/>
        </w:rPr>
        <w:t>1.4履约保证金</w:t>
      </w:r>
    </w:p>
    <w:p>
      <w:pPr>
        <w:pStyle w:val="959"/>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5"/>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5"/>
      <w:bookmarkEnd w:id="416"/>
      <w:bookmarkEnd w:id="417"/>
      <w:r>
        <w:rPr>
          <w:rFonts w:hint="eastAsia" w:ascii="宋体" w:hAnsi="宋体" w:cs="宋体"/>
          <w:b/>
          <w:color w:val="auto"/>
          <w:sz w:val="24"/>
          <w:highlight w:val="none"/>
        </w:rPr>
        <w:t>预付款</w:t>
      </w:r>
    </w:p>
    <w:p>
      <w:pPr>
        <w:pStyle w:val="959"/>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9"/>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履行期限</w:t>
      </w:r>
      <w:r>
        <w:rPr>
          <w:rFonts w:hint="eastAsia" w:ascii="宋体" w:hAnsi="宋体"/>
          <w:b/>
          <w:color w:val="auto"/>
          <w:sz w:val="24"/>
          <w:highlight w:val="none"/>
        </w:rPr>
        <w:t>、地点和方式</w:t>
      </w:r>
      <w:bookmarkEnd w:id="418"/>
      <w:bookmarkEnd w:id="419"/>
      <w:bookmarkEnd w:id="420"/>
      <w:bookmarkEnd w:id="421"/>
      <w:bookmarkEnd w:id="422"/>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.1</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.2</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.3</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3" w:name="_Toc8586"/>
      <w:bookmarkStart w:id="424" w:name="_Toc24662"/>
      <w:bookmarkStart w:id="425" w:name="_Toc5698"/>
      <w:bookmarkStart w:id="426" w:name="_Toc2375"/>
      <w:bookmarkStart w:id="427" w:name="_Toc3079"/>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3"/>
      <w:bookmarkEnd w:id="424"/>
      <w:bookmarkEnd w:id="425"/>
      <w:bookmarkEnd w:id="426"/>
      <w:bookmarkEnd w:id="427"/>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5"/>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8" w:name="_Toc30329"/>
      <w:bookmarkStart w:id="429" w:name="_Toc18683"/>
      <w:bookmarkStart w:id="430" w:name="_Toc26807"/>
      <w:bookmarkStart w:id="431" w:name="_Toc32454"/>
      <w:bookmarkStart w:id="432" w:name="_Toc9497"/>
      <w:r>
        <w:rPr>
          <w:rFonts w:hint="eastAsia" w:ascii="宋体" w:hAnsi="宋体" w:cs="宋体"/>
          <w:color w:val="auto"/>
          <w:sz w:val="24"/>
          <w:highlight w:val="none"/>
        </w:rPr>
        <w:t>1.8.4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highlight w:val="none"/>
        </w:rPr>
      </w:pPr>
      <w:bookmarkStart w:id="433" w:name="_Toc16021"/>
      <w:bookmarkStart w:id="434" w:name="_Toc28375"/>
      <w:bookmarkStart w:id="435" w:name="_Toc15583"/>
      <w:r>
        <w:rPr>
          <w:rFonts w:hint="eastAsia" w:ascii="宋体" w:hAnsi="宋体" w:cs="宋体"/>
          <w:b/>
          <w:color w:val="auto"/>
          <w:sz w:val="24"/>
          <w:highlight w:val="none"/>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6" w:name="_Toc7245"/>
      <w:bookmarkStart w:id="437" w:name="_Toc15322"/>
      <w:bookmarkStart w:id="438" w:name="_Toc11173"/>
      <w:r>
        <w:rPr>
          <w:rFonts w:hint="eastAsia" w:ascii="宋体" w:hAnsi="宋体" w:cs="宋体"/>
          <w:b/>
          <w:color w:val="auto"/>
          <w:sz w:val="24"/>
          <w:highlight w:val="none"/>
        </w:rPr>
        <w:t>2.0合同生效</w:t>
      </w:r>
      <w:bookmarkEnd w:id="436"/>
      <w:bookmarkEnd w:id="437"/>
      <w:bookmarkEnd w:id="438"/>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702"/>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9" w:name="_Toc31297"/>
      <w:bookmarkStart w:id="440" w:name="_Toc25079"/>
      <w:bookmarkStart w:id="441" w:name="_Toc5228"/>
      <w:bookmarkStart w:id="442" w:name="_Toc14021"/>
      <w:bookmarkStart w:id="443" w:name="_Toc19680"/>
      <w:r>
        <w:rPr>
          <w:rFonts w:ascii="宋体" w:hAnsi="宋体"/>
          <w:b/>
          <w:color w:val="auto"/>
          <w:sz w:val="24"/>
          <w:highlight w:val="none"/>
        </w:rPr>
        <w:t>2.1定义</w:t>
      </w:r>
      <w:bookmarkEnd w:id="439"/>
      <w:bookmarkEnd w:id="440"/>
      <w:bookmarkEnd w:id="441"/>
      <w:bookmarkEnd w:id="442"/>
      <w:bookmarkEnd w:id="443"/>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2.1.6“现场”系指合同约定提供服务的地点。</w:t>
      </w:r>
    </w:p>
    <w:p>
      <w:pPr>
        <w:spacing w:line="560" w:lineRule="exact"/>
        <w:ind w:firstLine="482" w:firstLineChars="200"/>
        <w:outlineLvl w:val="0"/>
        <w:rPr>
          <w:rFonts w:ascii="宋体" w:hAnsi="宋体"/>
          <w:b/>
          <w:color w:val="auto"/>
          <w:sz w:val="24"/>
          <w:highlight w:val="none"/>
        </w:rPr>
      </w:pPr>
      <w:bookmarkStart w:id="444" w:name="_Toc3769"/>
      <w:bookmarkStart w:id="445" w:name="_Toc31402"/>
      <w:bookmarkStart w:id="446" w:name="_Toc19539"/>
      <w:bookmarkStart w:id="447" w:name="_Toc16752"/>
      <w:bookmarkStart w:id="448" w:name="_Toc23289"/>
      <w:r>
        <w:rPr>
          <w:rFonts w:ascii="宋体" w:hAnsi="宋体"/>
          <w:b/>
          <w:color w:val="auto"/>
          <w:sz w:val="24"/>
          <w:highlight w:val="none"/>
        </w:rPr>
        <w:t>2.2技术规范</w:t>
      </w:r>
      <w:bookmarkEnd w:id="444"/>
      <w:bookmarkEnd w:id="445"/>
      <w:bookmarkEnd w:id="446"/>
      <w:bookmarkEnd w:id="447"/>
      <w:bookmarkEnd w:id="44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9" w:name="_Toc4133"/>
      <w:bookmarkStart w:id="450" w:name="_Toc13673"/>
      <w:bookmarkStart w:id="451" w:name="_Toc12412"/>
      <w:bookmarkStart w:id="452" w:name="_Toc9161"/>
      <w:bookmarkStart w:id="453" w:name="_Toc27945"/>
      <w:r>
        <w:rPr>
          <w:rFonts w:ascii="宋体" w:hAnsi="宋体"/>
          <w:b/>
          <w:color w:val="auto"/>
          <w:sz w:val="24"/>
          <w:highlight w:val="none"/>
        </w:rPr>
        <w:t>2.3知识产权</w:t>
      </w:r>
      <w:bookmarkEnd w:id="449"/>
      <w:bookmarkEnd w:id="450"/>
      <w:bookmarkEnd w:id="451"/>
      <w:bookmarkEnd w:id="452"/>
      <w:bookmarkEnd w:id="453"/>
    </w:p>
    <w:p>
      <w:pPr>
        <w:spacing w:line="560" w:lineRule="exact"/>
        <w:ind w:firstLine="480" w:firstLineChars="200"/>
        <w:rPr>
          <w:rFonts w:ascii="宋体" w:hAnsi="宋体"/>
          <w:color w:val="auto"/>
          <w:sz w:val="24"/>
          <w:highlight w:val="none"/>
        </w:rPr>
      </w:pPr>
      <w:r>
        <w:rPr>
          <w:rFonts w:ascii="宋体" w:hAnsi="宋体"/>
          <w:color w:val="auto"/>
          <w:sz w:val="24"/>
          <w:highlight w:val="none"/>
        </w:rPr>
        <w:t>2.3.1</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2.3.2</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2.4</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2.4.2</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4" w:name="_Toc31233"/>
      <w:bookmarkStart w:id="455" w:name="_Toc15447"/>
      <w:bookmarkStart w:id="456" w:name="_Toc26555"/>
      <w:bookmarkStart w:id="457" w:name="_Toc22011"/>
      <w:bookmarkStart w:id="458" w:name="_Toc32670"/>
      <w:r>
        <w:rPr>
          <w:rFonts w:ascii="宋体" w:hAnsi="宋体"/>
          <w:b/>
          <w:color w:val="auto"/>
          <w:sz w:val="24"/>
          <w:highlight w:val="none"/>
        </w:rPr>
        <w:t>2.5结算方式和付款条件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9" w:name="_Toc18990"/>
      <w:bookmarkStart w:id="460" w:name="_Toc16163"/>
      <w:bookmarkStart w:id="461" w:name="_Toc30507"/>
      <w:bookmarkStart w:id="462" w:name="_Toc13467"/>
      <w:bookmarkStart w:id="463" w:name="_Toc13154"/>
      <w:r>
        <w:rPr>
          <w:rFonts w:ascii="宋体" w:hAnsi="宋体"/>
          <w:b/>
          <w:color w:val="auto"/>
          <w:sz w:val="24"/>
          <w:highlight w:val="none"/>
        </w:rPr>
        <w:t>2.6技术资料和保密义务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2.6.1乙方有权依据合同约定和项目需要，向甲方了解有关情况，调阅有关资料等，甲方应予积极配合；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2.6.2</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2.6.3</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4" w:name="_Toc19069"/>
      <w:r>
        <w:rPr>
          <w:rFonts w:ascii="宋体" w:hAnsi="宋体"/>
          <w:b/>
          <w:color w:val="auto"/>
          <w:sz w:val="24"/>
          <w:highlight w:val="none"/>
        </w:rPr>
        <w:t>2.7</w:t>
      </w:r>
      <w:r>
        <w:rPr>
          <w:rFonts w:hint="eastAsia" w:ascii="宋体" w:hAnsi="宋体"/>
          <w:b/>
          <w:color w:val="auto"/>
          <w:sz w:val="24"/>
          <w:highlight w:val="none"/>
        </w:rPr>
        <w:t>质量保证</w:t>
      </w:r>
      <w:bookmarkEnd w:id="464"/>
    </w:p>
    <w:p>
      <w:pPr>
        <w:spacing w:line="560" w:lineRule="exact"/>
        <w:ind w:firstLine="480" w:firstLineChars="200"/>
        <w:rPr>
          <w:rFonts w:ascii="宋体" w:hAnsi="宋体"/>
          <w:color w:val="auto"/>
          <w:sz w:val="24"/>
          <w:highlight w:val="none"/>
        </w:rPr>
      </w:pPr>
      <w:r>
        <w:rPr>
          <w:rFonts w:ascii="宋体" w:hAnsi="宋体"/>
          <w:color w:val="auto"/>
          <w:sz w:val="24"/>
          <w:highlight w:val="none"/>
        </w:rPr>
        <w:t>2.7.1</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2.7.2</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5" w:name="_Toc22267"/>
      <w:r>
        <w:rPr>
          <w:rFonts w:ascii="宋体" w:hAnsi="宋体"/>
          <w:b/>
          <w:color w:val="auto"/>
          <w:sz w:val="24"/>
          <w:highlight w:val="none"/>
        </w:rPr>
        <w:t>2.8</w:t>
      </w:r>
      <w:r>
        <w:rPr>
          <w:rFonts w:hint="eastAsia" w:ascii="宋体" w:hAnsi="宋体"/>
          <w:b/>
          <w:color w:val="auto"/>
          <w:sz w:val="24"/>
          <w:highlight w:val="none"/>
        </w:rPr>
        <w:t>延迟履行</w:t>
      </w:r>
      <w:bookmarkEnd w:id="46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6" w:name="_Toc10611"/>
      <w:r>
        <w:rPr>
          <w:rFonts w:ascii="宋体" w:hAnsi="宋体"/>
          <w:b/>
          <w:color w:val="auto"/>
          <w:sz w:val="24"/>
          <w:highlight w:val="none"/>
        </w:rPr>
        <w:t>2.9</w:t>
      </w:r>
      <w:r>
        <w:rPr>
          <w:rFonts w:hint="eastAsia" w:ascii="宋体" w:hAnsi="宋体"/>
          <w:b/>
          <w:color w:val="auto"/>
          <w:sz w:val="24"/>
          <w:highlight w:val="none"/>
        </w:rPr>
        <w:t>合同变更</w:t>
      </w:r>
      <w:bookmarkEnd w:id="46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7" w:name="_Toc42"/>
      <w:bookmarkStart w:id="468" w:name="_Toc21830"/>
      <w:bookmarkStart w:id="469" w:name="_Toc23368"/>
      <w:bookmarkStart w:id="470" w:name="_Toc26689"/>
      <w:bookmarkStart w:id="471" w:name="_Toc10663"/>
      <w:r>
        <w:rPr>
          <w:rFonts w:ascii="宋体" w:hAnsi="宋体"/>
          <w:b/>
          <w:color w:val="auto"/>
          <w:sz w:val="24"/>
          <w:highlight w:val="none"/>
        </w:rPr>
        <w:t>2.10合同转让和分包</w:t>
      </w:r>
      <w:bookmarkEnd w:id="467"/>
      <w:bookmarkEnd w:id="468"/>
      <w:bookmarkEnd w:id="469"/>
      <w:bookmarkEnd w:id="470"/>
      <w:bookmarkEnd w:id="471"/>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2" w:name="_Toc4720"/>
      <w:bookmarkStart w:id="473" w:name="_Toc25571"/>
      <w:bookmarkStart w:id="474" w:name="_Toc14371"/>
      <w:bookmarkStart w:id="475" w:name="_Toc26633"/>
      <w:bookmarkStart w:id="476" w:name="_Toc32494"/>
      <w:r>
        <w:rPr>
          <w:rFonts w:ascii="宋体" w:hAnsi="宋体"/>
          <w:b/>
          <w:color w:val="auto"/>
          <w:sz w:val="24"/>
          <w:highlight w:val="none"/>
        </w:rPr>
        <w:t>2.11不可抗力</w:t>
      </w:r>
      <w:bookmarkEnd w:id="472"/>
      <w:bookmarkEnd w:id="473"/>
      <w:bookmarkEnd w:id="474"/>
      <w:bookmarkEnd w:id="475"/>
      <w:bookmarkEnd w:id="476"/>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2.11.2</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2.11.3</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7" w:name="_Toc25783"/>
      <w:bookmarkStart w:id="478" w:name="_Toc3638"/>
      <w:bookmarkStart w:id="479" w:name="_Toc24465"/>
      <w:bookmarkStart w:id="480" w:name="_Toc23854"/>
      <w:bookmarkStart w:id="481" w:name="_Toc14115"/>
      <w:r>
        <w:rPr>
          <w:rFonts w:ascii="宋体" w:hAnsi="宋体"/>
          <w:b/>
          <w:color w:val="auto"/>
          <w:sz w:val="24"/>
          <w:highlight w:val="none"/>
        </w:rPr>
        <w:t>2.12税费</w:t>
      </w:r>
      <w:bookmarkEnd w:id="477"/>
      <w:bookmarkEnd w:id="478"/>
      <w:bookmarkEnd w:id="479"/>
      <w:bookmarkEnd w:id="480"/>
      <w:bookmarkEnd w:id="481"/>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2" w:name="_Toc14814"/>
      <w:bookmarkStart w:id="483" w:name="_Toc7315"/>
      <w:bookmarkStart w:id="484" w:name="_Toc25525"/>
      <w:bookmarkStart w:id="485" w:name="_Toc30105"/>
      <w:bookmarkStart w:id="486" w:name="_Toc26883"/>
      <w:r>
        <w:rPr>
          <w:rFonts w:ascii="宋体" w:hAnsi="宋体"/>
          <w:b/>
          <w:color w:val="auto"/>
          <w:sz w:val="24"/>
          <w:highlight w:val="none"/>
        </w:rPr>
        <w:t>2.13乙方破产</w:t>
      </w:r>
      <w:bookmarkEnd w:id="482"/>
      <w:bookmarkEnd w:id="483"/>
      <w:bookmarkEnd w:id="484"/>
      <w:bookmarkEnd w:id="485"/>
      <w:bookmarkEnd w:id="486"/>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7" w:name="_Toc2016"/>
      <w:bookmarkStart w:id="488" w:name="_Toc23323"/>
      <w:bookmarkStart w:id="489" w:name="_Toc1123"/>
      <w:r>
        <w:rPr>
          <w:rFonts w:ascii="宋体" w:hAnsi="宋体"/>
          <w:b/>
          <w:color w:val="auto"/>
          <w:sz w:val="24"/>
          <w:highlight w:val="none"/>
        </w:rPr>
        <w:t>2.14合同中止、终止</w:t>
      </w:r>
      <w:bookmarkEnd w:id="487"/>
      <w:bookmarkEnd w:id="488"/>
      <w:bookmarkEnd w:id="489"/>
    </w:p>
    <w:p>
      <w:pPr>
        <w:spacing w:line="560" w:lineRule="exact"/>
        <w:ind w:firstLine="480" w:firstLineChars="200"/>
        <w:rPr>
          <w:rFonts w:ascii="宋体" w:hAnsi="宋体"/>
          <w:color w:val="auto"/>
          <w:sz w:val="24"/>
          <w:highlight w:val="none"/>
        </w:rPr>
      </w:pPr>
      <w:r>
        <w:rPr>
          <w:rFonts w:ascii="宋体" w:hAnsi="宋体"/>
          <w:color w:val="auto"/>
          <w:sz w:val="24"/>
          <w:highlight w:val="none"/>
        </w:rPr>
        <w:t>2.14.1</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0" w:name="_Toc1969"/>
      <w:bookmarkStart w:id="491" w:name="_Toc14525"/>
      <w:bookmarkStart w:id="492" w:name="_Toc17363"/>
      <w:r>
        <w:rPr>
          <w:rFonts w:ascii="宋体" w:hAnsi="宋体"/>
          <w:b/>
          <w:color w:val="auto"/>
          <w:sz w:val="24"/>
          <w:highlight w:val="none"/>
        </w:rPr>
        <w:t>2.15检验和验收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2.15.1</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2.15.2</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2.15.3</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3" w:name="_Toc9808"/>
      <w:bookmarkStart w:id="494" w:name="_Toc25198"/>
      <w:bookmarkStart w:id="495" w:name="_Toc2308"/>
      <w:bookmarkStart w:id="496" w:name="_Toc31892"/>
      <w:bookmarkStart w:id="497" w:name="_Toc12666"/>
      <w:r>
        <w:rPr>
          <w:rFonts w:ascii="宋体" w:hAnsi="宋体"/>
          <w:b/>
          <w:color w:val="auto"/>
          <w:sz w:val="24"/>
          <w:highlight w:val="none"/>
        </w:rPr>
        <w:t>2.16通知和送达</w:t>
      </w:r>
      <w:bookmarkEnd w:id="493"/>
      <w:bookmarkEnd w:id="494"/>
      <w:bookmarkEnd w:id="495"/>
      <w:bookmarkEnd w:id="496"/>
      <w:bookmarkEnd w:id="497"/>
    </w:p>
    <w:p>
      <w:pPr>
        <w:spacing w:line="560" w:lineRule="exact"/>
        <w:ind w:firstLine="480" w:firstLineChars="200"/>
        <w:rPr>
          <w:rFonts w:ascii="宋体" w:hAnsi="宋体"/>
          <w:color w:val="auto"/>
          <w:sz w:val="24"/>
          <w:highlight w:val="none"/>
        </w:rPr>
      </w:pPr>
      <w:bookmarkStart w:id="498" w:name="_Toc27674"/>
      <w:bookmarkStart w:id="499"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highlight w:val="none"/>
        </w:rPr>
      </w:pPr>
      <w:bookmarkStart w:id="500" w:name="_Toc5063"/>
      <w:bookmarkStart w:id="501" w:name="_Toc12254"/>
      <w:bookmarkStart w:id="502" w:name="_Toc20808"/>
      <w:bookmarkStart w:id="503" w:name="_Toc28906"/>
      <w:bookmarkStart w:id="504" w:name="_Toc27644"/>
      <w:r>
        <w:rPr>
          <w:rFonts w:ascii="宋体" w:hAnsi="宋体"/>
          <w:b/>
          <w:color w:val="auto"/>
          <w:sz w:val="24"/>
          <w:highlight w:val="none"/>
        </w:rPr>
        <w:t>2.17</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0"/>
      <w:bookmarkEnd w:id="501"/>
      <w:bookmarkEnd w:id="502"/>
      <w:bookmarkEnd w:id="503"/>
      <w:bookmarkEnd w:id="504"/>
    </w:p>
    <w:p>
      <w:pPr>
        <w:spacing w:line="560" w:lineRule="exact"/>
        <w:ind w:firstLine="480" w:firstLineChars="200"/>
        <w:rPr>
          <w:rFonts w:ascii="宋体" w:hAnsi="宋体"/>
          <w:color w:val="auto"/>
          <w:sz w:val="24"/>
          <w:highlight w:val="none"/>
        </w:rPr>
      </w:pPr>
      <w:r>
        <w:rPr>
          <w:rFonts w:ascii="宋体" w:hAnsi="宋体"/>
          <w:color w:val="auto"/>
          <w:sz w:val="24"/>
          <w:highlight w:val="none"/>
        </w:rPr>
        <w:t>2.17.1合同使用汉语书就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5" w:name="_Toc30599"/>
      <w:bookmarkStart w:id="506" w:name="_Toc18540"/>
      <w:bookmarkStart w:id="507" w:name="_Toc4355"/>
      <w:r>
        <w:rPr>
          <w:rFonts w:hint="eastAsia" w:ascii="宋体" w:hAnsi="宋体" w:cs="宋体"/>
          <w:b/>
          <w:color w:val="auto"/>
          <w:sz w:val="24"/>
          <w:highlight w:val="none"/>
        </w:rPr>
        <w:t>2.18计量单位</w:t>
      </w:r>
      <w:bookmarkEnd w:id="505"/>
      <w:bookmarkEnd w:id="506"/>
      <w:bookmarkEnd w:id="50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8" w:name="_Toc331685784"/>
      <w:r>
        <w:rPr>
          <w:rFonts w:hint="eastAsia" w:ascii="宋体" w:hAnsi="宋体" w:cs="宋体"/>
          <w:b/>
          <w:color w:val="auto"/>
          <w:sz w:val="24"/>
          <w:highlight w:val="none"/>
        </w:rPr>
        <w:t xml:space="preserve"> </w:t>
      </w:r>
      <w:bookmarkEnd w:id="508"/>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ind w:firstLine="482"/>
              <w:jc w:val="center"/>
              <w:rPr>
                <w:b/>
                <w:color w:val="auto"/>
                <w:sz w:val="24"/>
                <w:highlight w:val="none"/>
              </w:rPr>
            </w:pPr>
            <w:r>
              <w:rPr>
                <w:rFonts w:hint="eastAsia"/>
                <w:b/>
                <w:color w:val="auto"/>
                <w:sz w:val="24"/>
                <w:highlight w:val="none"/>
              </w:rPr>
              <w:t>条款号</w:t>
            </w:r>
          </w:p>
        </w:tc>
        <w:tc>
          <w:tcPr>
            <w:tcW w:w="4534" w:type="pct"/>
            <w:vAlign w:val="center"/>
          </w:tcPr>
          <w:p>
            <w:pPr>
              <w:spacing w:line="360" w:lineRule="auto"/>
              <w:ind w:firstLine="482"/>
              <w:jc w:val="center"/>
              <w:rPr>
                <w:b/>
                <w:color w:val="auto"/>
                <w:sz w:val="24"/>
                <w:highlight w:val="none"/>
              </w:rPr>
            </w:pPr>
            <w:r>
              <w:rPr>
                <w:rFonts w:hint="eastAsia"/>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1.4.4</w:t>
            </w:r>
          </w:p>
        </w:tc>
        <w:tc>
          <w:tcPr>
            <w:tcW w:w="4534" w:type="pct"/>
            <w:vAlign w:val="center"/>
          </w:tcPr>
          <w:p>
            <w:pPr>
              <w:spacing w:line="360" w:lineRule="auto"/>
              <w:rPr>
                <w:rFonts w:asciiTheme="minorEastAsia" w:hAnsiTheme="minorEastAsia"/>
                <w:color w:val="auto"/>
                <w:sz w:val="24"/>
                <w:highlight w:val="none"/>
                <w:lang w:eastAsia="zh-Hans"/>
              </w:rPr>
            </w:pPr>
            <w:r>
              <w:rPr>
                <w:rFonts w:hint="eastAsia" w:asciiTheme="minorEastAsia" w:hAnsiTheme="minorEastAsia"/>
                <w:color w:val="auto"/>
                <w:sz w:val="24"/>
                <w:highlight w:val="none"/>
                <w:lang w:eastAsia="zh-Hans"/>
              </w:rPr>
              <w:t>本次项目合同总价（</w:t>
            </w:r>
            <w:r>
              <w:rPr>
                <w:rFonts w:hint="eastAsia" w:asciiTheme="minorEastAsia" w:hAnsiTheme="minorEastAsia"/>
                <w:color w:val="auto"/>
                <w:sz w:val="24"/>
                <w:highlight w:val="none"/>
              </w:rPr>
              <w:t>含税</w:t>
            </w:r>
            <w:r>
              <w:rPr>
                <w:rFonts w:hint="eastAsia" w:asciiTheme="minorEastAsia" w:hAnsiTheme="minorEastAsia"/>
                <w:color w:val="auto"/>
                <w:sz w:val="24"/>
                <w:highlight w:val="none"/>
                <w:lang w:eastAsia="zh-Hans"/>
              </w:rPr>
              <w:t>）为大写人民币</w:t>
            </w:r>
            <w:r>
              <w:rPr>
                <w:rFonts w:hint="eastAsia" w:asciiTheme="minorEastAsia" w:hAnsiTheme="minorEastAsia"/>
                <w:color w:val="auto"/>
                <w:sz w:val="24"/>
                <w:highlight w:val="none"/>
                <w:u w:val="single"/>
                <w:lang w:eastAsia="zh-Hans"/>
              </w:rPr>
              <w:t xml:space="preserve">           </w:t>
            </w:r>
            <w:r>
              <w:rPr>
                <w:rFonts w:hint="eastAsia" w:asciiTheme="minorEastAsia" w:hAnsiTheme="minorEastAsia"/>
                <w:color w:val="auto"/>
                <w:sz w:val="24"/>
                <w:highlight w:val="none"/>
                <w:lang w:eastAsia="zh-Hans"/>
              </w:rPr>
              <w:t>元整（￥</w:t>
            </w:r>
            <w:r>
              <w:rPr>
                <w:rFonts w:hint="eastAsia" w:asciiTheme="minorEastAsia" w:hAnsiTheme="minorEastAsia"/>
                <w:color w:val="auto"/>
                <w:sz w:val="24"/>
                <w:highlight w:val="none"/>
                <w:u w:val="single"/>
                <w:lang w:eastAsia="zh-Hans"/>
              </w:rPr>
              <w:t xml:space="preserve">           </w:t>
            </w:r>
            <w:r>
              <w:rPr>
                <w:rFonts w:hint="eastAsia" w:asciiTheme="minorEastAsia" w:hAnsiTheme="minorEastAsia"/>
                <w:color w:val="auto"/>
                <w:sz w:val="24"/>
                <w:highlight w:val="none"/>
                <w:lang w:eastAsia="zh-Hans"/>
              </w:rPr>
              <w:t>元），采用分期付款方式，具体如下：</w:t>
            </w:r>
          </w:p>
          <w:p>
            <w:pPr>
              <w:spacing w:line="360" w:lineRule="auto"/>
              <w:rPr>
                <w:color w:val="auto"/>
                <w:sz w:val="24"/>
                <w:highlight w:val="none"/>
              </w:rPr>
            </w:pPr>
            <w:r>
              <w:rPr>
                <w:rFonts w:hint="eastAsia"/>
                <w:color w:val="auto"/>
                <w:sz w:val="24"/>
                <w:highlight w:val="none"/>
              </w:rPr>
              <w:t>1、第一期付款：采购合同签订生效并具备实施条件，供应商向采购人提供正式发票后7个工作日内，采购人支付合同总价的30%；</w:t>
            </w:r>
            <w:r>
              <w:rPr>
                <w:color w:val="auto"/>
                <w:sz w:val="24"/>
                <w:highlight w:val="none"/>
              </w:rPr>
              <w:t xml:space="preserve"> </w:t>
            </w:r>
          </w:p>
          <w:p>
            <w:pPr>
              <w:spacing w:line="360" w:lineRule="auto"/>
              <w:rPr>
                <w:color w:val="auto"/>
                <w:sz w:val="24"/>
                <w:highlight w:val="none"/>
              </w:rPr>
            </w:pPr>
            <w:r>
              <w:rPr>
                <w:rFonts w:hint="eastAsia"/>
                <w:color w:val="auto"/>
                <w:sz w:val="24"/>
                <w:highlight w:val="none"/>
              </w:rPr>
              <w:t>2、第二期付款：项目通过第三方质量验收及采购人组织的最终验收，满足合同约定支付条件的，采购人自收到发票后7个工作日向供应商支付合同总价 20%的款项；</w:t>
            </w:r>
          </w:p>
          <w:p>
            <w:pPr>
              <w:spacing w:line="360" w:lineRule="auto"/>
              <w:rPr>
                <w:color w:val="auto"/>
                <w:sz w:val="24"/>
                <w:highlight w:val="none"/>
              </w:rPr>
            </w:pPr>
            <w:r>
              <w:rPr>
                <w:color w:val="auto"/>
                <w:sz w:val="24"/>
                <w:highlight w:val="none"/>
              </w:rPr>
              <w:t>3</w:t>
            </w:r>
            <w:r>
              <w:rPr>
                <w:rFonts w:hint="eastAsia"/>
                <w:color w:val="auto"/>
                <w:sz w:val="24"/>
                <w:highlight w:val="none"/>
              </w:rPr>
              <w:t>、第三期付款：项目通过市级验收、省级、部级验收，满足合同约定支付条件的，采购人自收到发票后7个工作日向供应商支付合同总价 50%的款项；</w:t>
            </w:r>
          </w:p>
          <w:p>
            <w:pPr>
              <w:spacing w:line="360" w:lineRule="auto"/>
              <w:rPr>
                <w:color w:val="auto"/>
                <w:sz w:val="24"/>
                <w:highlight w:val="none"/>
              </w:rPr>
            </w:pPr>
            <w:r>
              <w:rPr>
                <w:rFonts w:hint="eastAsia"/>
                <w:color w:val="auto"/>
                <w:sz w:val="24"/>
                <w:highlight w:val="none"/>
              </w:rPr>
              <w:t>注：每次付款前，乙方提供甲方要求的正规发票。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 xml:space="preserve">1.5.1 </w:t>
            </w:r>
          </w:p>
        </w:tc>
        <w:tc>
          <w:tcPr>
            <w:tcW w:w="4534" w:type="pct"/>
            <w:vAlign w:val="center"/>
          </w:tcPr>
          <w:p>
            <w:pPr>
              <w:pStyle w:val="967"/>
              <w:spacing w:line="360" w:lineRule="auto"/>
              <w:rPr>
                <w:rFonts w:cs="仿宋" w:asciiTheme="minorEastAsia" w:hAnsiTheme="minorEastAsia" w:eastAsiaTheme="minorEastAsia"/>
                <w:b/>
                <w:bCs/>
                <w:color w:val="auto"/>
                <w:sz w:val="24"/>
                <w:szCs w:val="24"/>
                <w:highlight w:val="none"/>
              </w:rPr>
            </w:pPr>
            <w:r>
              <w:rPr>
                <w:rFonts w:hint="eastAsia" w:cs="宋体" w:asciiTheme="minorEastAsia" w:hAnsiTheme="minorEastAsia"/>
                <w:bCs/>
                <w:color w:val="auto"/>
                <w:sz w:val="24"/>
                <w:szCs w:val="24"/>
                <w:highlight w:val="none"/>
                <w:lang w:eastAsia="zh-Hans"/>
              </w:rPr>
              <w:t>自合同签订生效之日起至</w:t>
            </w:r>
            <w:r>
              <w:rPr>
                <w:rFonts w:cs="宋体" w:asciiTheme="minorEastAsia" w:hAnsiTheme="minorEastAsia"/>
                <w:bCs/>
                <w:color w:val="auto"/>
                <w:sz w:val="24"/>
                <w:szCs w:val="24"/>
                <w:highlight w:val="none"/>
                <w:lang w:eastAsia="zh-Hans"/>
              </w:rPr>
              <w:t>2025</w:t>
            </w:r>
            <w:r>
              <w:rPr>
                <w:rFonts w:hint="eastAsia" w:cs="宋体" w:asciiTheme="minorEastAsia" w:hAnsiTheme="minorEastAsia"/>
                <w:bCs/>
                <w:color w:val="auto"/>
                <w:sz w:val="24"/>
                <w:szCs w:val="24"/>
                <w:highlight w:val="none"/>
                <w:lang w:eastAsia="zh-Hans"/>
              </w:rPr>
              <w:t>年</w:t>
            </w:r>
            <w:r>
              <w:rPr>
                <w:rFonts w:cs="宋体" w:asciiTheme="minorEastAsia" w:hAnsiTheme="minorEastAsia"/>
                <w:bCs/>
                <w:color w:val="auto"/>
                <w:sz w:val="24"/>
                <w:szCs w:val="24"/>
                <w:highlight w:val="none"/>
                <w:lang w:eastAsia="zh-Hans"/>
              </w:rPr>
              <w:t>12</w:t>
            </w:r>
            <w:r>
              <w:rPr>
                <w:rFonts w:hint="eastAsia" w:cs="宋体" w:asciiTheme="minorEastAsia" w:hAnsiTheme="minorEastAsia"/>
                <w:bCs/>
                <w:color w:val="auto"/>
                <w:sz w:val="24"/>
                <w:szCs w:val="24"/>
                <w:highlight w:val="none"/>
                <w:lang w:eastAsia="zh-Hans"/>
              </w:rPr>
              <w:t>月底前。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1.5.2</w:t>
            </w:r>
          </w:p>
        </w:tc>
        <w:tc>
          <w:tcPr>
            <w:tcW w:w="4534" w:type="pct"/>
            <w:vAlign w:val="center"/>
          </w:tcPr>
          <w:p>
            <w:pPr>
              <w:spacing w:line="360" w:lineRule="auto"/>
              <w:rPr>
                <w:color w:val="auto"/>
                <w:sz w:val="24"/>
                <w:highlight w:val="none"/>
              </w:rPr>
            </w:pPr>
            <w:r>
              <w:rPr>
                <w:rFonts w:hint="eastAsia"/>
                <w:color w:val="auto"/>
                <w:sz w:val="24"/>
                <w:highlight w:val="none"/>
              </w:rPr>
              <w:t>杭州市规划和自然资源局拱墅分局指定地点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 xml:space="preserve">1.5.3 </w:t>
            </w:r>
          </w:p>
        </w:tc>
        <w:tc>
          <w:tcPr>
            <w:tcW w:w="4534" w:type="pct"/>
            <w:vAlign w:val="center"/>
          </w:tcPr>
          <w:p>
            <w:pPr>
              <w:spacing w:line="360" w:lineRule="auto"/>
              <w:rPr>
                <w:color w:val="auto"/>
                <w:sz w:val="24"/>
                <w:highlight w:val="none"/>
              </w:rPr>
            </w:pPr>
            <w:r>
              <w:rPr>
                <w:rFonts w:hint="eastAsia"/>
                <w:color w:val="auto"/>
                <w:sz w:val="24"/>
                <w:highlight w:val="none"/>
              </w:rPr>
              <w:t>按招标文件（含澄清或者修改文件）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1.6.7</w:t>
            </w:r>
          </w:p>
        </w:tc>
        <w:tc>
          <w:tcPr>
            <w:tcW w:w="4534" w:type="pct"/>
            <w:vAlign w:val="center"/>
          </w:tcPr>
          <w:p>
            <w:pPr>
              <w:numPr>
                <w:ilvl w:val="1"/>
                <w:numId w:val="2"/>
              </w:numPr>
              <w:adjustRightInd/>
              <w:spacing w:line="360" w:lineRule="auto"/>
              <w:ind w:left="0" w:firstLine="480" w:firstLineChars="200"/>
              <w:rPr>
                <w:color w:val="auto"/>
                <w:sz w:val="24"/>
                <w:highlight w:val="none"/>
              </w:rPr>
            </w:pPr>
            <w:r>
              <w:rPr>
                <w:rFonts w:hint="eastAsia"/>
                <w:color w:val="auto"/>
                <w:sz w:val="24"/>
                <w:highlight w:val="none"/>
              </w:rPr>
              <w:t>除本合同另有约定外，若乙方行为导致甲方解除合同的，乙方按合同总额的2</w:t>
            </w:r>
            <w:r>
              <w:rPr>
                <w:color w:val="auto"/>
                <w:sz w:val="24"/>
                <w:highlight w:val="none"/>
              </w:rPr>
              <w:t>0%</w:t>
            </w:r>
            <w:r>
              <w:rPr>
                <w:rFonts w:hint="eastAsia"/>
                <w:color w:val="auto"/>
                <w:sz w:val="24"/>
                <w:highlight w:val="none"/>
              </w:rPr>
              <w:t>向甲方承担违约金，若甲方实际损失超过违约金数额，超出部分由乙方另行承担。</w:t>
            </w:r>
          </w:p>
          <w:p>
            <w:pPr>
              <w:numPr>
                <w:ilvl w:val="1"/>
                <w:numId w:val="2"/>
              </w:numPr>
              <w:adjustRightInd/>
              <w:spacing w:line="360" w:lineRule="auto"/>
              <w:ind w:left="0" w:firstLine="480" w:firstLineChars="200"/>
              <w:rPr>
                <w:color w:val="auto"/>
                <w:sz w:val="24"/>
                <w:highlight w:val="none"/>
              </w:rPr>
            </w:pPr>
            <w:r>
              <w:rPr>
                <w:rFonts w:hint="eastAsia"/>
                <w:color w:val="auto"/>
                <w:sz w:val="24"/>
                <w:highlight w:val="none"/>
              </w:rPr>
              <w:t>如因乙方原因达不到合同约定的合格等级和质量标准或验收不合格的，则乙方必须无条件返工至合格，并由甲方没收全部履约保证金，由此导致工期延误的，按照本合同条款承担违约责任。</w:t>
            </w:r>
          </w:p>
          <w:p>
            <w:pPr>
              <w:numPr>
                <w:ilvl w:val="1"/>
                <w:numId w:val="2"/>
              </w:numPr>
              <w:adjustRightInd/>
              <w:spacing w:line="360" w:lineRule="auto"/>
              <w:ind w:left="0" w:firstLine="480" w:firstLineChars="200"/>
              <w:rPr>
                <w:color w:val="auto"/>
                <w:sz w:val="24"/>
                <w:highlight w:val="none"/>
              </w:rPr>
            </w:pPr>
            <w:r>
              <w:rPr>
                <w:rFonts w:hint="eastAsia"/>
                <w:color w:val="auto"/>
                <w:sz w:val="24"/>
                <w:highlight w:val="none"/>
              </w:rPr>
              <w:t>未经甲方同意，乙方不得在任何时期擅自更换投标文件中规定的项目负责人和技术负责人，同时必须确保项目技术人员的数量和水平与投标文件一致，否则甲方有权解除合同，没收全部履约保证金，并要求乙方承担合同价格20%的违约金。</w:t>
            </w:r>
          </w:p>
          <w:p>
            <w:pPr>
              <w:numPr>
                <w:ilvl w:val="1"/>
                <w:numId w:val="2"/>
              </w:numPr>
              <w:adjustRightInd/>
              <w:spacing w:line="360" w:lineRule="auto"/>
              <w:ind w:left="0" w:firstLine="480" w:firstLineChars="200"/>
              <w:rPr>
                <w:color w:val="auto"/>
                <w:sz w:val="24"/>
                <w:highlight w:val="none"/>
              </w:rPr>
            </w:pPr>
            <w:r>
              <w:rPr>
                <w:rFonts w:hint="eastAsia"/>
                <w:color w:val="auto"/>
                <w:sz w:val="24"/>
                <w:highlight w:val="none"/>
              </w:rPr>
              <w:t>乙方应按招标文件要求派出工作需要的服务人员。服务人员不能按承诺时间到位，或因故退出或无法直接参与项目工作时，乙方应承担违约责任，并向甲方支付每人每天1000元的违约金。</w:t>
            </w:r>
          </w:p>
          <w:p>
            <w:pPr>
              <w:numPr>
                <w:ilvl w:val="1"/>
                <w:numId w:val="2"/>
              </w:numPr>
              <w:adjustRightInd/>
              <w:spacing w:line="360" w:lineRule="auto"/>
              <w:ind w:left="0" w:firstLine="480" w:firstLineChars="200"/>
              <w:rPr>
                <w:color w:val="auto"/>
                <w:sz w:val="24"/>
                <w:highlight w:val="none"/>
              </w:rPr>
            </w:pPr>
            <w:r>
              <w:rPr>
                <w:rFonts w:asciiTheme="minorEastAsia" w:hAnsiTheme="minorEastAsia" w:eastAsiaTheme="minorEastAsia"/>
                <w:color w:val="auto"/>
                <w:sz w:val="24"/>
                <w:highlight w:val="none"/>
              </w:rPr>
              <w:t>实景三维建设成果质量合格率达到</w:t>
            </w:r>
            <w:r>
              <w:rPr>
                <w:color w:val="auto"/>
                <w:sz w:val="24"/>
                <w:highlight w:val="none"/>
              </w:rPr>
              <w:t>100</w:t>
            </w:r>
            <w:r>
              <w:rPr>
                <w:rFonts w:asciiTheme="minorEastAsia" w:hAnsiTheme="minorEastAsia" w:eastAsiaTheme="minorEastAsia"/>
                <w:color w:val="auto"/>
                <w:sz w:val="24"/>
                <w:highlight w:val="none"/>
              </w:rPr>
              <w:t>%</w:t>
            </w:r>
            <w:r>
              <w:rPr>
                <w:rFonts w:hint="eastAsia"/>
                <w:color w:val="auto"/>
                <w:sz w:val="24"/>
                <w:highlight w:val="none"/>
              </w:rPr>
              <w:t>，如检查发现合格率低于</w:t>
            </w:r>
            <w:r>
              <w:rPr>
                <w:color w:val="auto"/>
                <w:sz w:val="24"/>
                <w:highlight w:val="none"/>
              </w:rPr>
              <w:t>100%</w:t>
            </w:r>
            <w:r>
              <w:rPr>
                <w:rFonts w:hint="eastAsia"/>
                <w:color w:val="auto"/>
                <w:sz w:val="24"/>
                <w:highlight w:val="none"/>
              </w:rPr>
              <w:t>每下降一个百分点扣除合同金额的0.05%，每下降不足1%的按1%扣除；</w:t>
            </w:r>
          </w:p>
          <w:p>
            <w:pPr>
              <w:numPr>
                <w:ilvl w:val="1"/>
                <w:numId w:val="2"/>
              </w:numPr>
              <w:adjustRightInd/>
              <w:spacing w:line="360" w:lineRule="auto"/>
              <w:ind w:left="0" w:firstLine="480" w:firstLineChars="200"/>
              <w:rPr>
                <w:color w:val="auto"/>
                <w:sz w:val="24"/>
                <w:highlight w:val="none"/>
              </w:rPr>
            </w:pPr>
            <w:r>
              <w:rPr>
                <w:rFonts w:hint="eastAsia"/>
                <w:color w:val="auto"/>
                <w:sz w:val="24"/>
                <w:highlight w:val="none"/>
              </w:rPr>
              <w:t>实景三维建设优良品率达到86%以上，如检查发现合格率低于</w:t>
            </w:r>
            <w:r>
              <w:rPr>
                <w:color w:val="auto"/>
                <w:sz w:val="24"/>
                <w:highlight w:val="none"/>
              </w:rPr>
              <w:t>100%</w:t>
            </w:r>
            <w:r>
              <w:rPr>
                <w:rFonts w:hint="eastAsia"/>
                <w:color w:val="auto"/>
                <w:sz w:val="24"/>
                <w:highlight w:val="none"/>
              </w:rPr>
              <w:t>每下降一个百分点扣除合同金额的</w:t>
            </w:r>
            <w:r>
              <w:rPr>
                <w:color w:val="auto"/>
                <w:sz w:val="24"/>
                <w:highlight w:val="none"/>
              </w:rPr>
              <w:t>0.05%，每下降不足1%</w:t>
            </w:r>
            <w:r>
              <w:rPr>
                <w:rFonts w:hint="eastAsia"/>
                <w:color w:val="auto"/>
                <w:sz w:val="24"/>
                <w:highlight w:val="none"/>
              </w:rPr>
              <w:t>的按</w:t>
            </w:r>
            <w:r>
              <w:rPr>
                <w:color w:val="auto"/>
                <w:sz w:val="24"/>
                <w:highlight w:val="none"/>
              </w:rPr>
              <w:t>1%</w:t>
            </w:r>
            <w:r>
              <w:rPr>
                <w:rFonts w:hint="eastAsia"/>
                <w:color w:val="auto"/>
                <w:sz w:val="24"/>
                <w:highlight w:val="none"/>
              </w:rPr>
              <w:t>扣除；</w:t>
            </w:r>
          </w:p>
          <w:p>
            <w:pPr>
              <w:numPr>
                <w:ilvl w:val="1"/>
                <w:numId w:val="2"/>
              </w:numPr>
              <w:adjustRightInd/>
              <w:spacing w:line="360" w:lineRule="auto"/>
              <w:ind w:left="0" w:firstLine="480" w:firstLineChars="200"/>
              <w:rPr>
                <w:color w:val="auto"/>
                <w:sz w:val="24"/>
                <w:highlight w:val="none"/>
              </w:rPr>
            </w:pPr>
            <w:r>
              <w:rPr>
                <w:rFonts w:hint="eastAsia"/>
                <w:color w:val="auto"/>
                <w:sz w:val="24"/>
                <w:highlight w:val="none"/>
              </w:rPr>
              <w:t>项目完成后，采购人对项目质量进行评估。参照《实景三维杭州建设质量控制方案》委托测绘成果质量检验机构对成果进行质量评定。得分在</w:t>
            </w:r>
            <w:r>
              <w:rPr>
                <w:color w:val="auto"/>
                <w:sz w:val="24"/>
                <w:highlight w:val="none"/>
              </w:rPr>
              <w:t>90</w:t>
            </w:r>
            <w:r>
              <w:rPr>
                <w:rFonts w:hint="eastAsia"/>
                <w:color w:val="auto"/>
                <w:sz w:val="24"/>
                <w:highlight w:val="none"/>
              </w:rPr>
              <w:t>分以上的为优秀；得分在</w:t>
            </w:r>
            <w:r>
              <w:rPr>
                <w:color w:val="auto"/>
                <w:sz w:val="24"/>
                <w:highlight w:val="none"/>
              </w:rPr>
              <w:t>75</w:t>
            </w:r>
            <w:r>
              <w:rPr>
                <w:rFonts w:hint="eastAsia"/>
                <w:color w:val="auto"/>
                <w:sz w:val="24"/>
                <w:highlight w:val="none"/>
              </w:rPr>
              <w:t>（含）</w:t>
            </w:r>
            <w:r>
              <w:rPr>
                <w:color w:val="auto"/>
                <w:sz w:val="24"/>
                <w:highlight w:val="none"/>
              </w:rPr>
              <w:t>-90</w:t>
            </w:r>
            <w:r>
              <w:rPr>
                <w:rFonts w:hint="eastAsia"/>
                <w:color w:val="auto"/>
                <w:sz w:val="24"/>
                <w:highlight w:val="none"/>
              </w:rPr>
              <w:t>分的为良好；得分在</w:t>
            </w:r>
            <w:r>
              <w:rPr>
                <w:color w:val="auto"/>
                <w:sz w:val="24"/>
                <w:highlight w:val="none"/>
              </w:rPr>
              <w:t>60</w:t>
            </w:r>
            <w:r>
              <w:rPr>
                <w:rFonts w:hint="eastAsia"/>
                <w:color w:val="auto"/>
                <w:sz w:val="24"/>
                <w:highlight w:val="none"/>
              </w:rPr>
              <w:t>（含）</w:t>
            </w:r>
            <w:r>
              <w:rPr>
                <w:color w:val="auto"/>
                <w:sz w:val="24"/>
                <w:highlight w:val="none"/>
              </w:rPr>
              <w:t>-75</w:t>
            </w:r>
            <w:r>
              <w:rPr>
                <w:rFonts w:hint="eastAsia"/>
                <w:color w:val="auto"/>
                <w:sz w:val="24"/>
                <w:highlight w:val="none"/>
              </w:rPr>
              <w:t>分的为合格；得分在</w:t>
            </w:r>
            <w:r>
              <w:rPr>
                <w:color w:val="auto"/>
                <w:sz w:val="24"/>
                <w:highlight w:val="none"/>
              </w:rPr>
              <w:t>60</w:t>
            </w:r>
            <w:r>
              <w:rPr>
                <w:rFonts w:hint="eastAsia"/>
                <w:color w:val="auto"/>
                <w:sz w:val="24"/>
                <w:highlight w:val="none"/>
              </w:rPr>
              <w:t>分以下的为不合格。检查结论为不通过或不合格的，项目承担单位返修后复检一次，仍不合格的扣除合同总额</w:t>
            </w:r>
            <w:r>
              <w:rPr>
                <w:color w:val="auto"/>
                <w:sz w:val="24"/>
                <w:highlight w:val="none"/>
              </w:rPr>
              <w:t>30%</w:t>
            </w:r>
            <w:r>
              <w:rPr>
                <w:rFonts w:hint="eastAsia"/>
                <w:color w:val="auto"/>
                <w:sz w:val="24"/>
                <w:highlight w:val="none"/>
              </w:rPr>
              <w:t>的违约金。</w:t>
            </w:r>
          </w:p>
          <w:p>
            <w:pPr>
              <w:numPr>
                <w:ilvl w:val="1"/>
                <w:numId w:val="2"/>
              </w:numPr>
              <w:adjustRightInd/>
              <w:spacing w:line="360" w:lineRule="auto"/>
              <w:ind w:left="0" w:firstLine="480" w:firstLineChars="200"/>
              <w:rPr>
                <w:color w:val="auto"/>
                <w:sz w:val="24"/>
                <w:highlight w:val="none"/>
              </w:rPr>
            </w:pPr>
            <w:r>
              <w:rPr>
                <w:rFonts w:hint="eastAsia"/>
                <w:color w:val="auto"/>
                <w:sz w:val="24"/>
                <w:highlight w:val="none"/>
              </w:rPr>
              <w:t>履行本合同的过程中，确因在现有水平和条件下难以克服的技术困难，导致项目部分或全部失败所造成的损失，由乙方全部承担。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1.7</w:t>
            </w:r>
          </w:p>
        </w:tc>
        <w:tc>
          <w:tcPr>
            <w:tcW w:w="4534" w:type="pct"/>
            <w:vAlign w:val="center"/>
          </w:tcPr>
          <w:p>
            <w:pPr>
              <w:spacing w:line="360" w:lineRule="auto"/>
              <w:rPr>
                <w:color w:val="auto"/>
                <w:sz w:val="24"/>
                <w:highlight w:val="none"/>
              </w:rPr>
            </w:pPr>
            <w:r>
              <w:rPr>
                <w:rFonts w:hint="eastAsia"/>
                <w:color w:val="auto"/>
                <w:sz w:val="24"/>
                <w:highlight w:val="none"/>
              </w:rPr>
              <w:t>1</w:t>
            </w:r>
            <w:r>
              <w:rPr>
                <w:color w:val="auto"/>
                <w:sz w:val="24"/>
                <w:highlight w:val="none"/>
              </w:rPr>
              <w:t>.7.1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1.7.1</w:t>
            </w:r>
          </w:p>
        </w:tc>
        <w:tc>
          <w:tcPr>
            <w:tcW w:w="4534" w:type="pct"/>
            <w:vAlign w:val="center"/>
          </w:tcPr>
          <w:p>
            <w:pPr>
              <w:spacing w:line="360" w:lineRule="auto"/>
              <w:rPr>
                <w:color w:val="auto"/>
                <w:sz w:val="24"/>
                <w:highlight w:val="none"/>
              </w:rPr>
            </w:pPr>
            <w:r>
              <w:rPr>
                <w:rFonts w:hint="eastAsia"/>
                <w:color w:val="auto"/>
                <w:sz w:val="24"/>
                <w:highlight w:val="none"/>
              </w:rPr>
              <w:t>杭州市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1.7.2</w:t>
            </w:r>
          </w:p>
        </w:tc>
        <w:tc>
          <w:tcPr>
            <w:tcW w:w="4534" w:type="pct"/>
            <w:vAlign w:val="center"/>
          </w:tcPr>
          <w:p>
            <w:pPr>
              <w:spacing w:line="360" w:lineRule="auto"/>
              <w:rPr>
                <w:rFonts w:asciiTheme="minorEastAsia" w:hAnsiTheme="minorEastAsia"/>
                <w:color w:val="auto"/>
                <w:sz w:val="24"/>
                <w:highlight w:val="none"/>
                <w:lang w:eastAsia="zh-Hans"/>
              </w:rPr>
            </w:pPr>
            <w:r>
              <w:rPr>
                <w:rFonts w:hint="eastAsia" w:asciiTheme="minorEastAsia" w:hAnsiTheme="minorEastAsia"/>
                <w:color w:val="auto"/>
                <w:sz w:val="24"/>
                <w:highlight w:val="none"/>
                <w:lang w:eastAsia="zh-Han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2.3.2</w:t>
            </w:r>
          </w:p>
        </w:tc>
        <w:tc>
          <w:tcPr>
            <w:tcW w:w="4534" w:type="pct"/>
            <w:vAlign w:val="center"/>
          </w:tcPr>
          <w:p>
            <w:pPr>
              <w:spacing w:line="360" w:lineRule="auto"/>
              <w:ind w:left="-420" w:leftChars="-200" w:right="-420" w:rightChars="-200" w:firstLine="480" w:firstLineChars="200"/>
              <w:rPr>
                <w:color w:val="auto"/>
                <w:sz w:val="24"/>
                <w:highlight w:val="none"/>
              </w:rPr>
            </w:pPr>
            <w:r>
              <w:rPr>
                <w:rFonts w:hint="eastAsia" w:asciiTheme="minorEastAsia" w:hAnsiTheme="minorEastAsia"/>
                <w:color w:val="auto"/>
                <w:sz w:val="24"/>
                <w:highlight w:val="none"/>
              </w:rPr>
              <w:t>归甲方所有</w:t>
            </w:r>
            <w:r>
              <w:rPr>
                <w:rFonts w:hint="eastAsia" w:asciiTheme="minorEastAsia" w:hAnsiTheme="minorEastAsia"/>
                <w:color w:val="auto"/>
                <w:sz w:val="24"/>
                <w:highlight w:val="none"/>
                <w:lang w:eastAsia="zh-Han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2.</w:t>
            </w:r>
            <w:r>
              <w:rPr>
                <w:color w:val="auto"/>
                <w:sz w:val="24"/>
                <w:highlight w:val="none"/>
              </w:rPr>
              <w:t>5</w:t>
            </w:r>
          </w:p>
        </w:tc>
        <w:tc>
          <w:tcPr>
            <w:tcW w:w="4534" w:type="pct"/>
            <w:vAlign w:val="center"/>
          </w:tcPr>
          <w:p>
            <w:pPr>
              <w:spacing w:line="360" w:lineRule="auto"/>
              <w:ind w:left="-420" w:leftChars="-200" w:right="-420" w:rightChars="-200" w:firstLine="480" w:firstLineChars="200"/>
              <w:rPr>
                <w:color w:val="auto"/>
                <w:sz w:val="24"/>
                <w:highlight w:val="none"/>
              </w:rPr>
            </w:pPr>
            <w:r>
              <w:rPr>
                <w:rFonts w:hint="eastAsia" w:asciiTheme="minorEastAsia" w:hAnsiTheme="minorEastAsia"/>
                <w:color w:val="auto"/>
                <w:sz w:val="24"/>
                <w:highlight w:val="none"/>
              </w:rPr>
              <w:t>同1.4.4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2.</w:t>
            </w:r>
            <w:r>
              <w:rPr>
                <w:color w:val="auto"/>
                <w:sz w:val="24"/>
                <w:highlight w:val="none"/>
              </w:rPr>
              <w:t>11</w:t>
            </w:r>
            <w:r>
              <w:rPr>
                <w:rFonts w:hint="eastAsia"/>
                <w:color w:val="auto"/>
                <w:sz w:val="24"/>
                <w:highlight w:val="none"/>
              </w:rPr>
              <w:t>.</w:t>
            </w:r>
            <w:r>
              <w:rPr>
                <w:color w:val="auto"/>
                <w:sz w:val="24"/>
                <w:highlight w:val="none"/>
              </w:rPr>
              <w:t>3</w:t>
            </w:r>
          </w:p>
        </w:tc>
        <w:tc>
          <w:tcPr>
            <w:tcW w:w="4534" w:type="pct"/>
            <w:vAlign w:val="center"/>
          </w:tcPr>
          <w:p>
            <w:pPr>
              <w:spacing w:line="360" w:lineRule="auto"/>
              <w:rPr>
                <w:color w:val="auto"/>
                <w:sz w:val="24"/>
                <w:highlight w:val="none"/>
              </w:rPr>
            </w:pPr>
            <w:r>
              <w:rPr>
                <w:rFonts w:hint="eastAsia" w:asciiTheme="minorEastAsia" w:hAnsiTheme="minorEastAsia"/>
                <w:color w:val="auto"/>
                <w:sz w:val="24"/>
                <w:highlight w:val="none"/>
              </w:rPr>
              <w:t>因不可抗力致使合同有变更必要的，双方当事人应在</w:t>
            </w:r>
            <w:r>
              <w:rPr>
                <w:rFonts w:hint="eastAsia" w:asciiTheme="minorEastAsia" w:hAnsiTheme="minorEastAsia"/>
                <w:color w:val="auto"/>
                <w:sz w:val="24"/>
                <w:highlight w:val="none"/>
                <w:u w:val="single"/>
              </w:rPr>
              <w:t>15</w:t>
            </w:r>
            <w:r>
              <w:rPr>
                <w:rFonts w:hint="eastAsia" w:asciiTheme="minorEastAsia" w:hAnsiTheme="minorEastAsia"/>
                <w:color w:val="auto"/>
                <w:sz w:val="24"/>
                <w:highlight w:val="none"/>
              </w:rPr>
              <w:t>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color w:val="auto"/>
                <w:sz w:val="24"/>
                <w:highlight w:val="none"/>
              </w:rPr>
            </w:pPr>
            <w:r>
              <w:rPr>
                <w:rFonts w:hint="eastAsia"/>
                <w:color w:val="auto"/>
                <w:sz w:val="24"/>
                <w:highlight w:val="none"/>
              </w:rPr>
              <w:t>2.</w:t>
            </w:r>
            <w:r>
              <w:rPr>
                <w:color w:val="auto"/>
                <w:sz w:val="24"/>
                <w:highlight w:val="none"/>
              </w:rPr>
              <w:t>11.4</w:t>
            </w:r>
            <w:r>
              <w:rPr>
                <w:rFonts w:hint="eastAsia"/>
                <w:color w:val="auto"/>
                <w:sz w:val="24"/>
                <w:highlight w:val="none"/>
              </w:rPr>
              <w:t xml:space="preserve"> </w:t>
            </w:r>
          </w:p>
        </w:tc>
        <w:tc>
          <w:tcPr>
            <w:tcW w:w="4534" w:type="pct"/>
            <w:vAlign w:val="center"/>
          </w:tcPr>
          <w:p>
            <w:pPr>
              <w:spacing w:line="360" w:lineRule="auto"/>
              <w:rPr>
                <w:color w:val="auto"/>
                <w:sz w:val="24"/>
                <w:highlight w:val="none"/>
              </w:rPr>
            </w:pPr>
            <w:r>
              <w:rPr>
                <w:rFonts w:hint="eastAsia" w:asciiTheme="minorEastAsia" w:hAnsiTheme="minorEastAsia"/>
                <w:color w:val="auto"/>
                <w:sz w:val="24"/>
                <w:highlight w:val="none"/>
              </w:rPr>
              <w:t>受不可抗力影响的一方在不可抗力发生后，应在</w:t>
            </w:r>
            <w:r>
              <w:rPr>
                <w:rFonts w:hint="eastAsia" w:asciiTheme="minorEastAsia" w:hAnsiTheme="minorEastAsia"/>
                <w:color w:val="auto"/>
                <w:sz w:val="24"/>
                <w:highlight w:val="none"/>
                <w:u w:val="single"/>
              </w:rPr>
              <w:t xml:space="preserve"> 15</w:t>
            </w:r>
            <w:r>
              <w:rPr>
                <w:rFonts w:hint="eastAsia" w:asciiTheme="minorEastAsia" w:hAnsiTheme="minorEastAsia"/>
                <w:color w:val="auto"/>
                <w:sz w:val="24"/>
                <w:highlight w:val="none"/>
              </w:rPr>
              <w:t>日内以书面形式通知对方当事人，并在</w:t>
            </w:r>
            <w:r>
              <w:rPr>
                <w:rFonts w:hint="eastAsia" w:asciiTheme="minorEastAsia" w:hAnsiTheme="minorEastAsia"/>
                <w:color w:val="auto"/>
                <w:sz w:val="24"/>
                <w:highlight w:val="none"/>
                <w:u w:val="single"/>
              </w:rPr>
              <w:t xml:space="preserve"> 15</w:t>
            </w:r>
            <w:r>
              <w:rPr>
                <w:rFonts w:hint="eastAsia" w:asciiTheme="minorEastAsia" w:hAnsiTheme="minorEastAsia"/>
                <w:color w:val="auto"/>
                <w:sz w:val="24"/>
                <w:highlight w:val="none"/>
              </w:rPr>
              <w:t>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2.</w:t>
            </w:r>
            <w:r>
              <w:rPr>
                <w:color w:val="auto"/>
                <w:sz w:val="24"/>
                <w:highlight w:val="none"/>
              </w:rPr>
              <w:t>15</w:t>
            </w:r>
            <w:r>
              <w:rPr>
                <w:rFonts w:hint="eastAsia"/>
                <w:color w:val="auto"/>
                <w:sz w:val="24"/>
                <w:highlight w:val="none"/>
              </w:rPr>
              <w:t>.</w:t>
            </w:r>
            <w:r>
              <w:rPr>
                <w:color w:val="auto"/>
                <w:sz w:val="24"/>
                <w:highlight w:val="none"/>
              </w:rPr>
              <w:t>1</w:t>
            </w:r>
          </w:p>
        </w:tc>
        <w:tc>
          <w:tcPr>
            <w:tcW w:w="4534" w:type="pct"/>
            <w:vAlign w:val="center"/>
          </w:tcPr>
          <w:p>
            <w:pPr>
              <w:spacing w:line="360" w:lineRule="auto"/>
              <w:rPr>
                <w:color w:val="auto"/>
                <w:sz w:val="24"/>
                <w:highlight w:val="none"/>
              </w:rPr>
            </w:pPr>
            <w:r>
              <w:rPr>
                <w:rFonts w:hint="eastAsia" w:asciiTheme="minorEastAsia" w:hAnsiTheme="minorEastAsia"/>
                <w:color w:val="auto"/>
                <w:sz w:val="24"/>
                <w:highlight w:val="none"/>
              </w:rPr>
              <w:t>乙方按照服务要求提供相关服务并提交服务报告，经甲方及监理审核确认后，甲方组织人员对项目进行验收。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2.</w:t>
            </w:r>
            <w:r>
              <w:rPr>
                <w:color w:val="auto"/>
                <w:sz w:val="24"/>
                <w:highlight w:val="none"/>
              </w:rPr>
              <w:t>15</w:t>
            </w:r>
            <w:r>
              <w:rPr>
                <w:rFonts w:hint="eastAsia"/>
                <w:color w:val="auto"/>
                <w:sz w:val="24"/>
                <w:highlight w:val="none"/>
              </w:rPr>
              <w:t>.</w:t>
            </w:r>
            <w:r>
              <w:rPr>
                <w:color w:val="auto"/>
                <w:sz w:val="24"/>
                <w:highlight w:val="none"/>
              </w:rPr>
              <w:t>3</w:t>
            </w:r>
          </w:p>
        </w:tc>
        <w:tc>
          <w:tcPr>
            <w:tcW w:w="4534" w:type="pct"/>
            <w:vAlign w:val="center"/>
          </w:tcPr>
          <w:p>
            <w:pPr>
              <w:spacing w:line="360" w:lineRule="auto"/>
              <w:rPr>
                <w:color w:val="auto"/>
                <w:sz w:val="24"/>
                <w:highlight w:val="none"/>
              </w:rPr>
            </w:pPr>
            <w:r>
              <w:rPr>
                <w:rFonts w:hint="eastAsia" w:asciiTheme="minorEastAsia" w:hAnsiTheme="minorEastAsia"/>
                <w:color w:val="auto"/>
                <w:sz w:val="24"/>
                <w:highlight w:val="none"/>
              </w:rPr>
              <w:t>采用本行业通用标准</w:t>
            </w:r>
            <w:r>
              <w:rPr>
                <w:rFonts w:hint="eastAsia" w:asciiTheme="minorEastAsia" w:hAnsiTheme="minorEastAsia"/>
                <w:color w:val="auto"/>
                <w:sz w:val="24"/>
                <w:highlight w:val="none"/>
                <w:lang w:eastAsia="zh-Hans"/>
              </w:rPr>
              <w:t>及</w:t>
            </w:r>
            <w:r>
              <w:rPr>
                <w:rFonts w:hint="eastAsia" w:asciiTheme="minorEastAsia" w:hAnsiTheme="minorEastAsia"/>
                <w:bCs/>
                <w:color w:val="auto"/>
                <w:sz w:val="24"/>
                <w:highlight w:val="none"/>
              </w:rPr>
              <w:t>《杭州市政府采购履约验收暂行办法》</w:t>
            </w:r>
            <w:r>
              <w:rPr>
                <w:rFonts w:hint="eastAsia" w:asciiTheme="minorEastAsia" w:hAnsiTheme="minorEastAsia"/>
                <w:bCs/>
                <w:color w:val="auto"/>
                <w:sz w:val="24"/>
                <w:highlight w:val="none"/>
                <w:lang w:eastAsia="zh-Hans"/>
              </w:rPr>
              <w:t>，有最新标准的按最新标准进行。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2.1</w:t>
            </w:r>
            <w:r>
              <w:rPr>
                <w:color w:val="auto"/>
                <w:sz w:val="24"/>
                <w:highlight w:val="none"/>
              </w:rPr>
              <w:t>8</w:t>
            </w:r>
            <w:r>
              <w:rPr>
                <w:rFonts w:hint="eastAsia"/>
                <w:color w:val="auto"/>
                <w:sz w:val="24"/>
                <w:highlight w:val="none"/>
              </w:rPr>
              <w:t>.1</w:t>
            </w:r>
          </w:p>
        </w:tc>
        <w:tc>
          <w:tcPr>
            <w:tcW w:w="4534" w:type="pct"/>
            <w:vAlign w:val="center"/>
          </w:tcPr>
          <w:p>
            <w:pPr>
              <w:spacing w:line="360" w:lineRule="auto"/>
              <w:rPr>
                <w:color w:val="auto"/>
                <w:sz w:val="24"/>
                <w:highlight w:val="none"/>
              </w:rPr>
            </w:pPr>
            <w:r>
              <w:rPr>
                <w:rFonts w:hint="eastAsia" w:asciiTheme="minorEastAsia" w:hAnsiTheme="minorEastAsia"/>
                <w:color w:val="auto"/>
                <w:sz w:val="24"/>
                <w:highlight w:val="none"/>
                <w:lang w:eastAsia="zh-Hans"/>
              </w:rPr>
              <w:t>不提供履约保证金。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color w:val="auto"/>
                <w:sz w:val="24"/>
                <w:highlight w:val="none"/>
              </w:rPr>
            </w:pPr>
            <w:r>
              <w:rPr>
                <w:rFonts w:hint="eastAsia"/>
                <w:color w:val="auto"/>
                <w:sz w:val="24"/>
                <w:highlight w:val="none"/>
              </w:rPr>
              <w:t>2.1</w:t>
            </w:r>
            <w:r>
              <w:rPr>
                <w:color w:val="auto"/>
                <w:sz w:val="24"/>
                <w:highlight w:val="none"/>
              </w:rPr>
              <w:t>8</w:t>
            </w:r>
            <w:r>
              <w:rPr>
                <w:rFonts w:hint="eastAsia"/>
                <w:color w:val="auto"/>
                <w:sz w:val="24"/>
                <w:highlight w:val="none"/>
              </w:rPr>
              <w:t>.</w:t>
            </w:r>
            <w:r>
              <w:rPr>
                <w:color w:val="auto"/>
                <w:sz w:val="24"/>
                <w:highlight w:val="none"/>
              </w:rPr>
              <w:t>2</w:t>
            </w:r>
          </w:p>
        </w:tc>
        <w:tc>
          <w:tcPr>
            <w:tcW w:w="4534" w:type="pct"/>
            <w:vAlign w:val="center"/>
          </w:tcPr>
          <w:p>
            <w:pPr>
              <w:spacing w:line="360" w:lineRule="auto"/>
              <w:rPr>
                <w:color w:val="auto"/>
                <w:sz w:val="24"/>
                <w:highlight w:val="none"/>
              </w:rPr>
            </w:pPr>
            <w:r>
              <w:rPr>
                <w:rFonts w:hint="eastAsia" w:asciiTheme="minorEastAsia" w:hAnsi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color w:val="auto"/>
                <w:sz w:val="24"/>
                <w:highlight w:val="none"/>
              </w:rPr>
            </w:pPr>
            <w:r>
              <w:rPr>
                <w:rFonts w:hint="eastAsia"/>
                <w:color w:val="auto"/>
                <w:sz w:val="24"/>
                <w:highlight w:val="none"/>
              </w:rPr>
              <w:t>2.20</w:t>
            </w:r>
          </w:p>
        </w:tc>
        <w:tc>
          <w:tcPr>
            <w:tcW w:w="4534" w:type="pct"/>
            <w:vAlign w:val="center"/>
          </w:tcPr>
          <w:p>
            <w:pPr>
              <w:spacing w:line="360" w:lineRule="auto"/>
              <w:rPr>
                <w:color w:val="auto"/>
                <w:sz w:val="24"/>
                <w:highlight w:val="none"/>
              </w:rPr>
            </w:pPr>
            <w:r>
              <w:rPr>
                <w:rFonts w:hint="eastAsia" w:asciiTheme="minorEastAsia" w:hAnsiTheme="minorEastAsia"/>
                <w:color w:val="auto"/>
                <w:sz w:val="24"/>
                <w:highlight w:val="none"/>
              </w:rPr>
              <w:t>本合同壹式</w:t>
            </w:r>
            <w:r>
              <w:rPr>
                <w:rFonts w:hint="eastAsia" w:asciiTheme="minorEastAsia" w:hAnsiTheme="minorEastAsia"/>
                <w:color w:val="auto"/>
                <w:sz w:val="24"/>
                <w:highlight w:val="none"/>
                <w:u w:val="single"/>
              </w:rPr>
              <w:t xml:space="preserve"> 陆 </w:t>
            </w:r>
            <w:r>
              <w:rPr>
                <w:rFonts w:hint="eastAsia" w:asciiTheme="minorEastAsia" w:hAnsiTheme="minorEastAsia"/>
                <w:color w:val="auto"/>
                <w:sz w:val="24"/>
                <w:highlight w:val="none"/>
              </w:rPr>
              <w:t>份，甲方执</w:t>
            </w:r>
            <w:r>
              <w:rPr>
                <w:rFonts w:hint="eastAsia" w:asciiTheme="minorEastAsia" w:hAnsiTheme="minorEastAsia"/>
                <w:color w:val="auto"/>
                <w:sz w:val="24"/>
                <w:highlight w:val="none"/>
                <w:u w:val="single"/>
              </w:rPr>
              <w:t xml:space="preserve"> 叁 </w:t>
            </w:r>
            <w:r>
              <w:rPr>
                <w:rFonts w:hint="eastAsia" w:asciiTheme="minorEastAsia" w:hAnsiTheme="minorEastAsia"/>
                <w:color w:val="auto"/>
                <w:sz w:val="24"/>
                <w:highlight w:val="none"/>
              </w:rPr>
              <w:t>份，乙方执</w:t>
            </w:r>
            <w:r>
              <w:rPr>
                <w:rFonts w:hint="eastAsia" w:asciiTheme="minorEastAsia" w:hAnsiTheme="minorEastAsia"/>
                <w:color w:val="auto"/>
                <w:sz w:val="24"/>
                <w:highlight w:val="none"/>
                <w:u w:val="single"/>
              </w:rPr>
              <w:t xml:space="preserve"> 叁 </w:t>
            </w:r>
            <w:r>
              <w:rPr>
                <w:rFonts w:hint="eastAsia" w:asciiTheme="minorEastAsia" w:hAnsiTheme="minorEastAsia"/>
                <w:color w:val="auto"/>
                <w:sz w:val="24"/>
                <w:highlight w:val="none"/>
              </w:rPr>
              <w:t>份。每份均具有同等法律效力。</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杭州市规划和自然资源局拱墅分局、浙江天辰工程咨询有限公司：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我方参与拱墅区城市级实景三维工程建设项目【招标编号：TCZX-ZFCG(F)-</w:t>
      </w:r>
      <w:r>
        <w:rPr>
          <w:rFonts w:hint="eastAsia" w:ascii="宋体" w:hAnsi="宋体" w:cs="宋体"/>
          <w:color w:val="auto"/>
          <w:sz w:val="24"/>
          <w:highlight w:val="none"/>
          <w:lang w:eastAsia="zh-CN"/>
        </w:rPr>
        <w:t>2024005</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杭州市规划和自然资源局拱墅分局、浙江天辰工程咨询有限公司：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我方参加你方组织的拱墅区城市级实景三维工程建设项目【招标编号：TCZX-ZFCG(F)-</w:t>
      </w:r>
      <w:r>
        <w:rPr>
          <w:rFonts w:hint="eastAsia" w:ascii="宋体" w:hAnsi="宋体" w:cs="宋体"/>
          <w:color w:val="auto"/>
          <w:sz w:val="24"/>
          <w:highlight w:val="none"/>
          <w:lang w:eastAsia="zh-CN"/>
        </w:rPr>
        <w:t>2024005</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9" w:name="_Hlk101257010"/>
      <w:r>
        <w:rPr>
          <w:rFonts w:hint="eastAsia" w:ascii="宋体" w:hAnsi="宋体" w:cs="宋体"/>
          <w:color w:val="auto"/>
          <w:sz w:val="24"/>
          <w:highlight w:val="none"/>
        </w:rPr>
        <w:t>（如果有)</w:t>
      </w:r>
      <w:bookmarkEnd w:id="509"/>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pacing w:line="360" w:lineRule="auto"/>
        <w:ind w:left="420" w:leftChars="200" w:firstLine="480" w:firstLineChars="200"/>
        <w:rPr>
          <w:color w:val="auto"/>
          <w:highlight w:val="none"/>
        </w:rPr>
      </w:pPr>
      <w:r>
        <w:rPr>
          <w:rFonts w:ascii="宋体" w:hAnsi="宋体" w:cs="宋体"/>
          <w:color w:val="auto"/>
          <w:sz w:val="24"/>
          <w:highlight w:val="none"/>
        </w:rPr>
        <w:t>2.3.2</w:t>
      </w:r>
      <w:r>
        <w:rPr>
          <w:rFonts w:hint="eastAsia" w:ascii="宋体" w:hAnsi="宋体" w:cs="宋体"/>
          <w:color w:val="auto"/>
          <w:sz w:val="24"/>
          <w:highlight w:val="none"/>
        </w:rPr>
        <w:t>报价情况说明（如果有）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pStyle w:val="2"/>
        <w:spacing w:line="360" w:lineRule="auto"/>
        <w:ind w:firstLine="960" w:firstLineChars="400"/>
        <w:rPr>
          <w:rFonts w:ascii="宋体" w:hAnsi="宋体" w:cs="宋体"/>
          <w:color w:val="auto"/>
          <w:sz w:val="24"/>
          <w:highlight w:val="none"/>
        </w:rPr>
      </w:pPr>
      <w:r>
        <w:rPr>
          <w:rFonts w:ascii="宋体" w:hAnsi="宋体" w:eastAsia="宋体" w:cs="宋体"/>
          <w:color w:val="auto"/>
          <w:sz w:val="24"/>
          <w:highlight w:val="none"/>
        </w:rPr>
        <w:t>3、我方承诺除商务技术偏离表列出的偏离外，我方响应招标文件的全部要求。</w:t>
      </w:r>
      <w:r>
        <w:rPr>
          <w:rFonts w:hint="eastAsia" w:ascii="宋体" w:hAnsi="宋体" w:eastAsia="宋体" w:cs="宋体"/>
          <w:color w:val="auto"/>
          <w:sz w:val="24"/>
          <w:highlight w:val="none"/>
        </w:rPr>
        <w:t>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5"/>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杭州市规划和自然资源局拱墅分局、浙江天辰工程咨询有限公司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拱墅区城市级实景三维工程建设项目【招标编号：TCZX-ZFCG(F)-</w:t>
      </w:r>
      <w:r>
        <w:rPr>
          <w:rFonts w:hint="eastAsia" w:ascii="宋体" w:hAnsi="宋体" w:cs="宋体"/>
          <w:color w:val="auto"/>
          <w:sz w:val="24"/>
          <w:highlight w:val="none"/>
          <w:lang w:eastAsia="zh-CN"/>
        </w:rPr>
        <w:t>2024005</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杭州市规划和自然资源局拱墅分局、浙江天辰工程咨询有限公司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拱墅区城市级实景三维工程建设项目【招标编号：TCZX-ZFCG(F)-</w:t>
      </w:r>
      <w:r>
        <w:rPr>
          <w:rFonts w:hint="eastAsia" w:ascii="宋体" w:hAnsi="宋体" w:cs="宋体"/>
          <w:color w:val="auto"/>
          <w:sz w:val="24"/>
          <w:highlight w:val="none"/>
          <w:lang w:eastAsia="zh-CN"/>
        </w:rPr>
        <w:t>2024005</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9"/>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9"/>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杭州市规划和自然资源局拱墅分局、浙江天辰工程咨询有限公司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numPr>
          <w:ilvl w:val="0"/>
          <w:numId w:val="3"/>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开标一览表（报价表）………………………………………………………（页码）</w:t>
      </w:r>
    </w:p>
    <w:p>
      <w:pPr>
        <w:spacing w:line="360" w:lineRule="auto"/>
        <w:rPr>
          <w:color w:val="auto"/>
          <w:sz w:val="24"/>
          <w:highlight w:val="none"/>
        </w:rPr>
      </w:pPr>
      <w:r>
        <w:rPr>
          <w:rFonts w:hint="eastAsia" w:ascii="宋体" w:hAnsi="宋体" w:cs="宋体"/>
          <w:color w:val="auto"/>
          <w:sz w:val="24"/>
          <w:highlight w:val="none"/>
        </w:rPr>
        <w:t>（2）</w:t>
      </w:r>
      <w:r>
        <w:rPr>
          <w:rFonts w:hint="eastAsia" w:hAnsi="仿宋_GB2312" w:cs="仿宋_GB2312"/>
          <w:bCs/>
          <w:snapToGrid w:val="0"/>
          <w:color w:val="auto"/>
          <w:sz w:val="24"/>
          <w:highlight w:val="none"/>
        </w:rPr>
        <w:t>报价情况说明</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（3）中小企业声明函………………………………………………………………（页码）</w:t>
      </w:r>
    </w:p>
    <w:p>
      <w:pPr>
        <w:pStyle w:val="2"/>
        <w:rPr>
          <w:color w:val="auto"/>
          <w:highlight w:val="none"/>
        </w:rPr>
      </w:pPr>
    </w:p>
    <w:p>
      <w:pPr>
        <w:pStyle w:val="2"/>
        <w:rPr>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杭州市规划和自然资源局拱墅分局、浙江天辰工程咨询有限公司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拱墅区城市级实景三维工程建设项目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TCZX-ZFCG(F)-</w:t>
      </w:r>
      <w:r>
        <w:rPr>
          <w:rFonts w:hint="eastAsia" w:ascii="宋体" w:hAnsi="宋体" w:cs="宋体"/>
          <w:color w:val="auto"/>
          <w:sz w:val="24"/>
          <w:highlight w:val="none"/>
          <w:lang w:eastAsia="zh-CN"/>
        </w:rPr>
        <w:t>2024005</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3"/>
        <w:keepNext w:val="0"/>
        <w:numPr>
          <w:ilvl w:val="0"/>
          <w:numId w:val="4"/>
        </w:numPr>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报价情况说明（如果有）</w:t>
      </w:r>
    </w:p>
    <w:p>
      <w:pPr>
        <w:pStyle w:val="5"/>
        <w:keepNext w:val="0"/>
        <w:numPr>
          <w:ilvl w:val="255"/>
          <w:numId w:val="0"/>
        </w:numPr>
        <w:tabs>
          <w:tab w:val="clear" w:pos="432"/>
        </w:tabs>
        <w:snapToGrid w:val="0"/>
        <w:spacing w:before="120" w:after="120"/>
        <w:rPr>
          <w:rFonts w:ascii="宋体" w:hAnsi="宋体" w:eastAsia="宋体" w:cs="宋体"/>
          <w:color w:val="auto"/>
          <w:highlight w:val="none"/>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三、</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2"/>
        <w:ind w:firstLine="482"/>
        <w:rPr>
          <w:rFonts w:ascii="宋体" w:hAnsi="宋体" w:cs="宋体"/>
          <w:b/>
          <w:color w:val="auto"/>
          <w:sz w:val="24"/>
          <w:highlight w:val="none"/>
        </w:rPr>
      </w:pPr>
    </w:p>
    <w:p>
      <w:pPr>
        <w:pStyle w:val="2"/>
        <w:ind w:firstLine="482"/>
        <w:rPr>
          <w:rFonts w:ascii="宋体" w:hAnsi="宋体" w:cs="宋体"/>
          <w:b/>
          <w:color w:val="auto"/>
          <w:sz w:val="24"/>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0" w:name="OLE_LINK13"/>
      <w:bookmarkStart w:id="511" w:name="OLE_LINK14"/>
      <w:r>
        <w:rPr>
          <w:rFonts w:hint="eastAsia" w:ascii="宋体" w:hAnsi="宋体" w:cs="宋体"/>
          <w:b/>
          <w:color w:val="auto"/>
          <w:spacing w:val="6"/>
          <w:sz w:val="32"/>
          <w:szCs w:val="32"/>
          <w:highlight w:val="none"/>
        </w:rPr>
        <w:t>残疾人福利性单位声明函</w:t>
      </w:r>
    </w:p>
    <w:bookmarkEnd w:id="510"/>
    <w:bookmarkEnd w:id="511"/>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本单位郑重声明，根据《财政部民政部中国残疾人联合会关于促进残疾人就业政府采购政策的通知》（财库〔2017〕141号）的规定，本单位为符合条件的残疾人福利性单位，且本单位参加_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拱墅区城市级实景三维工程建设项目</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杭州市规划和自然资源局拱墅分局、浙江天辰工程咨询有限公司：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你方组织的拱墅区城市级实景三维工程建设项目【招标编号：TCZX-ZFCG(F)-</w:t>
      </w:r>
      <w:r>
        <w:rPr>
          <w:rFonts w:hint="eastAsia" w:ascii="宋体" w:hAnsi="宋体" w:cs="宋体"/>
          <w:color w:val="auto"/>
          <w:sz w:val="24"/>
          <w:highlight w:val="none"/>
          <w:lang w:eastAsia="zh-CN"/>
        </w:rPr>
        <w:t>2024005</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拱墅区城市级实景三维工程建设项目【招标编号：TCZX-ZFCG(F)-</w:t>
      </w:r>
      <w:r>
        <w:rPr>
          <w:rFonts w:hint="eastAsia" w:ascii="宋体" w:hAnsi="宋体" w:cs="宋体"/>
          <w:color w:val="auto"/>
          <w:sz w:val="24"/>
          <w:highlight w:val="none"/>
          <w:lang w:eastAsia="zh-CN"/>
        </w:rPr>
        <w:t>2024005</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2"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2"/>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3"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3"/>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4"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4"/>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拱墅区城市级实景三维工程建设项目【招标编号：TCZX-ZFCG(F)-</w:t>
      </w:r>
      <w:r>
        <w:rPr>
          <w:rFonts w:hint="eastAsia" w:ascii="宋体" w:hAnsi="宋体" w:cs="宋体"/>
          <w:color w:val="auto"/>
          <w:sz w:val="24"/>
          <w:highlight w:val="none"/>
          <w:lang w:eastAsia="zh-CN"/>
        </w:rPr>
        <w:t>2024005</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5"/>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本公司（联合体）郑重声明，根据《政府采购促进中小企业发展管理办法》（财库﹝2020﹞46号）的规定，本公司（联合体）参加</w:t>
      </w:r>
      <w:r>
        <w:rPr>
          <w:rFonts w:hint="eastAsia" w:ascii="宋体" w:hAnsi="宋体" w:cs="宋体"/>
          <w:color w:val="auto"/>
          <w:sz w:val="24"/>
          <w:highlight w:val="none"/>
          <w:u w:val="single"/>
        </w:rPr>
        <w:t>杭州市规划和自然资源局拱墅分局</w:t>
      </w:r>
      <w:r>
        <w:rPr>
          <w:rFonts w:hint="eastAsia" w:ascii="宋体" w:hAnsi="宋体" w:cs="宋体"/>
          <w:color w:val="auto"/>
          <w:sz w:val="24"/>
          <w:highlight w:val="none"/>
        </w:rPr>
        <w:t>的</w:t>
      </w:r>
      <w:r>
        <w:rPr>
          <w:rFonts w:hint="eastAsia" w:ascii="宋体" w:hAnsi="宋体" w:cs="宋体"/>
          <w:color w:val="auto"/>
          <w:sz w:val="24"/>
          <w:highlight w:val="none"/>
          <w:u w:val="single"/>
        </w:rPr>
        <w:t>拱墅区城市级实景三维工程建设项目</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；承建（承接）企业为</w:t>
      </w:r>
      <w:r>
        <w:rPr>
          <w:rFonts w:hint="eastAsia" w:ascii="宋体" w:hAnsi="宋体" w:cs="宋体"/>
          <w:color w:val="auto"/>
          <w:sz w:val="24"/>
          <w:highlight w:val="none"/>
          <w:u w:val="single"/>
        </w:rPr>
        <w:t>（企业名称）</w:t>
      </w:r>
      <w:r>
        <w:rPr>
          <w:rFonts w:hint="eastAsia" w:ascii="宋体" w:hAnsi="宋体" w:cs="宋体"/>
          <w:color w:val="auto"/>
          <w:sz w:val="24"/>
          <w:highlight w:val="none"/>
        </w:rPr>
        <w:t>，从业人员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；承建（承接）企业为</w:t>
      </w:r>
      <w:r>
        <w:rPr>
          <w:rFonts w:hint="eastAsia" w:ascii="宋体" w:hAnsi="宋体" w:cs="宋体"/>
          <w:color w:val="auto"/>
          <w:sz w:val="24"/>
          <w:highlight w:val="none"/>
          <w:u w:val="single"/>
        </w:rPr>
        <w:t>（企业名称）</w:t>
      </w:r>
      <w:r>
        <w:rPr>
          <w:rFonts w:hint="eastAsia" w:ascii="宋体" w:hAnsi="宋体" w:cs="宋体"/>
          <w:color w:val="auto"/>
          <w:sz w:val="24"/>
          <w:highlight w:val="none"/>
        </w:rPr>
        <w:t>，从业人员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B0604020202020204"/>
    <w:charset w:val="86"/>
    <w:family w:val="auto"/>
    <w:pitch w:val="default"/>
    <w:sig w:usb0="00000000" w:usb1="00000000" w:usb2="00000000" w:usb3="00000000" w:csb0="00040000" w:csb1="00000000"/>
  </w:font>
  <w:font w:name="Futura Bk">
    <w:altName w:val="Segoe Print"/>
    <w:panose1 w:val="020B0602020204020303"/>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604020202020204"/>
    <w:charset w:val="00"/>
    <w:family w:val="auto"/>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20B0604020202020204"/>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20B0604020202020204"/>
    <w:charset w:val="86"/>
    <w:family w:val="auto"/>
    <w:pitch w:val="default"/>
    <w:sig w:usb0="00000000" w:usb1="00000000" w:usb2="00000010" w:usb3="00000000" w:csb0="00040000" w:csb1="00000000"/>
  </w:font>
  <w:font w:name="Arial (W1)">
    <w:altName w:val="Arial"/>
    <w:panose1 w:val="020B0604020202020204"/>
    <w:charset w:val="00"/>
    <w:family w:val="auto"/>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0000000000000000000"/>
    <w:charset w:val="00"/>
    <w:family w:val="auto"/>
    <w:pitch w:val="default"/>
    <w:sig w:usb0="00000000" w:usb1="00000000" w:usb2="00000000" w:usb3="00000000" w:csb0="0000019F" w:csb1="00000000"/>
  </w:font>
  <w:font w:name="Cumberland">
    <w:altName w:val="微软雅黑"/>
    <w:panose1 w:val="020B0604020202020204"/>
    <w:charset w:val="00"/>
    <w:family w:val="auto"/>
    <w:pitch w:val="default"/>
    <w:sig w:usb0="00000000" w:usb1="00000000" w:usb2="00000000" w:usb3="00000000" w:csb0="00000001" w:csb1="00000000"/>
  </w:font>
  <w:font w:name="方正宋体">
    <w:altName w:val="宋体"/>
    <w:panose1 w:val="020B0604020202020204"/>
    <w:charset w:val="00"/>
    <w:family w:val="auto"/>
    <w:pitch w:val="default"/>
    <w:sig w:usb0="00000000" w:usb1="00000000" w:usb2="00000000" w:usb3="00000000" w:csb0="00040001" w:csb1="00000000"/>
  </w:font>
  <w:font w:name="Futura Hv">
    <w:altName w:val="Segoe Print"/>
    <w:panose1 w:val="020B0602020204020303"/>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20B0604020202020204"/>
    <w:charset w:val="00"/>
    <w:family w:val="auto"/>
    <w:pitch w:val="default"/>
    <w:sig w:usb0="00000000" w:usb1="00000000" w:usb2="00000000" w:usb3="00000000" w:csb0="00000001" w:csb1="00000000"/>
  </w:font>
  <w:font w:name=".PingFang SC">
    <w:altName w:val="微软雅黑"/>
    <w:panose1 w:val="020B0604020202020204"/>
    <w:charset w:val="86"/>
    <w:family w:val="auto"/>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Cambria Math">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bookmarkStart w:id="515" w:name="_Toc164085800"/>
    <w:bookmarkStart w:id="516" w:name="_Toc91899912"/>
    <w:bookmarkStart w:id="517" w:name="_Toc131845147"/>
    <w:bookmarkStart w:id="518" w:name="_Toc3611018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11AAC"/>
    <w:multiLevelType w:val="multilevel"/>
    <w:tmpl w:val="05111AAC"/>
    <w:lvl w:ilvl="0" w:tentative="0">
      <w:start w:val="1"/>
      <w:numFmt w:val="decimal"/>
      <w:lvlText w:val="%1."/>
      <w:lvlJc w:val="left"/>
      <w:pPr>
        <w:ind w:left="425" w:hanging="425"/>
      </w:pPr>
    </w:lvl>
    <w:lvl w:ilvl="1" w:tentative="0">
      <w:start w:val="1"/>
      <w:numFmt w:val="decimal"/>
      <w:lvlText w:val="%2."/>
      <w:lvlJc w:val="left"/>
      <w:pPr>
        <w:ind w:left="3681" w:hanging="420"/>
      </w:pPr>
      <w:rPr>
        <w:rFonts w:hint="default"/>
        <w:color w:val="auto"/>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35D71722"/>
    <w:multiLevelType w:val="singleLevel"/>
    <w:tmpl w:val="35D71722"/>
    <w:lvl w:ilvl="0" w:tentative="0">
      <w:start w:val="2"/>
      <w:numFmt w:val="chineseCounting"/>
      <w:suff w:val="nothing"/>
      <w:lvlText w:val="%1、"/>
      <w:lvlJc w:val="left"/>
      <w:rPr>
        <w:rFonts w:hint="eastAsia"/>
      </w:rPr>
    </w:lvl>
  </w:abstractNum>
  <w:abstractNum w:abstractNumId="2">
    <w:nsid w:val="41892D21"/>
    <w:multiLevelType w:val="singleLevel"/>
    <w:tmpl w:val="41892D21"/>
    <w:lvl w:ilvl="0" w:tentative="0">
      <w:start w:val="1"/>
      <w:numFmt w:val="decimal"/>
      <w:suff w:val="nothing"/>
      <w:lvlText w:val="（%1）"/>
      <w:lvlJc w:val="left"/>
    </w:lvl>
  </w:abstractNum>
  <w:abstractNum w:abstractNumId="3">
    <w:nsid w:val="589E5D18"/>
    <w:multiLevelType w:val="multilevel"/>
    <w:tmpl w:val="589E5D1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OTMyNGMyN2EzYzcxNDNmMDdlYzA4ZmI3ZmEyMm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21CD"/>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E22"/>
    <w:rsid w:val="00036E9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1B6"/>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934"/>
    <w:rsid w:val="00097CDB"/>
    <w:rsid w:val="000A0729"/>
    <w:rsid w:val="000A0E69"/>
    <w:rsid w:val="000A1A52"/>
    <w:rsid w:val="000A1F98"/>
    <w:rsid w:val="000A3D58"/>
    <w:rsid w:val="000A3FE3"/>
    <w:rsid w:val="000A47B0"/>
    <w:rsid w:val="000A4851"/>
    <w:rsid w:val="000A49BB"/>
    <w:rsid w:val="000A4F22"/>
    <w:rsid w:val="000A5674"/>
    <w:rsid w:val="000A5A46"/>
    <w:rsid w:val="000A5DD1"/>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958"/>
    <w:rsid w:val="000D4AFA"/>
    <w:rsid w:val="000D5EA6"/>
    <w:rsid w:val="000D5F00"/>
    <w:rsid w:val="000D6540"/>
    <w:rsid w:val="000D6C9F"/>
    <w:rsid w:val="000D6E3B"/>
    <w:rsid w:val="000D6F30"/>
    <w:rsid w:val="000D74E4"/>
    <w:rsid w:val="000D7C9D"/>
    <w:rsid w:val="000D7CE0"/>
    <w:rsid w:val="000E2785"/>
    <w:rsid w:val="000E27BB"/>
    <w:rsid w:val="000E3153"/>
    <w:rsid w:val="000E3484"/>
    <w:rsid w:val="000E386F"/>
    <w:rsid w:val="000E3AB6"/>
    <w:rsid w:val="000E4051"/>
    <w:rsid w:val="000E4139"/>
    <w:rsid w:val="000E4765"/>
    <w:rsid w:val="000E5B51"/>
    <w:rsid w:val="000E5B7E"/>
    <w:rsid w:val="000E5FF9"/>
    <w:rsid w:val="000E6AE1"/>
    <w:rsid w:val="000E7142"/>
    <w:rsid w:val="000E7632"/>
    <w:rsid w:val="000E7737"/>
    <w:rsid w:val="000E7739"/>
    <w:rsid w:val="000E77EE"/>
    <w:rsid w:val="000F1361"/>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067"/>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62F"/>
    <w:rsid w:val="002B5847"/>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BF7"/>
    <w:rsid w:val="002C5D5E"/>
    <w:rsid w:val="002C6116"/>
    <w:rsid w:val="002C643D"/>
    <w:rsid w:val="002C66B8"/>
    <w:rsid w:val="002C70E7"/>
    <w:rsid w:val="002D030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AAC"/>
    <w:rsid w:val="002F0DFB"/>
    <w:rsid w:val="002F134F"/>
    <w:rsid w:val="002F1B1A"/>
    <w:rsid w:val="002F1D0B"/>
    <w:rsid w:val="002F1E1D"/>
    <w:rsid w:val="002F1F02"/>
    <w:rsid w:val="002F27E5"/>
    <w:rsid w:val="002F2D81"/>
    <w:rsid w:val="002F2F66"/>
    <w:rsid w:val="002F39D4"/>
    <w:rsid w:val="002F4BA9"/>
    <w:rsid w:val="002F541B"/>
    <w:rsid w:val="002F5BFE"/>
    <w:rsid w:val="002F5DA5"/>
    <w:rsid w:val="002F5E17"/>
    <w:rsid w:val="002F6373"/>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6CE"/>
    <w:rsid w:val="003A373C"/>
    <w:rsid w:val="003A5378"/>
    <w:rsid w:val="003A553C"/>
    <w:rsid w:val="003A56DF"/>
    <w:rsid w:val="003A6008"/>
    <w:rsid w:val="003A703F"/>
    <w:rsid w:val="003A7E2B"/>
    <w:rsid w:val="003A7E40"/>
    <w:rsid w:val="003B0336"/>
    <w:rsid w:val="003B0A3A"/>
    <w:rsid w:val="003B0D79"/>
    <w:rsid w:val="003B2482"/>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33CF"/>
    <w:rsid w:val="003F42FF"/>
    <w:rsid w:val="003F4B48"/>
    <w:rsid w:val="003F4DDC"/>
    <w:rsid w:val="003F56B8"/>
    <w:rsid w:val="003F57CB"/>
    <w:rsid w:val="003F5F1A"/>
    <w:rsid w:val="003F622B"/>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D7C"/>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307"/>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36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2A"/>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0E2"/>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173"/>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A4B"/>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3DC"/>
    <w:rsid w:val="00521908"/>
    <w:rsid w:val="005224BC"/>
    <w:rsid w:val="00522928"/>
    <w:rsid w:val="00522FF1"/>
    <w:rsid w:val="005235D8"/>
    <w:rsid w:val="00523946"/>
    <w:rsid w:val="0052397A"/>
    <w:rsid w:val="00525638"/>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7BA"/>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A1C"/>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EA6"/>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2BA"/>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E7CBC"/>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C6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A7"/>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6EA7"/>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342"/>
    <w:rsid w:val="0079778D"/>
    <w:rsid w:val="00797D73"/>
    <w:rsid w:val="007A006C"/>
    <w:rsid w:val="007A0789"/>
    <w:rsid w:val="007A08D0"/>
    <w:rsid w:val="007A130E"/>
    <w:rsid w:val="007A18B1"/>
    <w:rsid w:val="007A1BBD"/>
    <w:rsid w:val="007A1F08"/>
    <w:rsid w:val="007A2130"/>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DF7"/>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7B"/>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0C97"/>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99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449A"/>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5D3"/>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2B8"/>
    <w:rsid w:val="008B5AB9"/>
    <w:rsid w:val="008B67E6"/>
    <w:rsid w:val="008B69B8"/>
    <w:rsid w:val="008B7042"/>
    <w:rsid w:val="008B770C"/>
    <w:rsid w:val="008C0325"/>
    <w:rsid w:val="008C094A"/>
    <w:rsid w:val="008C1570"/>
    <w:rsid w:val="008C1792"/>
    <w:rsid w:val="008C17B2"/>
    <w:rsid w:val="008C1E3E"/>
    <w:rsid w:val="008C1F7B"/>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026"/>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2B7B"/>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597D"/>
    <w:rsid w:val="00936EA5"/>
    <w:rsid w:val="00937114"/>
    <w:rsid w:val="0094015D"/>
    <w:rsid w:val="00940916"/>
    <w:rsid w:val="009412B7"/>
    <w:rsid w:val="00941B13"/>
    <w:rsid w:val="0094215C"/>
    <w:rsid w:val="00942A27"/>
    <w:rsid w:val="00942F8E"/>
    <w:rsid w:val="00943543"/>
    <w:rsid w:val="009441DB"/>
    <w:rsid w:val="00944834"/>
    <w:rsid w:val="00945195"/>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4F7"/>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3E7C"/>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86C"/>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66A"/>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7E2"/>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902"/>
    <w:rsid w:val="00AA0A7E"/>
    <w:rsid w:val="00AA0B96"/>
    <w:rsid w:val="00AA0F23"/>
    <w:rsid w:val="00AA1067"/>
    <w:rsid w:val="00AA1163"/>
    <w:rsid w:val="00AA1DA8"/>
    <w:rsid w:val="00AA222C"/>
    <w:rsid w:val="00AA2264"/>
    <w:rsid w:val="00AA238E"/>
    <w:rsid w:val="00AA2483"/>
    <w:rsid w:val="00AA253B"/>
    <w:rsid w:val="00AA29F8"/>
    <w:rsid w:val="00AA3243"/>
    <w:rsid w:val="00AA388F"/>
    <w:rsid w:val="00AA3A98"/>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79C"/>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4D9"/>
    <w:rsid w:val="00B20760"/>
    <w:rsid w:val="00B2125C"/>
    <w:rsid w:val="00B21676"/>
    <w:rsid w:val="00B219E1"/>
    <w:rsid w:val="00B21ECF"/>
    <w:rsid w:val="00B22150"/>
    <w:rsid w:val="00B226DE"/>
    <w:rsid w:val="00B22FB5"/>
    <w:rsid w:val="00B22FF5"/>
    <w:rsid w:val="00B241D5"/>
    <w:rsid w:val="00B24BE9"/>
    <w:rsid w:val="00B2551D"/>
    <w:rsid w:val="00B25EA4"/>
    <w:rsid w:val="00B25F8C"/>
    <w:rsid w:val="00B260BE"/>
    <w:rsid w:val="00B26677"/>
    <w:rsid w:val="00B26A96"/>
    <w:rsid w:val="00B2713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C3"/>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6EC"/>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35"/>
    <w:rsid w:val="00B96EA6"/>
    <w:rsid w:val="00B9789D"/>
    <w:rsid w:val="00B97A4C"/>
    <w:rsid w:val="00BA050E"/>
    <w:rsid w:val="00BA0D16"/>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3802"/>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86A"/>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0B44"/>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77E39"/>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551"/>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67F"/>
    <w:rsid w:val="00D1079C"/>
    <w:rsid w:val="00D10BE1"/>
    <w:rsid w:val="00D11FE3"/>
    <w:rsid w:val="00D12393"/>
    <w:rsid w:val="00D12945"/>
    <w:rsid w:val="00D12CC0"/>
    <w:rsid w:val="00D12DA1"/>
    <w:rsid w:val="00D130C0"/>
    <w:rsid w:val="00D1343A"/>
    <w:rsid w:val="00D13C57"/>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6FA"/>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26B"/>
    <w:rsid w:val="00D926F0"/>
    <w:rsid w:val="00D92A87"/>
    <w:rsid w:val="00D9384E"/>
    <w:rsid w:val="00D93AEE"/>
    <w:rsid w:val="00D9413E"/>
    <w:rsid w:val="00D94C8D"/>
    <w:rsid w:val="00D95CD9"/>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2EE6"/>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2923"/>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403"/>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4F41"/>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17F9"/>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951"/>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829"/>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141"/>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5EA5"/>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11D"/>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626"/>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564C06"/>
    <w:rsid w:val="036634D2"/>
    <w:rsid w:val="036761A6"/>
    <w:rsid w:val="03AE3097"/>
    <w:rsid w:val="03DD35E4"/>
    <w:rsid w:val="04076900"/>
    <w:rsid w:val="041901C7"/>
    <w:rsid w:val="041A5A3B"/>
    <w:rsid w:val="042311BA"/>
    <w:rsid w:val="042B157A"/>
    <w:rsid w:val="048F763B"/>
    <w:rsid w:val="049F330E"/>
    <w:rsid w:val="04AA775C"/>
    <w:rsid w:val="04AF1889"/>
    <w:rsid w:val="04F66F48"/>
    <w:rsid w:val="05251E14"/>
    <w:rsid w:val="05A16594"/>
    <w:rsid w:val="05A7762D"/>
    <w:rsid w:val="05E71616"/>
    <w:rsid w:val="060E5941"/>
    <w:rsid w:val="06110FAF"/>
    <w:rsid w:val="06493CA7"/>
    <w:rsid w:val="065A6178"/>
    <w:rsid w:val="066F1CF3"/>
    <w:rsid w:val="06930BB8"/>
    <w:rsid w:val="07245D42"/>
    <w:rsid w:val="07264C62"/>
    <w:rsid w:val="0779354C"/>
    <w:rsid w:val="08061376"/>
    <w:rsid w:val="08352586"/>
    <w:rsid w:val="08452D77"/>
    <w:rsid w:val="086401F8"/>
    <w:rsid w:val="08751CAA"/>
    <w:rsid w:val="087E4C40"/>
    <w:rsid w:val="08A871D0"/>
    <w:rsid w:val="08D66AD6"/>
    <w:rsid w:val="08DA33A3"/>
    <w:rsid w:val="08E80F13"/>
    <w:rsid w:val="090109D5"/>
    <w:rsid w:val="09335624"/>
    <w:rsid w:val="0944690F"/>
    <w:rsid w:val="09535675"/>
    <w:rsid w:val="095F057D"/>
    <w:rsid w:val="09642282"/>
    <w:rsid w:val="09733572"/>
    <w:rsid w:val="09772C16"/>
    <w:rsid w:val="098353B5"/>
    <w:rsid w:val="09A92330"/>
    <w:rsid w:val="09B06B87"/>
    <w:rsid w:val="09C13146"/>
    <w:rsid w:val="09E04166"/>
    <w:rsid w:val="0A1C0718"/>
    <w:rsid w:val="0A3367C8"/>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AB349F"/>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3639F0"/>
    <w:rsid w:val="12530213"/>
    <w:rsid w:val="127723A9"/>
    <w:rsid w:val="12862074"/>
    <w:rsid w:val="12883966"/>
    <w:rsid w:val="129E45B4"/>
    <w:rsid w:val="12D81596"/>
    <w:rsid w:val="13072A44"/>
    <w:rsid w:val="135F4BE2"/>
    <w:rsid w:val="139B1A0A"/>
    <w:rsid w:val="139D25C7"/>
    <w:rsid w:val="13BF3CE4"/>
    <w:rsid w:val="13EE2D42"/>
    <w:rsid w:val="141008D8"/>
    <w:rsid w:val="14125FE6"/>
    <w:rsid w:val="146D271E"/>
    <w:rsid w:val="14982588"/>
    <w:rsid w:val="149A5AD9"/>
    <w:rsid w:val="14A7619D"/>
    <w:rsid w:val="150536C3"/>
    <w:rsid w:val="150C1963"/>
    <w:rsid w:val="151447A0"/>
    <w:rsid w:val="151F30B3"/>
    <w:rsid w:val="154A6454"/>
    <w:rsid w:val="15722EBE"/>
    <w:rsid w:val="15762120"/>
    <w:rsid w:val="15DE18EA"/>
    <w:rsid w:val="169B16A6"/>
    <w:rsid w:val="16A8729C"/>
    <w:rsid w:val="16B33777"/>
    <w:rsid w:val="16BC70A7"/>
    <w:rsid w:val="16C6339E"/>
    <w:rsid w:val="172F2D79"/>
    <w:rsid w:val="17557BEF"/>
    <w:rsid w:val="17D349C1"/>
    <w:rsid w:val="1830729E"/>
    <w:rsid w:val="1870062C"/>
    <w:rsid w:val="18817102"/>
    <w:rsid w:val="18830A15"/>
    <w:rsid w:val="18852B28"/>
    <w:rsid w:val="188B43D5"/>
    <w:rsid w:val="188B5321"/>
    <w:rsid w:val="194505FE"/>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E01DF0"/>
    <w:rsid w:val="1D266CE1"/>
    <w:rsid w:val="1D3963AF"/>
    <w:rsid w:val="1D6A673C"/>
    <w:rsid w:val="1D9247AE"/>
    <w:rsid w:val="1DB567EC"/>
    <w:rsid w:val="1DF51A98"/>
    <w:rsid w:val="1E0D5462"/>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6D06CE"/>
    <w:rsid w:val="22BE6801"/>
    <w:rsid w:val="233500BF"/>
    <w:rsid w:val="23377FF7"/>
    <w:rsid w:val="236B425F"/>
    <w:rsid w:val="237D7345"/>
    <w:rsid w:val="23836192"/>
    <w:rsid w:val="23901F29"/>
    <w:rsid w:val="239C0061"/>
    <w:rsid w:val="23B908A4"/>
    <w:rsid w:val="23E95BEF"/>
    <w:rsid w:val="23FD0064"/>
    <w:rsid w:val="245375B0"/>
    <w:rsid w:val="245F573A"/>
    <w:rsid w:val="24642C0A"/>
    <w:rsid w:val="24AD3DD3"/>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E975DE"/>
    <w:rsid w:val="27044A29"/>
    <w:rsid w:val="271D34C8"/>
    <w:rsid w:val="276142BF"/>
    <w:rsid w:val="27783712"/>
    <w:rsid w:val="27907362"/>
    <w:rsid w:val="27E404FE"/>
    <w:rsid w:val="28333E1D"/>
    <w:rsid w:val="28454BD6"/>
    <w:rsid w:val="28455253"/>
    <w:rsid w:val="28551971"/>
    <w:rsid w:val="285B1C53"/>
    <w:rsid w:val="28753671"/>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EDD678B"/>
    <w:rsid w:val="2F0A6B38"/>
    <w:rsid w:val="2F946CCB"/>
    <w:rsid w:val="2FB5D8D5"/>
    <w:rsid w:val="2FD25781"/>
    <w:rsid w:val="2FDC745C"/>
    <w:rsid w:val="2FFD7934"/>
    <w:rsid w:val="30733ACD"/>
    <w:rsid w:val="3085072A"/>
    <w:rsid w:val="308C3862"/>
    <w:rsid w:val="309379D8"/>
    <w:rsid w:val="30A270F7"/>
    <w:rsid w:val="30DA0731"/>
    <w:rsid w:val="30DF1478"/>
    <w:rsid w:val="30EC586F"/>
    <w:rsid w:val="310402C4"/>
    <w:rsid w:val="314550B7"/>
    <w:rsid w:val="319C6071"/>
    <w:rsid w:val="31AC537E"/>
    <w:rsid w:val="31E3679B"/>
    <w:rsid w:val="31E732FD"/>
    <w:rsid w:val="31F714D7"/>
    <w:rsid w:val="32517576"/>
    <w:rsid w:val="32705150"/>
    <w:rsid w:val="32BE5C2C"/>
    <w:rsid w:val="32FB6478"/>
    <w:rsid w:val="33263B3F"/>
    <w:rsid w:val="336963EB"/>
    <w:rsid w:val="33816EEB"/>
    <w:rsid w:val="33EB55CD"/>
    <w:rsid w:val="33EC4C02"/>
    <w:rsid w:val="340D2360"/>
    <w:rsid w:val="3410665D"/>
    <w:rsid w:val="3411315F"/>
    <w:rsid w:val="34211214"/>
    <w:rsid w:val="342E63AB"/>
    <w:rsid w:val="34950E68"/>
    <w:rsid w:val="34986E94"/>
    <w:rsid w:val="34AF62C9"/>
    <w:rsid w:val="34CB4388"/>
    <w:rsid w:val="34FA6E12"/>
    <w:rsid w:val="354D7158"/>
    <w:rsid w:val="356C061A"/>
    <w:rsid w:val="358D5588"/>
    <w:rsid w:val="363A3B40"/>
    <w:rsid w:val="365302AE"/>
    <w:rsid w:val="36607A0A"/>
    <w:rsid w:val="366E227C"/>
    <w:rsid w:val="366F2E0D"/>
    <w:rsid w:val="367B6A5C"/>
    <w:rsid w:val="36A74ADA"/>
    <w:rsid w:val="36AD60D5"/>
    <w:rsid w:val="36B224F9"/>
    <w:rsid w:val="36EC0CC9"/>
    <w:rsid w:val="37013B7D"/>
    <w:rsid w:val="373F410B"/>
    <w:rsid w:val="37EE7094"/>
    <w:rsid w:val="38296C89"/>
    <w:rsid w:val="383002EB"/>
    <w:rsid w:val="38586797"/>
    <w:rsid w:val="38BC0149"/>
    <w:rsid w:val="38D87D1C"/>
    <w:rsid w:val="39636459"/>
    <w:rsid w:val="396B7F6C"/>
    <w:rsid w:val="39B417A9"/>
    <w:rsid w:val="39E96B90"/>
    <w:rsid w:val="39FC5695"/>
    <w:rsid w:val="3A006D8E"/>
    <w:rsid w:val="3A3651E5"/>
    <w:rsid w:val="3A744481"/>
    <w:rsid w:val="3A8C7BEF"/>
    <w:rsid w:val="3A906246"/>
    <w:rsid w:val="3ACE5F0A"/>
    <w:rsid w:val="3AF34662"/>
    <w:rsid w:val="3B2349B7"/>
    <w:rsid w:val="3B616CFF"/>
    <w:rsid w:val="3B6259F6"/>
    <w:rsid w:val="3B64EB26"/>
    <w:rsid w:val="3B674E03"/>
    <w:rsid w:val="3B976654"/>
    <w:rsid w:val="3BC01EFC"/>
    <w:rsid w:val="3BCA786A"/>
    <w:rsid w:val="3BD31E2F"/>
    <w:rsid w:val="3BF15831"/>
    <w:rsid w:val="3C105946"/>
    <w:rsid w:val="3C471448"/>
    <w:rsid w:val="3C5F759A"/>
    <w:rsid w:val="3C6C525A"/>
    <w:rsid w:val="3CCE23CB"/>
    <w:rsid w:val="3CD17D17"/>
    <w:rsid w:val="3D1D04C5"/>
    <w:rsid w:val="3D3C7F39"/>
    <w:rsid w:val="3D440F09"/>
    <w:rsid w:val="3D4504A0"/>
    <w:rsid w:val="3D8734BB"/>
    <w:rsid w:val="3D9A11D4"/>
    <w:rsid w:val="3DA16D89"/>
    <w:rsid w:val="3DA364BE"/>
    <w:rsid w:val="3DE041CB"/>
    <w:rsid w:val="3E0D48F6"/>
    <w:rsid w:val="3E1868B4"/>
    <w:rsid w:val="3E377251"/>
    <w:rsid w:val="3E42664B"/>
    <w:rsid w:val="3E5A7334"/>
    <w:rsid w:val="3E756C84"/>
    <w:rsid w:val="3E7A310C"/>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A6156"/>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184B37"/>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9739F7"/>
    <w:rsid w:val="4BEE2503"/>
    <w:rsid w:val="4C245A30"/>
    <w:rsid w:val="4CA86337"/>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231B40"/>
    <w:rsid w:val="4F47354A"/>
    <w:rsid w:val="4F4B5D83"/>
    <w:rsid w:val="4F6D4A83"/>
    <w:rsid w:val="4F911C54"/>
    <w:rsid w:val="4FE625E0"/>
    <w:rsid w:val="5021480F"/>
    <w:rsid w:val="50374AE3"/>
    <w:rsid w:val="50962ECB"/>
    <w:rsid w:val="50A42E38"/>
    <w:rsid w:val="50A4577F"/>
    <w:rsid w:val="50B73D1F"/>
    <w:rsid w:val="50BD5BC9"/>
    <w:rsid w:val="50C11611"/>
    <w:rsid w:val="50C11EEE"/>
    <w:rsid w:val="50E214C3"/>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4A4E54"/>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07807"/>
    <w:rsid w:val="55A8376B"/>
    <w:rsid w:val="55DC29B6"/>
    <w:rsid w:val="55DD4241"/>
    <w:rsid w:val="566B6D1E"/>
    <w:rsid w:val="57032A2C"/>
    <w:rsid w:val="570F5219"/>
    <w:rsid w:val="57245405"/>
    <w:rsid w:val="575D12B5"/>
    <w:rsid w:val="57610A87"/>
    <w:rsid w:val="577B1140"/>
    <w:rsid w:val="577B7F21"/>
    <w:rsid w:val="577F181B"/>
    <w:rsid w:val="57921984"/>
    <w:rsid w:val="579737F0"/>
    <w:rsid w:val="57AB7B30"/>
    <w:rsid w:val="57AF5251"/>
    <w:rsid w:val="57B26373"/>
    <w:rsid w:val="57B63E99"/>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6E4EEC"/>
    <w:rsid w:val="5A792B1F"/>
    <w:rsid w:val="5A874767"/>
    <w:rsid w:val="5AA85BE2"/>
    <w:rsid w:val="5AAD6F28"/>
    <w:rsid w:val="5AD63A24"/>
    <w:rsid w:val="5B2E1A1D"/>
    <w:rsid w:val="5B843A1C"/>
    <w:rsid w:val="5B873E3F"/>
    <w:rsid w:val="5C02690E"/>
    <w:rsid w:val="5C196DA7"/>
    <w:rsid w:val="5C2A048C"/>
    <w:rsid w:val="5C684F80"/>
    <w:rsid w:val="5C80234E"/>
    <w:rsid w:val="5C8A680C"/>
    <w:rsid w:val="5D0C4701"/>
    <w:rsid w:val="5D0F0395"/>
    <w:rsid w:val="5D221076"/>
    <w:rsid w:val="5D397964"/>
    <w:rsid w:val="5D5A391C"/>
    <w:rsid w:val="5D5F10C0"/>
    <w:rsid w:val="5D891B7B"/>
    <w:rsid w:val="5D8A0B49"/>
    <w:rsid w:val="5DAD38EE"/>
    <w:rsid w:val="5E006862"/>
    <w:rsid w:val="5E0207B9"/>
    <w:rsid w:val="5E1834A1"/>
    <w:rsid w:val="5E261785"/>
    <w:rsid w:val="5E3A550C"/>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BF5BC6"/>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36A40"/>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57E8B0"/>
    <w:rsid w:val="668B6A45"/>
    <w:rsid w:val="67011F07"/>
    <w:rsid w:val="672F3F24"/>
    <w:rsid w:val="67354FE8"/>
    <w:rsid w:val="673E055F"/>
    <w:rsid w:val="67551CE3"/>
    <w:rsid w:val="67A22552"/>
    <w:rsid w:val="67B22DCC"/>
    <w:rsid w:val="67BE71AA"/>
    <w:rsid w:val="67D90273"/>
    <w:rsid w:val="67DE5875"/>
    <w:rsid w:val="67E55852"/>
    <w:rsid w:val="67EB1AB4"/>
    <w:rsid w:val="67F359D9"/>
    <w:rsid w:val="67FA1285"/>
    <w:rsid w:val="68551F4F"/>
    <w:rsid w:val="68621ACF"/>
    <w:rsid w:val="687C10C9"/>
    <w:rsid w:val="68840C16"/>
    <w:rsid w:val="68872541"/>
    <w:rsid w:val="68876EFB"/>
    <w:rsid w:val="68884654"/>
    <w:rsid w:val="689F444F"/>
    <w:rsid w:val="68B96DBB"/>
    <w:rsid w:val="68CA2805"/>
    <w:rsid w:val="68E937A3"/>
    <w:rsid w:val="691664E5"/>
    <w:rsid w:val="691D7647"/>
    <w:rsid w:val="693E15D3"/>
    <w:rsid w:val="69627681"/>
    <w:rsid w:val="696BF56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6FED65D6"/>
    <w:rsid w:val="704B4683"/>
    <w:rsid w:val="707723D0"/>
    <w:rsid w:val="70F5661B"/>
    <w:rsid w:val="71360107"/>
    <w:rsid w:val="713B688E"/>
    <w:rsid w:val="71D43752"/>
    <w:rsid w:val="71F1796A"/>
    <w:rsid w:val="72154626"/>
    <w:rsid w:val="721750DD"/>
    <w:rsid w:val="72262B5D"/>
    <w:rsid w:val="72283FF7"/>
    <w:rsid w:val="722E7212"/>
    <w:rsid w:val="723A0474"/>
    <w:rsid w:val="725923E4"/>
    <w:rsid w:val="72864BF7"/>
    <w:rsid w:val="729023FC"/>
    <w:rsid w:val="739C752D"/>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6E2688"/>
    <w:rsid w:val="76756BE7"/>
    <w:rsid w:val="76826699"/>
    <w:rsid w:val="76C87133"/>
    <w:rsid w:val="76CD08D5"/>
    <w:rsid w:val="76DB4B92"/>
    <w:rsid w:val="76FD013A"/>
    <w:rsid w:val="77052AA4"/>
    <w:rsid w:val="77136511"/>
    <w:rsid w:val="77340A39"/>
    <w:rsid w:val="77351FD0"/>
    <w:rsid w:val="77472422"/>
    <w:rsid w:val="777F31F2"/>
    <w:rsid w:val="77D1700D"/>
    <w:rsid w:val="77D7BFF1"/>
    <w:rsid w:val="77EC04CC"/>
    <w:rsid w:val="7844495E"/>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46B65"/>
    <w:rsid w:val="7A4670D6"/>
    <w:rsid w:val="7A534B63"/>
    <w:rsid w:val="7A615382"/>
    <w:rsid w:val="7A67303B"/>
    <w:rsid w:val="7AAB1D04"/>
    <w:rsid w:val="7ABA4368"/>
    <w:rsid w:val="7AD05746"/>
    <w:rsid w:val="7AD9139A"/>
    <w:rsid w:val="7B257FFD"/>
    <w:rsid w:val="7B273D20"/>
    <w:rsid w:val="7B343476"/>
    <w:rsid w:val="7B5A2978"/>
    <w:rsid w:val="7B5A7E4C"/>
    <w:rsid w:val="7B667AF9"/>
    <w:rsid w:val="7B7468F8"/>
    <w:rsid w:val="7BA9702E"/>
    <w:rsid w:val="7BEE0103"/>
    <w:rsid w:val="7C0A0FE4"/>
    <w:rsid w:val="7C254906"/>
    <w:rsid w:val="7C590818"/>
    <w:rsid w:val="7C7C10F6"/>
    <w:rsid w:val="7C853BEA"/>
    <w:rsid w:val="7C881368"/>
    <w:rsid w:val="7CE27788"/>
    <w:rsid w:val="7CEE0A85"/>
    <w:rsid w:val="7D0C32F1"/>
    <w:rsid w:val="7D0F408D"/>
    <w:rsid w:val="7D491C6C"/>
    <w:rsid w:val="7D5429C0"/>
    <w:rsid w:val="7D6E6D43"/>
    <w:rsid w:val="7DB57A34"/>
    <w:rsid w:val="7DE60973"/>
    <w:rsid w:val="7DEF0916"/>
    <w:rsid w:val="7E1E5218"/>
    <w:rsid w:val="7E9A4E1F"/>
    <w:rsid w:val="7EA7723A"/>
    <w:rsid w:val="7EAD3051"/>
    <w:rsid w:val="7EF56FBB"/>
    <w:rsid w:val="7F0768EB"/>
    <w:rsid w:val="7F143BEC"/>
    <w:rsid w:val="7F715AF2"/>
    <w:rsid w:val="7F886E69"/>
    <w:rsid w:val="BB7FA927"/>
    <w:rsid w:val="BBEEEFB2"/>
    <w:rsid w:val="BD7FDB7D"/>
    <w:rsid w:val="D6FF2C82"/>
    <w:rsid w:val="D8BF41D7"/>
    <w:rsid w:val="DF2B6122"/>
    <w:rsid w:val="DF572F98"/>
    <w:rsid w:val="DF9D3530"/>
    <w:rsid w:val="F5FFD31F"/>
    <w:rsid w:val="FF6FA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2">
    <w:name w:val="正文空2字"/>
    <w:basedOn w:val="3"/>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3">
    <w:name w:val="左对齐正文"/>
    <w:qFormat/>
    <w:uiPriority w:val="99"/>
    <w:rPr>
      <w:rFonts w:ascii="Calibri" w:hAnsi="Calibri" w:eastAsia="仿宋_GB2312" w:cs="Calibri"/>
      <w:kern w:val="2"/>
      <w:sz w:val="32"/>
      <w:szCs w:val="32"/>
      <w:lang w:val="en-US" w:eastAsia="zh-CN" w:bidi="ar-SA"/>
    </w:rPr>
  </w:style>
  <w:style w:type="paragraph" w:styleId="7">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9"/>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2"/>
    <w:autoRedefine/>
    <w:qFormat/>
    <w:uiPriority w:val="0"/>
    <w:pPr>
      <w:shd w:val="clear" w:color="auto" w:fill="000080"/>
    </w:pPr>
  </w:style>
  <w:style w:type="paragraph" w:styleId="21">
    <w:name w:val="annotation text"/>
    <w:basedOn w:val="1"/>
    <w:link w:val="344"/>
    <w:autoRedefine/>
    <w:qFormat/>
    <w:uiPriority w:val="99"/>
    <w:pPr>
      <w:jc w:val="left"/>
    </w:pPr>
  </w:style>
  <w:style w:type="paragraph" w:styleId="22">
    <w:name w:val="Salutation"/>
    <w:basedOn w:val="1"/>
    <w:next w:val="1"/>
    <w:link w:val="298"/>
    <w:autoRedefine/>
    <w:qFormat/>
    <w:uiPriority w:val="0"/>
    <w:rPr>
      <w:rFonts w:ascii="仿宋_GB2312" w:eastAsia="仿宋_GB2312"/>
      <w:sz w:val="28"/>
      <w:szCs w:val="20"/>
    </w:rPr>
  </w:style>
  <w:style w:type="paragraph" w:styleId="23">
    <w:name w:val="Body Text 3"/>
    <w:basedOn w:val="1"/>
    <w:link w:val="330"/>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Indent"/>
    <w:basedOn w:val="1"/>
    <w:link w:val="265"/>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1"/>
    <w:autoRedefine/>
    <w:qFormat/>
    <w:uiPriority w:val="0"/>
    <w:pPr>
      <w:ind w:left="100" w:leftChars="2500"/>
    </w:pPr>
    <w:rPr>
      <w:rFonts w:ascii="宋体"/>
      <w:sz w:val="24"/>
      <w:szCs w:val="21"/>
      <w:lang w:val="zh-CN"/>
    </w:rPr>
  </w:style>
  <w:style w:type="paragraph" w:styleId="38">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1"/>
    <w:autoRedefine/>
    <w:qFormat/>
    <w:uiPriority w:val="0"/>
    <w:rPr>
      <w:lang w:val="zh-CN"/>
    </w:rPr>
  </w:style>
  <w:style w:type="paragraph" w:styleId="40">
    <w:name w:val="Balloon Text"/>
    <w:basedOn w:val="1"/>
    <w:link w:val="188"/>
    <w:autoRedefine/>
    <w:qFormat/>
    <w:uiPriority w:val="0"/>
    <w:rPr>
      <w:sz w:val="18"/>
      <w:szCs w:val="18"/>
    </w:rPr>
  </w:style>
  <w:style w:type="paragraph" w:styleId="41">
    <w:name w:val="footer"/>
    <w:basedOn w:val="1"/>
    <w:link w:val="383"/>
    <w:autoRedefine/>
    <w:qFormat/>
    <w:uiPriority w:val="99"/>
    <w:pPr>
      <w:tabs>
        <w:tab w:val="center" w:pos="4153"/>
        <w:tab w:val="right" w:pos="8306"/>
      </w:tabs>
      <w:snapToGrid w:val="0"/>
      <w:jc w:val="left"/>
    </w:pPr>
    <w:rPr>
      <w:sz w:val="18"/>
      <w:szCs w:val="18"/>
    </w:rPr>
  </w:style>
  <w:style w:type="paragraph" w:styleId="42">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7"/>
    <w:link w:val="310"/>
    <w:autoRedefine/>
    <w:qFormat/>
    <w:uiPriority w:val="99"/>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5"/>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2"/>
    <w:autoRedefine/>
    <w:qFormat/>
    <w:uiPriority w:val="0"/>
    <w:pPr>
      <w:spacing w:after="120" w:line="480" w:lineRule="auto"/>
    </w:pPr>
  </w:style>
  <w:style w:type="paragraph" w:styleId="58">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6"/>
    <w:autoRedefine/>
    <w:qFormat/>
    <w:uiPriority w:val="0"/>
    <w:rPr>
      <w:b/>
      <w:bCs/>
    </w:rPr>
  </w:style>
  <w:style w:type="paragraph" w:styleId="62">
    <w:name w:val="Body Text First Indent"/>
    <w:basedOn w:val="25"/>
    <w:link w:val="321"/>
    <w:autoRedefine/>
    <w:qFormat/>
    <w:uiPriority w:val="0"/>
    <w:pPr>
      <w:ind w:firstLine="420"/>
    </w:pPr>
    <w:rPr>
      <w:rFonts w:hAnsi="Calibri" w:cs="Times New Roman"/>
      <w:snapToGrid/>
      <w:szCs w:val="20"/>
    </w:rPr>
  </w:style>
  <w:style w:type="paragraph" w:styleId="63">
    <w:name w:val="Body Text First Indent 2"/>
    <w:basedOn w:val="26"/>
    <w:link w:val="121"/>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paragraph" w:customStyle="1" w:styleId="8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字符"/>
    <w:link w:val="61"/>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文本首行缩进 2 字符"/>
    <w:link w:val="63"/>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71"/>
    <w:autoRedefine/>
    <w:qFormat/>
    <w:uiPriority w:val="0"/>
    <w:rPr>
      <w:rFonts w:ascii="Arial" w:hAnsi="Arial" w:eastAsia="黑体" w:cs="Arial"/>
      <w:snapToGrid w:val="0"/>
      <w:kern w:val="0"/>
      <w:szCs w:val="21"/>
    </w:rPr>
  </w:style>
  <w:style w:type="character" w:customStyle="1" w:styleId="125">
    <w:name w:val="纯文本 字符1"/>
    <w:link w:val="34"/>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字符"/>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autoRedefine/>
    <w:qFormat/>
    <w:uiPriority w:val="0"/>
    <w:rPr>
      <w:rFonts w:hint="eastAsia" w:ascii="仿宋_GB2312" w:eastAsia="仿宋_GB2312" w:cs="仿宋_GB2312"/>
      <w:color w:val="000000"/>
      <w:sz w:val="22"/>
      <w:szCs w:val="22"/>
      <w:u w:val="none"/>
    </w:rPr>
  </w:style>
  <w:style w:type="character" w:customStyle="1" w:styleId="147">
    <w:name w:val="标题 6 字符"/>
    <w:link w:val="10"/>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5"/>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字符"/>
    <w:link w:val="37"/>
    <w:autoRedefine/>
    <w:qFormat/>
    <w:uiPriority w:val="0"/>
    <w:rPr>
      <w:rFonts w:ascii="宋体"/>
      <w:kern w:val="2"/>
      <w:sz w:val="24"/>
      <w:szCs w:val="21"/>
      <w:lang w:val="zh-CN"/>
    </w:rPr>
  </w:style>
  <w:style w:type="character" w:customStyle="1" w:styleId="182">
    <w:name w:val="标题 9 字符"/>
    <w:link w:val="13"/>
    <w:autoRedefine/>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字符1"/>
    <w:link w:val="40"/>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7"/>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字符"/>
    <w:link w:val="20"/>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71"/>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字符"/>
    <w:link w:val="31"/>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8"/>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字符"/>
    <w:link w:val="18"/>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字符1"/>
    <w:link w:val="26"/>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字符1"/>
    <w:link w:val="4"/>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字符"/>
    <w:link w:val="60"/>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字符"/>
    <w:link w:val="9"/>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字符"/>
    <w:link w:val="22"/>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字符"/>
    <w:link w:val="58"/>
    <w:autoRedefine/>
    <w:qFormat/>
    <w:uiPriority w:val="0"/>
    <w:rPr>
      <w:rFonts w:ascii="黑体" w:hAnsi="Courier New" w:eastAsia="黑体"/>
    </w:rPr>
  </w:style>
  <w:style w:type="character" w:customStyle="1" w:styleId="302">
    <w:name w:val="正文文本 2 字符1"/>
    <w:link w:val="57"/>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8"/>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字符"/>
    <w:link w:val="11"/>
    <w:autoRedefine/>
    <w:qFormat/>
    <w:uiPriority w:val="0"/>
    <w:rPr>
      <w:b/>
      <w:bCs/>
      <w:kern w:val="2"/>
      <w:sz w:val="24"/>
      <w:szCs w:val="24"/>
    </w:rPr>
  </w:style>
  <w:style w:type="character" w:customStyle="1" w:styleId="308">
    <w:name w:val="正文文本缩进 2 字符"/>
    <w:link w:val="38"/>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字符"/>
    <w:link w:val="51"/>
    <w:autoRedefine/>
    <w:qFormat/>
    <w:uiPriority w:val="99"/>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文本首行缩进 字符"/>
    <w:link w:val="62"/>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字符1"/>
    <w:link w:val="8"/>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字符"/>
    <w:link w:val="23"/>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字符1"/>
    <w:link w:val="21"/>
    <w:autoRedefine/>
    <w:qFormat/>
    <w:uiPriority w:val="99"/>
    <w:rPr>
      <w:kern w:val="2"/>
      <w:sz w:val="21"/>
      <w:szCs w:val="24"/>
    </w:rPr>
  </w:style>
  <w:style w:type="character" w:customStyle="1" w:styleId="345">
    <w:name w:val="签名 字符"/>
    <w:link w:val="43"/>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字符"/>
    <w:link w:val="12"/>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字符"/>
    <w:link w:val="54"/>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字符2"/>
    <w:link w:val="41"/>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字符2"/>
    <w:link w:val="42"/>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1"/>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7"/>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字符"/>
    <w:link w:val="25"/>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71"/>
    <w:autoRedefine/>
    <w:qFormat/>
    <w:uiPriority w:val="0"/>
    <w:rPr>
      <w:rFonts w:ascii="Arial" w:hAnsi="Arial" w:eastAsia="黑体" w:cs="Arial"/>
      <w:snapToGrid w:val="0"/>
      <w:kern w:val="0"/>
      <w:szCs w:val="21"/>
    </w:rPr>
  </w:style>
  <w:style w:type="character" w:customStyle="1" w:styleId="432">
    <w:name w:val="hui"/>
    <w:basedOn w:val="71"/>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312"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5"/>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spacing w:before="0" w:after="0"/>
      <w:outlineLvl w:val="5"/>
    </w:pPr>
  </w:style>
  <w:style w:type="paragraph" w:customStyle="1" w:styleId="474">
    <w:name w:val="5级标题"/>
    <w:basedOn w:val="475"/>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10"/>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2"/>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5"/>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6"/>
    <w:next w:val="1"/>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9"/>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6"/>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7"/>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8"/>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156"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6"/>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5"/>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4"/>
    <w:autoRedefine/>
    <w:qFormat/>
    <w:uiPriority w:val="0"/>
    <w:pPr>
      <w:tabs>
        <w:tab w:val="left" w:pos="840"/>
      </w:tabs>
      <w:adjustRightInd/>
      <w:ind w:left="840" w:hanging="420"/>
    </w:pPr>
  </w:style>
  <w:style w:type="paragraph" w:customStyle="1" w:styleId="626">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8"/>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5"/>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156"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0" w:beforeLines="0" w:after="0" w:afterLines="0"/>
      <w:ind w:left="1680"/>
      <w:outlineLvl w:val="2"/>
    </w:pPr>
  </w:style>
  <w:style w:type="paragraph" w:customStyle="1" w:styleId="658">
    <w:name w:val="章标题"/>
    <w:next w:val="6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5"/>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8"/>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 标题 3H3 + 两端对齐"/>
    <w:basedOn w:val="6"/>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8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7"/>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6"/>
    <w:next w:val="54"/>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40"/>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5"/>
    <w:next w:val="640"/>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4"/>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8"/>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20"/>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8"/>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6"/>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4"/>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9"/>
    <w:next w:val="1"/>
    <w:autoRedefine/>
    <w:qFormat/>
    <w:uiPriority w:val="0"/>
    <w:pPr>
      <w:tabs>
        <w:tab w:val="left" w:pos="1080"/>
      </w:tabs>
      <w:ind w:left="1080" w:hanging="1080"/>
    </w:pPr>
  </w:style>
  <w:style w:type="paragraph" w:customStyle="1" w:styleId="896">
    <w:name w:val="数字标题1"/>
    <w:basedOn w:val="4"/>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3"/>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2"/>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字符"/>
    <w:link w:val="39"/>
    <w:autoRedefine/>
    <w:qFormat/>
    <w:uiPriority w:val="0"/>
    <w:rPr>
      <w:kern w:val="2"/>
      <w:sz w:val="21"/>
      <w:szCs w:val="24"/>
      <w:lang w:val="zh-CN"/>
    </w:rPr>
  </w:style>
  <w:style w:type="character" w:customStyle="1" w:styleId="932">
    <w:name w:val="无间隔 字符"/>
    <w:link w:val="483"/>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8"/>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1"/>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p15"/>
    <w:basedOn w:val="1"/>
    <w:autoRedefine/>
    <w:qFormat/>
    <w:uiPriority w:val="0"/>
    <w:pPr>
      <w:widowControl/>
      <w:spacing w:line="360" w:lineRule="auto"/>
      <w:ind w:firstLine="403"/>
    </w:pPr>
    <w:rPr>
      <w:rFonts w:ascii="仿宋_GB2312" w:hAnsi="宋体" w:eastAsia="仿宋_GB2312" w:cs="宋体"/>
      <w:kern w:val="0"/>
      <w:szCs w:val="28"/>
    </w:rPr>
  </w:style>
  <w:style w:type="paragraph" w:customStyle="1" w:styleId="965">
    <w:name w:val="A_正文_两端"/>
    <w:basedOn w:val="1"/>
    <w:autoRedefine/>
    <w:qFormat/>
    <w:uiPriority w:val="0"/>
    <w:pPr>
      <w:ind w:firstLine="560" w:firstLineChars="200"/>
    </w:pPr>
    <w:rPr>
      <w:rFonts w:eastAsia="仿宋" w:cs="Calibri"/>
      <w:szCs w:val="28"/>
    </w:rPr>
  </w:style>
  <w:style w:type="table" w:customStyle="1" w:styleId="966">
    <w:name w:val="Table Normal"/>
    <w:unhideWhenUsed/>
    <w:qFormat/>
    <w:uiPriority w:val="0"/>
    <w:tblPr>
      <w:tblCellMar>
        <w:top w:w="0" w:type="dxa"/>
        <w:left w:w="0" w:type="dxa"/>
        <w:bottom w:w="0" w:type="dxa"/>
        <w:right w:w="0" w:type="dxa"/>
      </w:tblCellMar>
    </w:tblPr>
  </w:style>
  <w:style w:type="paragraph" w:customStyle="1" w:styleId="967">
    <w:name w:val="无间隔3"/>
    <w:basedOn w:val="1"/>
    <w:autoRedefine/>
    <w:qFormat/>
    <w:uiPriority w:val="99"/>
    <w:rPr>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90</Pages>
  <Words>44457</Words>
  <Characters>47479</Characters>
  <Lines>391</Lines>
  <Paragraphs>110</Paragraphs>
  <TotalTime>2</TotalTime>
  <ScaleCrop>false</ScaleCrop>
  <LinksUpToDate>false</LinksUpToDate>
  <CharactersWithSpaces>52762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2024-05-10T04:04:00Z</dcterms:created>
  <dc:creator>玥</dc:creator>
  <cp:lastModifiedBy>不惜^_^</cp:lastModifiedBy>
  <cp:lastPrinted>2024-04-28T02:56:00Z</cp:lastPrinted>
  <dcterms:modified xsi:type="dcterms:W3CDTF">2024-05-24T08:18:48Z</dcterms:modified>
  <dc:title>杭州市市民卡扩大发卡工程</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AD4238467E7144309C9E101140F352D6</vt:lpwstr>
  </property>
</Properties>
</file>