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6E3455">
      <w:pPr>
        <w:spacing w:line="360" w:lineRule="auto"/>
        <w:jc w:val="center"/>
        <w:rPr>
          <w:rFonts w:ascii="宋体" w:hAnsi="宋体" w:cs="宋体"/>
          <w:b/>
          <w:color w:val="auto"/>
          <w:sz w:val="24"/>
          <w:highlight w:val="none"/>
        </w:rPr>
      </w:pPr>
    </w:p>
    <w:p w14:paraId="2FB3130A">
      <w:pPr>
        <w:adjustRightInd/>
        <w:spacing w:line="360" w:lineRule="auto"/>
        <w:jc w:val="center"/>
        <w:rPr>
          <w:rFonts w:ascii="宋体" w:hAnsi="宋体" w:cs="宋体"/>
          <w:b/>
          <w:color w:val="auto"/>
          <w:sz w:val="48"/>
          <w:szCs w:val="48"/>
          <w:highlight w:val="none"/>
        </w:rPr>
      </w:pPr>
    </w:p>
    <w:p w14:paraId="5B1715D5">
      <w:pPr>
        <w:adjustRightInd/>
        <w:spacing w:line="360" w:lineRule="auto"/>
        <w:ind w:firstLine="480" w:firstLineChars="100"/>
        <w:jc w:val="center"/>
        <w:rPr>
          <w:rFonts w:hint="eastAsia" w:ascii="宋体" w:hAnsi="宋体" w:cs="宋体"/>
          <w:color w:val="auto"/>
          <w:sz w:val="48"/>
          <w:szCs w:val="48"/>
          <w:highlight w:val="none"/>
        </w:rPr>
      </w:pPr>
      <w:r>
        <w:rPr>
          <w:rFonts w:hint="eastAsia" w:ascii="宋体" w:hAnsi="宋体" w:cs="宋体"/>
          <w:color w:val="auto"/>
          <w:sz w:val="48"/>
          <w:szCs w:val="48"/>
          <w:highlight w:val="none"/>
          <w:lang w:eastAsia="zh-CN"/>
        </w:rPr>
        <w:t>杭州市钱塘区金沙湖实验学校2025年足球场改造工程</w:t>
      </w:r>
    </w:p>
    <w:p w14:paraId="26D414E6">
      <w:pPr>
        <w:adjustRightInd/>
        <w:spacing w:line="360" w:lineRule="auto"/>
        <w:ind w:firstLine="480" w:firstLineChars="100"/>
        <w:jc w:val="center"/>
        <w:rPr>
          <w:rFonts w:ascii="宋体" w:hAnsi="宋体" w:cs="宋体"/>
          <w:color w:val="auto"/>
          <w:sz w:val="48"/>
          <w:szCs w:val="48"/>
          <w:highlight w:val="none"/>
        </w:rPr>
      </w:pPr>
      <w:r>
        <w:rPr>
          <w:rFonts w:hint="eastAsia" w:ascii="宋体" w:hAnsi="宋体" w:cs="宋体"/>
          <w:color w:val="auto"/>
          <w:sz w:val="48"/>
          <w:szCs w:val="48"/>
          <w:highlight w:val="none"/>
        </w:rPr>
        <w:t>（政府采购工程）</w:t>
      </w:r>
    </w:p>
    <w:p w14:paraId="554FD904">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（电子交易）</w:t>
      </w:r>
      <w:bookmarkStart w:id="1202" w:name="_GoBack"/>
      <w:bookmarkEnd w:id="1202"/>
    </w:p>
    <w:p w14:paraId="0B9C319C">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 xml:space="preserve"> QTCG-CS-2025-038</w:t>
      </w:r>
    </w:p>
    <w:p w14:paraId="23F16EA7">
      <w:pPr>
        <w:adjustRightInd/>
        <w:spacing w:line="360" w:lineRule="auto"/>
        <w:rPr>
          <w:rFonts w:ascii="宋体" w:hAnsi="宋体" w:cs="宋体"/>
          <w:color w:val="auto"/>
          <w:sz w:val="28"/>
          <w:szCs w:val="20"/>
          <w:highlight w:val="none"/>
        </w:rPr>
      </w:pPr>
    </w:p>
    <w:p w14:paraId="66072267">
      <w:pPr>
        <w:spacing w:line="360" w:lineRule="auto"/>
        <w:jc w:val="center"/>
        <w:rPr>
          <w:rFonts w:hint="eastAsia" w:ascii="宋体" w:hAnsi="宋体" w:cs="宋体"/>
          <w:b/>
          <w:color w:val="auto"/>
          <w:sz w:val="44"/>
          <w:szCs w:val="44"/>
          <w:highlight w:val="none"/>
        </w:rPr>
      </w:pPr>
    </w:p>
    <w:p w14:paraId="356941BB">
      <w:pPr>
        <w:spacing w:line="360" w:lineRule="auto"/>
        <w:jc w:val="center"/>
        <w:rPr>
          <w:rFonts w:hint="eastAsia" w:ascii="宋体" w:hAnsi="宋体" w:cs="宋体"/>
          <w:b/>
          <w:color w:val="auto"/>
          <w:sz w:val="44"/>
          <w:szCs w:val="44"/>
          <w:highlight w:val="none"/>
        </w:rPr>
      </w:pPr>
    </w:p>
    <w:p w14:paraId="0B7F0FB7">
      <w:pPr>
        <w:spacing w:line="360" w:lineRule="auto"/>
        <w:jc w:val="center"/>
        <w:rPr>
          <w:rFonts w:ascii="宋体" w:hAnsi="宋体" w:cs="宋体"/>
          <w:b/>
          <w:color w:val="auto"/>
          <w:sz w:val="44"/>
          <w:szCs w:val="44"/>
          <w:highlight w:val="none"/>
        </w:rPr>
      </w:pPr>
    </w:p>
    <w:p w14:paraId="72B69023">
      <w:pPr>
        <w:spacing w:line="360" w:lineRule="auto"/>
        <w:jc w:val="center"/>
        <w:rPr>
          <w:rFonts w:ascii="宋体" w:hAnsi="宋体" w:cs="宋体"/>
          <w:b/>
          <w:color w:val="auto"/>
          <w:sz w:val="44"/>
          <w:szCs w:val="44"/>
          <w:highlight w:val="none"/>
        </w:rPr>
      </w:pPr>
    </w:p>
    <w:p w14:paraId="79AA475E">
      <w:pPr>
        <w:spacing w:line="360" w:lineRule="auto"/>
        <w:jc w:val="center"/>
        <w:rPr>
          <w:rFonts w:ascii="宋体" w:hAnsi="宋体" w:cs="宋体"/>
          <w:color w:val="auto"/>
          <w:sz w:val="24"/>
          <w:highlight w:val="none"/>
        </w:rPr>
      </w:pPr>
    </w:p>
    <w:p w14:paraId="0FD7BBEF">
      <w:pPr>
        <w:spacing w:line="360" w:lineRule="auto"/>
        <w:rPr>
          <w:rFonts w:ascii="宋体" w:hAnsi="宋体" w:cs="宋体"/>
          <w:color w:val="auto"/>
          <w:sz w:val="32"/>
          <w:szCs w:val="32"/>
          <w:highlight w:val="none"/>
        </w:rPr>
      </w:pPr>
    </w:p>
    <w:p w14:paraId="62221D54">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杭州市钱塘区金沙湖实验学校</w:t>
      </w:r>
    </w:p>
    <w:p w14:paraId="1142C106">
      <w:pPr>
        <w:snapToGrid w:val="0"/>
        <w:spacing w:line="360" w:lineRule="auto"/>
        <w:jc w:val="center"/>
        <w:rPr>
          <w:rFonts w:hint="eastAsia" w:ascii="宋体" w:hAnsi="宋体" w:cs="宋体"/>
          <w:bCs/>
          <w:color w:val="auto"/>
          <w:sz w:val="32"/>
          <w:szCs w:val="32"/>
          <w:highlight w:val="none"/>
          <w:lang w:val="en-US" w:eastAsia="zh-CN"/>
        </w:rPr>
      </w:pPr>
      <w:r>
        <w:rPr>
          <w:rFonts w:hint="eastAsia" w:ascii="宋体" w:hAnsi="宋体" w:cs="宋体"/>
          <w:bCs/>
          <w:color w:val="auto"/>
          <w:sz w:val="32"/>
          <w:szCs w:val="32"/>
          <w:highlight w:val="none"/>
          <w:lang w:eastAsia="zh-CN"/>
        </w:rPr>
        <w:t>浙江省房地产管理咨询有限公司</w:t>
      </w:r>
    </w:p>
    <w:p w14:paraId="19342F4B">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日</w:t>
      </w:r>
    </w:p>
    <w:p w14:paraId="376D9B6E">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BC76ECC">
      <w:pPr>
        <w:spacing w:line="360" w:lineRule="auto"/>
        <w:jc w:val="center"/>
        <w:rPr>
          <w:rFonts w:ascii="宋体" w:hAnsi="宋体" w:cs="宋体"/>
          <w:color w:val="auto"/>
          <w:sz w:val="24"/>
          <w:highlight w:val="none"/>
        </w:rPr>
      </w:pPr>
    </w:p>
    <w:p w14:paraId="06A4E93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110BDECE">
      <w:pPr>
        <w:spacing w:line="360" w:lineRule="auto"/>
        <w:rPr>
          <w:rFonts w:ascii="宋体" w:hAnsi="宋体" w:cs="宋体"/>
          <w:color w:val="auto"/>
          <w:sz w:val="32"/>
          <w:szCs w:val="32"/>
          <w:highlight w:val="none"/>
        </w:rPr>
      </w:pPr>
    </w:p>
    <w:p w14:paraId="03B674D7">
      <w:pPr>
        <w:spacing w:line="360" w:lineRule="auto"/>
        <w:rPr>
          <w:rFonts w:ascii="宋体" w:hAnsi="宋体" w:cs="宋体"/>
          <w:color w:val="auto"/>
          <w:sz w:val="32"/>
          <w:szCs w:val="32"/>
          <w:highlight w:val="none"/>
        </w:rPr>
      </w:pPr>
    </w:p>
    <w:p w14:paraId="22E7888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竞争性磋商公告</w:t>
      </w:r>
    </w:p>
    <w:p w14:paraId="6E940D1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供应商须知</w:t>
      </w:r>
    </w:p>
    <w:p w14:paraId="4003E5E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1372D90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评审办法</w:t>
      </w:r>
    </w:p>
    <w:p w14:paraId="1405614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49D7D04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5A8C3C7F">
      <w:pPr>
        <w:spacing w:line="360" w:lineRule="auto"/>
        <w:ind w:firstLine="1280" w:firstLineChars="400"/>
        <w:rPr>
          <w:rFonts w:ascii="宋体" w:hAnsi="宋体" w:cs="宋体"/>
          <w:color w:val="auto"/>
          <w:sz w:val="32"/>
          <w:szCs w:val="32"/>
          <w:highlight w:val="none"/>
        </w:rPr>
      </w:pPr>
    </w:p>
    <w:p w14:paraId="212A9599">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3849C515">
      <w:pPr>
        <w:spacing w:line="360" w:lineRule="auto"/>
        <w:ind w:firstLine="549" w:firstLineChars="229"/>
        <w:rPr>
          <w:rFonts w:ascii="宋体" w:hAnsi="宋体" w:cs="宋体"/>
          <w:color w:val="auto"/>
          <w:sz w:val="24"/>
          <w:highlight w:val="none"/>
        </w:rPr>
      </w:pPr>
    </w:p>
    <w:p w14:paraId="0DA3E59C">
      <w:pPr>
        <w:spacing w:line="360" w:lineRule="auto"/>
        <w:ind w:firstLine="549" w:firstLineChars="229"/>
        <w:rPr>
          <w:rFonts w:ascii="宋体" w:hAnsi="宋体" w:cs="宋体"/>
          <w:color w:val="auto"/>
          <w:sz w:val="24"/>
          <w:highlight w:val="none"/>
        </w:rPr>
      </w:pPr>
    </w:p>
    <w:p w14:paraId="6922B43C">
      <w:pPr>
        <w:spacing w:line="360" w:lineRule="auto"/>
        <w:ind w:firstLine="549" w:firstLineChars="229"/>
        <w:rPr>
          <w:rFonts w:ascii="宋体" w:hAnsi="宋体" w:cs="宋体"/>
          <w:color w:val="auto"/>
          <w:sz w:val="24"/>
          <w:highlight w:val="none"/>
        </w:rPr>
      </w:pPr>
    </w:p>
    <w:p w14:paraId="3B4BB079">
      <w:pPr>
        <w:spacing w:line="360" w:lineRule="auto"/>
        <w:ind w:firstLine="549" w:firstLineChars="229"/>
        <w:rPr>
          <w:rFonts w:ascii="宋体" w:hAnsi="宋体" w:cs="宋体"/>
          <w:color w:val="auto"/>
          <w:sz w:val="24"/>
          <w:highlight w:val="none"/>
        </w:rPr>
      </w:pPr>
    </w:p>
    <w:p w14:paraId="4CC9D5EE">
      <w:pPr>
        <w:spacing w:line="360" w:lineRule="auto"/>
        <w:ind w:firstLine="549" w:firstLineChars="229"/>
        <w:rPr>
          <w:rFonts w:ascii="宋体" w:hAnsi="宋体" w:cs="宋体"/>
          <w:color w:val="auto"/>
          <w:sz w:val="24"/>
          <w:highlight w:val="none"/>
        </w:rPr>
      </w:pPr>
    </w:p>
    <w:p w14:paraId="2236107C">
      <w:pPr>
        <w:spacing w:line="360" w:lineRule="auto"/>
        <w:ind w:firstLine="549" w:firstLineChars="229"/>
        <w:rPr>
          <w:rFonts w:ascii="宋体" w:hAnsi="宋体" w:cs="宋体"/>
          <w:color w:val="auto"/>
          <w:sz w:val="24"/>
          <w:highlight w:val="none"/>
        </w:rPr>
      </w:pPr>
    </w:p>
    <w:p w14:paraId="6BA7D33C">
      <w:pPr>
        <w:spacing w:line="360" w:lineRule="auto"/>
        <w:ind w:firstLine="549" w:firstLineChars="229"/>
        <w:rPr>
          <w:rFonts w:ascii="宋体" w:hAnsi="宋体" w:cs="宋体"/>
          <w:color w:val="auto"/>
          <w:sz w:val="24"/>
          <w:highlight w:val="none"/>
        </w:rPr>
      </w:pPr>
    </w:p>
    <w:p w14:paraId="23D64CA2">
      <w:pPr>
        <w:spacing w:line="360" w:lineRule="auto"/>
        <w:ind w:firstLine="549" w:firstLineChars="229"/>
        <w:rPr>
          <w:rFonts w:ascii="宋体" w:hAnsi="宋体" w:cs="宋体"/>
          <w:color w:val="auto"/>
          <w:sz w:val="24"/>
          <w:highlight w:val="none"/>
        </w:rPr>
      </w:pPr>
    </w:p>
    <w:p w14:paraId="5AE64D0D">
      <w:pPr>
        <w:spacing w:line="360" w:lineRule="auto"/>
        <w:ind w:firstLine="549" w:firstLineChars="229"/>
        <w:rPr>
          <w:rFonts w:ascii="宋体" w:hAnsi="宋体" w:cs="宋体"/>
          <w:color w:val="auto"/>
          <w:sz w:val="24"/>
          <w:highlight w:val="none"/>
        </w:rPr>
      </w:pPr>
    </w:p>
    <w:p w14:paraId="4470A3AC">
      <w:pPr>
        <w:spacing w:line="360" w:lineRule="auto"/>
        <w:ind w:firstLine="549" w:firstLineChars="229"/>
        <w:rPr>
          <w:rFonts w:ascii="宋体" w:hAnsi="宋体" w:cs="宋体"/>
          <w:color w:val="auto"/>
          <w:sz w:val="24"/>
          <w:highlight w:val="none"/>
        </w:rPr>
      </w:pPr>
    </w:p>
    <w:p w14:paraId="481018EB">
      <w:pPr>
        <w:spacing w:line="360" w:lineRule="auto"/>
        <w:ind w:firstLine="549" w:firstLineChars="229"/>
        <w:rPr>
          <w:rFonts w:ascii="宋体" w:hAnsi="宋体" w:cs="宋体"/>
          <w:color w:val="auto"/>
          <w:sz w:val="24"/>
          <w:highlight w:val="none"/>
        </w:rPr>
      </w:pPr>
    </w:p>
    <w:p w14:paraId="70589CF8">
      <w:pPr>
        <w:spacing w:line="360" w:lineRule="auto"/>
        <w:ind w:firstLine="549" w:firstLineChars="229"/>
        <w:rPr>
          <w:rFonts w:ascii="宋体" w:hAnsi="宋体" w:cs="宋体"/>
          <w:color w:val="auto"/>
          <w:sz w:val="24"/>
          <w:highlight w:val="none"/>
        </w:rPr>
      </w:pPr>
    </w:p>
    <w:p w14:paraId="603A0FEC">
      <w:pPr>
        <w:spacing w:line="360" w:lineRule="auto"/>
        <w:rPr>
          <w:rFonts w:ascii="宋体" w:hAnsi="宋体" w:cs="宋体"/>
          <w:color w:val="auto"/>
          <w:sz w:val="24"/>
          <w:highlight w:val="none"/>
        </w:rPr>
      </w:pPr>
    </w:p>
    <w:p w14:paraId="2F0A1107">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竞争性磋商公告</w:t>
      </w:r>
    </w:p>
    <w:p w14:paraId="1DFE0D8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4A5C450">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杭州市钱塘区金沙湖实验学校2025年足球场改造工程</w:t>
      </w:r>
      <w:r>
        <w:rPr>
          <w:rFonts w:hint="eastAsia" w:ascii="宋体" w:hAnsi="宋体" w:cs="宋体"/>
          <w:color w:val="auto"/>
          <w:sz w:val="24"/>
          <w:highlight w:val="none"/>
        </w:rPr>
        <w:t>采购项目的潜在供应商应在政采云平台（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https://www.zcygov.cn/）获取（下载）采购文件，并于</w:t>
      </w:r>
      <w:r>
        <w:rPr>
          <w:rFonts w:hint="eastAsia" w:ascii="宋体" w:hAnsi="宋体" w:cs="宋体"/>
          <w:color w:val="0000FF"/>
          <w:sz w:val="24"/>
          <w:highlight w:val="none"/>
          <w:u w:val="single"/>
        </w:rPr>
        <w:t>202</w:t>
      </w:r>
      <w:r>
        <w:rPr>
          <w:rFonts w:hint="eastAsia" w:ascii="宋体" w:hAnsi="宋体" w:cs="宋体"/>
          <w:color w:val="0000FF"/>
          <w:sz w:val="24"/>
          <w:highlight w:val="none"/>
          <w:u w:val="single"/>
          <w:lang w:val="en-US" w:eastAsia="zh-CN"/>
        </w:rPr>
        <w:t>5</w:t>
      </w:r>
      <w:r>
        <w:rPr>
          <w:rFonts w:hint="eastAsia" w:ascii="宋体" w:hAnsi="宋体" w:cs="宋体"/>
          <w:color w:val="0000FF"/>
          <w:sz w:val="24"/>
          <w:highlight w:val="none"/>
          <w:u w:val="single"/>
        </w:rPr>
        <w:t>年</w:t>
      </w:r>
      <w:r>
        <w:rPr>
          <w:rFonts w:hint="eastAsia" w:ascii="宋体" w:hAnsi="宋体" w:cs="宋体"/>
          <w:color w:val="0000FF"/>
          <w:sz w:val="24"/>
          <w:highlight w:val="none"/>
          <w:u w:val="single"/>
          <w:lang w:val="en-US" w:eastAsia="zh-CN"/>
        </w:rPr>
        <w:t>7</w:t>
      </w:r>
      <w:r>
        <w:rPr>
          <w:rFonts w:hint="eastAsia" w:ascii="宋体" w:hAnsi="宋体" w:cs="宋体"/>
          <w:color w:val="0000FF"/>
          <w:sz w:val="24"/>
          <w:highlight w:val="none"/>
          <w:u w:val="single"/>
        </w:rPr>
        <w:t>月</w:t>
      </w:r>
      <w:r>
        <w:rPr>
          <w:rFonts w:hint="eastAsia" w:ascii="宋体" w:hAnsi="宋体" w:cs="宋体"/>
          <w:color w:val="0000FF"/>
          <w:sz w:val="24"/>
          <w:highlight w:val="none"/>
          <w:u w:val="single"/>
          <w:lang w:val="en-US" w:eastAsia="zh-CN"/>
        </w:rPr>
        <w:t>23</w:t>
      </w:r>
      <w:r>
        <w:rPr>
          <w:rFonts w:hint="eastAsia" w:ascii="宋体" w:hAnsi="宋体" w:cs="宋体"/>
          <w:color w:val="0000FF"/>
          <w:sz w:val="24"/>
          <w:highlight w:val="none"/>
          <w:u w:val="single"/>
        </w:rPr>
        <w:t>日</w:t>
      </w:r>
      <w:r>
        <w:rPr>
          <w:rFonts w:hint="eastAsia" w:ascii="宋体" w:hAnsi="宋体" w:cs="宋体"/>
          <w:color w:val="0000FF"/>
          <w:sz w:val="24"/>
          <w:highlight w:val="none"/>
          <w:u w:val="single"/>
          <w:lang w:val="en-US" w:eastAsia="zh-CN"/>
        </w:rPr>
        <w:t>9</w:t>
      </w:r>
      <w:r>
        <w:rPr>
          <w:rFonts w:hint="eastAsia" w:ascii="宋体" w:hAnsi="宋体" w:cs="宋体"/>
          <w:color w:val="0000FF"/>
          <w:sz w:val="24"/>
          <w:highlight w:val="none"/>
          <w:u w:val="single"/>
        </w:rPr>
        <w:t>点</w:t>
      </w:r>
      <w:r>
        <w:rPr>
          <w:rFonts w:hint="eastAsia" w:ascii="宋体" w:hAnsi="宋体" w:cs="宋体"/>
          <w:color w:val="0000FF"/>
          <w:sz w:val="24"/>
          <w:highlight w:val="none"/>
          <w:u w:val="single"/>
          <w:lang w:val="en-US" w:eastAsia="zh-CN"/>
        </w:rPr>
        <w:t>30</w:t>
      </w:r>
      <w:r>
        <w:rPr>
          <w:rFonts w:hint="eastAsia" w:ascii="宋体" w:hAnsi="宋体" w:cs="宋体"/>
          <w:color w:val="0000FF"/>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u w:val="singl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提交（上传）响应文件。</w:t>
      </w:r>
    </w:p>
    <w:p w14:paraId="2392456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2EBA5E56">
      <w:pPr>
        <w:snapToGrid w:val="0"/>
        <w:spacing w:line="360" w:lineRule="auto"/>
        <w:ind w:firstLine="482" w:firstLineChars="20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QTCG-CS-2025-038</w:t>
      </w:r>
      <w:r>
        <w:rPr>
          <w:rFonts w:hint="eastAsia" w:ascii="宋体" w:hAnsi="宋体" w:cs="宋体"/>
          <w:color w:val="auto"/>
          <w:sz w:val="24"/>
          <w:highlight w:val="none"/>
          <w:lang w:val="en-US" w:eastAsia="zh-CN"/>
        </w:rPr>
        <w:t xml:space="preserve">  </w:t>
      </w:r>
    </w:p>
    <w:p w14:paraId="6750DF54">
      <w:pPr>
        <w:snapToGrid w:val="0"/>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杭州市钱塘区金沙湖实验学校2025年足球场改造工程</w:t>
      </w:r>
    </w:p>
    <w:p w14:paraId="302E108A">
      <w:pPr>
        <w:snapToGrid w:val="0"/>
        <w:spacing w:line="360" w:lineRule="auto"/>
        <w:ind w:firstLine="482" w:firstLineChars="200"/>
        <w:rPr>
          <w:rFonts w:hint="default" w:ascii="仿宋" w:hAnsi="仿宋" w:eastAsia="仿宋" w:cs="仿宋"/>
          <w:b/>
          <w:bCs/>
          <w:i w:val="0"/>
          <w:iCs w:val="0"/>
          <w:color w:val="auto"/>
          <w:kern w:val="2"/>
          <w:sz w:val="24"/>
          <w:szCs w:val="24"/>
          <w:highlight w:val="none"/>
          <w:u w:val="none"/>
          <w:lang w:val="en-US" w:eastAsia="zh-CN" w:bidi="ar"/>
        </w:rPr>
      </w:pPr>
      <w:r>
        <w:rPr>
          <w:rFonts w:hint="eastAsia" w:ascii="宋体" w:hAnsi="宋体" w:cs="宋体"/>
          <w:b/>
          <w:color w:val="auto"/>
          <w:sz w:val="24"/>
          <w:highlight w:val="none"/>
        </w:rPr>
        <w:t>预算金额（元）：</w:t>
      </w:r>
      <w:r>
        <w:rPr>
          <w:rFonts w:hint="eastAsia" w:ascii="宋体" w:hAnsi="宋体" w:cs="宋体"/>
          <w:b/>
          <w:color w:val="auto"/>
          <w:sz w:val="24"/>
          <w:highlight w:val="none"/>
          <w:lang w:val="en-US" w:eastAsia="zh-CN"/>
        </w:rPr>
        <w:t>2000000</w:t>
      </w:r>
      <w:r>
        <w:rPr>
          <w:rFonts w:hint="eastAsia" w:ascii="宋体" w:hAnsi="宋体" w:cs="宋体"/>
          <w:b/>
          <w:color w:val="auto"/>
          <w:sz w:val="24"/>
          <w:highlight w:val="none"/>
          <w:lang w:eastAsia="zh-CN"/>
        </w:rPr>
        <w:t>（本项目</w:t>
      </w:r>
      <w:r>
        <w:rPr>
          <w:rFonts w:hint="eastAsia" w:ascii="宋体" w:hAnsi="宋体" w:cs="宋体"/>
          <w:b/>
          <w:color w:val="auto"/>
          <w:sz w:val="24"/>
          <w:highlight w:val="none"/>
          <w:lang w:val="en-US" w:eastAsia="zh-CN"/>
        </w:rPr>
        <w:t>工程预算审核</w:t>
      </w:r>
      <w:r>
        <w:rPr>
          <w:rFonts w:hint="eastAsia" w:ascii="宋体" w:hAnsi="宋体" w:cs="宋体"/>
          <w:b/>
          <w:color w:val="auto"/>
          <w:sz w:val="24"/>
          <w:highlight w:val="none"/>
          <w:lang w:eastAsia="zh-CN"/>
        </w:rPr>
        <w:t>价为</w:t>
      </w:r>
      <w:r>
        <w:rPr>
          <w:rFonts w:hint="eastAsia" w:ascii="宋体" w:hAnsi="宋体" w:cs="宋体"/>
          <w:b/>
          <w:color w:val="auto"/>
          <w:sz w:val="24"/>
          <w:highlight w:val="none"/>
          <w:lang w:val="en-US" w:eastAsia="zh-CN"/>
        </w:rPr>
        <w:t>2293082元</w:t>
      </w:r>
      <w:r>
        <w:rPr>
          <w:rFonts w:hint="eastAsia" w:ascii="宋体" w:hAnsi="宋体" w:cs="宋体"/>
          <w:b/>
          <w:color w:val="auto"/>
          <w:sz w:val="24"/>
          <w:highlight w:val="none"/>
          <w:lang w:eastAsia="zh-CN"/>
        </w:rPr>
        <w:t>）</w:t>
      </w:r>
    </w:p>
    <w:p w14:paraId="023A5CBD">
      <w:pPr>
        <w:snapToGrid w:val="0"/>
        <w:spacing w:line="360" w:lineRule="auto"/>
        <w:ind w:firstLine="482" w:firstLineChars="200"/>
        <w:rPr>
          <w:rFonts w:hint="default" w:ascii="宋体" w:hAnsi="宋体" w:cs="宋体"/>
          <w:color w:val="auto"/>
          <w:sz w:val="24"/>
          <w:highlight w:val="none"/>
          <w:lang w:val="en-US"/>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 xml:space="preserve">1994981  </w:t>
      </w:r>
    </w:p>
    <w:p w14:paraId="26749AD4">
      <w:pPr>
        <w:pStyle w:val="16"/>
        <w:spacing w:line="360" w:lineRule="auto"/>
        <w:ind w:firstLine="482" w:firstLineChars="20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bCs w:val="0"/>
          <w:snapToGrid/>
          <w:color w:val="auto"/>
          <w:kern w:val="2"/>
          <w:sz w:val="24"/>
          <w:szCs w:val="24"/>
          <w:highlight w:val="none"/>
          <w:lang w:eastAsia="zh-CN"/>
        </w:rPr>
        <w:t>杭州市钱塘区金沙湖实验学校2025年足球场改造工程（政府采购工程）</w:t>
      </w:r>
      <w:r>
        <w:rPr>
          <w:rFonts w:hint="eastAsia" w:hAnsi="宋体" w:cs="宋体"/>
          <w:bCs/>
          <w:snapToGrid/>
          <w:color w:val="auto"/>
          <w:kern w:val="2"/>
          <w:sz w:val="24"/>
          <w:szCs w:val="24"/>
          <w:highlight w:val="none"/>
        </w:rPr>
        <w:t>主要内容：</w:t>
      </w:r>
      <w:r>
        <w:rPr>
          <w:rFonts w:hint="eastAsia" w:hAnsi="宋体" w:cs="宋体"/>
          <w:color w:val="auto"/>
          <w:sz w:val="24"/>
          <w:highlight w:val="none"/>
          <w:lang w:eastAsia="zh-CN"/>
        </w:rPr>
        <w:t>杭州市钱塘区金沙湖实验学校2025年足球场改造工程</w:t>
      </w:r>
      <w:r>
        <w:rPr>
          <w:rFonts w:hint="eastAsia" w:hAnsi="宋体" w:cs="宋体"/>
          <w:bCs/>
          <w:snapToGrid/>
          <w:color w:val="auto"/>
          <w:kern w:val="2"/>
          <w:sz w:val="24"/>
          <w:szCs w:val="24"/>
          <w:highlight w:val="none"/>
        </w:rPr>
        <w:t>的竞争性磋商文件、工程量清单及施工图范围内的所有内容。详见采购文件第三部分采购需求。</w:t>
      </w:r>
    </w:p>
    <w:p w14:paraId="2EBA4CD1">
      <w:pPr>
        <w:pStyle w:val="133"/>
        <w:snapToGrid w:val="0"/>
        <w:spacing w:before="0"/>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color w:val="0000FF"/>
          <w:sz w:val="24"/>
          <w:szCs w:val="24"/>
          <w:highlight w:val="none"/>
          <w:lang w:val="en-US" w:eastAsia="zh-CN"/>
        </w:rPr>
        <w:t>30日历天（满足整体工程进度需要）</w:t>
      </w:r>
      <w:r>
        <w:rPr>
          <w:rFonts w:hint="eastAsia" w:hAnsi="宋体" w:cs="宋体"/>
          <w:bCs/>
          <w:snapToGrid/>
          <w:color w:val="auto"/>
          <w:kern w:val="2"/>
          <w:sz w:val="24"/>
          <w:szCs w:val="24"/>
          <w:highlight w:val="none"/>
        </w:rPr>
        <w:t>。</w:t>
      </w:r>
    </w:p>
    <w:p w14:paraId="44DC73BC">
      <w:pPr>
        <w:pStyle w:val="16"/>
        <w:spacing w:line="360" w:lineRule="auto"/>
        <w:ind w:firstLine="482" w:firstLineChars="200"/>
        <w:rPr>
          <w:rFonts w:hAnsi="宋体" w:cs="宋体"/>
          <w:color w:val="auto"/>
          <w:kern w:val="0"/>
          <w:sz w:val="24"/>
          <w:highlight w:val="none"/>
        </w:rPr>
      </w:pPr>
      <w:r>
        <w:rPr>
          <w:rFonts w:hint="eastAsia" w:hAnsi="宋体" w:cs="宋体"/>
          <w:b/>
          <w:color w:val="auto"/>
          <w:sz w:val="24"/>
          <w:highlight w:val="none"/>
        </w:rPr>
        <w:t>本项目接受联合体：</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是，</w:t>
      </w:r>
      <w:sdt>
        <w:sdtPr>
          <w:rPr>
            <w:rFonts w:hint="eastAsia" w:hAnsi="宋体" w:cs="宋体"/>
            <w:color w:val="auto"/>
            <w:kern w:val="0"/>
            <w:sz w:val="24"/>
            <w:highlight w:val="none"/>
          </w:rPr>
          <w:id w:val="-176552672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否</w:t>
      </w:r>
      <w:r>
        <w:rPr>
          <w:rFonts w:hint="eastAsia" w:hAnsi="宋体" w:cs="宋体"/>
          <w:color w:val="auto"/>
          <w:kern w:val="0"/>
          <w:sz w:val="24"/>
          <w:highlight w:val="none"/>
        </w:rPr>
        <w:t>，不接受联合体理由：</w:t>
      </w:r>
      <w:r>
        <w:rPr>
          <w:rFonts w:hint="eastAsia" w:hAnsi="宋体" w:cs="宋体"/>
          <w:color w:val="auto"/>
          <w:kern w:val="0"/>
          <w:sz w:val="24"/>
          <w:highlight w:val="none"/>
          <w:lang w:val="en-US" w:eastAsia="zh-CN"/>
        </w:rPr>
        <w:t xml:space="preserve">  </w:t>
      </w:r>
      <w:r>
        <w:rPr>
          <w:rFonts w:hint="eastAsia" w:hAnsi="宋体" w:cs="宋体"/>
          <w:color w:val="auto"/>
          <w:kern w:val="0"/>
          <w:sz w:val="24"/>
          <w:highlight w:val="none"/>
        </w:rPr>
        <w:t>。</w:t>
      </w:r>
    </w:p>
    <w:p w14:paraId="57749E05">
      <w:pPr>
        <w:pStyle w:val="133"/>
        <w:snapToGrid w:val="0"/>
        <w:spacing w:before="0"/>
        <w:ind w:firstLine="482"/>
        <w:outlineLvl w:val="2"/>
        <w:rPr>
          <w:rFonts w:ascii="宋体" w:hAnsi="宋体" w:cs="宋体"/>
          <w:b/>
          <w:color w:val="auto"/>
          <w:highlight w:val="none"/>
        </w:rPr>
      </w:pPr>
      <w:r>
        <w:rPr>
          <w:rFonts w:hint="eastAsia" w:ascii="宋体" w:hAnsi="宋体" w:cs="宋体"/>
          <w:b/>
          <w:color w:val="auto"/>
          <w:highlight w:val="none"/>
        </w:rPr>
        <w:t>注：不得限制大中型企业与小微企业组成联合体参与。</w:t>
      </w:r>
    </w:p>
    <w:p w14:paraId="6E85B87E">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57DC9D0E">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BAB110D">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以联合体形式参与的，提供联合协议(供应商不以联合体形式参与的，则不需要提供) ；</w:t>
      </w:r>
    </w:p>
    <w:p w14:paraId="079A2D9C">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18EC21D3">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无；</w:t>
      </w:r>
    </w:p>
    <w:p w14:paraId="615BEAF5">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3FAC3DF">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92473058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sz w:val="24"/>
          <w:highlight w:val="none"/>
        </w:rPr>
        <w:t>工程全部由符合政策要求的中小企业承建，提供中小企业声明函；</w:t>
      </w:r>
    </w:p>
    <w:p w14:paraId="1F8AA340">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工程全部由符合政策要求的小微企业承建，提供中小企业声明函；</w:t>
      </w:r>
    </w:p>
    <w:p w14:paraId="5E91D64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如果供应商本身提供所有标的均由中小企业承建，视同符合了资格条件，无需再与其他中小企业组成联合体参加政府采购活动，无需提供联合协议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35BECDAE">
      <w:pPr>
        <w:tabs>
          <w:tab w:val="left" w:pos="840"/>
        </w:tabs>
        <w:snapToGrid w:val="0"/>
        <w:spacing w:line="360" w:lineRule="auto"/>
        <w:ind w:firstLine="480" w:firstLineChars="200"/>
        <w:rPr>
          <w:rFonts w:hint="eastAsia" w:ascii="宋体" w:hAnsi="宋体" w:eastAsia="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如果供应商本身提供所有标的均由中小企业承建，视同符合</w:t>
      </w:r>
      <w:r>
        <w:rPr>
          <w:rFonts w:hint="eastAsia" w:ascii="宋体" w:hAnsi="宋体" w:eastAsia="宋体" w:cs="宋体"/>
          <w:color w:val="auto"/>
          <w:sz w:val="24"/>
          <w:highlight w:val="none"/>
        </w:rPr>
        <w:t>了资格条件，无需再向中小企业分包，无需提供分包意向协议；</w:t>
      </w:r>
    </w:p>
    <w:p w14:paraId="2AD20A64">
      <w:pPr>
        <w:spacing w:line="360" w:lineRule="auto"/>
        <w:ind w:firstLine="482" w:firstLineChars="200"/>
        <w:rPr>
          <w:rFonts w:hint="eastAsia" w:ascii="宋体" w:hAnsi="宋体" w:eastAsia="宋体" w:cs="宋体"/>
          <w:color w:val="0000FF"/>
          <w:sz w:val="24"/>
          <w:highlight w:val="yellow"/>
        </w:rPr>
      </w:pPr>
      <w:r>
        <w:rPr>
          <w:rFonts w:hint="eastAsia" w:ascii="宋体" w:hAnsi="宋体" w:cs="宋体"/>
          <w:b/>
          <w:bCs/>
          <w:color w:val="auto"/>
          <w:sz w:val="24"/>
          <w:highlight w:val="none"/>
          <w:lang w:val="en-US" w:eastAsia="zh-CN"/>
        </w:rPr>
        <w:t>4.</w:t>
      </w:r>
      <w:r>
        <w:rPr>
          <w:rFonts w:hint="eastAsia" w:ascii="宋体" w:hAnsi="宋体" w:eastAsia="宋体" w:cs="宋体"/>
          <w:b/>
          <w:bCs/>
          <w:color w:val="auto"/>
          <w:sz w:val="24"/>
          <w:highlight w:val="none"/>
        </w:rPr>
        <w:t>本项目的特定资格要求：</w:t>
      </w:r>
      <w:sdt>
        <w:sdtPr>
          <w:rPr>
            <w:rFonts w:hint="eastAsia" w:ascii="宋体" w:hAnsi="宋体" w:cs="宋体"/>
            <w:color w:val="auto"/>
            <w:kern w:val="0"/>
            <w:sz w:val="24"/>
            <w:highlight w:val="none"/>
          </w:rPr>
          <w:id w:val="14746703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p>
    <w:p w14:paraId="579880A8">
      <w:pPr>
        <w:tabs>
          <w:tab w:val="left" w:pos="840"/>
        </w:tabs>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5.单位负责人为同一人或者存在直接控股、管理</w:t>
      </w:r>
      <w:r>
        <w:rPr>
          <w:rFonts w:hint="eastAsia" w:ascii="宋体" w:hAnsi="宋体" w:cs="宋体"/>
          <w:color w:val="auto"/>
          <w:sz w:val="24"/>
          <w:highlight w:val="none"/>
        </w:rPr>
        <w:t>关系的不同供应商，不得参加同一合同项下的政府采购活动；为采购项目提供整体设计、规范编制或者项目管理、监理、检测等服务后不得再参加该采购项目的其他采购活动。</w:t>
      </w:r>
    </w:p>
    <w:p w14:paraId="242E661A">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三、获取采购文件 </w:t>
      </w:r>
    </w:p>
    <w:p w14:paraId="743E7A1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0000FF"/>
          <w:sz w:val="24"/>
          <w:highlight w:val="none"/>
          <w:u w:val="single"/>
        </w:rPr>
        <w:t>202</w:t>
      </w:r>
      <w:r>
        <w:rPr>
          <w:rFonts w:hint="eastAsia" w:ascii="宋体" w:hAnsi="宋体" w:cs="宋体"/>
          <w:color w:val="0000FF"/>
          <w:sz w:val="24"/>
          <w:highlight w:val="none"/>
          <w:u w:val="single"/>
          <w:lang w:val="en-US" w:eastAsia="zh-CN"/>
        </w:rPr>
        <w:t>5</w:t>
      </w:r>
      <w:r>
        <w:rPr>
          <w:rFonts w:hint="eastAsia" w:ascii="宋体" w:hAnsi="宋体" w:cs="宋体"/>
          <w:color w:val="0000FF"/>
          <w:sz w:val="24"/>
          <w:highlight w:val="none"/>
          <w:u w:val="single"/>
        </w:rPr>
        <w:t>年</w:t>
      </w:r>
      <w:r>
        <w:rPr>
          <w:rFonts w:hint="eastAsia" w:ascii="宋体" w:hAnsi="宋体" w:cs="宋体"/>
          <w:color w:val="0000FF"/>
          <w:sz w:val="24"/>
          <w:highlight w:val="none"/>
          <w:u w:val="single"/>
          <w:lang w:val="en-US" w:eastAsia="zh-CN"/>
        </w:rPr>
        <w:t>7</w:t>
      </w:r>
      <w:r>
        <w:rPr>
          <w:rFonts w:hint="eastAsia" w:ascii="宋体" w:hAnsi="宋体" w:cs="宋体"/>
          <w:color w:val="0000FF"/>
          <w:sz w:val="24"/>
          <w:highlight w:val="none"/>
          <w:u w:val="single"/>
        </w:rPr>
        <w:t>月</w:t>
      </w:r>
      <w:r>
        <w:rPr>
          <w:rFonts w:hint="eastAsia" w:ascii="宋体" w:hAnsi="宋体" w:cs="宋体"/>
          <w:color w:val="0000FF"/>
          <w:sz w:val="24"/>
          <w:highlight w:val="none"/>
          <w:u w:val="single"/>
          <w:lang w:val="en-US" w:eastAsia="zh-CN"/>
        </w:rPr>
        <w:t>23</w:t>
      </w:r>
      <w:r>
        <w:rPr>
          <w:rFonts w:hint="eastAsia" w:ascii="宋体" w:hAnsi="宋体" w:cs="宋体"/>
          <w:color w:val="0000FF"/>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95199D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6197048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E70AD4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6B351CA3">
      <w:pPr>
        <w:spacing w:line="360" w:lineRule="auto"/>
        <w:rPr>
          <w:rFonts w:ascii="宋体" w:hAnsi="宋体" w:cs="宋体"/>
          <w:b/>
          <w:color w:val="auto"/>
          <w:sz w:val="24"/>
          <w:highlight w:val="none"/>
        </w:rPr>
      </w:pPr>
      <w:r>
        <w:rPr>
          <w:rFonts w:hint="eastAsia" w:ascii="宋体" w:hAnsi="宋体" w:cs="宋体"/>
          <w:b/>
          <w:color w:val="auto"/>
          <w:sz w:val="24"/>
          <w:highlight w:val="none"/>
        </w:rPr>
        <w:t>四、响应文件提交（上传）</w:t>
      </w:r>
    </w:p>
    <w:p w14:paraId="66EFF7CA">
      <w:pPr>
        <w:spacing w:line="360" w:lineRule="auto"/>
        <w:ind w:firstLine="482" w:firstLineChars="200"/>
        <w:rPr>
          <w:rFonts w:ascii="宋体" w:hAnsi="宋体" w:cs="宋体"/>
          <w:color w:val="0000FF"/>
          <w:sz w:val="24"/>
          <w:highlight w:val="none"/>
        </w:rPr>
      </w:pPr>
      <w:r>
        <w:rPr>
          <w:rFonts w:hint="eastAsia" w:ascii="宋体" w:hAnsi="宋体" w:cs="宋体"/>
          <w:b/>
          <w:color w:val="0000FF"/>
          <w:sz w:val="24"/>
          <w:highlight w:val="none"/>
        </w:rPr>
        <w:t>截止时间：</w:t>
      </w:r>
      <w:r>
        <w:rPr>
          <w:rFonts w:hint="eastAsia" w:ascii="宋体" w:hAnsi="宋体" w:cs="宋体"/>
          <w:color w:val="0000FF"/>
          <w:sz w:val="24"/>
          <w:highlight w:val="none"/>
          <w:u w:val="single"/>
        </w:rPr>
        <w:t xml:space="preserve"> 202</w:t>
      </w:r>
      <w:r>
        <w:rPr>
          <w:rFonts w:hint="eastAsia" w:ascii="宋体" w:hAnsi="宋体" w:cs="宋体"/>
          <w:color w:val="0000FF"/>
          <w:sz w:val="24"/>
          <w:highlight w:val="none"/>
          <w:u w:val="single"/>
          <w:lang w:val="en-US" w:eastAsia="zh-CN"/>
        </w:rPr>
        <w:t>5</w:t>
      </w:r>
      <w:r>
        <w:rPr>
          <w:rFonts w:hint="eastAsia" w:ascii="宋体" w:hAnsi="宋体" w:cs="宋体"/>
          <w:color w:val="0000FF"/>
          <w:sz w:val="24"/>
          <w:highlight w:val="none"/>
          <w:u w:val="single"/>
        </w:rPr>
        <w:t>年</w:t>
      </w:r>
      <w:r>
        <w:rPr>
          <w:rFonts w:hint="eastAsia" w:ascii="宋体" w:hAnsi="宋体" w:cs="宋体"/>
          <w:color w:val="0000FF"/>
          <w:sz w:val="24"/>
          <w:highlight w:val="none"/>
          <w:u w:val="single"/>
          <w:lang w:val="en-US" w:eastAsia="zh-CN"/>
        </w:rPr>
        <w:t>7</w:t>
      </w:r>
      <w:r>
        <w:rPr>
          <w:rFonts w:hint="eastAsia" w:ascii="宋体" w:hAnsi="宋体" w:cs="宋体"/>
          <w:color w:val="0000FF"/>
          <w:sz w:val="24"/>
          <w:highlight w:val="none"/>
          <w:u w:val="single"/>
        </w:rPr>
        <w:t>月</w:t>
      </w:r>
      <w:r>
        <w:rPr>
          <w:rFonts w:hint="eastAsia" w:ascii="宋体" w:hAnsi="宋体" w:cs="宋体"/>
          <w:color w:val="0000FF"/>
          <w:sz w:val="24"/>
          <w:highlight w:val="none"/>
          <w:u w:val="single"/>
          <w:lang w:val="en-US" w:eastAsia="zh-CN"/>
        </w:rPr>
        <w:t>23</w:t>
      </w:r>
      <w:r>
        <w:rPr>
          <w:rFonts w:hint="eastAsia" w:ascii="宋体" w:hAnsi="宋体" w:cs="宋体"/>
          <w:color w:val="0000FF"/>
          <w:sz w:val="24"/>
          <w:highlight w:val="none"/>
          <w:u w:val="single"/>
        </w:rPr>
        <w:t>日</w:t>
      </w:r>
      <w:r>
        <w:rPr>
          <w:rFonts w:hint="eastAsia" w:ascii="宋体" w:hAnsi="宋体" w:cs="宋体"/>
          <w:color w:val="0000FF"/>
          <w:sz w:val="24"/>
          <w:highlight w:val="none"/>
          <w:u w:val="single"/>
          <w:lang w:val="en-US" w:eastAsia="zh-CN"/>
        </w:rPr>
        <w:t>9</w:t>
      </w:r>
      <w:r>
        <w:rPr>
          <w:rFonts w:hint="eastAsia" w:ascii="宋体" w:hAnsi="宋体" w:cs="宋体"/>
          <w:color w:val="0000FF"/>
          <w:sz w:val="24"/>
          <w:highlight w:val="none"/>
          <w:u w:val="single"/>
        </w:rPr>
        <w:t>点</w:t>
      </w:r>
      <w:r>
        <w:rPr>
          <w:rFonts w:hint="eastAsia" w:ascii="宋体" w:hAnsi="宋体" w:cs="宋体"/>
          <w:color w:val="0000FF"/>
          <w:sz w:val="24"/>
          <w:highlight w:val="none"/>
          <w:u w:val="single"/>
          <w:lang w:val="en-US" w:eastAsia="zh-CN"/>
        </w:rPr>
        <w:t>30</w:t>
      </w:r>
      <w:r>
        <w:rPr>
          <w:rFonts w:hint="eastAsia" w:ascii="宋体" w:hAnsi="宋体" w:cs="宋体"/>
          <w:color w:val="0000FF"/>
          <w:sz w:val="24"/>
          <w:highlight w:val="none"/>
          <w:u w:val="single"/>
        </w:rPr>
        <w:t>分</w:t>
      </w:r>
      <w:r>
        <w:rPr>
          <w:rFonts w:hint="eastAsia" w:ascii="宋体" w:hAnsi="宋体" w:cs="宋体"/>
          <w:bCs/>
          <w:color w:val="0000FF"/>
          <w:sz w:val="24"/>
          <w:highlight w:val="none"/>
          <w:u w:val="single"/>
        </w:rPr>
        <w:t xml:space="preserve"> </w:t>
      </w:r>
      <w:r>
        <w:rPr>
          <w:rFonts w:hint="eastAsia" w:ascii="宋体" w:hAnsi="宋体" w:cs="宋体"/>
          <w:color w:val="0000FF"/>
          <w:sz w:val="24"/>
          <w:highlight w:val="none"/>
        </w:rPr>
        <w:t>（北京时间）</w:t>
      </w:r>
    </w:p>
    <w:p w14:paraId="005B75A1">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7E7CF57">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五、响应文件开启 </w:t>
      </w:r>
    </w:p>
    <w:p w14:paraId="7220B2A6">
      <w:pPr>
        <w:spacing w:line="360" w:lineRule="auto"/>
        <w:ind w:firstLine="482" w:firstLineChars="200"/>
        <w:rPr>
          <w:rFonts w:ascii="宋体" w:hAnsi="宋体" w:cs="宋体"/>
          <w:bCs/>
          <w:color w:val="0000FF"/>
          <w:sz w:val="24"/>
          <w:highlight w:val="none"/>
          <w:u w:val="single"/>
        </w:rPr>
      </w:pPr>
      <w:r>
        <w:rPr>
          <w:rFonts w:hint="eastAsia" w:ascii="宋体" w:hAnsi="宋体" w:cs="宋体"/>
          <w:b/>
          <w:color w:val="0000FF"/>
          <w:sz w:val="24"/>
          <w:highlight w:val="none"/>
        </w:rPr>
        <w:t>开启时间：</w:t>
      </w:r>
      <w:r>
        <w:rPr>
          <w:rFonts w:hint="eastAsia" w:ascii="宋体" w:hAnsi="宋体" w:cs="宋体"/>
          <w:color w:val="0000FF"/>
          <w:sz w:val="24"/>
          <w:highlight w:val="none"/>
          <w:u w:val="single"/>
        </w:rPr>
        <w:t>202</w:t>
      </w:r>
      <w:r>
        <w:rPr>
          <w:rFonts w:hint="eastAsia" w:ascii="宋体" w:hAnsi="宋体" w:cs="宋体"/>
          <w:color w:val="0000FF"/>
          <w:sz w:val="24"/>
          <w:highlight w:val="none"/>
          <w:u w:val="single"/>
          <w:lang w:val="en-US" w:eastAsia="zh-CN"/>
        </w:rPr>
        <w:t>5</w:t>
      </w:r>
      <w:r>
        <w:rPr>
          <w:rFonts w:hint="eastAsia" w:ascii="宋体" w:hAnsi="宋体" w:cs="宋体"/>
          <w:color w:val="0000FF"/>
          <w:sz w:val="24"/>
          <w:highlight w:val="none"/>
          <w:u w:val="single"/>
        </w:rPr>
        <w:t>年</w:t>
      </w:r>
      <w:r>
        <w:rPr>
          <w:rFonts w:hint="eastAsia" w:ascii="宋体" w:hAnsi="宋体" w:cs="宋体"/>
          <w:color w:val="0000FF"/>
          <w:sz w:val="24"/>
          <w:highlight w:val="none"/>
          <w:u w:val="single"/>
          <w:lang w:val="en-US" w:eastAsia="zh-CN"/>
        </w:rPr>
        <w:t>7</w:t>
      </w:r>
      <w:r>
        <w:rPr>
          <w:rFonts w:hint="eastAsia" w:ascii="宋体" w:hAnsi="宋体" w:cs="宋体"/>
          <w:color w:val="0000FF"/>
          <w:sz w:val="24"/>
          <w:highlight w:val="none"/>
          <w:u w:val="single"/>
        </w:rPr>
        <w:t>月</w:t>
      </w:r>
      <w:r>
        <w:rPr>
          <w:rFonts w:hint="eastAsia" w:ascii="宋体" w:hAnsi="宋体" w:cs="宋体"/>
          <w:color w:val="0000FF"/>
          <w:sz w:val="24"/>
          <w:highlight w:val="none"/>
          <w:u w:val="single"/>
          <w:lang w:val="en-US" w:eastAsia="zh-CN"/>
        </w:rPr>
        <w:t>23</w:t>
      </w:r>
      <w:r>
        <w:rPr>
          <w:rFonts w:hint="eastAsia" w:ascii="宋体" w:hAnsi="宋体" w:cs="宋体"/>
          <w:color w:val="0000FF"/>
          <w:sz w:val="24"/>
          <w:highlight w:val="none"/>
          <w:u w:val="single"/>
        </w:rPr>
        <w:t>日</w:t>
      </w:r>
      <w:r>
        <w:rPr>
          <w:rFonts w:hint="eastAsia" w:ascii="宋体" w:hAnsi="宋体" w:cs="宋体"/>
          <w:color w:val="0000FF"/>
          <w:sz w:val="24"/>
          <w:highlight w:val="none"/>
          <w:u w:val="single"/>
          <w:lang w:val="en-US" w:eastAsia="zh-CN"/>
        </w:rPr>
        <w:t>9</w:t>
      </w:r>
      <w:r>
        <w:rPr>
          <w:rFonts w:hint="eastAsia" w:ascii="宋体" w:hAnsi="宋体" w:cs="宋体"/>
          <w:color w:val="0000FF"/>
          <w:sz w:val="24"/>
          <w:highlight w:val="none"/>
          <w:u w:val="single"/>
        </w:rPr>
        <w:t>点</w:t>
      </w:r>
      <w:r>
        <w:rPr>
          <w:rFonts w:hint="eastAsia" w:ascii="宋体" w:hAnsi="宋体" w:cs="宋体"/>
          <w:color w:val="0000FF"/>
          <w:sz w:val="24"/>
          <w:highlight w:val="none"/>
          <w:u w:val="single"/>
          <w:lang w:val="en-US" w:eastAsia="zh-CN"/>
        </w:rPr>
        <w:t>30</w:t>
      </w:r>
      <w:r>
        <w:rPr>
          <w:rFonts w:hint="eastAsia" w:ascii="宋体" w:hAnsi="宋体" w:cs="宋体"/>
          <w:color w:val="0000FF"/>
          <w:sz w:val="24"/>
          <w:highlight w:val="none"/>
          <w:u w:val="single"/>
        </w:rPr>
        <w:t>分</w:t>
      </w:r>
      <w:r>
        <w:rPr>
          <w:rFonts w:hint="eastAsia" w:ascii="宋体" w:hAnsi="宋体" w:cs="宋体"/>
          <w:bCs/>
          <w:color w:val="0000FF"/>
          <w:sz w:val="24"/>
          <w:highlight w:val="none"/>
          <w:u w:val="single"/>
        </w:rPr>
        <w:t xml:space="preserve"> </w:t>
      </w:r>
    </w:p>
    <w:p w14:paraId="5EDC79F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政采云平台（https://www.zcygov.cn/）</w:t>
      </w:r>
    </w:p>
    <w:p w14:paraId="6958A1A3">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六、公告期限 </w:t>
      </w:r>
    </w:p>
    <w:p w14:paraId="04BF070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自本公告发布之日起3个工作日。</w:t>
      </w:r>
    </w:p>
    <w:p w14:paraId="48CEF6AA">
      <w:pPr>
        <w:spacing w:line="360" w:lineRule="auto"/>
        <w:rPr>
          <w:rFonts w:ascii="宋体" w:hAnsi="宋体" w:cs="宋体"/>
          <w:b/>
          <w:color w:val="auto"/>
          <w:sz w:val="24"/>
          <w:highlight w:val="none"/>
        </w:rPr>
      </w:pPr>
      <w:r>
        <w:rPr>
          <w:rFonts w:hint="eastAsia" w:ascii="宋体" w:hAnsi="宋体" w:cs="宋体"/>
          <w:b/>
          <w:color w:val="auto"/>
          <w:sz w:val="24"/>
          <w:highlight w:val="none"/>
        </w:rPr>
        <w:t>七、其他补充事宜</w:t>
      </w:r>
    </w:p>
    <w:p w14:paraId="04BE9FA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 支持中小企业力度 助力扎实稳住经济 的通知》（浙财采监〔2022〕8号）已分别于2022年1月29日、2022年2月1日和2022年7月1日开始实施，此前有关规定与上述文件内容不一致的，按上述文件要求执行。</w:t>
      </w:r>
    </w:p>
    <w:p w14:paraId="2DC3263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8BAACC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7BEE2B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4.其他事项：</w:t>
      </w:r>
    </w:p>
    <w:p w14:paraId="3547103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（1）需要落实的政府采购政策：包括节约资源、保护环境、支持创新、促进中小企业发展等。详见采购文件的第二部分总则。</w:t>
      </w:r>
    </w:p>
    <w:p w14:paraId="39E16B0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采购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w:t>
      </w:r>
    </w:p>
    <w:p w14:paraId="0EF2CCC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（3）采购文件公告期限与竞争性磋商公告的公告期限一致。</w:t>
      </w:r>
    </w:p>
    <w:p w14:paraId="1620A669">
      <w:pPr>
        <w:spacing w:line="360" w:lineRule="auto"/>
        <w:rPr>
          <w:rFonts w:ascii="宋体" w:hAnsi="宋体" w:cs="宋体"/>
          <w:b/>
          <w:color w:val="auto"/>
          <w:sz w:val="24"/>
          <w:highlight w:val="none"/>
        </w:rPr>
      </w:pPr>
      <w:r>
        <w:rPr>
          <w:rFonts w:hint="eastAsia" w:ascii="宋体" w:hAnsi="宋体" w:cs="宋体"/>
          <w:b/>
          <w:color w:val="auto"/>
          <w:sz w:val="24"/>
          <w:highlight w:val="none"/>
        </w:rPr>
        <w:t>八、对本次采购提出询问、质疑、投诉，请按以下方式联系</w:t>
      </w:r>
    </w:p>
    <w:p w14:paraId="499C19A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14:paraId="5CDBC8C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杭州市钱塘区金沙湖实验学校</w:t>
      </w:r>
      <w:r>
        <w:rPr>
          <w:rFonts w:hint="eastAsia" w:ascii="宋体" w:hAnsi="宋体" w:cs="宋体"/>
          <w:color w:val="auto"/>
          <w:sz w:val="24"/>
          <w:highlight w:val="none"/>
        </w:rPr>
        <w:t xml:space="preserve"> </w:t>
      </w:r>
    </w:p>
    <w:p w14:paraId="5C1213D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lang w:val="en-US" w:eastAsia="zh-CN"/>
        </w:rPr>
        <w:t>杭州市钱塘区智格路168号</w:t>
      </w:r>
      <w:r>
        <w:rPr>
          <w:rFonts w:hint="eastAsia" w:ascii="宋体" w:hAnsi="宋体" w:cs="宋体"/>
          <w:color w:val="auto"/>
          <w:sz w:val="24"/>
          <w:highlight w:val="none"/>
        </w:rPr>
        <w:t xml:space="preserve">    </w:t>
      </w:r>
    </w:p>
    <w:p w14:paraId="065CF60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 /</w:t>
      </w:r>
    </w:p>
    <w:p w14:paraId="7EB501F5">
      <w:pPr>
        <w:snapToGrid w:val="0"/>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 xml:space="preserve">邹莉 </w:t>
      </w:r>
    </w:p>
    <w:p w14:paraId="7800F4E6">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：15068195483</w:t>
      </w:r>
    </w:p>
    <w:p w14:paraId="3015FC8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质疑联系人：魏青利</w:t>
      </w:r>
    </w:p>
    <w:p w14:paraId="74D613DF">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质疑联系方式：13336072007</w:t>
      </w:r>
      <w:r>
        <w:rPr>
          <w:rFonts w:hint="eastAsia" w:ascii="宋体" w:hAnsi="宋体" w:cs="宋体"/>
          <w:color w:val="auto"/>
          <w:sz w:val="24"/>
          <w:highlight w:val="none"/>
          <w:lang w:val="en-US" w:eastAsia="zh-CN"/>
        </w:rPr>
        <w:t xml:space="preserve"> </w:t>
      </w:r>
    </w:p>
    <w:p w14:paraId="0FACF24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2.采购代理机构信息            </w:t>
      </w:r>
    </w:p>
    <w:p w14:paraId="45E58E0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val="en-US" w:eastAsia="zh-CN"/>
        </w:rPr>
        <w:t>浙江省房地产管理咨询有限公司</w:t>
      </w:r>
    </w:p>
    <w:p w14:paraId="1E50827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地    址：杭州市拱墅区绍兴路538号三立时代广场1206室 </w:t>
      </w:r>
    </w:p>
    <w:p w14:paraId="7AB7DE7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传    真：</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p>
    <w:p w14:paraId="3AF585C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项目联系人（询问）：伍红仙         </w:t>
      </w:r>
    </w:p>
    <w:p w14:paraId="3E2483F0">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项目联系方式（询问）：13357106093/18868089351</w:t>
      </w:r>
    </w:p>
    <w:p w14:paraId="1187E76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赵红梅</w:t>
      </w:r>
      <w:r>
        <w:rPr>
          <w:rFonts w:hint="eastAsia" w:ascii="宋体" w:hAnsi="宋体" w:cs="宋体"/>
          <w:color w:val="auto"/>
          <w:sz w:val="24"/>
          <w:highlight w:val="none"/>
        </w:rPr>
        <w:t xml:space="preserve">           </w:t>
      </w:r>
    </w:p>
    <w:p w14:paraId="15B0BECB">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质疑联系方</w:t>
      </w:r>
      <w:r>
        <w:rPr>
          <w:rFonts w:hint="eastAsia" w:ascii="宋体" w:hAnsi="宋体" w:eastAsia="宋体" w:cs="宋体"/>
          <w:color w:val="auto"/>
          <w:sz w:val="24"/>
          <w:highlight w:val="none"/>
        </w:rPr>
        <w:t>式：13757196173</w:t>
      </w:r>
    </w:p>
    <w:p w14:paraId="090DAE9D">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 同级政府采购监督管理</w:t>
      </w:r>
      <w:r>
        <w:rPr>
          <w:rFonts w:hint="eastAsia" w:ascii="宋体" w:hAnsi="宋体" w:cs="宋体"/>
          <w:color w:val="auto"/>
          <w:sz w:val="24"/>
          <w:highlight w:val="none"/>
        </w:rPr>
        <w:t xml:space="preserve">部门            </w:t>
      </w:r>
    </w:p>
    <w:p w14:paraId="0973243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称：杭州市钱塘区财政局、浙江省政府采购行政裁决服务中心（杭州） </w:t>
      </w:r>
    </w:p>
    <w:p w14:paraId="4CD5B06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址：杭州市上城区清泰街549号城建综合大楼11楼（快递仅限ems或顺丰）</w:t>
      </w:r>
    </w:p>
    <w:p w14:paraId="0220630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 xml:space="preserve">  传    真：/</w:t>
      </w:r>
    </w:p>
    <w:p w14:paraId="19B2D80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：匡老师</w:t>
      </w:r>
    </w:p>
    <w:p w14:paraId="1A7918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监督投诉电话：0571-87807798</w:t>
      </w:r>
    </w:p>
    <w:p w14:paraId="5EADB4A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w:t>
      </w:r>
    </w:p>
    <w:p w14:paraId="2D05FF7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14:paraId="3F229937">
      <w:pPr>
        <w:snapToGrid w:val="0"/>
        <w:spacing w:line="360" w:lineRule="auto"/>
        <w:ind w:firstLine="480" w:firstLineChars="200"/>
        <w:rPr>
          <w:rFonts w:ascii="宋体" w:hAnsi="宋体" w:cs="宋体"/>
          <w:color w:val="auto"/>
          <w:sz w:val="24"/>
          <w:highlight w:val="none"/>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宋体" w:hAnsi="宋体" w:cs="宋体"/>
          <w:color w:val="auto"/>
          <w:sz w:val="24"/>
          <w:highlight w:val="none"/>
        </w:rPr>
        <w:t>CA问题联系电话（人工）：汇信CA 400-888-4636；天谷CA 400-087-8198。</w:t>
      </w:r>
    </w:p>
    <w:p w14:paraId="05EB8361">
      <w:pPr>
        <w:pStyle w:val="36"/>
        <w:spacing w:line="360" w:lineRule="auto"/>
        <w:jc w:val="center"/>
        <w:rPr>
          <w:rFonts w:hAnsi="宋体" w:cs="宋体"/>
          <w:b/>
          <w:snapToGrid/>
          <w:color w:val="auto"/>
          <w:sz w:val="36"/>
          <w:szCs w:val="20"/>
          <w:highlight w:val="none"/>
        </w:rPr>
      </w:pPr>
      <w:r>
        <w:rPr>
          <w:rFonts w:hint="eastAsia" w:hAnsi="宋体" w:cs="宋体"/>
          <w:b/>
          <w:snapToGrid/>
          <w:color w:val="auto"/>
          <w:sz w:val="36"/>
          <w:szCs w:val="20"/>
          <w:highlight w:val="none"/>
        </w:rPr>
        <w:t>第二部分</w:t>
      </w:r>
      <w:bookmarkEnd w:id="8"/>
      <w:r>
        <w:rPr>
          <w:rFonts w:hint="eastAsia" w:hAnsi="宋体" w:cs="宋体"/>
          <w:b/>
          <w:snapToGrid/>
          <w:color w:val="auto"/>
          <w:sz w:val="36"/>
          <w:szCs w:val="20"/>
          <w:highlight w:val="none"/>
        </w:rPr>
        <w:t xml:space="preserve"> 供应商须知</w:t>
      </w:r>
      <w:bookmarkEnd w:id="9"/>
    </w:p>
    <w:p w14:paraId="37AF7F92">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50FE9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5638089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093" w:type="dxa"/>
            <w:vAlign w:val="center"/>
          </w:tcPr>
          <w:p w14:paraId="0CDB2FF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927" w:type="dxa"/>
            <w:vAlign w:val="center"/>
          </w:tcPr>
          <w:p w14:paraId="01275AF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BD09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52042F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093" w:type="dxa"/>
            <w:vAlign w:val="center"/>
          </w:tcPr>
          <w:p w14:paraId="5F2EAF2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927" w:type="dxa"/>
            <w:vAlign w:val="center"/>
          </w:tcPr>
          <w:p w14:paraId="0F738220">
            <w:pPr>
              <w:spacing w:line="360" w:lineRule="auto"/>
              <w:rPr>
                <w:rFonts w:ascii="宋体" w:hAnsi="宋体" w:cs="宋体"/>
                <w:color w:val="auto"/>
                <w:sz w:val="24"/>
                <w:highlight w:val="none"/>
              </w:rPr>
            </w:pPr>
            <w:r>
              <w:rPr>
                <w:rFonts w:hint="eastAsia" w:ascii="宋体" w:hAnsi="宋体" w:cs="宋体"/>
                <w:color w:val="auto"/>
                <w:kern w:val="0"/>
                <w:sz w:val="24"/>
                <w:highlight w:val="none"/>
              </w:rPr>
              <w:t>工程</w:t>
            </w:r>
            <w:r>
              <w:rPr>
                <w:rFonts w:hint="eastAsia" w:ascii="宋体" w:hAnsi="宋体" w:cs="宋体"/>
                <w:color w:val="auto"/>
                <w:sz w:val="24"/>
                <w:highlight w:val="none"/>
              </w:rPr>
              <w:t>类</w:t>
            </w:r>
          </w:p>
        </w:tc>
      </w:tr>
      <w:tr w14:paraId="4BD1D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07882FE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093" w:type="dxa"/>
            <w:vMerge w:val="restart"/>
            <w:vAlign w:val="center"/>
          </w:tcPr>
          <w:p w14:paraId="399623C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927" w:type="dxa"/>
            <w:vAlign w:val="center"/>
          </w:tcPr>
          <w:p w14:paraId="1F366235">
            <w:pPr>
              <w:pStyle w:val="4"/>
              <w:rPr>
                <w:rFonts w:ascii="宋体" w:hAnsi="宋体" w:eastAsia="宋体" w:cs="宋体"/>
                <w:color w:val="auto"/>
                <w:highlight w:val="none"/>
                <w:lang w:val="en-US"/>
              </w:rPr>
            </w:pPr>
            <w:r>
              <w:rPr>
                <w:rFonts w:hint="eastAsia" w:ascii="宋体" w:hAnsi="宋体" w:cs="宋体"/>
                <w:color w:val="auto"/>
                <w:kern w:val="0"/>
                <w:sz w:val="24"/>
                <w:highlight w:val="none"/>
              </w:rPr>
              <w:t>（</w:t>
            </w:r>
            <w:r>
              <w:rPr>
                <w:rFonts w:hint="eastAsia" w:ascii="宋体" w:hAnsi="宋体" w:eastAsia="宋体" w:cs="宋体"/>
                <w:color w:val="auto"/>
                <w:kern w:val="0"/>
                <w:sz w:val="24"/>
                <w:highlight w:val="none"/>
              </w:rPr>
              <w:t>1）标的：</w:t>
            </w:r>
            <w:r>
              <w:rPr>
                <w:rFonts w:hint="eastAsia" w:ascii="宋体" w:hAnsi="宋体" w:eastAsia="宋体" w:cs="宋体"/>
                <w:color w:val="auto"/>
                <w:kern w:val="0"/>
                <w:sz w:val="24"/>
                <w:highlight w:val="none"/>
                <w:u w:val="single"/>
                <w:lang w:eastAsia="zh-CN"/>
              </w:rPr>
              <w:t>杭州市钱塘区金沙湖实验学校2025年足球场改造工程</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建筑业</w:t>
            </w:r>
            <w:r>
              <w:rPr>
                <w:rFonts w:hint="eastAsia" w:ascii="宋体" w:hAnsi="宋体" w:eastAsia="宋体" w:cs="宋体"/>
                <w:color w:val="auto"/>
                <w:kern w:val="0"/>
                <w:sz w:val="24"/>
                <w:highlight w:val="none"/>
              </w:rPr>
              <w:t>行业；</w:t>
            </w:r>
          </w:p>
        </w:tc>
      </w:tr>
      <w:tr w14:paraId="2D218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00C66678">
            <w:pPr>
              <w:snapToGrid w:val="0"/>
              <w:spacing w:line="360" w:lineRule="auto"/>
              <w:jc w:val="center"/>
              <w:rPr>
                <w:rFonts w:hint="eastAsia" w:ascii="宋体" w:hAnsi="宋体" w:cs="宋体"/>
                <w:color w:val="auto"/>
                <w:sz w:val="24"/>
                <w:highlight w:val="none"/>
              </w:rPr>
            </w:pPr>
          </w:p>
        </w:tc>
        <w:tc>
          <w:tcPr>
            <w:tcW w:w="2093" w:type="dxa"/>
            <w:vMerge w:val="continue"/>
            <w:vAlign w:val="center"/>
          </w:tcPr>
          <w:p w14:paraId="6C5A0DC6">
            <w:pPr>
              <w:snapToGrid w:val="0"/>
              <w:spacing w:line="360" w:lineRule="auto"/>
              <w:jc w:val="center"/>
              <w:rPr>
                <w:rFonts w:hint="eastAsia" w:ascii="宋体" w:hAnsi="宋体" w:cs="宋体"/>
                <w:b/>
                <w:color w:val="auto"/>
                <w:sz w:val="24"/>
                <w:highlight w:val="none"/>
              </w:rPr>
            </w:pPr>
          </w:p>
        </w:tc>
        <w:tc>
          <w:tcPr>
            <w:tcW w:w="6927" w:type="dxa"/>
            <w:vAlign w:val="center"/>
          </w:tcPr>
          <w:p w14:paraId="28688D84">
            <w:pPr>
              <w:pStyle w:val="4"/>
              <w:ind w:left="0" w:leftChars="0" w:firstLine="482"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据《关于印发中小企业划型标准规定的通知》（工信部联企业〔2011〕300号）第四条第（三）项规定：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6F81A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2E2AEBCA">
            <w:pPr>
              <w:snapToGrid w:val="0"/>
              <w:spacing w:line="360" w:lineRule="auto"/>
              <w:jc w:val="center"/>
              <w:rPr>
                <w:rFonts w:hint="eastAsia" w:ascii="宋体" w:hAnsi="宋体" w:cs="宋体"/>
                <w:color w:val="auto"/>
                <w:sz w:val="24"/>
                <w:highlight w:val="none"/>
              </w:rPr>
            </w:pPr>
          </w:p>
        </w:tc>
        <w:tc>
          <w:tcPr>
            <w:tcW w:w="2093" w:type="dxa"/>
            <w:vMerge w:val="continue"/>
            <w:vAlign w:val="center"/>
          </w:tcPr>
          <w:p w14:paraId="0E920D23">
            <w:pPr>
              <w:snapToGrid w:val="0"/>
              <w:spacing w:line="360" w:lineRule="auto"/>
              <w:jc w:val="center"/>
              <w:rPr>
                <w:rFonts w:hint="eastAsia" w:ascii="宋体" w:hAnsi="宋体" w:cs="宋体"/>
                <w:b/>
                <w:color w:val="auto"/>
                <w:sz w:val="24"/>
                <w:highlight w:val="none"/>
              </w:rPr>
            </w:pPr>
          </w:p>
        </w:tc>
        <w:tc>
          <w:tcPr>
            <w:tcW w:w="6927" w:type="dxa"/>
            <w:vAlign w:val="center"/>
          </w:tcPr>
          <w:p w14:paraId="516FEECE">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（1）投标人填写中小企业声明函时，标的为</w:t>
            </w:r>
            <w:r>
              <w:rPr>
                <w:rFonts w:hint="eastAsia" w:ascii="宋体" w:hAnsi="宋体" w:cs="宋体"/>
                <w:b/>
                <w:bCs/>
                <w:color w:val="auto"/>
                <w:kern w:val="0"/>
                <w:sz w:val="24"/>
                <w:highlight w:val="none"/>
                <w:u w:val="single"/>
                <w:lang w:eastAsia="zh-CN"/>
              </w:rPr>
              <w:t>杭州市钱塘区金沙湖实验学校2025年足球场改造工程</w:t>
            </w:r>
            <w:r>
              <w:rPr>
                <w:rFonts w:hint="eastAsia" w:ascii="宋体" w:hAnsi="宋体" w:eastAsia="宋体" w:cs="宋体"/>
                <w:color w:val="auto"/>
                <w:kern w:val="0"/>
                <w:sz w:val="24"/>
                <w:highlight w:val="none"/>
              </w:rPr>
              <w:t>，所属行业为</w:t>
            </w:r>
            <w:r>
              <w:rPr>
                <w:rFonts w:hint="eastAsia" w:ascii="宋体" w:hAnsi="宋体" w:eastAsia="宋体" w:cs="宋体"/>
                <w:b/>
                <w:bCs/>
                <w:color w:val="auto"/>
                <w:kern w:val="0"/>
                <w:sz w:val="24"/>
                <w:highlight w:val="none"/>
                <w:u w:val="single"/>
              </w:rPr>
              <w:t>建筑业</w:t>
            </w:r>
            <w:r>
              <w:rPr>
                <w:rFonts w:hint="eastAsia" w:ascii="宋体" w:hAnsi="宋体" w:eastAsia="宋体" w:cs="宋体"/>
                <w:color w:val="auto"/>
                <w:kern w:val="0"/>
                <w:sz w:val="24"/>
                <w:highlight w:val="none"/>
              </w:rPr>
              <w:t xml:space="preserve"> ；</w:t>
            </w:r>
          </w:p>
          <w:p w14:paraId="35485224">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（2）从业人员、营业收入、资产总额填报上一年度数据，无上一年度数据的新成立企业可不填报；</w:t>
            </w:r>
          </w:p>
          <w:p w14:paraId="514D5479">
            <w:pPr>
              <w:pStyle w:val="4"/>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（3）中型企业、小型企业、微型企业等3种企业类型，结合以上数据，依据《中小企业划型标准规定》（工信部联企业〔2011〕300号）确定的</w:t>
            </w:r>
            <w:r>
              <w:rPr>
                <w:rFonts w:hint="eastAsia" w:ascii="宋体" w:hAnsi="宋体" w:eastAsia="宋体" w:cs="宋体"/>
                <w:b/>
                <w:bCs/>
                <w:color w:val="auto"/>
                <w:kern w:val="0"/>
                <w:sz w:val="24"/>
                <w:highlight w:val="none"/>
                <w:u w:val="single"/>
              </w:rPr>
              <w:t>建筑业</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u w:val="single"/>
              </w:rPr>
              <w:t>填写时应明确是</w:t>
            </w:r>
            <w:r>
              <w:rPr>
                <w:rFonts w:hint="eastAsia" w:ascii="宋体" w:hAnsi="宋体" w:eastAsia="宋体" w:cs="宋体"/>
                <w:b/>
                <w:bCs/>
                <w:color w:val="auto"/>
                <w:kern w:val="0"/>
                <w:sz w:val="24"/>
                <w:highlight w:val="none"/>
                <w:u w:val="single"/>
                <w:lang w:val="en-US" w:eastAsia="zh-CN"/>
              </w:rPr>
              <w:t>中型或</w:t>
            </w:r>
            <w:r>
              <w:rPr>
                <w:rFonts w:hint="eastAsia" w:ascii="宋体" w:hAnsi="宋体" w:eastAsia="宋体" w:cs="宋体"/>
                <w:b/>
                <w:bCs/>
                <w:color w:val="auto"/>
                <w:kern w:val="0"/>
                <w:sz w:val="24"/>
                <w:highlight w:val="none"/>
                <w:u w:val="single"/>
              </w:rPr>
              <w:t>小型或微型</w:t>
            </w:r>
            <w:r>
              <w:rPr>
                <w:rFonts w:hint="eastAsia" w:ascii="宋体" w:hAnsi="宋体" w:eastAsia="宋体" w:cs="宋体"/>
                <w:color w:val="auto"/>
                <w:kern w:val="0"/>
                <w:sz w:val="24"/>
                <w:highlight w:val="none"/>
              </w:rPr>
              <w:t>。</w:t>
            </w:r>
          </w:p>
        </w:tc>
      </w:tr>
      <w:tr w14:paraId="3EF0C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CB3F81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2093" w:type="dxa"/>
            <w:vAlign w:val="center"/>
          </w:tcPr>
          <w:p w14:paraId="0FDDDD7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927" w:type="dxa"/>
            <w:vAlign w:val="center"/>
          </w:tcPr>
          <w:p w14:paraId="46A85738">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6E763ADB">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6B992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7CCB91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2093" w:type="dxa"/>
            <w:vAlign w:val="center"/>
          </w:tcPr>
          <w:p w14:paraId="2A1CDD2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927" w:type="dxa"/>
            <w:vAlign w:val="center"/>
          </w:tcPr>
          <w:p w14:paraId="77BBD54D">
            <w:pPr>
              <w:spacing w:line="360" w:lineRule="auto"/>
              <w:rPr>
                <w:rFonts w:hint="eastAsia" w:ascii="宋体" w:hAnsi="宋体" w:eastAsia="宋体" w:cs="宋体"/>
                <w:color w:val="auto"/>
                <w:sz w:val="24"/>
                <w:highlight w:val="none"/>
              </w:rPr>
            </w:pPr>
            <w:sdt>
              <w:sdtPr>
                <w:rPr>
                  <w:rFonts w:hint="eastAsia" w:ascii="仿宋_GB2312" w:hAnsi="仿宋" w:eastAsia="仿宋_GB2312" w:cs="Arial"/>
                  <w:color w:val="auto"/>
                  <w:kern w:val="0"/>
                  <w:sz w:val="24"/>
                  <w:highlight w:val="none"/>
                </w:rPr>
                <w:id w:val="147470335"/>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sdt>
              <w:sdtPr>
                <w:rPr>
                  <w:rFonts w:hint="eastAsia" w:ascii="宋体" w:hAnsi="宋体" w:eastAsia="宋体" w:cs="宋体"/>
                  <w:color w:val="auto"/>
                  <w:kern w:val="0"/>
                  <w:sz w:val="24"/>
                  <w:highlight w:val="none"/>
                </w:rPr>
                <w:id w:val="147469939"/>
                <w:showingPlcHdr/>
              </w:sdtPr>
              <w:sdtEndPr>
                <w:rPr>
                  <w:rFonts w:hint="eastAsia" w:ascii="宋体" w:hAnsi="宋体" w:eastAsia="宋体" w:cs="宋体"/>
                  <w:color w:val="auto"/>
                  <w:kern w:val="0"/>
                  <w:sz w:val="24"/>
                  <w:highlight w:val="none"/>
                </w:rPr>
              </w:sdtEndPr>
              <w:sdtContent/>
            </w:sdt>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w:t>
            </w:r>
            <w:r>
              <w:rPr>
                <w:rFonts w:hint="eastAsia" w:ascii="宋体" w:hAnsi="宋体" w:cs="宋体"/>
                <w:color w:val="auto"/>
                <w:sz w:val="24"/>
                <w:highlight w:val="none"/>
                <w:u w:val="single"/>
                <w:lang w:val="en-US" w:eastAsia="zh-CN"/>
              </w:rPr>
              <w:t xml:space="preserve"> 施工劳务 </w:t>
            </w:r>
            <w:r>
              <w:rPr>
                <w:rFonts w:hint="eastAsia" w:ascii="宋体" w:hAnsi="宋体" w:eastAsia="宋体" w:cs="宋体"/>
                <w:color w:val="auto"/>
                <w:sz w:val="24"/>
                <w:highlight w:val="none"/>
              </w:rPr>
              <w:t>工作分包。</w:t>
            </w:r>
          </w:p>
          <w:p w14:paraId="6DDF226A">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7286927"/>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7896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sdt>
                  <w:sdtPr>
                    <w:rPr>
                      <w:rFonts w:hint="eastAsia" w:ascii="宋体" w:hAnsi="宋体" w:eastAsia="宋体" w:cs="宋体"/>
                      <w:color w:val="auto"/>
                      <w:kern w:val="0"/>
                      <w:sz w:val="24"/>
                      <w:highlight w:val="none"/>
                    </w:rPr>
                    <w:id w:val="147459104"/>
                    <w:showingPlcHdr/>
                  </w:sdtPr>
                  <w:sdtEndPr>
                    <w:rPr>
                      <w:rFonts w:hint="eastAsia" w:ascii="宋体" w:hAnsi="宋体" w:eastAsia="宋体" w:cs="宋体"/>
                      <w:color w:val="auto"/>
                      <w:kern w:val="0"/>
                      <w:sz w:val="24"/>
                      <w:highlight w:val="none"/>
                    </w:rPr>
                  </w:sdtEndPr>
                  <w:sdtContent/>
                </w:sdt>
              </w:sdtContent>
            </w:sdt>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同意</w:t>
            </w:r>
            <w:r>
              <w:rPr>
                <w:rFonts w:hint="eastAsia" w:ascii="宋体" w:hAnsi="宋体" w:eastAsia="宋体" w:cs="宋体"/>
                <w:color w:val="auto"/>
                <w:sz w:val="24"/>
                <w:highlight w:val="none"/>
                <w:lang w:val="en-US" w:eastAsia="zh-CN"/>
              </w:rPr>
              <w:t>中型企业向小微企业、小微企业向小微企业合理分包</w:t>
            </w:r>
            <w:r>
              <w:rPr>
                <w:rFonts w:hint="eastAsia" w:ascii="宋体" w:hAnsi="宋体" w:eastAsia="宋体" w:cs="宋体"/>
                <w:color w:val="auto"/>
                <w:sz w:val="24"/>
                <w:highlight w:val="none"/>
              </w:rPr>
              <w:t>。</w:t>
            </w:r>
          </w:p>
          <w:p w14:paraId="0D4BB5A6">
            <w:pPr>
              <w:spacing w:line="360" w:lineRule="auto"/>
              <w:rPr>
                <w:rFonts w:ascii="宋体" w:hAnsi="宋体" w:cs="宋体"/>
                <w:color w:val="auto"/>
                <w:sz w:val="24"/>
                <w:highlight w:val="none"/>
              </w:rPr>
            </w:pPr>
            <w:sdt>
              <w:sdtPr>
                <w:rPr>
                  <w:rFonts w:hint="eastAsia" w:ascii="宋体" w:hAnsi="宋体" w:eastAsia="宋体" w:cs="宋体"/>
                  <w:color w:val="auto"/>
                  <w:kern w:val="0"/>
                  <w:sz w:val="24"/>
                  <w:highlight w:val="none"/>
                </w:rPr>
                <w:id w:val="-1276331357"/>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5397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sdt>
                  <w:sdtPr>
                    <w:rPr>
                      <w:rFonts w:hint="eastAsia" w:ascii="宋体" w:hAnsi="宋体" w:eastAsia="宋体" w:cs="宋体"/>
                      <w:color w:val="auto"/>
                      <w:kern w:val="0"/>
                      <w:sz w:val="24"/>
                      <w:highlight w:val="none"/>
                    </w:rPr>
                    <w:id w:val="147481385"/>
                    <w:showingPlcHdr/>
                  </w:sdtPr>
                  <w:sdtEndPr>
                    <w:rPr>
                      <w:rFonts w:hint="eastAsia" w:ascii="宋体" w:hAnsi="宋体" w:eastAsia="宋体" w:cs="宋体"/>
                      <w:color w:val="auto"/>
                      <w:kern w:val="0"/>
                      <w:sz w:val="24"/>
                      <w:highlight w:val="none"/>
                    </w:rPr>
                  </w:sdtEndPr>
                  <w:sdtContent/>
                </w:sdt>
              </w:sdtContent>
            </w:sdt>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en-US" w:eastAsia="zh-CN"/>
              </w:rPr>
              <w:t>C</w:t>
            </w:r>
            <w:r>
              <w:rPr>
                <w:rFonts w:hint="eastAsia" w:ascii="宋体" w:hAnsi="宋体" w:eastAsia="宋体" w:cs="宋体"/>
                <w:color w:val="auto"/>
                <w:sz w:val="24"/>
                <w:highlight w:val="none"/>
              </w:rPr>
              <w:t>不同意分包。</w:t>
            </w:r>
          </w:p>
        </w:tc>
      </w:tr>
      <w:tr w14:paraId="1079F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54B557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2093" w:type="dxa"/>
            <w:vAlign w:val="center"/>
          </w:tcPr>
          <w:p w14:paraId="4B041B1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磋商前答疑会或现场考察</w:t>
            </w:r>
          </w:p>
        </w:tc>
        <w:tc>
          <w:tcPr>
            <w:tcW w:w="6927" w:type="dxa"/>
            <w:vAlign w:val="center"/>
          </w:tcPr>
          <w:p w14:paraId="2FD26204">
            <w:pPr>
              <w:pStyle w:val="2"/>
              <w:spacing w:line="360" w:lineRule="auto"/>
              <w:ind w:firstLine="0" w:firstLineChars="0"/>
              <w:rPr>
                <w:rFonts w:ascii="宋体" w:hAnsi="宋体" w:cs="宋体"/>
                <w:color w:val="auto"/>
                <w:sz w:val="24"/>
                <w:szCs w:val="20"/>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tc>
      </w:tr>
      <w:tr w14:paraId="7090F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19DB63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2093" w:type="dxa"/>
            <w:vAlign w:val="center"/>
          </w:tcPr>
          <w:p w14:paraId="0387D2B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927" w:type="dxa"/>
            <w:vAlign w:val="center"/>
          </w:tcPr>
          <w:p w14:paraId="344C4A2F">
            <w:pPr>
              <w:spacing w:line="360" w:lineRule="auto"/>
              <w:rPr>
                <w:rFonts w:ascii="宋体" w:hAnsi="宋体" w:cs="宋体"/>
                <w:b/>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tc>
      </w:tr>
      <w:tr w14:paraId="1B56C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F16474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2093" w:type="dxa"/>
            <w:vAlign w:val="center"/>
          </w:tcPr>
          <w:p w14:paraId="33E14E59">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927" w:type="dxa"/>
            <w:vAlign w:val="center"/>
          </w:tcPr>
          <w:p w14:paraId="2903D3F0">
            <w:pPr>
              <w:spacing w:line="360" w:lineRule="auto"/>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tc>
      </w:tr>
      <w:tr w14:paraId="7FED8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1D59CE1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2093" w:type="dxa"/>
            <w:vMerge w:val="restart"/>
            <w:vAlign w:val="center"/>
          </w:tcPr>
          <w:p w14:paraId="5235132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供应商应当提供的资格、资信证明文件</w:t>
            </w:r>
          </w:p>
        </w:tc>
        <w:tc>
          <w:tcPr>
            <w:tcW w:w="6927" w:type="dxa"/>
            <w:vAlign w:val="center"/>
          </w:tcPr>
          <w:p w14:paraId="43218D8B">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（1）资格证明文件：见采购文件第二部分11.1。</w:t>
            </w:r>
          </w:p>
          <w:p w14:paraId="310CA2D9">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供应商未提供有效的资格证明文件的，视为供应商不具备采购文件中规定的资格要求，响应文件无效。</w:t>
            </w:r>
          </w:p>
        </w:tc>
      </w:tr>
      <w:tr w14:paraId="438DA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69021FA1">
            <w:pPr>
              <w:snapToGrid w:val="0"/>
              <w:spacing w:line="360" w:lineRule="auto"/>
              <w:jc w:val="center"/>
              <w:rPr>
                <w:rFonts w:ascii="宋体" w:hAnsi="宋体" w:cs="宋体"/>
                <w:color w:val="auto"/>
                <w:sz w:val="24"/>
                <w:highlight w:val="none"/>
              </w:rPr>
            </w:pPr>
          </w:p>
        </w:tc>
        <w:tc>
          <w:tcPr>
            <w:tcW w:w="2093" w:type="dxa"/>
            <w:vMerge w:val="continue"/>
            <w:vAlign w:val="center"/>
          </w:tcPr>
          <w:p w14:paraId="08474655">
            <w:pPr>
              <w:snapToGrid w:val="0"/>
              <w:spacing w:line="360" w:lineRule="auto"/>
              <w:jc w:val="center"/>
              <w:rPr>
                <w:rFonts w:ascii="宋体" w:hAnsi="宋体" w:cs="宋体"/>
                <w:b/>
                <w:color w:val="auto"/>
                <w:sz w:val="24"/>
                <w:highlight w:val="none"/>
              </w:rPr>
            </w:pPr>
          </w:p>
        </w:tc>
        <w:tc>
          <w:tcPr>
            <w:tcW w:w="6927" w:type="dxa"/>
            <w:vAlign w:val="center"/>
          </w:tcPr>
          <w:p w14:paraId="195BA83A">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（2）资信证明文件：根据采购文件第四部分评审标准提供。</w:t>
            </w:r>
          </w:p>
        </w:tc>
      </w:tr>
      <w:tr w14:paraId="2C1AB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EB6022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2093" w:type="dxa"/>
            <w:vAlign w:val="center"/>
          </w:tcPr>
          <w:p w14:paraId="2CC20B4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927" w:type="dxa"/>
            <w:vAlign w:val="center"/>
          </w:tcPr>
          <w:p w14:paraId="09A57085">
            <w:pPr>
              <w:keepNext w:val="0"/>
              <w:keepLines w:val="0"/>
              <w:pageBreakBefore w:val="0"/>
              <w:kinsoku/>
              <w:wordWrap/>
              <w:overflowPunct/>
              <w:topLinePunct w:val="0"/>
              <w:bidi w:val="0"/>
              <w:adjustRightInd w:val="0"/>
              <w:snapToGrid w:val="0"/>
              <w:spacing w:line="360" w:lineRule="auto"/>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10C629D6">
            <w:pPr>
              <w:pStyle w:val="2"/>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kern w:val="0"/>
                <w:sz w:val="24"/>
                <w:szCs w:val="24"/>
                <w:lang w:val="en-US" w:eastAsia="zh-CN" w:bidi="ar-SA"/>
              </w:rPr>
            </w:pPr>
            <w:sdt>
              <w:sdtPr>
                <w:rPr>
                  <w:rFonts w:hint="eastAsia" w:ascii="宋体" w:hAnsi="宋体" w:eastAsia="宋体" w:cs="宋体"/>
                  <w:kern w:val="0"/>
                  <w:sz w:val="24"/>
                  <w:szCs w:val="24"/>
                  <w:lang w:val="en-US" w:eastAsia="zh-CN" w:bidi="ar-SA"/>
                </w:rPr>
                <w:id w:val="147470666"/>
                <w14:checkbox>
                  <w14:checked w14:val="0"/>
                  <w14:checkedState w14:val="00FE" w14:font="Wingdings"/>
                  <w14:uncheckedState w14:val="2610" w14:font="MS Gothic"/>
                </w14:checkbox>
              </w:sdtPr>
              <w:sdtEndPr>
                <w:rPr>
                  <w:rFonts w:hint="eastAsia" w:ascii="宋体" w:hAnsi="宋体" w:eastAsia="宋体" w:cs="宋体"/>
                  <w:kern w:val="0"/>
                  <w:sz w:val="24"/>
                  <w:szCs w:val="24"/>
                  <w:lang w:val="en-US" w:eastAsia="zh-CN" w:bidi="ar-SA"/>
                </w:rPr>
              </w:sdtEndPr>
              <w:sdtContent>
                <w:r>
                  <w:rPr>
                    <w:rFonts w:hint="eastAsia" w:ascii="宋体" w:hAnsi="宋体" w:eastAsia="宋体" w:cs="宋体"/>
                    <w:kern w:val="0"/>
                    <w:sz w:val="24"/>
                    <w:szCs w:val="24"/>
                    <w:lang w:val="en-US" w:eastAsia="zh-CN" w:bidi="ar-SA"/>
                  </w:rPr>
                  <w:t>☐</w:t>
                </w:r>
              </w:sdtContent>
            </w:sdt>
            <w:r>
              <w:rPr>
                <w:rFonts w:hint="eastAsia" w:ascii="宋体" w:hAnsi="宋体" w:eastAsia="宋体" w:cs="宋体"/>
                <w:kern w:val="0"/>
                <w:sz w:val="24"/>
                <w:szCs w:val="24"/>
                <w:lang w:val="en-US" w:eastAsia="zh-CN" w:bidi="ar-SA"/>
              </w:rPr>
              <w:t xml:space="preserve">强制采购节能产品。产品：    </w:t>
            </w:r>
          </w:p>
          <w:p w14:paraId="15112272">
            <w:pPr>
              <w:pStyle w:val="2"/>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□优先采购节能产品。产品：   </w:t>
            </w:r>
          </w:p>
          <w:p w14:paraId="56800F8D">
            <w:pPr>
              <w:pStyle w:val="2"/>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□优先采购环保产品。产品：    </w:t>
            </w:r>
          </w:p>
          <w:p w14:paraId="58DE2E0C">
            <w:pPr>
              <w:pStyle w:val="2"/>
              <w:keepNext w:val="0"/>
              <w:keepLines w:val="0"/>
              <w:pageBreakBefore w:val="0"/>
              <w:kinsoku/>
              <w:wordWrap/>
              <w:overflowPunct/>
              <w:topLinePunct w:val="0"/>
              <w:bidi w:val="0"/>
              <w:adjustRightInd w:val="0"/>
              <w:spacing w:line="360" w:lineRule="auto"/>
              <w:textAlignment w:val="auto"/>
            </w:pPr>
            <w:r>
              <w:rPr>
                <w:rFonts w:hint="eastAsia" w:ascii="宋体" w:hAnsi="宋体" w:eastAsia="宋体" w:cs="宋体"/>
                <w:kern w:val="0"/>
                <w:sz w:val="24"/>
                <w:szCs w:val="24"/>
                <w:lang w:val="en-US" w:eastAsia="zh-CN" w:bidi="ar-SA"/>
              </w:rPr>
              <w:t>☑无</w:t>
            </w:r>
          </w:p>
        </w:tc>
      </w:tr>
      <w:tr w14:paraId="221A8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C79F01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2093" w:type="dxa"/>
            <w:vAlign w:val="center"/>
          </w:tcPr>
          <w:p w14:paraId="55C68A5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927" w:type="dxa"/>
            <w:vAlign w:val="center"/>
          </w:tcPr>
          <w:p w14:paraId="494E0A2A">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color w:val="auto"/>
                <w:sz w:val="24"/>
                <w:highlight w:val="none"/>
              </w:rPr>
              <w:t>报价单是报价的唯一载体</w:t>
            </w:r>
            <w:r>
              <w:rPr>
                <w:rFonts w:hint="eastAsia" w:ascii="宋体" w:hAnsi="宋体" w:cs="宋体"/>
                <w:color w:val="auto"/>
                <w:kern w:val="0"/>
                <w:sz w:val="24"/>
                <w:highlight w:val="none"/>
                <w:lang w:val="zh-CN"/>
              </w:rPr>
              <w:t>。响应文件中价格全部采用人民币报价。采购文件未列明，而供应商认为必需的费用也需列入报价。</w:t>
            </w:r>
            <w:r>
              <w:rPr>
                <w:rFonts w:hint="eastAsia" w:ascii="宋体" w:hAnsi="宋体" w:cs="宋体"/>
                <w:b/>
                <w:color w:val="auto"/>
                <w:kern w:val="0"/>
                <w:sz w:val="24"/>
                <w:highlight w:val="none"/>
                <w:lang w:val="zh-CN"/>
              </w:rPr>
              <w:t>提醒：验收时检测费用由采购人承担，不包含在总价中。</w:t>
            </w:r>
          </w:p>
          <w:p w14:paraId="1E426CA9">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最后报价出现下列情形的，响应文件无效：</w:t>
            </w:r>
          </w:p>
          <w:p w14:paraId="779CAEFB">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响应文件出现不是唯一的、有选择性最后报价的；</w:t>
            </w:r>
          </w:p>
          <w:p w14:paraId="51D471FA">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最后报价超过采购文件中规定的预算金额或者最高限价的;</w:t>
            </w:r>
          </w:p>
          <w:p w14:paraId="29B0E34B">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E763D03">
            <w:pPr>
              <w:spacing w:line="360" w:lineRule="auto"/>
              <w:ind w:firstLine="241" w:firstLineChars="100"/>
              <w:rPr>
                <w:color w:val="auto"/>
                <w:highlight w:val="none"/>
              </w:rPr>
            </w:pPr>
            <w:r>
              <w:rPr>
                <w:rFonts w:hint="eastAsia" w:ascii="宋体" w:hAnsi="宋体" w:cs="宋体"/>
                <w:b/>
                <w:color w:val="auto"/>
                <w:kern w:val="0"/>
                <w:sz w:val="24"/>
                <w:highlight w:val="none"/>
              </w:rPr>
              <w:t>供</w:t>
            </w:r>
            <w:r>
              <w:rPr>
                <w:rFonts w:hint="eastAsia" w:ascii="宋体" w:hAnsi="宋体" w:eastAsia="宋体" w:cs="宋体"/>
                <w:b/>
                <w:color w:val="auto"/>
                <w:kern w:val="0"/>
                <w:sz w:val="24"/>
                <w:highlight w:val="none"/>
              </w:rPr>
              <w:t>应商对根据修正原则修正后的报价不确认的。</w:t>
            </w:r>
          </w:p>
        </w:tc>
      </w:tr>
      <w:tr w14:paraId="25B61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7F6FADA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2093" w:type="dxa"/>
            <w:vMerge w:val="restart"/>
            <w:vAlign w:val="center"/>
          </w:tcPr>
          <w:p w14:paraId="3C62641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927" w:type="dxa"/>
            <w:vAlign w:val="center"/>
          </w:tcPr>
          <w:p w14:paraId="2D7B32CB">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tc>
      </w:tr>
      <w:tr w14:paraId="249D0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7B82C749">
            <w:pPr>
              <w:spacing w:line="360" w:lineRule="auto"/>
              <w:ind w:firstLine="420" w:firstLineChars="200"/>
              <w:jc w:val="center"/>
              <w:rPr>
                <w:rFonts w:ascii="宋体" w:hAnsi="宋体" w:cs="宋体"/>
                <w:color w:val="auto"/>
                <w:highlight w:val="none"/>
              </w:rPr>
            </w:pPr>
          </w:p>
        </w:tc>
        <w:tc>
          <w:tcPr>
            <w:tcW w:w="2093" w:type="dxa"/>
            <w:vMerge w:val="continue"/>
            <w:vAlign w:val="center"/>
          </w:tcPr>
          <w:p w14:paraId="49BBEC12">
            <w:pPr>
              <w:snapToGrid w:val="0"/>
              <w:spacing w:line="360" w:lineRule="auto"/>
              <w:jc w:val="center"/>
              <w:rPr>
                <w:rFonts w:ascii="宋体" w:hAnsi="宋体" w:cs="宋体"/>
                <w:color w:val="auto"/>
                <w:highlight w:val="none"/>
              </w:rPr>
            </w:pPr>
          </w:p>
        </w:tc>
        <w:tc>
          <w:tcPr>
            <w:tcW w:w="6927" w:type="dxa"/>
            <w:vAlign w:val="center"/>
          </w:tcPr>
          <w:p w14:paraId="605045FC">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CD1E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082BEF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2093" w:type="dxa"/>
            <w:vAlign w:val="center"/>
          </w:tcPr>
          <w:p w14:paraId="004FB95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备份响应文件送达地点和签收人员</w:t>
            </w:r>
          </w:p>
        </w:tc>
        <w:tc>
          <w:tcPr>
            <w:tcW w:w="6927" w:type="dxa"/>
            <w:vAlign w:val="center"/>
          </w:tcPr>
          <w:p w14:paraId="4691E8D8">
            <w:pPr>
              <w:pStyle w:val="36"/>
              <w:spacing w:line="360" w:lineRule="auto"/>
              <w:rPr>
                <w:rFonts w:hAnsi="宋体" w:cs="宋体"/>
                <w:color w:val="auto"/>
                <w:sz w:val="24"/>
                <w:szCs w:val="24"/>
                <w:highlight w:val="none"/>
              </w:rPr>
            </w:pPr>
            <w:r>
              <w:rPr>
                <w:rFonts w:hint="eastAsia" w:hAnsi="宋体" w:cs="宋体"/>
                <w:color w:val="auto"/>
                <w:kern w:val="28"/>
                <w:sz w:val="24"/>
                <w:szCs w:val="24"/>
                <w:highlight w:val="none"/>
              </w:rPr>
              <w:t>备份响应文件送达地点：</w:t>
            </w:r>
            <w:r>
              <w:rPr>
                <w:rFonts w:hint="eastAsia" w:hAnsi="宋体" w:cs="宋体"/>
                <w:color w:val="auto"/>
                <w:sz w:val="24"/>
                <w:highlight w:val="none"/>
                <w:u w:val="single"/>
              </w:rPr>
              <w:t xml:space="preserve"> </w:t>
            </w:r>
            <w:r>
              <w:rPr>
                <w:rFonts w:hint="eastAsia" w:hAnsi="宋体" w:cs="宋体"/>
                <w:color w:val="auto"/>
                <w:kern w:val="28"/>
                <w:sz w:val="24"/>
                <w:szCs w:val="24"/>
                <w:highlight w:val="none"/>
                <w:u w:val="single"/>
              </w:rPr>
              <w:t>杭州市拱墅区绍兴路538号三立时代广场A座1206室</w:t>
            </w:r>
            <w:r>
              <w:rPr>
                <w:rFonts w:hint="eastAsia" w:hAnsi="宋体" w:cs="宋体"/>
                <w:color w:val="auto"/>
                <w:kern w:val="28"/>
                <w:sz w:val="24"/>
                <w:szCs w:val="24"/>
                <w:highlight w:val="none"/>
              </w:rPr>
              <w:t>；备份响应文件签收人员联系电话：</w:t>
            </w:r>
            <w:r>
              <w:rPr>
                <w:rFonts w:hint="eastAsia" w:hAnsi="宋体" w:cs="宋体"/>
                <w:color w:val="auto"/>
                <w:kern w:val="28"/>
                <w:sz w:val="24"/>
                <w:szCs w:val="24"/>
                <w:highlight w:val="none"/>
                <w:u w:val="single"/>
                <w:lang w:val="en-US" w:eastAsia="zh-CN"/>
              </w:rPr>
              <w:t>伍红仙 13357106093</w:t>
            </w:r>
            <w:r>
              <w:rPr>
                <w:rFonts w:hint="eastAsia" w:hAnsi="宋体" w:cs="宋体"/>
                <w:color w:val="auto"/>
                <w:sz w:val="24"/>
                <w:szCs w:val="24"/>
                <w:highlight w:val="none"/>
              </w:rPr>
              <w:t>。</w:t>
            </w:r>
          </w:p>
          <w:p w14:paraId="3BA4B809">
            <w:pPr>
              <w:pStyle w:val="36"/>
              <w:spacing w:line="360" w:lineRule="auto"/>
              <w:rPr>
                <w:rFonts w:hAnsi="宋体" w:cs="宋体"/>
                <w:color w:val="auto"/>
                <w:kern w:val="28"/>
                <w:sz w:val="24"/>
                <w:highlight w:val="none"/>
              </w:rPr>
            </w:pPr>
            <w:r>
              <w:rPr>
                <w:rFonts w:hint="eastAsia" w:hAnsi="宋体" w:cs="宋体"/>
                <w:b/>
                <w:color w:val="auto"/>
                <w:sz w:val="24"/>
                <w:szCs w:val="24"/>
                <w:highlight w:val="none"/>
              </w:rPr>
              <w:t>采购人、采购机构不强制或变相强制供应商提交备份响应文件。</w:t>
            </w:r>
          </w:p>
        </w:tc>
      </w:tr>
      <w:tr w14:paraId="12367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61A3A8A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2093" w:type="dxa"/>
            <w:vMerge w:val="restart"/>
            <w:vAlign w:val="center"/>
          </w:tcPr>
          <w:p w14:paraId="57BF20E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其它说明</w:t>
            </w:r>
          </w:p>
        </w:tc>
        <w:tc>
          <w:tcPr>
            <w:tcW w:w="6927" w:type="dxa"/>
            <w:vAlign w:val="center"/>
          </w:tcPr>
          <w:p w14:paraId="11D345C6">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sym w:font="Wingdings 2" w:char="00A3"/>
            </w:r>
            <w:r>
              <w:rPr>
                <w:rFonts w:hint="eastAsia" w:ascii="宋体" w:hAnsi="宋体" w:eastAsia="宋体" w:cs="宋体"/>
                <w:snapToGrid w:val="0"/>
                <w:color w:val="auto"/>
                <w:kern w:val="28"/>
                <w:sz w:val="24"/>
                <w:szCs w:val="24"/>
                <w:highlight w:val="none"/>
              </w:rPr>
              <w:t>联合体投标的，联合体各方分别提供与联合体协议中规定的分工内容相应的业绩证明材料，业绩数量以提供材料较少的一方为准。</w:t>
            </w:r>
          </w:p>
          <w:p w14:paraId="10DB8B18">
            <w:pPr>
              <w:spacing w:line="360" w:lineRule="auto"/>
              <w:rPr>
                <w:rFonts w:ascii="宋体" w:hAnsi="宋体" w:cs="宋体"/>
                <w:snapToGrid w:val="0"/>
                <w:color w:val="auto"/>
                <w:kern w:val="28"/>
                <w:sz w:val="24"/>
                <w:highlight w:val="none"/>
              </w:rPr>
            </w:pPr>
            <w:r>
              <w:rPr>
                <w:rFonts w:hint="eastAsia" w:ascii="宋体" w:hAnsi="宋体" w:eastAsia="宋体" w:cs="宋体"/>
                <w:snapToGrid w:val="0"/>
                <w:color w:val="auto"/>
                <w:kern w:val="28"/>
                <w:sz w:val="24"/>
                <w:szCs w:val="24"/>
                <w:highlight w:val="none"/>
              </w:rPr>
              <w:sym w:font="Wingdings 2" w:char="0052"/>
            </w:r>
            <w:r>
              <w:rPr>
                <w:rFonts w:hint="eastAsia" w:ascii="宋体" w:hAnsi="宋体" w:eastAsia="宋体" w:cs="宋体"/>
                <w:snapToGrid w:val="0"/>
                <w:color w:val="auto"/>
                <w:kern w:val="28"/>
                <w:sz w:val="24"/>
                <w:szCs w:val="24"/>
                <w:highlight w:val="none"/>
              </w:rPr>
              <w:t>联合体投标的，由联合体牵头方出具相应的业绩证明</w:t>
            </w:r>
            <w:r>
              <w:rPr>
                <w:rFonts w:hint="eastAsia" w:ascii="宋体" w:hAnsi="宋体" w:cs="宋体"/>
                <w:snapToGrid w:val="0"/>
                <w:color w:val="auto"/>
                <w:kern w:val="28"/>
                <w:sz w:val="24"/>
                <w:szCs w:val="24"/>
                <w:highlight w:val="none"/>
                <w:lang w:eastAsia="zh-CN"/>
              </w:rPr>
              <w:t>材料。</w:t>
            </w:r>
          </w:p>
        </w:tc>
      </w:tr>
      <w:tr w14:paraId="10C52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561299EC">
            <w:pPr>
              <w:snapToGrid w:val="0"/>
              <w:spacing w:line="360" w:lineRule="auto"/>
              <w:jc w:val="center"/>
              <w:rPr>
                <w:rFonts w:hint="eastAsia" w:ascii="宋体" w:hAnsi="宋体" w:cs="宋体"/>
                <w:color w:val="auto"/>
                <w:sz w:val="24"/>
                <w:highlight w:val="none"/>
              </w:rPr>
            </w:pPr>
          </w:p>
        </w:tc>
        <w:tc>
          <w:tcPr>
            <w:tcW w:w="2093" w:type="dxa"/>
            <w:vMerge w:val="continue"/>
            <w:vAlign w:val="center"/>
          </w:tcPr>
          <w:p w14:paraId="573E429F">
            <w:pPr>
              <w:snapToGrid w:val="0"/>
              <w:spacing w:line="360" w:lineRule="auto"/>
              <w:jc w:val="center"/>
              <w:rPr>
                <w:rFonts w:hint="eastAsia" w:ascii="宋体" w:hAnsi="宋体" w:cs="宋体"/>
                <w:b/>
                <w:color w:val="auto"/>
                <w:sz w:val="24"/>
                <w:highlight w:val="none"/>
              </w:rPr>
            </w:pPr>
          </w:p>
        </w:tc>
        <w:tc>
          <w:tcPr>
            <w:tcW w:w="6927" w:type="dxa"/>
            <w:vAlign w:val="center"/>
          </w:tcPr>
          <w:p w14:paraId="257E1D79">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sz w:val="24"/>
                  <w:szCs w:val="24"/>
                  <w:highlight w:val="none"/>
                </w:rPr>
                <w:id w:val="-369766551"/>
                <w14:checkbox>
                  <w14:checked w14:val="0"/>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宋体" w:hAnsi="宋体" w:eastAsia="宋体" w:cs="宋体"/>
                    <w:color w:val="auto"/>
                    <w:sz w:val="24"/>
                    <w:szCs w:val="24"/>
                    <w:highlight w:val="none"/>
                  </w:rPr>
                  <w:t>☐</w:t>
                </w:r>
              </w:sdtContent>
            </w:sdt>
            <w:r>
              <w:rPr>
                <w:rFonts w:hint="eastAsia" w:ascii="宋体" w:hAnsi="宋体" w:eastAsia="宋体" w:cs="宋体"/>
                <w:color w:val="auto"/>
                <w:sz w:val="24"/>
                <w:szCs w:val="24"/>
                <w:highlight w:val="none"/>
              </w:rPr>
              <w:t>联合体投标的，联合体各方均需按招标文件第四部分评标标准要求提供资信证明文件，否则视为不符合相关要求。</w:t>
            </w:r>
          </w:p>
          <w:p w14:paraId="5CCE83C8">
            <w:pPr>
              <w:spacing w:line="360" w:lineRule="auto"/>
              <w:rPr>
                <w:rFonts w:hint="eastAsia" w:ascii="宋体" w:hAnsi="宋体" w:eastAsia="宋体" w:cs="宋体"/>
                <w:color w:val="auto"/>
                <w:sz w:val="24"/>
                <w:szCs w:val="24"/>
                <w:highlight w:val="none"/>
                <w:lang w:eastAsia="zh-CN"/>
              </w:rPr>
            </w:pPr>
            <w:sdt>
              <w:sdtPr>
                <w:rPr>
                  <w:rFonts w:hint="eastAsia" w:ascii="宋体" w:hAnsi="宋体" w:eastAsia="宋体" w:cs="宋体"/>
                  <w:color w:val="auto"/>
                  <w:sz w:val="24"/>
                  <w:szCs w:val="24"/>
                  <w:highlight w:val="none"/>
                </w:rPr>
                <w:id w:val="1052570136"/>
                <w14:checkbox>
                  <w14:checked w14:val="1"/>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宋体" w:hAnsi="宋体" w:eastAsia="宋体" w:cs="宋体"/>
                    <w:color w:val="auto"/>
                    <w:sz w:val="24"/>
                    <w:szCs w:val="24"/>
                    <w:highlight w:val="none"/>
                  </w:rPr>
                  <w:sym w:font="Wingdings" w:char="F0FE"/>
                </w:r>
              </w:sdtContent>
            </w:sdt>
            <w:r>
              <w:rPr>
                <w:rFonts w:hint="eastAsia" w:ascii="宋体" w:hAnsi="宋体" w:eastAsia="宋体" w:cs="宋体"/>
                <w:color w:val="auto"/>
                <w:sz w:val="24"/>
                <w:szCs w:val="24"/>
                <w:highlight w:val="none"/>
              </w:rPr>
              <w:t>联合体投标的，联合体中有一方或者联合体成员根据分工按招标文件第四部分评标标准要求提供资信证明文件的，视为符合了相关要求。</w:t>
            </w:r>
          </w:p>
          <w:p w14:paraId="72D1FA5A">
            <w:pPr>
              <w:spacing w:line="360" w:lineRule="auto"/>
              <w:rPr>
                <w:rFonts w:hint="eastAsia" w:ascii="宋体" w:hAnsi="宋体" w:eastAsia="宋体" w:cs="宋体"/>
                <w:snapToGrid w:val="0"/>
                <w:color w:val="auto"/>
                <w:kern w:val="28"/>
                <w:sz w:val="24"/>
                <w:szCs w:val="24"/>
                <w:highlight w:val="none"/>
              </w:rPr>
            </w:pPr>
            <w:r>
              <w:rPr>
                <w:rFonts w:hint="eastAsia" w:ascii="宋体" w:hAnsi="宋体" w:eastAsia="宋体" w:cs="宋体"/>
                <w:color w:val="auto"/>
                <w:kern w:val="0"/>
                <w:sz w:val="24"/>
                <w:szCs w:val="24"/>
                <w:highlight w:val="none"/>
              </w:rPr>
              <w:t>评审因素对应的要求视为采购需求的一部分。</w:t>
            </w:r>
          </w:p>
        </w:tc>
      </w:tr>
      <w:tr w14:paraId="02389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0BA7040">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2093" w:type="dxa"/>
            <w:vAlign w:val="center"/>
          </w:tcPr>
          <w:p w14:paraId="2B9B0D2E">
            <w:pPr>
              <w:snapToGrid w:val="0"/>
              <w:spacing w:line="360" w:lineRule="auto"/>
              <w:jc w:val="center"/>
              <w:rPr>
                <w:rFonts w:hint="eastAsia" w:ascii="宋体" w:hAnsi="宋体" w:cs="宋体"/>
                <w:snapToGrid w:val="0"/>
                <w:color w:val="auto"/>
                <w:kern w:val="28"/>
                <w:sz w:val="24"/>
                <w:highlight w:val="none"/>
              </w:rPr>
            </w:pPr>
            <w:r>
              <w:rPr>
                <w:rFonts w:hint="eastAsia" w:cs="仿宋_GB2312" w:asciiTheme="minorEastAsia" w:hAnsiTheme="minorEastAsia" w:eastAsiaTheme="minorEastAsia"/>
                <w:b/>
                <w:color w:val="auto"/>
                <w:sz w:val="24"/>
                <w:highlight w:val="none"/>
                <w:lang w:val="en" w:eastAsia="zh-CN"/>
              </w:rPr>
              <w:t>成交候选人数量</w:t>
            </w:r>
          </w:p>
        </w:tc>
        <w:tc>
          <w:tcPr>
            <w:tcW w:w="6927" w:type="dxa"/>
            <w:vAlign w:val="center"/>
          </w:tcPr>
          <w:p w14:paraId="17CB2576">
            <w:pPr>
              <w:spacing w:line="360" w:lineRule="auto"/>
              <w:rPr>
                <w:rFonts w:hint="eastAsia" w:ascii="宋体" w:hAnsi="宋体" w:cs="宋体"/>
                <w:snapToGrid w:val="0"/>
                <w:color w:val="auto"/>
                <w:kern w:val="28"/>
                <w:sz w:val="24"/>
                <w:highlight w:val="none"/>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3</w:t>
            </w:r>
            <w:r>
              <w:rPr>
                <w:rFonts w:hint="eastAsia" w:ascii="宋体" w:hAnsi="宋体" w:cs="宋体"/>
                <w:color w:val="auto"/>
                <w:kern w:val="0"/>
                <w:sz w:val="24"/>
                <w:highlight w:val="none"/>
                <w:lang w:val="en" w:eastAsia="zh-CN"/>
              </w:rPr>
              <w:t>。</w:t>
            </w:r>
          </w:p>
        </w:tc>
      </w:tr>
      <w:tr w14:paraId="6FFAA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2A13CD6">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2093" w:type="dxa"/>
            <w:vAlign w:val="center"/>
          </w:tcPr>
          <w:p w14:paraId="1F63466C">
            <w:pPr>
              <w:spacing w:line="360" w:lineRule="auto"/>
              <w:jc w:val="center"/>
              <w:rPr>
                <w:rFonts w:hint="eastAsia" w:ascii="宋体" w:hAnsi="宋体" w:cs="宋体"/>
                <w:b/>
                <w:color w:val="auto"/>
                <w:sz w:val="24"/>
                <w:highlight w:val="none"/>
              </w:rPr>
            </w:pPr>
            <w:r>
              <w:rPr>
                <w:rFonts w:hint="eastAsia" w:ascii="宋体" w:hAnsi="宋体" w:cs="宋体"/>
                <w:snapToGrid w:val="0"/>
                <w:color w:val="auto"/>
                <w:kern w:val="28"/>
                <w:sz w:val="24"/>
                <w:highlight w:val="none"/>
              </w:rPr>
              <w:t>采购代理服务费</w:t>
            </w:r>
          </w:p>
        </w:tc>
        <w:tc>
          <w:tcPr>
            <w:tcW w:w="6927" w:type="dxa"/>
            <w:vAlign w:val="center"/>
          </w:tcPr>
          <w:p w14:paraId="78C0E68F">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本项目的采购代理服务费由中标供应商支付。</w:t>
            </w:r>
          </w:p>
          <w:p w14:paraId="4A86F3BD">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1、代理服务费收费：依据2002【1980】号文</w:t>
            </w:r>
            <w:r>
              <w:rPr>
                <w:rFonts w:hint="eastAsia" w:ascii="宋体" w:hAnsi="宋体" w:cs="宋体"/>
                <w:snapToGrid w:val="0"/>
                <w:color w:val="auto"/>
                <w:kern w:val="28"/>
                <w:sz w:val="24"/>
                <w:highlight w:val="none"/>
                <w:lang w:val="en-US" w:eastAsia="zh-CN"/>
              </w:rPr>
              <w:t>工程类</w:t>
            </w:r>
            <w:r>
              <w:rPr>
                <w:rFonts w:hint="eastAsia" w:ascii="宋体" w:hAnsi="宋体" w:cs="宋体"/>
                <w:snapToGrid w:val="0"/>
                <w:color w:val="auto"/>
                <w:kern w:val="28"/>
                <w:sz w:val="24"/>
                <w:highlight w:val="none"/>
              </w:rPr>
              <w:t>。</w:t>
            </w:r>
          </w:p>
          <w:p w14:paraId="419F0448">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2、结算方式及时间为：在领取中标通知书时由中标供应商一次性向采购代理机构付清。中标结果公告发出后，中标供应商可按中标结果公告上的服务费金额缴纳至如下账号：</w:t>
            </w:r>
          </w:p>
          <w:p w14:paraId="7571E7C1">
            <w:pPr>
              <w:spacing w:line="360" w:lineRule="auto"/>
              <w:ind w:firstLine="480" w:firstLineChars="200"/>
              <w:rPr>
                <w:rFonts w:hint="eastAsia" w:ascii="宋体" w:hAnsi="宋体" w:eastAsia="宋体" w:cs="宋体"/>
                <w:snapToGrid w:val="0"/>
                <w:color w:val="auto"/>
                <w:kern w:val="28"/>
                <w:sz w:val="24"/>
                <w:highlight w:val="none"/>
                <w:lang w:eastAsia="zh-CN"/>
              </w:rPr>
            </w:pPr>
            <w:r>
              <w:rPr>
                <w:rFonts w:hint="eastAsia" w:ascii="宋体" w:hAnsi="宋体" w:cs="宋体"/>
                <w:snapToGrid w:val="0"/>
                <w:color w:val="auto"/>
                <w:kern w:val="28"/>
                <w:sz w:val="24"/>
                <w:highlight w:val="none"/>
              </w:rPr>
              <w:t>（1）收 款 人：</w:t>
            </w:r>
            <w:r>
              <w:rPr>
                <w:rFonts w:hint="eastAsia" w:ascii="宋体" w:hAnsi="宋体" w:cs="宋体"/>
                <w:snapToGrid w:val="0"/>
                <w:color w:val="auto"/>
                <w:kern w:val="28"/>
                <w:sz w:val="24"/>
                <w:highlight w:val="none"/>
                <w:lang w:eastAsia="zh-CN"/>
              </w:rPr>
              <w:t>浙江省房地产管理咨询有限公司</w:t>
            </w:r>
          </w:p>
          <w:p w14:paraId="7CB92B26">
            <w:pPr>
              <w:spacing w:line="360"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（2）开户银行：</w:t>
            </w:r>
            <w:r>
              <w:rPr>
                <w:rFonts w:hint="eastAsia" w:ascii="宋体" w:hAnsi="宋体" w:eastAsia="宋体" w:cs="宋体"/>
                <w:snapToGrid w:val="0"/>
                <w:color w:val="auto"/>
                <w:kern w:val="28"/>
                <w:sz w:val="24"/>
                <w:highlight w:val="none"/>
              </w:rPr>
              <w:t>杭州银行保俶支行</w:t>
            </w:r>
          </w:p>
          <w:p w14:paraId="3406EB8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snapToGrid w:val="0"/>
                <w:color w:val="auto"/>
                <w:kern w:val="28"/>
                <w:sz w:val="24"/>
                <w:highlight w:val="none"/>
              </w:rPr>
              <w:t>（3）账    号：</w:t>
            </w:r>
            <w:r>
              <w:rPr>
                <w:rFonts w:hint="eastAsia" w:ascii="宋体" w:hAnsi="宋体" w:eastAsia="宋体" w:cs="宋体"/>
                <w:snapToGrid w:val="0"/>
                <w:color w:val="auto"/>
                <w:kern w:val="28"/>
                <w:sz w:val="24"/>
                <w:highlight w:val="none"/>
              </w:rPr>
              <w:t>7750 8100 1506 02</w:t>
            </w:r>
          </w:p>
        </w:tc>
      </w:tr>
      <w:bookmarkEnd w:id="10"/>
    </w:tbl>
    <w:p w14:paraId="2190684A">
      <w:pPr>
        <w:widowControl/>
        <w:adjustRightInd/>
        <w:snapToGrid/>
        <w:spacing w:line="240" w:lineRule="auto"/>
        <w:jc w:val="left"/>
        <w:outlineLvl w:val="9"/>
        <w:rPr>
          <w:rFonts w:ascii="宋体" w:hAnsi="宋体" w:cs="宋体"/>
          <w:b/>
          <w:color w:val="auto"/>
          <w:sz w:val="32"/>
          <w:szCs w:val="20"/>
          <w:highlight w:val="none"/>
        </w:rPr>
      </w:pPr>
      <w:bookmarkStart w:id="13" w:name="第三部分"/>
      <w:bookmarkStart w:id="14" w:name="_Toc164416483"/>
      <w:r>
        <w:rPr>
          <w:rFonts w:hint="eastAsia" w:ascii="宋体" w:hAnsi="宋体" w:cs="宋体"/>
          <w:b/>
          <w:color w:val="auto"/>
          <w:sz w:val="32"/>
          <w:szCs w:val="20"/>
          <w:highlight w:val="none"/>
        </w:rPr>
        <w:br w:type="page"/>
      </w:r>
    </w:p>
    <w:p w14:paraId="7963A53A">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2DE16AA3">
      <w:pPr>
        <w:snapToGrid w:val="0"/>
        <w:spacing w:line="360" w:lineRule="auto"/>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5B1F738B">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本采购文件适用于该项目的采购邀请、响应文件提交、响应文件开启、资格审查及信用信息查询、磋商、评审、成交供应商确定、合同、验收等行为（法律、法规另有规定的，从其规定）。</w:t>
      </w:r>
    </w:p>
    <w:p w14:paraId="7F2261E8">
      <w:pPr>
        <w:snapToGrid w:val="0"/>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2.定义</w:t>
      </w:r>
    </w:p>
    <w:p w14:paraId="79AC0C9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“采购人”系指竞争性磋商公告中载明的本项目的采购人。</w:t>
      </w:r>
    </w:p>
    <w:p w14:paraId="1FE04CA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“采购机构”系指竞争性磋商公告中载明的本项目的采购机构。</w:t>
      </w:r>
    </w:p>
    <w:p w14:paraId="3173B20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“供应商”系指是指提交响应文件和报价、参与竞争性磋商采购活动的法人、其他组织或者自然人。</w:t>
      </w:r>
    </w:p>
    <w:p w14:paraId="544AF15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61225CD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6D0B4A9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68A67D4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系指不适用本项目的要求，“※”系指磋商过程中可能实质性变动的内容。</w:t>
      </w:r>
    </w:p>
    <w:p w14:paraId="56AE2603">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4039815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482FE5E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 支持绿色发展</w:t>
      </w:r>
    </w:p>
    <w:p w14:paraId="6455C7A2">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auto"/>
          <w:sz w:val="24"/>
          <w:highlight w:val="none"/>
        </w:rPr>
        <w:t>采购人拟采购的产品属于政府强制采购的节能产品品目清单范围的，供应商未按采购文件要求提供国家确定的认证机构出具的、处于有效期之内的节能产品认证证书的，响应文件无效。</w:t>
      </w:r>
    </w:p>
    <w:p w14:paraId="40FA0F5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纳入政府采购管理的修缮、装修类项目采购建材的，采购人应将绿色建筑和绿色建材性能、指标等作为实质性条件纳入采购文件和合同。</w:t>
      </w:r>
    </w:p>
    <w:p w14:paraId="1B4AD6E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E4E354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3.3支持中小企业发展</w:t>
      </w:r>
    </w:p>
    <w:p w14:paraId="0F35B29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35B556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2C0ED19E">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在政府采购活动中，供应商提供的工程符合下列情形的，享受中小企业扶持政策：</w:t>
      </w:r>
      <w:r>
        <w:rPr>
          <w:rFonts w:ascii="宋体" w:hAnsi="宋体" w:cs="宋体"/>
          <w:color w:val="auto"/>
          <w:sz w:val="24"/>
          <w:highlight w:val="none"/>
        </w:rPr>
        <w:t>在工程采购项目中，工程由中小企业承建，即工程施工单位为中小企业</w:t>
      </w:r>
      <w:r>
        <w:rPr>
          <w:rFonts w:hint="eastAsia" w:ascii="宋体" w:hAnsi="宋体" w:cs="宋体"/>
          <w:color w:val="auto"/>
          <w:kern w:val="0"/>
          <w:sz w:val="24"/>
          <w:highlight w:val="none"/>
        </w:rPr>
        <w:t>。</w:t>
      </w:r>
    </w:p>
    <w:p w14:paraId="1745F019">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5232671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5" w:name="_Hlk101132181"/>
      <w:r>
        <w:rPr>
          <w:rFonts w:hint="eastAsia" w:ascii="宋体" w:hAnsi="宋体" w:cs="宋体"/>
          <w:color w:val="auto"/>
          <w:sz w:val="24"/>
          <w:highlight w:val="none"/>
        </w:rPr>
        <w:t>联合协议或者分包意向协议约定小微企业的合同份额占到合同总金额30%以上的</w:t>
      </w:r>
      <w:bookmarkEnd w:id="15"/>
      <w:r>
        <w:rPr>
          <w:rFonts w:hint="eastAsia" w:ascii="宋体" w:hAnsi="宋体" w:cs="宋体"/>
          <w:color w:val="auto"/>
          <w:sz w:val="24"/>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14:paraId="38D7DB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A9A2EC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w:t>
      </w:r>
      <w:r>
        <w:rPr>
          <w:rFonts w:hint="eastAsia" w:ascii="宋体" w:hAnsi="宋体" w:eastAsia="宋体" w:cs="宋体"/>
          <w:color w:val="auto"/>
          <w:sz w:val="24"/>
          <w:highlight w:val="none"/>
        </w:rPr>
        <w:t>件的，视同为小型、微型企业。</w:t>
      </w:r>
    </w:p>
    <w:p w14:paraId="3C17ACA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w:t>
      </w:r>
      <w:r>
        <w:rPr>
          <w:rFonts w:hint="eastAsia" w:ascii="宋体" w:hAnsi="宋体" w:eastAsia="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p>
    <w:p w14:paraId="0DD5E0E0">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3.3.7中小企业</w:t>
      </w:r>
      <w:r>
        <w:rPr>
          <w:rFonts w:hint="eastAsia" w:ascii="宋体" w:hAnsi="宋体" w:cs="宋体"/>
          <w:color w:val="auto"/>
          <w:sz w:val="24"/>
          <w:highlight w:val="none"/>
        </w:rPr>
        <w:t>享受扶持政策获得政府采购合同的，小微企业不得将合同分包给大中型企业，中型企业不得将合同分包给大型企业。</w:t>
      </w:r>
    </w:p>
    <w:p w14:paraId="579CF00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33131D3">
      <w:pPr>
        <w:spacing w:line="360" w:lineRule="auto"/>
        <w:ind w:firstLine="480" w:firstLineChars="200"/>
        <w:rPr>
          <w:rFonts w:hint="eastAsia" w:ascii="宋体" w:hAnsi="宋体" w:cs="宋体"/>
          <w:color w:val="auto"/>
          <w:sz w:val="24"/>
          <w:highlight w:val="none"/>
        </w:rPr>
      </w:pPr>
      <w:r>
        <w:rPr>
          <w:rFonts w:hint="eastAsia" w:ascii="宋体" w:hAnsi="宋体" w:cs="宋体"/>
          <w:sz w:val="24"/>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1ECEF680">
      <w:pPr>
        <w:snapToGrid w:val="0"/>
        <w:spacing w:line="360" w:lineRule="auto"/>
        <w:ind w:firstLine="480" w:firstLineChars="200"/>
        <w:rPr>
          <w:rFonts w:hint="eastAsia" w:ascii="宋体" w:hAnsi="宋体" w:eastAsia="宋体" w:cs="仿宋"/>
          <w:b w:val="0"/>
          <w:bCs w:val="0"/>
          <w:color w:val="auto"/>
          <w:sz w:val="24"/>
          <w:szCs w:val="24"/>
          <w:lang w:val="en-US"/>
        </w:rPr>
      </w:pPr>
      <w:r>
        <w:rPr>
          <w:rFonts w:hint="eastAsia" w:ascii="宋体" w:hAnsi="宋体" w:eastAsia="宋体" w:cs="仿宋"/>
          <w:b w:val="0"/>
          <w:bCs w:val="0"/>
          <w:color w:val="auto"/>
          <w:sz w:val="24"/>
          <w:szCs w:val="24"/>
          <w:lang w:val="en-US"/>
        </w:rPr>
        <w:t>3.4.</w:t>
      </w:r>
      <w:r>
        <w:rPr>
          <w:rFonts w:hint="eastAsia" w:ascii="宋体" w:hAnsi="宋体" w:eastAsia="宋体" w:cs="仿宋"/>
          <w:b w:val="0"/>
          <w:bCs w:val="0"/>
          <w:color w:val="auto"/>
          <w:sz w:val="24"/>
          <w:szCs w:val="24"/>
          <w:lang w:val="en-US" w:eastAsia="zh-CN"/>
        </w:rPr>
        <w:t>2</w:t>
      </w:r>
      <w:r>
        <w:rPr>
          <w:rFonts w:hint="eastAsia" w:ascii="宋体" w:hAnsi="宋体" w:eastAsia="宋体" w:cs="仿宋"/>
          <w:b w:val="0"/>
          <w:bCs w:val="0"/>
          <w:color w:val="auto"/>
          <w:sz w:val="24"/>
          <w:szCs w:val="24"/>
          <w:lang w:val="en-US"/>
        </w:rPr>
        <w:t xml:space="preserve">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20792B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中小企业信用融资：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p w14:paraId="0C70DEA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3.6平等对待内外资企业和符合条件的破产重整企业：</w:t>
      </w:r>
    </w:p>
    <w:p w14:paraId="1344FDE7">
      <w:pPr>
        <w:snapToGrid w:val="0"/>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询问、质疑、投诉、补偿救济</w:t>
      </w:r>
    </w:p>
    <w:p w14:paraId="3D75D0E1">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4.1供应商询问</w:t>
      </w:r>
    </w:p>
    <w:p w14:paraId="3A5B1A1B">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CB11EFC">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4.2供应商质疑</w:t>
      </w:r>
    </w:p>
    <w:p w14:paraId="6203ED29">
      <w:pPr>
        <w:pStyle w:val="36"/>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4.2</w:t>
      </w:r>
      <w:r>
        <w:rPr>
          <w:rFonts w:hint="eastAsia" w:hAnsi="宋体" w:cs="宋体"/>
          <w:color w:val="auto"/>
          <w:sz w:val="24"/>
          <w:highlight w:val="none"/>
        </w:rPr>
        <w:t>.1提出质疑的供应商应当是参与所质疑项目采购活动的供应商。潜在供应商已依法获取其可质疑的采购文件的，可以对该文件提出质疑。</w:t>
      </w:r>
    </w:p>
    <w:p w14:paraId="55A003EC">
      <w:pPr>
        <w:pStyle w:val="36"/>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4.2</w:t>
      </w:r>
      <w:r>
        <w:rPr>
          <w:rFonts w:hint="eastAsia" w:hAnsi="宋体" w:cs="宋体"/>
          <w:color w:val="auto"/>
          <w:sz w:val="24"/>
          <w:highlight w:val="none"/>
        </w:rPr>
        <w:t>.2供应商认为采购文件、采购过程和成交结果使自己的权益受到损害的，可以在知道或者应知其权益受到损害之日起七个工作日内，以书面形式向采购人或者采购机构提出质疑，否则，采购人或者采购机构不予受理：</w:t>
      </w:r>
    </w:p>
    <w:p w14:paraId="67559FAC">
      <w:pPr>
        <w:pStyle w:val="1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4.2.2.1对采购文件提出质疑的，质疑期限为供应商获得采购文件之日或者采购文件公告期限届满之日起计算。</w:t>
      </w:r>
    </w:p>
    <w:p w14:paraId="38179DE4">
      <w:pPr>
        <w:pStyle w:val="36"/>
        <w:snapToGrid w:val="0"/>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4.2.2.2对采购过程提出质疑的，质疑期限为各采购程序环节结束之日起计算。</w:t>
      </w:r>
    </w:p>
    <w:p w14:paraId="2E235983">
      <w:pPr>
        <w:pStyle w:val="36"/>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4.2.2.3对采购结果提出质疑的，质疑期限自采购结果公告期限届满之日起计算。</w:t>
      </w:r>
    </w:p>
    <w:p w14:paraId="281F2D9C">
      <w:pPr>
        <w:pStyle w:val="36"/>
        <w:snapToGrid w:val="0"/>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4.2.3</w:t>
      </w:r>
      <w:r>
        <w:rPr>
          <w:rFonts w:hint="eastAsia" w:hAnsi="宋体" w:cs="宋体"/>
          <w:color w:val="auto"/>
          <w:sz w:val="24"/>
          <w:highlight w:val="none"/>
        </w:rPr>
        <w:t>供应商提出质疑应当提交质疑函和必要的证明材料。质疑函应当包括下列内容：</w:t>
      </w:r>
    </w:p>
    <w:p w14:paraId="0F049E08">
      <w:pPr>
        <w:pStyle w:val="36"/>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4.2.3.1供应商的姓名或者名称、地址、邮编、联系人及联系电话；</w:t>
      </w:r>
    </w:p>
    <w:p w14:paraId="5E53B315">
      <w:pPr>
        <w:pStyle w:val="36"/>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4.2.3.2质疑项目的名称、编号；</w:t>
      </w:r>
    </w:p>
    <w:p w14:paraId="3FD3F6CA">
      <w:pPr>
        <w:pStyle w:val="36"/>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4.2.3.3具体、明确的质疑事项和与质疑事项相关的请求；</w:t>
      </w:r>
    </w:p>
    <w:p w14:paraId="7FCB0EFF">
      <w:pPr>
        <w:pStyle w:val="36"/>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4.2.3.4事实依据；</w:t>
      </w:r>
    </w:p>
    <w:p w14:paraId="0B2A640E">
      <w:pPr>
        <w:pStyle w:val="36"/>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4.2.3.5必要的法律依据；</w:t>
      </w:r>
    </w:p>
    <w:p w14:paraId="0E3A710A">
      <w:pPr>
        <w:pStyle w:val="36"/>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4.2.3.6提出质疑的日期。</w:t>
      </w:r>
    </w:p>
    <w:p w14:paraId="4057DA53">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44695566">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质疑函范本及制作说明详见附件2。</w:t>
      </w:r>
    </w:p>
    <w:p w14:paraId="2081612C">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4.2.4对同一采购程序环节的质疑，供应商须在法定质疑期内一次性提出。</w:t>
      </w:r>
    </w:p>
    <w:p w14:paraId="23DBDB8B">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4.2</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51CF0EF6">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4.2</w:t>
      </w:r>
      <w:r>
        <w:rPr>
          <w:rFonts w:hint="eastAsia"/>
          <w:color w:val="auto"/>
          <w:highlight w:val="none"/>
        </w:rPr>
        <w:t>.6询问或者质疑事项可能影响采购结果的，采购人应当暂停签订合同，已经签订合同的，应当中止履行合同。</w:t>
      </w:r>
    </w:p>
    <w:p w14:paraId="6AE98F07">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4.3供应商投诉</w:t>
      </w:r>
    </w:p>
    <w:p w14:paraId="358FECF0">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4.3.1质疑供应商对采购人、采购机构的答复不满意或者采购人、采购机构未在规定的时间内作出答复的，可以在答复期满后十五个工作日内向同级政府采购监督管理部门提出投诉。</w:t>
      </w:r>
    </w:p>
    <w:p w14:paraId="506BD58D">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4.3.</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539DE319">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4.3.3供应商投诉应当有明确的请求和必要的证明材料。</w:t>
      </w:r>
    </w:p>
    <w:p w14:paraId="61FE711C">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4.3.5 以联合体形式参加政府采购活动的，其投诉应当由组成联合体的所有供应商共同提出。</w:t>
      </w:r>
    </w:p>
    <w:p w14:paraId="036FDEF7">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投诉书范本及制作说明详见附件3。</w:t>
      </w:r>
    </w:p>
    <w:p w14:paraId="3F96DB9D">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4.4在线质疑、投诉。</w:t>
      </w:r>
    </w:p>
    <w:p w14:paraId="73A20C3A">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840BA05">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6475285B">
      <w:pPr>
        <w:pStyle w:val="133"/>
        <w:snapToGrid w:val="0"/>
        <w:spacing w:before="0"/>
        <w:ind w:firstLine="360"/>
        <w:rPr>
          <w:rFonts w:ascii="宋体" w:hAnsi="宋体" w:cs="宋体"/>
          <w:color w:val="auto"/>
          <w:sz w:val="18"/>
          <w:szCs w:val="18"/>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61CC1418">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二、采购文件的构成、澄清、修改</w:t>
      </w:r>
    </w:p>
    <w:p w14:paraId="7AD515E5">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5．采购文件的构成</w:t>
      </w:r>
    </w:p>
    <w:p w14:paraId="75F267C3">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采购文件包括下列文件及附件：</w:t>
      </w:r>
    </w:p>
    <w:p w14:paraId="168A8F16">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5.1.1竞争性磋商公告；</w:t>
      </w:r>
    </w:p>
    <w:p w14:paraId="75EA0291">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5.1.2供应商须知；</w:t>
      </w:r>
    </w:p>
    <w:p w14:paraId="635EC476">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2BFB790D">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5.1.4评审办法；</w:t>
      </w:r>
    </w:p>
    <w:p w14:paraId="3B4F400E">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50914A71">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6855DD6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澄清或者修改的内容为采购文件的组成部分</w:t>
      </w:r>
      <w:r>
        <w:rPr>
          <w:rFonts w:hint="eastAsia" w:ascii="宋体" w:hAnsi="宋体" w:cs="宋体"/>
          <w:color w:val="auto"/>
          <w:sz w:val="24"/>
          <w:highlight w:val="none"/>
        </w:rPr>
        <w:t>。</w:t>
      </w:r>
    </w:p>
    <w:p w14:paraId="367317CC">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6. 采购文件的澄清、修改</w:t>
      </w:r>
    </w:p>
    <w:p w14:paraId="2CBC2593">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6.1已获取采购文件的潜在供应商，若有问题需要澄清，应于响应文件提交（上传）截止时间前，以书面形式向采购机构提出。</w:t>
      </w:r>
    </w:p>
    <w:p w14:paraId="1D3C45AA">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6.2 采购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777460DA">
      <w:pPr>
        <w:pStyle w:val="24"/>
        <w:rPr>
          <w:rFonts w:hAnsi="宋体" w:cs="宋体"/>
          <w:color w:val="auto"/>
          <w:sz w:val="18"/>
          <w:szCs w:val="18"/>
          <w:highlight w:val="none"/>
          <w:lang w:val="en-US"/>
        </w:rPr>
      </w:pPr>
    </w:p>
    <w:p w14:paraId="469C6285">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三、提交响应文件</w:t>
      </w:r>
    </w:p>
    <w:p w14:paraId="59CBC460">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7. 采购文件的获取</w:t>
      </w:r>
    </w:p>
    <w:p w14:paraId="216CE3E5">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详见竞争性磋商公告中获取采购文件的时间期限、地点、方式及采购文件售价。</w:t>
      </w:r>
    </w:p>
    <w:p w14:paraId="769114E8">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8.磋商前答疑会或现场考察</w:t>
      </w:r>
    </w:p>
    <w:p w14:paraId="0B57305D">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采购人组织潜在供应商现场考察或者召开磋商前答疑会的，潜在供应商按第二部分供应商须知前附表的规定参加现场考察或者磋商前答疑会。</w:t>
      </w:r>
    </w:p>
    <w:p w14:paraId="05A83792">
      <w:pPr>
        <w:pStyle w:val="36"/>
        <w:spacing w:line="360" w:lineRule="auto"/>
        <w:rPr>
          <w:rFonts w:hAnsi="宋体" w:cs="宋体"/>
          <w:b/>
          <w:color w:val="auto"/>
          <w:szCs w:val="24"/>
          <w:highlight w:val="none"/>
        </w:rPr>
      </w:pPr>
      <w:r>
        <w:rPr>
          <w:rFonts w:hint="eastAsia" w:hAnsi="宋体" w:cs="宋体"/>
          <w:b/>
          <w:color w:val="auto"/>
          <w:kern w:val="28"/>
          <w:sz w:val="24"/>
          <w:szCs w:val="24"/>
          <w:highlight w:val="none"/>
        </w:rPr>
        <w:t>9.磋商保证金</w:t>
      </w:r>
    </w:p>
    <w:p w14:paraId="6E5F96DA">
      <w:pPr>
        <w:pStyle w:val="1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本项目不需缴纳磋商保证金。</w:t>
      </w:r>
    </w:p>
    <w:p w14:paraId="770DE516">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10. 响应文件的语言</w:t>
      </w:r>
    </w:p>
    <w:p w14:paraId="3869B68C">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响应文件及供应商与采购有关的来往通知、函件和文件均应使用中文。</w:t>
      </w:r>
    </w:p>
    <w:p w14:paraId="1DEAD49F">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11. 响应文件的组成</w:t>
      </w:r>
    </w:p>
    <w:p w14:paraId="072CBE0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78D0B90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6B10A06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6" w:name="_Hlk101259339"/>
      <w:r>
        <w:rPr>
          <w:rFonts w:hint="eastAsia" w:ascii="宋体" w:hAnsi="宋体" w:cs="宋体"/>
          <w:snapToGrid w:val="0"/>
          <w:color w:val="auto"/>
          <w:kern w:val="28"/>
          <w:sz w:val="24"/>
          <w:szCs w:val="20"/>
          <w:highlight w:val="none"/>
        </w:rPr>
        <w:t>联合协议</w:t>
      </w:r>
      <w:bookmarkStart w:id="17" w:name="_Hlk101257010"/>
      <w:r>
        <w:rPr>
          <w:rFonts w:hint="eastAsia" w:ascii="宋体" w:hAnsi="宋体" w:cs="宋体"/>
          <w:snapToGrid w:val="0"/>
          <w:color w:val="auto"/>
          <w:kern w:val="28"/>
          <w:sz w:val="24"/>
          <w:szCs w:val="20"/>
          <w:highlight w:val="none"/>
        </w:rPr>
        <w:t>（如果有)</w:t>
      </w:r>
      <w:bookmarkEnd w:id="16"/>
      <w:bookmarkEnd w:id="17"/>
      <w:r>
        <w:rPr>
          <w:rFonts w:hint="eastAsia" w:ascii="宋体" w:hAnsi="宋体" w:cs="宋体"/>
          <w:snapToGrid w:val="0"/>
          <w:color w:val="auto"/>
          <w:kern w:val="28"/>
          <w:sz w:val="24"/>
          <w:szCs w:val="20"/>
          <w:highlight w:val="none"/>
        </w:rPr>
        <w:t>；</w:t>
      </w:r>
    </w:p>
    <w:p w14:paraId="6A9E5E2F">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p>
    <w:p w14:paraId="72903956">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tbl>
      <w:tblPr>
        <w:tblStyle w:val="63"/>
        <w:tblW w:w="9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4838"/>
        <w:gridCol w:w="4176"/>
      </w:tblGrid>
      <w:tr w14:paraId="4FFA9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6" w:type="dxa"/>
            <w:tcBorders>
              <w:top w:val="single" w:color="auto" w:sz="4" w:space="0"/>
              <w:left w:val="single" w:color="auto" w:sz="4" w:space="0"/>
              <w:bottom w:val="single" w:color="auto" w:sz="4" w:space="0"/>
              <w:right w:val="single" w:color="auto" w:sz="4" w:space="0"/>
            </w:tcBorders>
            <w:vAlign w:val="center"/>
          </w:tcPr>
          <w:p w14:paraId="54EF4EBC">
            <w:pPr>
              <w:adjustRightInd w:val="0"/>
              <w:snapToGrid w:val="0"/>
              <w:spacing w:line="30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序号</w:t>
            </w:r>
          </w:p>
        </w:tc>
        <w:tc>
          <w:tcPr>
            <w:tcW w:w="4838" w:type="dxa"/>
            <w:tcBorders>
              <w:top w:val="single" w:color="auto" w:sz="4" w:space="0"/>
              <w:left w:val="single" w:color="auto" w:sz="4" w:space="0"/>
              <w:bottom w:val="single" w:color="auto" w:sz="4" w:space="0"/>
              <w:right w:val="single" w:color="auto" w:sz="4" w:space="0"/>
            </w:tcBorders>
            <w:vAlign w:val="center"/>
          </w:tcPr>
          <w:p w14:paraId="3D8C6B6D">
            <w:pPr>
              <w:adjustRightInd w:val="0"/>
              <w:snapToGrid w:val="0"/>
              <w:spacing w:line="30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资格条件</w:t>
            </w:r>
          </w:p>
        </w:tc>
        <w:tc>
          <w:tcPr>
            <w:tcW w:w="4176" w:type="dxa"/>
            <w:tcBorders>
              <w:top w:val="single" w:color="auto" w:sz="4" w:space="0"/>
              <w:left w:val="single" w:color="auto" w:sz="4" w:space="0"/>
              <w:bottom w:val="single" w:color="auto" w:sz="4" w:space="0"/>
              <w:right w:val="single" w:color="auto" w:sz="4" w:space="0"/>
            </w:tcBorders>
            <w:vAlign w:val="center"/>
          </w:tcPr>
          <w:p w14:paraId="37EE39B3">
            <w:pPr>
              <w:adjustRightInd w:val="0"/>
              <w:snapToGrid w:val="0"/>
              <w:spacing w:line="30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应提供的资格审查资料</w:t>
            </w:r>
          </w:p>
        </w:tc>
      </w:tr>
      <w:tr w14:paraId="6275B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6" w:type="dxa"/>
            <w:tcBorders>
              <w:top w:val="single" w:color="auto" w:sz="4" w:space="0"/>
              <w:left w:val="single" w:color="auto" w:sz="4" w:space="0"/>
              <w:bottom w:val="single" w:color="auto" w:sz="4" w:space="0"/>
              <w:right w:val="single" w:color="auto" w:sz="4" w:space="0"/>
            </w:tcBorders>
            <w:vAlign w:val="center"/>
          </w:tcPr>
          <w:p w14:paraId="09615FB6">
            <w:pPr>
              <w:adjustRightInd w:val="0"/>
              <w:snapToGrid w:val="0"/>
              <w:spacing w:line="300" w:lineRule="auto"/>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11.1.1</w:t>
            </w:r>
          </w:p>
        </w:tc>
        <w:tc>
          <w:tcPr>
            <w:tcW w:w="4838" w:type="dxa"/>
            <w:tcBorders>
              <w:top w:val="single" w:color="auto" w:sz="4" w:space="0"/>
              <w:left w:val="single" w:color="auto" w:sz="4" w:space="0"/>
              <w:bottom w:val="single" w:color="auto" w:sz="4" w:space="0"/>
              <w:right w:val="single" w:color="auto" w:sz="4" w:space="0"/>
            </w:tcBorders>
            <w:vAlign w:val="center"/>
          </w:tcPr>
          <w:p w14:paraId="2C9F708A">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提供《</w:t>
            </w:r>
            <w:r>
              <w:rPr>
                <w:rFonts w:hint="eastAsia" w:ascii="宋体" w:hAnsi="宋体" w:eastAsia="宋体" w:cs="宋体"/>
                <w:color w:val="auto"/>
                <w:kern w:val="0"/>
                <w:sz w:val="24"/>
                <w:szCs w:val="24"/>
                <w:highlight w:val="none"/>
                <w:lang w:val="zh-CN"/>
              </w:rPr>
              <w:t>符合参加政府采购活动应当具备的一般条件的承诺函</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zh-CN"/>
              </w:rPr>
              <w:t>；</w:t>
            </w:r>
          </w:p>
        </w:tc>
        <w:tc>
          <w:tcPr>
            <w:tcW w:w="4176" w:type="dxa"/>
            <w:tcBorders>
              <w:top w:val="single" w:color="auto" w:sz="4" w:space="0"/>
              <w:left w:val="single" w:color="auto" w:sz="4" w:space="0"/>
              <w:bottom w:val="single" w:color="auto" w:sz="4" w:space="0"/>
              <w:right w:val="single" w:color="auto" w:sz="4" w:space="0"/>
            </w:tcBorders>
            <w:vAlign w:val="center"/>
          </w:tcPr>
          <w:p w14:paraId="336AF0EC">
            <w:pPr>
              <w:adjustRightInd w:val="0"/>
              <w:snapToGrid w:val="0"/>
              <w:spacing w:line="30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提供《</w:t>
            </w:r>
            <w:r>
              <w:rPr>
                <w:rFonts w:hint="eastAsia" w:ascii="宋体" w:hAnsi="宋体" w:eastAsia="宋体" w:cs="宋体"/>
                <w:color w:val="auto"/>
                <w:kern w:val="0"/>
                <w:sz w:val="24"/>
                <w:szCs w:val="24"/>
                <w:highlight w:val="none"/>
                <w:lang w:val="zh-CN"/>
              </w:rPr>
              <w:t>符合参加政府采购活动应当具备的一般条件的承诺函</w:t>
            </w:r>
            <w:r>
              <w:rPr>
                <w:rFonts w:hint="eastAsia" w:ascii="宋体" w:hAnsi="宋体" w:eastAsia="宋体" w:cs="宋体"/>
                <w:color w:val="auto"/>
                <w:kern w:val="0"/>
                <w:sz w:val="24"/>
                <w:szCs w:val="24"/>
                <w:highlight w:val="none"/>
                <w:lang w:val="en-US" w:eastAsia="zh-CN"/>
              </w:rPr>
              <w:t>》，格式以第六部分 应提交的有关格式范例为准</w:t>
            </w:r>
          </w:p>
        </w:tc>
      </w:tr>
      <w:tr w14:paraId="6DAED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936" w:type="dxa"/>
            <w:tcBorders>
              <w:top w:val="single" w:color="auto" w:sz="4" w:space="0"/>
              <w:left w:val="single" w:color="auto" w:sz="4" w:space="0"/>
              <w:bottom w:val="single" w:color="auto" w:sz="4" w:space="0"/>
              <w:right w:val="single" w:color="auto" w:sz="4" w:space="0"/>
            </w:tcBorders>
            <w:vAlign w:val="center"/>
          </w:tcPr>
          <w:p w14:paraId="6FEEE262">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cs="宋体"/>
                <w:color w:val="auto"/>
                <w:sz w:val="24"/>
                <w:highlight w:val="none"/>
              </w:rPr>
              <w:t>1</w:t>
            </w:r>
            <w:r>
              <w:rPr>
                <w:rFonts w:ascii="宋体" w:hAnsi="宋体" w:cs="宋体"/>
                <w:color w:val="auto"/>
                <w:sz w:val="24"/>
                <w:highlight w:val="none"/>
              </w:rPr>
              <w:t>1.1.2</w:t>
            </w:r>
          </w:p>
        </w:tc>
        <w:tc>
          <w:tcPr>
            <w:tcW w:w="4838" w:type="dxa"/>
            <w:tcBorders>
              <w:top w:val="single" w:color="auto" w:sz="4" w:space="0"/>
              <w:left w:val="single" w:color="auto" w:sz="4" w:space="0"/>
              <w:bottom w:val="single" w:color="auto" w:sz="4" w:space="0"/>
              <w:right w:val="single" w:color="auto" w:sz="4" w:space="0"/>
            </w:tcBorders>
            <w:vAlign w:val="center"/>
          </w:tcPr>
          <w:p w14:paraId="689A7EAD">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cs="宋体"/>
                <w:snapToGrid w:val="0"/>
                <w:color w:val="auto"/>
                <w:kern w:val="28"/>
                <w:sz w:val="24"/>
                <w:szCs w:val="20"/>
                <w:highlight w:val="none"/>
              </w:rPr>
              <w:t>联合协议（</w:t>
            </w:r>
            <w:r>
              <w:rPr>
                <w:rFonts w:hint="eastAsia" w:ascii="宋体" w:hAnsi="宋体" w:cs="宋体"/>
                <w:snapToGrid w:val="0"/>
                <w:color w:val="auto"/>
                <w:kern w:val="28"/>
                <w:sz w:val="24"/>
                <w:szCs w:val="20"/>
                <w:highlight w:val="none"/>
                <w:lang w:eastAsia="zh-CN"/>
              </w:rPr>
              <w:t>联合体投标需提供，非联合体投标无需提供</w:t>
            </w:r>
            <w:r>
              <w:rPr>
                <w:rFonts w:hint="eastAsia" w:ascii="宋体" w:hAnsi="宋体" w:cs="宋体"/>
                <w:snapToGrid w:val="0"/>
                <w:color w:val="auto"/>
                <w:kern w:val="28"/>
                <w:sz w:val="24"/>
                <w:szCs w:val="20"/>
                <w:highlight w:val="none"/>
              </w:rPr>
              <w:t>)</w:t>
            </w:r>
          </w:p>
        </w:tc>
        <w:tc>
          <w:tcPr>
            <w:tcW w:w="4176" w:type="dxa"/>
            <w:tcBorders>
              <w:top w:val="single" w:color="auto" w:sz="4" w:space="0"/>
              <w:left w:val="single" w:color="auto" w:sz="4" w:space="0"/>
              <w:bottom w:val="single" w:color="auto" w:sz="4" w:space="0"/>
              <w:right w:val="single" w:color="auto" w:sz="4" w:space="0"/>
            </w:tcBorders>
            <w:vAlign w:val="center"/>
          </w:tcPr>
          <w:p w14:paraId="3557E986">
            <w:pPr>
              <w:adjustRightInd w:val="0"/>
              <w:snapToGrid w:val="0"/>
              <w:spacing w:line="300" w:lineRule="auto"/>
              <w:jc w:val="left"/>
              <w:rPr>
                <w:rFonts w:hint="eastAsia" w:ascii="宋体" w:hAnsi="宋体" w:eastAsia="宋体" w:cs="宋体"/>
                <w:color w:val="auto"/>
                <w:kern w:val="0"/>
                <w:sz w:val="24"/>
                <w:szCs w:val="24"/>
                <w:highlight w:val="none"/>
                <w:lang w:val="zh-CN" w:eastAsia="zh-CN"/>
              </w:rPr>
            </w:pPr>
            <w:r>
              <w:rPr>
                <w:rFonts w:hint="eastAsia" w:ascii="宋体" w:hAnsi="宋体" w:cs="宋体"/>
                <w:snapToGrid w:val="0"/>
                <w:color w:val="auto"/>
                <w:kern w:val="28"/>
                <w:sz w:val="24"/>
                <w:szCs w:val="20"/>
                <w:highlight w:val="none"/>
              </w:rPr>
              <w:t>联合协议（</w:t>
            </w:r>
            <w:r>
              <w:rPr>
                <w:rFonts w:hint="eastAsia" w:ascii="宋体" w:hAnsi="宋体" w:cs="宋体"/>
                <w:snapToGrid w:val="0"/>
                <w:color w:val="auto"/>
                <w:kern w:val="28"/>
                <w:sz w:val="24"/>
                <w:szCs w:val="20"/>
                <w:highlight w:val="none"/>
                <w:lang w:eastAsia="zh-CN"/>
              </w:rPr>
              <w:t>联合体投标需提供，非联合体投标无需提供</w:t>
            </w:r>
            <w:r>
              <w:rPr>
                <w:rFonts w:hint="eastAsia" w:ascii="宋体" w:hAnsi="宋体" w:cs="宋体"/>
                <w:snapToGrid w:val="0"/>
                <w:color w:val="auto"/>
                <w:kern w:val="28"/>
                <w:sz w:val="24"/>
                <w:szCs w:val="20"/>
                <w:highlight w:val="none"/>
              </w:rPr>
              <w:t>)</w:t>
            </w:r>
            <w:r>
              <w:rPr>
                <w:rFonts w:hint="eastAsia" w:ascii="宋体" w:hAnsi="宋体" w:cs="宋体"/>
                <w:snapToGrid w:val="0"/>
                <w:color w:val="auto"/>
                <w:kern w:val="28"/>
                <w:sz w:val="24"/>
                <w:szCs w:val="20"/>
                <w:highlight w:val="none"/>
                <w:lang w:eastAsia="zh-CN"/>
              </w:rPr>
              <w:t>，</w:t>
            </w:r>
            <w:r>
              <w:rPr>
                <w:rFonts w:hint="eastAsia" w:ascii="宋体" w:hAnsi="宋体" w:eastAsia="宋体" w:cs="宋体"/>
                <w:color w:val="auto"/>
                <w:kern w:val="0"/>
                <w:sz w:val="24"/>
                <w:szCs w:val="24"/>
                <w:highlight w:val="none"/>
                <w:lang w:val="en-US" w:eastAsia="zh-CN"/>
              </w:rPr>
              <w:t>格式以第六部分 应提交的有关格式范例为准</w:t>
            </w:r>
          </w:p>
        </w:tc>
      </w:tr>
      <w:tr w14:paraId="31C8D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6" w:type="dxa"/>
            <w:tcBorders>
              <w:top w:val="single" w:color="auto" w:sz="4" w:space="0"/>
              <w:left w:val="single" w:color="auto" w:sz="4" w:space="0"/>
              <w:bottom w:val="single" w:color="auto" w:sz="4" w:space="0"/>
              <w:right w:val="single" w:color="auto" w:sz="4" w:space="0"/>
            </w:tcBorders>
            <w:vAlign w:val="center"/>
          </w:tcPr>
          <w:p w14:paraId="548EF9B3">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cs="宋体"/>
                <w:color w:val="auto"/>
                <w:sz w:val="24"/>
                <w:highlight w:val="none"/>
              </w:rPr>
              <w:t>11.1.</w:t>
            </w:r>
            <w:r>
              <w:rPr>
                <w:rFonts w:ascii="宋体" w:hAnsi="宋体" w:cs="宋体"/>
                <w:color w:val="auto"/>
                <w:sz w:val="24"/>
                <w:highlight w:val="none"/>
              </w:rPr>
              <w:t>3</w:t>
            </w:r>
          </w:p>
        </w:tc>
        <w:tc>
          <w:tcPr>
            <w:tcW w:w="4838" w:type="dxa"/>
            <w:tcBorders>
              <w:top w:val="single" w:color="auto" w:sz="4" w:space="0"/>
              <w:left w:val="single" w:color="auto" w:sz="4" w:space="0"/>
              <w:bottom w:val="single" w:color="auto" w:sz="4" w:space="0"/>
              <w:right w:val="single" w:color="auto" w:sz="4" w:space="0"/>
            </w:tcBorders>
            <w:vAlign w:val="center"/>
          </w:tcPr>
          <w:p w14:paraId="3F7E5491">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cs="宋体"/>
                <w:color w:val="auto"/>
                <w:sz w:val="24"/>
                <w:highlight w:val="none"/>
                <w:lang w:eastAsia="zh-CN"/>
              </w:rPr>
              <w:t>供应商应为中小微企业</w:t>
            </w:r>
            <w:r>
              <w:rPr>
                <w:rFonts w:hint="eastAsia" w:ascii="宋体" w:hAnsi="宋体" w:cs="宋体"/>
                <w:color w:val="auto"/>
                <w:sz w:val="24"/>
                <w:highlight w:val="none"/>
              </w:rPr>
              <w:t>；</w:t>
            </w:r>
          </w:p>
        </w:tc>
        <w:tc>
          <w:tcPr>
            <w:tcW w:w="4176" w:type="dxa"/>
            <w:tcBorders>
              <w:top w:val="single" w:color="auto" w:sz="4" w:space="0"/>
              <w:left w:val="single" w:color="auto" w:sz="4" w:space="0"/>
              <w:bottom w:val="single" w:color="auto" w:sz="4" w:space="0"/>
              <w:right w:val="single" w:color="auto" w:sz="4" w:space="0"/>
            </w:tcBorders>
            <w:vAlign w:val="center"/>
          </w:tcPr>
          <w:p w14:paraId="44492890">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提供《</w:t>
            </w:r>
            <w:r>
              <w:rPr>
                <w:rFonts w:hint="eastAsia" w:ascii="宋体" w:hAnsi="宋体" w:eastAsia="宋体" w:cs="宋体"/>
                <w:color w:val="auto"/>
                <w:kern w:val="0"/>
                <w:sz w:val="24"/>
                <w:szCs w:val="24"/>
                <w:highlight w:val="none"/>
                <w:lang w:val="zh-CN"/>
              </w:rPr>
              <w:t>中小企业声明函</w:t>
            </w:r>
            <w:r>
              <w:rPr>
                <w:rFonts w:hint="eastAsia" w:ascii="宋体" w:hAnsi="宋体" w:eastAsia="宋体" w:cs="宋体"/>
                <w:color w:val="auto"/>
                <w:kern w:val="0"/>
                <w:sz w:val="24"/>
                <w:szCs w:val="24"/>
                <w:highlight w:val="none"/>
                <w:lang w:val="en-US" w:eastAsia="zh-CN"/>
              </w:rPr>
              <w:t>》，格式以附件7为准</w:t>
            </w:r>
          </w:p>
        </w:tc>
      </w:tr>
    </w:tbl>
    <w:p w14:paraId="3F1F244F">
      <w:pPr>
        <w:pStyle w:val="26"/>
        <w:rPr>
          <w:color w:val="auto"/>
          <w:highlight w:val="none"/>
        </w:rPr>
      </w:pPr>
    </w:p>
    <w:p w14:paraId="587296B6">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1400D7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11.2.1响应函；</w:t>
      </w:r>
      <w:r>
        <w:rPr>
          <w:rFonts w:hint="eastAsia" w:ascii="宋体" w:hAnsi="宋体" w:cs="宋体"/>
          <w:color w:val="auto"/>
          <w:sz w:val="24"/>
          <w:highlight w:val="none"/>
          <w:lang w:val="zh-CN"/>
        </w:rPr>
        <w:t xml:space="preserve"> </w:t>
      </w:r>
    </w:p>
    <w:p w14:paraId="1222281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838739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11.2.3分包意向协议（如果有)；</w:t>
      </w:r>
    </w:p>
    <w:p w14:paraId="52EE93D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11.2.4符合性审查资料；</w:t>
      </w:r>
    </w:p>
    <w:p w14:paraId="3E42B1A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11.2.5评审标准相应的商务技术资料；</w:t>
      </w:r>
    </w:p>
    <w:p w14:paraId="20D968A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11.2.6商务技术偏离表；</w:t>
      </w:r>
    </w:p>
    <w:p w14:paraId="79C3B75B">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0F343C98">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709C4A0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11.3.1报价单；</w:t>
      </w:r>
    </w:p>
    <w:p w14:paraId="7B95BE9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11.3.2已标价工程量清单；</w:t>
      </w:r>
    </w:p>
    <w:p w14:paraId="62A90440">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11.3.3中小企业声明函。</w:t>
      </w:r>
    </w:p>
    <w:p w14:paraId="4ECA0339">
      <w:pPr>
        <w:snapToGrid w:val="0"/>
        <w:spacing w:line="360" w:lineRule="auto"/>
        <w:ind w:firstLine="960" w:firstLineChars="400"/>
        <w:rPr>
          <w:rFonts w:ascii="宋体" w:hAnsi="宋体" w:cs="宋体"/>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250F692F">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响应文件含有采购人不能接受的附加条件的，响应文件无效；</w:t>
      </w:r>
    </w:p>
    <w:p w14:paraId="2151F1F9">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供应商提供虚假材料的，响应文件无效。</w:t>
      </w:r>
    </w:p>
    <w:p w14:paraId="6819C2D4">
      <w:pPr>
        <w:pStyle w:val="133"/>
        <w:snapToGrid w:val="0"/>
        <w:spacing w:before="0"/>
        <w:ind w:firstLine="720" w:firstLineChars="300"/>
        <w:outlineLvl w:val="0"/>
        <w:rPr>
          <w:rFonts w:hint="eastAsia"/>
          <w:color w:val="auto"/>
          <w:sz w:val="24"/>
          <w:szCs w:val="24"/>
          <w:highlight w:val="none"/>
          <w:shd w:val="clear" w:color="auto" w:fill="FFFFFF"/>
          <w:lang w:val="en-US" w:eastAsia="zh-CN"/>
        </w:rPr>
      </w:pPr>
      <w:r>
        <w:rPr>
          <w:rFonts w:hint="eastAsia"/>
          <w:color w:val="auto"/>
          <w:sz w:val="24"/>
          <w:szCs w:val="24"/>
          <w:highlight w:val="none"/>
          <w:shd w:val="clear" w:color="auto" w:fill="FFFFFF"/>
          <w:lang w:val="en-US" w:eastAsia="zh-CN"/>
        </w:rPr>
        <w:t>投标人可事先在公开官网查询、核对相关证书和报告内容，确保投标（响应）文件资料准确无误。投标人应对投标文件中材料的真实性、合法性负责。</w:t>
      </w:r>
    </w:p>
    <w:p w14:paraId="65EF03D3">
      <w:pPr>
        <w:pStyle w:val="133"/>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响应文件的编制</w:t>
      </w:r>
    </w:p>
    <w:p w14:paraId="226A351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3618B6A1">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3F979F61">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1E5697E">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13.响应文件的签署、盖章</w:t>
      </w:r>
    </w:p>
    <w:p w14:paraId="62F1DADB">
      <w:pPr>
        <w:pStyle w:val="133"/>
        <w:snapToGrid w:val="0"/>
        <w:spacing w:before="0"/>
        <w:ind w:firstLine="480"/>
        <w:rPr>
          <w:rFonts w:ascii="宋体" w:hAnsi="宋体" w:cs="宋体"/>
          <w:b/>
          <w:color w:val="auto"/>
          <w:highlight w:val="none"/>
        </w:rPr>
      </w:pPr>
      <w:r>
        <w:rPr>
          <w:rFonts w:hint="eastAsia" w:ascii="宋体" w:hAnsi="宋体" w:cs="宋体"/>
          <w:color w:val="auto"/>
          <w:szCs w:val="24"/>
          <w:highlight w:val="none"/>
        </w:rPr>
        <w:t>13.1响应文件按照采购文件第六部分格式要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▲供应商的响应文件未按照采购文件要求签署、盖章的，其响应文件无效</w:t>
      </w:r>
      <w:r>
        <w:rPr>
          <w:rFonts w:hint="eastAsia" w:ascii="宋体" w:hAnsi="宋体" w:cs="宋体"/>
          <w:color w:val="auto"/>
          <w:szCs w:val="24"/>
          <w:highlight w:val="none"/>
        </w:rPr>
        <w:t>。</w:t>
      </w:r>
    </w:p>
    <w:p w14:paraId="7ECB891E">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2F8AFE1F">
      <w:pPr>
        <w:pStyle w:val="133"/>
        <w:snapToGrid w:val="0"/>
        <w:spacing w:before="0"/>
        <w:ind w:firstLine="480"/>
        <w:rPr>
          <w:rFonts w:ascii="宋体" w:hAnsi="宋体" w:cs="宋体"/>
          <w:color w:val="auto"/>
          <w:szCs w:val="24"/>
          <w:highlight w:val="none"/>
        </w:rPr>
      </w:pPr>
      <w:r>
        <w:rPr>
          <w:rFonts w:hint="eastAsia" w:ascii="宋体" w:hAnsi="宋体" w:cs="宋体"/>
          <w:color w:val="auto"/>
          <w:highlight w:val="none"/>
        </w:rPr>
        <w:t>13.3采购文件对响应文件签署、盖章的要求适用于电子签名。</w:t>
      </w:r>
    </w:p>
    <w:p w14:paraId="00C57DD8">
      <w:pPr>
        <w:pStyle w:val="133"/>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响应文件的提交、补充、修改、撤回</w:t>
      </w:r>
    </w:p>
    <w:p w14:paraId="6046FB51">
      <w:pPr>
        <w:pStyle w:val="133"/>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22B79AFF">
      <w:pPr>
        <w:pStyle w:val="133"/>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14:paraId="3FCCC372">
      <w:pPr>
        <w:pStyle w:val="133"/>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14.3采购人、采购机构可以视情况延长响应文件提交的截止时间。在上述情况下，采购机构与供应商以前在响应文件提交截止时间方面的全部权利、责任和义务，将适用于延长至新的响应文件提交截止时间。</w:t>
      </w:r>
    </w:p>
    <w:p w14:paraId="5BCA77F8">
      <w:pPr>
        <w:pStyle w:val="36"/>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15.备份响应文件</w:t>
      </w:r>
    </w:p>
    <w:p w14:paraId="7271E320">
      <w:pPr>
        <w:pStyle w:val="36"/>
        <w:snapToGrid w:val="0"/>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hAnsi="宋体" w:cs="宋体"/>
          <w:b/>
          <w:color w:val="auto"/>
          <w:sz w:val="24"/>
          <w:szCs w:val="24"/>
          <w:highlight w:val="none"/>
        </w:rPr>
        <w:t>但采购人、采购机构不强制或变相强制供应商提交备份响应文件。</w:t>
      </w:r>
    </w:p>
    <w:p w14:paraId="0A487417">
      <w:pPr>
        <w:pStyle w:val="36"/>
        <w:snapToGrid w:val="0"/>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15.2备份响应文件须在“政采云投标客户端”制作生成，并储存在</w:t>
      </w:r>
      <w:r>
        <w:rPr>
          <w:rFonts w:hint="eastAsia" w:hAnsi="宋体" w:cs="宋体"/>
          <w:color w:val="auto"/>
          <w:sz w:val="24"/>
          <w:szCs w:val="24"/>
          <w:highlight w:val="none"/>
          <w:lang w:val="en-US" w:eastAsia="zh-CN"/>
        </w:rPr>
        <w:t>U盘或</w:t>
      </w:r>
      <w:r>
        <w:rPr>
          <w:rFonts w:hint="eastAsia" w:hAnsi="宋体" w:cs="宋体"/>
          <w:color w:val="auto"/>
          <w:sz w:val="24"/>
          <w:highlight w:val="none"/>
        </w:rPr>
        <w:t>DVD光盘</w:t>
      </w:r>
      <w:r>
        <w:rPr>
          <w:rFonts w:hint="eastAsia" w:hAnsi="宋体" w:cs="宋体"/>
          <w:color w:val="auto"/>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存储、密封规定的备份响应文件将被视为无效或者被拒绝接收。</w:t>
      </w:r>
    </w:p>
    <w:p w14:paraId="6A856078">
      <w:pPr>
        <w:pStyle w:val="36"/>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15.3直接提交备份响应文件的，供应商应于响应文件提交（上传）截止时间前在竞争性磋商公告中载明的响应文件开启地点将备份响应文件提交给采购机构，采购机构将拒绝接受逾期送达的备份响应文件。</w:t>
      </w:r>
    </w:p>
    <w:p w14:paraId="696F476F">
      <w:pPr>
        <w:pStyle w:val="36"/>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color w:val="auto"/>
          <w:sz w:val="24"/>
          <w:szCs w:val="24"/>
          <w:highlight w:val="none"/>
        </w:rPr>
        <w:t>采购文件第二部分供应商须知前附表规定的备份响应文件送达地点；</w:t>
      </w:r>
      <w:r>
        <w:rPr>
          <w:rFonts w:hint="eastAsia" w:hAnsi="宋体" w:cs="宋体"/>
          <w:color w:val="auto"/>
          <w:sz w:val="24"/>
          <w:szCs w:val="24"/>
          <w:highlight w:val="none"/>
        </w:rPr>
        <w:t>送达时间以签收人签收时间为准。采购机构将拒绝接受逾期送达的备份响应文件。邮寄过程中，电子备份响应文件发生泄露、遗失、损坏或延期送达等情况的，由供应商自行负责。</w:t>
      </w:r>
    </w:p>
    <w:p w14:paraId="545EB9A2">
      <w:pPr>
        <w:pStyle w:val="36"/>
        <w:snapToGrid w:val="0"/>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15.5供应商仅提交备份响应文件，未在电子交易平台传输递交响应文件的，响应文件无效。</w:t>
      </w:r>
    </w:p>
    <w:p w14:paraId="44210153">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16.响应文件的无效处理</w:t>
      </w:r>
    </w:p>
    <w:p w14:paraId="41088100">
      <w:pPr>
        <w:pStyle w:val="27"/>
        <w:spacing w:line="360" w:lineRule="auto"/>
        <w:ind w:firstLine="360" w:firstLineChars="150"/>
        <w:rPr>
          <w:rFonts w:cs="宋体"/>
          <w:color w:val="auto"/>
          <w:szCs w:val="21"/>
          <w:highlight w:val="none"/>
        </w:rPr>
      </w:pPr>
      <w:r>
        <w:rPr>
          <w:rFonts w:hint="eastAsia" w:cs="宋体"/>
          <w:color w:val="auto"/>
          <w:szCs w:val="21"/>
          <w:highlight w:val="none"/>
        </w:rPr>
        <w:t>有采购文件第四部分</w:t>
      </w:r>
      <w:r>
        <w:rPr>
          <w:rFonts w:hint="eastAsia" w:cs="宋体"/>
          <w:color w:val="auto"/>
          <w:highlight w:val="none"/>
        </w:rPr>
        <w:t>4.2规定</w:t>
      </w:r>
      <w:r>
        <w:rPr>
          <w:rFonts w:hint="eastAsia" w:cs="宋体"/>
          <w:color w:val="auto"/>
          <w:szCs w:val="21"/>
          <w:highlight w:val="none"/>
        </w:rPr>
        <w:t>的情形之一的，响应文件无效：</w:t>
      </w:r>
    </w:p>
    <w:p w14:paraId="2A084D3E">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17.响应文件有效期</w:t>
      </w:r>
    </w:p>
    <w:p w14:paraId="2BE44D3F">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17.1响应文件有效期为从提交响应文件的截止之日起90天。▲</w:t>
      </w:r>
      <w:r>
        <w:rPr>
          <w:rFonts w:hint="eastAsia" w:ascii="宋体" w:hAnsi="宋体" w:cs="宋体"/>
          <w:b/>
          <w:color w:val="auto"/>
          <w:sz w:val="24"/>
          <w:szCs w:val="20"/>
          <w:highlight w:val="none"/>
        </w:rPr>
        <w:t>供应商的响应文件中承</w:t>
      </w:r>
      <w:r>
        <w:rPr>
          <w:rFonts w:hint="eastAsia" w:ascii="宋体" w:hAnsi="宋体" w:cs="宋体"/>
          <w:b/>
          <w:color w:val="auto"/>
          <w:sz w:val="24"/>
          <w:szCs w:val="21"/>
          <w:highlight w:val="none"/>
        </w:rPr>
        <w:t>诺的响应文件有效期少于采购文件中载明的响应文件有效期的，响应文件无效。</w:t>
      </w:r>
    </w:p>
    <w:p w14:paraId="07ED1095">
      <w:pPr>
        <w:pStyle w:val="133"/>
        <w:spacing w:before="0"/>
        <w:ind w:firstLine="480"/>
        <w:rPr>
          <w:rFonts w:ascii="宋体" w:hAnsi="宋体" w:cs="宋体"/>
          <w:color w:val="auto"/>
          <w:highlight w:val="none"/>
        </w:rPr>
      </w:pPr>
      <w:r>
        <w:rPr>
          <w:rFonts w:hint="eastAsia" w:ascii="宋体" w:hAnsi="宋体" w:cs="宋体"/>
          <w:color w:val="auto"/>
          <w:highlight w:val="none"/>
        </w:rPr>
        <w:t>17.2响应文件合格投递后，自响应文件提交截止时间起，在响应文件有效期内有效。</w:t>
      </w:r>
    </w:p>
    <w:p w14:paraId="36A734DD">
      <w:pPr>
        <w:pStyle w:val="133"/>
        <w:spacing w:before="0"/>
        <w:ind w:firstLine="480"/>
        <w:rPr>
          <w:rFonts w:ascii="宋体" w:hAnsi="宋体" w:cs="宋体"/>
          <w:color w:val="auto"/>
          <w:highlight w:val="none"/>
        </w:rPr>
      </w:pPr>
      <w:r>
        <w:rPr>
          <w:rFonts w:hint="eastAsia" w:ascii="宋体" w:hAnsi="宋体" w:cs="宋体"/>
          <w:color w:val="auto"/>
          <w:highlight w:val="none"/>
        </w:rPr>
        <w:t>17.3在原定响应文件有效期满之前，如果出现特殊情况，采购机构可以以书面形式通知供应商延长响应文件有效期。供应商同意延长的，不得要求或被允许修改其响应文件，供应商拒绝延长的，其响应文件无效。</w:t>
      </w:r>
    </w:p>
    <w:p w14:paraId="5E85D456">
      <w:pPr>
        <w:pStyle w:val="133"/>
        <w:spacing w:before="0"/>
        <w:ind w:firstLine="643"/>
        <w:rPr>
          <w:rFonts w:ascii="宋体" w:hAnsi="宋体" w:cs="宋体"/>
          <w:b/>
          <w:color w:val="auto"/>
          <w:sz w:val="32"/>
          <w:highlight w:val="none"/>
        </w:rPr>
      </w:pPr>
    </w:p>
    <w:p w14:paraId="5DC179C8">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四、响应文件开启、资格审查与信用信息查询</w:t>
      </w:r>
    </w:p>
    <w:p w14:paraId="24D5A922">
      <w:pPr>
        <w:pStyle w:val="558"/>
        <w:spacing w:before="0" w:line="360" w:lineRule="auto"/>
        <w:ind w:left="0" w:firstLine="0"/>
        <w:contextualSpacing/>
        <w:rPr>
          <w:rFonts w:ascii="宋体" w:hAnsi="宋体" w:cs="宋体"/>
          <w:color w:val="auto"/>
          <w:sz w:val="24"/>
          <w:highlight w:val="none"/>
        </w:rPr>
      </w:pPr>
      <w:r>
        <w:rPr>
          <w:rFonts w:hint="eastAsia" w:ascii="宋体" w:hAnsi="宋体" w:cs="宋体"/>
          <w:b/>
          <w:color w:val="auto"/>
          <w:sz w:val="24"/>
          <w:szCs w:val="24"/>
          <w:highlight w:val="none"/>
        </w:rPr>
        <w:t>18.响应文件开启</w:t>
      </w:r>
      <w:r>
        <w:rPr>
          <w:rFonts w:hint="eastAsia" w:ascii="宋体" w:hAnsi="宋体" w:cs="宋体"/>
          <w:color w:val="auto"/>
          <w:sz w:val="24"/>
          <w:highlight w:val="none"/>
        </w:rPr>
        <w:t xml:space="preserve"> </w:t>
      </w:r>
    </w:p>
    <w:p w14:paraId="4882C257">
      <w:pPr>
        <w:pStyle w:val="558"/>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18.1采购机构按照采购文件规定的时间通过电子交易平台组织响应文件开启，所有供应商均应当准时在线参加。供应商不足3家的，不得开启。</w:t>
      </w:r>
    </w:p>
    <w:p w14:paraId="2F8FFB54">
      <w:pPr>
        <w:pStyle w:val="558"/>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18.2响应文件开启时，电子交易平台按响应文件开启时间自动提取所有响应文件。采购机构依托电子交易平台发起开始解密指令，供应商按照平台提示和采购文件的规定在半小时内完成在线解密。</w:t>
      </w:r>
    </w:p>
    <w:p w14:paraId="19AF44C7">
      <w:pPr>
        <w:pStyle w:val="558"/>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18.3</w:t>
      </w:r>
      <w:r>
        <w:rPr>
          <w:rFonts w:hint="eastAsia" w:ascii="宋体" w:hAnsi="宋体" w:cs="宋体"/>
          <w:b/>
          <w:bCs/>
          <w:color w:val="auto"/>
          <w:sz w:val="24"/>
          <w:highlight w:val="none"/>
        </w:rPr>
        <w:t>响应文件未按时解密，供应商提供了备份响应文件的，以备份响应文件作为依据，否则视为响应文件撤回。响应文件已按时解密的，备份响应文件自动失效。</w:t>
      </w:r>
    </w:p>
    <w:p w14:paraId="2DA06953">
      <w:pPr>
        <w:pStyle w:val="558"/>
        <w:spacing w:before="0" w:line="360" w:lineRule="auto"/>
        <w:ind w:left="0" w:firstLine="0"/>
        <w:contextualSpacing/>
        <w:rPr>
          <w:rFonts w:ascii="宋体" w:hAnsi="宋体" w:cs="宋体"/>
          <w:b/>
          <w:color w:val="auto"/>
          <w:sz w:val="24"/>
          <w:szCs w:val="24"/>
          <w:highlight w:val="none"/>
        </w:rPr>
      </w:pPr>
      <w:r>
        <w:rPr>
          <w:rFonts w:hint="eastAsia" w:ascii="宋体" w:hAnsi="宋体" w:cs="宋体"/>
          <w:b/>
          <w:color w:val="auto"/>
          <w:sz w:val="24"/>
          <w:szCs w:val="24"/>
          <w:highlight w:val="none"/>
        </w:rPr>
        <w:t>19、资格审查</w:t>
      </w:r>
    </w:p>
    <w:p w14:paraId="79789DED">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磋商小组依据法律法规和采购文件的规定，对供应商的资格进行审查。</w:t>
      </w:r>
    </w:p>
    <w:p w14:paraId="662F9981">
      <w:pPr>
        <w:pStyle w:val="133"/>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供应商未按照采购文件要求提供与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供应商不具备采购文件中规定的资格要求，其响应文件无效。</w:t>
      </w:r>
    </w:p>
    <w:p w14:paraId="720BF6A8">
      <w:pPr>
        <w:pStyle w:val="133"/>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对未通过资格审查的供应商，采购人或</w:t>
      </w:r>
      <w:r>
        <w:rPr>
          <w:rFonts w:hint="eastAsia" w:ascii="宋体" w:hAnsi="宋体" w:cs="宋体"/>
          <w:lang w:eastAsia="zh-CN"/>
        </w:rPr>
        <w:t>采购代理机构</w:t>
      </w:r>
      <w:r>
        <w:rPr>
          <w:rFonts w:hint="eastAsia" w:ascii="宋体" w:hAnsi="宋体" w:cs="宋体"/>
        </w:rPr>
        <w:t>告知其未通过的原因。</w:t>
      </w:r>
    </w:p>
    <w:p w14:paraId="5AD18DEF">
      <w:pPr>
        <w:pStyle w:val="133"/>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合格供应商不足3家的，不再评审。</w:t>
      </w:r>
    </w:p>
    <w:p w14:paraId="1D9FFA52">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5330D2BF">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20.1信用信息查询渠道及截止时间：采购机构将在资格审查时通过“信用中国”网站(www.creditchina.gov.cn)、中国政府采购网(www.ccgp.gov.cn)渠道查询供应商接受资格审查时的信用记录。</w:t>
      </w:r>
    </w:p>
    <w:p w14:paraId="770970A4">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20.2信用信息查询记录和证据留存的具体方式：现场查询的供应商的信用记录、查询结果经确认后将与采购文件一起存档。</w:t>
      </w:r>
    </w:p>
    <w:p w14:paraId="29D231CC">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20.3信用信息的使用规则：经查询列入失信被执行人名单、重大税收违法案件当事人名单、政府采购严重违法失信行为记录名单的供应商将被拒绝参与政府采购活动。</w:t>
      </w:r>
    </w:p>
    <w:p w14:paraId="26CA75EC">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35675B6C">
      <w:pPr>
        <w:pStyle w:val="133"/>
        <w:spacing w:before="0"/>
        <w:ind w:firstLine="0" w:firstLineChars="0"/>
        <w:rPr>
          <w:rFonts w:ascii="宋体" w:hAnsi="宋体" w:cs="宋体"/>
          <w:color w:val="auto"/>
          <w:kern w:val="0"/>
          <w:szCs w:val="24"/>
          <w:highlight w:val="none"/>
        </w:rPr>
      </w:pPr>
    </w:p>
    <w:p w14:paraId="25DB7BAE">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五、评审</w:t>
      </w:r>
    </w:p>
    <w:p w14:paraId="1D782459">
      <w:pPr>
        <w:spacing w:line="360" w:lineRule="auto"/>
        <w:rPr>
          <w:rFonts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auto"/>
          <w:sz w:val="24"/>
          <w:highlight w:val="none"/>
        </w:rPr>
        <w:t>详见采购文件第四部分评审办法。</w:t>
      </w:r>
    </w:p>
    <w:p w14:paraId="488DDC06">
      <w:pPr>
        <w:spacing w:line="360" w:lineRule="auto"/>
        <w:rPr>
          <w:rFonts w:ascii="宋体" w:hAnsi="宋体" w:cs="宋体"/>
          <w:b/>
          <w:color w:val="auto"/>
          <w:sz w:val="24"/>
          <w:highlight w:val="none"/>
        </w:rPr>
      </w:pPr>
    </w:p>
    <w:p w14:paraId="0797C2D4">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六、成交供应商确定</w:t>
      </w:r>
    </w:p>
    <w:p w14:paraId="10E3F852">
      <w:pPr>
        <w:pStyle w:val="27"/>
        <w:spacing w:line="360" w:lineRule="auto"/>
        <w:ind w:left="479" w:hanging="479" w:hangingChars="199"/>
        <w:rPr>
          <w:rFonts w:cs="宋体"/>
          <w:b/>
          <w:color w:val="auto"/>
          <w:highlight w:val="none"/>
        </w:rPr>
      </w:pPr>
      <w:r>
        <w:rPr>
          <w:rFonts w:hint="eastAsia" w:cs="宋体"/>
          <w:b/>
          <w:color w:val="auto"/>
          <w:highlight w:val="none"/>
        </w:rPr>
        <w:t>22. 确定成交供应商</w:t>
      </w:r>
    </w:p>
    <w:p w14:paraId="75073E19">
      <w:pPr>
        <w:pStyle w:val="133"/>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6AEE850C">
      <w:pPr>
        <w:pStyle w:val="133"/>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成交通知与成交结果公告</w:t>
      </w:r>
    </w:p>
    <w:p w14:paraId="4017E280">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23.1自成交供应商确定之日起</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个工作日内，采购机构通过电子交易平台向成交供应商发出成交通知书，同时编制发布采购结果公告。采购机构也可以以纸质形式进行成交通知。</w:t>
      </w:r>
    </w:p>
    <w:p w14:paraId="69413D01">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成交结果公告内容包括采购人及其委托的采购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5B96DC5C">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2D23C4F7">
      <w:pPr>
        <w:widowControl/>
        <w:shd w:val="clear" w:color="auto" w:fill="FFFFFF"/>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lang w:val="en-US" w:eastAsia="zh-CN"/>
        </w:rPr>
        <w:t>23.4</w:t>
      </w:r>
      <w:r>
        <w:rPr>
          <w:rFonts w:hint="eastAsia" w:ascii="宋体" w:hAnsi="宋体" w:eastAsia="宋体" w:cs="宋体"/>
          <w:b w:val="0"/>
          <w:bCs/>
          <w:color w:val="auto"/>
          <w:sz w:val="24"/>
          <w:szCs w:val="24"/>
          <w:highlight w:val="none"/>
        </w:rPr>
        <w:t>由于</w:t>
      </w:r>
      <w:r>
        <w:rPr>
          <w:rFonts w:hint="eastAsia" w:ascii="宋体" w:hAnsi="宋体" w:eastAsia="宋体" w:cs="宋体"/>
          <w:bCs/>
          <w:color w:val="auto"/>
          <w:sz w:val="24"/>
          <w:szCs w:val="24"/>
          <w:highlight w:val="none"/>
        </w:rPr>
        <w:t>成交供应商原因导致重新采购的，应当承担支付代理费和专家评审费等费用在内的赔偿责任。</w:t>
      </w:r>
    </w:p>
    <w:p w14:paraId="352E6DCC">
      <w:pPr>
        <w:snapToGrid w:val="0"/>
        <w:spacing w:line="360" w:lineRule="auto"/>
        <w:ind w:left="120" w:leftChars="57" w:firstLine="482" w:firstLineChars="150"/>
        <w:jc w:val="center"/>
        <w:rPr>
          <w:rFonts w:ascii="宋体" w:hAnsi="宋体" w:cs="宋体"/>
          <w:b/>
          <w:color w:val="auto"/>
          <w:sz w:val="32"/>
          <w:highlight w:val="none"/>
        </w:rPr>
      </w:pPr>
    </w:p>
    <w:p w14:paraId="007AEADB">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七、合同授予</w:t>
      </w:r>
    </w:p>
    <w:p w14:paraId="3CF4B9F7">
      <w:pPr>
        <w:pStyle w:val="27"/>
        <w:snapToGrid w:val="0"/>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8CBA163">
      <w:pPr>
        <w:pStyle w:val="27"/>
        <w:snapToGrid w:val="0"/>
        <w:spacing w:line="360" w:lineRule="auto"/>
        <w:ind w:left="479" w:hanging="479" w:hangingChars="199"/>
        <w:rPr>
          <w:rFonts w:cs="宋体"/>
          <w:b/>
          <w:color w:val="auto"/>
          <w:highlight w:val="none"/>
        </w:rPr>
      </w:pPr>
      <w:r>
        <w:rPr>
          <w:rFonts w:hint="eastAsia" w:cs="宋体"/>
          <w:b/>
          <w:color w:val="auto"/>
          <w:highlight w:val="none"/>
        </w:rPr>
        <w:t>25. 合同的签订</w:t>
      </w:r>
    </w:p>
    <w:p w14:paraId="5149584A">
      <w:pPr>
        <w:widowControl/>
        <w:shd w:val="clear" w:color="auto" w:fill="FFFFFF"/>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采购人与成交供应商应当通过电子交易平台在成交通知书发出之日起</w:t>
      </w:r>
      <w:r>
        <w:rPr>
          <w:rFonts w:hint="eastAsia" w:ascii="宋体" w:hAnsi="宋体" w:cs="宋体"/>
          <w:color w:val="auto"/>
          <w:kern w:val="0"/>
          <w:sz w:val="24"/>
          <w:highlight w:val="none"/>
          <w:lang w:eastAsia="zh-CN"/>
        </w:rPr>
        <w:t>三</w:t>
      </w:r>
      <w:r>
        <w:rPr>
          <w:rFonts w:hint="eastAsia" w:ascii="宋体" w:hAnsi="宋体" w:cs="宋体"/>
          <w:color w:val="auto"/>
          <w:kern w:val="0"/>
          <w:sz w:val="24"/>
          <w:highlight w:val="none"/>
        </w:rPr>
        <w:t>十日内，按照采购文件确定的事项签订政府采购合同，并在签订之日起</w:t>
      </w:r>
      <w:r>
        <w:rPr>
          <w:rFonts w:hint="eastAsia" w:ascii="宋体" w:hAnsi="宋体" w:cs="宋体"/>
          <w:color w:val="auto"/>
          <w:kern w:val="0"/>
          <w:sz w:val="24"/>
          <w:highlight w:val="none"/>
          <w:lang w:eastAsia="zh-CN"/>
        </w:rPr>
        <w:t>当天</w:t>
      </w:r>
      <w:r>
        <w:rPr>
          <w:rFonts w:hint="eastAsia" w:ascii="宋体" w:hAnsi="宋体" w:cs="宋体"/>
          <w:color w:val="auto"/>
          <w:kern w:val="0"/>
          <w:sz w:val="24"/>
          <w:highlight w:val="none"/>
        </w:rPr>
        <w:t>将政府采购合同在浙江政府采购网上公告。鼓励有条件的采购人视情缩减采购合同签订时限，提高采购效率，杜绝“冷、硬、横、推”等不当行为。除不可抗力等特殊情况外，原则上应当在成交通知书发出之日起10</w:t>
      </w:r>
      <w:r>
        <w:rPr>
          <w:rFonts w:hint="eastAsia" w:ascii="宋体" w:hAnsi="宋体" w:cs="宋体"/>
          <w:color w:val="auto"/>
          <w:kern w:val="0"/>
          <w:sz w:val="24"/>
          <w:highlight w:val="none"/>
          <w:lang w:eastAsia="zh-CN"/>
        </w:rPr>
        <w:t>个工作</w:t>
      </w:r>
      <w:r>
        <w:rPr>
          <w:rFonts w:hint="eastAsia" w:ascii="宋体" w:hAnsi="宋体" w:cs="宋体"/>
          <w:color w:val="auto"/>
          <w:kern w:val="0"/>
          <w:sz w:val="24"/>
          <w:highlight w:val="none"/>
        </w:rPr>
        <w:t>日内，与成交供应商按照采购文件确定的事项签订政府采购合同。</w:t>
      </w:r>
    </w:p>
    <w:p w14:paraId="06FAEB2D">
      <w:pPr>
        <w:pStyle w:val="133"/>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14:paraId="4445B603">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243E010A">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446C8554">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25.5采购合同由采购人与成交供应商根据采购文件、响应文件等内容通过政府采购电子交易平台在线签订，自动备案。</w:t>
      </w:r>
    </w:p>
    <w:p w14:paraId="411F6E24">
      <w:pPr>
        <w:pStyle w:val="27"/>
        <w:snapToGrid w:val="0"/>
        <w:spacing w:line="360" w:lineRule="auto"/>
        <w:ind w:left="479" w:hanging="479" w:hangingChars="199"/>
        <w:rPr>
          <w:rFonts w:cs="宋体"/>
          <w:b/>
          <w:color w:val="auto"/>
          <w:highlight w:val="none"/>
        </w:rPr>
      </w:pPr>
      <w:r>
        <w:rPr>
          <w:rFonts w:hint="eastAsia" w:cs="宋体"/>
          <w:b/>
          <w:color w:val="auto"/>
          <w:highlight w:val="none"/>
        </w:rPr>
        <w:t>26. 履约保证金</w:t>
      </w:r>
    </w:p>
    <w:p w14:paraId="068FEBC2">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拟签订的合同文本要求成交供应商提交履约保证金的，供应商应当以支票、汇票、本票或者金融机构、担保机构出具的保函等非现金形式提交。杭州市政府采购网公布的供应商履约评价为满分的供应商，采购单位应当免收履约保证金。确需收取履约保证金的，履约保证金缴纳最高比例由不超过合同金额的1%。采购单位鼓励供应商采取履约保函形式提供信用保证；供应商提供保函的，采购单位不得拒收。项目验收结束后应及时退还，延迟退还的，应当按照合同约定和法律规定承担相应的赔偿责任。</w:t>
      </w:r>
    </w:p>
    <w:p w14:paraId="2F27255F">
      <w:pPr>
        <w:snapToGrid w:val="0"/>
        <w:spacing w:line="360" w:lineRule="auto"/>
        <w:ind w:firstLine="480" w:firstLineChars="200"/>
        <w:rPr>
          <w:rFonts w:ascii="宋体" w:hAnsi="宋体" w:cs="宋体"/>
          <w:b/>
          <w:color w:val="auto"/>
          <w:sz w:val="32"/>
          <w:highlight w:val="none"/>
        </w:rPr>
      </w:pPr>
      <w:r>
        <w:rPr>
          <w:rFonts w:hint="eastAsia" w:ascii="宋体" w:hAnsi="宋体" w:cs="宋体"/>
          <w:color w:val="auto"/>
          <w:kern w:val="0"/>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0AD8C16">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八、电子交易活动的中止</w:t>
      </w:r>
    </w:p>
    <w:p w14:paraId="7303A472">
      <w:pPr>
        <w:pStyle w:val="133"/>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23316E21">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14:paraId="69F175F5">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14:paraId="71857E44">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14:paraId="35A93F12">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14:paraId="048BA7EC">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14:paraId="43B9DBF1">
      <w:pPr>
        <w:pStyle w:val="133"/>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6053D80C">
      <w:pPr>
        <w:tabs>
          <w:tab w:val="left" w:pos="0"/>
        </w:tabs>
        <w:spacing w:line="360" w:lineRule="auto"/>
        <w:ind w:firstLine="480"/>
        <w:rPr>
          <w:rFonts w:ascii="宋体" w:hAnsi="宋体" w:cs="宋体"/>
          <w:color w:val="auto"/>
          <w:sz w:val="24"/>
          <w:highlight w:val="none"/>
        </w:rPr>
      </w:pPr>
    </w:p>
    <w:p w14:paraId="66494D9A">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九、验收</w:t>
      </w:r>
    </w:p>
    <w:p w14:paraId="3A24268D">
      <w:pPr>
        <w:pStyle w:val="27"/>
        <w:spacing w:line="360" w:lineRule="auto"/>
        <w:ind w:firstLine="0" w:firstLineChars="0"/>
        <w:rPr>
          <w:rFonts w:cs="宋体"/>
          <w:b/>
          <w:color w:val="auto"/>
          <w:highlight w:val="none"/>
        </w:rPr>
      </w:pPr>
      <w:r>
        <w:rPr>
          <w:rFonts w:hint="eastAsia" w:cs="宋体"/>
          <w:b/>
          <w:color w:val="auto"/>
          <w:highlight w:val="none"/>
        </w:rPr>
        <w:t>29.验收</w:t>
      </w:r>
    </w:p>
    <w:p w14:paraId="74C9158A">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29.1采购人应当根据采购项目的具体情况，自行组织项目验收或者委托采购代理机构验收</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E663BA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29.2采购人可以邀请参加本项目的其他供应商或者第三方机构参与验收。参与验收的供应商或者第三方机构的意见作为验收书的参考资料一并存档。</w:t>
      </w:r>
    </w:p>
    <w:p w14:paraId="45B6CB6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6787E67">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40C8A9F2">
      <w:pPr>
        <w:pStyle w:val="4"/>
        <w:adjustRightInd w:val="0"/>
        <w:snapToGrid w:val="0"/>
        <w:ind w:left="0" w:firstLine="480" w:firstLineChars="200"/>
        <w:rPr>
          <w:rFonts w:ascii="宋体" w:hAnsi="宋体" w:eastAsia="宋体" w:cs="宋体"/>
          <w:b w:val="0"/>
          <w:bCs w:val="0"/>
          <w:color w:val="auto"/>
          <w:kern w:val="0"/>
          <w:sz w:val="24"/>
          <w:szCs w:val="24"/>
          <w:highlight w:val="none"/>
          <w:lang w:val="en-US"/>
        </w:rPr>
      </w:pPr>
      <w:bookmarkStart w:id="19" w:name="_Hlt74729768"/>
      <w:bookmarkEnd w:id="19"/>
      <w:bookmarkStart w:id="20" w:name="_Hlt75236101"/>
      <w:bookmarkEnd w:id="20"/>
      <w:bookmarkStart w:id="21" w:name="_Hlt74707468"/>
      <w:bookmarkEnd w:id="21"/>
      <w:bookmarkStart w:id="22" w:name="_Hlt74730295"/>
      <w:bookmarkEnd w:id="22"/>
      <w:bookmarkStart w:id="23" w:name="_Hlt68403820"/>
      <w:bookmarkEnd w:id="23"/>
      <w:bookmarkStart w:id="24" w:name="_Hlt68073093"/>
      <w:bookmarkEnd w:id="24"/>
      <w:bookmarkStart w:id="25" w:name="_Hlt68057669"/>
      <w:bookmarkEnd w:id="25"/>
      <w:bookmarkStart w:id="26" w:name="_Hlt74714665"/>
      <w:bookmarkEnd w:id="26"/>
      <w:bookmarkStart w:id="27" w:name="_Hlt68072998"/>
      <w:bookmarkEnd w:id="27"/>
      <w:bookmarkStart w:id="28" w:name="_Hlt75236011"/>
      <w:bookmarkEnd w:id="28"/>
      <w:bookmarkStart w:id="29" w:name="_Hlt68072990"/>
      <w:bookmarkEnd w:id="29"/>
      <w:bookmarkStart w:id="30" w:name="_Hlt75236290"/>
      <w:bookmarkEnd w:id="30"/>
      <w:r>
        <w:rPr>
          <w:rFonts w:hint="eastAsia" w:ascii="宋体" w:hAnsi="宋体" w:eastAsia="宋体" w:cs="宋体"/>
          <w:b w:val="0"/>
          <w:bCs w:val="0"/>
          <w:color w:val="auto"/>
          <w:kern w:val="0"/>
          <w:sz w:val="24"/>
          <w:szCs w:val="24"/>
          <w:highlight w:val="none"/>
          <w:lang w:val="en-US" w:eastAsia="zh-CN"/>
        </w:rPr>
        <w:t>29</w:t>
      </w:r>
      <w:r>
        <w:rPr>
          <w:rFonts w:hint="eastAsia" w:ascii="宋体" w:hAnsi="宋体" w:eastAsia="宋体" w:cs="宋体"/>
          <w:b w:val="0"/>
          <w:bCs w:val="0"/>
          <w:color w:val="auto"/>
          <w:kern w:val="0"/>
          <w:sz w:val="24"/>
          <w:szCs w:val="24"/>
          <w:highlight w:val="none"/>
          <w:lang w:val="en-US"/>
        </w:rPr>
        <w:t>.5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0DEF7BEB">
      <w:pPr>
        <w:tabs>
          <w:tab w:val="left" w:pos="0"/>
        </w:tabs>
        <w:spacing w:line="360" w:lineRule="auto"/>
        <w:ind w:firstLine="480"/>
        <w:rPr>
          <w:rFonts w:ascii="宋体" w:hAnsi="宋体" w:cs="宋体"/>
          <w:color w:val="auto"/>
          <w:kern w:val="0"/>
          <w:sz w:val="24"/>
          <w:highlight w:val="none"/>
        </w:rPr>
        <w:sectPr>
          <w:pgSz w:w="11906" w:h="16838"/>
          <w:pgMar w:top="1440" w:right="1080" w:bottom="1440" w:left="1080" w:header="851" w:footer="992" w:gutter="0"/>
          <w:cols w:space="720" w:num="1"/>
          <w:titlePg/>
          <w:docGrid w:linePitch="312" w:charSpace="0"/>
        </w:sectPr>
      </w:pPr>
    </w:p>
    <w:bookmarkEnd w:id="13"/>
    <w:bookmarkEnd w:id="14"/>
    <w:p w14:paraId="2AD3DAB5">
      <w:pPr>
        <w:pStyle w:val="36"/>
        <w:spacing w:line="360" w:lineRule="auto"/>
        <w:jc w:val="center"/>
        <w:rPr>
          <w:rFonts w:hAnsi="宋体" w:cs="宋体"/>
          <w:b/>
          <w:snapToGrid/>
          <w:color w:val="auto"/>
          <w:sz w:val="36"/>
          <w:szCs w:val="20"/>
          <w:highlight w:val="none"/>
        </w:rPr>
      </w:pPr>
      <w:bookmarkStart w:id="31" w:name="第四部分"/>
      <w:r>
        <w:rPr>
          <w:rFonts w:hint="eastAsia" w:hAnsi="宋体" w:cs="宋体"/>
          <w:b/>
          <w:snapToGrid/>
          <w:color w:val="auto"/>
          <w:sz w:val="36"/>
          <w:szCs w:val="20"/>
          <w:highlight w:val="none"/>
        </w:rPr>
        <w:t>第三部分 采购需求</w:t>
      </w:r>
    </w:p>
    <w:p w14:paraId="22E455C1">
      <w:pPr>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一、工程概况</w:t>
      </w:r>
    </w:p>
    <w:p w14:paraId="1FBBCA6C">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本项目为</w:t>
      </w:r>
      <w:r>
        <w:rPr>
          <w:rFonts w:hint="eastAsia" w:ascii="宋体" w:hAnsi="宋体" w:cs="宋体"/>
          <w:color w:val="auto"/>
          <w:sz w:val="24"/>
          <w:highlight w:val="none"/>
          <w:lang w:eastAsia="zh-CN"/>
        </w:rPr>
        <w:t>杭州市钱塘区金沙湖实验学校2025年足球场改造工程，</w:t>
      </w:r>
      <w:r>
        <w:rPr>
          <w:rFonts w:hint="eastAsia" w:ascii="宋体" w:hAnsi="宋体" w:cs="宋体"/>
          <w:color w:val="auto"/>
          <w:sz w:val="24"/>
          <w:highlight w:val="none"/>
          <w:lang w:val="en-US" w:eastAsia="zh-CN"/>
        </w:rPr>
        <w:t>具体内容以施工图及预算审核为准</w:t>
      </w:r>
      <w:r>
        <w:rPr>
          <w:rFonts w:hint="eastAsia" w:ascii="宋体" w:hAnsi="宋体" w:cs="宋体"/>
          <w:color w:val="auto"/>
          <w:sz w:val="24"/>
          <w:highlight w:val="none"/>
        </w:rPr>
        <w:t>。</w:t>
      </w:r>
      <w:r>
        <w:rPr>
          <w:rFonts w:hint="eastAsia" w:ascii="宋体" w:hAnsi="宋体" w:cs="宋体"/>
          <w:color w:val="auto"/>
          <w:sz w:val="24"/>
          <w:highlight w:val="none"/>
          <w:lang w:eastAsia="zh-CN"/>
        </w:rPr>
        <w:t>本项目预算</w:t>
      </w:r>
      <w:r>
        <w:rPr>
          <w:rFonts w:hint="eastAsia" w:ascii="宋体" w:hAnsi="宋体" w:cs="宋体"/>
          <w:color w:val="auto"/>
          <w:sz w:val="24"/>
          <w:highlight w:val="none"/>
          <w:lang w:val="en-US" w:eastAsia="zh-CN"/>
        </w:rPr>
        <w:t>审核</w:t>
      </w:r>
      <w:r>
        <w:rPr>
          <w:rFonts w:hint="eastAsia" w:ascii="宋体" w:hAnsi="宋体" w:cs="宋体"/>
          <w:color w:val="auto"/>
          <w:sz w:val="24"/>
          <w:highlight w:val="none"/>
          <w:lang w:eastAsia="zh-CN"/>
        </w:rPr>
        <w:t>价为</w:t>
      </w:r>
      <w:r>
        <w:rPr>
          <w:rFonts w:hint="eastAsia" w:ascii="宋体" w:hAnsi="宋体" w:cs="宋体"/>
          <w:b/>
          <w:color w:val="auto"/>
          <w:sz w:val="24"/>
          <w:highlight w:val="none"/>
          <w:lang w:val="en-US" w:eastAsia="zh-CN"/>
        </w:rPr>
        <w:t>229.3082</w:t>
      </w:r>
      <w:r>
        <w:rPr>
          <w:rFonts w:hint="eastAsia" w:ascii="宋体" w:hAnsi="宋体" w:cs="宋体"/>
          <w:color w:val="auto"/>
          <w:sz w:val="24"/>
          <w:highlight w:val="none"/>
          <w:lang w:eastAsia="zh-CN"/>
        </w:rPr>
        <w:t>万元，最终确定本项目最高限价为</w:t>
      </w:r>
      <w:r>
        <w:rPr>
          <w:rFonts w:hint="eastAsia" w:ascii="宋体" w:hAnsi="宋体" w:cs="宋体"/>
          <w:b/>
          <w:color w:val="auto"/>
          <w:sz w:val="24"/>
          <w:highlight w:val="none"/>
          <w:lang w:val="en-US" w:eastAsia="zh-CN"/>
        </w:rPr>
        <w:t>199.4981</w:t>
      </w:r>
      <w:r>
        <w:rPr>
          <w:rFonts w:hint="eastAsia" w:ascii="宋体" w:hAnsi="宋体" w:cs="宋体"/>
          <w:color w:val="auto"/>
          <w:sz w:val="24"/>
          <w:highlight w:val="none"/>
          <w:lang w:val="en-US" w:eastAsia="zh-CN"/>
        </w:rPr>
        <w:t>万元。</w:t>
      </w:r>
    </w:p>
    <w:p w14:paraId="5BF957A1">
      <w:pPr>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bCs/>
          <w:color w:val="auto"/>
          <w:sz w:val="24"/>
          <w:highlight w:val="none"/>
        </w:rPr>
        <w:t xml:space="preserve">二、工程内容 </w:t>
      </w:r>
    </w:p>
    <w:p w14:paraId="791CCAF6">
      <w:pPr>
        <w:spacing w:line="360" w:lineRule="auto"/>
        <w:ind w:left="210" w:leftChars="100" w:firstLine="240" w:firstLineChars="100"/>
        <w:jc w:val="left"/>
        <w:rPr>
          <w:rFonts w:ascii="宋体" w:hAnsi="宋体" w:cs="宋体"/>
          <w:color w:val="auto"/>
          <w:sz w:val="24"/>
          <w:highlight w:val="none"/>
        </w:rPr>
      </w:pPr>
      <w:r>
        <w:rPr>
          <w:rFonts w:hint="eastAsia" w:ascii="宋体" w:hAnsi="宋体" w:cs="宋体"/>
          <w:color w:val="auto"/>
          <w:sz w:val="24"/>
          <w:highlight w:val="none"/>
        </w:rPr>
        <w:t>1.工程名称</w:t>
      </w:r>
    </w:p>
    <w:p w14:paraId="1106B2E7">
      <w:pPr>
        <w:spacing w:line="360" w:lineRule="auto"/>
        <w:ind w:left="210" w:leftChars="100" w:firstLine="240" w:firstLineChars="100"/>
        <w:jc w:val="left"/>
        <w:rPr>
          <w:rFonts w:ascii="宋体" w:hAnsi="宋体" w:cs="宋体"/>
          <w:color w:val="auto"/>
          <w:sz w:val="24"/>
          <w:highlight w:val="none"/>
        </w:rPr>
      </w:pPr>
      <w:r>
        <w:rPr>
          <w:rFonts w:hint="eastAsia" w:ascii="宋体" w:hAnsi="宋体" w:cs="宋体"/>
          <w:color w:val="auto"/>
          <w:sz w:val="24"/>
          <w:highlight w:val="none"/>
          <w:lang w:eastAsia="zh-CN"/>
        </w:rPr>
        <w:t>杭州市钱塘区金沙湖实验学校2025年足球场改造工程</w:t>
      </w:r>
      <w:r>
        <w:rPr>
          <w:rFonts w:hint="eastAsia" w:ascii="宋体" w:hAnsi="宋体" w:cs="宋体"/>
          <w:color w:val="auto"/>
          <w:sz w:val="24"/>
          <w:highlight w:val="none"/>
        </w:rPr>
        <w:t>。</w:t>
      </w:r>
    </w:p>
    <w:p w14:paraId="361A56A6">
      <w:pPr>
        <w:spacing w:line="360" w:lineRule="auto"/>
        <w:ind w:left="210" w:leftChars="100" w:firstLine="240" w:firstLineChars="100"/>
        <w:jc w:val="left"/>
        <w:rPr>
          <w:rFonts w:ascii="宋体" w:hAnsi="宋体" w:cs="宋体"/>
          <w:color w:val="auto"/>
          <w:sz w:val="24"/>
          <w:highlight w:val="none"/>
        </w:rPr>
      </w:pPr>
      <w:r>
        <w:rPr>
          <w:rFonts w:hint="eastAsia" w:ascii="宋体" w:hAnsi="宋体" w:cs="宋体"/>
          <w:color w:val="auto"/>
          <w:sz w:val="24"/>
          <w:highlight w:val="none"/>
        </w:rPr>
        <w:t>2.现场条件</w:t>
      </w:r>
    </w:p>
    <w:p w14:paraId="3143F342">
      <w:pPr>
        <w:spacing w:line="360" w:lineRule="auto"/>
        <w:ind w:firstLine="420"/>
        <w:jc w:val="left"/>
        <w:rPr>
          <w:rFonts w:ascii="宋体" w:hAnsi="宋体" w:cs="宋体"/>
          <w:color w:val="auto"/>
          <w:sz w:val="24"/>
          <w:highlight w:val="none"/>
        </w:rPr>
      </w:pPr>
      <w:r>
        <w:rPr>
          <w:rFonts w:hint="eastAsia" w:ascii="宋体" w:hAnsi="宋体" w:cs="宋体"/>
          <w:color w:val="auto"/>
          <w:sz w:val="24"/>
          <w:highlight w:val="none"/>
        </w:rPr>
        <w:t>目前施工现场已具备项目施工条件。</w:t>
      </w:r>
    </w:p>
    <w:p w14:paraId="0F0D9E87">
      <w:pPr>
        <w:spacing w:line="360" w:lineRule="auto"/>
        <w:ind w:left="210" w:leftChars="100" w:firstLine="240" w:firstLineChars="100"/>
        <w:jc w:val="left"/>
        <w:rPr>
          <w:rFonts w:ascii="宋体" w:hAnsi="宋体" w:cs="宋体"/>
          <w:color w:val="auto"/>
          <w:sz w:val="24"/>
          <w:highlight w:val="none"/>
        </w:rPr>
      </w:pPr>
      <w:r>
        <w:rPr>
          <w:rFonts w:hint="eastAsia" w:ascii="宋体" w:hAnsi="宋体" w:cs="宋体"/>
          <w:color w:val="auto"/>
          <w:sz w:val="24"/>
          <w:highlight w:val="none"/>
        </w:rPr>
        <w:t>3.工程承包范围</w:t>
      </w:r>
    </w:p>
    <w:p w14:paraId="1CB909B6">
      <w:pPr>
        <w:spacing w:line="360" w:lineRule="auto"/>
        <w:ind w:firstLine="420"/>
        <w:jc w:val="left"/>
        <w:rPr>
          <w:rFonts w:ascii="宋体" w:hAnsi="宋体" w:cs="宋体"/>
          <w:color w:val="auto"/>
          <w:sz w:val="24"/>
          <w:highlight w:val="none"/>
        </w:rPr>
      </w:pPr>
      <w:r>
        <w:rPr>
          <w:rFonts w:hint="eastAsia" w:ascii="宋体" w:hAnsi="宋体" w:cs="宋体"/>
          <w:color w:val="auto"/>
          <w:sz w:val="24"/>
          <w:highlight w:val="none"/>
        </w:rPr>
        <w:t>工程承包范围为磋商文件、磋商记录、施工图纸</w:t>
      </w:r>
      <w:r>
        <w:rPr>
          <w:rFonts w:hint="eastAsia" w:ascii="宋体" w:hAnsi="宋体" w:cs="宋体"/>
          <w:color w:val="auto"/>
          <w:sz w:val="24"/>
          <w:highlight w:val="none"/>
          <w:lang w:val="en-US" w:eastAsia="zh-CN"/>
        </w:rPr>
        <w:t>和工程量清单</w:t>
      </w:r>
      <w:r>
        <w:rPr>
          <w:rFonts w:hint="eastAsia" w:ascii="宋体" w:hAnsi="宋体" w:cs="宋体"/>
          <w:color w:val="auto"/>
          <w:sz w:val="24"/>
          <w:highlight w:val="none"/>
        </w:rPr>
        <w:t>中包含的所有内容。</w:t>
      </w:r>
    </w:p>
    <w:p w14:paraId="39A99594">
      <w:pPr>
        <w:spacing w:line="360" w:lineRule="auto"/>
        <w:ind w:left="210" w:leftChars="100" w:firstLine="240" w:firstLineChars="100"/>
        <w:jc w:val="left"/>
        <w:rPr>
          <w:rFonts w:ascii="宋体" w:hAnsi="宋体" w:cs="宋体"/>
          <w:color w:val="auto"/>
          <w:sz w:val="24"/>
          <w:highlight w:val="none"/>
        </w:rPr>
      </w:pPr>
      <w:r>
        <w:rPr>
          <w:rFonts w:hint="eastAsia" w:ascii="宋体" w:hAnsi="宋体" w:cs="宋体"/>
          <w:color w:val="auto"/>
          <w:sz w:val="24"/>
          <w:highlight w:val="none"/>
        </w:rPr>
        <w:t>4.工程质量标准</w:t>
      </w:r>
    </w:p>
    <w:p w14:paraId="36DBC6A9">
      <w:pPr>
        <w:spacing w:line="360" w:lineRule="auto"/>
        <w:ind w:firstLine="420"/>
        <w:jc w:val="left"/>
        <w:rPr>
          <w:rFonts w:ascii="宋体" w:hAnsi="宋体" w:cs="宋体"/>
          <w:color w:val="auto"/>
          <w:sz w:val="24"/>
          <w:highlight w:val="none"/>
        </w:rPr>
      </w:pPr>
      <w:r>
        <w:rPr>
          <w:rFonts w:hint="eastAsia" w:ascii="宋体" w:hAnsi="宋体" w:cs="宋体"/>
          <w:color w:val="auto"/>
          <w:sz w:val="24"/>
          <w:highlight w:val="none"/>
        </w:rPr>
        <w:t>现行工程质量验收规范以及合同规定的验收评定标准。</w:t>
      </w:r>
    </w:p>
    <w:p w14:paraId="5B351052">
      <w:pPr>
        <w:spacing w:line="360" w:lineRule="auto"/>
        <w:ind w:left="210" w:leftChars="100" w:firstLine="240" w:firstLineChars="100"/>
        <w:jc w:val="left"/>
        <w:rPr>
          <w:rFonts w:ascii="宋体" w:hAnsi="宋体" w:cs="宋体"/>
          <w:color w:val="auto"/>
          <w:sz w:val="24"/>
          <w:highlight w:val="none"/>
        </w:rPr>
      </w:pPr>
      <w:r>
        <w:rPr>
          <w:rFonts w:hint="eastAsia" w:ascii="宋体" w:hAnsi="宋体" w:cs="宋体"/>
          <w:color w:val="auto"/>
          <w:sz w:val="24"/>
          <w:highlight w:val="none"/>
        </w:rPr>
        <w:t>5.工程施工要求</w:t>
      </w:r>
    </w:p>
    <w:p w14:paraId="79950B2A">
      <w:pPr>
        <w:pStyle w:val="20"/>
        <w:numPr>
          <w:ilvl w:val="0"/>
          <w:numId w:val="1"/>
        </w:numPr>
        <w:spacing w:line="360" w:lineRule="auto"/>
        <w:ind w:left="420" w:leftChars="0"/>
        <w:jc w:val="both"/>
        <w:rPr>
          <w:rFonts w:ascii="宋体" w:hAnsi="宋体" w:cs="宋体"/>
          <w:color w:val="auto"/>
          <w:sz w:val="24"/>
          <w:highlight w:val="none"/>
        </w:rPr>
      </w:pPr>
      <w:r>
        <w:rPr>
          <w:rFonts w:hint="eastAsia" w:ascii="宋体" w:hAnsi="宋体" w:cs="宋体"/>
          <w:color w:val="auto"/>
          <w:sz w:val="24"/>
          <w:highlight w:val="none"/>
        </w:rPr>
        <w:t>工程技术规范要求：</w:t>
      </w:r>
    </w:p>
    <w:p w14:paraId="3C6599ED">
      <w:pPr>
        <w:pStyle w:val="20"/>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本工程项目的材料、设备、施工必须达到现行中华人民共和国及省、市、行业的一切有关法规、规范的要求。</w:t>
      </w:r>
    </w:p>
    <w:p w14:paraId="533AA543">
      <w:pPr>
        <w:pStyle w:val="20"/>
        <w:numPr>
          <w:ilvl w:val="0"/>
          <w:numId w:val="1"/>
        </w:numPr>
        <w:spacing w:line="360" w:lineRule="auto"/>
        <w:ind w:left="420" w:leftChars="0"/>
        <w:jc w:val="both"/>
        <w:rPr>
          <w:rFonts w:ascii="宋体" w:hAnsi="宋体" w:cs="宋体"/>
          <w:color w:val="auto"/>
          <w:sz w:val="24"/>
          <w:highlight w:val="none"/>
        </w:rPr>
      </w:pPr>
      <w:r>
        <w:rPr>
          <w:rFonts w:hint="eastAsia" w:ascii="宋体" w:hAnsi="宋体" w:cs="宋体"/>
          <w:color w:val="auto"/>
          <w:sz w:val="24"/>
          <w:highlight w:val="none"/>
        </w:rPr>
        <w:t>安全文明施工要求</w:t>
      </w:r>
    </w:p>
    <w:p w14:paraId="1CF0CBAB">
      <w:pPr>
        <w:pStyle w:val="20"/>
        <w:numPr>
          <w:ilvl w:val="0"/>
          <w:numId w:val="2"/>
        </w:numPr>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成交供应商应对进度施工现场的施工人员进行安全文明施工教育，配备必要的劳动保护用具，保证工程的施工安全和人身安全。</w:t>
      </w:r>
    </w:p>
    <w:p w14:paraId="13216B2B">
      <w:pPr>
        <w:pStyle w:val="20"/>
        <w:numPr>
          <w:ilvl w:val="0"/>
          <w:numId w:val="2"/>
        </w:numPr>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成交供应商应强化安全意识，抓好安全生产，杜绝事故发生，施工中若因供应商原因发生安全及人身事故由成交供应商自行负责处理，并承担全部费用。</w:t>
      </w:r>
    </w:p>
    <w:p w14:paraId="53EB0F60">
      <w:pPr>
        <w:pStyle w:val="20"/>
        <w:numPr>
          <w:ilvl w:val="0"/>
          <w:numId w:val="2"/>
        </w:numPr>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成交供应商须遵守地方政府和有关部门及采购人对施工场地交通、环卫、安全和施工噪音等的管理规定。</w:t>
      </w:r>
    </w:p>
    <w:p w14:paraId="0C6FD05B">
      <w:pPr>
        <w:pStyle w:val="20"/>
        <w:numPr>
          <w:ilvl w:val="0"/>
          <w:numId w:val="2"/>
        </w:numPr>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成交供应商应采取有效措施尽量减小尘土和噪音污染。</w:t>
      </w:r>
    </w:p>
    <w:p w14:paraId="2D8C181E">
      <w:pPr>
        <w:pStyle w:val="20"/>
        <w:numPr>
          <w:ilvl w:val="0"/>
          <w:numId w:val="1"/>
        </w:numPr>
        <w:spacing w:line="360" w:lineRule="auto"/>
        <w:ind w:left="420" w:leftChars="0"/>
        <w:jc w:val="both"/>
        <w:rPr>
          <w:rFonts w:ascii="宋体" w:hAnsi="宋体" w:cs="宋体"/>
          <w:color w:val="auto"/>
          <w:sz w:val="24"/>
          <w:highlight w:val="none"/>
        </w:rPr>
      </w:pPr>
      <w:r>
        <w:rPr>
          <w:rFonts w:hint="eastAsia" w:ascii="宋体" w:hAnsi="宋体" w:cs="宋体"/>
          <w:color w:val="auto"/>
          <w:sz w:val="24"/>
          <w:highlight w:val="none"/>
        </w:rPr>
        <w:t>其它施工过程中需注意事项</w:t>
      </w:r>
    </w:p>
    <w:p w14:paraId="5BBD62CD">
      <w:pPr>
        <w:pStyle w:val="20"/>
        <w:numPr>
          <w:ilvl w:val="0"/>
          <w:numId w:val="3"/>
        </w:numPr>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本</w:t>
      </w: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在施工期间，成交供应商应注意保护好采购人周边现有成品，如有损坏，须无条件修复。</w:t>
      </w:r>
    </w:p>
    <w:p w14:paraId="545575C2">
      <w:pPr>
        <w:pStyle w:val="20"/>
        <w:numPr>
          <w:ilvl w:val="0"/>
          <w:numId w:val="3"/>
        </w:numPr>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废弃材料不得丢弃或随意堆放在</w:t>
      </w:r>
      <w:r>
        <w:rPr>
          <w:rFonts w:hint="eastAsia" w:ascii="宋体" w:hAnsi="宋体" w:cs="宋体"/>
          <w:color w:val="auto"/>
          <w:sz w:val="24"/>
          <w:highlight w:val="none"/>
          <w:lang w:val="en-US" w:eastAsia="zh-CN"/>
        </w:rPr>
        <w:t>场地外</w:t>
      </w:r>
      <w:r>
        <w:rPr>
          <w:rFonts w:hint="eastAsia" w:ascii="宋体" w:hAnsi="宋体" w:cs="宋体"/>
          <w:color w:val="auto"/>
          <w:sz w:val="24"/>
          <w:highlight w:val="none"/>
        </w:rPr>
        <w:t>，清理产生的拆除费、搬运费、交通运输费等各项费用均由供应商自行考虑并计入响应总价且一次性包干</w:t>
      </w:r>
      <w:r>
        <w:rPr>
          <w:rFonts w:hint="eastAsia" w:ascii="宋体" w:hAnsi="宋体" w:cs="宋体"/>
          <w:color w:val="auto"/>
          <w:sz w:val="24"/>
          <w:highlight w:val="none"/>
          <w:lang w:eastAsia="zh-CN"/>
        </w:rPr>
        <w:t>。</w:t>
      </w:r>
    </w:p>
    <w:p w14:paraId="665E20EA">
      <w:pPr>
        <w:pStyle w:val="20"/>
        <w:numPr>
          <w:ilvl w:val="0"/>
          <w:numId w:val="3"/>
        </w:numPr>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完工后，成交供应商需对施工现场进行全面的清洁工作。</w:t>
      </w:r>
    </w:p>
    <w:p w14:paraId="53596E92">
      <w:pPr>
        <w:pStyle w:val="972"/>
        <w:spacing w:line="360" w:lineRule="auto"/>
        <w:ind w:left="210" w:firstLine="240" w:firstLineChars="100"/>
        <w:jc w:val="left"/>
        <w:rPr>
          <w:rFonts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管理要求</w:t>
      </w:r>
    </w:p>
    <w:p w14:paraId="4C68E1E9">
      <w:pPr>
        <w:pStyle w:val="20"/>
        <w:numPr>
          <w:ilvl w:val="0"/>
          <w:numId w:val="4"/>
        </w:numPr>
        <w:spacing w:line="360" w:lineRule="auto"/>
        <w:ind w:left="420" w:leftChars="0"/>
        <w:jc w:val="both"/>
        <w:rPr>
          <w:rFonts w:ascii="宋体" w:hAnsi="宋体" w:cs="宋体"/>
          <w:color w:val="auto"/>
          <w:sz w:val="24"/>
          <w:highlight w:val="none"/>
        </w:rPr>
      </w:pP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管理原则：</w:t>
      </w:r>
    </w:p>
    <w:p w14:paraId="07EF99D2">
      <w:pPr>
        <w:pStyle w:val="972"/>
        <w:tabs>
          <w:tab w:val="left" w:pos="420"/>
        </w:tabs>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①在</w:t>
      </w: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实施过程中，如发现成交供应商</w:t>
      </w:r>
      <w:r>
        <w:rPr>
          <w:rFonts w:hint="eastAsia" w:ascii="宋体" w:hAnsi="宋体" w:cs="宋体"/>
          <w:color w:val="auto"/>
          <w:sz w:val="24"/>
          <w:highlight w:val="none"/>
          <w:lang w:val="en-US" w:eastAsia="zh-CN"/>
        </w:rPr>
        <w:t>有转包行为的</w:t>
      </w:r>
      <w:r>
        <w:rPr>
          <w:rFonts w:hint="eastAsia" w:ascii="宋体" w:hAnsi="宋体" w:cs="宋体"/>
          <w:color w:val="auto"/>
          <w:sz w:val="24"/>
          <w:highlight w:val="none"/>
        </w:rPr>
        <w:t>，采购人可立即终止合同。成交供应商应承担由此引起的一切经济责任和法律责任。</w:t>
      </w:r>
    </w:p>
    <w:p w14:paraId="108F5DF0">
      <w:pPr>
        <w:pStyle w:val="972"/>
        <w:tabs>
          <w:tab w:val="left" w:pos="420"/>
        </w:tabs>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②成交供应商须严格按照</w:t>
      </w:r>
      <w:r>
        <w:rPr>
          <w:rFonts w:hint="eastAsia" w:ascii="宋体" w:hAnsi="宋体" w:cs="宋体"/>
          <w:color w:val="auto"/>
          <w:sz w:val="24"/>
          <w:highlight w:val="none"/>
          <w:lang w:val="en-US" w:eastAsia="zh-CN"/>
        </w:rPr>
        <w:t>施工图和</w:t>
      </w:r>
      <w:r>
        <w:rPr>
          <w:rFonts w:hint="eastAsia" w:ascii="宋体" w:hAnsi="宋体" w:cs="宋体"/>
          <w:color w:val="auto"/>
          <w:sz w:val="24"/>
          <w:highlight w:val="none"/>
        </w:rPr>
        <w:t>施工技术方</w:t>
      </w:r>
      <w:r>
        <w:rPr>
          <w:rFonts w:hint="eastAsia" w:ascii="宋体" w:hAnsi="宋体" w:cs="宋体"/>
          <w:color w:val="auto"/>
          <w:sz w:val="24"/>
          <w:highlight w:val="none"/>
          <w:lang w:val="en-US" w:eastAsia="zh-CN"/>
        </w:rPr>
        <w:t>案</w:t>
      </w:r>
      <w:r>
        <w:rPr>
          <w:rFonts w:hint="eastAsia" w:ascii="宋体" w:hAnsi="宋体" w:cs="宋体"/>
          <w:color w:val="auto"/>
          <w:sz w:val="24"/>
          <w:highlight w:val="none"/>
        </w:rPr>
        <w:t>组织实施，并无条件接受采购人的管理。</w:t>
      </w:r>
    </w:p>
    <w:p w14:paraId="1F7DAC3D">
      <w:pPr>
        <w:pStyle w:val="972"/>
        <w:tabs>
          <w:tab w:val="left" w:pos="420"/>
        </w:tabs>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③成交供应商在响应文件中确定的工程项目经理及项目管理班子人员，未经采购人同意，不得调换和撤离</w:t>
      </w:r>
      <w:r>
        <w:rPr>
          <w:rFonts w:hint="eastAsia" w:ascii="宋体" w:hAnsi="宋体" w:cs="宋体"/>
          <w:color w:val="auto"/>
          <w:sz w:val="24"/>
          <w:highlight w:val="none"/>
          <w:lang w:eastAsia="zh-CN"/>
        </w:rPr>
        <w:t>。</w:t>
      </w:r>
      <w:r>
        <w:rPr>
          <w:rFonts w:hint="eastAsia" w:ascii="宋体" w:hAnsi="宋体" w:cs="宋体"/>
          <w:color w:val="auto"/>
          <w:sz w:val="24"/>
          <w:highlight w:val="none"/>
        </w:rPr>
        <w:t>本</w:t>
      </w: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确定的成交人的项目管理班子成员，不得兼任其他</w:t>
      </w: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职务。采购人有权要求成交供应商撤换工作不负责任、管理不力、贻误工期、违法乱纪及造成严重安全事故和工程质量事故的项目班子的任何人员，直至项目经理本人。如项目班子成员被采购人撤换，按项目班子成员不到位处罚额度进行处罚，成交供应商不得姑息迁就，拖延撤换和有碍</w:t>
      </w: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进展，否则，采购人有权单方面终止合同，并对由此造成的采购人损失，予以追究赔偿。</w:t>
      </w:r>
    </w:p>
    <w:p w14:paraId="15767FD7">
      <w:pPr>
        <w:pStyle w:val="20"/>
        <w:numPr>
          <w:ilvl w:val="0"/>
          <w:numId w:val="4"/>
        </w:numPr>
        <w:spacing w:line="360" w:lineRule="auto"/>
        <w:ind w:left="420" w:leftChars="0"/>
        <w:jc w:val="both"/>
        <w:rPr>
          <w:rFonts w:ascii="宋体" w:hAnsi="宋体" w:cs="宋体"/>
          <w:color w:val="auto"/>
          <w:sz w:val="24"/>
          <w:highlight w:val="none"/>
        </w:rPr>
      </w:pPr>
      <w:r>
        <w:rPr>
          <w:rFonts w:hint="eastAsia" w:ascii="宋体" w:hAnsi="宋体" w:cs="宋体"/>
          <w:color w:val="auto"/>
          <w:sz w:val="24"/>
          <w:highlight w:val="none"/>
        </w:rPr>
        <w:t>项目管理班子人员要求:</w:t>
      </w:r>
    </w:p>
    <w:p w14:paraId="7B0BECC0">
      <w:pPr>
        <w:pStyle w:val="972"/>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①项目经理：本项目拟派项目经理应具有类似施工经验</w:t>
      </w:r>
      <w:r>
        <w:rPr>
          <w:rFonts w:hint="eastAsia" w:ascii="宋体" w:hAnsi="宋体" w:cs="宋体"/>
          <w:color w:val="auto"/>
          <w:sz w:val="24"/>
          <w:highlight w:val="none"/>
          <w:lang w:val="en-US" w:eastAsia="zh-CN"/>
        </w:rPr>
        <w:t>及</w:t>
      </w:r>
      <w:r>
        <w:rPr>
          <w:rFonts w:hint="eastAsia" w:ascii="宋体" w:hAnsi="宋体" w:cs="宋体"/>
          <w:color w:val="auto"/>
          <w:sz w:val="24"/>
          <w:highlight w:val="none"/>
        </w:rPr>
        <w:t>建筑工程类职称；</w:t>
      </w:r>
    </w:p>
    <w:p w14:paraId="2C49B337">
      <w:pPr>
        <w:pStyle w:val="972"/>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②</w:t>
      </w:r>
      <w:r>
        <w:rPr>
          <w:rFonts w:hint="eastAsia" w:ascii="宋体" w:hAnsi="宋体" w:cs="宋体"/>
          <w:color w:val="auto"/>
          <w:sz w:val="24"/>
          <w:highlight w:val="none"/>
          <w:lang w:val="en-US" w:eastAsia="zh-CN"/>
        </w:rPr>
        <w:t>技术负责人：本项目拟派技术负责人</w:t>
      </w:r>
      <w:r>
        <w:rPr>
          <w:rFonts w:hint="eastAsia" w:ascii="宋体" w:hAnsi="宋体" w:cs="宋体"/>
          <w:color w:val="auto"/>
          <w:sz w:val="24"/>
          <w:highlight w:val="none"/>
        </w:rPr>
        <w:t>应具有类似工程施工经验</w:t>
      </w:r>
      <w:r>
        <w:rPr>
          <w:rFonts w:hint="eastAsia" w:ascii="宋体" w:hAnsi="宋体" w:cs="宋体"/>
          <w:color w:val="auto"/>
          <w:sz w:val="24"/>
          <w:highlight w:val="none"/>
          <w:lang w:val="en-US" w:eastAsia="zh-CN"/>
        </w:rPr>
        <w:t>及</w:t>
      </w:r>
      <w:r>
        <w:rPr>
          <w:rFonts w:hint="eastAsia" w:ascii="宋体" w:hAnsi="宋体" w:cs="宋体"/>
          <w:color w:val="auto"/>
          <w:sz w:val="24"/>
          <w:highlight w:val="none"/>
        </w:rPr>
        <w:t>建筑工程类职称；</w:t>
      </w:r>
    </w:p>
    <w:p w14:paraId="7D353273">
      <w:pPr>
        <w:pStyle w:val="972"/>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③拟派项目管理班子中</w:t>
      </w:r>
      <w:r>
        <w:rPr>
          <w:rFonts w:hint="eastAsia" w:ascii="宋体" w:hAnsi="宋体" w:cs="宋体"/>
          <w:color w:val="auto"/>
          <w:sz w:val="24"/>
          <w:highlight w:val="none"/>
          <w:lang w:val="en-US" w:eastAsia="zh-CN"/>
        </w:rPr>
        <w:t>需配备1名专职</w:t>
      </w:r>
      <w:r>
        <w:rPr>
          <w:rFonts w:hint="eastAsia" w:ascii="宋体" w:hAnsi="宋体" w:cs="宋体"/>
          <w:color w:val="auto"/>
          <w:sz w:val="24"/>
          <w:highlight w:val="none"/>
        </w:rPr>
        <w:t>安全员。</w:t>
      </w:r>
    </w:p>
    <w:p w14:paraId="381AE34B">
      <w:pPr>
        <w:pStyle w:val="20"/>
        <w:numPr>
          <w:ilvl w:val="0"/>
          <w:numId w:val="4"/>
        </w:numPr>
        <w:spacing w:line="360" w:lineRule="auto"/>
        <w:ind w:left="420" w:leftChars="0"/>
        <w:jc w:val="both"/>
        <w:rPr>
          <w:rFonts w:ascii="宋体" w:hAnsi="宋体" w:cs="宋体"/>
          <w:color w:val="auto"/>
          <w:sz w:val="24"/>
          <w:highlight w:val="none"/>
        </w:rPr>
      </w:pP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管理其他要求</w:t>
      </w:r>
    </w:p>
    <w:p w14:paraId="553248DD">
      <w:pPr>
        <w:pStyle w:val="972"/>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①本项目施工现场采购人不提供食宿，施工期间，所有施工人员的食宿均由成交供应商自行安排，材料的堆放及停车必须服从采购人的</w:t>
      </w:r>
      <w:r>
        <w:rPr>
          <w:rFonts w:hint="eastAsia" w:ascii="宋体" w:hAnsi="宋体" w:cs="宋体"/>
          <w:color w:val="auto"/>
          <w:sz w:val="24"/>
          <w:highlight w:val="none"/>
          <w:lang w:eastAsia="zh-CN"/>
        </w:rPr>
        <w:t>管理</w:t>
      </w:r>
      <w:r>
        <w:rPr>
          <w:rFonts w:hint="eastAsia" w:ascii="宋体" w:hAnsi="宋体" w:cs="宋体"/>
          <w:color w:val="auto"/>
          <w:sz w:val="24"/>
          <w:highlight w:val="none"/>
        </w:rPr>
        <w:t>。</w:t>
      </w:r>
    </w:p>
    <w:p w14:paraId="27D7219E">
      <w:pPr>
        <w:pStyle w:val="972"/>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②施工现场严禁吸烟。</w:t>
      </w:r>
    </w:p>
    <w:p w14:paraId="74DAA137">
      <w:pPr>
        <w:spacing w:line="360" w:lineRule="auto"/>
        <w:ind w:left="210" w:leftChars="100"/>
        <w:jc w:val="left"/>
        <w:rPr>
          <w:rFonts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 xml:space="preserve">主要材料（设备）要求  </w:t>
      </w:r>
    </w:p>
    <w:p w14:paraId="12C6E595">
      <w:pPr>
        <w:pStyle w:val="972"/>
        <w:numPr>
          <w:ilvl w:val="0"/>
          <w:numId w:val="5"/>
        </w:numPr>
        <w:snapToGrid w:val="0"/>
        <w:spacing w:line="360" w:lineRule="auto"/>
        <w:ind w:left="0" w:firstLine="420" w:firstLineChars="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所有材料要求一次性进场，由招标人或监理公司现场验收并录像留档，未一次性进场的视为违约，处20%违约金。</w:t>
      </w:r>
    </w:p>
    <w:p w14:paraId="542559A4">
      <w:pPr>
        <w:pStyle w:val="972"/>
        <w:numPr>
          <w:ilvl w:val="0"/>
          <w:numId w:val="5"/>
        </w:numPr>
        <w:snapToGrid w:val="0"/>
        <w:spacing w:line="360" w:lineRule="auto"/>
        <w:ind w:left="0" w:firstLine="420" w:firstLineChars="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本工程在所有材料一次性进场时，由采购人随机抽样进行检测，检测单位由采购人选择，涉及的原材料和成品检测费用已经包含在综合单价中，由承包人承担。若检测不合格，由此产生的一切损失由承包人负责，工期造成延误的处30%违约金。</w:t>
      </w:r>
    </w:p>
    <w:p w14:paraId="794E6096">
      <w:pPr>
        <w:pStyle w:val="972"/>
        <w:numPr>
          <w:ilvl w:val="0"/>
          <w:numId w:val="5"/>
        </w:numPr>
        <w:snapToGrid w:val="0"/>
        <w:spacing w:line="360" w:lineRule="auto"/>
        <w:ind w:left="0" w:firstLine="420" w:firstLineChars="0"/>
        <w:jc w:val="left"/>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运动场地在施工前、施工中和施工后，由采购人随机抽样进行委托第三方检测部门进行全程跟踪检测，检测单位由采购人选择，涉及的检测费用已经包含在综合单价中，由承包人承担。</w:t>
      </w:r>
    </w:p>
    <w:p w14:paraId="36D1230D">
      <w:pPr>
        <w:pStyle w:val="972"/>
        <w:numPr>
          <w:ilvl w:val="0"/>
          <w:numId w:val="5"/>
        </w:numPr>
        <w:snapToGrid w:val="0"/>
        <w:spacing w:line="360" w:lineRule="auto"/>
        <w:ind w:left="0" w:firstLine="420" w:firstLineChars="0"/>
        <w:jc w:val="left"/>
        <w:rPr>
          <w:rFonts w:ascii="宋体" w:hAnsi="宋体" w:cs="宋体"/>
          <w:b/>
          <w:color w:val="auto"/>
          <w:sz w:val="24"/>
          <w:highlight w:val="none"/>
        </w:rPr>
      </w:pPr>
      <w:r>
        <w:rPr>
          <w:rFonts w:hint="eastAsia" w:ascii="宋体" w:hAnsi="宋体" w:cs="宋体"/>
          <w:color w:val="auto"/>
          <w:sz w:val="24"/>
          <w:highlight w:val="none"/>
        </w:rPr>
        <w:t>本项目涉及的所有材料设备，必须经监理公司确认后</w:t>
      </w:r>
      <w:r>
        <w:rPr>
          <w:rFonts w:hint="eastAsia" w:ascii="宋体" w:hAnsi="宋体" w:cs="宋体"/>
          <w:color w:val="auto"/>
          <w:sz w:val="24"/>
          <w:highlight w:val="none"/>
          <w:lang w:val="en-US" w:eastAsia="zh-CN"/>
        </w:rPr>
        <w:t>方可进场施工</w:t>
      </w:r>
      <w:r>
        <w:rPr>
          <w:rFonts w:hint="eastAsia" w:ascii="宋体" w:hAnsi="宋体" w:cs="宋体"/>
          <w:color w:val="auto"/>
          <w:sz w:val="24"/>
          <w:highlight w:val="none"/>
        </w:rPr>
        <w:t>。</w:t>
      </w:r>
    </w:p>
    <w:p w14:paraId="3EC04308">
      <w:pPr>
        <w:pStyle w:val="972"/>
        <w:numPr>
          <w:ilvl w:val="0"/>
          <w:numId w:val="5"/>
        </w:numPr>
        <w:snapToGrid w:val="0"/>
        <w:spacing w:line="360" w:lineRule="auto"/>
        <w:ind w:left="0" w:firstLine="420" w:firstLineChars="0"/>
        <w:jc w:val="left"/>
        <w:rPr>
          <w:rFonts w:ascii="宋体" w:hAnsi="宋体" w:cs="宋体"/>
          <w:color w:val="auto"/>
          <w:sz w:val="24"/>
          <w:highlight w:val="none"/>
        </w:rPr>
      </w:pPr>
      <w:r>
        <w:rPr>
          <w:rFonts w:hint="eastAsia" w:ascii="宋体" w:hAnsi="宋体" w:cs="宋体"/>
          <w:color w:val="auto"/>
          <w:sz w:val="24"/>
          <w:highlight w:val="none"/>
        </w:rPr>
        <w:t>材料的质量要求：材料检验按法律、法规、文件规定的见证取样和送检规定的程序进行。凡检验结果证明</w:t>
      </w:r>
      <w:r>
        <w:rPr>
          <w:rFonts w:hint="eastAsia" w:ascii="宋体" w:hAnsi="宋体" w:cs="宋体"/>
          <w:color w:val="auto"/>
          <w:sz w:val="24"/>
          <w:highlight w:val="none"/>
          <w:lang w:val="en-US" w:eastAsia="zh-CN"/>
        </w:rPr>
        <w:t>不合格</w:t>
      </w:r>
      <w:r>
        <w:rPr>
          <w:rFonts w:hint="eastAsia" w:ascii="宋体" w:hAnsi="宋体" w:cs="宋体"/>
          <w:color w:val="auto"/>
          <w:sz w:val="24"/>
          <w:highlight w:val="none"/>
        </w:rPr>
        <w:t>的产品不得在工程上使用。</w:t>
      </w:r>
    </w:p>
    <w:p w14:paraId="620956A0">
      <w:pPr>
        <w:pStyle w:val="972"/>
        <w:numPr>
          <w:ilvl w:val="0"/>
          <w:numId w:val="5"/>
        </w:numPr>
        <w:snapToGrid w:val="0"/>
        <w:spacing w:line="360" w:lineRule="auto"/>
        <w:ind w:left="0" w:firstLine="420" w:firstLineChars="0"/>
        <w:jc w:val="left"/>
        <w:rPr>
          <w:rFonts w:hint="eastAsia" w:ascii="宋体" w:hAnsi="宋体" w:cs="宋体"/>
          <w:color w:val="auto"/>
          <w:sz w:val="24"/>
          <w:highlight w:val="none"/>
        </w:rPr>
      </w:pPr>
      <w:r>
        <w:rPr>
          <w:rFonts w:hint="eastAsia" w:ascii="宋体" w:hAnsi="宋体" w:cs="宋体"/>
          <w:color w:val="auto"/>
          <w:sz w:val="24"/>
          <w:highlight w:val="none"/>
          <w:lang w:eastAsia="zh-CN"/>
        </w:rPr>
        <w:t>工程施工规范（如有最新标准按最新标准执行）：</w:t>
      </w:r>
    </w:p>
    <w:p w14:paraId="3DAF289B">
      <w:pPr>
        <w:pStyle w:val="972"/>
        <w:numPr>
          <w:ilvl w:val="0"/>
          <w:numId w:val="0"/>
        </w:numPr>
        <w:snapToGrid w:val="0"/>
        <w:spacing w:line="360" w:lineRule="auto"/>
        <w:ind w:left="420" w:leftChars="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.《体育场馆公共安全通用要求》GB 22185-2008;</w:t>
      </w:r>
    </w:p>
    <w:p w14:paraId="259B3F32">
      <w:pPr>
        <w:pStyle w:val="972"/>
        <w:numPr>
          <w:ilvl w:val="0"/>
          <w:numId w:val="0"/>
        </w:numPr>
        <w:snapToGrid w:val="0"/>
        <w:spacing w:line="360" w:lineRule="auto"/>
        <w:ind w:left="420" w:leftChars="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.《体育场馆照明设计及检测标准》JGJ153-2016;</w:t>
      </w:r>
    </w:p>
    <w:p w14:paraId="778B0826">
      <w:pPr>
        <w:pStyle w:val="972"/>
        <w:numPr>
          <w:ilvl w:val="0"/>
          <w:numId w:val="0"/>
        </w:numPr>
        <w:snapToGrid w:val="0"/>
        <w:spacing w:line="360" w:lineRule="auto"/>
        <w:ind w:left="420" w:leftChars="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.《建筑设计防火规范》GB 50016-2014(2018年颁布);</w:t>
      </w:r>
    </w:p>
    <w:p w14:paraId="0B87EA5B">
      <w:pPr>
        <w:pStyle w:val="972"/>
        <w:numPr>
          <w:ilvl w:val="0"/>
          <w:numId w:val="0"/>
        </w:numPr>
        <w:snapToGrid w:val="0"/>
        <w:spacing w:line="360" w:lineRule="auto"/>
        <w:ind w:left="420" w:leftChars="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.《合成材料运动场地标准》CB/T14833-2020;</w:t>
      </w:r>
    </w:p>
    <w:p w14:paraId="69F40EF8">
      <w:pPr>
        <w:pStyle w:val="972"/>
        <w:numPr>
          <w:ilvl w:val="0"/>
          <w:numId w:val="0"/>
        </w:numPr>
        <w:snapToGrid w:val="0"/>
        <w:spacing w:line="360" w:lineRule="auto"/>
        <w:ind w:left="420" w:leftChars="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.《体育场地使用要求及验收方法第六部分》GB/T22517.6-2020;</w:t>
      </w:r>
    </w:p>
    <w:p w14:paraId="2A644B64">
      <w:pPr>
        <w:pStyle w:val="972"/>
        <w:numPr>
          <w:ilvl w:val="0"/>
          <w:numId w:val="0"/>
        </w:numPr>
        <w:snapToGrid w:val="0"/>
        <w:spacing w:line="360" w:lineRule="auto"/>
        <w:ind w:left="420" w:leftChars="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《中小学合成材料面层运动场地》GB/36246-2018</w:t>
      </w:r>
      <w:r>
        <w:rPr>
          <w:rFonts w:hint="eastAsia" w:ascii="宋体" w:hAnsi="宋体" w:cs="宋体"/>
          <w:color w:val="auto"/>
          <w:sz w:val="24"/>
          <w:highlight w:val="none"/>
          <w:lang w:eastAsia="zh-CN"/>
        </w:rPr>
        <w:t>；</w:t>
      </w:r>
    </w:p>
    <w:p w14:paraId="2BBF2DFC">
      <w:pPr>
        <w:pStyle w:val="972"/>
        <w:numPr>
          <w:ilvl w:val="0"/>
          <w:numId w:val="0"/>
        </w:numPr>
        <w:snapToGrid w:val="0"/>
        <w:spacing w:line="360" w:lineRule="auto"/>
        <w:ind w:left="420" w:leftChars="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《体育用人造草》GB/T20394-201</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w:t>
      </w:r>
    </w:p>
    <w:p w14:paraId="621C9124">
      <w:pPr>
        <w:pStyle w:val="972"/>
        <w:numPr>
          <w:ilvl w:val="0"/>
          <w:numId w:val="0"/>
        </w:numPr>
        <w:snapToGrid w:val="0"/>
        <w:spacing w:line="360" w:lineRule="auto"/>
        <w:ind w:left="420" w:leftChars="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《浙江省教育厅、浙江省环境保护厅、浙江省住房和城乡建设厅、浙江省质量技术监督局关于进一步加强学校合成材料运动场地建设和管理工作的通知》（浙教计【2016】98号）</w:t>
      </w:r>
      <w:r>
        <w:rPr>
          <w:rFonts w:hint="eastAsia" w:ascii="宋体" w:hAnsi="宋体" w:cs="宋体"/>
          <w:color w:val="auto"/>
          <w:sz w:val="24"/>
          <w:highlight w:val="none"/>
          <w:lang w:eastAsia="zh-CN"/>
        </w:rPr>
        <w:t>；</w:t>
      </w:r>
    </w:p>
    <w:p w14:paraId="699B06EC">
      <w:pPr>
        <w:pStyle w:val="972"/>
        <w:numPr>
          <w:ilvl w:val="0"/>
          <w:numId w:val="0"/>
        </w:numPr>
        <w:snapToGrid w:val="0"/>
        <w:spacing w:line="360" w:lineRule="auto"/>
        <w:ind w:left="420" w:leftChars="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《教育部办公厅关于加强中小学合成材料面层运动场地建设管理的通知》教体艺厅函【2018】72号文</w:t>
      </w:r>
      <w:r>
        <w:rPr>
          <w:rFonts w:hint="eastAsia" w:ascii="宋体" w:hAnsi="宋体" w:cs="宋体"/>
          <w:color w:val="auto"/>
          <w:sz w:val="24"/>
          <w:highlight w:val="none"/>
          <w:lang w:eastAsia="zh-CN"/>
        </w:rPr>
        <w:t>；</w:t>
      </w:r>
    </w:p>
    <w:p w14:paraId="065B4F28">
      <w:pPr>
        <w:pStyle w:val="972"/>
        <w:numPr>
          <w:ilvl w:val="0"/>
          <w:numId w:val="0"/>
        </w:numPr>
        <w:snapToGrid w:val="0"/>
        <w:spacing w:line="360" w:lineRule="auto"/>
        <w:ind w:left="420" w:leftChars="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10.</w:t>
      </w:r>
      <w:r>
        <w:rPr>
          <w:rFonts w:hint="eastAsia" w:ascii="宋体" w:hAnsi="宋体" w:cs="宋体"/>
          <w:color w:val="auto"/>
          <w:sz w:val="24"/>
          <w:highlight w:val="none"/>
        </w:rPr>
        <w:t>国家及浙江省颁布的相关法律、法规、政策</w:t>
      </w:r>
      <w:r>
        <w:rPr>
          <w:rFonts w:hint="eastAsia" w:ascii="宋体" w:hAnsi="宋体" w:cs="宋体"/>
          <w:color w:val="auto"/>
          <w:sz w:val="24"/>
          <w:highlight w:val="none"/>
          <w:lang w:eastAsia="zh-CN"/>
        </w:rPr>
        <w:t>。</w:t>
      </w:r>
    </w:p>
    <w:p w14:paraId="1E5267B7">
      <w:pPr>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三、商务要求</w:t>
      </w:r>
    </w:p>
    <w:p w14:paraId="49668009">
      <w:pPr>
        <w:spacing w:line="360" w:lineRule="auto"/>
        <w:ind w:left="210" w:leftChars="100" w:firstLine="241" w:firstLineChars="100"/>
        <w:jc w:val="left"/>
        <w:rPr>
          <w:rFonts w:hint="eastAsia" w:ascii="宋体" w:hAnsi="宋体" w:cs="宋体"/>
          <w:b/>
          <w:bCs/>
          <w:color w:val="0000FF"/>
          <w:sz w:val="24"/>
          <w:highlight w:val="none"/>
          <w:lang w:eastAsia="zh-CN"/>
        </w:rPr>
      </w:pPr>
      <w:r>
        <w:rPr>
          <w:rFonts w:hint="eastAsia" w:ascii="宋体" w:hAnsi="宋体" w:cs="宋体"/>
          <w:b/>
          <w:bCs/>
          <w:color w:val="0000FF"/>
          <w:sz w:val="24"/>
          <w:highlight w:val="none"/>
        </w:rPr>
        <w:t>1.工期要求：</w:t>
      </w:r>
      <w:r>
        <w:rPr>
          <w:rFonts w:hint="eastAsia" w:ascii="宋体" w:hAnsi="宋体" w:cs="宋体"/>
          <w:b/>
          <w:bCs/>
          <w:color w:val="0000FF"/>
          <w:sz w:val="24"/>
          <w:highlight w:val="none"/>
          <w:lang w:val="en-US" w:eastAsia="zh-CN"/>
        </w:rPr>
        <w:t>30</w:t>
      </w:r>
      <w:r>
        <w:rPr>
          <w:rFonts w:hint="eastAsia" w:ascii="宋体" w:hAnsi="宋体" w:cs="宋体"/>
          <w:b/>
          <w:bCs/>
          <w:color w:val="0000FF"/>
          <w:sz w:val="24"/>
          <w:highlight w:val="none"/>
          <w:lang w:eastAsia="zh-CN"/>
        </w:rPr>
        <w:t>日历天</w:t>
      </w:r>
    </w:p>
    <w:p w14:paraId="5111070A">
      <w:pPr>
        <w:spacing w:line="360" w:lineRule="auto"/>
        <w:ind w:left="210" w:leftChars="100" w:firstLine="240" w:firstLineChars="100"/>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地点：</w:t>
      </w:r>
      <w:r>
        <w:rPr>
          <w:rFonts w:hint="eastAsia" w:ascii="宋体" w:hAnsi="宋体" w:cs="宋体"/>
          <w:color w:val="auto"/>
          <w:sz w:val="24"/>
          <w:highlight w:val="none"/>
          <w:lang w:val="en-US" w:eastAsia="zh-CN"/>
        </w:rPr>
        <w:t>杭州市钱塘区金沙湖实验学校</w:t>
      </w:r>
    </w:p>
    <w:p w14:paraId="0583B565">
      <w:pPr>
        <w:spacing w:line="360" w:lineRule="auto"/>
        <w:ind w:left="210" w:leftChars="100" w:firstLine="240" w:firstLineChars="100"/>
        <w:jc w:val="left"/>
        <w:rPr>
          <w:rFonts w:ascii="宋体" w:hAnsi="宋体" w:cs="宋体"/>
          <w:color w:val="auto"/>
          <w:sz w:val="24"/>
          <w:highlight w:val="none"/>
        </w:rPr>
      </w:pPr>
      <w:r>
        <w:rPr>
          <w:rFonts w:hint="eastAsia" w:ascii="宋体" w:hAnsi="宋体" w:cs="宋体"/>
          <w:color w:val="auto"/>
          <w:sz w:val="24"/>
          <w:highlight w:val="none"/>
        </w:rPr>
        <w:t>3.付款条件：</w:t>
      </w:r>
    </w:p>
    <w:p w14:paraId="28D14400">
      <w:pPr>
        <w:snapToGrid w:val="0"/>
        <w:spacing w:line="360" w:lineRule="auto"/>
        <w:ind w:right="143" w:rightChars="68" w:firstLine="561" w:firstLineChars="234"/>
        <w:jc w:val="left"/>
        <w:rPr>
          <w:rFonts w:hint="eastAsia" w:ascii="宋体" w:hAnsi="宋体" w:cs="宋体"/>
          <w:color w:val="auto"/>
          <w:sz w:val="24"/>
          <w:highlight w:val="none"/>
        </w:rPr>
      </w:pPr>
      <w:r>
        <w:rPr>
          <w:rFonts w:hint="eastAsia" w:ascii="宋体" w:hAnsi="宋体" w:cs="宋体"/>
          <w:color w:val="auto"/>
          <w:sz w:val="24"/>
          <w:highlight w:val="none"/>
        </w:rPr>
        <w:t>合同签订且具备合同履约条件后</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个工作日内，支付合同金额(不含暂列金)的50%作为工程预付款，竣工验收合格后支付至合同总价的70%；结算</w:t>
      </w:r>
      <w:r>
        <w:rPr>
          <w:rFonts w:hint="eastAsia" w:ascii="宋体" w:hAnsi="宋体" w:cs="宋体"/>
          <w:color w:val="auto"/>
          <w:sz w:val="24"/>
          <w:highlight w:val="none"/>
          <w:lang w:val="en-US" w:eastAsia="zh-CN"/>
        </w:rPr>
        <w:t>审核</w:t>
      </w:r>
      <w:r>
        <w:rPr>
          <w:rFonts w:hint="eastAsia" w:ascii="宋体" w:hAnsi="宋体" w:cs="宋体"/>
          <w:color w:val="auto"/>
          <w:sz w:val="24"/>
          <w:highlight w:val="none"/>
        </w:rPr>
        <w:t>结束后支付至结算审定价的100%。中标人须以银行保函形式提交结算审定价1.5%作为工程质保金（质保期满后经评价合格退还）。</w:t>
      </w:r>
    </w:p>
    <w:p w14:paraId="1400F0C6">
      <w:pPr>
        <w:snapToGrid w:val="0"/>
        <w:spacing w:line="360" w:lineRule="auto"/>
        <w:ind w:right="143" w:rightChars="68" w:firstLine="561" w:firstLineChars="234"/>
        <w:jc w:val="left"/>
        <w:rPr>
          <w:rFonts w:ascii="宋体" w:hAnsi="宋体" w:cs="宋体"/>
          <w:color w:val="auto"/>
          <w:sz w:val="24"/>
          <w:highlight w:val="none"/>
        </w:rPr>
      </w:pPr>
      <w:r>
        <w:rPr>
          <w:rFonts w:hint="eastAsia" w:ascii="宋体" w:hAnsi="宋体" w:cs="宋体"/>
          <w:color w:val="auto"/>
          <w:sz w:val="24"/>
          <w:highlight w:val="none"/>
        </w:rPr>
        <w:t>4.本项目履约保证金按合同价的1%计算（保留</w:t>
      </w:r>
      <w:r>
        <w:rPr>
          <w:rFonts w:hint="eastAsia" w:ascii="宋体" w:hAnsi="宋体" w:cs="宋体"/>
          <w:color w:val="auto"/>
          <w:sz w:val="24"/>
          <w:highlight w:val="none"/>
          <w:lang w:val="en-US" w:eastAsia="zh-CN"/>
        </w:rPr>
        <w:t>至元</w:t>
      </w:r>
      <w:r>
        <w:rPr>
          <w:rFonts w:hint="eastAsia" w:ascii="宋体" w:hAnsi="宋体" w:cs="宋体"/>
          <w:color w:val="auto"/>
          <w:sz w:val="24"/>
          <w:highlight w:val="none"/>
        </w:rPr>
        <w:t>），合同签订后5个工作日内缴纳，履约保证金以转账、金融机构、担保机构出具的保函等非现金形式缴纳。项目验收合格后无异议，30天内</w:t>
      </w:r>
      <w:r>
        <w:rPr>
          <w:rFonts w:hint="eastAsia" w:ascii="宋体" w:hAnsi="宋体" w:cs="宋体"/>
          <w:color w:val="auto"/>
          <w:sz w:val="24"/>
          <w:highlight w:val="none"/>
          <w:lang w:eastAsia="zh-CN"/>
        </w:rPr>
        <w:t>及时</w:t>
      </w:r>
      <w:r>
        <w:rPr>
          <w:rFonts w:hint="eastAsia" w:ascii="宋体" w:hAnsi="宋体" w:cs="宋体"/>
          <w:color w:val="auto"/>
          <w:sz w:val="24"/>
          <w:highlight w:val="none"/>
        </w:rPr>
        <w:t>退回。</w:t>
      </w:r>
    </w:p>
    <w:p w14:paraId="244D648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.工程售后服务要求</w:t>
      </w:r>
    </w:p>
    <w:p w14:paraId="3E3467A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（1）保修期</w:t>
      </w:r>
      <w:r>
        <w:rPr>
          <w:rFonts w:hint="eastAsia" w:ascii="宋体" w:hAnsi="宋体" w:cs="宋体"/>
          <w:color w:val="auto"/>
          <w:sz w:val="24"/>
          <w:highlight w:val="none"/>
          <w:lang w:val="en-US" w:eastAsia="zh-CN"/>
        </w:rPr>
        <w:t>为</w:t>
      </w:r>
      <w:r>
        <w:rPr>
          <w:rFonts w:hint="eastAsia" w:ascii="宋体" w:hAnsi="宋体" w:cs="宋体"/>
          <w:color w:val="auto"/>
          <w:sz w:val="24"/>
          <w:highlight w:val="none"/>
        </w:rPr>
        <w:t>本项目验收合格后不少于</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年</w:t>
      </w:r>
      <w:r>
        <w:rPr>
          <w:rFonts w:hint="eastAsia" w:ascii="宋体" w:hAnsi="宋体" w:cs="宋体"/>
          <w:color w:val="auto"/>
          <w:sz w:val="24"/>
          <w:highlight w:val="none"/>
          <w:lang w:eastAsia="zh-CN"/>
        </w:rPr>
        <w:t>，</w:t>
      </w:r>
      <w:r>
        <w:rPr>
          <w:rFonts w:hint="eastAsia" w:ascii="宋体" w:hAnsi="宋体" w:cs="宋体"/>
          <w:color w:val="auto"/>
          <w:sz w:val="24"/>
          <w:highlight w:val="none"/>
        </w:rPr>
        <w:t>在质量保修期内，按照有关法律、法规、规章的管理规定和双方约定，承担本工程质量保修责任。</w:t>
      </w:r>
    </w:p>
    <w:p w14:paraId="5D9B0F0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（2）在保修期内，成交供应商对有缺陷的部位必须无偿地给予修理与更换，并承担一切由此引起的对采购人或第三者的直接损失，除非该缺陷是不可抗</w:t>
      </w:r>
      <w:r>
        <w:rPr>
          <w:rFonts w:hint="eastAsia" w:ascii="宋体" w:hAnsi="宋体" w:cs="宋体"/>
          <w:color w:val="auto"/>
          <w:sz w:val="24"/>
          <w:highlight w:val="none"/>
          <w:lang w:val="en-US" w:eastAsia="zh-CN"/>
        </w:rPr>
        <w:t>力因素</w:t>
      </w:r>
      <w:r>
        <w:rPr>
          <w:rFonts w:hint="eastAsia" w:ascii="宋体" w:hAnsi="宋体" w:cs="宋体"/>
          <w:color w:val="auto"/>
          <w:sz w:val="24"/>
          <w:highlight w:val="none"/>
        </w:rPr>
        <w:t>造成的损坏。</w:t>
      </w:r>
    </w:p>
    <w:p w14:paraId="0E1F817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（3）成交供应商必须对所承包的工程的质量负全部责任，其责任不因其他材料生产商提供的保证书而减轻或更改。</w:t>
      </w:r>
    </w:p>
    <w:p w14:paraId="43D6466F">
      <w:pPr>
        <w:spacing w:line="360" w:lineRule="auto"/>
        <w:ind w:left="210" w:leftChars="100" w:firstLine="240" w:firstLineChars="100"/>
        <w:jc w:val="left"/>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6.本项目不允许中标后转包。</w:t>
      </w:r>
    </w:p>
    <w:p w14:paraId="4F0FAA0C">
      <w:pPr>
        <w:spacing w:line="360" w:lineRule="auto"/>
        <w:ind w:left="210" w:leftChars="100" w:firstLine="240" w:firstLineChars="100"/>
        <w:jc w:val="left"/>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.其他商务要求（包装和运输、保险等）</w:t>
      </w:r>
    </w:p>
    <w:p w14:paraId="683B18B6">
      <w:pPr>
        <w:spacing w:line="360" w:lineRule="auto"/>
        <w:ind w:firstLine="420"/>
        <w:jc w:val="left"/>
        <w:rPr>
          <w:rFonts w:ascii="宋体" w:hAnsi="宋体" w:cs="宋体"/>
          <w:color w:val="auto"/>
          <w:sz w:val="24"/>
          <w:highlight w:val="none"/>
        </w:rPr>
      </w:pPr>
      <w:r>
        <w:rPr>
          <w:rFonts w:hint="eastAsia" w:ascii="宋体" w:hAnsi="宋体" w:cs="宋体"/>
          <w:color w:val="auto"/>
          <w:sz w:val="24"/>
          <w:highlight w:val="none"/>
        </w:rPr>
        <w:t>（1）供应商应当将因搬运不便而产生的二次搬运费用计算在磋商报价中。</w:t>
      </w:r>
    </w:p>
    <w:p w14:paraId="18598C0B">
      <w:pPr>
        <w:spacing w:line="360" w:lineRule="auto"/>
        <w:ind w:firstLine="420"/>
        <w:jc w:val="left"/>
        <w:rPr>
          <w:rFonts w:ascii="宋体" w:hAnsi="宋体" w:cs="宋体"/>
          <w:color w:val="auto"/>
          <w:sz w:val="24"/>
          <w:highlight w:val="none"/>
        </w:rPr>
      </w:pPr>
      <w:r>
        <w:rPr>
          <w:rFonts w:hint="eastAsia" w:ascii="宋体" w:hAnsi="宋体" w:cs="宋体"/>
          <w:color w:val="auto"/>
          <w:sz w:val="24"/>
          <w:highlight w:val="none"/>
        </w:rPr>
        <w:t>（2）供应商应当</w:t>
      </w:r>
      <w:r>
        <w:rPr>
          <w:rFonts w:hint="eastAsia" w:ascii="宋体" w:hAnsi="宋体" w:cs="宋体"/>
          <w:color w:val="auto"/>
          <w:sz w:val="24"/>
          <w:highlight w:val="none"/>
          <w:lang w:val="en-US" w:eastAsia="zh-CN"/>
        </w:rPr>
        <w:t>在项目开工前办理建筑工程一切险、第三者责任险方可进场开工，与之</w:t>
      </w:r>
      <w:r>
        <w:rPr>
          <w:rFonts w:hint="eastAsia" w:ascii="宋体" w:hAnsi="宋体" w:cs="宋体"/>
          <w:color w:val="auto"/>
          <w:sz w:val="24"/>
          <w:highlight w:val="none"/>
        </w:rPr>
        <w:t>相关费用计算在磋商报价中。</w:t>
      </w:r>
    </w:p>
    <w:p w14:paraId="7C897DE2">
      <w:pPr>
        <w:spacing w:line="360" w:lineRule="auto"/>
        <w:jc w:val="left"/>
        <w:rPr>
          <w:rFonts w:ascii="宋体" w:hAnsi="宋体" w:cs="宋体"/>
          <w:b/>
          <w:color w:val="auto"/>
          <w:sz w:val="24"/>
          <w:highlight w:val="none"/>
        </w:rPr>
      </w:pPr>
      <w:r>
        <w:rPr>
          <w:rFonts w:hint="eastAsia" w:ascii="宋体" w:hAnsi="宋体" w:cs="宋体"/>
          <w:b/>
          <w:color w:val="auto"/>
          <w:sz w:val="24"/>
          <w:highlight w:val="none"/>
          <w:lang w:eastAsia="zh-CN"/>
        </w:rPr>
        <w:t>四</w:t>
      </w:r>
      <w:r>
        <w:rPr>
          <w:rFonts w:hint="eastAsia" w:ascii="宋体" w:hAnsi="宋体" w:cs="宋体"/>
          <w:b/>
          <w:color w:val="auto"/>
          <w:sz w:val="24"/>
          <w:highlight w:val="none"/>
        </w:rPr>
        <w:t>、其他要求</w:t>
      </w:r>
    </w:p>
    <w:p w14:paraId="1F3F5B80">
      <w:p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1）各供应商应先到工地踏勘以充分了解工地位置、现状情况、及任何其它足以影响磋商报价的情况，任何因忽视或误解工地情况而导致的行政处罚、索赔或工期延长申请将不获批准。本项目为综合单价合同，除了清单和图纸（如有）外，可能涉及一些零星工程，请根据工地踏勘的实际情况进行综合考虑报价。在规定工期内完成采购范围全部工程内容的所有费用，包括完成本工程的直接费、间接费、利润、税金、风险费等，后期均不做调整。</w:t>
      </w:r>
    </w:p>
    <w:p w14:paraId="1BA62788">
      <w:pPr>
        <w:snapToGrid w:val="0"/>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（2）因工程施工要求或工程管理要求而产生的各项潜在费用支出均由供应商自行考虑并计入响应总价且一次性包干。</w:t>
      </w:r>
    </w:p>
    <w:p w14:paraId="40EA7822">
      <w:pPr>
        <w:snapToGrid w:val="0"/>
        <w:spacing w:line="360" w:lineRule="auto"/>
        <w:ind w:firstLine="422"/>
        <w:rPr>
          <w:rFonts w:ascii="宋体" w:hAnsi="宋体" w:cs="宋体"/>
          <w:color w:val="auto"/>
          <w:kern w:val="0"/>
          <w:sz w:val="24"/>
          <w:highlight w:val="none"/>
        </w:rPr>
      </w:pPr>
      <w:r>
        <w:rPr>
          <w:rFonts w:hint="eastAsia" w:ascii="宋体" w:hAnsi="宋体" w:cs="宋体"/>
          <w:color w:val="auto"/>
          <w:sz w:val="24"/>
          <w:highlight w:val="none"/>
        </w:rPr>
        <w:t>（3）</w:t>
      </w:r>
      <w:r>
        <w:rPr>
          <w:rFonts w:hint="eastAsia" w:ascii="宋体" w:hAnsi="宋体" w:cs="宋体"/>
          <w:color w:val="auto"/>
          <w:kern w:val="0"/>
          <w:sz w:val="24"/>
          <w:highlight w:val="none"/>
          <w:lang w:val="en-US" w:eastAsia="zh-CN"/>
        </w:rPr>
        <w:t>本项目为全天全封闭施工需配备封闭围挡、执勤保安、引导标牌等措施请各供应商综合考虑计入报价内</w:t>
      </w:r>
      <w:r>
        <w:rPr>
          <w:rFonts w:hint="eastAsia" w:ascii="宋体" w:hAnsi="宋体" w:cs="宋体"/>
          <w:color w:val="auto"/>
          <w:kern w:val="0"/>
          <w:sz w:val="24"/>
          <w:highlight w:val="none"/>
        </w:rPr>
        <w:t>。</w:t>
      </w:r>
    </w:p>
    <w:p w14:paraId="25817587">
      <w:pPr>
        <w:snapToGrid w:val="0"/>
        <w:spacing w:line="360" w:lineRule="auto"/>
        <w:ind w:firstLine="422"/>
        <w:rPr>
          <w:rFonts w:ascii="宋体" w:hAnsi="宋体" w:cs="宋体"/>
          <w:color w:val="auto"/>
          <w:kern w:val="0"/>
          <w:sz w:val="24"/>
          <w:highlight w:val="none"/>
        </w:rPr>
      </w:pPr>
      <w:r>
        <w:rPr>
          <w:rFonts w:hint="eastAsia" w:ascii="宋体" w:hAnsi="宋体" w:cs="宋体"/>
          <w:color w:val="auto"/>
          <w:sz w:val="24"/>
          <w:highlight w:val="none"/>
        </w:rPr>
        <w:t>（4）</w:t>
      </w:r>
      <w:r>
        <w:rPr>
          <w:rFonts w:hint="eastAsia" w:ascii="宋体" w:hAnsi="宋体" w:cs="宋体"/>
          <w:color w:val="auto"/>
          <w:kern w:val="0"/>
          <w:sz w:val="24"/>
          <w:highlight w:val="none"/>
        </w:rPr>
        <w:t>与报价相关的其他事宜见本项目“工程量清单”。</w:t>
      </w:r>
    </w:p>
    <w:p w14:paraId="01DC24E5">
      <w:pPr>
        <w:snapToGrid w:val="0"/>
        <w:spacing w:line="360" w:lineRule="auto"/>
        <w:ind w:firstLine="422"/>
        <w:rPr>
          <w:rFonts w:ascii="宋体" w:hAnsi="宋体" w:cs="宋体"/>
          <w:color w:val="auto"/>
          <w:kern w:val="0"/>
          <w:sz w:val="24"/>
          <w:highlight w:val="none"/>
        </w:rPr>
      </w:pPr>
      <w:r>
        <w:rPr>
          <w:rFonts w:hint="eastAsia" w:ascii="宋体" w:hAnsi="宋体" w:cs="宋体"/>
          <w:color w:val="auto"/>
          <w:kern w:val="0"/>
          <w:sz w:val="24"/>
          <w:highlight w:val="none"/>
        </w:rPr>
        <w:t>（5）技术响应要求：</w:t>
      </w:r>
    </w:p>
    <w:p w14:paraId="0DA27681">
      <w:pPr>
        <w:pStyle w:val="972"/>
        <w:numPr>
          <w:ilvl w:val="0"/>
          <w:numId w:val="6"/>
        </w:numPr>
        <w:spacing w:line="360" w:lineRule="auto"/>
        <w:ind w:firstLineChars="0"/>
        <w:jc w:val="left"/>
        <w:rPr>
          <w:rFonts w:ascii="宋体" w:hAnsi="宋体" w:cs="宋体"/>
          <w:color w:val="auto"/>
          <w:sz w:val="24"/>
          <w:highlight w:val="none"/>
        </w:rPr>
      </w:pPr>
      <w:r>
        <w:rPr>
          <w:rFonts w:hint="eastAsia" w:ascii="宋体" w:hAnsi="宋体" w:cs="宋体"/>
          <w:color w:val="auto"/>
          <w:sz w:val="24"/>
          <w:highlight w:val="none"/>
        </w:rPr>
        <w:t>供应商应当有全面、合理、针对本项目的工程施工技术方案和措施，此工程施工技术方案应当具有明确的针对性和可操作性，各项施工措施应当明确、到位；</w:t>
      </w:r>
    </w:p>
    <w:p w14:paraId="077F5938">
      <w:pPr>
        <w:numPr>
          <w:ilvl w:val="0"/>
          <w:numId w:val="6"/>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供应商应当有全面、合理、针对本项目的施工</w:t>
      </w:r>
      <w:r>
        <w:rPr>
          <w:rFonts w:hint="eastAsia" w:ascii="宋体" w:hAnsi="宋体" w:cs="宋体"/>
          <w:color w:val="auto"/>
          <w:sz w:val="24"/>
          <w:highlight w:val="none"/>
          <w:lang w:eastAsia="zh-CN"/>
        </w:rPr>
        <w:t>技术</w:t>
      </w:r>
      <w:r>
        <w:rPr>
          <w:rFonts w:hint="eastAsia" w:ascii="宋体" w:hAnsi="宋体" w:cs="宋体"/>
          <w:color w:val="auto"/>
          <w:sz w:val="24"/>
          <w:highlight w:val="none"/>
        </w:rPr>
        <w:t xml:space="preserve">，此施工组织设计应当具有明确的针对性和可操作性，施工组织设计应当明确、到位； </w:t>
      </w:r>
    </w:p>
    <w:p w14:paraId="48A07F56">
      <w:pPr>
        <w:numPr>
          <w:ilvl w:val="0"/>
          <w:numId w:val="6"/>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供应商应当有特殊施工环境的具体措施、预防自然灾害(台风及防汛等)的组织和技术措施；</w:t>
      </w:r>
    </w:p>
    <w:p w14:paraId="506E2CAE">
      <w:pPr>
        <w:numPr>
          <w:ilvl w:val="0"/>
          <w:numId w:val="6"/>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供应商应当有针对</w:t>
      </w: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特点、难点的分析，并根据本项目的特点、难点提出有针对性的施工方案与措施；</w:t>
      </w:r>
    </w:p>
    <w:p w14:paraId="1034D345">
      <w:pPr>
        <w:numPr>
          <w:ilvl w:val="0"/>
          <w:numId w:val="6"/>
        </w:num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供应商应具有针对本项目的具体施工质量控制措施，质量控制措施应当完善、到位；</w:t>
      </w:r>
    </w:p>
    <w:p w14:paraId="6E27AAC3">
      <w:pPr>
        <w:numPr>
          <w:ilvl w:val="0"/>
          <w:numId w:val="6"/>
        </w:num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供应商应当有全面、合理、针对本项目的施工方法，主要施工方法应当具有明确的针对性和可操作性，对施工的各道程序应当明确、到位；</w:t>
      </w:r>
    </w:p>
    <w:p w14:paraId="25D2E9D9">
      <w:pPr>
        <w:numPr>
          <w:ilvl w:val="0"/>
          <w:numId w:val="6"/>
        </w:num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供应商应具有针对本项目的具体安全、环保、消防等的保证措施，控制措施应当完善、到位；</w:t>
      </w:r>
    </w:p>
    <w:p w14:paraId="04D1FEE6">
      <w:pPr>
        <w:numPr>
          <w:ilvl w:val="0"/>
          <w:numId w:val="6"/>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供应商拟投入的管理人员的岗位、专业及各专业工种劳动力配置应当满足施工工程现场的要求；</w:t>
      </w:r>
    </w:p>
    <w:p w14:paraId="3C9552FE">
      <w:pPr>
        <w:numPr>
          <w:ilvl w:val="0"/>
          <w:numId w:val="6"/>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供应商拟投入的施工机具和检验仪器应当满足施工工程现场的要求，其中施工机械和设备应当同时考虑</w:t>
      </w:r>
      <w:r>
        <w:rPr>
          <w:rFonts w:hint="eastAsia" w:ascii="宋体" w:hAnsi="宋体" w:cs="宋体"/>
          <w:color w:val="auto"/>
          <w:sz w:val="24"/>
          <w:highlight w:val="none"/>
          <w:lang w:eastAsia="zh-CN"/>
        </w:rPr>
        <w:t>项目</w:t>
      </w:r>
      <w:r>
        <w:rPr>
          <w:rFonts w:hint="eastAsia" w:ascii="宋体" w:hAnsi="宋体" w:cs="宋体"/>
          <w:color w:val="auto"/>
          <w:sz w:val="24"/>
          <w:highlight w:val="none"/>
        </w:rPr>
        <w:t>的需要；</w:t>
      </w:r>
    </w:p>
    <w:p w14:paraId="7BEBCC88">
      <w:pPr>
        <w:numPr>
          <w:ilvl w:val="0"/>
          <w:numId w:val="6"/>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供应商应当有针对</w:t>
      </w:r>
      <w:r>
        <w:rPr>
          <w:rFonts w:hint="eastAsia" w:ascii="宋体" w:hAnsi="宋体" w:cs="宋体"/>
          <w:color w:val="auto"/>
          <w:sz w:val="24"/>
          <w:highlight w:val="none"/>
          <w:lang w:val="en-US" w:eastAsia="zh-CN"/>
        </w:rPr>
        <w:t>性</w:t>
      </w:r>
      <w:r>
        <w:rPr>
          <w:rFonts w:hint="eastAsia" w:ascii="宋体" w:hAnsi="宋体" w:cs="宋体"/>
          <w:color w:val="auto"/>
          <w:sz w:val="24"/>
          <w:highlight w:val="none"/>
        </w:rPr>
        <w:t>施工计划，施工计划应当包含施工的各个环节；</w:t>
      </w:r>
    </w:p>
    <w:p w14:paraId="76593685">
      <w:pPr>
        <w:numPr>
          <w:ilvl w:val="0"/>
          <w:numId w:val="6"/>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供应商应当具有针对本项目的具体成品保护措施，措施应当完善、到位</w:t>
      </w:r>
      <w:r>
        <w:rPr>
          <w:rFonts w:hint="eastAsia" w:ascii="宋体" w:hAnsi="宋体" w:cs="宋体"/>
          <w:color w:val="auto"/>
          <w:sz w:val="24"/>
          <w:highlight w:val="none"/>
          <w:lang w:eastAsia="zh-CN"/>
        </w:rPr>
        <w:t>。</w:t>
      </w:r>
    </w:p>
    <w:p w14:paraId="60C45ADD">
      <w:pPr>
        <w:pStyle w:val="82"/>
        <w:pageBreakBefore w:val="0"/>
        <w:kinsoku/>
        <w:wordWrap/>
        <w:overflowPunct/>
        <w:topLinePunct w:val="0"/>
        <w:autoSpaceDE/>
        <w:autoSpaceDN/>
        <w:bidi w:val="0"/>
        <w:spacing w:line="360" w:lineRule="auto"/>
        <w:ind w:left="0" w:leftChars="0" w:right="0" w:rightChars="0" w:firstLine="422"/>
        <w:textAlignment w:val="auto"/>
        <w:rPr>
          <w:rFonts w:hint="eastAsia" w:ascii="宋体" w:hAnsi="宋体"/>
          <w:color w:val="auto"/>
          <w:sz w:val="24"/>
          <w:szCs w:val="24"/>
          <w:highlight w:val="none"/>
        </w:rPr>
      </w:pPr>
    </w:p>
    <w:p w14:paraId="27483062">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5C1C99C7">
      <w:pPr>
        <w:snapToGrid w:val="0"/>
        <w:spacing w:line="360" w:lineRule="auto"/>
        <w:jc w:val="center"/>
        <w:rPr>
          <w:rFonts w:ascii="宋体" w:hAnsi="宋体" w:cs="宋体"/>
          <w:b/>
          <w:color w:val="auto"/>
          <w:sz w:val="36"/>
          <w:szCs w:val="20"/>
          <w:highlight w:val="none"/>
        </w:rPr>
      </w:pPr>
      <w:r>
        <w:rPr>
          <w:rFonts w:hint="eastAsia" w:ascii="宋体" w:hAnsi="宋体" w:cs="宋体"/>
          <w:b/>
          <w:color w:val="auto"/>
          <w:sz w:val="36"/>
          <w:szCs w:val="20"/>
          <w:highlight w:val="none"/>
        </w:rPr>
        <w:t>第四部分</w:t>
      </w:r>
      <w:bookmarkStart w:id="32" w:name="_Toc184313301"/>
      <w:bookmarkEnd w:id="32"/>
      <w:bookmarkStart w:id="33" w:name="_Toc184313306"/>
      <w:bookmarkEnd w:id="33"/>
      <w:bookmarkStart w:id="34" w:name="_Toc184313238"/>
      <w:bookmarkEnd w:id="34"/>
      <w:bookmarkStart w:id="35" w:name="_Toc184310319"/>
      <w:bookmarkEnd w:id="35"/>
      <w:bookmarkStart w:id="36" w:name="_Toc184312094"/>
      <w:bookmarkEnd w:id="36"/>
      <w:bookmarkStart w:id="37" w:name="_Toc184314429"/>
      <w:bookmarkEnd w:id="37"/>
      <w:bookmarkStart w:id="38" w:name="_Toc184314466"/>
      <w:bookmarkEnd w:id="38"/>
      <w:bookmarkStart w:id="39" w:name="_Toc184308064"/>
      <w:bookmarkEnd w:id="39"/>
      <w:bookmarkStart w:id="40" w:name="_Toc184310316"/>
      <w:bookmarkEnd w:id="40"/>
      <w:bookmarkStart w:id="41" w:name="_Toc184308082"/>
      <w:bookmarkEnd w:id="41"/>
      <w:bookmarkStart w:id="42" w:name="_Toc184313293"/>
      <w:bookmarkEnd w:id="42"/>
      <w:bookmarkStart w:id="43" w:name="_Toc184314432"/>
      <w:bookmarkEnd w:id="43"/>
      <w:bookmarkStart w:id="44" w:name="_Toc184313240"/>
      <w:bookmarkEnd w:id="44"/>
      <w:bookmarkStart w:id="45" w:name="_Toc184313263"/>
      <w:bookmarkEnd w:id="45"/>
      <w:bookmarkStart w:id="46" w:name="_Toc184308095"/>
      <w:bookmarkEnd w:id="46"/>
      <w:bookmarkStart w:id="47" w:name="_Toc184314442"/>
      <w:bookmarkEnd w:id="47"/>
      <w:bookmarkStart w:id="48" w:name="_Toc184312069"/>
      <w:bookmarkEnd w:id="48"/>
      <w:bookmarkStart w:id="49" w:name="_Toc184312138"/>
      <w:bookmarkEnd w:id="49"/>
      <w:bookmarkStart w:id="50" w:name="_Toc184314441"/>
      <w:bookmarkEnd w:id="50"/>
      <w:bookmarkStart w:id="51" w:name="_Toc184312130"/>
      <w:bookmarkEnd w:id="51"/>
      <w:bookmarkStart w:id="52" w:name="_Toc184314455"/>
      <w:bookmarkEnd w:id="52"/>
      <w:bookmarkStart w:id="53" w:name="_Toc184312129"/>
      <w:bookmarkEnd w:id="53"/>
      <w:bookmarkStart w:id="54" w:name="_Toc184312134"/>
      <w:bookmarkEnd w:id="54"/>
      <w:bookmarkStart w:id="55" w:name="_Toc184310292"/>
      <w:bookmarkEnd w:id="55"/>
      <w:bookmarkStart w:id="56" w:name="_Toc184310338"/>
      <w:bookmarkEnd w:id="56"/>
      <w:bookmarkStart w:id="57" w:name="_Toc184308108"/>
      <w:bookmarkEnd w:id="57"/>
      <w:bookmarkStart w:id="58" w:name="_Toc184310296"/>
      <w:bookmarkEnd w:id="58"/>
      <w:bookmarkStart w:id="59" w:name="_Toc184313308"/>
      <w:bookmarkEnd w:id="59"/>
      <w:bookmarkStart w:id="60" w:name="_Toc184314479"/>
      <w:bookmarkEnd w:id="60"/>
      <w:bookmarkStart w:id="61" w:name="_Toc184313279"/>
      <w:bookmarkEnd w:id="61"/>
      <w:bookmarkStart w:id="62" w:name="_Toc184310274"/>
      <w:bookmarkEnd w:id="62"/>
      <w:bookmarkStart w:id="63" w:name="_Toc184313268"/>
      <w:bookmarkEnd w:id="63"/>
      <w:bookmarkStart w:id="64" w:name="_Toc184314465"/>
      <w:bookmarkEnd w:id="64"/>
      <w:bookmarkStart w:id="65" w:name="_Toc184308066"/>
      <w:bookmarkEnd w:id="65"/>
      <w:bookmarkStart w:id="66" w:name="_Toc184313295"/>
      <w:bookmarkEnd w:id="66"/>
      <w:bookmarkStart w:id="67" w:name="_Toc184312072"/>
      <w:bookmarkEnd w:id="67"/>
      <w:bookmarkStart w:id="68" w:name="_Toc184312113"/>
      <w:bookmarkEnd w:id="68"/>
      <w:bookmarkStart w:id="69" w:name="_Toc184310330"/>
      <w:bookmarkEnd w:id="69"/>
      <w:bookmarkStart w:id="70" w:name="_Toc184314452"/>
      <w:bookmarkEnd w:id="70"/>
      <w:bookmarkStart w:id="71" w:name="_Toc184314410"/>
      <w:bookmarkEnd w:id="71"/>
      <w:bookmarkStart w:id="72" w:name="_Toc184312103"/>
      <w:bookmarkEnd w:id="72"/>
      <w:bookmarkStart w:id="73" w:name="_Toc184312124"/>
      <w:bookmarkEnd w:id="73"/>
      <w:bookmarkStart w:id="74" w:name="_Toc184308059"/>
      <w:bookmarkEnd w:id="74"/>
      <w:bookmarkStart w:id="75" w:name="_Toc184313273"/>
      <w:bookmarkEnd w:id="75"/>
      <w:bookmarkStart w:id="76" w:name="_Toc184312077"/>
      <w:bookmarkEnd w:id="76"/>
      <w:bookmarkStart w:id="77" w:name="_Toc184313265"/>
      <w:bookmarkEnd w:id="77"/>
      <w:bookmarkStart w:id="78" w:name="_Toc184312089"/>
      <w:bookmarkEnd w:id="78"/>
      <w:bookmarkStart w:id="79" w:name="_Toc184313290"/>
      <w:bookmarkEnd w:id="79"/>
      <w:bookmarkStart w:id="80" w:name="_Toc184310278"/>
      <w:bookmarkEnd w:id="80"/>
      <w:bookmarkStart w:id="81" w:name="_Toc184313264"/>
      <w:bookmarkEnd w:id="81"/>
      <w:bookmarkStart w:id="82" w:name="_Toc184312078"/>
      <w:bookmarkEnd w:id="82"/>
      <w:bookmarkStart w:id="83" w:name="_Toc184314447"/>
      <w:bookmarkEnd w:id="83"/>
      <w:bookmarkStart w:id="84" w:name="_Toc184312071"/>
      <w:bookmarkEnd w:id="84"/>
      <w:bookmarkStart w:id="85" w:name="_Toc184314457"/>
      <w:bookmarkEnd w:id="85"/>
      <w:bookmarkStart w:id="86" w:name="_Toc184308087"/>
      <w:bookmarkEnd w:id="86"/>
      <w:bookmarkStart w:id="87" w:name="_Toc184314449"/>
      <w:bookmarkEnd w:id="87"/>
      <w:bookmarkStart w:id="88" w:name="_Toc184312135"/>
      <w:bookmarkEnd w:id="88"/>
      <w:bookmarkStart w:id="89" w:name="_Toc184312104"/>
      <w:bookmarkEnd w:id="89"/>
      <w:bookmarkStart w:id="90" w:name="_Toc184313242"/>
      <w:bookmarkEnd w:id="90"/>
      <w:bookmarkStart w:id="91" w:name="_Toc184308062"/>
      <w:bookmarkEnd w:id="91"/>
      <w:bookmarkStart w:id="92" w:name="_Toc184313262"/>
      <w:bookmarkEnd w:id="92"/>
      <w:bookmarkStart w:id="93" w:name="_Toc184314468"/>
      <w:bookmarkEnd w:id="93"/>
      <w:bookmarkStart w:id="94" w:name="_Toc184312068"/>
      <w:bookmarkEnd w:id="94"/>
      <w:bookmarkStart w:id="95" w:name="_Toc184313307"/>
      <w:bookmarkEnd w:id="95"/>
      <w:bookmarkStart w:id="96" w:name="_Toc184308058"/>
      <w:bookmarkEnd w:id="96"/>
      <w:bookmarkStart w:id="97" w:name="_Toc184310329"/>
      <w:bookmarkEnd w:id="97"/>
      <w:bookmarkStart w:id="98" w:name="_Toc184310276"/>
      <w:bookmarkEnd w:id="98"/>
      <w:bookmarkStart w:id="99" w:name="_Toc184314437"/>
      <w:bookmarkEnd w:id="99"/>
      <w:bookmarkStart w:id="100" w:name="_Toc184312128"/>
      <w:bookmarkEnd w:id="100"/>
      <w:bookmarkStart w:id="101" w:name="_Toc184308045"/>
      <w:bookmarkEnd w:id="101"/>
      <w:bookmarkStart w:id="102" w:name="_Toc184310302"/>
      <w:bookmarkEnd w:id="102"/>
      <w:bookmarkStart w:id="103" w:name="_Toc184314435"/>
      <w:bookmarkEnd w:id="103"/>
      <w:bookmarkStart w:id="104" w:name="_Toc184312070"/>
      <w:bookmarkEnd w:id="104"/>
      <w:bookmarkStart w:id="105" w:name="_Toc184314453"/>
      <w:bookmarkEnd w:id="105"/>
      <w:bookmarkStart w:id="106" w:name="_Toc184310331"/>
      <w:bookmarkEnd w:id="106"/>
      <w:bookmarkStart w:id="107" w:name="_Toc184312107"/>
      <w:bookmarkEnd w:id="107"/>
      <w:bookmarkStart w:id="108" w:name="_Toc184314419"/>
      <w:bookmarkEnd w:id="108"/>
      <w:bookmarkStart w:id="109" w:name="_Toc184308039"/>
      <w:bookmarkEnd w:id="109"/>
      <w:bookmarkStart w:id="110" w:name="_Toc184312088"/>
      <w:bookmarkEnd w:id="110"/>
      <w:bookmarkStart w:id="111" w:name="_Toc184313272"/>
      <w:bookmarkEnd w:id="111"/>
      <w:bookmarkStart w:id="112" w:name="_Toc184313243"/>
      <w:bookmarkEnd w:id="112"/>
      <w:bookmarkStart w:id="113" w:name="_Toc184312080"/>
      <w:bookmarkEnd w:id="113"/>
      <w:bookmarkStart w:id="114" w:name="_Toc184312125"/>
      <w:bookmarkEnd w:id="114"/>
      <w:bookmarkStart w:id="115" w:name="_Toc184312087"/>
      <w:bookmarkEnd w:id="115"/>
      <w:bookmarkStart w:id="116" w:name="_Toc184310301"/>
      <w:bookmarkEnd w:id="116"/>
      <w:bookmarkStart w:id="117" w:name="_Toc184312092"/>
      <w:bookmarkEnd w:id="117"/>
      <w:bookmarkStart w:id="118" w:name="_Toc184308099"/>
      <w:bookmarkEnd w:id="118"/>
      <w:bookmarkStart w:id="119" w:name="_Toc184312084"/>
      <w:bookmarkEnd w:id="119"/>
      <w:bookmarkStart w:id="120" w:name="_Toc184308084"/>
      <w:bookmarkEnd w:id="120"/>
      <w:bookmarkStart w:id="121" w:name="_Toc184313261"/>
      <w:bookmarkEnd w:id="121"/>
      <w:bookmarkStart w:id="122" w:name="_Toc184310315"/>
      <w:bookmarkEnd w:id="122"/>
      <w:bookmarkStart w:id="123" w:name="_Toc184312082"/>
      <w:bookmarkEnd w:id="123"/>
      <w:bookmarkStart w:id="124" w:name="_Toc184312123"/>
      <w:bookmarkEnd w:id="124"/>
      <w:bookmarkStart w:id="125" w:name="_Toc184313280"/>
      <w:bookmarkEnd w:id="125"/>
      <w:bookmarkStart w:id="126" w:name="_Toc184314448"/>
      <w:bookmarkEnd w:id="126"/>
      <w:bookmarkStart w:id="127" w:name="_Toc184313247"/>
      <w:bookmarkEnd w:id="127"/>
      <w:bookmarkStart w:id="128" w:name="_Toc184314421"/>
      <w:bookmarkEnd w:id="128"/>
      <w:bookmarkStart w:id="129" w:name="_Toc184314424"/>
      <w:bookmarkEnd w:id="129"/>
      <w:bookmarkStart w:id="130" w:name="_Toc184308080"/>
      <w:bookmarkEnd w:id="130"/>
      <w:bookmarkStart w:id="131" w:name="_Toc184314425"/>
      <w:bookmarkEnd w:id="131"/>
      <w:bookmarkStart w:id="132" w:name="_Toc184310286"/>
      <w:bookmarkEnd w:id="132"/>
      <w:bookmarkStart w:id="133" w:name="_Toc184312075"/>
      <w:bookmarkEnd w:id="133"/>
      <w:bookmarkStart w:id="134" w:name="_Toc184310306"/>
      <w:bookmarkEnd w:id="134"/>
      <w:bookmarkStart w:id="135" w:name="_Toc184310304"/>
      <w:bookmarkEnd w:id="135"/>
      <w:bookmarkStart w:id="136" w:name="_Toc184310324"/>
      <w:bookmarkEnd w:id="136"/>
      <w:bookmarkStart w:id="137" w:name="_Toc184310325"/>
      <w:bookmarkEnd w:id="137"/>
      <w:bookmarkStart w:id="138" w:name="_Toc184312076"/>
      <w:bookmarkEnd w:id="138"/>
      <w:bookmarkStart w:id="139" w:name="_Toc184310298"/>
      <w:bookmarkEnd w:id="139"/>
      <w:bookmarkStart w:id="140" w:name="_Toc184308049"/>
      <w:bookmarkEnd w:id="140"/>
      <w:bookmarkStart w:id="141" w:name="_Toc184310299"/>
      <w:bookmarkEnd w:id="141"/>
      <w:bookmarkStart w:id="142" w:name="_Toc184310343"/>
      <w:bookmarkEnd w:id="142"/>
      <w:bookmarkStart w:id="143" w:name="_Toc184308042"/>
      <w:bookmarkEnd w:id="143"/>
      <w:bookmarkStart w:id="144" w:name="_Toc184313251"/>
      <w:bookmarkEnd w:id="144"/>
      <w:bookmarkStart w:id="145" w:name="_Toc184314473"/>
      <w:bookmarkEnd w:id="145"/>
      <w:bookmarkStart w:id="146" w:name="_Toc184313252"/>
      <w:bookmarkEnd w:id="146"/>
      <w:bookmarkStart w:id="147" w:name="_Toc184308068"/>
      <w:bookmarkEnd w:id="147"/>
      <w:bookmarkStart w:id="148" w:name="_Toc184308103"/>
      <w:bookmarkEnd w:id="148"/>
      <w:bookmarkStart w:id="149" w:name="_Toc184312073"/>
      <w:bookmarkEnd w:id="149"/>
      <w:bookmarkStart w:id="150" w:name="_Toc184314422"/>
      <w:bookmarkEnd w:id="150"/>
      <w:bookmarkStart w:id="151" w:name="_Toc184312081"/>
      <w:bookmarkEnd w:id="151"/>
      <w:bookmarkStart w:id="152" w:name="_Toc184308054"/>
      <w:bookmarkEnd w:id="152"/>
      <w:bookmarkStart w:id="153" w:name="_Toc184314430"/>
      <w:bookmarkEnd w:id="153"/>
      <w:bookmarkStart w:id="154" w:name="_Toc184313294"/>
      <w:bookmarkEnd w:id="154"/>
      <w:bookmarkStart w:id="155" w:name="_Toc184314415"/>
      <w:bookmarkEnd w:id="155"/>
      <w:bookmarkStart w:id="156" w:name="_Toc184310309"/>
      <w:bookmarkEnd w:id="156"/>
      <w:bookmarkStart w:id="157" w:name="_Toc184310290"/>
      <w:bookmarkEnd w:id="157"/>
      <w:bookmarkStart w:id="158" w:name="_Toc184313260"/>
      <w:bookmarkEnd w:id="158"/>
      <w:bookmarkStart w:id="159" w:name="_Toc184312090"/>
      <w:bookmarkEnd w:id="159"/>
      <w:bookmarkStart w:id="160" w:name="_Toc184314433"/>
      <w:bookmarkEnd w:id="160"/>
      <w:bookmarkStart w:id="161" w:name="_Toc184314444"/>
      <w:bookmarkEnd w:id="161"/>
      <w:bookmarkStart w:id="162" w:name="_Toc184310318"/>
      <w:bookmarkEnd w:id="162"/>
      <w:bookmarkStart w:id="163" w:name="_Toc184313253"/>
      <w:bookmarkEnd w:id="163"/>
      <w:bookmarkStart w:id="164" w:name="_Toc184310340"/>
      <w:bookmarkEnd w:id="164"/>
      <w:bookmarkStart w:id="165" w:name="_Toc184312119"/>
      <w:bookmarkEnd w:id="165"/>
      <w:bookmarkStart w:id="166" w:name="_Toc184310285"/>
      <w:bookmarkEnd w:id="166"/>
      <w:bookmarkStart w:id="167" w:name="_Toc184308094"/>
      <w:bookmarkEnd w:id="167"/>
      <w:bookmarkStart w:id="168" w:name="_Toc184308072"/>
      <w:bookmarkEnd w:id="168"/>
      <w:bookmarkStart w:id="169" w:name="_Toc184312097"/>
      <w:bookmarkEnd w:id="169"/>
      <w:bookmarkStart w:id="170" w:name="_Toc184314461"/>
      <w:bookmarkEnd w:id="170"/>
      <w:bookmarkStart w:id="171" w:name="_Toc184314411"/>
      <w:bookmarkEnd w:id="171"/>
      <w:bookmarkStart w:id="172" w:name="_Toc184308078"/>
      <w:bookmarkEnd w:id="172"/>
      <w:bookmarkStart w:id="173" w:name="_Toc184308089"/>
      <w:bookmarkEnd w:id="173"/>
      <w:bookmarkStart w:id="174" w:name="_Toc184310279"/>
      <w:bookmarkEnd w:id="174"/>
      <w:bookmarkStart w:id="175" w:name="_Toc184312102"/>
      <w:bookmarkEnd w:id="175"/>
      <w:bookmarkStart w:id="176" w:name="_Toc184310281"/>
      <w:bookmarkEnd w:id="176"/>
      <w:bookmarkStart w:id="177" w:name="_Toc184314440"/>
      <w:bookmarkEnd w:id="177"/>
      <w:bookmarkStart w:id="178" w:name="_Toc184308081"/>
      <w:bookmarkEnd w:id="178"/>
      <w:bookmarkStart w:id="179" w:name="_Toc184312093"/>
      <w:bookmarkEnd w:id="179"/>
      <w:bookmarkStart w:id="180" w:name="_Toc184310277"/>
      <w:bookmarkEnd w:id="180"/>
      <w:bookmarkStart w:id="181" w:name="_Toc184313309"/>
      <w:bookmarkEnd w:id="181"/>
      <w:bookmarkStart w:id="182" w:name="_Toc184313303"/>
      <w:bookmarkEnd w:id="182"/>
      <w:bookmarkStart w:id="183" w:name="_Toc184313250"/>
      <w:bookmarkEnd w:id="183"/>
      <w:bookmarkStart w:id="184" w:name="_Toc184308107"/>
      <w:bookmarkEnd w:id="184"/>
      <w:bookmarkStart w:id="185" w:name="_Toc184313269"/>
      <w:bookmarkEnd w:id="185"/>
      <w:bookmarkStart w:id="186" w:name="_Toc184314477"/>
      <w:bookmarkEnd w:id="186"/>
      <w:bookmarkStart w:id="187" w:name="_Toc184310275"/>
      <w:bookmarkEnd w:id="187"/>
      <w:bookmarkStart w:id="188" w:name="_Toc184313244"/>
      <w:bookmarkEnd w:id="188"/>
      <w:bookmarkStart w:id="189" w:name="_Toc184313292"/>
      <w:bookmarkEnd w:id="189"/>
      <w:bookmarkStart w:id="190" w:name="_Toc184314420"/>
      <w:bookmarkEnd w:id="190"/>
      <w:bookmarkStart w:id="191" w:name="_Toc184308070"/>
      <w:bookmarkEnd w:id="191"/>
      <w:bookmarkStart w:id="192" w:name="_Toc184312079"/>
      <w:bookmarkEnd w:id="192"/>
      <w:bookmarkStart w:id="193" w:name="_Toc184314426"/>
      <w:bookmarkEnd w:id="193"/>
      <w:bookmarkStart w:id="194" w:name="_Toc184310310"/>
      <w:bookmarkEnd w:id="194"/>
      <w:bookmarkStart w:id="195" w:name="_Toc184308073"/>
      <w:bookmarkEnd w:id="195"/>
      <w:bookmarkStart w:id="196" w:name="_Toc184313283"/>
      <w:bookmarkEnd w:id="196"/>
      <w:bookmarkStart w:id="197" w:name="_Toc184313255"/>
      <w:bookmarkEnd w:id="197"/>
      <w:bookmarkStart w:id="198" w:name="_Toc184314439"/>
      <w:bookmarkEnd w:id="198"/>
      <w:bookmarkStart w:id="199" w:name="_Toc184312122"/>
      <w:bookmarkEnd w:id="199"/>
      <w:bookmarkStart w:id="200" w:name="_Toc184312126"/>
      <w:bookmarkEnd w:id="200"/>
      <w:bookmarkStart w:id="201" w:name="_Toc184308105"/>
      <w:bookmarkEnd w:id="201"/>
      <w:bookmarkStart w:id="202" w:name="_Toc184308071"/>
      <w:bookmarkEnd w:id="202"/>
      <w:bookmarkStart w:id="203" w:name="_Toc184308085"/>
      <w:bookmarkEnd w:id="203"/>
      <w:bookmarkStart w:id="204" w:name="_Toc184310293"/>
      <w:bookmarkEnd w:id="204"/>
      <w:bookmarkStart w:id="205" w:name="_Toc184310291"/>
      <w:bookmarkEnd w:id="205"/>
      <w:bookmarkStart w:id="206" w:name="_Toc184314417"/>
      <w:bookmarkEnd w:id="206"/>
      <w:bookmarkStart w:id="207" w:name="_Toc184312114"/>
      <w:bookmarkEnd w:id="207"/>
      <w:bookmarkStart w:id="208" w:name="_Toc184314413"/>
      <w:bookmarkEnd w:id="208"/>
      <w:bookmarkStart w:id="209" w:name="_Toc184314454"/>
      <w:bookmarkEnd w:id="209"/>
      <w:bookmarkStart w:id="210" w:name="_Toc184313256"/>
      <w:bookmarkEnd w:id="210"/>
      <w:bookmarkStart w:id="211" w:name="_Toc184314462"/>
      <w:bookmarkEnd w:id="211"/>
      <w:bookmarkStart w:id="212" w:name="_Toc184314471"/>
      <w:bookmarkEnd w:id="212"/>
      <w:bookmarkStart w:id="213" w:name="_Toc184308046"/>
      <w:bookmarkEnd w:id="213"/>
      <w:bookmarkStart w:id="214" w:name="_Toc184313285"/>
      <w:bookmarkEnd w:id="214"/>
      <w:bookmarkStart w:id="215" w:name="_Toc184314443"/>
      <w:bookmarkEnd w:id="215"/>
      <w:bookmarkStart w:id="216" w:name="_Toc184312109"/>
      <w:bookmarkEnd w:id="216"/>
      <w:bookmarkStart w:id="217" w:name="_Toc184308102"/>
      <w:bookmarkEnd w:id="217"/>
      <w:bookmarkStart w:id="218" w:name="_Toc184313297"/>
      <w:bookmarkEnd w:id="218"/>
      <w:bookmarkStart w:id="219" w:name="_Toc184313241"/>
      <w:bookmarkEnd w:id="219"/>
      <w:bookmarkStart w:id="220" w:name="_Toc184312136"/>
      <w:bookmarkEnd w:id="220"/>
      <w:bookmarkStart w:id="221" w:name="_Toc184313304"/>
      <w:bookmarkEnd w:id="221"/>
      <w:bookmarkStart w:id="222" w:name="_Toc184312117"/>
      <w:bookmarkEnd w:id="222"/>
      <w:bookmarkStart w:id="223" w:name="_Toc184308093"/>
      <w:bookmarkEnd w:id="223"/>
      <w:bookmarkStart w:id="224" w:name="_Toc184310282"/>
      <w:bookmarkEnd w:id="224"/>
      <w:bookmarkStart w:id="225" w:name="_Toc184313257"/>
      <w:bookmarkEnd w:id="225"/>
      <w:bookmarkStart w:id="226" w:name="_Toc184314451"/>
      <w:bookmarkEnd w:id="226"/>
      <w:bookmarkStart w:id="227" w:name="_Toc184310321"/>
      <w:bookmarkEnd w:id="227"/>
      <w:bookmarkStart w:id="228" w:name="_Toc184313300"/>
      <w:bookmarkEnd w:id="228"/>
      <w:bookmarkStart w:id="229" w:name="_Toc184308060"/>
      <w:bookmarkEnd w:id="229"/>
      <w:bookmarkStart w:id="230" w:name="_Toc184310283"/>
      <w:bookmarkEnd w:id="230"/>
      <w:bookmarkStart w:id="231" w:name="_Toc184314434"/>
      <w:bookmarkEnd w:id="231"/>
      <w:bookmarkStart w:id="232" w:name="_Toc184313291"/>
      <w:bookmarkEnd w:id="232"/>
      <w:bookmarkStart w:id="233" w:name="_Toc184312074"/>
      <w:bookmarkEnd w:id="233"/>
      <w:bookmarkStart w:id="234" w:name="_Toc184313296"/>
      <w:bookmarkEnd w:id="234"/>
      <w:bookmarkStart w:id="235" w:name="_Toc184308051"/>
      <w:bookmarkEnd w:id="235"/>
      <w:bookmarkStart w:id="236" w:name="_Toc184308041"/>
      <w:bookmarkEnd w:id="236"/>
      <w:bookmarkStart w:id="237" w:name="_Toc184314460"/>
      <w:bookmarkEnd w:id="237"/>
      <w:bookmarkStart w:id="238" w:name="_Toc184312127"/>
      <w:bookmarkEnd w:id="238"/>
      <w:bookmarkStart w:id="239" w:name="_Toc184313287"/>
      <w:bookmarkEnd w:id="239"/>
      <w:bookmarkStart w:id="240" w:name="_Toc184313246"/>
      <w:bookmarkEnd w:id="240"/>
      <w:bookmarkStart w:id="241" w:name="_Toc184308061"/>
      <w:bookmarkEnd w:id="241"/>
      <w:bookmarkStart w:id="242" w:name="_Toc184308083"/>
      <w:bookmarkEnd w:id="242"/>
      <w:bookmarkStart w:id="243" w:name="_Toc184310300"/>
      <w:bookmarkEnd w:id="243"/>
      <w:bookmarkStart w:id="244" w:name="_Toc184308053"/>
      <w:bookmarkEnd w:id="244"/>
      <w:bookmarkStart w:id="245" w:name="_Toc184310332"/>
      <w:bookmarkEnd w:id="245"/>
      <w:bookmarkStart w:id="246" w:name="_Toc184314414"/>
      <w:bookmarkEnd w:id="246"/>
      <w:bookmarkStart w:id="247" w:name="_Toc184313286"/>
      <w:bookmarkEnd w:id="247"/>
      <w:bookmarkStart w:id="248" w:name="_Toc184310320"/>
      <w:bookmarkEnd w:id="248"/>
      <w:bookmarkStart w:id="249" w:name="_Toc184310335"/>
      <w:bookmarkEnd w:id="249"/>
      <w:bookmarkStart w:id="250" w:name="_Toc184314418"/>
      <w:bookmarkEnd w:id="250"/>
      <w:bookmarkStart w:id="251" w:name="_Toc184314467"/>
      <w:bookmarkEnd w:id="251"/>
      <w:bookmarkStart w:id="252" w:name="_Toc184310334"/>
      <w:bookmarkEnd w:id="252"/>
      <w:bookmarkStart w:id="253" w:name="_Toc184313299"/>
      <w:bookmarkEnd w:id="253"/>
      <w:bookmarkStart w:id="254" w:name="_Toc184313281"/>
      <w:bookmarkEnd w:id="254"/>
      <w:bookmarkStart w:id="255" w:name="_Toc184313275"/>
      <w:bookmarkEnd w:id="255"/>
      <w:bookmarkStart w:id="256" w:name="_Toc184310311"/>
      <w:bookmarkEnd w:id="256"/>
      <w:bookmarkStart w:id="257" w:name="_Toc184310284"/>
      <w:bookmarkEnd w:id="257"/>
      <w:bookmarkStart w:id="258" w:name="_Toc184308077"/>
      <w:bookmarkEnd w:id="258"/>
      <w:bookmarkStart w:id="259" w:name="_Toc184313288"/>
      <w:bookmarkEnd w:id="259"/>
      <w:bookmarkStart w:id="260" w:name="_Toc184310287"/>
      <w:bookmarkEnd w:id="260"/>
      <w:bookmarkStart w:id="261" w:name="_Toc184314480"/>
      <w:bookmarkEnd w:id="261"/>
      <w:bookmarkStart w:id="262" w:name="_Toc184310328"/>
      <w:bookmarkEnd w:id="262"/>
      <w:bookmarkStart w:id="263" w:name="_Toc184308036"/>
      <w:bookmarkEnd w:id="263"/>
      <w:bookmarkStart w:id="264" w:name="_Toc184314423"/>
      <w:bookmarkEnd w:id="264"/>
      <w:bookmarkStart w:id="265" w:name="_Toc184312100"/>
      <w:bookmarkEnd w:id="265"/>
      <w:bookmarkStart w:id="266" w:name="_Toc184312120"/>
      <w:bookmarkEnd w:id="266"/>
      <w:bookmarkStart w:id="267" w:name="_Toc184312091"/>
      <w:bookmarkEnd w:id="267"/>
      <w:bookmarkStart w:id="268" w:name="_Toc184312137"/>
      <w:bookmarkEnd w:id="268"/>
      <w:bookmarkStart w:id="269" w:name="_Toc184314438"/>
      <w:bookmarkEnd w:id="269"/>
      <w:bookmarkStart w:id="270" w:name="_Toc184308050"/>
      <w:bookmarkEnd w:id="270"/>
      <w:bookmarkStart w:id="271" w:name="_Toc184308075"/>
      <w:bookmarkEnd w:id="271"/>
      <w:bookmarkStart w:id="272" w:name="_Toc184312132"/>
      <w:bookmarkEnd w:id="272"/>
      <w:bookmarkStart w:id="273" w:name="_Toc184308052"/>
      <w:bookmarkEnd w:id="273"/>
      <w:bookmarkStart w:id="274" w:name="_Toc184308057"/>
      <w:bookmarkEnd w:id="274"/>
      <w:bookmarkStart w:id="275" w:name="_Toc184310288"/>
      <w:bookmarkEnd w:id="275"/>
      <w:bookmarkStart w:id="276" w:name="_Toc184313274"/>
      <w:bookmarkEnd w:id="276"/>
      <w:bookmarkStart w:id="277" w:name="_Toc184310308"/>
      <w:bookmarkEnd w:id="277"/>
      <w:bookmarkStart w:id="278" w:name="_Toc184312116"/>
      <w:bookmarkEnd w:id="278"/>
      <w:bookmarkStart w:id="279" w:name="_Toc184308101"/>
      <w:bookmarkEnd w:id="279"/>
      <w:bookmarkStart w:id="280" w:name="_Toc184312139"/>
      <w:bookmarkEnd w:id="280"/>
      <w:bookmarkStart w:id="281" w:name="_Toc184308079"/>
      <w:bookmarkEnd w:id="281"/>
      <w:bookmarkStart w:id="282" w:name="_Toc184310336"/>
      <w:bookmarkEnd w:id="282"/>
      <w:bookmarkStart w:id="283" w:name="_Toc184310289"/>
      <w:bookmarkEnd w:id="283"/>
      <w:bookmarkStart w:id="284" w:name="_Toc184312106"/>
      <w:bookmarkEnd w:id="284"/>
      <w:bookmarkStart w:id="285" w:name="_Toc184312121"/>
      <w:bookmarkEnd w:id="285"/>
      <w:bookmarkStart w:id="286" w:name="_Toc184313258"/>
      <w:bookmarkEnd w:id="286"/>
      <w:bookmarkStart w:id="287" w:name="_Toc184308074"/>
      <w:bookmarkEnd w:id="287"/>
      <w:bookmarkStart w:id="288" w:name="_Toc184308104"/>
      <w:bookmarkEnd w:id="288"/>
      <w:bookmarkStart w:id="289" w:name="_Toc184314476"/>
      <w:bookmarkEnd w:id="289"/>
      <w:bookmarkStart w:id="290" w:name="_Toc184314459"/>
      <w:bookmarkEnd w:id="290"/>
      <w:bookmarkStart w:id="291" w:name="_Toc184310272"/>
      <w:bookmarkEnd w:id="291"/>
      <w:bookmarkStart w:id="292" w:name="_Toc184310280"/>
      <w:bookmarkEnd w:id="292"/>
      <w:bookmarkStart w:id="293" w:name="_Toc184314446"/>
      <w:bookmarkEnd w:id="293"/>
      <w:bookmarkStart w:id="294" w:name="_Toc184314470"/>
      <w:bookmarkEnd w:id="294"/>
      <w:bookmarkStart w:id="295" w:name="_Toc184312115"/>
      <w:bookmarkEnd w:id="295"/>
      <w:bookmarkStart w:id="296" w:name="_Toc184313284"/>
      <w:bookmarkEnd w:id="296"/>
      <w:bookmarkStart w:id="297" w:name="_Toc184312099"/>
      <w:bookmarkEnd w:id="297"/>
      <w:bookmarkStart w:id="298" w:name="_Toc184310313"/>
      <w:bookmarkEnd w:id="298"/>
      <w:bookmarkStart w:id="299" w:name="_Toc184308088"/>
      <w:bookmarkEnd w:id="299"/>
      <w:bookmarkStart w:id="300" w:name="_Toc184314482"/>
      <w:bookmarkEnd w:id="300"/>
      <w:bookmarkStart w:id="301" w:name="_Toc184313298"/>
      <w:bookmarkEnd w:id="301"/>
      <w:bookmarkStart w:id="302" w:name="_Toc184312133"/>
      <w:bookmarkEnd w:id="302"/>
      <w:bookmarkStart w:id="303" w:name="_Toc184310333"/>
      <w:bookmarkEnd w:id="303"/>
      <w:bookmarkStart w:id="304" w:name="_Toc184313266"/>
      <w:bookmarkEnd w:id="304"/>
      <w:bookmarkStart w:id="305" w:name="_Toc184314464"/>
      <w:bookmarkEnd w:id="305"/>
      <w:bookmarkStart w:id="306" w:name="_Toc184312095"/>
      <w:bookmarkEnd w:id="306"/>
      <w:bookmarkStart w:id="307" w:name="_Toc184308043"/>
      <w:bookmarkEnd w:id="307"/>
      <w:bookmarkStart w:id="308" w:name="_Toc184312086"/>
      <w:bookmarkEnd w:id="308"/>
      <w:bookmarkStart w:id="309" w:name="_Toc184312085"/>
      <w:bookmarkEnd w:id="309"/>
      <w:bookmarkStart w:id="310" w:name="_Toc184310314"/>
      <w:bookmarkEnd w:id="310"/>
      <w:bookmarkStart w:id="311" w:name="_Toc184310297"/>
      <w:bookmarkEnd w:id="311"/>
      <w:bookmarkStart w:id="312" w:name="_Toc184310317"/>
      <w:bookmarkEnd w:id="312"/>
      <w:bookmarkStart w:id="313" w:name="_Toc184312101"/>
      <w:bookmarkEnd w:id="313"/>
      <w:bookmarkStart w:id="314" w:name="_Toc184313302"/>
      <w:bookmarkEnd w:id="314"/>
      <w:bookmarkStart w:id="315" w:name="_Toc184310341"/>
      <w:bookmarkEnd w:id="315"/>
      <w:bookmarkStart w:id="316" w:name="_Toc184310337"/>
      <w:bookmarkEnd w:id="316"/>
      <w:bookmarkStart w:id="317" w:name="_Toc184314472"/>
      <w:bookmarkEnd w:id="317"/>
      <w:bookmarkStart w:id="318" w:name="_Toc184313239"/>
      <w:bookmarkEnd w:id="318"/>
      <w:bookmarkStart w:id="319" w:name="_Toc184312067"/>
      <w:bookmarkEnd w:id="319"/>
      <w:bookmarkStart w:id="320" w:name="_Toc184308091"/>
      <w:bookmarkEnd w:id="320"/>
      <w:bookmarkStart w:id="321" w:name="_Toc184308106"/>
      <w:bookmarkEnd w:id="321"/>
      <w:bookmarkStart w:id="322" w:name="_Toc184314474"/>
      <w:bookmarkEnd w:id="322"/>
      <w:bookmarkStart w:id="323" w:name="_Toc184308047"/>
      <w:bookmarkEnd w:id="323"/>
      <w:bookmarkStart w:id="324" w:name="_Toc184310273"/>
      <w:bookmarkEnd w:id="324"/>
      <w:bookmarkStart w:id="325" w:name="_Toc184313276"/>
      <w:bookmarkEnd w:id="325"/>
      <w:bookmarkStart w:id="326" w:name="_Toc184312111"/>
      <w:bookmarkEnd w:id="326"/>
      <w:bookmarkStart w:id="327" w:name="_Toc184314428"/>
      <w:bookmarkEnd w:id="327"/>
      <w:bookmarkStart w:id="328" w:name="_Toc184308097"/>
      <w:bookmarkEnd w:id="328"/>
      <w:bookmarkStart w:id="329" w:name="_Toc184308069"/>
      <w:bookmarkEnd w:id="329"/>
      <w:bookmarkStart w:id="330" w:name="_Toc184314463"/>
      <w:bookmarkEnd w:id="330"/>
      <w:bookmarkStart w:id="331" w:name="_Toc184312110"/>
      <w:bookmarkEnd w:id="331"/>
      <w:bookmarkStart w:id="332" w:name="_Toc184312083"/>
      <w:bookmarkEnd w:id="332"/>
      <w:bookmarkStart w:id="333" w:name="_Toc184310342"/>
      <w:bookmarkEnd w:id="333"/>
      <w:bookmarkStart w:id="334" w:name="_Toc184314431"/>
      <w:bookmarkEnd w:id="334"/>
      <w:bookmarkStart w:id="335" w:name="_Toc184313267"/>
      <w:bookmarkEnd w:id="335"/>
      <w:bookmarkStart w:id="336" w:name="_Toc184308065"/>
      <w:bookmarkEnd w:id="336"/>
      <w:bookmarkStart w:id="337" w:name="_Toc184308098"/>
      <w:bookmarkEnd w:id="337"/>
      <w:bookmarkStart w:id="338" w:name="_Toc184312098"/>
      <w:bookmarkEnd w:id="338"/>
      <w:bookmarkStart w:id="339" w:name="_Toc184313254"/>
      <w:bookmarkEnd w:id="339"/>
      <w:bookmarkStart w:id="340" w:name="_Toc184308037"/>
      <w:bookmarkEnd w:id="340"/>
      <w:bookmarkStart w:id="341" w:name="_Toc184313289"/>
      <w:bookmarkEnd w:id="341"/>
      <w:bookmarkStart w:id="342" w:name="_Toc184314478"/>
      <w:bookmarkEnd w:id="342"/>
      <w:bookmarkStart w:id="343" w:name="_Toc184308092"/>
      <w:bookmarkEnd w:id="343"/>
      <w:bookmarkStart w:id="344" w:name="_Toc184314412"/>
      <w:bookmarkEnd w:id="344"/>
      <w:bookmarkStart w:id="345" w:name="_Toc184308067"/>
      <w:bookmarkEnd w:id="345"/>
      <w:bookmarkStart w:id="346" w:name="_Toc184310295"/>
      <w:bookmarkEnd w:id="346"/>
      <w:bookmarkStart w:id="347" w:name="_Toc184314445"/>
      <w:bookmarkEnd w:id="347"/>
      <w:bookmarkStart w:id="348" w:name="_Toc184310312"/>
      <w:bookmarkEnd w:id="348"/>
      <w:bookmarkStart w:id="349" w:name="_Toc184308063"/>
      <w:bookmarkEnd w:id="349"/>
      <w:bookmarkStart w:id="350" w:name="_Toc184314436"/>
      <w:bookmarkEnd w:id="350"/>
      <w:bookmarkStart w:id="351" w:name="_Toc184312105"/>
      <w:bookmarkEnd w:id="351"/>
      <w:bookmarkStart w:id="352" w:name="_Toc184314427"/>
      <w:bookmarkEnd w:id="352"/>
      <w:bookmarkStart w:id="353" w:name="_Toc184312108"/>
      <w:bookmarkEnd w:id="353"/>
      <w:bookmarkStart w:id="354" w:name="_Toc184308040"/>
      <w:bookmarkEnd w:id="354"/>
      <w:bookmarkStart w:id="355" w:name="_Toc184313259"/>
      <w:bookmarkEnd w:id="355"/>
      <w:bookmarkStart w:id="356" w:name="_Toc184308086"/>
      <w:bookmarkEnd w:id="356"/>
      <w:bookmarkStart w:id="357" w:name="_Toc184310339"/>
      <w:bookmarkEnd w:id="357"/>
      <w:bookmarkStart w:id="358" w:name="_Toc184312131"/>
      <w:bookmarkEnd w:id="358"/>
      <w:bookmarkStart w:id="359" w:name="_Toc184310326"/>
      <w:bookmarkEnd w:id="359"/>
      <w:bookmarkStart w:id="360" w:name="_Toc184314481"/>
      <w:bookmarkEnd w:id="360"/>
      <w:bookmarkStart w:id="361" w:name="_Toc184313305"/>
      <w:bookmarkEnd w:id="361"/>
      <w:bookmarkStart w:id="362" w:name="_Toc184308044"/>
      <w:bookmarkEnd w:id="362"/>
      <w:bookmarkStart w:id="363" w:name="_Toc184308056"/>
      <w:bookmarkEnd w:id="363"/>
      <w:bookmarkStart w:id="364" w:name="_Toc184314456"/>
      <w:bookmarkEnd w:id="364"/>
      <w:bookmarkStart w:id="365" w:name="_Toc184314458"/>
      <w:bookmarkEnd w:id="365"/>
      <w:bookmarkStart w:id="366" w:name="_Toc184313277"/>
      <w:bookmarkEnd w:id="366"/>
      <w:bookmarkStart w:id="367" w:name="_Toc184308038"/>
      <w:bookmarkEnd w:id="367"/>
      <w:bookmarkStart w:id="368" w:name="_Toc184310294"/>
      <w:bookmarkEnd w:id="368"/>
      <w:bookmarkStart w:id="369" w:name="_Toc184314475"/>
      <w:bookmarkEnd w:id="369"/>
      <w:bookmarkStart w:id="370" w:name="_Toc184308048"/>
      <w:bookmarkEnd w:id="370"/>
      <w:bookmarkStart w:id="371" w:name="_Toc184314416"/>
      <w:bookmarkEnd w:id="371"/>
      <w:bookmarkStart w:id="372" w:name="_Toc184313310"/>
      <w:bookmarkEnd w:id="372"/>
      <w:bookmarkStart w:id="373" w:name="_Toc184310305"/>
      <w:bookmarkEnd w:id="373"/>
      <w:bookmarkStart w:id="374" w:name="_Toc184313271"/>
      <w:bookmarkEnd w:id="374"/>
      <w:bookmarkStart w:id="375" w:name="_Toc184313245"/>
      <w:bookmarkEnd w:id="375"/>
      <w:bookmarkStart w:id="376" w:name="_Toc184310303"/>
      <w:bookmarkEnd w:id="376"/>
      <w:bookmarkStart w:id="377" w:name="_Toc184313249"/>
      <w:bookmarkEnd w:id="377"/>
      <w:bookmarkStart w:id="378" w:name="_Toc184308100"/>
      <w:bookmarkEnd w:id="378"/>
      <w:bookmarkStart w:id="379" w:name="_Toc184310344"/>
      <w:bookmarkEnd w:id="379"/>
      <w:bookmarkStart w:id="380" w:name="_Toc184310307"/>
      <w:bookmarkEnd w:id="380"/>
      <w:bookmarkStart w:id="381" w:name="_Toc184308055"/>
      <w:bookmarkEnd w:id="381"/>
      <w:bookmarkStart w:id="382" w:name="_Toc184312096"/>
      <w:bookmarkEnd w:id="382"/>
      <w:bookmarkStart w:id="383" w:name="_Toc184308076"/>
      <w:bookmarkEnd w:id="383"/>
      <w:bookmarkStart w:id="384" w:name="_Toc184310322"/>
      <w:bookmarkEnd w:id="384"/>
      <w:bookmarkStart w:id="385" w:name="_Toc184308090"/>
      <w:bookmarkEnd w:id="385"/>
      <w:bookmarkStart w:id="386" w:name="_Toc184313278"/>
      <w:bookmarkEnd w:id="386"/>
      <w:bookmarkStart w:id="387" w:name="_Toc184313270"/>
      <w:bookmarkEnd w:id="387"/>
      <w:bookmarkStart w:id="388" w:name="_Toc184310327"/>
      <w:bookmarkEnd w:id="388"/>
      <w:bookmarkStart w:id="389" w:name="_Toc184308096"/>
      <w:bookmarkEnd w:id="389"/>
      <w:bookmarkStart w:id="390" w:name="_Toc184312112"/>
      <w:bookmarkEnd w:id="390"/>
      <w:bookmarkStart w:id="391" w:name="_Toc184312118"/>
      <w:bookmarkEnd w:id="391"/>
      <w:bookmarkStart w:id="392" w:name="_Toc184314450"/>
      <w:bookmarkEnd w:id="392"/>
      <w:bookmarkStart w:id="393" w:name="_Toc184313248"/>
      <w:bookmarkEnd w:id="393"/>
      <w:bookmarkStart w:id="394" w:name="_Toc184313282"/>
      <w:bookmarkEnd w:id="394"/>
      <w:bookmarkStart w:id="395" w:name="_Toc184310323"/>
      <w:bookmarkEnd w:id="395"/>
      <w:bookmarkStart w:id="396" w:name="_Toc184314469"/>
      <w:bookmarkEnd w:id="396"/>
      <w:r>
        <w:rPr>
          <w:rFonts w:hint="eastAsia" w:ascii="宋体" w:hAnsi="宋体" w:cs="宋体"/>
          <w:b/>
          <w:color w:val="auto"/>
          <w:sz w:val="36"/>
          <w:szCs w:val="20"/>
          <w:highlight w:val="none"/>
        </w:rPr>
        <w:t xml:space="preserve"> 评审办法</w:t>
      </w:r>
    </w:p>
    <w:p w14:paraId="7B5E2C53">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评审办法前附表</w:t>
      </w:r>
    </w:p>
    <w:tbl>
      <w:tblPr>
        <w:tblStyle w:val="63"/>
        <w:tblpPr w:leftFromText="180" w:rightFromText="180" w:vertAnchor="text" w:horzAnchor="page" w:tblpX="1031" w:tblpY="126"/>
        <w:tblW w:w="101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205"/>
        <w:gridCol w:w="67"/>
        <w:gridCol w:w="5446"/>
        <w:gridCol w:w="1118"/>
        <w:gridCol w:w="1440"/>
      </w:tblGrid>
      <w:tr w14:paraId="2518F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90" w:type="dxa"/>
            <w:vAlign w:val="center"/>
          </w:tcPr>
          <w:p w14:paraId="68864B07">
            <w:pPr>
              <w:spacing w:line="360" w:lineRule="auto"/>
              <w:jc w:val="center"/>
              <w:outlineLvl w:val="0"/>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序号</w:t>
            </w:r>
          </w:p>
        </w:tc>
        <w:tc>
          <w:tcPr>
            <w:tcW w:w="6718" w:type="dxa"/>
            <w:gridSpan w:val="3"/>
            <w:vAlign w:val="center"/>
          </w:tcPr>
          <w:p w14:paraId="1A79D660">
            <w:pPr>
              <w:spacing w:line="360" w:lineRule="auto"/>
              <w:jc w:val="center"/>
              <w:outlineLvl w:val="0"/>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评标标准</w:t>
            </w:r>
          </w:p>
        </w:tc>
        <w:tc>
          <w:tcPr>
            <w:tcW w:w="1118" w:type="dxa"/>
            <w:vAlign w:val="center"/>
          </w:tcPr>
          <w:p w14:paraId="76C21FD2">
            <w:pPr>
              <w:spacing w:line="360" w:lineRule="auto"/>
              <w:jc w:val="center"/>
              <w:outlineLvl w:val="0"/>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权重</w:t>
            </w:r>
          </w:p>
        </w:tc>
        <w:tc>
          <w:tcPr>
            <w:tcW w:w="1440" w:type="dxa"/>
          </w:tcPr>
          <w:p w14:paraId="55CF44C2">
            <w:pPr>
              <w:spacing w:line="360" w:lineRule="auto"/>
              <w:jc w:val="center"/>
              <w:outlineLvl w:val="0"/>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目录</w:t>
            </w:r>
          </w:p>
        </w:tc>
      </w:tr>
      <w:tr w14:paraId="05F1C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890" w:type="dxa"/>
            <w:vAlign w:val="center"/>
          </w:tcPr>
          <w:p w14:paraId="536EA7AE">
            <w:pPr>
              <w:spacing w:line="360" w:lineRule="auto"/>
              <w:jc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1</w:t>
            </w:r>
          </w:p>
        </w:tc>
        <w:tc>
          <w:tcPr>
            <w:tcW w:w="6718" w:type="dxa"/>
            <w:gridSpan w:val="3"/>
            <w:vAlign w:val="center"/>
          </w:tcPr>
          <w:p w14:paraId="03296356">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投标人自20</w:t>
            </w:r>
            <w:r>
              <w:rPr>
                <w:rFonts w:ascii="宋体" w:hAnsi="宋体" w:cs="宋体"/>
                <w:color w:val="auto"/>
                <w:kern w:val="0"/>
                <w:sz w:val="24"/>
                <w:szCs w:val="24"/>
                <w:highlight w:val="none"/>
                <w:lang w:bidi="ar"/>
              </w:rPr>
              <w:t>2</w:t>
            </w:r>
            <w:r>
              <w:rPr>
                <w:rFonts w:hint="eastAsia" w:ascii="宋体" w:hAnsi="宋体" w:cs="宋体"/>
                <w:color w:val="auto"/>
                <w:kern w:val="0"/>
                <w:sz w:val="24"/>
                <w:szCs w:val="24"/>
                <w:highlight w:val="none"/>
                <w:lang w:val="en-US" w:eastAsia="zh-CN" w:bidi="ar"/>
              </w:rPr>
              <w:t>2</w:t>
            </w:r>
            <w:r>
              <w:rPr>
                <w:rFonts w:hint="eastAsia" w:ascii="宋体" w:hAnsi="宋体" w:cs="宋体"/>
                <w:color w:val="auto"/>
                <w:kern w:val="0"/>
                <w:sz w:val="24"/>
                <w:szCs w:val="24"/>
                <w:highlight w:val="none"/>
                <w:lang w:bidi="ar"/>
              </w:rPr>
              <w:t>年</w:t>
            </w:r>
            <w:r>
              <w:rPr>
                <w:rFonts w:hint="eastAsia" w:ascii="宋体" w:hAnsi="宋体" w:cs="宋体"/>
                <w:color w:val="auto"/>
                <w:kern w:val="0"/>
                <w:sz w:val="24"/>
                <w:szCs w:val="24"/>
                <w:highlight w:val="none"/>
                <w:lang w:val="en-US" w:eastAsia="zh-CN" w:bidi="ar"/>
              </w:rPr>
              <w:t>7</w:t>
            </w:r>
            <w:r>
              <w:rPr>
                <w:rFonts w:hint="eastAsia" w:ascii="宋体" w:hAnsi="宋体" w:cs="宋体"/>
                <w:color w:val="auto"/>
                <w:kern w:val="0"/>
                <w:sz w:val="24"/>
                <w:szCs w:val="24"/>
                <w:highlight w:val="none"/>
                <w:lang w:bidi="ar"/>
              </w:rPr>
              <w:t>月</w:t>
            </w:r>
            <w:r>
              <w:rPr>
                <w:rFonts w:hint="eastAsia" w:ascii="宋体" w:hAnsi="宋体" w:cs="宋体"/>
                <w:color w:val="auto"/>
                <w:kern w:val="0"/>
                <w:sz w:val="24"/>
                <w:szCs w:val="24"/>
                <w:highlight w:val="none"/>
                <w:lang w:val="en-US" w:eastAsia="zh-CN" w:bidi="ar"/>
              </w:rPr>
              <w:t>1日</w:t>
            </w:r>
            <w:r>
              <w:rPr>
                <w:rFonts w:hint="eastAsia" w:ascii="宋体" w:hAnsi="宋体" w:cs="宋体"/>
                <w:color w:val="auto"/>
                <w:kern w:val="0"/>
                <w:sz w:val="24"/>
                <w:szCs w:val="24"/>
                <w:highlight w:val="none"/>
                <w:lang w:bidi="ar"/>
              </w:rPr>
              <w:t>以来（以</w:t>
            </w:r>
            <w:r>
              <w:rPr>
                <w:rFonts w:hint="eastAsia" w:ascii="宋体" w:hAnsi="宋体" w:cs="宋体"/>
                <w:color w:val="auto"/>
                <w:kern w:val="0"/>
                <w:sz w:val="24"/>
                <w:szCs w:val="24"/>
                <w:highlight w:val="none"/>
                <w:lang w:val="en-US" w:eastAsia="zh-CN" w:bidi="ar"/>
              </w:rPr>
              <w:t>竣工验收</w:t>
            </w:r>
            <w:r>
              <w:rPr>
                <w:rFonts w:hint="eastAsia" w:ascii="宋体" w:hAnsi="宋体" w:cs="宋体"/>
                <w:color w:val="auto"/>
                <w:kern w:val="0"/>
                <w:sz w:val="24"/>
                <w:szCs w:val="24"/>
                <w:highlight w:val="none"/>
                <w:lang w:bidi="ar"/>
              </w:rPr>
              <w:t>日期为准）承建过类似业绩，每提供一项业绩证明材料得</w:t>
            </w:r>
            <w:r>
              <w:rPr>
                <w:rFonts w:hint="eastAsia" w:ascii="宋体" w:hAnsi="宋体" w:cs="宋体"/>
                <w:color w:val="auto"/>
                <w:kern w:val="0"/>
                <w:sz w:val="24"/>
                <w:szCs w:val="24"/>
                <w:highlight w:val="none"/>
                <w:lang w:val="en-US" w:eastAsia="zh-CN" w:bidi="ar"/>
              </w:rPr>
              <w:t>0.3</w:t>
            </w:r>
            <w:r>
              <w:rPr>
                <w:rFonts w:hint="eastAsia" w:ascii="宋体" w:hAnsi="宋体" w:cs="宋体"/>
                <w:color w:val="auto"/>
                <w:kern w:val="0"/>
                <w:sz w:val="24"/>
                <w:szCs w:val="24"/>
                <w:highlight w:val="none"/>
                <w:lang w:bidi="ar"/>
              </w:rPr>
              <w:t>分，本项最高得</w:t>
            </w:r>
            <w:r>
              <w:rPr>
                <w:rFonts w:hint="eastAsia" w:ascii="宋体" w:hAnsi="宋体" w:cs="宋体"/>
                <w:color w:val="auto"/>
                <w:kern w:val="0"/>
                <w:sz w:val="24"/>
                <w:szCs w:val="24"/>
                <w:highlight w:val="none"/>
                <w:lang w:val="en-US" w:eastAsia="zh-CN" w:bidi="ar"/>
              </w:rPr>
              <w:t>1.5</w:t>
            </w:r>
            <w:r>
              <w:rPr>
                <w:rFonts w:hint="eastAsia" w:ascii="宋体" w:hAnsi="宋体" w:cs="宋体"/>
                <w:color w:val="auto"/>
                <w:kern w:val="0"/>
                <w:sz w:val="24"/>
                <w:szCs w:val="24"/>
                <w:highlight w:val="none"/>
                <w:lang w:bidi="ar"/>
              </w:rPr>
              <w:t>分。</w:t>
            </w:r>
          </w:p>
          <w:p w14:paraId="7681BAEC">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w:t>
            </w:r>
            <w:r>
              <w:rPr>
                <w:rFonts w:hint="eastAsia" w:ascii="宋体" w:hAnsi="宋体" w:cs="宋体"/>
                <w:color w:val="auto"/>
                <w:kern w:val="0"/>
                <w:sz w:val="24"/>
                <w:szCs w:val="24"/>
                <w:highlight w:val="none"/>
                <w:lang w:val="en-US" w:eastAsia="zh-CN" w:bidi="ar"/>
              </w:rPr>
              <w:t>需</w:t>
            </w:r>
            <w:r>
              <w:rPr>
                <w:rFonts w:hint="eastAsia" w:ascii="宋体" w:hAnsi="宋体" w:cs="宋体"/>
                <w:color w:val="auto"/>
                <w:kern w:val="0"/>
                <w:sz w:val="24"/>
                <w:szCs w:val="24"/>
                <w:highlight w:val="none"/>
                <w:lang w:bidi="ar"/>
              </w:rPr>
              <w:t>提供</w:t>
            </w:r>
            <w:r>
              <w:rPr>
                <w:rFonts w:hint="eastAsia" w:ascii="宋体" w:hAnsi="宋体" w:cs="宋体"/>
                <w:color w:val="auto"/>
                <w:kern w:val="0"/>
                <w:sz w:val="24"/>
                <w:szCs w:val="24"/>
                <w:highlight w:val="none"/>
                <w:lang w:val="en-US" w:eastAsia="zh-CN" w:bidi="ar"/>
              </w:rPr>
              <w:t>项目</w:t>
            </w:r>
            <w:r>
              <w:rPr>
                <w:rFonts w:hint="eastAsia" w:ascii="宋体" w:hAnsi="宋体" w:cs="宋体"/>
                <w:color w:val="auto"/>
                <w:kern w:val="0"/>
                <w:sz w:val="24"/>
                <w:szCs w:val="24"/>
                <w:highlight w:val="none"/>
                <w:lang w:bidi="ar"/>
              </w:rPr>
              <w:t>合同</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val="en-US" w:eastAsia="zh-CN" w:bidi="ar"/>
              </w:rPr>
              <w:t>竣工验收证书或报告</w:t>
            </w:r>
            <w:r>
              <w:rPr>
                <w:rFonts w:hint="eastAsia" w:ascii="宋体" w:hAnsi="宋体" w:cs="宋体"/>
                <w:color w:val="auto"/>
                <w:kern w:val="0"/>
                <w:sz w:val="24"/>
                <w:szCs w:val="24"/>
                <w:highlight w:val="none"/>
                <w:lang w:bidi="ar"/>
              </w:rPr>
              <w:t>的扫描件</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bidi="ar"/>
              </w:rPr>
              <w:t>签字、盖章及日期内容须完整</w:t>
            </w:r>
            <w:r>
              <w:rPr>
                <w:rFonts w:hint="eastAsia" w:ascii="宋体" w:hAnsi="宋体" w:cs="宋体"/>
                <w:color w:val="auto"/>
                <w:kern w:val="0"/>
                <w:sz w:val="24"/>
                <w:szCs w:val="24"/>
                <w:highlight w:val="none"/>
                <w:lang w:val="en-US" w:eastAsia="zh-CN" w:bidi="ar"/>
              </w:rPr>
              <w:t>。未</w:t>
            </w:r>
            <w:r>
              <w:rPr>
                <w:rFonts w:hint="eastAsia" w:ascii="宋体" w:hAnsi="宋体" w:cs="宋体"/>
                <w:color w:val="auto"/>
                <w:kern w:val="0"/>
                <w:sz w:val="24"/>
                <w:szCs w:val="24"/>
                <w:highlight w:val="none"/>
                <w:lang w:bidi="ar"/>
              </w:rPr>
              <w:t>按要求提供完整证明材料的，不予得分】</w:t>
            </w:r>
          </w:p>
        </w:tc>
        <w:tc>
          <w:tcPr>
            <w:tcW w:w="1118" w:type="dxa"/>
            <w:vAlign w:val="center"/>
          </w:tcPr>
          <w:p w14:paraId="0542FF53">
            <w:pPr>
              <w:snapToGrid w:val="0"/>
              <w:spacing w:line="360" w:lineRule="auto"/>
              <w:jc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1.5    （客观）</w:t>
            </w:r>
          </w:p>
        </w:tc>
        <w:tc>
          <w:tcPr>
            <w:tcW w:w="1440" w:type="dxa"/>
            <w:vAlign w:val="center"/>
          </w:tcPr>
          <w:p w14:paraId="77709C88">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企业</w:t>
            </w:r>
            <w:r>
              <w:rPr>
                <w:rFonts w:hint="eastAsia" w:ascii="宋体" w:hAnsi="宋体" w:cs="宋体"/>
                <w:color w:val="auto"/>
                <w:kern w:val="0"/>
                <w:sz w:val="24"/>
                <w:szCs w:val="24"/>
                <w:highlight w:val="none"/>
                <w:lang w:bidi="ar"/>
              </w:rPr>
              <w:t>业绩</w:t>
            </w:r>
          </w:p>
        </w:tc>
      </w:tr>
      <w:tr w14:paraId="62316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890" w:type="dxa"/>
            <w:vAlign w:val="center"/>
          </w:tcPr>
          <w:p w14:paraId="75F3EAF5">
            <w:pPr>
              <w:spacing w:line="360" w:lineRule="auto"/>
              <w:jc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2</w:t>
            </w:r>
          </w:p>
        </w:tc>
        <w:tc>
          <w:tcPr>
            <w:tcW w:w="6718" w:type="dxa"/>
            <w:gridSpan w:val="3"/>
            <w:vAlign w:val="center"/>
          </w:tcPr>
          <w:p w14:paraId="2B1DEFE6">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拟派项目负责人具</w:t>
            </w:r>
            <w:r>
              <w:rPr>
                <w:rFonts w:hint="eastAsia" w:ascii="宋体" w:hAnsi="宋体" w:cs="宋体"/>
                <w:color w:val="auto"/>
                <w:kern w:val="0"/>
                <w:sz w:val="24"/>
                <w:szCs w:val="24"/>
                <w:highlight w:val="none"/>
                <w:lang w:val="en-US" w:eastAsia="zh-CN" w:bidi="ar"/>
              </w:rPr>
              <w:t>有建筑工程类</w:t>
            </w:r>
            <w:r>
              <w:rPr>
                <w:rFonts w:hint="eastAsia" w:ascii="宋体" w:hAnsi="宋体" w:cs="宋体"/>
                <w:color w:val="auto"/>
                <w:kern w:val="0"/>
                <w:sz w:val="24"/>
                <w:szCs w:val="24"/>
                <w:highlight w:val="none"/>
                <w:lang w:bidi="ar"/>
              </w:rPr>
              <w:t>中级</w:t>
            </w:r>
            <w:r>
              <w:rPr>
                <w:rFonts w:hint="eastAsia" w:ascii="宋体" w:hAnsi="宋体" w:cs="宋体"/>
                <w:color w:val="auto"/>
                <w:kern w:val="0"/>
                <w:sz w:val="24"/>
                <w:szCs w:val="24"/>
                <w:highlight w:val="none"/>
                <w:lang w:val="en-US" w:eastAsia="zh-CN" w:bidi="ar"/>
              </w:rPr>
              <w:t>及以上</w:t>
            </w:r>
            <w:r>
              <w:rPr>
                <w:rFonts w:hint="eastAsia" w:ascii="宋体" w:hAnsi="宋体" w:cs="宋体"/>
                <w:color w:val="auto"/>
                <w:kern w:val="0"/>
                <w:sz w:val="24"/>
                <w:szCs w:val="24"/>
                <w:highlight w:val="none"/>
                <w:lang w:bidi="ar"/>
              </w:rPr>
              <w:t>工程师职称</w:t>
            </w:r>
            <w:r>
              <w:rPr>
                <w:rFonts w:hint="eastAsia" w:ascii="宋体" w:hAnsi="宋体" w:cs="宋体"/>
                <w:color w:val="auto"/>
                <w:kern w:val="0"/>
                <w:sz w:val="24"/>
                <w:szCs w:val="24"/>
                <w:highlight w:val="none"/>
                <w:lang w:val="en-US" w:eastAsia="zh-CN" w:bidi="ar"/>
              </w:rPr>
              <w:t>的得3分。</w:t>
            </w:r>
            <w:r>
              <w:rPr>
                <w:rFonts w:hint="eastAsia" w:ascii="宋体" w:hAnsi="宋体" w:cs="宋体"/>
                <w:color w:val="auto"/>
                <w:kern w:val="0"/>
                <w:sz w:val="24"/>
                <w:szCs w:val="24"/>
                <w:highlight w:val="none"/>
                <w:lang w:bidi="ar"/>
              </w:rPr>
              <w:t>【提供有效职称证书</w:t>
            </w:r>
            <w:r>
              <w:rPr>
                <w:rFonts w:hint="eastAsia" w:ascii="宋体" w:hAnsi="宋体" w:cs="宋体"/>
                <w:color w:val="auto"/>
                <w:kern w:val="0"/>
                <w:sz w:val="24"/>
                <w:szCs w:val="24"/>
                <w:highlight w:val="none"/>
                <w:lang w:val="en-US" w:eastAsia="zh-CN" w:bidi="ar"/>
              </w:rPr>
              <w:t>扫描</w:t>
            </w:r>
            <w:r>
              <w:rPr>
                <w:rFonts w:hint="eastAsia" w:ascii="宋体" w:hAnsi="宋体" w:eastAsia="宋体" w:cs="宋体"/>
                <w:color w:val="auto"/>
                <w:kern w:val="0"/>
                <w:sz w:val="24"/>
                <w:szCs w:val="24"/>
                <w:highlight w:val="none"/>
                <w:lang w:val="en-US" w:eastAsia="zh-CN" w:bidi="ar"/>
              </w:rPr>
              <w:t>件</w:t>
            </w:r>
            <w:r>
              <w:rPr>
                <w:rFonts w:hint="eastAsia" w:ascii="宋体" w:hAnsi="宋体" w:cs="宋体"/>
                <w:color w:val="auto"/>
                <w:kern w:val="0"/>
                <w:sz w:val="24"/>
                <w:szCs w:val="24"/>
                <w:highlight w:val="none"/>
                <w:lang w:bidi="ar"/>
              </w:rPr>
              <w:t>及人员截止投标时间最近3个月任意时间的社保缴纳证明，未提供的不得分】</w:t>
            </w:r>
          </w:p>
        </w:tc>
        <w:tc>
          <w:tcPr>
            <w:tcW w:w="1118" w:type="dxa"/>
            <w:vAlign w:val="center"/>
          </w:tcPr>
          <w:p w14:paraId="7CD08D79">
            <w:pPr>
              <w:spacing w:line="360" w:lineRule="auto"/>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w:t>
            </w:r>
          </w:p>
          <w:p w14:paraId="049D471B">
            <w:pPr>
              <w:spacing w:line="360" w:lineRule="auto"/>
              <w:jc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（客观）</w:t>
            </w:r>
          </w:p>
        </w:tc>
        <w:tc>
          <w:tcPr>
            <w:tcW w:w="1440" w:type="dxa"/>
            <w:vMerge w:val="restart"/>
            <w:vAlign w:val="center"/>
          </w:tcPr>
          <w:p w14:paraId="424F497F">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项目组人员配置</w:t>
            </w:r>
          </w:p>
        </w:tc>
      </w:tr>
      <w:tr w14:paraId="6605E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890" w:type="dxa"/>
            <w:vAlign w:val="center"/>
          </w:tcPr>
          <w:p w14:paraId="4C168500">
            <w:pPr>
              <w:spacing w:line="360" w:lineRule="auto"/>
              <w:jc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3</w:t>
            </w:r>
          </w:p>
        </w:tc>
        <w:tc>
          <w:tcPr>
            <w:tcW w:w="6718" w:type="dxa"/>
            <w:gridSpan w:val="3"/>
            <w:vAlign w:val="center"/>
          </w:tcPr>
          <w:p w14:paraId="55B775E6">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拟派</w:t>
            </w:r>
            <w:r>
              <w:rPr>
                <w:rFonts w:hint="eastAsia" w:ascii="宋体" w:hAnsi="宋体" w:cs="宋体"/>
                <w:color w:val="auto"/>
                <w:kern w:val="0"/>
                <w:sz w:val="24"/>
                <w:szCs w:val="24"/>
                <w:highlight w:val="none"/>
                <w:lang w:val="en-US" w:eastAsia="zh-CN" w:bidi="ar"/>
              </w:rPr>
              <w:t>技术</w:t>
            </w:r>
            <w:r>
              <w:rPr>
                <w:rFonts w:hint="eastAsia" w:ascii="宋体" w:hAnsi="宋体" w:cs="宋体"/>
                <w:color w:val="auto"/>
                <w:kern w:val="0"/>
                <w:sz w:val="24"/>
                <w:szCs w:val="24"/>
                <w:highlight w:val="none"/>
                <w:lang w:bidi="ar"/>
              </w:rPr>
              <w:t>负责人具</w:t>
            </w:r>
            <w:r>
              <w:rPr>
                <w:rFonts w:hint="eastAsia" w:ascii="宋体" w:hAnsi="宋体" w:cs="宋体"/>
                <w:color w:val="auto"/>
                <w:kern w:val="0"/>
                <w:sz w:val="24"/>
                <w:szCs w:val="24"/>
                <w:highlight w:val="none"/>
                <w:lang w:val="en-US" w:eastAsia="zh-CN" w:bidi="ar"/>
              </w:rPr>
              <w:t>有建筑工程类</w:t>
            </w:r>
            <w:r>
              <w:rPr>
                <w:rFonts w:hint="eastAsia" w:ascii="宋体" w:hAnsi="宋体" w:cs="宋体"/>
                <w:color w:val="auto"/>
                <w:kern w:val="0"/>
                <w:sz w:val="24"/>
                <w:szCs w:val="24"/>
                <w:highlight w:val="none"/>
                <w:lang w:bidi="ar"/>
              </w:rPr>
              <w:t>中级</w:t>
            </w:r>
            <w:r>
              <w:rPr>
                <w:rFonts w:hint="eastAsia" w:ascii="宋体" w:hAnsi="宋体" w:cs="宋体"/>
                <w:color w:val="auto"/>
                <w:kern w:val="0"/>
                <w:sz w:val="24"/>
                <w:szCs w:val="24"/>
                <w:highlight w:val="none"/>
                <w:lang w:val="en-US" w:eastAsia="zh-CN" w:bidi="ar"/>
              </w:rPr>
              <w:t>及以上</w:t>
            </w:r>
            <w:r>
              <w:rPr>
                <w:rFonts w:hint="eastAsia" w:ascii="宋体" w:hAnsi="宋体" w:cs="宋体"/>
                <w:color w:val="auto"/>
                <w:kern w:val="0"/>
                <w:sz w:val="24"/>
                <w:szCs w:val="24"/>
                <w:highlight w:val="none"/>
                <w:lang w:bidi="ar"/>
              </w:rPr>
              <w:t>工程师职称</w:t>
            </w:r>
            <w:r>
              <w:rPr>
                <w:rFonts w:hint="eastAsia" w:ascii="宋体" w:hAnsi="宋体" w:cs="宋体"/>
                <w:color w:val="auto"/>
                <w:kern w:val="0"/>
                <w:sz w:val="24"/>
                <w:szCs w:val="24"/>
                <w:highlight w:val="none"/>
                <w:lang w:val="en-US" w:eastAsia="zh-CN" w:bidi="ar"/>
              </w:rPr>
              <w:t>的得3分。</w:t>
            </w:r>
            <w:r>
              <w:rPr>
                <w:rFonts w:hint="eastAsia" w:ascii="宋体" w:hAnsi="宋体" w:cs="宋体"/>
                <w:color w:val="auto"/>
                <w:kern w:val="0"/>
                <w:sz w:val="24"/>
                <w:szCs w:val="24"/>
                <w:highlight w:val="none"/>
                <w:lang w:bidi="ar"/>
              </w:rPr>
              <w:t>【提供有效职称证书</w:t>
            </w:r>
            <w:r>
              <w:rPr>
                <w:rFonts w:hint="eastAsia" w:ascii="宋体" w:hAnsi="宋体" w:cs="宋体"/>
                <w:color w:val="auto"/>
                <w:kern w:val="0"/>
                <w:sz w:val="24"/>
                <w:szCs w:val="24"/>
                <w:highlight w:val="none"/>
                <w:lang w:val="en-US" w:eastAsia="zh-CN" w:bidi="ar"/>
              </w:rPr>
              <w:t>扫描</w:t>
            </w:r>
            <w:r>
              <w:rPr>
                <w:rFonts w:hint="eastAsia" w:ascii="宋体" w:hAnsi="宋体" w:eastAsia="宋体" w:cs="宋体"/>
                <w:color w:val="auto"/>
                <w:kern w:val="0"/>
                <w:sz w:val="24"/>
                <w:szCs w:val="24"/>
                <w:highlight w:val="none"/>
                <w:lang w:val="en-US" w:eastAsia="zh-CN" w:bidi="ar"/>
              </w:rPr>
              <w:t>件</w:t>
            </w:r>
            <w:r>
              <w:rPr>
                <w:rFonts w:hint="eastAsia" w:ascii="宋体" w:hAnsi="宋体" w:cs="宋体"/>
                <w:color w:val="auto"/>
                <w:kern w:val="0"/>
                <w:sz w:val="24"/>
                <w:szCs w:val="24"/>
                <w:highlight w:val="none"/>
                <w:lang w:bidi="ar"/>
              </w:rPr>
              <w:t>及人员截止投标时间最近3个月任意时间的社保缴纳证明，未提供的不得分】</w:t>
            </w:r>
          </w:p>
        </w:tc>
        <w:tc>
          <w:tcPr>
            <w:tcW w:w="1118" w:type="dxa"/>
            <w:vAlign w:val="center"/>
          </w:tcPr>
          <w:p w14:paraId="71D69B9B">
            <w:pPr>
              <w:spacing w:line="360" w:lineRule="auto"/>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w:t>
            </w:r>
          </w:p>
          <w:p w14:paraId="43839B50">
            <w:pPr>
              <w:spacing w:line="360" w:lineRule="auto"/>
              <w:jc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（客观）</w:t>
            </w:r>
          </w:p>
        </w:tc>
        <w:tc>
          <w:tcPr>
            <w:tcW w:w="1440" w:type="dxa"/>
            <w:vMerge w:val="continue"/>
            <w:vAlign w:val="center"/>
          </w:tcPr>
          <w:p w14:paraId="2F517DD9">
            <w:pPr>
              <w:snapToGrid w:val="0"/>
              <w:spacing w:line="360" w:lineRule="auto"/>
              <w:jc w:val="center"/>
              <w:rPr>
                <w:rFonts w:ascii="宋体" w:hAnsi="宋体" w:cs="宋体"/>
                <w:color w:val="auto"/>
                <w:kern w:val="0"/>
                <w:sz w:val="24"/>
                <w:szCs w:val="24"/>
                <w:highlight w:val="none"/>
                <w:lang w:bidi="ar"/>
              </w:rPr>
            </w:pPr>
          </w:p>
        </w:tc>
      </w:tr>
      <w:tr w14:paraId="026F9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90" w:type="dxa"/>
            <w:vAlign w:val="center"/>
          </w:tcPr>
          <w:p w14:paraId="12945FC1">
            <w:pPr>
              <w:spacing w:line="360" w:lineRule="auto"/>
              <w:jc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4</w:t>
            </w:r>
          </w:p>
        </w:tc>
        <w:tc>
          <w:tcPr>
            <w:tcW w:w="6718" w:type="dxa"/>
            <w:gridSpan w:val="3"/>
            <w:vAlign w:val="center"/>
          </w:tcPr>
          <w:p w14:paraId="1A23C89E">
            <w:pPr>
              <w:widowControl/>
              <w:spacing w:line="360" w:lineRule="auto"/>
              <w:jc w:val="left"/>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拟投入本项目的专职安全员具有施工企业全生产管理人员安全生产考核合格证书（三类人员C证）得</w:t>
            </w:r>
            <w:r>
              <w:rPr>
                <w:rFonts w:hint="eastAsia" w:ascii="宋体" w:hAnsi="宋体" w:cs="宋体"/>
                <w:color w:val="auto"/>
                <w:kern w:val="0"/>
                <w:sz w:val="24"/>
                <w:szCs w:val="24"/>
                <w:highlight w:val="none"/>
                <w:lang w:val="en-US" w:eastAsia="zh-CN" w:bidi="ar"/>
              </w:rPr>
              <w:t>2.5</w:t>
            </w:r>
            <w:r>
              <w:rPr>
                <w:rFonts w:hint="eastAsia" w:ascii="宋体" w:hAnsi="宋体" w:cs="宋体"/>
                <w:color w:val="auto"/>
                <w:kern w:val="0"/>
                <w:sz w:val="24"/>
                <w:szCs w:val="24"/>
                <w:highlight w:val="none"/>
                <w:lang w:bidi="ar"/>
              </w:rPr>
              <w:t>分；</w:t>
            </w:r>
          </w:p>
          <w:p w14:paraId="4EE01715">
            <w:pPr>
              <w:widowControl/>
              <w:spacing w:line="360" w:lineRule="auto"/>
              <w:jc w:val="left"/>
              <w:rPr>
                <w:rFonts w:ascii="宋体" w:hAnsi="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【提供有效</w:t>
            </w:r>
            <w:r>
              <w:rPr>
                <w:rFonts w:hint="eastAsia" w:ascii="宋体" w:hAnsi="宋体" w:cs="宋体"/>
                <w:color w:val="auto"/>
                <w:kern w:val="0"/>
                <w:sz w:val="24"/>
                <w:szCs w:val="24"/>
                <w:highlight w:val="none"/>
                <w:lang w:bidi="ar"/>
              </w:rPr>
              <w:t>安全生产考核合格证书（三类人员C证）</w:t>
            </w:r>
            <w:r>
              <w:rPr>
                <w:rFonts w:hint="eastAsia" w:ascii="宋体" w:hAnsi="宋体" w:eastAsia="宋体" w:cs="宋体"/>
                <w:color w:val="auto"/>
                <w:kern w:val="0"/>
                <w:sz w:val="24"/>
                <w:szCs w:val="24"/>
                <w:highlight w:val="none"/>
                <w:lang w:val="en-US" w:eastAsia="zh-CN" w:bidi="ar"/>
              </w:rPr>
              <w:t>扫描件</w:t>
            </w:r>
            <w:r>
              <w:rPr>
                <w:rFonts w:hint="eastAsia" w:ascii="宋体" w:hAnsi="宋体" w:eastAsia="宋体" w:cs="宋体"/>
                <w:color w:val="auto"/>
                <w:kern w:val="0"/>
                <w:sz w:val="24"/>
                <w:szCs w:val="24"/>
                <w:highlight w:val="none"/>
                <w:lang w:bidi="ar"/>
              </w:rPr>
              <w:t>及人员截止投标时间最近3个月任意时间的社保缴纳证明，未提供的不得分】</w:t>
            </w:r>
          </w:p>
        </w:tc>
        <w:tc>
          <w:tcPr>
            <w:tcW w:w="1118" w:type="dxa"/>
            <w:vAlign w:val="center"/>
          </w:tcPr>
          <w:p w14:paraId="7897194D">
            <w:pPr>
              <w:spacing w:line="360" w:lineRule="auto"/>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2.5</w:t>
            </w:r>
          </w:p>
          <w:p w14:paraId="7B70F23B">
            <w:pPr>
              <w:spacing w:line="360" w:lineRule="auto"/>
              <w:jc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（客观）</w:t>
            </w:r>
          </w:p>
        </w:tc>
        <w:tc>
          <w:tcPr>
            <w:tcW w:w="1440" w:type="dxa"/>
            <w:vMerge w:val="continue"/>
            <w:vAlign w:val="center"/>
          </w:tcPr>
          <w:p w14:paraId="452A8BA0">
            <w:pPr>
              <w:snapToGrid w:val="0"/>
              <w:spacing w:line="360" w:lineRule="auto"/>
              <w:jc w:val="center"/>
              <w:rPr>
                <w:rFonts w:ascii="宋体" w:hAnsi="宋体" w:cs="宋体"/>
                <w:color w:val="auto"/>
                <w:kern w:val="0"/>
                <w:sz w:val="24"/>
                <w:szCs w:val="24"/>
                <w:highlight w:val="none"/>
                <w:lang w:bidi="ar"/>
              </w:rPr>
            </w:pPr>
          </w:p>
        </w:tc>
      </w:tr>
      <w:tr w14:paraId="424D5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90" w:type="dxa"/>
            <w:vMerge w:val="restart"/>
            <w:vAlign w:val="center"/>
          </w:tcPr>
          <w:p w14:paraId="11FD4A54">
            <w:pPr>
              <w:spacing w:line="360" w:lineRule="auto"/>
              <w:jc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5</w:t>
            </w:r>
          </w:p>
        </w:tc>
        <w:tc>
          <w:tcPr>
            <w:tcW w:w="1272" w:type="dxa"/>
            <w:gridSpan w:val="2"/>
            <w:vMerge w:val="restart"/>
            <w:vAlign w:val="center"/>
          </w:tcPr>
          <w:p w14:paraId="4731298F">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施工方案总体情况评价</w:t>
            </w:r>
          </w:p>
        </w:tc>
        <w:tc>
          <w:tcPr>
            <w:tcW w:w="5446" w:type="dxa"/>
            <w:vAlign w:val="center"/>
          </w:tcPr>
          <w:p w14:paraId="0C3F7961">
            <w:pPr>
              <w:spacing w:line="360" w:lineRule="auto"/>
              <w:jc w:val="left"/>
              <w:rPr>
                <w:rFonts w:ascii="宋体" w:hAnsi="宋体" w:cs="宋体"/>
                <w:color w:val="0000FF"/>
                <w:kern w:val="0"/>
                <w:sz w:val="24"/>
                <w:szCs w:val="24"/>
                <w:highlight w:val="none"/>
                <w:lang w:bidi="ar"/>
              </w:rPr>
            </w:pPr>
            <w:r>
              <w:rPr>
                <w:rFonts w:hint="eastAsia" w:ascii="宋体" w:hAnsi="宋体" w:cs="宋体"/>
                <w:color w:val="0000FF"/>
                <w:kern w:val="0"/>
                <w:sz w:val="24"/>
                <w:szCs w:val="24"/>
                <w:highlight w:val="none"/>
                <w:lang w:bidi="ar"/>
              </w:rPr>
              <w:t>方案内容全面、合理、条理清晰，涵盖本次工程实施有关的内容，且具有针对性得</w:t>
            </w:r>
            <w:r>
              <w:rPr>
                <w:rFonts w:hint="eastAsia" w:ascii="宋体" w:hAnsi="宋体" w:cs="宋体"/>
                <w:color w:val="0000FF"/>
                <w:kern w:val="0"/>
                <w:sz w:val="24"/>
                <w:szCs w:val="24"/>
                <w:highlight w:val="none"/>
                <w:lang w:val="en-US" w:eastAsia="zh-CN" w:bidi="ar"/>
              </w:rPr>
              <w:t>5</w:t>
            </w:r>
            <w:r>
              <w:rPr>
                <w:rFonts w:hint="eastAsia" w:ascii="宋体" w:hAnsi="宋体" w:cs="宋体"/>
                <w:color w:val="0000FF"/>
                <w:kern w:val="0"/>
                <w:sz w:val="24"/>
                <w:szCs w:val="24"/>
                <w:highlight w:val="none"/>
                <w:lang w:bidi="ar"/>
              </w:rPr>
              <w:t>分，方案内容</w:t>
            </w:r>
            <w:r>
              <w:rPr>
                <w:rFonts w:hint="eastAsia" w:ascii="宋体" w:hAnsi="宋体" w:cs="宋体"/>
                <w:color w:val="0000FF"/>
                <w:kern w:val="0"/>
                <w:sz w:val="24"/>
                <w:szCs w:val="24"/>
                <w:highlight w:val="none"/>
                <w:lang w:eastAsia="zh-CN" w:bidi="ar"/>
              </w:rPr>
              <w:t>基本</w:t>
            </w:r>
            <w:r>
              <w:rPr>
                <w:rFonts w:hint="eastAsia" w:ascii="宋体" w:hAnsi="宋体" w:cs="宋体"/>
                <w:color w:val="0000FF"/>
                <w:kern w:val="0"/>
                <w:sz w:val="24"/>
                <w:szCs w:val="24"/>
                <w:highlight w:val="none"/>
                <w:lang w:bidi="ar"/>
              </w:rPr>
              <w:t>全面合理得</w:t>
            </w:r>
            <w:r>
              <w:rPr>
                <w:rFonts w:hint="eastAsia" w:ascii="宋体" w:hAnsi="宋体" w:cs="宋体"/>
                <w:color w:val="0000FF"/>
                <w:kern w:val="0"/>
                <w:sz w:val="24"/>
                <w:szCs w:val="24"/>
                <w:highlight w:val="none"/>
                <w:lang w:val="en-US" w:eastAsia="zh-CN" w:bidi="ar"/>
              </w:rPr>
              <w:t>4</w:t>
            </w:r>
            <w:r>
              <w:rPr>
                <w:rFonts w:hint="eastAsia" w:ascii="宋体" w:hAnsi="宋体" w:cs="宋体"/>
                <w:color w:val="0000FF"/>
                <w:kern w:val="0"/>
                <w:sz w:val="24"/>
                <w:szCs w:val="24"/>
                <w:highlight w:val="none"/>
                <w:lang w:bidi="ar"/>
              </w:rPr>
              <w:t>分，方案内容基本合理，</w:t>
            </w:r>
            <w:r>
              <w:rPr>
                <w:rFonts w:hint="eastAsia" w:ascii="宋体" w:hAnsi="宋体" w:cs="宋体"/>
                <w:color w:val="0000FF"/>
                <w:kern w:val="0"/>
                <w:sz w:val="24"/>
                <w:szCs w:val="24"/>
                <w:highlight w:val="none"/>
                <w:lang w:eastAsia="zh-CN" w:bidi="ar"/>
              </w:rPr>
              <w:t>一般</w:t>
            </w:r>
            <w:r>
              <w:rPr>
                <w:rFonts w:hint="eastAsia" w:ascii="宋体" w:hAnsi="宋体" w:cs="宋体"/>
                <w:color w:val="0000FF"/>
                <w:kern w:val="0"/>
                <w:sz w:val="24"/>
                <w:szCs w:val="24"/>
                <w:highlight w:val="none"/>
                <w:lang w:bidi="ar"/>
              </w:rPr>
              <w:t>满足采购需求得</w:t>
            </w:r>
            <w:r>
              <w:rPr>
                <w:rFonts w:hint="eastAsia" w:ascii="宋体" w:hAnsi="宋体" w:cs="宋体"/>
                <w:color w:val="0000FF"/>
                <w:kern w:val="0"/>
                <w:sz w:val="24"/>
                <w:szCs w:val="24"/>
                <w:highlight w:val="none"/>
                <w:lang w:val="en-US" w:eastAsia="zh-CN" w:bidi="ar"/>
              </w:rPr>
              <w:t>3</w:t>
            </w:r>
            <w:r>
              <w:rPr>
                <w:rFonts w:hint="eastAsia" w:ascii="宋体" w:hAnsi="宋体" w:cs="宋体"/>
                <w:color w:val="0000FF"/>
                <w:kern w:val="0"/>
                <w:sz w:val="24"/>
                <w:szCs w:val="24"/>
                <w:highlight w:val="none"/>
                <w:lang w:bidi="ar"/>
              </w:rPr>
              <w:t>分，方案内容有提及得</w:t>
            </w:r>
            <w:r>
              <w:rPr>
                <w:rFonts w:hint="eastAsia" w:ascii="宋体" w:hAnsi="宋体" w:cs="宋体"/>
                <w:color w:val="0000FF"/>
                <w:kern w:val="0"/>
                <w:sz w:val="24"/>
                <w:szCs w:val="24"/>
                <w:highlight w:val="none"/>
                <w:lang w:val="en-US" w:eastAsia="zh-CN" w:bidi="ar"/>
              </w:rPr>
              <w:t>2</w:t>
            </w:r>
            <w:r>
              <w:rPr>
                <w:rFonts w:hint="eastAsia" w:ascii="宋体" w:hAnsi="宋体" w:cs="宋体"/>
                <w:color w:val="0000FF"/>
                <w:kern w:val="0"/>
                <w:sz w:val="24"/>
                <w:szCs w:val="24"/>
                <w:highlight w:val="none"/>
                <w:lang w:bidi="ar"/>
              </w:rPr>
              <w:t>分。严重缺失不得分。</w:t>
            </w:r>
          </w:p>
        </w:tc>
        <w:tc>
          <w:tcPr>
            <w:tcW w:w="1118" w:type="dxa"/>
            <w:vAlign w:val="center"/>
          </w:tcPr>
          <w:p w14:paraId="6427BCAE">
            <w:pPr>
              <w:spacing w:line="360" w:lineRule="auto"/>
              <w:jc w:val="center"/>
              <w:rPr>
                <w:rFonts w:hint="eastAsia" w:ascii="宋体" w:hAnsi="宋体" w:cs="宋体"/>
                <w:color w:val="0000FF"/>
                <w:kern w:val="0"/>
                <w:sz w:val="24"/>
                <w:szCs w:val="24"/>
                <w:highlight w:val="none"/>
                <w:lang w:val="en-US" w:eastAsia="zh-CN" w:bidi="ar"/>
              </w:rPr>
            </w:pPr>
            <w:r>
              <w:rPr>
                <w:rFonts w:hint="eastAsia" w:ascii="宋体" w:hAnsi="宋体" w:cs="宋体"/>
                <w:color w:val="0000FF"/>
                <w:kern w:val="0"/>
                <w:sz w:val="24"/>
                <w:szCs w:val="24"/>
                <w:highlight w:val="none"/>
                <w:lang w:val="en-US" w:eastAsia="zh-CN" w:bidi="ar"/>
              </w:rPr>
              <w:t>5</w:t>
            </w:r>
          </w:p>
          <w:p w14:paraId="0C033142">
            <w:pPr>
              <w:spacing w:line="360" w:lineRule="auto"/>
              <w:jc w:val="center"/>
              <w:rPr>
                <w:rFonts w:ascii="宋体" w:hAnsi="宋体" w:cs="宋体"/>
                <w:color w:val="0000FF"/>
                <w:kern w:val="0"/>
                <w:sz w:val="24"/>
                <w:szCs w:val="24"/>
                <w:highlight w:val="none"/>
                <w:lang w:bidi="ar"/>
              </w:rPr>
            </w:pPr>
            <w:r>
              <w:rPr>
                <w:rFonts w:hint="eastAsia" w:ascii="宋体" w:hAnsi="宋体" w:cs="宋体"/>
                <w:color w:val="0000FF"/>
                <w:kern w:val="0"/>
                <w:sz w:val="24"/>
                <w:szCs w:val="24"/>
                <w:highlight w:val="none"/>
                <w:lang w:val="en-US" w:eastAsia="zh-CN" w:bidi="ar"/>
              </w:rPr>
              <w:t>（主观）</w:t>
            </w:r>
          </w:p>
        </w:tc>
        <w:tc>
          <w:tcPr>
            <w:tcW w:w="1440" w:type="dxa"/>
            <w:vAlign w:val="center"/>
          </w:tcPr>
          <w:p w14:paraId="4106D1F5">
            <w:pPr>
              <w:snapToGrid w:val="0"/>
              <w:spacing w:line="360" w:lineRule="auto"/>
              <w:jc w:val="center"/>
              <w:rPr>
                <w:rFonts w:ascii="宋体" w:hAnsi="宋体" w:cs="宋体"/>
                <w:color w:val="0000FF"/>
                <w:kern w:val="0"/>
                <w:sz w:val="24"/>
                <w:szCs w:val="24"/>
                <w:highlight w:val="none"/>
                <w:lang w:bidi="ar"/>
              </w:rPr>
            </w:pPr>
            <w:r>
              <w:rPr>
                <w:rFonts w:hint="eastAsia" w:ascii="宋体" w:hAnsi="宋体" w:cs="宋体"/>
                <w:color w:val="0000FF"/>
                <w:kern w:val="0"/>
                <w:sz w:val="24"/>
                <w:szCs w:val="24"/>
                <w:highlight w:val="none"/>
                <w:lang w:bidi="ar"/>
              </w:rPr>
              <w:t>施工方案</w:t>
            </w:r>
          </w:p>
        </w:tc>
      </w:tr>
      <w:tr w14:paraId="010C4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90" w:type="dxa"/>
            <w:vMerge w:val="continue"/>
            <w:vAlign w:val="center"/>
          </w:tcPr>
          <w:p w14:paraId="670C4232">
            <w:pPr>
              <w:spacing w:line="360" w:lineRule="auto"/>
              <w:jc w:val="center"/>
              <w:rPr>
                <w:rFonts w:ascii="宋体" w:hAnsi="宋体" w:cs="宋体"/>
                <w:color w:val="auto"/>
                <w:kern w:val="0"/>
                <w:sz w:val="24"/>
                <w:szCs w:val="24"/>
                <w:highlight w:val="none"/>
                <w:lang w:bidi="ar"/>
              </w:rPr>
            </w:pPr>
          </w:p>
        </w:tc>
        <w:tc>
          <w:tcPr>
            <w:tcW w:w="1272" w:type="dxa"/>
            <w:gridSpan w:val="2"/>
            <w:vMerge w:val="continue"/>
            <w:vAlign w:val="center"/>
          </w:tcPr>
          <w:p w14:paraId="4F932DD5">
            <w:pPr>
              <w:spacing w:line="360" w:lineRule="auto"/>
              <w:jc w:val="left"/>
              <w:rPr>
                <w:rFonts w:ascii="宋体" w:hAnsi="宋体" w:cs="宋体"/>
                <w:color w:val="auto"/>
                <w:kern w:val="0"/>
                <w:sz w:val="24"/>
                <w:szCs w:val="24"/>
                <w:highlight w:val="none"/>
                <w:lang w:bidi="ar"/>
              </w:rPr>
            </w:pPr>
          </w:p>
        </w:tc>
        <w:tc>
          <w:tcPr>
            <w:tcW w:w="5446" w:type="dxa"/>
            <w:vAlign w:val="center"/>
          </w:tcPr>
          <w:p w14:paraId="6F6C6BB8">
            <w:pPr>
              <w:spacing w:line="360" w:lineRule="auto"/>
              <w:jc w:val="left"/>
              <w:rPr>
                <w:rFonts w:ascii="宋体" w:hAnsi="宋体" w:cs="宋体"/>
                <w:color w:val="0000FF"/>
                <w:kern w:val="0"/>
                <w:sz w:val="24"/>
                <w:szCs w:val="24"/>
                <w:highlight w:val="none"/>
                <w:lang w:bidi="ar"/>
              </w:rPr>
            </w:pPr>
            <w:r>
              <w:rPr>
                <w:rFonts w:hint="eastAsia" w:ascii="宋体" w:hAnsi="宋体" w:cs="宋体"/>
                <w:color w:val="0000FF"/>
                <w:kern w:val="0"/>
                <w:sz w:val="24"/>
                <w:szCs w:val="24"/>
                <w:highlight w:val="none"/>
                <w:lang w:bidi="ar"/>
              </w:rPr>
              <w:t>针对本项目施工环境需要采取的专门的施工技术内容科学合理，针对性强的得</w:t>
            </w:r>
            <w:r>
              <w:rPr>
                <w:rFonts w:hint="eastAsia" w:ascii="宋体" w:hAnsi="宋体" w:cs="宋体"/>
                <w:color w:val="0000FF"/>
                <w:kern w:val="0"/>
                <w:sz w:val="24"/>
                <w:szCs w:val="24"/>
                <w:highlight w:val="none"/>
                <w:lang w:val="en-US" w:eastAsia="zh-CN" w:bidi="ar"/>
              </w:rPr>
              <w:t>5</w:t>
            </w:r>
            <w:r>
              <w:rPr>
                <w:rFonts w:hint="eastAsia" w:ascii="宋体" w:hAnsi="宋体" w:cs="宋体"/>
                <w:color w:val="0000FF"/>
                <w:kern w:val="0"/>
                <w:sz w:val="24"/>
                <w:szCs w:val="24"/>
                <w:highlight w:val="none"/>
                <w:lang w:bidi="ar"/>
              </w:rPr>
              <w:t>分；措施内容基本合理，针对性较强得</w:t>
            </w:r>
            <w:r>
              <w:rPr>
                <w:rFonts w:hint="eastAsia" w:ascii="宋体" w:hAnsi="宋体" w:cs="宋体"/>
                <w:color w:val="0000FF"/>
                <w:kern w:val="0"/>
                <w:sz w:val="24"/>
                <w:szCs w:val="24"/>
                <w:highlight w:val="none"/>
                <w:lang w:val="en-US" w:eastAsia="zh-CN" w:bidi="ar"/>
              </w:rPr>
              <w:t>4</w:t>
            </w:r>
            <w:r>
              <w:rPr>
                <w:rFonts w:hint="eastAsia" w:ascii="宋体" w:hAnsi="宋体" w:cs="宋体"/>
                <w:color w:val="0000FF"/>
                <w:kern w:val="0"/>
                <w:sz w:val="24"/>
                <w:szCs w:val="24"/>
                <w:highlight w:val="none"/>
                <w:lang w:bidi="ar"/>
              </w:rPr>
              <w:t>分；措施内容基本合理得</w:t>
            </w:r>
            <w:r>
              <w:rPr>
                <w:rFonts w:hint="eastAsia" w:ascii="宋体" w:hAnsi="宋体" w:cs="宋体"/>
                <w:color w:val="0000FF"/>
                <w:kern w:val="0"/>
                <w:sz w:val="24"/>
                <w:szCs w:val="24"/>
                <w:highlight w:val="none"/>
                <w:lang w:val="en-US" w:eastAsia="zh-CN" w:bidi="ar"/>
              </w:rPr>
              <w:t>3</w:t>
            </w:r>
            <w:r>
              <w:rPr>
                <w:rFonts w:hint="eastAsia" w:ascii="宋体" w:hAnsi="宋体" w:cs="宋体"/>
                <w:color w:val="0000FF"/>
                <w:kern w:val="0"/>
                <w:sz w:val="24"/>
                <w:szCs w:val="24"/>
                <w:highlight w:val="none"/>
                <w:lang w:bidi="ar"/>
              </w:rPr>
              <w:t>分；措施内容一般，有提及得</w:t>
            </w:r>
            <w:r>
              <w:rPr>
                <w:rFonts w:hint="eastAsia" w:ascii="宋体" w:hAnsi="宋体" w:cs="宋体"/>
                <w:color w:val="0000FF"/>
                <w:kern w:val="0"/>
                <w:sz w:val="24"/>
                <w:szCs w:val="24"/>
                <w:highlight w:val="none"/>
                <w:lang w:val="en-US" w:eastAsia="zh-CN" w:bidi="ar"/>
              </w:rPr>
              <w:t>2</w:t>
            </w:r>
            <w:r>
              <w:rPr>
                <w:rFonts w:hint="eastAsia" w:ascii="宋体" w:hAnsi="宋体" w:cs="宋体"/>
                <w:color w:val="0000FF"/>
                <w:kern w:val="0"/>
                <w:sz w:val="24"/>
                <w:szCs w:val="24"/>
                <w:highlight w:val="none"/>
                <w:lang w:bidi="ar"/>
              </w:rPr>
              <w:t>分。内容缺失严重不得分。</w:t>
            </w:r>
          </w:p>
        </w:tc>
        <w:tc>
          <w:tcPr>
            <w:tcW w:w="1118" w:type="dxa"/>
            <w:vAlign w:val="center"/>
          </w:tcPr>
          <w:p w14:paraId="51CBB1C3">
            <w:pPr>
              <w:spacing w:line="360" w:lineRule="auto"/>
              <w:jc w:val="center"/>
              <w:rPr>
                <w:rFonts w:hint="eastAsia" w:ascii="宋体" w:hAnsi="宋体" w:cs="宋体"/>
                <w:color w:val="0000FF"/>
                <w:kern w:val="0"/>
                <w:sz w:val="24"/>
                <w:szCs w:val="24"/>
                <w:highlight w:val="none"/>
                <w:lang w:val="en-US" w:eastAsia="zh-CN" w:bidi="ar"/>
              </w:rPr>
            </w:pPr>
            <w:r>
              <w:rPr>
                <w:rFonts w:hint="eastAsia" w:ascii="宋体" w:hAnsi="宋体" w:cs="宋体"/>
                <w:color w:val="0000FF"/>
                <w:kern w:val="0"/>
                <w:sz w:val="24"/>
                <w:szCs w:val="24"/>
                <w:highlight w:val="none"/>
                <w:lang w:val="en-US" w:eastAsia="zh-CN" w:bidi="ar"/>
              </w:rPr>
              <w:t>5</w:t>
            </w:r>
          </w:p>
          <w:p w14:paraId="50E39AA4">
            <w:pPr>
              <w:spacing w:line="360" w:lineRule="auto"/>
              <w:jc w:val="center"/>
              <w:rPr>
                <w:rFonts w:ascii="宋体" w:hAnsi="宋体" w:cs="宋体"/>
                <w:color w:val="0000FF"/>
                <w:kern w:val="0"/>
                <w:sz w:val="24"/>
                <w:szCs w:val="24"/>
                <w:highlight w:val="none"/>
                <w:lang w:bidi="ar"/>
              </w:rPr>
            </w:pPr>
            <w:r>
              <w:rPr>
                <w:rFonts w:hint="eastAsia" w:ascii="宋体" w:hAnsi="宋体" w:cs="宋体"/>
                <w:color w:val="0000FF"/>
                <w:kern w:val="0"/>
                <w:sz w:val="24"/>
                <w:szCs w:val="24"/>
                <w:highlight w:val="none"/>
                <w:lang w:val="en-US" w:eastAsia="zh-CN" w:bidi="ar"/>
              </w:rPr>
              <w:t>（主观）</w:t>
            </w:r>
          </w:p>
        </w:tc>
        <w:tc>
          <w:tcPr>
            <w:tcW w:w="1440" w:type="dxa"/>
            <w:vAlign w:val="center"/>
          </w:tcPr>
          <w:p w14:paraId="15208309">
            <w:pPr>
              <w:snapToGrid w:val="0"/>
              <w:spacing w:line="360" w:lineRule="auto"/>
              <w:jc w:val="center"/>
              <w:rPr>
                <w:rFonts w:ascii="宋体" w:hAnsi="宋体" w:cs="宋体"/>
                <w:color w:val="0000FF"/>
                <w:kern w:val="0"/>
                <w:sz w:val="24"/>
                <w:szCs w:val="24"/>
                <w:highlight w:val="none"/>
                <w:lang w:bidi="ar"/>
              </w:rPr>
            </w:pPr>
            <w:r>
              <w:rPr>
                <w:rFonts w:hint="eastAsia" w:ascii="宋体" w:hAnsi="宋体" w:cs="宋体"/>
                <w:color w:val="0000FF"/>
                <w:kern w:val="0"/>
                <w:sz w:val="24"/>
                <w:szCs w:val="24"/>
                <w:highlight w:val="none"/>
                <w:lang w:bidi="ar"/>
              </w:rPr>
              <w:t>施工技术</w:t>
            </w:r>
          </w:p>
        </w:tc>
      </w:tr>
      <w:tr w14:paraId="068A1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90" w:type="dxa"/>
            <w:vMerge w:val="continue"/>
            <w:vAlign w:val="center"/>
          </w:tcPr>
          <w:p w14:paraId="5B3F060B">
            <w:pPr>
              <w:spacing w:line="360" w:lineRule="auto"/>
              <w:jc w:val="center"/>
              <w:rPr>
                <w:rFonts w:ascii="宋体" w:hAnsi="宋体" w:cs="宋体"/>
                <w:color w:val="auto"/>
                <w:kern w:val="0"/>
                <w:sz w:val="24"/>
                <w:szCs w:val="24"/>
                <w:highlight w:val="none"/>
                <w:lang w:bidi="ar"/>
              </w:rPr>
            </w:pPr>
          </w:p>
        </w:tc>
        <w:tc>
          <w:tcPr>
            <w:tcW w:w="1272" w:type="dxa"/>
            <w:gridSpan w:val="2"/>
            <w:vMerge w:val="continue"/>
            <w:vAlign w:val="center"/>
          </w:tcPr>
          <w:p w14:paraId="037FE2F6">
            <w:pPr>
              <w:spacing w:line="360" w:lineRule="auto"/>
              <w:jc w:val="left"/>
              <w:rPr>
                <w:rFonts w:ascii="宋体" w:hAnsi="宋体" w:cs="宋体"/>
                <w:color w:val="auto"/>
                <w:kern w:val="0"/>
                <w:sz w:val="24"/>
                <w:szCs w:val="24"/>
                <w:highlight w:val="none"/>
                <w:lang w:bidi="ar"/>
              </w:rPr>
            </w:pPr>
          </w:p>
        </w:tc>
        <w:tc>
          <w:tcPr>
            <w:tcW w:w="5446" w:type="dxa"/>
            <w:vAlign w:val="center"/>
          </w:tcPr>
          <w:p w14:paraId="5C578E5D">
            <w:pPr>
              <w:spacing w:line="360" w:lineRule="auto"/>
              <w:jc w:val="left"/>
              <w:rPr>
                <w:rFonts w:ascii="宋体" w:hAnsi="宋体" w:cs="宋体"/>
                <w:color w:val="0000FF"/>
                <w:kern w:val="0"/>
                <w:sz w:val="24"/>
                <w:szCs w:val="24"/>
                <w:highlight w:val="none"/>
                <w:lang w:bidi="ar"/>
              </w:rPr>
            </w:pPr>
            <w:r>
              <w:rPr>
                <w:rFonts w:hint="eastAsia" w:ascii="宋体" w:hAnsi="宋体" w:cs="宋体"/>
                <w:color w:val="0000FF"/>
                <w:kern w:val="0"/>
                <w:sz w:val="24"/>
                <w:szCs w:val="24"/>
                <w:highlight w:val="none"/>
                <w:lang w:bidi="ar"/>
              </w:rPr>
              <w:t>组织措施内容科学合理，针对性强的得</w:t>
            </w:r>
            <w:r>
              <w:rPr>
                <w:rFonts w:hint="eastAsia" w:ascii="宋体" w:hAnsi="宋体" w:cs="宋体"/>
                <w:color w:val="0000FF"/>
                <w:kern w:val="0"/>
                <w:sz w:val="24"/>
                <w:szCs w:val="24"/>
                <w:highlight w:val="none"/>
                <w:lang w:val="en-US" w:eastAsia="zh-CN" w:bidi="ar"/>
              </w:rPr>
              <w:t>5</w:t>
            </w:r>
            <w:r>
              <w:rPr>
                <w:rFonts w:hint="eastAsia" w:ascii="宋体" w:hAnsi="宋体" w:cs="宋体"/>
                <w:color w:val="0000FF"/>
                <w:kern w:val="0"/>
                <w:sz w:val="24"/>
                <w:szCs w:val="24"/>
                <w:highlight w:val="none"/>
                <w:lang w:bidi="ar"/>
              </w:rPr>
              <w:t>分；措施内容基本合理，针对性较强得</w:t>
            </w:r>
            <w:r>
              <w:rPr>
                <w:rFonts w:hint="eastAsia" w:ascii="宋体" w:hAnsi="宋体" w:cs="宋体"/>
                <w:color w:val="0000FF"/>
                <w:kern w:val="0"/>
                <w:sz w:val="24"/>
                <w:szCs w:val="24"/>
                <w:highlight w:val="none"/>
                <w:lang w:val="en-US" w:eastAsia="zh-CN" w:bidi="ar"/>
              </w:rPr>
              <w:t>4</w:t>
            </w:r>
            <w:r>
              <w:rPr>
                <w:rFonts w:hint="eastAsia" w:ascii="宋体" w:hAnsi="宋体" w:cs="宋体"/>
                <w:color w:val="0000FF"/>
                <w:kern w:val="0"/>
                <w:sz w:val="24"/>
                <w:szCs w:val="24"/>
                <w:highlight w:val="none"/>
                <w:lang w:bidi="ar"/>
              </w:rPr>
              <w:t>分；措施内容基本合理得</w:t>
            </w:r>
            <w:r>
              <w:rPr>
                <w:rFonts w:hint="eastAsia" w:ascii="宋体" w:hAnsi="宋体" w:cs="宋体"/>
                <w:color w:val="0000FF"/>
                <w:kern w:val="0"/>
                <w:sz w:val="24"/>
                <w:szCs w:val="24"/>
                <w:highlight w:val="none"/>
                <w:lang w:val="en-US" w:eastAsia="zh-CN" w:bidi="ar"/>
              </w:rPr>
              <w:t>3</w:t>
            </w:r>
            <w:r>
              <w:rPr>
                <w:rFonts w:hint="eastAsia" w:ascii="宋体" w:hAnsi="宋体" w:cs="宋体"/>
                <w:color w:val="0000FF"/>
                <w:kern w:val="0"/>
                <w:sz w:val="24"/>
                <w:szCs w:val="24"/>
                <w:highlight w:val="none"/>
                <w:lang w:bidi="ar"/>
              </w:rPr>
              <w:t>分；措施内容一般，有提及得</w:t>
            </w:r>
            <w:r>
              <w:rPr>
                <w:rFonts w:hint="eastAsia" w:ascii="宋体" w:hAnsi="宋体" w:cs="宋体"/>
                <w:color w:val="0000FF"/>
                <w:kern w:val="0"/>
                <w:sz w:val="24"/>
                <w:szCs w:val="24"/>
                <w:highlight w:val="none"/>
                <w:lang w:val="en-US" w:eastAsia="zh-CN" w:bidi="ar"/>
              </w:rPr>
              <w:t>2</w:t>
            </w:r>
            <w:r>
              <w:rPr>
                <w:rFonts w:hint="eastAsia" w:ascii="宋体" w:hAnsi="宋体" w:cs="宋体"/>
                <w:color w:val="0000FF"/>
                <w:kern w:val="0"/>
                <w:sz w:val="24"/>
                <w:szCs w:val="24"/>
                <w:highlight w:val="none"/>
                <w:lang w:bidi="ar"/>
              </w:rPr>
              <w:t>分。内容缺失严重不得分。</w:t>
            </w:r>
          </w:p>
        </w:tc>
        <w:tc>
          <w:tcPr>
            <w:tcW w:w="1118" w:type="dxa"/>
            <w:vAlign w:val="center"/>
          </w:tcPr>
          <w:p w14:paraId="58527BD5">
            <w:pPr>
              <w:spacing w:line="360" w:lineRule="auto"/>
              <w:jc w:val="center"/>
              <w:rPr>
                <w:rFonts w:hint="eastAsia" w:ascii="宋体" w:hAnsi="宋体" w:cs="宋体"/>
                <w:color w:val="0000FF"/>
                <w:kern w:val="0"/>
                <w:sz w:val="24"/>
                <w:szCs w:val="24"/>
                <w:highlight w:val="none"/>
                <w:lang w:val="en-US" w:eastAsia="zh-CN" w:bidi="ar"/>
              </w:rPr>
            </w:pPr>
            <w:r>
              <w:rPr>
                <w:rFonts w:hint="eastAsia" w:ascii="宋体" w:hAnsi="宋体" w:cs="宋体"/>
                <w:color w:val="0000FF"/>
                <w:kern w:val="0"/>
                <w:sz w:val="24"/>
                <w:szCs w:val="24"/>
                <w:highlight w:val="none"/>
                <w:lang w:val="en-US" w:eastAsia="zh-CN" w:bidi="ar"/>
              </w:rPr>
              <w:t>5</w:t>
            </w:r>
          </w:p>
          <w:p w14:paraId="73795EAC">
            <w:pPr>
              <w:spacing w:line="360" w:lineRule="auto"/>
              <w:jc w:val="center"/>
              <w:rPr>
                <w:rFonts w:ascii="宋体" w:hAnsi="宋体" w:cs="宋体"/>
                <w:color w:val="0000FF"/>
                <w:kern w:val="0"/>
                <w:sz w:val="24"/>
                <w:szCs w:val="24"/>
                <w:highlight w:val="none"/>
                <w:lang w:bidi="ar"/>
              </w:rPr>
            </w:pPr>
            <w:r>
              <w:rPr>
                <w:rFonts w:hint="eastAsia" w:ascii="宋体" w:hAnsi="宋体" w:cs="宋体"/>
                <w:color w:val="0000FF"/>
                <w:kern w:val="0"/>
                <w:sz w:val="24"/>
                <w:szCs w:val="24"/>
                <w:highlight w:val="none"/>
                <w:lang w:val="en-US" w:eastAsia="zh-CN" w:bidi="ar"/>
              </w:rPr>
              <w:t>（主观）</w:t>
            </w:r>
          </w:p>
        </w:tc>
        <w:tc>
          <w:tcPr>
            <w:tcW w:w="1440" w:type="dxa"/>
            <w:vAlign w:val="center"/>
          </w:tcPr>
          <w:p w14:paraId="4EA7DC25">
            <w:pPr>
              <w:snapToGrid w:val="0"/>
              <w:spacing w:line="360" w:lineRule="auto"/>
              <w:jc w:val="center"/>
              <w:rPr>
                <w:rFonts w:ascii="宋体" w:hAnsi="宋体" w:cs="宋体"/>
                <w:color w:val="0000FF"/>
                <w:kern w:val="0"/>
                <w:sz w:val="24"/>
                <w:szCs w:val="24"/>
                <w:highlight w:val="none"/>
                <w:lang w:bidi="ar"/>
              </w:rPr>
            </w:pPr>
            <w:r>
              <w:rPr>
                <w:rFonts w:hint="eastAsia" w:ascii="宋体" w:hAnsi="宋体" w:cs="宋体"/>
                <w:color w:val="0000FF"/>
                <w:kern w:val="0"/>
                <w:sz w:val="24"/>
                <w:szCs w:val="24"/>
                <w:highlight w:val="none"/>
                <w:lang w:bidi="ar"/>
              </w:rPr>
              <w:t>组织措施</w:t>
            </w:r>
          </w:p>
        </w:tc>
      </w:tr>
      <w:tr w14:paraId="1FA03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5AD21D96">
            <w:pPr>
              <w:spacing w:line="360" w:lineRule="auto"/>
              <w:jc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6</w:t>
            </w:r>
          </w:p>
        </w:tc>
        <w:tc>
          <w:tcPr>
            <w:tcW w:w="6718" w:type="dxa"/>
            <w:gridSpan w:val="3"/>
            <w:vAlign w:val="center"/>
          </w:tcPr>
          <w:p w14:paraId="449FD446">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投标人针对本项目施工重点难点分析到位，针对性强的得</w:t>
            </w:r>
            <w:r>
              <w:rPr>
                <w:rFonts w:hint="eastAsia" w:ascii="宋体" w:hAnsi="宋体" w:cs="宋体"/>
                <w:color w:val="auto"/>
                <w:kern w:val="0"/>
                <w:sz w:val="24"/>
                <w:szCs w:val="24"/>
                <w:highlight w:val="none"/>
                <w:lang w:val="en-US" w:eastAsia="zh-CN" w:bidi="ar"/>
              </w:rPr>
              <w:t>4</w:t>
            </w:r>
            <w:r>
              <w:rPr>
                <w:rFonts w:hint="eastAsia" w:ascii="宋体" w:hAnsi="宋体" w:cs="宋体"/>
                <w:color w:val="auto"/>
                <w:kern w:val="0"/>
                <w:sz w:val="24"/>
                <w:szCs w:val="24"/>
                <w:highlight w:val="none"/>
                <w:lang w:bidi="ar"/>
              </w:rPr>
              <w:t>分，施工重点难度内容分析</w:t>
            </w:r>
            <w:r>
              <w:rPr>
                <w:rFonts w:hint="eastAsia" w:ascii="宋体" w:hAnsi="宋体" w:cs="宋体"/>
                <w:color w:val="auto"/>
                <w:kern w:val="0"/>
                <w:sz w:val="24"/>
                <w:szCs w:val="24"/>
                <w:highlight w:val="none"/>
                <w:lang w:eastAsia="zh-CN" w:bidi="ar"/>
              </w:rPr>
              <w:t>较</w:t>
            </w:r>
            <w:r>
              <w:rPr>
                <w:rFonts w:hint="eastAsia" w:ascii="宋体" w:hAnsi="宋体" w:cs="宋体"/>
                <w:color w:val="auto"/>
                <w:kern w:val="0"/>
                <w:sz w:val="24"/>
                <w:szCs w:val="24"/>
                <w:highlight w:val="none"/>
                <w:lang w:bidi="ar"/>
              </w:rPr>
              <w:t>合理得</w:t>
            </w:r>
            <w:r>
              <w:rPr>
                <w:rFonts w:hint="eastAsia" w:ascii="宋体" w:hAnsi="宋体" w:cs="宋体"/>
                <w:color w:val="auto"/>
                <w:kern w:val="0"/>
                <w:sz w:val="24"/>
                <w:szCs w:val="24"/>
                <w:highlight w:val="none"/>
                <w:lang w:val="en-US" w:eastAsia="zh-CN" w:bidi="ar"/>
              </w:rPr>
              <w:t>3</w:t>
            </w:r>
            <w:r>
              <w:rPr>
                <w:rFonts w:hint="eastAsia" w:ascii="宋体" w:hAnsi="宋体" w:cs="宋体"/>
                <w:color w:val="auto"/>
                <w:kern w:val="0"/>
                <w:sz w:val="24"/>
                <w:szCs w:val="24"/>
                <w:highlight w:val="none"/>
                <w:lang w:bidi="ar"/>
              </w:rPr>
              <w:t>分，施工重点难度内容分析基本合理得</w:t>
            </w:r>
            <w:r>
              <w:rPr>
                <w:rFonts w:hint="eastAsia" w:ascii="宋体" w:hAnsi="宋体" w:cs="宋体"/>
                <w:color w:val="auto"/>
                <w:kern w:val="0"/>
                <w:sz w:val="24"/>
                <w:szCs w:val="24"/>
                <w:highlight w:val="none"/>
                <w:lang w:val="en-US" w:eastAsia="zh-CN" w:bidi="ar"/>
              </w:rPr>
              <w:t>2</w:t>
            </w:r>
            <w:r>
              <w:rPr>
                <w:rFonts w:hint="eastAsia" w:ascii="宋体" w:hAnsi="宋体" w:cs="宋体"/>
                <w:color w:val="auto"/>
                <w:kern w:val="0"/>
                <w:sz w:val="24"/>
                <w:szCs w:val="24"/>
                <w:highlight w:val="none"/>
                <w:lang w:bidi="ar"/>
              </w:rPr>
              <w:t>分，</w:t>
            </w:r>
            <w:r>
              <w:rPr>
                <w:rFonts w:hint="eastAsia" w:ascii="宋体" w:hAnsi="宋体" w:cs="宋体"/>
                <w:color w:val="auto"/>
                <w:kern w:val="0"/>
                <w:sz w:val="24"/>
                <w:szCs w:val="24"/>
                <w:highlight w:val="none"/>
                <w:lang w:eastAsia="zh-CN" w:bidi="ar"/>
              </w:rPr>
              <w:t>内容</w:t>
            </w:r>
            <w:r>
              <w:rPr>
                <w:rFonts w:hint="eastAsia" w:ascii="宋体" w:hAnsi="宋体" w:cs="宋体"/>
                <w:color w:val="auto"/>
                <w:kern w:val="0"/>
                <w:sz w:val="24"/>
                <w:szCs w:val="24"/>
                <w:highlight w:val="none"/>
                <w:lang w:bidi="ar"/>
              </w:rPr>
              <w:t>内容一般有提及得1分</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bidi="ar"/>
              </w:rPr>
              <w:t>内容缺失严重不得分。</w:t>
            </w:r>
          </w:p>
        </w:tc>
        <w:tc>
          <w:tcPr>
            <w:tcW w:w="1118" w:type="dxa"/>
            <w:vAlign w:val="center"/>
          </w:tcPr>
          <w:p w14:paraId="112D5B01">
            <w:pPr>
              <w:spacing w:line="360" w:lineRule="auto"/>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w:t>
            </w:r>
          </w:p>
          <w:p w14:paraId="021F0C91">
            <w:pPr>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（主观）</w:t>
            </w:r>
          </w:p>
        </w:tc>
        <w:tc>
          <w:tcPr>
            <w:tcW w:w="1440" w:type="dxa"/>
            <w:vAlign w:val="center"/>
          </w:tcPr>
          <w:p w14:paraId="0995FC1D">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施工重点难点分析</w:t>
            </w:r>
          </w:p>
        </w:tc>
      </w:tr>
      <w:tr w14:paraId="25A59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6E80BF9F">
            <w:pPr>
              <w:spacing w:line="360" w:lineRule="auto"/>
              <w:jc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7</w:t>
            </w:r>
          </w:p>
        </w:tc>
        <w:tc>
          <w:tcPr>
            <w:tcW w:w="6718" w:type="dxa"/>
            <w:gridSpan w:val="3"/>
            <w:vAlign w:val="center"/>
          </w:tcPr>
          <w:p w14:paraId="41FC4740">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投标人针对本项目施工重点难点</w:t>
            </w:r>
            <w:r>
              <w:rPr>
                <w:rFonts w:hint="eastAsia" w:ascii="宋体" w:hAnsi="宋体" w:cs="宋体"/>
                <w:color w:val="auto"/>
                <w:kern w:val="0"/>
                <w:sz w:val="24"/>
                <w:szCs w:val="24"/>
                <w:highlight w:val="none"/>
                <w:lang w:eastAsia="zh-CN" w:bidi="ar"/>
              </w:rPr>
              <w:t>对应</w:t>
            </w:r>
            <w:r>
              <w:rPr>
                <w:rFonts w:hint="eastAsia" w:ascii="宋体" w:hAnsi="宋体" w:cs="宋体"/>
                <w:color w:val="auto"/>
                <w:kern w:val="0"/>
                <w:sz w:val="24"/>
                <w:szCs w:val="24"/>
                <w:highlight w:val="none"/>
                <w:lang w:bidi="ar"/>
              </w:rPr>
              <w:t>措施内容科学合理，针对性强的得4分；措施内容</w:t>
            </w:r>
            <w:r>
              <w:rPr>
                <w:rFonts w:hint="eastAsia" w:ascii="宋体" w:hAnsi="宋体" w:cs="宋体"/>
                <w:color w:val="auto"/>
                <w:kern w:val="0"/>
                <w:sz w:val="24"/>
                <w:szCs w:val="24"/>
                <w:highlight w:val="none"/>
                <w:lang w:eastAsia="zh-CN" w:bidi="ar"/>
              </w:rPr>
              <w:t>较</w:t>
            </w:r>
            <w:r>
              <w:rPr>
                <w:rFonts w:hint="eastAsia" w:ascii="宋体" w:hAnsi="宋体" w:cs="宋体"/>
                <w:color w:val="auto"/>
                <w:kern w:val="0"/>
                <w:sz w:val="24"/>
                <w:szCs w:val="24"/>
                <w:highlight w:val="none"/>
                <w:lang w:bidi="ar"/>
              </w:rPr>
              <w:t>合理，针对性较强得3分；措施内容基本合理得2分；措施内容一般，有提及得1分。内容缺失严重不得分。</w:t>
            </w:r>
          </w:p>
        </w:tc>
        <w:tc>
          <w:tcPr>
            <w:tcW w:w="1118" w:type="dxa"/>
            <w:vAlign w:val="center"/>
          </w:tcPr>
          <w:p w14:paraId="2AE1C209">
            <w:pPr>
              <w:spacing w:line="360" w:lineRule="auto"/>
              <w:jc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4</w:t>
            </w:r>
          </w:p>
          <w:p w14:paraId="287FED68">
            <w:pPr>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（主观）</w:t>
            </w:r>
          </w:p>
        </w:tc>
        <w:tc>
          <w:tcPr>
            <w:tcW w:w="1440" w:type="dxa"/>
            <w:vAlign w:val="center"/>
          </w:tcPr>
          <w:p w14:paraId="02B7CCAB">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重点难点</w:t>
            </w:r>
            <w:r>
              <w:rPr>
                <w:rFonts w:hint="eastAsia" w:ascii="宋体" w:hAnsi="宋体" w:cs="宋体"/>
                <w:color w:val="auto"/>
                <w:kern w:val="0"/>
                <w:sz w:val="24"/>
                <w:szCs w:val="24"/>
                <w:highlight w:val="none"/>
                <w:lang w:eastAsia="zh-CN" w:bidi="ar"/>
              </w:rPr>
              <w:t>对应</w:t>
            </w:r>
            <w:r>
              <w:rPr>
                <w:rFonts w:hint="eastAsia" w:ascii="宋体" w:hAnsi="宋体" w:cs="宋体"/>
                <w:color w:val="auto"/>
                <w:kern w:val="0"/>
                <w:sz w:val="24"/>
                <w:szCs w:val="24"/>
                <w:highlight w:val="none"/>
                <w:lang w:bidi="ar"/>
              </w:rPr>
              <w:t>措施</w:t>
            </w:r>
          </w:p>
        </w:tc>
      </w:tr>
      <w:tr w14:paraId="71006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890" w:type="dxa"/>
            <w:vMerge w:val="restart"/>
            <w:vAlign w:val="center"/>
          </w:tcPr>
          <w:p w14:paraId="1A4AB4A8">
            <w:pPr>
              <w:spacing w:line="360" w:lineRule="auto"/>
              <w:jc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8</w:t>
            </w:r>
          </w:p>
        </w:tc>
        <w:tc>
          <w:tcPr>
            <w:tcW w:w="1205" w:type="dxa"/>
            <w:vMerge w:val="restart"/>
            <w:vAlign w:val="center"/>
          </w:tcPr>
          <w:p w14:paraId="19F52F01">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专项施工方案</w:t>
            </w:r>
          </w:p>
        </w:tc>
        <w:tc>
          <w:tcPr>
            <w:tcW w:w="5513" w:type="dxa"/>
            <w:gridSpan w:val="2"/>
            <w:vAlign w:val="center"/>
          </w:tcPr>
          <w:p w14:paraId="37BBDEAE">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施工方案内容科学合理，主要分部施工方法符合项目实际针对性强得4分，方案内容</w:t>
            </w:r>
            <w:r>
              <w:rPr>
                <w:rFonts w:hint="eastAsia" w:ascii="宋体" w:hAnsi="宋体" w:cs="宋体"/>
                <w:color w:val="auto"/>
                <w:kern w:val="0"/>
                <w:sz w:val="24"/>
                <w:szCs w:val="24"/>
                <w:highlight w:val="none"/>
                <w:lang w:eastAsia="zh-CN" w:bidi="ar"/>
              </w:rPr>
              <w:t>较</w:t>
            </w:r>
            <w:r>
              <w:rPr>
                <w:rFonts w:hint="eastAsia" w:ascii="宋体" w:hAnsi="宋体" w:cs="宋体"/>
                <w:color w:val="auto"/>
                <w:kern w:val="0"/>
                <w:sz w:val="24"/>
                <w:szCs w:val="24"/>
                <w:highlight w:val="none"/>
                <w:lang w:bidi="ar"/>
              </w:rPr>
              <w:t>合理得3分，方案内容基本合理，</w:t>
            </w:r>
            <w:r>
              <w:rPr>
                <w:rFonts w:hint="eastAsia" w:ascii="宋体" w:hAnsi="宋体" w:cs="宋体"/>
                <w:color w:val="auto"/>
                <w:kern w:val="0"/>
                <w:sz w:val="24"/>
                <w:szCs w:val="24"/>
                <w:highlight w:val="none"/>
                <w:lang w:eastAsia="zh-CN" w:bidi="ar"/>
              </w:rPr>
              <w:t>基本</w:t>
            </w:r>
            <w:r>
              <w:rPr>
                <w:rFonts w:hint="eastAsia" w:ascii="宋体" w:hAnsi="宋体" w:cs="宋体"/>
                <w:color w:val="auto"/>
                <w:kern w:val="0"/>
                <w:sz w:val="24"/>
                <w:szCs w:val="24"/>
                <w:highlight w:val="none"/>
                <w:lang w:bidi="ar"/>
              </w:rPr>
              <w:t>满足采购需求得2分，方案内容有提及得1分。严重缺失不得分。</w:t>
            </w:r>
          </w:p>
        </w:tc>
        <w:tc>
          <w:tcPr>
            <w:tcW w:w="1118" w:type="dxa"/>
            <w:vAlign w:val="center"/>
          </w:tcPr>
          <w:p w14:paraId="57636AF1">
            <w:pPr>
              <w:spacing w:line="360" w:lineRule="auto"/>
              <w:jc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4</w:t>
            </w:r>
          </w:p>
          <w:p w14:paraId="5F7D505A">
            <w:pPr>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（主观）</w:t>
            </w:r>
          </w:p>
        </w:tc>
        <w:tc>
          <w:tcPr>
            <w:tcW w:w="1440" w:type="dxa"/>
            <w:vAlign w:val="center"/>
          </w:tcPr>
          <w:p w14:paraId="3327C7BF">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专项施工方案</w:t>
            </w:r>
          </w:p>
        </w:tc>
      </w:tr>
      <w:tr w14:paraId="404E8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90" w:type="dxa"/>
            <w:vMerge w:val="continue"/>
            <w:vAlign w:val="center"/>
          </w:tcPr>
          <w:p w14:paraId="55690D68">
            <w:pPr>
              <w:spacing w:line="360" w:lineRule="auto"/>
              <w:jc w:val="center"/>
              <w:rPr>
                <w:rFonts w:ascii="宋体" w:hAnsi="宋体" w:cs="宋体"/>
                <w:color w:val="auto"/>
                <w:kern w:val="0"/>
                <w:sz w:val="24"/>
                <w:szCs w:val="24"/>
                <w:highlight w:val="none"/>
                <w:lang w:bidi="ar"/>
              </w:rPr>
            </w:pPr>
          </w:p>
        </w:tc>
        <w:tc>
          <w:tcPr>
            <w:tcW w:w="1205" w:type="dxa"/>
            <w:vMerge w:val="continue"/>
            <w:vAlign w:val="center"/>
          </w:tcPr>
          <w:p w14:paraId="1C5FF04F">
            <w:pPr>
              <w:spacing w:line="360" w:lineRule="auto"/>
              <w:jc w:val="left"/>
              <w:rPr>
                <w:rFonts w:ascii="宋体" w:hAnsi="宋体" w:cs="宋体"/>
                <w:color w:val="auto"/>
                <w:kern w:val="0"/>
                <w:sz w:val="24"/>
                <w:szCs w:val="24"/>
                <w:highlight w:val="none"/>
                <w:lang w:bidi="ar"/>
              </w:rPr>
            </w:pPr>
          </w:p>
        </w:tc>
        <w:tc>
          <w:tcPr>
            <w:tcW w:w="5513" w:type="dxa"/>
            <w:gridSpan w:val="2"/>
            <w:vAlign w:val="center"/>
          </w:tcPr>
          <w:p w14:paraId="424EB740">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关键工序、复杂环节的相应技术措施内容科学合理，针对性强的得4分；措施内容</w:t>
            </w:r>
            <w:r>
              <w:rPr>
                <w:rFonts w:hint="eastAsia" w:ascii="宋体" w:hAnsi="宋体" w:cs="宋体"/>
                <w:color w:val="auto"/>
                <w:kern w:val="0"/>
                <w:sz w:val="24"/>
                <w:szCs w:val="24"/>
                <w:highlight w:val="none"/>
                <w:lang w:eastAsia="zh-CN" w:bidi="ar"/>
              </w:rPr>
              <w:t>较</w:t>
            </w:r>
            <w:r>
              <w:rPr>
                <w:rFonts w:hint="eastAsia" w:ascii="宋体" w:hAnsi="宋体" w:cs="宋体"/>
                <w:color w:val="auto"/>
                <w:kern w:val="0"/>
                <w:sz w:val="24"/>
                <w:szCs w:val="24"/>
                <w:highlight w:val="none"/>
                <w:lang w:bidi="ar"/>
              </w:rPr>
              <w:t>合理，针对性较强得3分；措施内容基本合理得2分；措施内容一般，有提及得1分。内容缺失严重不得分。</w:t>
            </w:r>
          </w:p>
        </w:tc>
        <w:tc>
          <w:tcPr>
            <w:tcW w:w="1118" w:type="dxa"/>
            <w:vAlign w:val="center"/>
          </w:tcPr>
          <w:p w14:paraId="6DBCAF92">
            <w:pPr>
              <w:spacing w:line="360" w:lineRule="auto"/>
              <w:jc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4</w:t>
            </w:r>
          </w:p>
          <w:p w14:paraId="7CB03CBD">
            <w:pPr>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（主观）</w:t>
            </w:r>
          </w:p>
        </w:tc>
        <w:tc>
          <w:tcPr>
            <w:tcW w:w="1440" w:type="dxa"/>
            <w:vAlign w:val="center"/>
          </w:tcPr>
          <w:p w14:paraId="1F2535C7">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关键工序、复杂环节的相应技术措施</w:t>
            </w:r>
          </w:p>
        </w:tc>
      </w:tr>
      <w:tr w14:paraId="322EF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422C8E46">
            <w:pPr>
              <w:spacing w:line="360" w:lineRule="auto"/>
              <w:jc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9</w:t>
            </w:r>
          </w:p>
        </w:tc>
        <w:tc>
          <w:tcPr>
            <w:tcW w:w="6718" w:type="dxa"/>
            <w:gridSpan w:val="3"/>
            <w:vAlign w:val="center"/>
          </w:tcPr>
          <w:p w14:paraId="6F2F38F9">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施工质量目标明确，质量控制措施科学、合理，且有技术支撑的得</w:t>
            </w:r>
            <w:r>
              <w:rPr>
                <w:rFonts w:hint="eastAsia" w:ascii="宋体" w:hAnsi="宋体" w:cs="宋体"/>
                <w:color w:val="auto"/>
                <w:kern w:val="0"/>
                <w:sz w:val="24"/>
                <w:szCs w:val="24"/>
                <w:highlight w:val="none"/>
                <w:lang w:val="en-US" w:eastAsia="zh-CN" w:bidi="ar"/>
              </w:rPr>
              <w:t>4</w:t>
            </w:r>
            <w:r>
              <w:rPr>
                <w:rFonts w:hint="eastAsia" w:ascii="宋体" w:hAnsi="宋体" w:cs="宋体"/>
                <w:color w:val="auto"/>
                <w:kern w:val="0"/>
                <w:sz w:val="24"/>
                <w:szCs w:val="24"/>
                <w:highlight w:val="none"/>
                <w:lang w:bidi="ar"/>
              </w:rPr>
              <w:t>分，质量措施</w:t>
            </w:r>
            <w:r>
              <w:rPr>
                <w:rFonts w:hint="eastAsia" w:ascii="宋体" w:hAnsi="宋体" w:cs="宋体"/>
                <w:color w:val="auto"/>
                <w:kern w:val="0"/>
                <w:sz w:val="24"/>
                <w:szCs w:val="24"/>
                <w:highlight w:val="none"/>
                <w:lang w:eastAsia="zh-CN" w:bidi="ar"/>
              </w:rPr>
              <w:t>较</w:t>
            </w:r>
            <w:r>
              <w:rPr>
                <w:rFonts w:hint="eastAsia" w:ascii="宋体" w:hAnsi="宋体" w:cs="宋体"/>
                <w:color w:val="auto"/>
                <w:kern w:val="0"/>
                <w:sz w:val="24"/>
                <w:szCs w:val="24"/>
                <w:highlight w:val="none"/>
                <w:lang w:bidi="ar"/>
              </w:rPr>
              <w:t>合理得</w:t>
            </w:r>
            <w:r>
              <w:rPr>
                <w:rFonts w:hint="eastAsia" w:ascii="宋体" w:hAnsi="宋体" w:cs="宋体"/>
                <w:color w:val="auto"/>
                <w:kern w:val="0"/>
                <w:sz w:val="24"/>
                <w:szCs w:val="24"/>
                <w:highlight w:val="none"/>
                <w:lang w:val="en-US" w:eastAsia="zh-CN" w:bidi="ar"/>
              </w:rPr>
              <w:t>3</w:t>
            </w:r>
            <w:r>
              <w:rPr>
                <w:rFonts w:hint="eastAsia" w:ascii="宋体" w:hAnsi="宋体" w:cs="宋体"/>
                <w:color w:val="auto"/>
                <w:kern w:val="0"/>
                <w:sz w:val="24"/>
                <w:szCs w:val="24"/>
                <w:highlight w:val="none"/>
                <w:lang w:bidi="ar"/>
              </w:rPr>
              <w:t>分，质量措施基本合理得</w:t>
            </w:r>
            <w:r>
              <w:rPr>
                <w:rFonts w:hint="eastAsia" w:ascii="宋体" w:hAnsi="宋体" w:cs="宋体"/>
                <w:color w:val="auto"/>
                <w:kern w:val="0"/>
                <w:sz w:val="24"/>
                <w:szCs w:val="24"/>
                <w:highlight w:val="none"/>
                <w:lang w:val="en-US" w:eastAsia="zh-CN" w:bidi="ar"/>
              </w:rPr>
              <w:t>2</w:t>
            </w:r>
            <w:r>
              <w:rPr>
                <w:rFonts w:hint="eastAsia" w:ascii="宋体" w:hAnsi="宋体" w:cs="宋体"/>
                <w:color w:val="auto"/>
                <w:kern w:val="0"/>
                <w:sz w:val="24"/>
                <w:szCs w:val="24"/>
                <w:highlight w:val="none"/>
                <w:lang w:bidi="ar"/>
              </w:rPr>
              <w:t>分</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bidi="ar"/>
              </w:rPr>
              <w:t>质量措施</w:t>
            </w:r>
            <w:r>
              <w:rPr>
                <w:rFonts w:hint="eastAsia" w:ascii="宋体" w:hAnsi="宋体" w:cs="宋体"/>
                <w:color w:val="auto"/>
                <w:kern w:val="0"/>
                <w:sz w:val="24"/>
                <w:szCs w:val="24"/>
                <w:highlight w:val="none"/>
                <w:lang w:eastAsia="zh-CN" w:bidi="ar"/>
              </w:rPr>
              <w:t>一般，有提及</w:t>
            </w:r>
            <w:r>
              <w:rPr>
                <w:rFonts w:hint="eastAsia" w:ascii="宋体" w:hAnsi="宋体" w:cs="宋体"/>
                <w:color w:val="auto"/>
                <w:kern w:val="0"/>
                <w:sz w:val="24"/>
                <w:szCs w:val="24"/>
                <w:highlight w:val="none"/>
                <w:lang w:bidi="ar"/>
              </w:rPr>
              <w:t>得</w:t>
            </w:r>
            <w:r>
              <w:rPr>
                <w:rFonts w:hint="eastAsia" w:ascii="宋体" w:hAnsi="宋体" w:cs="宋体"/>
                <w:color w:val="auto"/>
                <w:kern w:val="0"/>
                <w:sz w:val="24"/>
                <w:szCs w:val="24"/>
                <w:highlight w:val="none"/>
                <w:lang w:val="en-US" w:eastAsia="zh-CN" w:bidi="ar"/>
              </w:rPr>
              <w:t>1</w:t>
            </w:r>
            <w:r>
              <w:rPr>
                <w:rFonts w:hint="eastAsia" w:ascii="宋体" w:hAnsi="宋体" w:cs="宋体"/>
                <w:color w:val="auto"/>
                <w:kern w:val="0"/>
                <w:sz w:val="24"/>
                <w:szCs w:val="24"/>
                <w:highlight w:val="none"/>
                <w:lang w:bidi="ar"/>
              </w:rPr>
              <w:t>分。严重缺失不得分。</w:t>
            </w:r>
          </w:p>
        </w:tc>
        <w:tc>
          <w:tcPr>
            <w:tcW w:w="1118" w:type="dxa"/>
            <w:vAlign w:val="center"/>
          </w:tcPr>
          <w:p w14:paraId="6647932B">
            <w:pPr>
              <w:spacing w:line="360" w:lineRule="auto"/>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w:t>
            </w:r>
          </w:p>
          <w:p w14:paraId="11EC6AEF">
            <w:pPr>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（主观）</w:t>
            </w:r>
          </w:p>
        </w:tc>
        <w:tc>
          <w:tcPr>
            <w:tcW w:w="1440" w:type="dxa"/>
            <w:vAlign w:val="center"/>
          </w:tcPr>
          <w:p w14:paraId="12AE5ED1">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质量控制措施</w:t>
            </w:r>
          </w:p>
        </w:tc>
      </w:tr>
      <w:tr w14:paraId="0BEFE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1EAF3CCE">
            <w:pPr>
              <w:spacing w:line="360" w:lineRule="auto"/>
              <w:jc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10</w:t>
            </w:r>
          </w:p>
        </w:tc>
        <w:tc>
          <w:tcPr>
            <w:tcW w:w="6718" w:type="dxa"/>
            <w:gridSpan w:val="3"/>
            <w:vAlign w:val="center"/>
          </w:tcPr>
          <w:p w14:paraId="509448E3">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安全、环保、消防等的保证措施科学、合理、到位的得</w:t>
            </w:r>
            <w:r>
              <w:rPr>
                <w:rFonts w:hint="eastAsia" w:ascii="宋体" w:hAnsi="宋体" w:cs="宋体"/>
                <w:color w:val="auto"/>
                <w:kern w:val="0"/>
                <w:sz w:val="24"/>
                <w:szCs w:val="24"/>
                <w:highlight w:val="none"/>
                <w:lang w:val="en-US" w:eastAsia="zh-CN" w:bidi="ar"/>
              </w:rPr>
              <w:t>4</w:t>
            </w:r>
            <w:r>
              <w:rPr>
                <w:rFonts w:hint="eastAsia" w:ascii="宋体" w:hAnsi="宋体" w:cs="宋体"/>
                <w:color w:val="auto"/>
                <w:kern w:val="0"/>
                <w:sz w:val="24"/>
                <w:szCs w:val="24"/>
                <w:highlight w:val="none"/>
                <w:lang w:bidi="ar"/>
              </w:rPr>
              <w:t>分，措施</w:t>
            </w:r>
            <w:r>
              <w:rPr>
                <w:rFonts w:hint="eastAsia" w:ascii="宋体" w:hAnsi="宋体" w:cs="宋体"/>
                <w:color w:val="auto"/>
                <w:kern w:val="0"/>
                <w:sz w:val="24"/>
                <w:szCs w:val="24"/>
                <w:highlight w:val="none"/>
                <w:lang w:eastAsia="zh-CN" w:bidi="ar"/>
              </w:rPr>
              <w:t>较</w:t>
            </w:r>
            <w:r>
              <w:rPr>
                <w:rFonts w:hint="eastAsia" w:ascii="宋体" w:hAnsi="宋体" w:cs="宋体"/>
                <w:color w:val="auto"/>
                <w:kern w:val="0"/>
                <w:sz w:val="24"/>
                <w:szCs w:val="24"/>
                <w:highlight w:val="none"/>
                <w:lang w:bidi="ar"/>
              </w:rPr>
              <w:t>合理得</w:t>
            </w:r>
            <w:r>
              <w:rPr>
                <w:rFonts w:hint="eastAsia" w:ascii="宋体" w:hAnsi="宋体" w:cs="宋体"/>
                <w:color w:val="auto"/>
                <w:kern w:val="0"/>
                <w:sz w:val="24"/>
                <w:szCs w:val="24"/>
                <w:highlight w:val="none"/>
                <w:lang w:val="en-US" w:eastAsia="zh-CN" w:bidi="ar"/>
              </w:rPr>
              <w:t>3</w:t>
            </w:r>
            <w:r>
              <w:rPr>
                <w:rFonts w:hint="eastAsia" w:ascii="宋体" w:hAnsi="宋体" w:cs="宋体"/>
                <w:color w:val="auto"/>
                <w:kern w:val="0"/>
                <w:sz w:val="24"/>
                <w:szCs w:val="24"/>
                <w:highlight w:val="none"/>
                <w:lang w:bidi="ar"/>
              </w:rPr>
              <w:t>分，措施基本合理得</w:t>
            </w:r>
            <w:r>
              <w:rPr>
                <w:rFonts w:hint="eastAsia" w:ascii="宋体" w:hAnsi="宋体" w:cs="宋体"/>
                <w:color w:val="auto"/>
                <w:kern w:val="0"/>
                <w:sz w:val="24"/>
                <w:szCs w:val="24"/>
                <w:highlight w:val="none"/>
                <w:lang w:val="en-US" w:eastAsia="zh-CN" w:bidi="ar"/>
              </w:rPr>
              <w:t>2</w:t>
            </w:r>
            <w:r>
              <w:rPr>
                <w:rFonts w:hint="eastAsia" w:ascii="宋体" w:hAnsi="宋体" w:cs="宋体"/>
                <w:color w:val="auto"/>
                <w:kern w:val="0"/>
                <w:sz w:val="24"/>
                <w:szCs w:val="24"/>
                <w:highlight w:val="none"/>
                <w:lang w:bidi="ar"/>
              </w:rPr>
              <w:t>分</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bidi="ar"/>
              </w:rPr>
              <w:t>措施</w:t>
            </w:r>
            <w:r>
              <w:rPr>
                <w:rFonts w:hint="eastAsia" w:ascii="宋体" w:hAnsi="宋体" w:cs="宋体"/>
                <w:color w:val="auto"/>
                <w:kern w:val="0"/>
                <w:sz w:val="24"/>
                <w:szCs w:val="24"/>
                <w:highlight w:val="none"/>
                <w:lang w:eastAsia="zh-CN" w:bidi="ar"/>
              </w:rPr>
              <w:t>一般，有提及</w:t>
            </w:r>
            <w:r>
              <w:rPr>
                <w:rFonts w:hint="eastAsia" w:ascii="宋体" w:hAnsi="宋体" w:cs="宋体"/>
                <w:color w:val="auto"/>
                <w:kern w:val="0"/>
                <w:sz w:val="24"/>
                <w:szCs w:val="24"/>
                <w:highlight w:val="none"/>
                <w:lang w:bidi="ar"/>
              </w:rPr>
              <w:t>得</w:t>
            </w:r>
            <w:r>
              <w:rPr>
                <w:rFonts w:hint="eastAsia" w:ascii="宋体" w:hAnsi="宋体" w:cs="宋体"/>
                <w:color w:val="auto"/>
                <w:kern w:val="0"/>
                <w:sz w:val="24"/>
                <w:szCs w:val="24"/>
                <w:highlight w:val="none"/>
                <w:lang w:val="en-US" w:eastAsia="zh-CN" w:bidi="ar"/>
              </w:rPr>
              <w:t>1</w:t>
            </w:r>
            <w:r>
              <w:rPr>
                <w:rFonts w:hint="eastAsia" w:ascii="宋体" w:hAnsi="宋体" w:cs="宋体"/>
                <w:color w:val="auto"/>
                <w:kern w:val="0"/>
                <w:sz w:val="24"/>
                <w:szCs w:val="24"/>
                <w:highlight w:val="none"/>
                <w:lang w:bidi="ar"/>
              </w:rPr>
              <w:t>分。严重缺失不得分。</w:t>
            </w:r>
          </w:p>
        </w:tc>
        <w:tc>
          <w:tcPr>
            <w:tcW w:w="1118" w:type="dxa"/>
            <w:vAlign w:val="center"/>
          </w:tcPr>
          <w:p w14:paraId="515332F8">
            <w:pPr>
              <w:spacing w:line="360" w:lineRule="auto"/>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w:t>
            </w:r>
          </w:p>
          <w:p w14:paraId="05F755AB">
            <w:pPr>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（主观）</w:t>
            </w:r>
          </w:p>
        </w:tc>
        <w:tc>
          <w:tcPr>
            <w:tcW w:w="1440" w:type="dxa"/>
            <w:vAlign w:val="center"/>
          </w:tcPr>
          <w:p w14:paraId="0992B267">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安全、环保、消防等的保证措施</w:t>
            </w:r>
          </w:p>
        </w:tc>
      </w:tr>
      <w:tr w14:paraId="04421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16A5309E">
            <w:pPr>
              <w:spacing w:line="360" w:lineRule="auto"/>
              <w:jc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11</w:t>
            </w:r>
          </w:p>
        </w:tc>
        <w:tc>
          <w:tcPr>
            <w:tcW w:w="6718" w:type="dxa"/>
            <w:gridSpan w:val="3"/>
            <w:vAlign w:val="center"/>
          </w:tcPr>
          <w:p w14:paraId="73D16B1E">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施工机具和检验仪器的投入</w:t>
            </w:r>
            <w:r>
              <w:rPr>
                <w:rFonts w:hint="eastAsia" w:ascii="宋体" w:hAnsi="宋体" w:cs="宋体"/>
                <w:color w:val="auto"/>
                <w:kern w:val="0"/>
                <w:sz w:val="24"/>
                <w:szCs w:val="24"/>
                <w:highlight w:val="none"/>
                <w:lang w:val="en-US" w:eastAsia="zh-CN" w:bidi="ar"/>
              </w:rPr>
              <w:t>满足</w:t>
            </w:r>
            <w:r>
              <w:rPr>
                <w:rFonts w:hint="eastAsia" w:ascii="宋体" w:hAnsi="宋体" w:cs="宋体"/>
                <w:color w:val="auto"/>
                <w:kern w:val="0"/>
                <w:sz w:val="24"/>
                <w:szCs w:val="24"/>
                <w:highlight w:val="none"/>
                <w:lang w:bidi="ar"/>
              </w:rPr>
              <w:t>工程</w:t>
            </w:r>
            <w:r>
              <w:rPr>
                <w:rFonts w:hint="eastAsia" w:ascii="宋体" w:hAnsi="宋体" w:cs="宋体"/>
                <w:color w:val="auto"/>
                <w:kern w:val="0"/>
                <w:sz w:val="24"/>
                <w:szCs w:val="24"/>
                <w:highlight w:val="none"/>
                <w:lang w:val="en-US" w:eastAsia="zh-CN" w:bidi="ar"/>
              </w:rPr>
              <w:t>项目</w:t>
            </w:r>
            <w:r>
              <w:rPr>
                <w:rFonts w:hint="eastAsia" w:ascii="宋体" w:hAnsi="宋体" w:cs="宋体"/>
                <w:color w:val="auto"/>
                <w:kern w:val="0"/>
                <w:sz w:val="24"/>
                <w:szCs w:val="24"/>
                <w:highlight w:val="none"/>
                <w:lang w:bidi="ar"/>
              </w:rPr>
              <w:t>实施的需要，且与项目相适应针对性强得</w:t>
            </w:r>
            <w:r>
              <w:rPr>
                <w:rFonts w:hint="eastAsia" w:ascii="宋体" w:hAnsi="宋体" w:cs="宋体"/>
                <w:color w:val="auto"/>
                <w:kern w:val="0"/>
                <w:sz w:val="24"/>
                <w:szCs w:val="24"/>
                <w:highlight w:val="none"/>
                <w:lang w:val="en-US" w:eastAsia="zh-CN" w:bidi="ar"/>
              </w:rPr>
              <w:t>4</w:t>
            </w:r>
            <w:r>
              <w:rPr>
                <w:rFonts w:hint="eastAsia" w:ascii="宋体" w:hAnsi="宋体" w:cs="宋体"/>
                <w:color w:val="auto"/>
                <w:kern w:val="0"/>
                <w:sz w:val="24"/>
                <w:szCs w:val="24"/>
                <w:highlight w:val="none"/>
                <w:lang w:bidi="ar"/>
              </w:rPr>
              <w:t>分，施工机具和检验仪器的投入满足工程实施需求且针对性</w:t>
            </w:r>
            <w:r>
              <w:rPr>
                <w:rFonts w:hint="eastAsia" w:ascii="宋体" w:hAnsi="宋体" w:cs="宋体"/>
                <w:color w:val="auto"/>
                <w:kern w:val="0"/>
                <w:sz w:val="24"/>
                <w:szCs w:val="24"/>
                <w:highlight w:val="none"/>
                <w:lang w:eastAsia="zh-CN" w:bidi="ar"/>
              </w:rPr>
              <w:t>较</w:t>
            </w:r>
            <w:r>
              <w:rPr>
                <w:rFonts w:hint="eastAsia" w:ascii="宋体" w:hAnsi="宋体" w:cs="宋体"/>
                <w:color w:val="auto"/>
                <w:kern w:val="0"/>
                <w:sz w:val="24"/>
                <w:szCs w:val="24"/>
                <w:highlight w:val="none"/>
                <w:lang w:bidi="ar"/>
              </w:rPr>
              <w:t>强得</w:t>
            </w:r>
            <w:r>
              <w:rPr>
                <w:rFonts w:hint="eastAsia" w:ascii="宋体" w:hAnsi="宋体" w:cs="宋体"/>
                <w:color w:val="auto"/>
                <w:kern w:val="0"/>
                <w:sz w:val="24"/>
                <w:szCs w:val="24"/>
                <w:highlight w:val="none"/>
                <w:lang w:val="en-US" w:eastAsia="zh-CN" w:bidi="ar"/>
              </w:rPr>
              <w:t>3</w:t>
            </w:r>
            <w:r>
              <w:rPr>
                <w:rFonts w:hint="eastAsia" w:ascii="宋体" w:hAnsi="宋体" w:cs="宋体"/>
                <w:color w:val="auto"/>
                <w:kern w:val="0"/>
                <w:sz w:val="24"/>
                <w:szCs w:val="24"/>
                <w:highlight w:val="none"/>
                <w:lang w:bidi="ar"/>
              </w:rPr>
              <w:t>分，施工机具和检验仪器的投入基本满足工程实施需求得</w:t>
            </w:r>
            <w:r>
              <w:rPr>
                <w:rFonts w:hint="eastAsia" w:ascii="宋体" w:hAnsi="宋体" w:cs="宋体"/>
                <w:color w:val="auto"/>
                <w:kern w:val="0"/>
                <w:sz w:val="24"/>
                <w:szCs w:val="24"/>
                <w:highlight w:val="none"/>
                <w:lang w:val="en-US" w:eastAsia="zh-CN" w:bidi="ar"/>
              </w:rPr>
              <w:t>2</w:t>
            </w:r>
            <w:r>
              <w:rPr>
                <w:rFonts w:hint="eastAsia" w:ascii="宋体" w:hAnsi="宋体" w:cs="宋体"/>
                <w:color w:val="auto"/>
                <w:kern w:val="0"/>
                <w:sz w:val="24"/>
                <w:szCs w:val="24"/>
                <w:highlight w:val="none"/>
                <w:lang w:bidi="ar"/>
              </w:rPr>
              <w:t>分</w:t>
            </w:r>
            <w:r>
              <w:rPr>
                <w:rFonts w:hint="eastAsia" w:ascii="宋体" w:hAnsi="宋体" w:cs="宋体"/>
                <w:color w:val="auto"/>
                <w:kern w:val="0"/>
                <w:sz w:val="24"/>
                <w:szCs w:val="24"/>
                <w:highlight w:val="none"/>
                <w:lang w:eastAsia="zh-CN" w:bidi="ar"/>
              </w:rPr>
              <w:t>，内容一般、有提及</w:t>
            </w:r>
            <w:r>
              <w:rPr>
                <w:rFonts w:hint="eastAsia" w:ascii="宋体" w:hAnsi="宋体" w:cs="宋体"/>
                <w:color w:val="auto"/>
                <w:kern w:val="0"/>
                <w:sz w:val="24"/>
                <w:szCs w:val="24"/>
                <w:highlight w:val="none"/>
                <w:lang w:bidi="ar"/>
              </w:rPr>
              <w:t>得</w:t>
            </w:r>
            <w:r>
              <w:rPr>
                <w:rFonts w:hint="eastAsia" w:ascii="宋体" w:hAnsi="宋体" w:cs="宋体"/>
                <w:color w:val="auto"/>
                <w:kern w:val="0"/>
                <w:sz w:val="24"/>
                <w:szCs w:val="24"/>
                <w:highlight w:val="none"/>
                <w:lang w:val="en-US" w:eastAsia="zh-CN" w:bidi="ar"/>
              </w:rPr>
              <w:t>1</w:t>
            </w:r>
            <w:r>
              <w:rPr>
                <w:rFonts w:hint="eastAsia" w:ascii="宋体" w:hAnsi="宋体" w:cs="宋体"/>
                <w:color w:val="auto"/>
                <w:kern w:val="0"/>
                <w:sz w:val="24"/>
                <w:szCs w:val="24"/>
                <w:highlight w:val="none"/>
                <w:lang w:bidi="ar"/>
              </w:rPr>
              <w:t>分。严重缺失不得分。</w:t>
            </w:r>
          </w:p>
        </w:tc>
        <w:tc>
          <w:tcPr>
            <w:tcW w:w="1118" w:type="dxa"/>
            <w:vAlign w:val="center"/>
          </w:tcPr>
          <w:p w14:paraId="1A0344AD">
            <w:pPr>
              <w:spacing w:line="360" w:lineRule="auto"/>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w:t>
            </w:r>
          </w:p>
          <w:p w14:paraId="4117F243">
            <w:pPr>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（主观）</w:t>
            </w:r>
          </w:p>
        </w:tc>
        <w:tc>
          <w:tcPr>
            <w:tcW w:w="1440" w:type="dxa"/>
            <w:vAlign w:val="center"/>
          </w:tcPr>
          <w:p w14:paraId="3BB2182A">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施工机具和检验仪器</w:t>
            </w:r>
          </w:p>
        </w:tc>
      </w:tr>
      <w:tr w14:paraId="60F9A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6C982D13">
            <w:pPr>
              <w:spacing w:line="360" w:lineRule="auto"/>
              <w:jc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12</w:t>
            </w:r>
          </w:p>
        </w:tc>
        <w:tc>
          <w:tcPr>
            <w:tcW w:w="6718" w:type="dxa"/>
            <w:gridSpan w:val="3"/>
            <w:vAlign w:val="center"/>
          </w:tcPr>
          <w:p w14:paraId="6CB3CFDB">
            <w:pPr>
              <w:spacing w:line="360" w:lineRule="auto"/>
              <w:jc w:val="left"/>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具有详细的</w:t>
            </w:r>
            <w:r>
              <w:rPr>
                <w:rFonts w:hint="eastAsia" w:ascii="宋体" w:hAnsi="宋体" w:cs="宋体"/>
                <w:color w:val="auto"/>
                <w:kern w:val="0"/>
                <w:sz w:val="24"/>
                <w:szCs w:val="24"/>
                <w:highlight w:val="none"/>
                <w:lang w:val="en-US" w:eastAsia="zh-CN" w:bidi="ar"/>
              </w:rPr>
              <w:t>施工</w:t>
            </w:r>
            <w:r>
              <w:rPr>
                <w:rFonts w:hint="eastAsia" w:ascii="宋体" w:hAnsi="宋体" w:cs="宋体"/>
                <w:color w:val="auto"/>
                <w:kern w:val="0"/>
                <w:sz w:val="24"/>
                <w:szCs w:val="24"/>
                <w:highlight w:val="none"/>
                <w:lang w:bidi="ar"/>
              </w:rPr>
              <w:t>计划且计划周密，质量控制</w:t>
            </w:r>
            <w:r>
              <w:rPr>
                <w:rFonts w:hint="eastAsia" w:ascii="宋体" w:hAnsi="宋体" w:cs="宋体"/>
                <w:color w:val="auto"/>
                <w:kern w:val="0"/>
                <w:sz w:val="24"/>
                <w:szCs w:val="24"/>
                <w:highlight w:val="none"/>
                <w:lang w:eastAsia="zh-CN" w:bidi="ar"/>
              </w:rPr>
              <w:t>合理</w:t>
            </w:r>
            <w:r>
              <w:rPr>
                <w:rFonts w:hint="eastAsia" w:ascii="宋体" w:hAnsi="宋体" w:cs="宋体"/>
                <w:color w:val="auto"/>
                <w:kern w:val="0"/>
                <w:sz w:val="24"/>
                <w:szCs w:val="24"/>
                <w:highlight w:val="none"/>
                <w:lang w:bidi="ar"/>
              </w:rPr>
              <w:t>，时间安排合理，满足施工需要，合理得</w:t>
            </w:r>
            <w:r>
              <w:rPr>
                <w:rFonts w:hint="eastAsia" w:ascii="宋体" w:hAnsi="宋体" w:cs="宋体"/>
                <w:color w:val="auto"/>
                <w:kern w:val="0"/>
                <w:sz w:val="24"/>
                <w:szCs w:val="24"/>
                <w:highlight w:val="none"/>
                <w:lang w:val="en-US" w:eastAsia="zh-CN" w:bidi="ar"/>
              </w:rPr>
              <w:t>4</w:t>
            </w:r>
            <w:r>
              <w:rPr>
                <w:rFonts w:hint="eastAsia" w:ascii="宋体" w:hAnsi="宋体" w:cs="宋体"/>
                <w:color w:val="auto"/>
                <w:kern w:val="0"/>
                <w:sz w:val="24"/>
                <w:szCs w:val="24"/>
                <w:highlight w:val="none"/>
                <w:lang w:bidi="ar"/>
              </w:rPr>
              <w:t>分，</w:t>
            </w:r>
            <w:r>
              <w:rPr>
                <w:rFonts w:hint="eastAsia" w:ascii="宋体" w:hAnsi="宋体" w:cs="宋体"/>
                <w:color w:val="auto"/>
                <w:kern w:val="0"/>
                <w:sz w:val="24"/>
                <w:szCs w:val="24"/>
                <w:highlight w:val="none"/>
                <w:lang w:eastAsia="zh-CN" w:bidi="ar"/>
              </w:rPr>
              <w:t>较合理得</w:t>
            </w:r>
            <w:r>
              <w:rPr>
                <w:rFonts w:hint="eastAsia" w:ascii="宋体" w:hAnsi="宋体" w:cs="宋体"/>
                <w:color w:val="auto"/>
                <w:kern w:val="0"/>
                <w:sz w:val="24"/>
                <w:szCs w:val="24"/>
                <w:highlight w:val="none"/>
                <w:lang w:val="en-US" w:eastAsia="zh-CN" w:bidi="ar"/>
              </w:rPr>
              <w:t>3分，</w:t>
            </w:r>
            <w:r>
              <w:rPr>
                <w:rFonts w:hint="eastAsia" w:ascii="宋体" w:hAnsi="宋体" w:cs="宋体"/>
                <w:color w:val="auto"/>
                <w:kern w:val="0"/>
                <w:sz w:val="24"/>
                <w:szCs w:val="24"/>
                <w:highlight w:val="none"/>
                <w:lang w:eastAsia="zh-CN" w:bidi="ar"/>
              </w:rPr>
              <w:t>基本满足要求得</w:t>
            </w:r>
            <w:r>
              <w:rPr>
                <w:rFonts w:hint="eastAsia" w:ascii="宋体" w:hAnsi="宋体" w:cs="宋体"/>
                <w:color w:val="auto"/>
                <w:kern w:val="0"/>
                <w:sz w:val="24"/>
                <w:szCs w:val="24"/>
                <w:highlight w:val="none"/>
                <w:lang w:val="en-US" w:eastAsia="zh-CN" w:bidi="ar"/>
              </w:rPr>
              <w:t>2分，</w:t>
            </w:r>
            <w:r>
              <w:rPr>
                <w:rFonts w:hint="eastAsia" w:ascii="宋体" w:hAnsi="宋体" w:cs="宋体"/>
                <w:color w:val="auto"/>
                <w:kern w:val="0"/>
                <w:sz w:val="24"/>
                <w:szCs w:val="24"/>
                <w:highlight w:val="none"/>
                <w:lang w:bidi="ar"/>
              </w:rPr>
              <w:t>较差的得</w:t>
            </w:r>
            <w:r>
              <w:rPr>
                <w:rFonts w:hint="eastAsia" w:ascii="宋体" w:hAnsi="宋体" w:cs="宋体"/>
                <w:color w:val="auto"/>
                <w:kern w:val="0"/>
                <w:sz w:val="24"/>
                <w:szCs w:val="24"/>
                <w:highlight w:val="none"/>
                <w:lang w:val="en-US" w:eastAsia="zh-CN" w:bidi="ar"/>
              </w:rPr>
              <w:t>1</w:t>
            </w:r>
            <w:r>
              <w:rPr>
                <w:rFonts w:hint="eastAsia" w:ascii="宋体" w:hAnsi="宋体" w:cs="宋体"/>
                <w:color w:val="auto"/>
                <w:kern w:val="0"/>
                <w:sz w:val="24"/>
                <w:szCs w:val="24"/>
                <w:highlight w:val="none"/>
                <w:lang w:bidi="ar"/>
              </w:rPr>
              <w:t>分，未提供材料设备进场计划及施工计划的不得分。</w:t>
            </w:r>
          </w:p>
        </w:tc>
        <w:tc>
          <w:tcPr>
            <w:tcW w:w="1118" w:type="dxa"/>
            <w:vAlign w:val="center"/>
          </w:tcPr>
          <w:p w14:paraId="62564ED2">
            <w:pPr>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4    （主观）</w:t>
            </w:r>
          </w:p>
        </w:tc>
        <w:tc>
          <w:tcPr>
            <w:tcW w:w="1440" w:type="dxa"/>
            <w:vAlign w:val="center"/>
          </w:tcPr>
          <w:p w14:paraId="5F42E4C7">
            <w:pPr>
              <w:snapToGrid w:val="0"/>
              <w:spacing w:line="360" w:lineRule="auto"/>
              <w:jc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施工</w:t>
            </w:r>
            <w:r>
              <w:rPr>
                <w:rFonts w:hint="eastAsia" w:ascii="宋体" w:hAnsi="宋体" w:cs="宋体"/>
                <w:color w:val="auto"/>
                <w:kern w:val="0"/>
                <w:sz w:val="24"/>
                <w:szCs w:val="24"/>
                <w:highlight w:val="none"/>
                <w:lang w:bidi="ar"/>
              </w:rPr>
              <w:t>计划</w:t>
            </w:r>
          </w:p>
        </w:tc>
      </w:tr>
      <w:tr w14:paraId="68EC9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73A13E31">
            <w:pPr>
              <w:spacing w:line="360" w:lineRule="auto"/>
              <w:jc w:val="center"/>
              <w:rPr>
                <w:rFonts w:hint="default"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13</w:t>
            </w:r>
          </w:p>
        </w:tc>
        <w:tc>
          <w:tcPr>
            <w:tcW w:w="6718" w:type="dxa"/>
            <w:gridSpan w:val="3"/>
            <w:vAlign w:val="center"/>
          </w:tcPr>
          <w:p w14:paraId="30BD6741">
            <w:pPr>
              <w:spacing w:line="360" w:lineRule="auto"/>
              <w:jc w:val="left"/>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拟选用的</w:t>
            </w:r>
            <w:r>
              <w:rPr>
                <w:rFonts w:hint="eastAsia" w:ascii="宋体" w:hAnsi="宋体" w:eastAsia="宋体" w:cs="宋体"/>
                <w:color w:val="auto"/>
                <w:kern w:val="0"/>
                <w:sz w:val="24"/>
                <w:szCs w:val="24"/>
                <w:highlight w:val="none"/>
                <w:lang w:val="en-US" w:eastAsia="zh-CN" w:bidi="ar"/>
              </w:rPr>
              <w:t>的人造草符合</w:t>
            </w:r>
            <w:bookmarkStart w:id="397" w:name="OLE_LINK1"/>
            <w:r>
              <w:rPr>
                <w:rFonts w:hint="eastAsia" w:ascii="宋体" w:hAnsi="宋体" w:cs="宋体"/>
                <w:color w:val="auto"/>
                <w:kern w:val="0"/>
                <w:sz w:val="24"/>
                <w:szCs w:val="24"/>
                <w:highlight w:val="none"/>
                <w:lang w:val="en-US" w:eastAsia="zh-CN" w:bidi="ar"/>
              </w:rPr>
              <w:t>GB36246-2018《中小学合成材料面层运动场地》</w:t>
            </w:r>
            <w:bookmarkEnd w:id="397"/>
            <w:r>
              <w:rPr>
                <w:rFonts w:hint="eastAsia" w:ascii="宋体" w:hAnsi="宋体" w:cs="宋体"/>
                <w:color w:val="auto"/>
                <w:kern w:val="0"/>
                <w:sz w:val="24"/>
                <w:szCs w:val="24"/>
                <w:highlight w:val="none"/>
                <w:lang w:val="en-US" w:eastAsia="zh-CN" w:bidi="ar"/>
              </w:rPr>
              <w:t>标准</w:t>
            </w:r>
            <w:r>
              <w:rPr>
                <w:rFonts w:hint="eastAsia" w:ascii="宋体" w:hAnsi="宋体" w:eastAsia="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val="en-US" w:eastAsia="zh-CN" w:bidi="ar"/>
              </w:rPr>
              <w:t>提供国家认可的第三方检测单位出具的合格检测报告，检测项目必须包含机械性能、耐人工气候老化、有害物质含量，检测结果全部为合格得5分。</w:t>
            </w:r>
          </w:p>
        </w:tc>
        <w:tc>
          <w:tcPr>
            <w:tcW w:w="1118" w:type="dxa"/>
            <w:vAlign w:val="center"/>
          </w:tcPr>
          <w:p w14:paraId="17BF2737">
            <w:pPr>
              <w:spacing w:line="360" w:lineRule="auto"/>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5</w:t>
            </w:r>
          </w:p>
          <w:p w14:paraId="55B29069">
            <w:pPr>
              <w:spacing w:line="360" w:lineRule="auto"/>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（客观）</w:t>
            </w:r>
          </w:p>
        </w:tc>
        <w:tc>
          <w:tcPr>
            <w:tcW w:w="1440" w:type="dxa"/>
            <w:vMerge w:val="restart"/>
            <w:vAlign w:val="center"/>
          </w:tcPr>
          <w:p w14:paraId="462808A2">
            <w:pPr>
              <w:snapToGrid w:val="0"/>
              <w:spacing w:line="360" w:lineRule="auto"/>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人造草坪检测报告</w:t>
            </w:r>
          </w:p>
        </w:tc>
      </w:tr>
      <w:tr w14:paraId="6B3FA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209E1039">
            <w:pPr>
              <w:spacing w:line="360" w:lineRule="auto"/>
              <w:jc w:val="center"/>
              <w:rPr>
                <w:rFonts w:hint="default"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14</w:t>
            </w:r>
          </w:p>
        </w:tc>
        <w:tc>
          <w:tcPr>
            <w:tcW w:w="6718" w:type="dxa"/>
            <w:gridSpan w:val="3"/>
            <w:vAlign w:val="center"/>
          </w:tcPr>
          <w:p w14:paraId="49448C65">
            <w:pPr>
              <w:spacing w:line="360" w:lineRule="auto"/>
              <w:jc w:val="left"/>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拟选用的</w:t>
            </w:r>
            <w:r>
              <w:rPr>
                <w:rFonts w:hint="eastAsia" w:ascii="宋体" w:hAnsi="宋体" w:eastAsia="宋体" w:cs="宋体"/>
                <w:color w:val="auto"/>
                <w:kern w:val="0"/>
                <w:sz w:val="24"/>
                <w:szCs w:val="24"/>
                <w:highlight w:val="none"/>
                <w:lang w:val="en-US" w:eastAsia="zh-CN" w:bidi="ar"/>
              </w:rPr>
              <w:t>的人造草符合</w:t>
            </w:r>
            <w:bookmarkStart w:id="398" w:name="OLE_LINK2"/>
            <w:r>
              <w:rPr>
                <w:rFonts w:hint="eastAsia" w:ascii="宋体" w:hAnsi="宋体" w:eastAsia="宋体" w:cs="宋体"/>
                <w:color w:val="auto"/>
                <w:kern w:val="0"/>
                <w:sz w:val="24"/>
                <w:szCs w:val="24"/>
                <w:highlight w:val="none"/>
                <w:lang w:val="en-US" w:eastAsia="zh-CN" w:bidi="ar"/>
              </w:rPr>
              <w:t>GB/T20394-2019</w:t>
            </w:r>
            <w:bookmarkEnd w:id="398"/>
            <w:r>
              <w:rPr>
                <w:rFonts w:hint="eastAsia" w:ascii="宋体" w:hAnsi="宋体" w:eastAsia="宋体" w:cs="宋体"/>
                <w:color w:val="auto"/>
                <w:kern w:val="0"/>
                <w:sz w:val="24"/>
                <w:szCs w:val="24"/>
                <w:highlight w:val="none"/>
                <w:lang w:val="en-US" w:eastAsia="zh-CN" w:bidi="ar"/>
              </w:rPr>
              <w:t>《体育用人造草》</w:t>
            </w:r>
            <w:r>
              <w:rPr>
                <w:rFonts w:hint="eastAsia" w:ascii="宋体" w:hAnsi="宋体" w:cs="宋体"/>
                <w:color w:val="auto"/>
                <w:kern w:val="0"/>
                <w:sz w:val="24"/>
                <w:szCs w:val="24"/>
                <w:highlight w:val="none"/>
                <w:lang w:val="en-US" w:eastAsia="zh-CN" w:bidi="ar"/>
              </w:rPr>
              <w:t>标准</w:t>
            </w:r>
            <w:r>
              <w:rPr>
                <w:rFonts w:hint="eastAsia" w:ascii="宋体" w:hAnsi="宋体" w:eastAsia="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val="en-US" w:eastAsia="zh-CN" w:bidi="ar"/>
              </w:rPr>
              <w:t>提供国家认可的第三方检测单位出具的合格检测报告，检测项目必须包含理化性能、可迁移元素最大限量、有害物质释放限量、阻燃性，检测结果全部为合格得5分。</w:t>
            </w:r>
          </w:p>
        </w:tc>
        <w:tc>
          <w:tcPr>
            <w:tcW w:w="1118" w:type="dxa"/>
            <w:vAlign w:val="center"/>
          </w:tcPr>
          <w:p w14:paraId="3AD889BA">
            <w:pPr>
              <w:spacing w:line="360" w:lineRule="auto"/>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5</w:t>
            </w:r>
          </w:p>
          <w:p w14:paraId="7B38349D">
            <w:pPr>
              <w:spacing w:line="360" w:lineRule="auto"/>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（客观）</w:t>
            </w:r>
          </w:p>
        </w:tc>
        <w:tc>
          <w:tcPr>
            <w:tcW w:w="1440" w:type="dxa"/>
            <w:vMerge w:val="continue"/>
            <w:vAlign w:val="center"/>
          </w:tcPr>
          <w:p w14:paraId="11FE7D0B">
            <w:pPr>
              <w:snapToGrid w:val="0"/>
              <w:spacing w:line="360" w:lineRule="auto"/>
              <w:jc w:val="center"/>
              <w:rPr>
                <w:rFonts w:hint="eastAsia" w:ascii="宋体" w:hAnsi="宋体" w:eastAsia="宋体" w:cs="宋体"/>
                <w:color w:val="auto"/>
                <w:kern w:val="0"/>
                <w:sz w:val="24"/>
                <w:szCs w:val="24"/>
                <w:highlight w:val="none"/>
                <w:lang w:val="en-US" w:eastAsia="zh-CN" w:bidi="ar"/>
              </w:rPr>
            </w:pPr>
          </w:p>
        </w:tc>
      </w:tr>
      <w:tr w14:paraId="4EB76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7BB5743B">
            <w:pPr>
              <w:spacing w:line="360" w:lineRule="auto"/>
              <w:jc w:val="center"/>
              <w:rPr>
                <w:rFonts w:hint="default"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15</w:t>
            </w:r>
          </w:p>
        </w:tc>
        <w:tc>
          <w:tcPr>
            <w:tcW w:w="6718" w:type="dxa"/>
            <w:gridSpan w:val="3"/>
            <w:vAlign w:val="center"/>
          </w:tcPr>
          <w:p w14:paraId="41FBDFB8">
            <w:pPr>
              <w:spacing w:line="360" w:lineRule="auto"/>
              <w:jc w:val="left"/>
              <w:rPr>
                <w:rFonts w:hint="eastAsia" w:ascii="宋体" w:hAnsi="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液体材料(胶黏剂）的检测报告，需符合GB36246-2018《中小学合成材料面层运</w:t>
            </w:r>
            <w:r>
              <w:rPr>
                <w:rFonts w:hint="eastAsia" w:ascii="宋体" w:hAnsi="宋体" w:cs="宋体"/>
                <w:color w:val="auto"/>
                <w:kern w:val="0"/>
                <w:sz w:val="24"/>
                <w:szCs w:val="24"/>
                <w:highlight w:val="none"/>
                <w:lang w:val="en-US" w:eastAsia="zh-CN" w:bidi="ar"/>
              </w:rPr>
              <w:t>动场地》标准，提供国家认可的第三方检测单位出具的合格检测报告。</w:t>
            </w:r>
          </w:p>
        </w:tc>
        <w:tc>
          <w:tcPr>
            <w:tcW w:w="1118" w:type="dxa"/>
            <w:vAlign w:val="center"/>
          </w:tcPr>
          <w:p w14:paraId="0A909ECB">
            <w:pPr>
              <w:spacing w:line="360" w:lineRule="auto"/>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w:t>
            </w:r>
          </w:p>
          <w:p w14:paraId="0993DF38">
            <w:pPr>
              <w:spacing w:line="360" w:lineRule="auto"/>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（客观）</w:t>
            </w:r>
          </w:p>
        </w:tc>
        <w:tc>
          <w:tcPr>
            <w:tcW w:w="1440" w:type="dxa"/>
            <w:vAlign w:val="center"/>
          </w:tcPr>
          <w:p w14:paraId="0F6FAF18">
            <w:pPr>
              <w:snapToGrid w:val="0"/>
              <w:spacing w:line="360" w:lineRule="auto"/>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液体材料(胶黏剂）检测报告</w:t>
            </w:r>
          </w:p>
        </w:tc>
      </w:tr>
      <w:tr w14:paraId="24960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890" w:type="dxa"/>
            <w:vAlign w:val="center"/>
          </w:tcPr>
          <w:p w14:paraId="41AECF7A">
            <w:pPr>
              <w:spacing w:line="360" w:lineRule="auto"/>
              <w:jc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16</w:t>
            </w:r>
          </w:p>
        </w:tc>
        <w:tc>
          <w:tcPr>
            <w:tcW w:w="6718" w:type="dxa"/>
            <w:gridSpan w:val="3"/>
          </w:tcPr>
          <w:p w14:paraId="5BD1EA78">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有效投标报价的最低价作为评标基准价，其最低报价为满分；按［投标报价得分=（评标基准价/投标最后报价）*30］的计算公式计算。</w:t>
            </w:r>
          </w:p>
          <w:p w14:paraId="639099B3">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评标过程中，不得去掉报价中的最高报价和最低报价。</w:t>
            </w:r>
          </w:p>
          <w:p w14:paraId="3091F313">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因落实政府采购政策需要进行价格调整的，以调整后的价格计算评标基准价和投标报价。</w:t>
            </w:r>
          </w:p>
        </w:tc>
        <w:tc>
          <w:tcPr>
            <w:tcW w:w="1118" w:type="dxa"/>
            <w:vAlign w:val="center"/>
          </w:tcPr>
          <w:p w14:paraId="67A8EC1A">
            <w:pPr>
              <w:spacing w:line="360" w:lineRule="auto"/>
              <w:ind w:firstLine="120" w:firstLineChars="50"/>
              <w:jc w:val="center"/>
              <w:rPr>
                <w:rFonts w:ascii="宋体" w:hAnsi="宋体" w:cs="宋体"/>
                <w:color w:val="auto"/>
                <w:kern w:val="0"/>
                <w:sz w:val="24"/>
                <w:szCs w:val="24"/>
                <w:highlight w:val="none"/>
                <w:lang w:bidi="ar"/>
              </w:rPr>
            </w:pPr>
            <w:r>
              <w:rPr>
                <w:rFonts w:ascii="宋体" w:hAnsi="宋体" w:cs="宋体"/>
                <w:color w:val="auto"/>
                <w:kern w:val="0"/>
                <w:sz w:val="24"/>
                <w:szCs w:val="24"/>
                <w:highlight w:val="none"/>
                <w:lang w:bidi="ar"/>
              </w:rPr>
              <w:t>30</w:t>
            </w:r>
          </w:p>
        </w:tc>
        <w:tc>
          <w:tcPr>
            <w:tcW w:w="1440" w:type="dxa"/>
            <w:vAlign w:val="center"/>
          </w:tcPr>
          <w:p w14:paraId="0F5567C9">
            <w:pPr>
              <w:snapToGrid w:val="0"/>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w:t>
            </w:r>
          </w:p>
        </w:tc>
      </w:tr>
    </w:tbl>
    <w:p w14:paraId="5756B4C5">
      <w:pPr>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shd w:val="clear" w:color="auto" w:fill="FFFFFF"/>
        </w:rPr>
        <w:t> *</w:t>
      </w:r>
      <w:r>
        <w:rPr>
          <w:rFonts w:hint="eastAsia" w:ascii="宋体" w:hAnsi="宋体" w:cs="宋体"/>
          <w:b/>
          <w:color w:val="auto"/>
          <w:sz w:val="24"/>
          <w:szCs w:val="24"/>
          <w:highlight w:val="none"/>
        </w:rPr>
        <w:t>备注：</w:t>
      </w:r>
      <w:r>
        <w:rPr>
          <w:rFonts w:hint="eastAsia" w:ascii="宋体" w:hAnsi="宋体" w:cs="宋体"/>
          <w:color w:val="auto"/>
          <w:sz w:val="24"/>
          <w:szCs w:val="24"/>
          <w:highlight w:val="none"/>
        </w:rPr>
        <w:t>供应商编制响应文件（商务技术文件部分）时，建议按此目录（序号和内容）提供评审标准相应的商务技术资料。</w:t>
      </w:r>
    </w:p>
    <w:p w14:paraId="1725CD46">
      <w:pPr>
        <w:snapToGrid w:val="0"/>
        <w:spacing w:line="360" w:lineRule="auto"/>
        <w:ind w:firstLine="482" w:firstLineChars="200"/>
        <w:rPr>
          <w:rFonts w:ascii="宋体" w:hAnsi="宋体" w:cs="宋体"/>
          <w:b/>
          <w:color w:val="auto"/>
          <w:sz w:val="24"/>
          <w:szCs w:val="24"/>
          <w:highlight w:val="none"/>
        </w:rPr>
      </w:pPr>
      <w:r>
        <w:rPr>
          <w:rFonts w:hint="eastAsia" w:ascii="宋体" w:hAnsi="宋体" w:cs="宋体"/>
          <w:b/>
          <w:bCs/>
          <w:color w:val="FF0000"/>
          <w:sz w:val="24"/>
          <w:szCs w:val="24"/>
          <w:highlight w:val="none"/>
        </w:rPr>
        <w:t>特别说明：</w:t>
      </w:r>
      <w:r>
        <w:rPr>
          <w:rFonts w:hint="eastAsia" w:ascii="宋体" w:hAnsi="宋体" w:cs="宋体"/>
          <w:b/>
          <w:bCs/>
          <w:color w:val="FF0000"/>
          <w:sz w:val="24"/>
          <w:szCs w:val="24"/>
          <w:highlight w:val="none"/>
          <w:lang w:val="en-US" w:eastAsia="zh-CN"/>
        </w:rPr>
        <w:t>依据</w:t>
      </w:r>
      <w:r>
        <w:rPr>
          <w:rFonts w:hint="eastAsia" w:ascii="宋体" w:hAnsi="宋体" w:cs="宋体"/>
          <w:b/>
          <w:bCs/>
          <w:color w:val="FF0000"/>
          <w:sz w:val="24"/>
          <w:szCs w:val="24"/>
          <w:highlight w:val="none"/>
        </w:rPr>
        <w:t>浙江省财政厅关于进一步规范政府采购秩序促进公平竞争的通知（浙财采监〔2025]2号）</w:t>
      </w:r>
      <w:r>
        <w:rPr>
          <w:rFonts w:hint="eastAsia" w:ascii="宋体" w:hAnsi="宋体" w:cs="宋体"/>
          <w:b/>
          <w:bCs/>
          <w:color w:val="FF0000"/>
          <w:sz w:val="24"/>
          <w:szCs w:val="24"/>
          <w:highlight w:val="none"/>
          <w:lang w:val="en-US" w:eastAsia="zh-CN"/>
        </w:rPr>
        <w:t>要求，</w:t>
      </w:r>
      <w:r>
        <w:rPr>
          <w:rFonts w:hint="eastAsia" w:ascii="宋体" w:hAnsi="宋体" w:cs="宋体"/>
          <w:b/>
          <w:bCs/>
          <w:color w:val="FF0000"/>
          <w:sz w:val="24"/>
          <w:szCs w:val="24"/>
          <w:highlight w:val="none"/>
        </w:rPr>
        <w:t>在</w:t>
      </w:r>
      <w:r>
        <w:rPr>
          <w:rFonts w:hint="eastAsia" w:ascii="宋体" w:hAnsi="宋体" w:cs="宋体"/>
          <w:b/>
          <w:bCs/>
          <w:color w:val="FF0000"/>
          <w:sz w:val="24"/>
          <w:szCs w:val="24"/>
          <w:highlight w:val="none"/>
          <w:lang w:val="en-US" w:eastAsia="zh-CN"/>
        </w:rPr>
        <w:t>本项目</w:t>
      </w:r>
      <w:r>
        <w:rPr>
          <w:rFonts w:hint="eastAsia" w:ascii="宋体" w:hAnsi="宋体" w:cs="宋体"/>
          <w:b/>
          <w:bCs/>
          <w:color w:val="FF0000"/>
          <w:sz w:val="24"/>
          <w:szCs w:val="24"/>
          <w:highlight w:val="none"/>
        </w:rPr>
        <w:t>评审结束后、合同签订前，中标(成交)供应商需提供投标(响应)文件中涉及客观分评审内容的检测报告、认证证书等</w:t>
      </w:r>
      <w:r>
        <w:rPr>
          <w:rFonts w:hint="eastAsia" w:ascii="宋体" w:hAnsi="宋体" w:cs="宋体"/>
          <w:b/>
          <w:bCs/>
          <w:color w:val="FF0000"/>
          <w:sz w:val="24"/>
          <w:szCs w:val="24"/>
          <w:highlight w:val="none"/>
          <w:lang w:val="en-US" w:eastAsia="zh-CN"/>
        </w:rPr>
        <w:t>所有</w:t>
      </w:r>
      <w:r>
        <w:rPr>
          <w:rFonts w:hint="eastAsia" w:ascii="宋体" w:hAnsi="宋体" w:cs="宋体"/>
          <w:b/>
          <w:bCs/>
          <w:color w:val="FF0000"/>
          <w:sz w:val="24"/>
          <w:szCs w:val="24"/>
          <w:highlight w:val="none"/>
        </w:rPr>
        <w:t>资料</w:t>
      </w:r>
      <w:r>
        <w:rPr>
          <w:rFonts w:hint="eastAsia" w:ascii="宋体" w:hAnsi="宋体" w:cs="宋体"/>
          <w:b/>
          <w:bCs/>
          <w:color w:val="FF0000"/>
          <w:sz w:val="24"/>
          <w:szCs w:val="24"/>
          <w:highlight w:val="none"/>
          <w:lang w:val="en-US" w:eastAsia="zh-CN"/>
        </w:rPr>
        <w:t>的原件</w:t>
      </w:r>
      <w:r>
        <w:rPr>
          <w:rFonts w:hint="eastAsia" w:ascii="宋体" w:hAnsi="宋体" w:cs="宋体"/>
          <w:b/>
          <w:bCs/>
          <w:color w:val="FF0000"/>
          <w:sz w:val="24"/>
          <w:szCs w:val="24"/>
          <w:highlight w:val="none"/>
        </w:rPr>
        <w:t>给采购人进行核查；提供的资料若有虚假，一经查实，报告本级财政部门</w:t>
      </w:r>
      <w:r>
        <w:rPr>
          <w:rFonts w:hint="eastAsia" w:ascii="宋体" w:hAnsi="宋体" w:cs="宋体"/>
          <w:b/>
          <w:bCs/>
          <w:color w:val="FF0000"/>
          <w:sz w:val="24"/>
          <w:szCs w:val="24"/>
          <w:highlight w:val="none"/>
          <w:lang w:val="en-US" w:eastAsia="zh-CN"/>
        </w:rPr>
        <w:t>处理</w:t>
      </w:r>
      <w:r>
        <w:rPr>
          <w:rFonts w:hint="eastAsia" w:ascii="宋体" w:hAnsi="宋体" w:cs="宋体"/>
          <w:b/>
          <w:bCs/>
          <w:color w:val="FF0000"/>
          <w:sz w:val="24"/>
          <w:szCs w:val="24"/>
          <w:highlight w:val="none"/>
          <w:lang w:eastAsia="zh-CN"/>
        </w:rPr>
        <w:t>。</w:t>
      </w:r>
      <w:r>
        <w:rPr>
          <w:rFonts w:hint="eastAsia" w:ascii="宋体" w:hAnsi="宋体" w:cs="宋体"/>
          <w:color w:val="auto"/>
          <w:sz w:val="24"/>
          <w:szCs w:val="24"/>
          <w:highlight w:val="none"/>
        </w:rPr>
        <w:t> </w:t>
      </w:r>
    </w:p>
    <w:p w14:paraId="2B3FC302">
      <w:pPr>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2"/>
          <w:szCs w:val="32"/>
          <w:highlight w:val="none"/>
        </w:rPr>
        <w:t>一、评审方法</w:t>
      </w:r>
    </w:p>
    <w:p w14:paraId="542AB6E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综合评分法，是指响应文件满足磋商文件全部实质性要求且按评审因素的量化指标评审得分最高的供应商为成交候选供应商的评审方法。</w:t>
      </w:r>
    </w:p>
    <w:p w14:paraId="4AB34DC4">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二、评审标准</w:t>
      </w:r>
    </w:p>
    <w:p w14:paraId="178803FC">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评审标准：</w:t>
      </w:r>
      <w:r>
        <w:rPr>
          <w:rFonts w:hint="eastAsia" w:ascii="宋体" w:hAnsi="宋体" w:cs="宋体"/>
          <w:color w:val="auto"/>
          <w:kern w:val="0"/>
          <w:sz w:val="24"/>
          <w:highlight w:val="none"/>
        </w:rPr>
        <w:t>见评审办法前附表。</w:t>
      </w:r>
    </w:p>
    <w:p w14:paraId="40AD4E19">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三、评审程序</w:t>
      </w:r>
    </w:p>
    <w:p w14:paraId="1BDC651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磋商小组应当对符合资格的供应商的响应文件进行符合性审查，以确定其是否满足采购文件的实质性要求。不满足采购文件的实质性要求的，响应文件无效。</w:t>
      </w:r>
    </w:p>
    <w:p w14:paraId="336A5EAB">
      <w:pPr>
        <w:spacing w:line="360" w:lineRule="auto"/>
        <w:ind w:firstLine="472" w:firstLineChars="196"/>
        <w:rPr>
          <w:rFonts w:ascii="宋体" w:hAnsi="宋体" w:cs="宋体"/>
          <w:color w:val="auto"/>
          <w:sz w:val="24"/>
          <w:highlight w:val="none"/>
        </w:rPr>
      </w:pPr>
      <w:r>
        <w:rPr>
          <w:rFonts w:hint="eastAsia" w:ascii="宋体" w:hAnsi="宋体" w:cs="宋体"/>
          <w:b/>
          <w:color w:val="auto"/>
          <w:kern w:val="0"/>
          <w:sz w:val="24"/>
          <w:highlight w:val="none"/>
        </w:rPr>
        <w:t>3.2 磋商。</w:t>
      </w:r>
      <w:r>
        <w:rPr>
          <w:rFonts w:hint="eastAsia" w:ascii="宋体" w:hAnsi="宋体" w:cs="宋体"/>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供应商逐一进行磋商。</w:t>
      </w:r>
    </w:p>
    <w:p w14:paraId="0312380A">
      <w:pPr>
        <w:spacing w:line="360" w:lineRule="auto"/>
        <w:ind w:firstLine="470" w:firstLineChars="196"/>
        <w:rPr>
          <w:rFonts w:ascii="宋体" w:hAnsi="宋体" w:cs="宋体"/>
          <w:b/>
          <w:color w:val="auto"/>
          <w:sz w:val="24"/>
          <w:highlight w:val="none"/>
        </w:rPr>
      </w:pPr>
      <w:r>
        <w:rPr>
          <w:rFonts w:hint="eastAsia" w:ascii="宋体" w:hAnsi="宋体" w:cs="宋体"/>
          <w:bCs/>
          <w:color w:val="auto"/>
          <w:sz w:val="24"/>
          <w:highlight w:val="none"/>
        </w:rPr>
        <w:t xml:space="preserve">3.2.1 </w:t>
      </w:r>
      <w:r>
        <w:rPr>
          <w:rFonts w:hint="eastAsia" w:ascii="宋体" w:hAnsi="宋体" w:cs="宋体"/>
          <w:color w:val="auto"/>
          <w:sz w:val="24"/>
          <w:highlight w:val="none"/>
        </w:rPr>
        <w:t>供应商逐家回答磋商小组的提问；</w:t>
      </w:r>
      <w:r>
        <w:rPr>
          <w:rFonts w:hint="eastAsia" w:ascii="宋体" w:hAnsi="宋体" w:cs="宋体"/>
          <w:b/>
          <w:color w:val="auto"/>
          <w:sz w:val="24"/>
          <w:highlight w:val="none"/>
        </w:rPr>
        <w:t>逐家磋商一次为一个轮次，磋商轮次根据实际情况进行（本项目磋商轮次为二轮报价即为最终报价）。</w:t>
      </w:r>
    </w:p>
    <w:p w14:paraId="40757EE4">
      <w:pPr>
        <w:spacing w:line="360" w:lineRule="auto"/>
        <w:ind w:firstLine="470" w:firstLineChars="196"/>
        <w:rPr>
          <w:rFonts w:ascii="宋体" w:hAnsi="宋体" w:cs="宋体"/>
          <w:color w:val="auto"/>
          <w:sz w:val="24"/>
          <w:highlight w:val="none"/>
        </w:rPr>
      </w:pPr>
      <w:r>
        <w:rPr>
          <w:rFonts w:hint="eastAsia" w:ascii="宋体" w:hAnsi="宋体" w:cs="宋体"/>
          <w:bCs/>
          <w:color w:val="auto"/>
          <w:sz w:val="24"/>
          <w:highlight w:val="none"/>
        </w:rPr>
        <w:t xml:space="preserve">3.2.2 </w:t>
      </w:r>
      <w:r>
        <w:rPr>
          <w:rFonts w:hint="eastAsia" w:ascii="宋体" w:hAnsi="宋体" w:cs="宋体"/>
          <w:color w:val="auto"/>
          <w:sz w:val="24"/>
          <w:highlight w:val="none"/>
        </w:rPr>
        <w:t>供应商应按磋商小组通知的时间在线或以邮件回复做出承诺或回复，承诺或回复的内容须由供应商法定代表人或授权代表签署，并作为响应文件的补充部分。</w:t>
      </w:r>
    </w:p>
    <w:p w14:paraId="5DC4C5B1">
      <w:pPr>
        <w:spacing w:line="360" w:lineRule="auto"/>
        <w:ind w:firstLine="470" w:firstLineChars="196"/>
        <w:rPr>
          <w:rFonts w:ascii="宋体" w:hAnsi="宋体" w:cs="宋体"/>
          <w:bCs/>
          <w:color w:val="auto"/>
          <w:kern w:val="0"/>
          <w:sz w:val="24"/>
          <w:highlight w:val="none"/>
        </w:rPr>
      </w:pPr>
      <w:r>
        <w:rPr>
          <w:rFonts w:hint="eastAsia" w:ascii="宋体" w:hAnsi="宋体" w:cs="宋体"/>
          <w:color w:val="auto"/>
          <w:sz w:val="24"/>
          <w:highlight w:val="none"/>
        </w:rPr>
        <w:t>3.2.3 在磋商过程中，磋商小组可以根据磋商文件和磋商情况实质性变动采购需求中的“※”号技术、服务要求以及合同草案中的“※”号条款，但不得变动磋商文件中的其他内容。实质性变动的内容，须经采购人代表确认。磋商文件有实质性变动的，磋商小组将以书面形式通知所有</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 xml:space="preserve">供应商。 </w:t>
      </w:r>
    </w:p>
    <w:p w14:paraId="5703AA74">
      <w:pPr>
        <w:spacing w:line="360" w:lineRule="auto"/>
        <w:ind w:firstLine="472" w:firstLineChars="196"/>
        <w:rPr>
          <w:rFonts w:ascii="宋体" w:hAnsi="宋体" w:cs="宋体"/>
          <w:b/>
          <w:bCs/>
          <w:color w:val="auto"/>
          <w:kern w:val="0"/>
          <w:sz w:val="24"/>
          <w:highlight w:val="none"/>
        </w:rPr>
      </w:pPr>
      <w:r>
        <w:rPr>
          <w:rFonts w:hint="eastAsia" w:ascii="宋体" w:hAnsi="宋体" w:cs="宋体"/>
          <w:b/>
          <w:bCs/>
          <w:color w:val="auto"/>
          <w:kern w:val="0"/>
          <w:sz w:val="24"/>
          <w:highlight w:val="none"/>
        </w:rPr>
        <w:t>3.3最后报价</w:t>
      </w:r>
    </w:p>
    <w:p w14:paraId="07B8BD60">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14:paraId="0E42C208">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4F1DFD23">
      <w:pPr>
        <w:pStyle w:val="133"/>
        <w:spacing w:before="0"/>
        <w:ind w:firstLine="480"/>
        <w:rPr>
          <w:rFonts w:asciiTheme="minorEastAsia" w:hAnsiTheme="minorEastAsia" w:eastAsiaTheme="minorEastAsia"/>
          <w:color w:val="auto"/>
          <w:szCs w:val="24"/>
        </w:rPr>
      </w:pPr>
      <w:r>
        <w:rPr>
          <w:rFonts w:hint="eastAsia" w:ascii="宋体" w:hAnsi="宋体" w:cs="宋体"/>
          <w:color w:val="auto"/>
          <w:kern w:val="0"/>
          <w:sz w:val="24"/>
          <w:highlight w:val="none"/>
        </w:rPr>
        <w:t>3.3.</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 xml:space="preserve"> 已提交响应文件的供应商，在提交最后报价之前，可以根据磋商情况退出磋商</w:t>
      </w:r>
      <w:r>
        <w:rPr>
          <w:rFonts w:hint="eastAsia" w:ascii="宋体" w:hAnsi="宋体" w:cs="宋体"/>
          <w:color w:val="auto"/>
          <w:kern w:val="0"/>
          <w:sz w:val="24"/>
          <w:highlight w:val="none"/>
          <w:lang w:eastAsia="zh-CN"/>
        </w:rPr>
        <w:t>。</w:t>
      </w:r>
      <w:r>
        <w:rPr>
          <w:rFonts w:hint="eastAsia" w:asciiTheme="minorEastAsia" w:hAnsiTheme="minorEastAsia" w:eastAsiaTheme="minorEastAsia"/>
          <w:color w:val="auto"/>
          <w:szCs w:val="24"/>
        </w:rPr>
        <w:t>如供应商未按磋商小组的要求在规定的时间内提交最后报价的，视为退出磋商。</w:t>
      </w:r>
    </w:p>
    <w:p w14:paraId="7D0F9598">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3.4 综合评分。</w:t>
      </w:r>
      <w:r>
        <w:rPr>
          <w:rFonts w:hint="eastAsia" w:ascii="宋体" w:hAnsi="宋体" w:cs="宋体"/>
          <w:bCs/>
          <w:color w:val="auto"/>
          <w:kern w:val="0"/>
          <w:sz w:val="24"/>
          <w:highlight w:val="none"/>
        </w:rPr>
        <w:t>经磋商确定最终采购需求和提交最后报价的供应商后，</w:t>
      </w:r>
      <w:r>
        <w:rPr>
          <w:rFonts w:hint="eastAsia" w:ascii="宋体" w:hAnsi="宋体" w:cs="宋体"/>
          <w:color w:val="auto"/>
          <w:kern w:val="0"/>
          <w:sz w:val="24"/>
          <w:highlight w:val="none"/>
        </w:rPr>
        <w:t>磋商小组应当按照采购文件中规定的评审标准，对符合性审查合格的响应文件进行综合评分。磋商文件中没有规定的评审标准不得作为评审依据。</w:t>
      </w:r>
    </w:p>
    <w:p w14:paraId="6CC3C98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3.5汇总商务技术得分。</w:t>
      </w:r>
      <w:r>
        <w:rPr>
          <w:rFonts w:hint="eastAsia" w:ascii="宋体" w:hAnsi="宋体" w:cs="宋体"/>
          <w:color w:val="auto"/>
          <w:kern w:val="0"/>
          <w:sz w:val="24"/>
          <w:highlight w:val="none"/>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color w:val="auto"/>
          <w:kern w:val="0"/>
          <w:sz w:val="24"/>
          <w:highlight w:val="none"/>
        </w:rPr>
        <w:t>30%以上的，由</w:t>
      </w:r>
      <w:r>
        <w:rPr>
          <w:rFonts w:hint="eastAsia" w:ascii="宋体" w:hAnsi="宋体" w:cs="宋体"/>
          <w:color w:val="auto"/>
          <w:kern w:val="0"/>
          <w:sz w:val="24"/>
          <w:highlight w:val="none"/>
        </w:rPr>
        <w:t>磋商小组</w:t>
      </w:r>
      <w:r>
        <w:rPr>
          <w:rFonts w:ascii="宋体" w:hAnsi="宋体" w:cs="宋体"/>
          <w:color w:val="auto"/>
          <w:kern w:val="0"/>
          <w:sz w:val="24"/>
          <w:highlight w:val="none"/>
        </w:rPr>
        <w:t>启动评分畸高、畸低行为认定程序</w:t>
      </w:r>
      <w:r>
        <w:rPr>
          <w:rFonts w:hint="eastAsia" w:ascii="宋体" w:hAnsi="宋体" w:cs="宋体"/>
          <w:color w:val="auto"/>
          <w:kern w:val="0"/>
          <w:sz w:val="24"/>
          <w:highlight w:val="none"/>
        </w:rPr>
        <w:t>，磋商小组组长应提醒相关评审人员进行复核或书面说明理由，评审人员拒绝说明的，由现场监督员据实记录；评审人员的评审、修改记录应保留原件，随项目其他资料一并存档。</w:t>
      </w:r>
    </w:p>
    <w:p w14:paraId="6ACB980A">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3.6报价评审。</w:t>
      </w:r>
    </w:p>
    <w:p w14:paraId="5D01D7EA">
      <w:pPr>
        <w:pStyle w:val="133"/>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3.6.1响应文件报价出现前后不一致的，按照下列规定修正：</w:t>
      </w:r>
    </w:p>
    <w:p w14:paraId="175EBBF5">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3.6.1.1响应文件中已标价工程量清单内容与响应文件中相应内容不一致的，以已标价工程量清单为准;</w:t>
      </w:r>
    </w:p>
    <w:p w14:paraId="7B09448C">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3.6.1.2大写金额和小写金额不一致的，以大写金额为准;</w:t>
      </w:r>
    </w:p>
    <w:p w14:paraId="2DC749C1">
      <w:pPr>
        <w:pStyle w:val="133"/>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3.6.1.3单价金额小数点或者百分比有明显错位的，以已标价工程量清单的总价为准，并修改单价;</w:t>
      </w:r>
    </w:p>
    <w:p w14:paraId="182C3FF6">
      <w:pPr>
        <w:pStyle w:val="133"/>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3.6.1.4总价金额与按单价汇总金额不一致的，以单价金额计算结果为准。</w:t>
      </w:r>
    </w:p>
    <w:p w14:paraId="2CD7E17E">
      <w:pPr>
        <w:pStyle w:val="133"/>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3.4.1.5政采云平台填报的开标一览表中的价格与上传的报价响应文件中开标一览表的报价不一致的，以上传的报价响应文件中开标一览表的价格为准，修正平台上的投标报价。</w:t>
      </w:r>
    </w:p>
    <w:p w14:paraId="3CF8AB35">
      <w:pPr>
        <w:pStyle w:val="133"/>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w:t>
      </w:r>
      <w:r>
        <w:rPr>
          <w:rFonts w:hint="eastAsia" w:ascii="宋体" w:hAnsi="宋体" w:cs="宋体"/>
          <w:color w:val="auto"/>
          <w:kern w:val="0"/>
          <w:szCs w:val="24"/>
          <w:highlight w:val="none"/>
          <w:lang w:val="en-US" w:eastAsia="zh-CN"/>
        </w:rPr>
        <w:t>6</w:t>
      </w:r>
      <w:r>
        <w:rPr>
          <w:rFonts w:hint="eastAsia" w:ascii="宋体" w:hAnsi="宋体" w:cs="宋体"/>
          <w:color w:val="auto"/>
          <w:kern w:val="0"/>
          <w:szCs w:val="24"/>
          <w:highlight w:val="none"/>
        </w:rPr>
        <w:t>同时出现两种以上不一致的，按照3.4.1规定的顺序修正。修正后的报价按照财政部第87号令 《政府采购货物和服务招标投标管理办法》第五十一条第二款的规定经投标人确认后产生约束力。</w:t>
      </w:r>
    </w:p>
    <w:p w14:paraId="687C0BEF">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3.6.2响应文件出现不是唯一的、有选择性最后报价的，响应文件无效。</w:t>
      </w:r>
    </w:p>
    <w:p w14:paraId="1C3AA862">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3.6.3最后报价超过采购文件中规定的预算金额或者最高限价的，响应文件无效。</w:t>
      </w:r>
    </w:p>
    <w:p w14:paraId="023F0178">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255B3D87">
      <w:pPr>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3.7排序与推荐。</w:t>
      </w:r>
      <w:r>
        <w:rPr>
          <w:rFonts w:hint="eastAsia" w:ascii="宋体" w:hAnsi="宋体" w:cs="宋体"/>
          <w:kern w:val="0"/>
          <w:sz w:val="24"/>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宋体" w:hAnsi="宋体" w:cs="宋体"/>
          <w:kern w:val="0"/>
          <w:sz w:val="24"/>
          <w:lang w:eastAsia="zh-CN"/>
        </w:rPr>
        <w:t>。</w:t>
      </w:r>
      <w:r>
        <w:rPr>
          <w:rFonts w:hint="eastAsia" w:ascii="宋体" w:hAnsi="宋体" w:cs="宋体"/>
          <w:kern w:val="0"/>
          <w:sz w:val="24"/>
          <w:lang w:val="en" w:eastAsia="zh-CN"/>
        </w:rPr>
        <w:t>本项目推荐的中标候选人数量：</w:t>
      </w:r>
      <w:r>
        <w:rPr>
          <w:rFonts w:hint="eastAsia" w:ascii="宋体" w:hAnsi="宋体" w:cs="宋体"/>
          <w:kern w:val="0"/>
          <w:sz w:val="24"/>
          <w:u w:val="single"/>
          <w:lang w:val="en-US" w:eastAsia="zh-CN"/>
        </w:rPr>
        <w:t>3</w:t>
      </w:r>
      <w:r>
        <w:rPr>
          <w:rFonts w:hint="eastAsia" w:ascii="宋体" w:hAnsi="宋体" w:cs="宋体"/>
          <w:kern w:val="0"/>
          <w:sz w:val="24"/>
          <w:lang w:val="en" w:eastAsia="zh-CN"/>
        </w:rPr>
        <w:t>。</w:t>
      </w:r>
    </w:p>
    <w:p w14:paraId="4C1B7BD6">
      <w:pPr>
        <w:spacing w:line="360" w:lineRule="auto"/>
        <w:ind w:firstLine="472" w:firstLineChars="196"/>
        <w:rPr>
          <w:color w:val="auto"/>
          <w:highlight w:val="none"/>
        </w:rPr>
      </w:pPr>
      <w:r>
        <w:rPr>
          <w:rFonts w:hint="eastAsia" w:ascii="宋体" w:hAnsi="宋体" w:cs="宋体"/>
          <w:b/>
          <w:color w:val="auto"/>
          <w:kern w:val="0"/>
          <w:sz w:val="24"/>
          <w:highlight w:val="none"/>
        </w:rPr>
        <w:t>3.8编写评审报告。</w:t>
      </w:r>
      <w:r>
        <w:rPr>
          <w:rFonts w:hint="eastAsia" w:ascii="宋体" w:hAnsi="宋体" w:cs="宋体"/>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58991925">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四、评审中的其他事项</w:t>
      </w:r>
    </w:p>
    <w:p w14:paraId="046BBA22">
      <w:pPr>
        <w:pStyle w:val="133"/>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4.1供应商澄清、说明或者补正。</w:t>
      </w:r>
      <w:r>
        <w:rPr>
          <w:rFonts w:hint="eastAsia" w:ascii="宋体" w:hAnsi="宋体" w:cs="宋体"/>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788F62A1">
      <w:pPr>
        <w:pStyle w:val="27"/>
        <w:spacing w:line="360" w:lineRule="auto"/>
        <w:ind w:left="954" w:leftChars="226" w:hanging="479" w:firstLineChars="0"/>
        <w:rPr>
          <w:rFonts w:cs="宋体"/>
          <w:color w:val="auto"/>
          <w:szCs w:val="21"/>
          <w:highlight w:val="none"/>
        </w:rPr>
      </w:pPr>
      <w:r>
        <w:rPr>
          <w:rFonts w:hint="eastAsia" w:cs="宋体"/>
          <w:b/>
          <w:color w:val="auto"/>
          <w:kern w:val="0"/>
          <w:highlight w:val="none"/>
        </w:rPr>
        <w:t>4.2响应文件无效。</w:t>
      </w:r>
      <w:r>
        <w:rPr>
          <w:rFonts w:hint="eastAsia" w:cs="宋体"/>
          <w:color w:val="auto"/>
          <w:szCs w:val="21"/>
          <w:highlight w:val="none"/>
        </w:rPr>
        <w:t>有下列情形之一的，响应文件无效：</w:t>
      </w:r>
    </w:p>
    <w:p w14:paraId="545846A6">
      <w:pPr>
        <w:spacing w:line="360" w:lineRule="auto"/>
        <w:ind w:firstLine="480" w:firstLineChars="200"/>
        <w:rPr>
          <w:rFonts w:ascii="宋体" w:hAnsi="宋体" w:cs="宋体"/>
          <w:kern w:val="0"/>
          <w:sz w:val="24"/>
        </w:rPr>
      </w:pPr>
      <w:r>
        <w:rPr>
          <w:rFonts w:hint="eastAsia" w:ascii="宋体" w:hAnsi="宋体" w:cs="宋体"/>
          <w:kern w:val="0"/>
          <w:sz w:val="24"/>
        </w:rPr>
        <w:t>4.2.1供应商不具备采购文件中规定的资格要求的（供应商未提供有效的资格文件的，视为供应商不具备采购文件中规定的资格要求）；</w:t>
      </w:r>
    </w:p>
    <w:p w14:paraId="3E387582">
      <w:pPr>
        <w:spacing w:line="360" w:lineRule="auto"/>
        <w:ind w:firstLine="480" w:firstLineChars="200"/>
        <w:rPr>
          <w:rFonts w:ascii="宋体" w:hAnsi="宋体" w:cs="宋体"/>
          <w:kern w:val="0"/>
          <w:sz w:val="24"/>
        </w:rPr>
      </w:pPr>
      <w:r>
        <w:rPr>
          <w:rFonts w:hint="eastAsia" w:ascii="宋体" w:hAnsi="宋体" w:cs="宋体"/>
          <w:kern w:val="0"/>
          <w:sz w:val="24"/>
        </w:rPr>
        <w:t>4.2.2响应文件未按照采购文件要求签署、盖章的；</w:t>
      </w:r>
    </w:p>
    <w:p w14:paraId="158E5F14">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4.2.3采购人拟采购的产品属于政府强制采购的节能产品品目清单范围的，供应商未按采购文件要求提供国家确定的认证机构出具的、处于有效期之内的节能产品认证证书的；</w:t>
      </w:r>
    </w:p>
    <w:p w14:paraId="589AA160">
      <w:pPr>
        <w:spacing w:line="360" w:lineRule="auto"/>
        <w:ind w:firstLine="480" w:firstLineChars="200"/>
        <w:rPr>
          <w:rFonts w:ascii="宋体" w:hAnsi="宋体" w:cs="宋体"/>
          <w:kern w:val="0"/>
          <w:sz w:val="24"/>
        </w:rPr>
      </w:pPr>
      <w:r>
        <w:rPr>
          <w:rFonts w:hint="eastAsia" w:ascii="宋体" w:hAnsi="宋体" w:cs="宋体"/>
          <w:kern w:val="0"/>
          <w:sz w:val="24"/>
        </w:rPr>
        <w:t>4.2.4响应文件含有采购人不能接受的附加条件的；</w:t>
      </w:r>
    </w:p>
    <w:p w14:paraId="37183947">
      <w:pPr>
        <w:spacing w:line="360" w:lineRule="auto"/>
        <w:ind w:firstLine="480" w:firstLineChars="200"/>
        <w:rPr>
          <w:rFonts w:ascii="宋体" w:hAnsi="宋体" w:cs="宋体"/>
          <w:kern w:val="0"/>
          <w:sz w:val="24"/>
        </w:rPr>
      </w:pPr>
      <w:r>
        <w:rPr>
          <w:rFonts w:hint="eastAsia" w:ascii="宋体" w:hAnsi="宋体" w:cs="宋体"/>
          <w:kern w:val="0"/>
          <w:sz w:val="24"/>
        </w:rPr>
        <w:t>4.2.5响应文件中承诺的响应文件有效期少于采购文件中载明的响应文件有效期的；</w:t>
      </w:r>
    </w:p>
    <w:p w14:paraId="7A3702C0">
      <w:pPr>
        <w:spacing w:line="360" w:lineRule="auto"/>
        <w:ind w:firstLine="480" w:firstLineChars="200"/>
        <w:rPr>
          <w:rFonts w:hint="eastAsia" w:ascii="宋体" w:hAnsi="宋体" w:cs="宋体"/>
          <w:kern w:val="0"/>
          <w:sz w:val="24"/>
        </w:rPr>
      </w:pPr>
      <w:r>
        <w:rPr>
          <w:rFonts w:hint="eastAsia" w:ascii="宋体" w:hAnsi="宋体" w:cs="宋体"/>
          <w:kern w:val="0"/>
          <w:sz w:val="24"/>
        </w:rPr>
        <w:t>4.2.6响应文件出现不是唯一的、有选择性最后报价的;</w:t>
      </w:r>
    </w:p>
    <w:p w14:paraId="468D0B09">
      <w:pPr>
        <w:spacing w:line="360" w:lineRule="auto"/>
        <w:ind w:firstLine="480" w:firstLineChars="200"/>
        <w:rPr>
          <w:rFonts w:hint="eastAsia" w:ascii="宋体" w:hAnsi="宋体" w:cs="宋体"/>
          <w:kern w:val="0"/>
          <w:sz w:val="24"/>
        </w:rPr>
      </w:pPr>
      <w:r>
        <w:rPr>
          <w:rFonts w:hint="eastAsia" w:ascii="宋体" w:hAnsi="宋体" w:cs="宋体"/>
          <w:kern w:val="0"/>
          <w:sz w:val="24"/>
        </w:rPr>
        <w:t>4.2.7最后报价超过采购文件中规定的预算金额或者最高限价的;</w:t>
      </w:r>
    </w:p>
    <w:p w14:paraId="6B3B7A18">
      <w:pPr>
        <w:spacing w:line="360" w:lineRule="auto"/>
        <w:ind w:firstLine="480" w:firstLineChars="200"/>
        <w:rPr>
          <w:rFonts w:hint="eastAsia"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8</w:t>
      </w:r>
      <w:r>
        <w:rPr>
          <w:rFonts w:hint="eastAsia" w:ascii="宋体" w:hAnsi="宋体" w:cs="宋体"/>
          <w:kern w:val="0"/>
          <w:sz w:val="24"/>
        </w:rPr>
        <w:t>报价明显低于其他通过符合性审查供应商的报价，有可能影响产品质量或者不能诚信履约的，未能按要求提供书面说明或者提交相关证明材料证明其报价合理性的;</w:t>
      </w:r>
    </w:p>
    <w:p w14:paraId="49F67035">
      <w:pPr>
        <w:spacing w:line="360" w:lineRule="auto"/>
        <w:ind w:firstLine="480" w:firstLineChars="200"/>
        <w:rPr>
          <w:rFonts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9</w:t>
      </w:r>
      <w:r>
        <w:rPr>
          <w:rFonts w:hint="eastAsia" w:ascii="宋体" w:hAnsi="宋体" w:cs="宋体"/>
          <w:kern w:val="0"/>
          <w:sz w:val="24"/>
        </w:rPr>
        <w:t>供应商对根据修正原则修正后的报价不确认的；</w:t>
      </w:r>
    </w:p>
    <w:p w14:paraId="6D53F084">
      <w:pPr>
        <w:spacing w:line="360" w:lineRule="auto"/>
        <w:ind w:firstLine="480" w:firstLineChars="200"/>
        <w:rPr>
          <w:rFonts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10</w:t>
      </w:r>
      <w:r>
        <w:rPr>
          <w:rFonts w:hint="eastAsia" w:ascii="宋体" w:hAnsi="宋体" w:cs="宋体"/>
          <w:kern w:val="0"/>
          <w:sz w:val="24"/>
        </w:rPr>
        <w:t>供应商提供虚假材料响应的；</w:t>
      </w:r>
    </w:p>
    <w:p w14:paraId="7FE01704">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1</w:t>
      </w:r>
      <w:r>
        <w:rPr>
          <w:rFonts w:hint="eastAsia" w:ascii="宋体" w:hAnsi="宋体" w:cs="宋体"/>
          <w:kern w:val="0"/>
          <w:sz w:val="24"/>
        </w:rPr>
        <w:t>供应商有恶意串通、妨碍其他供应商的竞争行为、损害采购人或者其他供应商的合法权益情形的；</w:t>
      </w:r>
    </w:p>
    <w:p w14:paraId="06640704">
      <w:pPr>
        <w:pStyle w:val="2"/>
        <w:keepNext w:val="0"/>
        <w:keepLines w:val="0"/>
        <w:pageBreakBefore w:val="0"/>
        <w:kinsoku/>
        <w:wordWrap/>
        <w:overflowPunct/>
        <w:topLinePunct w:val="0"/>
        <w:bidi w:val="0"/>
        <w:adjustRightInd w:val="0"/>
        <w:snapToGrid/>
        <w:spacing w:line="360" w:lineRule="auto"/>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4.2.12</w:t>
      </w:r>
      <w:r>
        <w:rPr>
          <w:rFonts w:hint="eastAsia" w:ascii="宋体" w:hAnsi="宋体" w:eastAsia="宋体" w:cs="宋体"/>
          <w:kern w:val="0"/>
          <w:sz w:val="24"/>
          <w:szCs w:val="24"/>
          <w:lang w:val="en" w:eastAsia="zh-CN" w:bidi="ar-SA"/>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63BA14E4">
      <w:pPr>
        <w:keepNext w:val="0"/>
        <w:keepLines w:val="0"/>
        <w:pageBreakBefore w:val="0"/>
        <w:kinsoku/>
        <w:wordWrap/>
        <w:overflowPunct/>
        <w:topLinePunct w:val="0"/>
        <w:bidi w:val="0"/>
        <w:adjustRightInd w:val="0"/>
        <w:snapToGrid/>
        <w:spacing w:line="360" w:lineRule="auto"/>
        <w:ind w:firstLine="480" w:firstLineChars="200"/>
        <w:textAlignment w:val="auto"/>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3</w:t>
      </w:r>
      <w:r>
        <w:rPr>
          <w:rFonts w:hint="eastAsia" w:ascii="宋体" w:hAnsi="宋体" w:cs="宋体"/>
          <w:kern w:val="0"/>
          <w:sz w:val="24"/>
        </w:rPr>
        <w:t>供应商仅提交备份响应文件，未在电子交易平台传输递交响应文件的，响应文件无效；</w:t>
      </w:r>
    </w:p>
    <w:p w14:paraId="23B1A3FE">
      <w:pPr>
        <w:keepNext w:val="0"/>
        <w:keepLines w:val="0"/>
        <w:pageBreakBefore w:val="0"/>
        <w:kinsoku/>
        <w:wordWrap/>
        <w:overflowPunct/>
        <w:topLinePunct w:val="0"/>
        <w:bidi w:val="0"/>
        <w:adjustRightInd w:val="0"/>
        <w:snapToGrid/>
        <w:spacing w:line="360" w:lineRule="auto"/>
        <w:ind w:firstLine="480" w:firstLineChars="200"/>
        <w:textAlignment w:val="auto"/>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4</w:t>
      </w:r>
      <w:r>
        <w:rPr>
          <w:rFonts w:hint="eastAsia" w:ascii="宋体" w:hAnsi="宋体" w:cs="宋体"/>
          <w:kern w:val="0"/>
          <w:sz w:val="24"/>
        </w:rPr>
        <w:t xml:space="preserve"> 响应文件不满足采购文件的其它实质性要求的；</w:t>
      </w:r>
    </w:p>
    <w:p w14:paraId="11D115F9">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5</w:t>
      </w:r>
      <w:r>
        <w:rPr>
          <w:rFonts w:hint="eastAsia" w:ascii="宋体" w:hAnsi="宋体" w:cs="宋体"/>
          <w:kern w:val="0"/>
          <w:sz w:val="24"/>
        </w:rPr>
        <w:t>法律、法规、规章（适用本市的）及省级以上规范性文件（适用本市的）规定的其他无效情形。</w:t>
      </w:r>
    </w:p>
    <w:p w14:paraId="67963B23">
      <w:pPr>
        <w:pStyle w:val="27"/>
        <w:snapToGrid w:val="0"/>
        <w:spacing w:line="360" w:lineRule="auto"/>
        <w:ind w:firstLine="472" w:firstLineChars="196"/>
        <w:rPr>
          <w:rFonts w:cs="宋体"/>
          <w:color w:val="auto"/>
          <w:highlight w:val="none"/>
        </w:rPr>
      </w:pPr>
      <w:r>
        <w:rPr>
          <w:rFonts w:hint="eastAsia" w:cs="宋体"/>
          <w:b/>
          <w:color w:val="auto"/>
          <w:highlight w:val="none"/>
        </w:rPr>
        <w:t>5.终止竞争性磋商采购活动。</w:t>
      </w:r>
      <w:r>
        <w:rPr>
          <w:rFonts w:hint="eastAsia" w:cs="宋体"/>
          <w:color w:val="auto"/>
          <w:highlight w:val="none"/>
        </w:rPr>
        <w:t>出现下列情形之一的，采购人或者采购代理机构应当终止竞争性磋商采购活动，发布项目终止公告并说明原因，重新开展采购活动：</w:t>
      </w:r>
    </w:p>
    <w:p w14:paraId="72E1065E">
      <w:pPr>
        <w:pStyle w:val="27"/>
        <w:snapToGrid w:val="0"/>
        <w:spacing w:line="360" w:lineRule="auto"/>
        <w:rPr>
          <w:rFonts w:cs="宋体"/>
          <w:color w:val="auto"/>
          <w:highlight w:val="none"/>
        </w:rPr>
      </w:pPr>
      <w:r>
        <w:rPr>
          <w:rFonts w:hint="eastAsia" w:cs="宋体"/>
          <w:color w:val="auto"/>
          <w:highlight w:val="none"/>
        </w:rPr>
        <w:t>5.1因情况变化，不再符合规定的竞争性磋商采购方式适用情形的；</w:t>
      </w:r>
    </w:p>
    <w:p w14:paraId="54F16862">
      <w:pPr>
        <w:pStyle w:val="27"/>
        <w:snapToGrid w:val="0"/>
        <w:spacing w:line="360" w:lineRule="auto"/>
        <w:rPr>
          <w:rFonts w:cs="宋体"/>
          <w:color w:val="auto"/>
          <w:highlight w:val="none"/>
        </w:rPr>
      </w:pPr>
      <w:r>
        <w:rPr>
          <w:rFonts w:hint="eastAsia" w:cs="宋体"/>
          <w:color w:val="auto"/>
          <w:highlight w:val="none"/>
        </w:rPr>
        <w:t>5.2出现影响采购公正的违法、违规行为的；</w:t>
      </w:r>
    </w:p>
    <w:p w14:paraId="43DA287B">
      <w:pPr>
        <w:pStyle w:val="27"/>
        <w:snapToGrid w:val="0"/>
        <w:spacing w:line="360" w:lineRule="auto"/>
        <w:rPr>
          <w:rFonts w:cs="宋体"/>
          <w:color w:val="auto"/>
          <w:highlight w:val="none"/>
        </w:rPr>
      </w:pPr>
      <w:r>
        <w:rPr>
          <w:rFonts w:hint="eastAsia" w:cs="宋体"/>
          <w:color w:val="auto"/>
          <w:highlight w:val="none"/>
        </w:rPr>
        <w:t>5.3除本办法第二十一条第三款规定的情形外，在采购过程中符合要求的供应商或者报价未超过采购预算的供应商不足3家的。</w:t>
      </w:r>
    </w:p>
    <w:p w14:paraId="34EF4B96">
      <w:pPr>
        <w:pStyle w:val="27"/>
        <w:snapToGrid w:val="0"/>
        <w:spacing w:line="360" w:lineRule="auto"/>
        <w:rPr>
          <w:rFonts w:cs="宋体"/>
          <w:color w:val="auto"/>
          <w:highlight w:val="none"/>
        </w:rPr>
      </w:pPr>
      <w:r>
        <w:rPr>
          <w:rFonts w:hint="eastAsia" w:cs="宋体"/>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14:paraId="1D103527">
      <w:pPr>
        <w:pStyle w:val="27"/>
        <w:snapToGrid w:val="0"/>
        <w:spacing w:line="360" w:lineRule="auto"/>
        <w:ind w:firstLine="482"/>
        <w:rPr>
          <w:rFonts w:cs="宋体"/>
          <w:color w:val="auto"/>
          <w:highlight w:val="none"/>
        </w:rPr>
      </w:pPr>
      <w:r>
        <w:rPr>
          <w:rFonts w:hint="eastAsia" w:cs="宋体"/>
          <w:b/>
          <w:color w:val="auto"/>
          <w:kern w:val="0"/>
          <w:highlight w:val="none"/>
        </w:rPr>
        <w:t>6.重新开展采购。</w:t>
      </w:r>
      <w:r>
        <w:rPr>
          <w:rFonts w:hint="eastAsia" w:cs="宋体"/>
          <w:color w:val="auto"/>
          <w:highlight w:val="none"/>
        </w:rPr>
        <w:t>有政府采购法第七十一条、第七十二条规定的违法行为之一，影响或者可能影响成交结果的，依照下列规定处理：</w:t>
      </w:r>
    </w:p>
    <w:p w14:paraId="37CAFF84">
      <w:pPr>
        <w:pStyle w:val="27"/>
        <w:snapToGrid w:val="0"/>
        <w:spacing w:line="360" w:lineRule="auto"/>
        <w:rPr>
          <w:rFonts w:cs="宋体"/>
          <w:color w:val="auto"/>
          <w:highlight w:val="none"/>
        </w:rPr>
      </w:pPr>
      <w:r>
        <w:rPr>
          <w:rFonts w:hint="eastAsia" w:cs="宋体"/>
          <w:color w:val="auto"/>
          <w:highlight w:val="none"/>
        </w:rPr>
        <w:t>6.1未确定成交供应商的，终止本次政府采购活动，重新开展政府采购活动。</w:t>
      </w:r>
    </w:p>
    <w:p w14:paraId="79735825">
      <w:pPr>
        <w:pStyle w:val="27"/>
        <w:snapToGrid w:val="0"/>
        <w:spacing w:line="360" w:lineRule="auto"/>
        <w:rPr>
          <w:rFonts w:cs="宋体"/>
          <w:color w:val="auto"/>
          <w:highlight w:val="none"/>
        </w:rPr>
      </w:pPr>
      <w:r>
        <w:rPr>
          <w:rFonts w:hint="eastAsia" w:cs="宋体"/>
          <w:color w:val="auto"/>
          <w:highlight w:val="none"/>
        </w:rPr>
        <w:t>6.2已确定成交供应商但尚未签订政府采购合同的，成交结果无效，从合格的成交候选供应商中另行确定成交供应商；没有合格的成交候选供应商的，重新开展政府采购活动。</w:t>
      </w:r>
    </w:p>
    <w:p w14:paraId="6D1A061D">
      <w:pPr>
        <w:pStyle w:val="27"/>
        <w:snapToGrid w:val="0"/>
        <w:spacing w:line="360" w:lineRule="auto"/>
        <w:rPr>
          <w:rFonts w:cs="宋体"/>
          <w:color w:val="auto"/>
          <w:highlight w:val="none"/>
        </w:rPr>
      </w:pPr>
      <w:r>
        <w:rPr>
          <w:rFonts w:hint="eastAsia" w:cs="宋体"/>
          <w:color w:val="auto"/>
          <w:highlight w:val="none"/>
        </w:rPr>
        <w:t>6.3政府采购合同已签订但尚未履行的，撤销合同，从合格的成交候选供应商中另行确定成交供应商；没有合格的成交候选供应商的，重新开展政府采购活动。</w:t>
      </w:r>
    </w:p>
    <w:p w14:paraId="3E04E374">
      <w:pPr>
        <w:pStyle w:val="27"/>
        <w:snapToGrid w:val="0"/>
        <w:spacing w:line="360" w:lineRule="auto"/>
        <w:rPr>
          <w:rFonts w:cs="宋体"/>
          <w:color w:val="auto"/>
          <w:highlight w:val="none"/>
        </w:rPr>
      </w:pPr>
      <w:r>
        <w:rPr>
          <w:rFonts w:hint="eastAsia" w:cs="宋体"/>
          <w:color w:val="auto"/>
          <w:highlight w:val="none"/>
        </w:rPr>
        <w:t>6.4政府采购合同已经履行，给采购人、供应商造成损失的，由责任人承担赔偿责任。</w:t>
      </w:r>
    </w:p>
    <w:p w14:paraId="7006756F">
      <w:pPr>
        <w:pStyle w:val="27"/>
        <w:snapToGrid w:val="0"/>
        <w:spacing w:line="360" w:lineRule="auto"/>
        <w:rPr>
          <w:rFonts w:cs="宋体"/>
          <w:color w:val="auto"/>
          <w:highlight w:val="none"/>
        </w:rPr>
      </w:pPr>
      <w:r>
        <w:rPr>
          <w:rFonts w:hint="eastAsia" w:cs="宋体"/>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3E5E8D2D">
      <w:pPr>
        <w:pStyle w:val="27"/>
        <w:snapToGrid w:val="0"/>
        <w:spacing w:line="360" w:lineRule="auto"/>
        <w:ind w:firstLine="0" w:firstLineChars="0"/>
        <w:rPr>
          <w:rFonts w:cs="宋体"/>
          <w:color w:val="auto"/>
          <w:highlight w:val="none"/>
        </w:rPr>
        <w:sectPr>
          <w:pgSz w:w="11907" w:h="16840"/>
          <w:pgMar w:top="1327" w:right="1080" w:bottom="1327" w:left="1080" w:header="851" w:footer="851" w:gutter="0"/>
          <w:cols w:space="720" w:num="1"/>
        </w:sectPr>
      </w:pPr>
    </w:p>
    <w:bookmarkEnd w:id="31"/>
    <w:p w14:paraId="3E52484A">
      <w:pPr>
        <w:spacing w:line="360" w:lineRule="auto"/>
        <w:jc w:val="center"/>
        <w:outlineLvl w:val="0"/>
        <w:rPr>
          <w:rFonts w:ascii="宋体" w:hAnsi="宋体" w:cs="宋体"/>
          <w:b/>
          <w:color w:val="auto"/>
          <w:sz w:val="36"/>
          <w:szCs w:val="36"/>
          <w:highlight w:val="none"/>
        </w:rPr>
      </w:pPr>
      <w:bookmarkStart w:id="399" w:name="第五部分"/>
      <w:bookmarkStart w:id="400" w:name="_Toc86217003"/>
      <w:r>
        <w:rPr>
          <w:rFonts w:hint="eastAsia" w:ascii="宋体" w:hAnsi="宋体" w:cs="宋体"/>
          <w:b/>
          <w:color w:val="auto"/>
          <w:sz w:val="36"/>
          <w:szCs w:val="36"/>
          <w:highlight w:val="none"/>
        </w:rPr>
        <w:t>第五部分 拟签订的合同文本</w:t>
      </w:r>
    </w:p>
    <w:p w14:paraId="1618095A">
      <w:pPr>
        <w:snapToGrid w:val="0"/>
        <w:spacing w:line="360" w:lineRule="auto"/>
        <w:ind w:firstLine="480" w:firstLineChars="200"/>
        <w:jc w:val="left"/>
        <w:rPr>
          <w:rFonts w:hint="eastAsia" w:ascii="仿宋" w:hAnsi="仿宋" w:eastAsia="仿宋" w:cs="仿宋"/>
          <w:snapToGrid w:val="0"/>
          <w:color w:val="auto"/>
          <w:kern w:val="0"/>
          <w:sz w:val="24"/>
          <w:szCs w:val="20"/>
          <w:highlight w:val="none"/>
        </w:rPr>
      </w:pPr>
      <w:r>
        <w:rPr>
          <w:rFonts w:hint="eastAsia" w:ascii="仿宋" w:hAnsi="仿宋" w:eastAsia="仿宋" w:cs="仿宋"/>
          <w:snapToGrid w:val="0"/>
          <w:color w:val="auto"/>
          <w:kern w:val="0"/>
          <w:sz w:val="24"/>
          <w:szCs w:val="20"/>
          <w:highlight w:val="none"/>
        </w:rPr>
        <w:t>使用住房城乡建设部、原国家工商行政管理总局制定的《建设工程施工合同（示范文本）》（GF-2017-0201）。</w:t>
      </w:r>
    </w:p>
    <w:p w14:paraId="6B4CC88D">
      <w:pPr>
        <w:keepNext/>
        <w:keepLines/>
        <w:numPr>
          <w:ilvl w:val="1"/>
          <w:numId w:val="0"/>
        </w:numPr>
        <w:snapToGrid w:val="0"/>
        <w:spacing w:line="360" w:lineRule="auto"/>
        <w:jc w:val="center"/>
        <w:rPr>
          <w:rFonts w:hint="eastAsia" w:ascii="仿宋" w:hAnsi="仿宋" w:eastAsia="仿宋" w:cs="仿宋"/>
          <w:snapToGrid w:val="0"/>
          <w:color w:val="auto"/>
          <w:kern w:val="44"/>
          <w:sz w:val="24"/>
          <w:szCs w:val="20"/>
          <w:highlight w:val="none"/>
        </w:rPr>
      </w:pPr>
    </w:p>
    <w:p w14:paraId="71304BDA">
      <w:pPr>
        <w:snapToGrid w:val="0"/>
        <w:spacing w:line="480" w:lineRule="exact"/>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第一部分合同协议书</w:t>
      </w:r>
    </w:p>
    <w:p w14:paraId="2E8E6C98">
      <w:pPr>
        <w:spacing w:before="240" w:line="360" w:lineRule="auto"/>
        <w:ind w:firstLine="420" w:firstLineChars="200"/>
        <w:rPr>
          <w:rFonts w:hint="eastAsia" w:ascii="仿宋" w:hAnsi="仿宋" w:eastAsia="仿宋" w:cs="仿宋"/>
          <w:iCs/>
          <w:color w:val="auto"/>
          <w:szCs w:val="21"/>
          <w:highlight w:val="none"/>
          <w:lang w:eastAsia="zh-CN"/>
        </w:rPr>
      </w:pPr>
      <w:r>
        <w:rPr>
          <w:rFonts w:hint="eastAsia" w:ascii="仿宋" w:hAnsi="仿宋" w:eastAsia="仿宋" w:cs="仿宋"/>
          <w:iCs/>
          <w:color w:val="auto"/>
          <w:szCs w:val="21"/>
          <w:highlight w:val="none"/>
        </w:rPr>
        <w:t>发 包 人（全称）：</w:t>
      </w:r>
      <w:r>
        <w:rPr>
          <w:rFonts w:hint="eastAsia" w:ascii="仿宋" w:hAnsi="仿宋" w:eastAsia="仿宋" w:cs="仿宋"/>
          <w:iCs/>
          <w:color w:val="auto"/>
          <w:szCs w:val="21"/>
          <w:highlight w:val="none"/>
          <w:u w:val="single"/>
          <w:lang w:eastAsia="zh-CN"/>
        </w:rPr>
        <w:t>杭州市钱塘区金沙湖实验学校</w:t>
      </w:r>
    </w:p>
    <w:p w14:paraId="64543E65">
      <w:pPr>
        <w:spacing w:line="360" w:lineRule="auto"/>
        <w:ind w:firstLine="420" w:firstLineChars="200"/>
        <w:rPr>
          <w:rFonts w:hint="eastAsia" w:ascii="仿宋" w:hAnsi="仿宋" w:eastAsia="仿宋" w:cs="仿宋"/>
          <w:iCs/>
          <w:color w:val="auto"/>
          <w:szCs w:val="21"/>
          <w:highlight w:val="none"/>
          <w:u w:val="single"/>
        </w:rPr>
      </w:pPr>
      <w:r>
        <w:rPr>
          <w:rFonts w:hint="eastAsia" w:ascii="仿宋" w:hAnsi="仿宋" w:eastAsia="仿宋" w:cs="仿宋"/>
          <w:iCs/>
          <w:color w:val="auto"/>
          <w:szCs w:val="21"/>
          <w:highlight w:val="none"/>
        </w:rPr>
        <w:t>承 包 人（全称）：</w:t>
      </w:r>
    </w:p>
    <w:p w14:paraId="2F2E14EA">
      <w:pPr>
        <w:spacing w:line="360" w:lineRule="auto"/>
        <w:ind w:firstLine="420" w:firstLineChars="200"/>
        <w:rPr>
          <w:rFonts w:hint="eastAsia" w:ascii="仿宋" w:hAnsi="仿宋" w:eastAsia="仿宋" w:cs="仿宋"/>
          <w:iCs/>
          <w:color w:val="auto"/>
          <w:szCs w:val="21"/>
          <w:highlight w:val="none"/>
        </w:rPr>
      </w:pPr>
      <w:r>
        <w:rPr>
          <w:rFonts w:hint="eastAsia" w:ascii="仿宋" w:hAnsi="仿宋" w:eastAsia="仿宋" w:cs="仿宋"/>
          <w:iCs/>
          <w:color w:val="auto"/>
          <w:szCs w:val="21"/>
          <w:highlight w:val="none"/>
        </w:rPr>
        <w:t>根据《中华人民共和国</w:t>
      </w:r>
      <w:r>
        <w:rPr>
          <w:rFonts w:hint="eastAsia" w:ascii="仿宋" w:hAnsi="仿宋" w:eastAsia="仿宋" w:cs="仿宋"/>
          <w:iCs/>
          <w:color w:val="auto"/>
          <w:szCs w:val="21"/>
          <w:highlight w:val="none"/>
          <w:lang w:val="en-US" w:eastAsia="zh-Hans"/>
        </w:rPr>
        <w:t>民法典</w:t>
      </w:r>
      <w:r>
        <w:rPr>
          <w:rFonts w:hint="eastAsia" w:ascii="仿宋" w:hAnsi="仿宋" w:eastAsia="仿宋" w:cs="仿宋"/>
          <w:iCs/>
          <w:color w:val="auto"/>
          <w:szCs w:val="21"/>
          <w:highlight w:val="none"/>
        </w:rPr>
        <w:t>》、《中华人民共和国建筑法》及有关法律规定，遵循平等、自愿、公平和诚实信用的原则，双方就</w:t>
      </w:r>
      <w:r>
        <w:rPr>
          <w:rFonts w:hint="eastAsia" w:ascii="仿宋" w:hAnsi="仿宋" w:eastAsia="仿宋" w:cs="仿宋"/>
          <w:iCs/>
          <w:color w:val="auto"/>
          <w:szCs w:val="21"/>
          <w:highlight w:val="none"/>
          <w:u w:val="single"/>
          <w:lang w:eastAsia="zh-CN"/>
        </w:rPr>
        <w:t>杭州市钱塘区金沙湖实验学校2025年足球场改造工程</w:t>
      </w:r>
      <w:r>
        <w:rPr>
          <w:rFonts w:hint="eastAsia" w:ascii="仿宋" w:hAnsi="仿宋" w:eastAsia="仿宋" w:cs="仿宋"/>
          <w:iCs/>
          <w:color w:val="auto"/>
          <w:szCs w:val="21"/>
          <w:highlight w:val="none"/>
        </w:rPr>
        <w:t>施工及有关事项协商一致，共同达成如下协议：</w:t>
      </w:r>
    </w:p>
    <w:p w14:paraId="51B1D2E1">
      <w:pPr>
        <w:spacing w:line="360" w:lineRule="auto"/>
        <w:ind w:firstLine="420" w:firstLineChars="200"/>
        <w:rPr>
          <w:rFonts w:hint="eastAsia" w:ascii="仿宋" w:hAnsi="仿宋" w:eastAsia="仿宋" w:cs="仿宋"/>
          <w:iCs/>
          <w:color w:val="auto"/>
          <w:szCs w:val="21"/>
          <w:highlight w:val="none"/>
        </w:rPr>
      </w:pPr>
      <w:r>
        <w:rPr>
          <w:rFonts w:hint="eastAsia" w:ascii="仿宋" w:hAnsi="仿宋" w:eastAsia="仿宋" w:cs="仿宋"/>
          <w:iCs/>
          <w:color w:val="auto"/>
          <w:szCs w:val="21"/>
          <w:highlight w:val="none"/>
        </w:rPr>
        <w:t>一、工程概况</w:t>
      </w:r>
    </w:p>
    <w:p w14:paraId="41505819">
      <w:pPr>
        <w:spacing w:line="360" w:lineRule="auto"/>
        <w:ind w:firstLine="420" w:firstLineChars="200"/>
        <w:rPr>
          <w:rFonts w:hint="eastAsia" w:ascii="仿宋" w:hAnsi="仿宋" w:eastAsia="仿宋" w:cs="仿宋"/>
          <w:iCs/>
          <w:color w:val="auto"/>
          <w:szCs w:val="21"/>
          <w:highlight w:val="none"/>
          <w:lang w:eastAsia="zh-CN"/>
        </w:rPr>
      </w:pPr>
      <w:r>
        <w:rPr>
          <w:rFonts w:hint="eastAsia" w:ascii="仿宋" w:hAnsi="仿宋" w:eastAsia="仿宋" w:cs="仿宋"/>
          <w:iCs/>
          <w:color w:val="auto"/>
          <w:szCs w:val="21"/>
          <w:highlight w:val="none"/>
        </w:rPr>
        <w:t>1.工程名称：</w:t>
      </w:r>
      <w:r>
        <w:rPr>
          <w:rFonts w:hint="eastAsia" w:ascii="仿宋" w:hAnsi="仿宋" w:eastAsia="仿宋" w:cs="仿宋"/>
          <w:iCs/>
          <w:color w:val="auto"/>
          <w:szCs w:val="21"/>
          <w:highlight w:val="none"/>
          <w:u w:val="single"/>
          <w:lang w:eastAsia="zh-CN"/>
        </w:rPr>
        <w:t>杭州市钱塘区金沙湖实验学校2025年足球场改造工程</w:t>
      </w:r>
    </w:p>
    <w:p w14:paraId="6057B760">
      <w:pPr>
        <w:spacing w:line="360" w:lineRule="auto"/>
        <w:ind w:firstLine="420" w:firstLineChars="200"/>
        <w:rPr>
          <w:rFonts w:hint="eastAsia" w:ascii="仿宋" w:hAnsi="仿宋" w:eastAsia="仿宋" w:cs="仿宋"/>
          <w:iCs/>
          <w:color w:val="auto"/>
          <w:szCs w:val="21"/>
          <w:highlight w:val="none"/>
        </w:rPr>
      </w:pPr>
      <w:r>
        <w:rPr>
          <w:rFonts w:hint="eastAsia" w:ascii="仿宋" w:hAnsi="仿宋" w:eastAsia="仿宋" w:cs="仿宋"/>
          <w:iCs/>
          <w:color w:val="auto"/>
          <w:szCs w:val="21"/>
          <w:highlight w:val="none"/>
        </w:rPr>
        <w:t>2.工程地点：</w:t>
      </w:r>
      <w:r>
        <w:rPr>
          <w:rFonts w:hint="eastAsia" w:ascii="仿宋" w:hAnsi="仿宋" w:eastAsia="仿宋" w:cs="仿宋"/>
          <w:iCs/>
          <w:color w:val="auto"/>
          <w:szCs w:val="21"/>
          <w:highlight w:val="none"/>
          <w:u w:val="single"/>
          <w:lang w:val="en-US" w:eastAsia="zh-CN"/>
        </w:rPr>
        <w:t>杭州市钱塘区</w:t>
      </w:r>
      <w:r>
        <w:rPr>
          <w:rFonts w:hint="eastAsia" w:ascii="仿宋" w:hAnsi="仿宋" w:eastAsia="仿宋" w:cs="仿宋"/>
          <w:iCs/>
          <w:color w:val="auto"/>
          <w:szCs w:val="21"/>
          <w:highlight w:val="none"/>
          <w:u w:val="single"/>
          <w:lang w:eastAsia="zh-CN"/>
        </w:rPr>
        <w:t xml:space="preserve">。 </w:t>
      </w:r>
    </w:p>
    <w:p w14:paraId="4372609A">
      <w:pPr>
        <w:spacing w:line="360" w:lineRule="auto"/>
        <w:ind w:firstLine="420" w:firstLineChars="200"/>
        <w:rPr>
          <w:rFonts w:hint="eastAsia" w:ascii="仿宋" w:hAnsi="仿宋" w:eastAsia="仿宋" w:cs="仿宋"/>
          <w:iCs/>
          <w:color w:val="auto"/>
          <w:szCs w:val="21"/>
          <w:highlight w:val="none"/>
        </w:rPr>
      </w:pPr>
      <w:r>
        <w:rPr>
          <w:rFonts w:hint="eastAsia" w:ascii="仿宋" w:hAnsi="仿宋" w:eastAsia="仿宋" w:cs="仿宋"/>
          <w:iCs/>
          <w:color w:val="auto"/>
          <w:szCs w:val="21"/>
          <w:highlight w:val="none"/>
        </w:rPr>
        <w:t>3.工程立项批准文号：</w:t>
      </w:r>
      <w:r>
        <w:rPr>
          <w:rFonts w:hint="eastAsia" w:ascii="仿宋" w:hAnsi="仿宋" w:eastAsia="仿宋" w:cs="仿宋"/>
          <w:iCs/>
          <w:color w:val="auto"/>
          <w:szCs w:val="21"/>
          <w:highlight w:val="none"/>
          <w:u w:val="single"/>
          <w:lang w:val="en-US" w:eastAsia="zh-CN"/>
        </w:rPr>
        <w:t xml:space="preserve">      </w:t>
      </w:r>
      <w:r>
        <w:rPr>
          <w:rFonts w:hint="eastAsia" w:ascii="仿宋" w:hAnsi="仿宋" w:eastAsia="仿宋" w:cs="仿宋"/>
          <w:iCs/>
          <w:color w:val="auto"/>
          <w:szCs w:val="21"/>
          <w:highlight w:val="none"/>
        </w:rPr>
        <w:t>。</w:t>
      </w:r>
    </w:p>
    <w:p w14:paraId="04FC8AE0">
      <w:pPr>
        <w:spacing w:line="360" w:lineRule="auto"/>
        <w:ind w:firstLine="420" w:firstLineChars="200"/>
        <w:rPr>
          <w:rFonts w:hint="eastAsia" w:ascii="仿宋" w:hAnsi="仿宋" w:eastAsia="仿宋" w:cs="仿宋"/>
          <w:iCs/>
          <w:color w:val="auto"/>
          <w:szCs w:val="21"/>
          <w:highlight w:val="none"/>
        </w:rPr>
      </w:pPr>
      <w:r>
        <w:rPr>
          <w:rFonts w:hint="eastAsia" w:ascii="仿宋" w:hAnsi="仿宋" w:eastAsia="仿宋" w:cs="仿宋"/>
          <w:iCs/>
          <w:color w:val="auto"/>
          <w:szCs w:val="21"/>
          <w:highlight w:val="none"/>
        </w:rPr>
        <w:t xml:space="preserve">4.资金来源： </w:t>
      </w:r>
      <w:r>
        <w:rPr>
          <w:rFonts w:hint="eastAsia" w:ascii="仿宋" w:hAnsi="仿宋" w:eastAsia="仿宋" w:cs="仿宋"/>
          <w:iCs/>
          <w:color w:val="auto"/>
          <w:szCs w:val="21"/>
          <w:highlight w:val="none"/>
          <w:u w:val="single"/>
        </w:rPr>
        <w:t xml:space="preserve">财政资金 </w:t>
      </w:r>
    </w:p>
    <w:p w14:paraId="377B5FD7">
      <w:pPr>
        <w:spacing w:line="360" w:lineRule="auto"/>
        <w:ind w:firstLine="420" w:firstLineChars="200"/>
        <w:rPr>
          <w:rFonts w:hint="eastAsia" w:ascii="仿宋" w:hAnsi="仿宋" w:eastAsia="仿宋" w:cs="仿宋"/>
          <w:iCs/>
          <w:color w:val="auto"/>
          <w:szCs w:val="21"/>
          <w:highlight w:val="none"/>
          <w:u w:val="single"/>
        </w:rPr>
      </w:pPr>
      <w:r>
        <w:rPr>
          <w:rFonts w:hint="eastAsia" w:ascii="仿宋" w:hAnsi="仿宋" w:eastAsia="仿宋" w:cs="仿宋"/>
          <w:iCs/>
          <w:color w:val="auto"/>
          <w:szCs w:val="21"/>
          <w:highlight w:val="none"/>
        </w:rPr>
        <w:t>5.工程内容：</w:t>
      </w:r>
      <w:r>
        <w:rPr>
          <w:rFonts w:hint="eastAsia" w:ascii="仿宋" w:hAnsi="仿宋" w:eastAsia="仿宋" w:cs="仿宋"/>
          <w:iCs/>
          <w:color w:val="auto"/>
          <w:sz w:val="21"/>
          <w:szCs w:val="21"/>
          <w:highlight w:val="none"/>
          <w:u w:val="single"/>
        </w:rPr>
        <w:t>竞争性磋商文件、工程量清单及施工图范围内的所有内容</w:t>
      </w:r>
      <w:r>
        <w:rPr>
          <w:rFonts w:hint="eastAsia" w:ascii="仿宋" w:hAnsi="仿宋" w:eastAsia="仿宋" w:cs="仿宋"/>
          <w:iCs/>
          <w:color w:val="auto"/>
          <w:szCs w:val="21"/>
          <w:highlight w:val="none"/>
          <w:u w:val="single"/>
        </w:rPr>
        <w:t>。</w:t>
      </w:r>
    </w:p>
    <w:p w14:paraId="3DD933AF">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iCs/>
          <w:color w:val="auto"/>
          <w:szCs w:val="21"/>
          <w:highlight w:val="none"/>
        </w:rPr>
        <w:t>6.工程承包范围：</w:t>
      </w:r>
      <w:r>
        <w:rPr>
          <w:rFonts w:hint="eastAsia" w:ascii="仿宋" w:hAnsi="仿宋" w:eastAsia="仿宋" w:cs="仿宋"/>
          <w:iCs/>
          <w:color w:val="auto"/>
          <w:szCs w:val="21"/>
          <w:highlight w:val="none"/>
          <w:lang w:val="en-US" w:eastAsia="zh-Hans"/>
        </w:rPr>
        <w:t>本项目</w:t>
      </w:r>
      <w:r>
        <w:rPr>
          <w:rFonts w:hint="eastAsia" w:ascii="仿宋" w:hAnsi="仿宋" w:eastAsia="仿宋" w:cs="仿宋"/>
          <w:iCs/>
          <w:color w:val="auto"/>
          <w:sz w:val="21"/>
          <w:szCs w:val="21"/>
          <w:highlight w:val="none"/>
          <w:u w:val="single"/>
        </w:rPr>
        <w:t>竞争性磋商文件、工程量清单及施工图范围内的所有内容</w:t>
      </w:r>
      <w:r>
        <w:rPr>
          <w:rFonts w:hint="eastAsia" w:ascii="仿宋" w:hAnsi="仿宋" w:eastAsia="仿宋" w:cs="仿宋"/>
          <w:color w:val="auto"/>
          <w:szCs w:val="21"/>
          <w:highlight w:val="none"/>
        </w:rPr>
        <w:t>。</w:t>
      </w:r>
    </w:p>
    <w:p w14:paraId="0C5CDE1B">
      <w:pPr>
        <w:spacing w:line="360" w:lineRule="auto"/>
        <w:ind w:firstLine="420" w:firstLineChars="200"/>
        <w:rPr>
          <w:rFonts w:hint="eastAsia" w:ascii="仿宋" w:hAnsi="仿宋" w:eastAsia="仿宋" w:cs="仿宋"/>
          <w:iCs/>
          <w:color w:val="auto"/>
          <w:szCs w:val="21"/>
          <w:highlight w:val="none"/>
        </w:rPr>
      </w:pPr>
      <w:r>
        <w:rPr>
          <w:rFonts w:hint="eastAsia" w:ascii="仿宋" w:hAnsi="仿宋" w:eastAsia="仿宋" w:cs="仿宋"/>
          <w:iCs/>
          <w:color w:val="auto"/>
          <w:szCs w:val="21"/>
          <w:highlight w:val="none"/>
        </w:rPr>
        <w:t>二、合同工期</w:t>
      </w:r>
    </w:p>
    <w:p w14:paraId="06E2FEC8">
      <w:pPr>
        <w:spacing w:line="360" w:lineRule="auto"/>
        <w:ind w:firstLine="420" w:firstLineChars="200"/>
        <w:rPr>
          <w:rFonts w:hint="eastAsia" w:ascii="仿宋" w:hAnsi="仿宋" w:eastAsia="仿宋" w:cs="仿宋"/>
          <w:iCs/>
          <w:color w:val="auto"/>
          <w:szCs w:val="21"/>
          <w:highlight w:val="none"/>
        </w:rPr>
      </w:pPr>
      <w:r>
        <w:rPr>
          <w:rFonts w:hint="eastAsia" w:ascii="仿宋" w:hAnsi="仿宋" w:eastAsia="仿宋" w:cs="仿宋"/>
          <w:iCs/>
          <w:color w:val="auto"/>
          <w:szCs w:val="21"/>
          <w:highlight w:val="none"/>
        </w:rPr>
        <w:t>计划开工日期：</w:t>
      </w:r>
      <w:r>
        <w:rPr>
          <w:rFonts w:hint="eastAsia" w:ascii="仿宋" w:hAnsi="仿宋" w:eastAsia="仿宋" w:cs="仿宋"/>
          <w:iCs/>
          <w:color w:val="auto"/>
          <w:szCs w:val="21"/>
          <w:highlight w:val="none"/>
          <w:lang w:val="en-US" w:eastAsia="zh-CN"/>
        </w:rPr>
        <w:t>2025</w:t>
      </w:r>
      <w:r>
        <w:rPr>
          <w:rFonts w:hint="eastAsia" w:ascii="仿宋" w:hAnsi="仿宋" w:eastAsia="仿宋" w:cs="仿宋"/>
          <w:iCs/>
          <w:color w:val="auto"/>
          <w:szCs w:val="21"/>
          <w:highlight w:val="none"/>
        </w:rPr>
        <w:t>年</w:t>
      </w:r>
      <w:r>
        <w:rPr>
          <w:rFonts w:hint="eastAsia" w:ascii="仿宋" w:hAnsi="仿宋" w:eastAsia="仿宋" w:cs="仿宋"/>
          <w:iCs/>
          <w:color w:val="auto"/>
          <w:szCs w:val="21"/>
          <w:highlight w:val="none"/>
          <w:lang w:val="en-US" w:eastAsia="zh-CN"/>
        </w:rPr>
        <w:t xml:space="preserve"> </w:t>
      </w:r>
      <w:r>
        <w:rPr>
          <w:rFonts w:hint="eastAsia" w:ascii="仿宋" w:hAnsi="仿宋" w:eastAsia="仿宋" w:cs="仿宋"/>
          <w:iCs/>
          <w:color w:val="auto"/>
          <w:szCs w:val="21"/>
          <w:highlight w:val="none"/>
        </w:rPr>
        <w:t>月</w:t>
      </w:r>
      <w:r>
        <w:rPr>
          <w:rFonts w:hint="eastAsia" w:ascii="仿宋" w:hAnsi="仿宋" w:eastAsia="仿宋" w:cs="仿宋"/>
          <w:iCs/>
          <w:color w:val="auto"/>
          <w:szCs w:val="21"/>
          <w:highlight w:val="none"/>
          <w:lang w:val="en-US" w:eastAsia="zh-CN"/>
        </w:rPr>
        <w:t xml:space="preserve"> </w:t>
      </w:r>
      <w:r>
        <w:rPr>
          <w:rFonts w:hint="eastAsia" w:ascii="仿宋" w:hAnsi="仿宋" w:eastAsia="仿宋" w:cs="仿宋"/>
          <w:iCs/>
          <w:color w:val="auto"/>
          <w:szCs w:val="21"/>
          <w:highlight w:val="none"/>
        </w:rPr>
        <w:t xml:space="preserve">日，具体开工时间以甲方签发的开工报告时间为准。 </w:t>
      </w:r>
    </w:p>
    <w:p w14:paraId="60CBC361">
      <w:pPr>
        <w:spacing w:line="360" w:lineRule="auto"/>
        <w:ind w:firstLine="420" w:firstLineChars="200"/>
        <w:rPr>
          <w:rFonts w:hint="eastAsia" w:ascii="仿宋" w:hAnsi="仿宋" w:eastAsia="仿宋" w:cs="仿宋"/>
          <w:iCs/>
          <w:color w:val="auto"/>
          <w:szCs w:val="21"/>
          <w:highlight w:val="none"/>
        </w:rPr>
      </w:pPr>
      <w:r>
        <w:rPr>
          <w:rFonts w:hint="eastAsia" w:ascii="仿宋" w:hAnsi="仿宋" w:eastAsia="仿宋" w:cs="仿宋"/>
          <w:iCs/>
          <w:color w:val="auto"/>
          <w:szCs w:val="21"/>
          <w:highlight w:val="none"/>
        </w:rPr>
        <w:t>计划竣工日期：</w:t>
      </w:r>
      <w:r>
        <w:rPr>
          <w:rFonts w:hint="eastAsia" w:ascii="仿宋" w:hAnsi="仿宋" w:eastAsia="仿宋" w:cs="仿宋"/>
          <w:iCs/>
          <w:color w:val="auto"/>
          <w:szCs w:val="21"/>
          <w:highlight w:val="none"/>
          <w:lang w:val="en-US" w:eastAsia="zh-CN"/>
        </w:rPr>
        <w:t>2025</w:t>
      </w:r>
      <w:r>
        <w:rPr>
          <w:rFonts w:hint="eastAsia" w:ascii="仿宋" w:hAnsi="仿宋" w:eastAsia="仿宋" w:cs="仿宋"/>
          <w:iCs/>
          <w:color w:val="auto"/>
          <w:szCs w:val="21"/>
          <w:highlight w:val="none"/>
        </w:rPr>
        <w:t>年</w:t>
      </w:r>
      <w:r>
        <w:rPr>
          <w:rFonts w:hint="eastAsia" w:ascii="仿宋" w:hAnsi="仿宋" w:eastAsia="仿宋" w:cs="仿宋"/>
          <w:iCs/>
          <w:color w:val="auto"/>
          <w:szCs w:val="21"/>
          <w:highlight w:val="none"/>
          <w:lang w:val="en-US" w:eastAsia="zh-CN"/>
        </w:rPr>
        <w:t xml:space="preserve"> </w:t>
      </w:r>
      <w:r>
        <w:rPr>
          <w:rFonts w:hint="eastAsia" w:ascii="仿宋" w:hAnsi="仿宋" w:eastAsia="仿宋" w:cs="仿宋"/>
          <w:iCs/>
          <w:color w:val="auto"/>
          <w:szCs w:val="21"/>
          <w:highlight w:val="none"/>
        </w:rPr>
        <w:t>月</w:t>
      </w:r>
      <w:r>
        <w:rPr>
          <w:rFonts w:hint="eastAsia" w:ascii="仿宋" w:hAnsi="仿宋" w:eastAsia="仿宋" w:cs="仿宋"/>
          <w:iCs/>
          <w:color w:val="auto"/>
          <w:szCs w:val="21"/>
          <w:highlight w:val="none"/>
          <w:lang w:val="en-US" w:eastAsia="zh-CN"/>
        </w:rPr>
        <w:t xml:space="preserve"> </w:t>
      </w:r>
      <w:r>
        <w:rPr>
          <w:rFonts w:hint="eastAsia" w:ascii="仿宋" w:hAnsi="仿宋" w:eastAsia="仿宋" w:cs="仿宋"/>
          <w:iCs/>
          <w:color w:val="auto"/>
          <w:szCs w:val="21"/>
          <w:highlight w:val="none"/>
        </w:rPr>
        <w:t>日。</w:t>
      </w:r>
    </w:p>
    <w:p w14:paraId="6E9DBD50">
      <w:pPr>
        <w:spacing w:line="360" w:lineRule="auto"/>
        <w:ind w:firstLine="420" w:firstLineChars="200"/>
        <w:rPr>
          <w:rFonts w:hint="eastAsia" w:ascii="仿宋" w:hAnsi="仿宋" w:eastAsia="仿宋" w:cs="仿宋"/>
          <w:iCs/>
          <w:color w:val="auto"/>
          <w:szCs w:val="21"/>
          <w:highlight w:val="none"/>
        </w:rPr>
      </w:pPr>
      <w:r>
        <w:rPr>
          <w:rFonts w:hint="eastAsia" w:ascii="仿宋" w:hAnsi="仿宋" w:eastAsia="仿宋" w:cs="仿宋"/>
          <w:iCs/>
          <w:color w:val="0000FF"/>
          <w:szCs w:val="21"/>
          <w:highlight w:val="none"/>
        </w:rPr>
        <w:t>工期总日历天数：</w:t>
      </w:r>
      <w:r>
        <w:rPr>
          <w:rFonts w:hint="eastAsia" w:ascii="仿宋" w:hAnsi="仿宋" w:eastAsia="仿宋" w:cs="仿宋"/>
          <w:iCs/>
          <w:color w:val="0000FF"/>
          <w:szCs w:val="21"/>
          <w:highlight w:val="none"/>
          <w:u w:val="single"/>
          <w:lang w:val="en-US" w:eastAsia="zh-CN"/>
        </w:rPr>
        <w:t>30</w:t>
      </w:r>
      <w:r>
        <w:rPr>
          <w:rFonts w:hint="eastAsia" w:ascii="仿宋" w:hAnsi="仿宋" w:eastAsia="仿宋" w:cs="仿宋"/>
          <w:iCs/>
          <w:color w:val="0000FF"/>
          <w:szCs w:val="21"/>
          <w:highlight w:val="none"/>
        </w:rPr>
        <w:t>日历天</w:t>
      </w:r>
      <w:r>
        <w:rPr>
          <w:rFonts w:hint="eastAsia" w:ascii="仿宋" w:hAnsi="仿宋" w:eastAsia="仿宋" w:cs="仿宋"/>
          <w:iCs/>
          <w:color w:val="auto"/>
          <w:szCs w:val="21"/>
          <w:highlight w:val="none"/>
        </w:rPr>
        <w:t>。工期总日历天数与根据前述计划开竣工日期计算的工期天数不一致的，以工期总日历天数为准。</w:t>
      </w:r>
    </w:p>
    <w:p w14:paraId="012F8B4A">
      <w:pPr>
        <w:spacing w:line="360" w:lineRule="auto"/>
        <w:ind w:firstLine="420" w:firstLineChars="200"/>
        <w:rPr>
          <w:rFonts w:hint="eastAsia" w:ascii="仿宋" w:hAnsi="仿宋" w:eastAsia="仿宋" w:cs="仿宋"/>
          <w:iCs/>
          <w:color w:val="auto"/>
          <w:szCs w:val="21"/>
          <w:highlight w:val="none"/>
        </w:rPr>
      </w:pPr>
      <w:r>
        <w:rPr>
          <w:rFonts w:hint="eastAsia" w:ascii="仿宋" w:hAnsi="仿宋" w:eastAsia="仿宋" w:cs="仿宋"/>
          <w:iCs/>
          <w:color w:val="auto"/>
          <w:szCs w:val="21"/>
          <w:highlight w:val="none"/>
        </w:rPr>
        <w:t>三、质量标准</w:t>
      </w:r>
    </w:p>
    <w:p w14:paraId="13426966">
      <w:pPr>
        <w:spacing w:line="360" w:lineRule="auto"/>
        <w:ind w:firstLine="420" w:firstLineChars="200"/>
        <w:rPr>
          <w:rStyle w:val="378"/>
          <w:rFonts w:hint="eastAsia" w:ascii="仿宋" w:hAnsi="仿宋" w:eastAsia="仿宋" w:cs="仿宋"/>
          <w:color w:val="auto"/>
          <w:szCs w:val="21"/>
          <w:highlight w:val="none"/>
        </w:rPr>
      </w:pPr>
      <w:r>
        <w:rPr>
          <w:rFonts w:hint="eastAsia" w:ascii="仿宋" w:hAnsi="仿宋" w:eastAsia="仿宋" w:cs="仿宋"/>
          <w:iCs/>
          <w:color w:val="auto"/>
          <w:szCs w:val="21"/>
          <w:highlight w:val="none"/>
        </w:rPr>
        <w:t>符合工程竣工验收时国家施行的建设工程质量验收规范的合格标准。</w:t>
      </w:r>
    </w:p>
    <w:p w14:paraId="7CA80C42">
      <w:pPr>
        <w:spacing w:line="360" w:lineRule="auto"/>
        <w:ind w:firstLine="420" w:firstLineChars="200"/>
        <w:rPr>
          <w:rFonts w:hint="eastAsia" w:ascii="仿宋" w:hAnsi="仿宋" w:eastAsia="仿宋" w:cs="仿宋"/>
          <w:iCs/>
          <w:color w:val="auto"/>
          <w:szCs w:val="21"/>
          <w:highlight w:val="none"/>
        </w:rPr>
      </w:pPr>
      <w:r>
        <w:rPr>
          <w:rFonts w:hint="eastAsia" w:ascii="仿宋" w:hAnsi="仿宋" w:eastAsia="仿宋" w:cs="仿宋"/>
          <w:iCs/>
          <w:color w:val="auto"/>
          <w:szCs w:val="21"/>
          <w:highlight w:val="none"/>
        </w:rPr>
        <w:t>四、签约合同价与合同价格形式</w:t>
      </w:r>
      <w:r>
        <w:rPr>
          <w:rFonts w:hint="eastAsia" w:ascii="仿宋" w:hAnsi="仿宋" w:eastAsia="仿宋" w:cs="仿宋"/>
          <w:iCs/>
          <w:color w:val="auto"/>
          <w:szCs w:val="21"/>
          <w:highlight w:val="none"/>
        </w:rPr>
        <w:tab/>
      </w:r>
    </w:p>
    <w:p w14:paraId="07754A44">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1.签约合同价为：</w:t>
      </w:r>
    </w:p>
    <w:p w14:paraId="603E7677">
      <w:pPr>
        <w:snapToGrid w:val="0"/>
        <w:spacing w:line="360" w:lineRule="auto"/>
        <w:ind w:firstLine="525" w:firstLineChars="250"/>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人民币（大写）(¥元)；(其中：不含税金额：￥元，增值税额：￥元（增值税税率：%）)。</w:t>
      </w:r>
    </w:p>
    <w:p w14:paraId="6636CAF0">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其中：</w:t>
      </w:r>
    </w:p>
    <w:p w14:paraId="67EBC277">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（1）安全文明施工费：</w:t>
      </w:r>
    </w:p>
    <w:p w14:paraId="4B79CF21">
      <w:pPr>
        <w:snapToGrid w:val="0"/>
        <w:spacing w:line="360" w:lineRule="auto"/>
        <w:ind w:firstLine="945" w:firstLineChars="450"/>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人民币（大写） (¥元)；</w:t>
      </w:r>
    </w:p>
    <w:p w14:paraId="1342239D">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（2）材料和工程设备暂估价金额：</w:t>
      </w:r>
    </w:p>
    <w:p w14:paraId="5B166DE3">
      <w:pPr>
        <w:snapToGrid w:val="0"/>
        <w:spacing w:line="360" w:lineRule="auto"/>
        <w:ind w:firstLine="945" w:firstLineChars="450"/>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人民币（大写） (¥元)；</w:t>
      </w:r>
    </w:p>
    <w:p w14:paraId="4060C30F">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（3）专业工程暂估价金额：</w:t>
      </w:r>
    </w:p>
    <w:p w14:paraId="5591EC08">
      <w:pPr>
        <w:snapToGrid w:val="0"/>
        <w:spacing w:line="360" w:lineRule="auto"/>
        <w:ind w:firstLine="945" w:firstLineChars="450"/>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人民币（大写） (¥元)；</w:t>
      </w:r>
    </w:p>
    <w:p w14:paraId="3034C0D7">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（4）暂列金额：</w:t>
      </w:r>
    </w:p>
    <w:p w14:paraId="346148CC">
      <w:pPr>
        <w:snapToGrid w:val="0"/>
        <w:spacing w:line="360" w:lineRule="auto"/>
        <w:ind w:firstLine="945" w:firstLineChars="450"/>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人民币（大写） (¥元)。</w:t>
      </w:r>
    </w:p>
    <w:p w14:paraId="331DB59B">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2.合同价格形式：</w:t>
      </w:r>
      <w:r>
        <w:rPr>
          <w:rFonts w:hint="eastAsia" w:ascii="仿宋" w:hAnsi="仿宋" w:eastAsia="仿宋" w:cs="仿宋"/>
          <w:color w:val="auto"/>
          <w:szCs w:val="21"/>
          <w:highlight w:val="none"/>
          <w:u w:val="single"/>
          <w:lang w:val="en-US" w:eastAsia="zh-Hans"/>
        </w:rPr>
        <w:t>固定</w:t>
      </w:r>
      <w:r>
        <w:rPr>
          <w:rFonts w:hint="eastAsia" w:ascii="仿宋" w:hAnsi="仿宋" w:eastAsia="仿宋" w:cs="仿宋"/>
          <w:color w:val="auto"/>
          <w:szCs w:val="21"/>
          <w:highlight w:val="none"/>
          <w:u w:val="single"/>
        </w:rPr>
        <w:t xml:space="preserve">单价合同   </w:t>
      </w:r>
      <w:r>
        <w:rPr>
          <w:rFonts w:hint="eastAsia" w:ascii="仿宋" w:hAnsi="仿宋" w:eastAsia="仿宋" w:cs="仿宋"/>
          <w:color w:val="auto"/>
          <w:szCs w:val="21"/>
          <w:highlight w:val="none"/>
        </w:rPr>
        <w:t>。</w:t>
      </w:r>
    </w:p>
    <w:p w14:paraId="27281D5F">
      <w:pPr>
        <w:keepNext/>
        <w:keepLines/>
        <w:snapToGrid w:val="0"/>
        <w:spacing w:line="360" w:lineRule="auto"/>
        <w:outlineLvl w:val="3"/>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 xml:space="preserve"> 五、项目经理</w:t>
      </w:r>
    </w:p>
    <w:p w14:paraId="77F5A3A9">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承包人项目经理：。</w:t>
      </w:r>
    </w:p>
    <w:p w14:paraId="052C7559">
      <w:pPr>
        <w:keepNext/>
        <w:keepLines/>
        <w:snapToGrid w:val="0"/>
        <w:spacing w:line="360" w:lineRule="auto"/>
        <w:outlineLvl w:val="3"/>
        <w:rPr>
          <w:rFonts w:hint="eastAsia" w:ascii="仿宋" w:hAnsi="仿宋" w:eastAsia="仿宋" w:cs="仿宋"/>
          <w:b/>
          <w:color w:val="auto"/>
          <w:szCs w:val="21"/>
          <w:highlight w:val="none"/>
        </w:rPr>
      </w:pPr>
      <w:r>
        <w:rPr>
          <w:rFonts w:hint="eastAsia" w:ascii="仿宋" w:hAnsi="仿宋" w:eastAsia="仿宋" w:cs="仿宋"/>
          <w:bCs/>
          <w:color w:val="auto"/>
          <w:szCs w:val="21"/>
          <w:highlight w:val="none"/>
        </w:rPr>
        <w:t xml:space="preserve"> 六、合同文件构成</w:t>
      </w:r>
    </w:p>
    <w:p w14:paraId="7541BC35">
      <w:pPr>
        <w:snapToGrid w:val="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本协议书与下列文件一起构成合同文件：</w:t>
      </w:r>
    </w:p>
    <w:p w14:paraId="6BA15759">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（1）中标通知书（如果有）；</w:t>
      </w:r>
    </w:p>
    <w:p w14:paraId="5B214BC3">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（2）投标函及其附录（如果有）； </w:t>
      </w:r>
    </w:p>
    <w:p w14:paraId="1FE5D245">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（3）本合同的专用合同条款及其附件；</w:t>
      </w:r>
    </w:p>
    <w:p w14:paraId="08A6F237">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（4）本合同的通用合同条款；</w:t>
      </w:r>
    </w:p>
    <w:p w14:paraId="09C8C656">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（5）技术标准和要求；</w:t>
      </w:r>
    </w:p>
    <w:p w14:paraId="7E725575">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（6）图纸；</w:t>
      </w:r>
    </w:p>
    <w:p w14:paraId="18EB273D">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（7）已标价工程量清单或预算书；</w:t>
      </w:r>
    </w:p>
    <w:p w14:paraId="2C152734">
      <w:pPr>
        <w:snapToGrid w:val="0"/>
        <w:spacing w:line="360"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（8）其他合同文件</w:t>
      </w:r>
      <w:r>
        <w:rPr>
          <w:rFonts w:hint="eastAsia" w:ascii="仿宋" w:hAnsi="仿宋" w:eastAsia="仿宋" w:cs="仿宋"/>
          <w:color w:val="auto"/>
          <w:szCs w:val="21"/>
          <w:highlight w:val="none"/>
          <w:lang w:eastAsia="zh-CN"/>
        </w:rPr>
        <w:t>；</w:t>
      </w:r>
    </w:p>
    <w:p w14:paraId="35998F8B">
      <w:pPr>
        <w:snapToGrid w:val="0"/>
        <w:spacing w:line="360" w:lineRule="auto"/>
        <w:ind w:firstLine="420" w:firstLineChars="200"/>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9）补充协议。</w:t>
      </w:r>
    </w:p>
    <w:p w14:paraId="6389AEA0">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在合同订立及履行过程中形成的与合同有关的文件均构成合同文件组成部分。</w:t>
      </w:r>
    </w:p>
    <w:p w14:paraId="516892ED">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14:paraId="1AD16016">
      <w:pPr>
        <w:keepNext/>
        <w:keepLines/>
        <w:snapToGrid w:val="0"/>
        <w:spacing w:line="360" w:lineRule="auto"/>
        <w:outlineLvl w:val="3"/>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 xml:space="preserve"> 七、承诺</w:t>
      </w:r>
    </w:p>
    <w:p w14:paraId="3E4C1FBD">
      <w:pPr>
        <w:snapToGrid w:val="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1.发包人承诺按照法律规定履行项目审批手续、筹集工程建设资金并按照合同约定的期限和方式支付合同价款。</w:t>
      </w:r>
    </w:p>
    <w:p w14:paraId="76FEC50F">
      <w:pPr>
        <w:snapToGrid w:val="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2.承包人承诺按照法律规定及合同约定组织完成工程施工，确保工程质量和安全，不进行转包及违法分包，并在缺陷责任期及保修期内承担相应的工程维修责任。</w:t>
      </w:r>
    </w:p>
    <w:p w14:paraId="4CD1799F">
      <w:pPr>
        <w:snapToGrid w:val="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3.发包人和承包人通过招投标形式签订合同的，双方理解并承诺不再就同一工程另行签订与合同实质性内容相背离的协议。</w:t>
      </w:r>
    </w:p>
    <w:p w14:paraId="7FC2E04D">
      <w:pPr>
        <w:snapToGrid w:val="0"/>
        <w:spacing w:line="360" w:lineRule="auto"/>
        <w:outlineLvl w:val="0"/>
        <w:rPr>
          <w:rFonts w:hint="eastAsia" w:ascii="仿宋" w:hAnsi="仿宋" w:eastAsia="仿宋" w:cs="仿宋"/>
          <w:bCs/>
          <w:color w:val="auto"/>
          <w:szCs w:val="21"/>
          <w:highlight w:val="none"/>
        </w:rPr>
      </w:pPr>
      <w:bookmarkStart w:id="401" w:name="_Toc21303"/>
      <w:bookmarkStart w:id="402" w:name="_Toc25836"/>
      <w:r>
        <w:rPr>
          <w:rFonts w:hint="eastAsia" w:ascii="仿宋" w:hAnsi="仿宋" w:eastAsia="仿宋" w:cs="仿宋"/>
          <w:bCs/>
          <w:color w:val="auto"/>
          <w:szCs w:val="21"/>
          <w:highlight w:val="none"/>
        </w:rPr>
        <w:t>八、词语含义</w:t>
      </w:r>
      <w:bookmarkEnd w:id="401"/>
      <w:bookmarkEnd w:id="402"/>
    </w:p>
    <w:p w14:paraId="715892AF">
      <w:pPr>
        <w:snapToGrid w:val="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本协议书中词语含义与第二部分通用合同条款中赋予的含义相同。</w:t>
      </w:r>
    </w:p>
    <w:p w14:paraId="4D4F80E2">
      <w:pPr>
        <w:keepNext/>
        <w:keepLines/>
        <w:snapToGrid w:val="0"/>
        <w:spacing w:line="360" w:lineRule="auto"/>
        <w:outlineLvl w:val="3"/>
        <w:rPr>
          <w:rFonts w:hint="eastAsia" w:ascii="仿宋" w:hAnsi="仿宋" w:eastAsia="仿宋" w:cs="仿宋"/>
          <w:b/>
          <w:color w:val="auto"/>
          <w:szCs w:val="21"/>
          <w:highlight w:val="none"/>
        </w:rPr>
      </w:pPr>
      <w:r>
        <w:rPr>
          <w:rFonts w:hint="eastAsia" w:ascii="仿宋" w:hAnsi="仿宋" w:eastAsia="仿宋" w:cs="仿宋"/>
          <w:bCs/>
          <w:color w:val="auto"/>
          <w:szCs w:val="21"/>
          <w:highlight w:val="none"/>
        </w:rPr>
        <w:t xml:space="preserve">  九、签订时间</w:t>
      </w:r>
    </w:p>
    <w:p w14:paraId="6C118969">
      <w:pPr>
        <w:snapToGrid w:val="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本合同于</w:t>
      </w:r>
      <w:r>
        <w:rPr>
          <w:rFonts w:hint="eastAsia" w:ascii="仿宋" w:hAnsi="仿宋" w:eastAsia="仿宋" w:cs="仿宋"/>
          <w:bCs/>
          <w:color w:val="auto"/>
          <w:szCs w:val="21"/>
          <w:highlight w:val="none"/>
          <w:lang w:val="en-US" w:eastAsia="zh-CN"/>
        </w:rPr>
        <w:t xml:space="preserve">   </w:t>
      </w:r>
      <w:r>
        <w:rPr>
          <w:rFonts w:hint="eastAsia" w:ascii="仿宋" w:hAnsi="仿宋" w:eastAsia="仿宋" w:cs="仿宋"/>
          <w:bCs/>
          <w:color w:val="auto"/>
          <w:szCs w:val="21"/>
          <w:highlight w:val="none"/>
        </w:rPr>
        <w:t>年</w:t>
      </w:r>
      <w:r>
        <w:rPr>
          <w:rFonts w:hint="eastAsia" w:ascii="仿宋" w:hAnsi="仿宋" w:eastAsia="仿宋" w:cs="仿宋"/>
          <w:bCs/>
          <w:color w:val="auto"/>
          <w:szCs w:val="21"/>
          <w:highlight w:val="none"/>
          <w:lang w:val="en-US" w:eastAsia="zh-CN"/>
        </w:rPr>
        <w:t xml:space="preserve">   </w:t>
      </w:r>
      <w:r>
        <w:rPr>
          <w:rFonts w:hint="eastAsia" w:ascii="仿宋" w:hAnsi="仿宋" w:eastAsia="仿宋" w:cs="仿宋"/>
          <w:bCs/>
          <w:color w:val="auto"/>
          <w:szCs w:val="21"/>
          <w:highlight w:val="none"/>
        </w:rPr>
        <w:t>月</w:t>
      </w:r>
      <w:r>
        <w:rPr>
          <w:rFonts w:hint="eastAsia" w:ascii="仿宋" w:hAnsi="仿宋" w:eastAsia="仿宋" w:cs="仿宋"/>
          <w:bCs/>
          <w:color w:val="auto"/>
          <w:szCs w:val="21"/>
          <w:highlight w:val="none"/>
          <w:lang w:val="en-US" w:eastAsia="zh-CN"/>
        </w:rPr>
        <w:t xml:space="preserve">   </w:t>
      </w:r>
      <w:r>
        <w:rPr>
          <w:rFonts w:hint="eastAsia" w:ascii="仿宋" w:hAnsi="仿宋" w:eastAsia="仿宋" w:cs="仿宋"/>
          <w:bCs/>
          <w:color w:val="auto"/>
          <w:szCs w:val="21"/>
          <w:highlight w:val="none"/>
        </w:rPr>
        <w:t>日签订。</w:t>
      </w:r>
    </w:p>
    <w:p w14:paraId="3B78F057">
      <w:pPr>
        <w:keepNext/>
        <w:keepLines/>
        <w:snapToGrid w:val="0"/>
        <w:spacing w:line="360" w:lineRule="auto"/>
        <w:outlineLvl w:val="3"/>
        <w:rPr>
          <w:rFonts w:hint="eastAsia" w:ascii="仿宋" w:hAnsi="仿宋" w:eastAsia="仿宋" w:cs="仿宋"/>
          <w:b/>
          <w:color w:val="auto"/>
          <w:szCs w:val="21"/>
          <w:highlight w:val="none"/>
        </w:rPr>
      </w:pPr>
      <w:r>
        <w:rPr>
          <w:rFonts w:hint="eastAsia" w:ascii="仿宋" w:hAnsi="仿宋" w:eastAsia="仿宋" w:cs="仿宋"/>
          <w:bCs/>
          <w:color w:val="auto"/>
          <w:szCs w:val="21"/>
          <w:highlight w:val="none"/>
        </w:rPr>
        <w:t>十、签订地点</w:t>
      </w:r>
    </w:p>
    <w:p w14:paraId="2A129AE3">
      <w:pPr>
        <w:snapToGrid w:val="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本合同在</w:t>
      </w:r>
      <w:r>
        <w:rPr>
          <w:rFonts w:hint="eastAsia" w:ascii="仿宋" w:hAnsi="仿宋" w:eastAsia="仿宋" w:cs="仿宋"/>
          <w:bCs/>
          <w:color w:val="auto"/>
          <w:szCs w:val="21"/>
          <w:highlight w:val="none"/>
          <w:u w:val="single"/>
        </w:rPr>
        <w:t xml:space="preserve"> 浙江省杭州市</w:t>
      </w:r>
      <w:r>
        <w:rPr>
          <w:rFonts w:hint="eastAsia" w:ascii="仿宋" w:hAnsi="仿宋" w:eastAsia="仿宋" w:cs="仿宋"/>
          <w:bCs/>
          <w:color w:val="auto"/>
          <w:szCs w:val="21"/>
          <w:highlight w:val="none"/>
          <w:u w:val="single"/>
          <w:lang w:val="en-US" w:eastAsia="zh-Hans"/>
        </w:rPr>
        <w:t>钱塘区</w:t>
      </w:r>
      <w:r>
        <w:rPr>
          <w:rFonts w:hint="eastAsia" w:ascii="仿宋" w:hAnsi="仿宋" w:eastAsia="仿宋" w:cs="仿宋"/>
          <w:bCs/>
          <w:color w:val="auto"/>
          <w:szCs w:val="21"/>
          <w:highlight w:val="none"/>
          <w:u w:val="single"/>
        </w:rPr>
        <w:t xml:space="preserve">  </w:t>
      </w:r>
      <w:r>
        <w:rPr>
          <w:rFonts w:hint="eastAsia" w:ascii="仿宋" w:hAnsi="仿宋" w:eastAsia="仿宋" w:cs="仿宋"/>
          <w:bCs/>
          <w:color w:val="auto"/>
          <w:szCs w:val="21"/>
          <w:highlight w:val="none"/>
        </w:rPr>
        <w:t>签订。</w:t>
      </w:r>
    </w:p>
    <w:p w14:paraId="0C4062E1">
      <w:pPr>
        <w:keepNext/>
        <w:keepLines/>
        <w:snapToGrid w:val="0"/>
        <w:spacing w:line="360" w:lineRule="auto"/>
        <w:outlineLvl w:val="3"/>
        <w:rPr>
          <w:rFonts w:hint="eastAsia" w:ascii="仿宋" w:hAnsi="仿宋" w:eastAsia="仿宋" w:cs="仿宋"/>
          <w:b/>
          <w:color w:val="auto"/>
          <w:szCs w:val="21"/>
          <w:highlight w:val="none"/>
        </w:rPr>
      </w:pPr>
      <w:r>
        <w:rPr>
          <w:rFonts w:hint="eastAsia" w:ascii="仿宋" w:hAnsi="仿宋" w:eastAsia="仿宋" w:cs="仿宋"/>
          <w:bCs/>
          <w:color w:val="auto"/>
          <w:szCs w:val="21"/>
          <w:highlight w:val="none"/>
        </w:rPr>
        <w:t>十一、补充协议</w:t>
      </w:r>
    </w:p>
    <w:p w14:paraId="7E131680">
      <w:pPr>
        <w:snapToGrid w:val="0"/>
        <w:spacing w:line="360" w:lineRule="auto"/>
        <w:ind w:firstLine="420" w:firstLineChars="200"/>
        <w:rPr>
          <w:rFonts w:hint="eastAsia" w:ascii="仿宋" w:hAnsi="仿宋" w:eastAsia="仿宋" w:cs="仿宋"/>
          <w:b/>
          <w:bCs/>
          <w:color w:val="auto"/>
          <w:szCs w:val="21"/>
          <w:highlight w:val="none"/>
        </w:rPr>
      </w:pPr>
      <w:r>
        <w:rPr>
          <w:rFonts w:hint="eastAsia" w:ascii="仿宋" w:hAnsi="仿宋" w:eastAsia="仿宋" w:cs="仿宋"/>
          <w:bCs/>
          <w:color w:val="auto"/>
          <w:szCs w:val="21"/>
          <w:highlight w:val="none"/>
        </w:rPr>
        <w:t>合同未尽事宜，合同当事人另行签订补充协议，补充协议是合同的组成部分。</w:t>
      </w:r>
    </w:p>
    <w:p w14:paraId="735AA52E">
      <w:pPr>
        <w:keepNext/>
        <w:keepLines/>
        <w:snapToGrid w:val="0"/>
        <w:spacing w:line="360" w:lineRule="auto"/>
        <w:outlineLvl w:val="3"/>
        <w:rPr>
          <w:rFonts w:hint="eastAsia" w:ascii="仿宋" w:hAnsi="仿宋" w:eastAsia="仿宋" w:cs="仿宋"/>
          <w:b/>
          <w:color w:val="auto"/>
          <w:szCs w:val="21"/>
          <w:highlight w:val="none"/>
        </w:rPr>
      </w:pPr>
      <w:r>
        <w:rPr>
          <w:rFonts w:hint="eastAsia" w:ascii="仿宋" w:hAnsi="仿宋" w:eastAsia="仿宋" w:cs="仿宋"/>
          <w:bCs/>
          <w:color w:val="auto"/>
          <w:szCs w:val="21"/>
          <w:highlight w:val="none"/>
        </w:rPr>
        <w:t>十二、合同生效</w:t>
      </w:r>
    </w:p>
    <w:p w14:paraId="7A4F7623">
      <w:pPr>
        <w:snapToGrid w:val="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本合同自</w:t>
      </w:r>
      <w:r>
        <w:rPr>
          <w:rFonts w:hint="eastAsia" w:ascii="仿宋" w:hAnsi="仿宋" w:eastAsia="仿宋" w:cs="仿宋"/>
          <w:bCs/>
          <w:color w:val="auto"/>
          <w:szCs w:val="21"/>
          <w:highlight w:val="none"/>
          <w:u w:val="single"/>
        </w:rPr>
        <w:t>双方法定</w:t>
      </w:r>
      <w:r>
        <w:rPr>
          <w:rFonts w:hint="eastAsia" w:ascii="仿宋" w:hAnsi="仿宋" w:eastAsia="仿宋" w:cs="仿宋"/>
          <w:color w:val="auto"/>
          <w:szCs w:val="21"/>
          <w:highlight w:val="none"/>
          <w:u w:val="single"/>
        </w:rPr>
        <w:t>代表人或其委托代理人签字并经双方盖章</w:t>
      </w:r>
      <w:r>
        <w:rPr>
          <w:rFonts w:hint="eastAsia" w:ascii="仿宋" w:hAnsi="仿宋" w:eastAsia="仿宋" w:cs="仿宋"/>
          <w:color w:val="auto"/>
          <w:szCs w:val="21"/>
          <w:highlight w:val="none"/>
          <w:u w:val="single"/>
          <w:lang w:eastAsia="zh-CN"/>
        </w:rPr>
        <w:t>后</w:t>
      </w:r>
      <w:r>
        <w:rPr>
          <w:rFonts w:hint="eastAsia" w:ascii="仿宋" w:hAnsi="仿宋" w:eastAsia="仿宋" w:cs="仿宋"/>
          <w:bCs/>
          <w:color w:val="auto"/>
          <w:szCs w:val="21"/>
          <w:highlight w:val="none"/>
        </w:rPr>
        <w:t>生效。</w:t>
      </w:r>
    </w:p>
    <w:p w14:paraId="1A1A4518">
      <w:pPr>
        <w:keepNext/>
        <w:keepLines/>
        <w:snapToGrid w:val="0"/>
        <w:spacing w:line="360" w:lineRule="auto"/>
        <w:outlineLvl w:val="3"/>
        <w:rPr>
          <w:rFonts w:hint="eastAsia" w:ascii="仿宋" w:hAnsi="仿宋" w:eastAsia="仿宋" w:cs="仿宋"/>
          <w:b/>
          <w:color w:val="auto"/>
          <w:szCs w:val="21"/>
          <w:highlight w:val="none"/>
        </w:rPr>
      </w:pPr>
      <w:r>
        <w:rPr>
          <w:rFonts w:hint="eastAsia" w:ascii="仿宋" w:hAnsi="仿宋" w:eastAsia="仿宋" w:cs="仿宋"/>
          <w:bCs/>
          <w:color w:val="auto"/>
          <w:szCs w:val="21"/>
          <w:highlight w:val="none"/>
        </w:rPr>
        <w:t>十三、合同份数</w:t>
      </w:r>
    </w:p>
    <w:p w14:paraId="34902AA7">
      <w:pPr>
        <w:snapToGrid w:val="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本合同一式</w:t>
      </w:r>
      <w:r>
        <w:rPr>
          <w:rFonts w:hint="eastAsia" w:ascii="仿宋" w:hAnsi="仿宋" w:eastAsia="仿宋" w:cs="仿宋"/>
          <w:bCs/>
          <w:color w:val="auto"/>
          <w:szCs w:val="21"/>
          <w:highlight w:val="none"/>
          <w:u w:val="single"/>
        </w:rPr>
        <w:t xml:space="preserve">  十二  </w:t>
      </w:r>
      <w:r>
        <w:rPr>
          <w:rFonts w:hint="eastAsia" w:ascii="仿宋" w:hAnsi="仿宋" w:eastAsia="仿宋" w:cs="仿宋"/>
          <w:bCs/>
          <w:color w:val="auto"/>
          <w:szCs w:val="21"/>
          <w:highlight w:val="none"/>
        </w:rPr>
        <w:t>份，均具有同等法律效力，发包人执</w:t>
      </w:r>
      <w:r>
        <w:rPr>
          <w:rFonts w:hint="eastAsia" w:ascii="仿宋" w:hAnsi="仿宋" w:eastAsia="仿宋" w:cs="仿宋"/>
          <w:bCs/>
          <w:color w:val="auto"/>
          <w:szCs w:val="21"/>
          <w:highlight w:val="none"/>
          <w:u w:val="single"/>
        </w:rPr>
        <w:t xml:space="preserve"> 八  </w:t>
      </w:r>
      <w:r>
        <w:rPr>
          <w:rFonts w:hint="eastAsia" w:ascii="仿宋" w:hAnsi="仿宋" w:eastAsia="仿宋" w:cs="仿宋"/>
          <w:bCs/>
          <w:color w:val="auto"/>
          <w:szCs w:val="21"/>
          <w:highlight w:val="none"/>
        </w:rPr>
        <w:t>份，承包人执</w:t>
      </w:r>
      <w:r>
        <w:rPr>
          <w:rFonts w:hint="eastAsia" w:ascii="仿宋" w:hAnsi="仿宋" w:eastAsia="仿宋" w:cs="仿宋"/>
          <w:bCs/>
          <w:color w:val="auto"/>
          <w:szCs w:val="21"/>
          <w:highlight w:val="none"/>
          <w:u w:val="single"/>
        </w:rPr>
        <w:t xml:space="preserve">  四 </w:t>
      </w:r>
      <w:r>
        <w:rPr>
          <w:rFonts w:hint="eastAsia" w:ascii="仿宋" w:hAnsi="仿宋" w:eastAsia="仿宋" w:cs="仿宋"/>
          <w:bCs/>
          <w:color w:val="auto"/>
          <w:szCs w:val="21"/>
          <w:highlight w:val="none"/>
        </w:rPr>
        <w:t>份。</w:t>
      </w:r>
    </w:p>
    <w:p w14:paraId="69A1560A">
      <w:pPr>
        <w:pStyle w:val="24"/>
        <w:numPr>
          <w:ilvl w:val="0"/>
          <w:numId w:val="7"/>
        </w:numPr>
        <w:rPr>
          <w:rFonts w:hint="eastAsia" w:ascii="仿宋" w:hAnsi="仿宋" w:eastAsia="仿宋" w:cs="仿宋"/>
          <w:bCs/>
          <w:color w:val="auto"/>
          <w:szCs w:val="21"/>
          <w:highlight w:val="none"/>
          <w:lang w:val="en-US" w:eastAsia="zh-Hans"/>
        </w:rPr>
      </w:pPr>
      <w:r>
        <w:rPr>
          <w:rFonts w:hint="eastAsia" w:ascii="仿宋" w:hAnsi="仿宋" w:eastAsia="仿宋" w:cs="仿宋"/>
          <w:bCs/>
          <w:color w:val="auto"/>
          <w:szCs w:val="21"/>
          <w:highlight w:val="none"/>
          <w:lang w:val="en-US" w:eastAsia="zh-Hans"/>
        </w:rPr>
        <w:t>其他</w:t>
      </w:r>
    </w:p>
    <w:p w14:paraId="6A6C4470">
      <w:pPr>
        <w:numPr>
          <w:ilvl w:val="0"/>
          <w:numId w:val="0"/>
        </w:numPr>
        <w:rPr>
          <w:rFonts w:hint="eastAsia" w:ascii="仿宋_GB2312" w:hAnsi="仿宋_GB2312" w:eastAsia="仿宋_GB2312" w:cs="仿宋_GB2312"/>
          <w:color w:val="auto"/>
          <w:highlight w:val="none"/>
          <w:lang w:eastAsia="zh-Hans"/>
        </w:rPr>
      </w:pPr>
      <w:r>
        <w:rPr>
          <w:rFonts w:hint="eastAsia" w:ascii="仿宋_GB2312" w:hAnsi="仿宋_GB2312" w:eastAsia="仿宋_GB2312" w:cs="仿宋_GB2312"/>
          <w:color w:val="auto"/>
          <w:highlight w:val="none"/>
          <w:lang w:eastAsia="zh-Hans"/>
        </w:rPr>
        <w:t xml:space="preserve">     </w:t>
      </w:r>
      <w:r>
        <w:rPr>
          <w:rFonts w:hint="eastAsia" w:ascii="仿宋_GB2312" w:hAnsi="仿宋_GB2312" w:eastAsia="仿宋_GB2312" w:cs="仿宋_GB2312"/>
          <w:color w:val="auto"/>
          <w:highlight w:val="none"/>
          <w:lang w:val="en-US" w:eastAsia="zh-Hans"/>
        </w:rPr>
        <w:t>本合同中约定的地址</w:t>
      </w:r>
      <w:r>
        <w:rPr>
          <w:rFonts w:hint="eastAsia" w:ascii="仿宋_GB2312" w:hAnsi="仿宋_GB2312" w:eastAsia="仿宋_GB2312" w:cs="仿宋_GB2312"/>
          <w:color w:val="auto"/>
          <w:highlight w:val="none"/>
          <w:lang w:eastAsia="zh-Hans"/>
        </w:rPr>
        <w:t>、</w:t>
      </w:r>
      <w:r>
        <w:rPr>
          <w:rFonts w:hint="eastAsia" w:ascii="仿宋_GB2312" w:hAnsi="仿宋_GB2312" w:eastAsia="仿宋_GB2312" w:cs="仿宋_GB2312"/>
          <w:color w:val="auto"/>
          <w:highlight w:val="none"/>
          <w:lang w:val="en-US" w:eastAsia="zh-Hans"/>
        </w:rPr>
        <w:t>电话等为各方之间的联系方式</w:t>
      </w:r>
      <w:r>
        <w:rPr>
          <w:rFonts w:hint="eastAsia" w:ascii="仿宋_GB2312" w:hAnsi="仿宋_GB2312" w:eastAsia="仿宋_GB2312" w:cs="仿宋_GB2312"/>
          <w:color w:val="auto"/>
          <w:highlight w:val="none"/>
          <w:lang w:eastAsia="zh-Hans"/>
        </w:rPr>
        <w:t>，</w:t>
      </w:r>
      <w:r>
        <w:rPr>
          <w:rFonts w:hint="eastAsia" w:ascii="仿宋_GB2312" w:hAnsi="仿宋_GB2312" w:eastAsia="仿宋_GB2312" w:cs="仿宋_GB2312"/>
          <w:color w:val="auto"/>
          <w:highlight w:val="none"/>
          <w:lang w:val="en-US" w:eastAsia="zh-Hans"/>
        </w:rPr>
        <w:t>一方相关信息发生变更的</w:t>
      </w:r>
      <w:r>
        <w:rPr>
          <w:rFonts w:hint="eastAsia" w:ascii="仿宋_GB2312" w:hAnsi="仿宋_GB2312" w:eastAsia="仿宋_GB2312" w:cs="仿宋_GB2312"/>
          <w:color w:val="auto"/>
          <w:highlight w:val="none"/>
          <w:lang w:eastAsia="zh-Hans"/>
        </w:rPr>
        <w:t>，</w:t>
      </w:r>
      <w:r>
        <w:rPr>
          <w:rFonts w:hint="eastAsia" w:ascii="仿宋_GB2312" w:hAnsi="仿宋_GB2312" w:eastAsia="仿宋_GB2312" w:cs="仿宋_GB2312"/>
          <w:color w:val="auto"/>
          <w:highlight w:val="none"/>
          <w:lang w:val="en-US" w:eastAsia="zh-Hans"/>
        </w:rPr>
        <w:t>应及时书面通知对方</w:t>
      </w:r>
      <w:r>
        <w:rPr>
          <w:rFonts w:hint="eastAsia" w:ascii="仿宋_GB2312" w:hAnsi="仿宋_GB2312" w:eastAsia="仿宋_GB2312" w:cs="仿宋_GB2312"/>
          <w:color w:val="auto"/>
          <w:highlight w:val="none"/>
          <w:lang w:eastAsia="zh-Hans"/>
        </w:rPr>
        <w:t>。</w:t>
      </w:r>
      <w:r>
        <w:rPr>
          <w:rFonts w:hint="eastAsia" w:ascii="仿宋_GB2312" w:hAnsi="仿宋_GB2312" w:eastAsia="仿宋_GB2312" w:cs="仿宋_GB2312"/>
          <w:color w:val="auto"/>
          <w:highlight w:val="none"/>
          <w:lang w:val="en-US" w:eastAsia="zh-Hans"/>
        </w:rPr>
        <w:t>否则</w:t>
      </w:r>
      <w:r>
        <w:rPr>
          <w:rFonts w:hint="eastAsia" w:ascii="仿宋_GB2312" w:hAnsi="仿宋_GB2312" w:eastAsia="仿宋_GB2312" w:cs="仿宋_GB2312"/>
          <w:color w:val="auto"/>
          <w:highlight w:val="none"/>
          <w:lang w:eastAsia="zh-Hans"/>
        </w:rPr>
        <w:t>，</w:t>
      </w:r>
      <w:r>
        <w:rPr>
          <w:rFonts w:hint="eastAsia" w:ascii="仿宋_GB2312" w:hAnsi="仿宋_GB2312" w:eastAsia="仿宋_GB2312" w:cs="仿宋_GB2312"/>
          <w:color w:val="auto"/>
          <w:highlight w:val="none"/>
          <w:lang w:val="en-US" w:eastAsia="zh-Hans"/>
        </w:rPr>
        <w:t>按照合同约定的方式等发出的文书等，在发出之日起即视为送达给对方</w:t>
      </w:r>
      <w:r>
        <w:rPr>
          <w:rFonts w:hint="eastAsia" w:ascii="仿宋_GB2312" w:hAnsi="仿宋_GB2312" w:eastAsia="仿宋_GB2312" w:cs="仿宋_GB2312"/>
          <w:color w:val="auto"/>
          <w:highlight w:val="none"/>
          <w:lang w:eastAsia="zh-Hans"/>
        </w:rPr>
        <w:t>。</w:t>
      </w:r>
      <w:r>
        <w:rPr>
          <w:rFonts w:hint="eastAsia" w:ascii="仿宋_GB2312" w:hAnsi="仿宋_GB2312" w:eastAsia="仿宋_GB2312" w:cs="仿宋_GB2312"/>
          <w:color w:val="auto"/>
          <w:highlight w:val="none"/>
          <w:lang w:val="en-US" w:eastAsia="zh-Hans"/>
        </w:rPr>
        <w:t>因此造成的损失</w:t>
      </w:r>
      <w:r>
        <w:rPr>
          <w:rFonts w:hint="eastAsia" w:ascii="仿宋_GB2312" w:hAnsi="仿宋_GB2312" w:eastAsia="仿宋_GB2312" w:cs="仿宋_GB2312"/>
          <w:color w:val="auto"/>
          <w:highlight w:val="none"/>
          <w:lang w:eastAsia="zh-Hans"/>
        </w:rPr>
        <w:t>，</w:t>
      </w:r>
      <w:r>
        <w:rPr>
          <w:rFonts w:hint="eastAsia" w:ascii="仿宋_GB2312" w:hAnsi="仿宋_GB2312" w:eastAsia="仿宋_GB2312" w:cs="仿宋_GB2312"/>
          <w:color w:val="auto"/>
          <w:highlight w:val="none"/>
          <w:lang w:val="en-US" w:eastAsia="zh-Hans"/>
        </w:rPr>
        <w:t>由违约方自行承担</w:t>
      </w:r>
      <w:r>
        <w:rPr>
          <w:rFonts w:hint="eastAsia" w:ascii="仿宋_GB2312" w:hAnsi="仿宋_GB2312" w:eastAsia="仿宋_GB2312" w:cs="仿宋_GB2312"/>
          <w:color w:val="auto"/>
          <w:highlight w:val="none"/>
          <w:lang w:eastAsia="zh-Hans"/>
        </w:rPr>
        <w:t>。</w:t>
      </w:r>
    </w:p>
    <w:p w14:paraId="07933676">
      <w:pPr>
        <w:pStyle w:val="259"/>
        <w:ind w:left="6000" w:firstLine="420"/>
        <w:rPr>
          <w:rFonts w:hint="eastAsia" w:ascii="仿宋" w:hAnsi="仿宋" w:eastAsia="仿宋" w:cs="仿宋"/>
          <w:color w:val="auto"/>
          <w:sz w:val="21"/>
          <w:szCs w:val="21"/>
          <w:highlight w:val="none"/>
        </w:rPr>
      </w:pPr>
    </w:p>
    <w:p w14:paraId="5CE89D24">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发包人：  (公章)            </w:t>
      </w:r>
      <w:r>
        <w:rPr>
          <w:rFonts w:hint="default" w:ascii="仿宋" w:hAnsi="仿宋" w:eastAsia="仿宋" w:cs="仿宋"/>
          <w:color w:val="auto"/>
          <w:szCs w:val="21"/>
          <w:highlight w:val="none"/>
        </w:rPr>
        <w:t xml:space="preserve">              </w:t>
      </w:r>
      <w:r>
        <w:rPr>
          <w:rFonts w:hint="eastAsia" w:ascii="仿宋" w:hAnsi="仿宋" w:eastAsia="仿宋" w:cs="仿宋"/>
          <w:color w:val="auto"/>
          <w:szCs w:val="21"/>
          <w:highlight w:val="none"/>
        </w:rPr>
        <w:t xml:space="preserve"> 承包人：  (公章)</w:t>
      </w:r>
    </w:p>
    <w:p w14:paraId="2295E327">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法定代表人或其委托代理人： </w:t>
      </w:r>
      <w:r>
        <w:rPr>
          <w:rFonts w:hint="default" w:ascii="仿宋" w:hAnsi="仿宋" w:eastAsia="仿宋" w:cs="仿宋"/>
          <w:color w:val="auto"/>
          <w:szCs w:val="21"/>
          <w:highlight w:val="none"/>
        </w:rPr>
        <w:t xml:space="preserve">              </w:t>
      </w:r>
      <w:r>
        <w:rPr>
          <w:rFonts w:hint="eastAsia" w:ascii="仿宋" w:hAnsi="仿宋" w:eastAsia="仿宋" w:cs="仿宋"/>
          <w:color w:val="auto"/>
          <w:szCs w:val="21"/>
          <w:highlight w:val="none"/>
        </w:rPr>
        <w:t xml:space="preserve"> 法定代表人或其委托代理人：</w:t>
      </w:r>
    </w:p>
    <w:p w14:paraId="286D54BC">
      <w:pPr>
        <w:snapToGrid w:val="0"/>
        <w:spacing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（签字）                    </w:t>
      </w:r>
      <w:r>
        <w:rPr>
          <w:rFonts w:hint="default" w:ascii="仿宋" w:hAnsi="仿宋" w:eastAsia="仿宋" w:cs="仿宋"/>
          <w:color w:val="auto"/>
          <w:szCs w:val="21"/>
          <w:highlight w:val="none"/>
        </w:rPr>
        <w:t xml:space="preserve">              </w:t>
      </w:r>
      <w:r>
        <w:rPr>
          <w:rFonts w:hint="eastAsia" w:ascii="仿宋" w:hAnsi="仿宋" w:eastAsia="仿宋" w:cs="仿宋"/>
          <w:color w:val="auto"/>
          <w:szCs w:val="21"/>
          <w:highlight w:val="none"/>
        </w:rPr>
        <w:t>（签字）</w:t>
      </w:r>
    </w:p>
    <w:p w14:paraId="5A85D439">
      <w:pPr>
        <w:tabs>
          <w:tab w:val="left" w:pos="4410"/>
        </w:tabs>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组织机构代码：  </w:t>
      </w:r>
      <w:r>
        <w:rPr>
          <w:rFonts w:hint="default" w:ascii="仿宋" w:hAnsi="仿宋" w:eastAsia="仿宋" w:cs="仿宋"/>
          <w:color w:val="auto"/>
          <w:szCs w:val="21"/>
          <w:highlight w:val="none"/>
        </w:rPr>
        <w:t xml:space="preserve">                           </w:t>
      </w:r>
      <w:r>
        <w:rPr>
          <w:rFonts w:hint="eastAsia" w:ascii="仿宋" w:hAnsi="仿宋" w:eastAsia="仿宋" w:cs="仿宋"/>
          <w:color w:val="auto"/>
          <w:szCs w:val="21"/>
          <w:highlight w:val="none"/>
        </w:rPr>
        <w:t>组织机构代码：</w:t>
      </w:r>
    </w:p>
    <w:p w14:paraId="1363CA51">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地  址：  </w:t>
      </w:r>
      <w:r>
        <w:rPr>
          <w:rFonts w:hint="default" w:ascii="仿宋" w:hAnsi="仿宋" w:eastAsia="仿宋" w:cs="仿宋"/>
          <w:color w:val="auto"/>
          <w:szCs w:val="21"/>
          <w:highlight w:val="none"/>
        </w:rPr>
        <w:t xml:space="preserve">                                 </w:t>
      </w:r>
      <w:r>
        <w:rPr>
          <w:rFonts w:hint="eastAsia" w:ascii="仿宋" w:hAnsi="仿宋" w:eastAsia="仿宋" w:cs="仿宋"/>
          <w:color w:val="auto"/>
          <w:szCs w:val="21"/>
          <w:highlight w:val="none"/>
        </w:rPr>
        <w:t>地  址：</w:t>
      </w:r>
    </w:p>
    <w:p w14:paraId="39549DC6">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邮政编码：  </w:t>
      </w:r>
      <w:r>
        <w:rPr>
          <w:rFonts w:hint="default" w:ascii="仿宋" w:hAnsi="仿宋" w:eastAsia="仿宋" w:cs="仿宋"/>
          <w:color w:val="auto"/>
          <w:szCs w:val="21"/>
          <w:highlight w:val="none"/>
        </w:rPr>
        <w:t xml:space="preserve">                               </w:t>
      </w:r>
      <w:r>
        <w:rPr>
          <w:rFonts w:hint="eastAsia" w:ascii="仿宋" w:hAnsi="仿宋" w:eastAsia="仿宋" w:cs="仿宋"/>
          <w:color w:val="auto"/>
          <w:szCs w:val="21"/>
          <w:highlight w:val="none"/>
        </w:rPr>
        <w:t>邮政编码：</w:t>
      </w:r>
    </w:p>
    <w:p w14:paraId="4BE24C3C">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法定代表人： </w:t>
      </w:r>
      <w:r>
        <w:rPr>
          <w:rFonts w:hint="default" w:ascii="仿宋" w:hAnsi="仿宋" w:eastAsia="仿宋" w:cs="仿宋"/>
          <w:color w:val="auto"/>
          <w:szCs w:val="21"/>
          <w:highlight w:val="none"/>
        </w:rPr>
        <w:t xml:space="preserve">                             </w:t>
      </w:r>
      <w:r>
        <w:rPr>
          <w:rFonts w:hint="eastAsia" w:ascii="仿宋" w:hAnsi="仿宋" w:eastAsia="仿宋" w:cs="仿宋"/>
          <w:color w:val="auto"/>
          <w:szCs w:val="21"/>
          <w:highlight w:val="none"/>
        </w:rPr>
        <w:t xml:space="preserve"> 法定代表人：</w:t>
      </w:r>
    </w:p>
    <w:p w14:paraId="6ED75FAF">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委托代理人： </w:t>
      </w:r>
      <w:r>
        <w:rPr>
          <w:rFonts w:hint="default" w:ascii="仿宋" w:hAnsi="仿宋" w:eastAsia="仿宋" w:cs="仿宋"/>
          <w:color w:val="auto"/>
          <w:szCs w:val="21"/>
          <w:highlight w:val="none"/>
        </w:rPr>
        <w:t xml:space="preserve">                             </w:t>
      </w:r>
      <w:r>
        <w:rPr>
          <w:rFonts w:hint="eastAsia" w:ascii="仿宋" w:hAnsi="仿宋" w:eastAsia="仿宋" w:cs="仿宋"/>
          <w:color w:val="auto"/>
          <w:szCs w:val="21"/>
          <w:highlight w:val="none"/>
        </w:rPr>
        <w:t xml:space="preserve"> 委托代理人：</w:t>
      </w:r>
    </w:p>
    <w:p w14:paraId="46F7FEAF">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电  话： </w:t>
      </w:r>
      <w:r>
        <w:rPr>
          <w:rFonts w:hint="default" w:ascii="仿宋" w:hAnsi="仿宋" w:eastAsia="仿宋" w:cs="仿宋"/>
          <w:color w:val="auto"/>
          <w:szCs w:val="21"/>
          <w:highlight w:val="none"/>
        </w:rPr>
        <w:t xml:space="preserve">                                 </w:t>
      </w:r>
      <w:r>
        <w:rPr>
          <w:rFonts w:hint="eastAsia" w:ascii="仿宋" w:hAnsi="仿宋" w:eastAsia="仿宋" w:cs="仿宋"/>
          <w:color w:val="auto"/>
          <w:szCs w:val="21"/>
          <w:highlight w:val="none"/>
        </w:rPr>
        <w:t xml:space="preserve"> 电  话：</w:t>
      </w:r>
    </w:p>
    <w:p w14:paraId="6B8EB5FE">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电子信箱：  </w:t>
      </w:r>
      <w:r>
        <w:rPr>
          <w:rFonts w:hint="default" w:ascii="仿宋" w:hAnsi="仿宋" w:eastAsia="仿宋" w:cs="仿宋"/>
          <w:color w:val="auto"/>
          <w:szCs w:val="21"/>
          <w:highlight w:val="none"/>
        </w:rPr>
        <w:t xml:space="preserve">                               </w:t>
      </w:r>
      <w:r>
        <w:rPr>
          <w:rFonts w:hint="eastAsia" w:ascii="仿宋" w:hAnsi="仿宋" w:eastAsia="仿宋" w:cs="仿宋"/>
          <w:color w:val="auto"/>
          <w:szCs w:val="21"/>
          <w:highlight w:val="none"/>
        </w:rPr>
        <w:t>电子信箱：</w:t>
      </w:r>
    </w:p>
    <w:p w14:paraId="3DBD8889">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开户银行：  </w:t>
      </w:r>
      <w:r>
        <w:rPr>
          <w:rFonts w:hint="default" w:ascii="仿宋" w:hAnsi="仿宋" w:eastAsia="仿宋" w:cs="仿宋"/>
          <w:color w:val="auto"/>
          <w:szCs w:val="21"/>
          <w:highlight w:val="none"/>
        </w:rPr>
        <w:t xml:space="preserve">                               </w:t>
      </w:r>
      <w:r>
        <w:rPr>
          <w:rFonts w:hint="eastAsia" w:ascii="仿宋" w:hAnsi="仿宋" w:eastAsia="仿宋" w:cs="仿宋"/>
          <w:color w:val="auto"/>
          <w:szCs w:val="21"/>
          <w:highlight w:val="none"/>
        </w:rPr>
        <w:t>开户银行：</w:t>
      </w:r>
    </w:p>
    <w:p w14:paraId="304EA7D7">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账  号：</w:t>
      </w:r>
      <w:r>
        <w:rPr>
          <w:rFonts w:hint="default" w:ascii="仿宋" w:hAnsi="仿宋" w:eastAsia="仿宋" w:cs="仿宋"/>
          <w:color w:val="auto"/>
          <w:szCs w:val="21"/>
          <w:highlight w:val="none"/>
        </w:rPr>
        <w:t xml:space="preserve">                                   </w:t>
      </w:r>
      <w:r>
        <w:rPr>
          <w:rFonts w:hint="eastAsia" w:ascii="仿宋" w:hAnsi="仿宋" w:eastAsia="仿宋" w:cs="仿宋"/>
          <w:color w:val="auto"/>
          <w:szCs w:val="21"/>
          <w:highlight w:val="none"/>
        </w:rPr>
        <w:t>账  号：</w:t>
      </w:r>
    </w:p>
    <w:p w14:paraId="5B52F21C">
      <w:pPr>
        <w:widowControl/>
        <w:spacing w:after="100" w:line="259" w:lineRule="auto"/>
        <w:rPr>
          <w:rFonts w:hint="eastAsia" w:ascii="仿宋" w:hAnsi="仿宋" w:eastAsia="仿宋" w:cs="仿宋"/>
          <w:color w:val="auto"/>
          <w:szCs w:val="21"/>
          <w:highlight w:val="none"/>
        </w:rPr>
      </w:pPr>
    </w:p>
    <w:p w14:paraId="4FD11477">
      <w:pPr>
        <w:pageBreakBefore/>
        <w:spacing w:before="260" w:after="260"/>
        <w:jc w:val="center"/>
        <w:rPr>
          <w:rFonts w:hint="eastAsia" w:ascii="仿宋" w:hAnsi="仿宋" w:eastAsia="仿宋" w:cs="仿宋"/>
          <w:b/>
          <w:bCs/>
          <w:color w:val="auto"/>
          <w:sz w:val="24"/>
          <w:szCs w:val="24"/>
          <w:highlight w:val="none"/>
        </w:rPr>
      </w:pPr>
      <w:bookmarkStart w:id="403" w:name="_Toc14566"/>
      <w:bookmarkStart w:id="404" w:name="_Toc25991"/>
      <w:bookmarkStart w:id="405" w:name="_Toc1071"/>
      <w:bookmarkStart w:id="406" w:name="_Toc1373"/>
      <w:bookmarkStart w:id="407" w:name="_Toc2044"/>
      <w:r>
        <w:rPr>
          <w:rFonts w:hint="eastAsia" w:ascii="仿宋" w:hAnsi="仿宋" w:eastAsia="仿宋" w:cs="仿宋"/>
          <w:b/>
          <w:bCs/>
          <w:color w:val="auto"/>
          <w:sz w:val="24"/>
          <w:szCs w:val="24"/>
          <w:highlight w:val="none"/>
        </w:rPr>
        <w:t>第二部分  通用条款（略)</w:t>
      </w:r>
    </w:p>
    <w:p w14:paraId="0E8BE02C">
      <w:pPr>
        <w:keepNext/>
        <w:keepLines/>
        <w:spacing w:before="260" w:after="260"/>
        <w:jc w:val="center"/>
        <w:outlineLvl w:val="2"/>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 xml:space="preserve">    通用条款按照住房城乡建设部、国家工商行政管理局制定的《建设工程施工合同（示范文本）》（GF-2017-0201）。</w:t>
      </w:r>
    </w:p>
    <w:p w14:paraId="250E6131">
      <w:pPr>
        <w:rPr>
          <w:rFonts w:hint="eastAsia" w:ascii="仿宋" w:hAnsi="仿宋" w:eastAsia="仿宋" w:cs="仿宋"/>
          <w:color w:val="auto"/>
          <w:szCs w:val="21"/>
          <w:highlight w:val="none"/>
        </w:rPr>
      </w:pPr>
    </w:p>
    <w:bookmarkEnd w:id="403"/>
    <w:bookmarkEnd w:id="404"/>
    <w:bookmarkEnd w:id="405"/>
    <w:bookmarkEnd w:id="406"/>
    <w:bookmarkEnd w:id="407"/>
    <w:p w14:paraId="138E46BC">
      <w:pPr>
        <w:keepNext/>
        <w:keepLines/>
        <w:spacing w:before="260" w:after="260"/>
        <w:jc w:val="center"/>
        <w:outlineLvl w:val="2"/>
        <w:rPr>
          <w:rFonts w:hint="eastAsia" w:ascii="仿宋" w:hAnsi="仿宋" w:eastAsia="仿宋" w:cs="仿宋"/>
          <w:b/>
          <w:bCs/>
          <w:color w:val="auto"/>
          <w:sz w:val="32"/>
          <w:szCs w:val="32"/>
          <w:highlight w:val="none"/>
        </w:rPr>
      </w:pPr>
      <w:bookmarkStart w:id="408" w:name="_Toc1852"/>
      <w:bookmarkStart w:id="409" w:name="_Toc23872"/>
      <w:r>
        <w:rPr>
          <w:rFonts w:hint="eastAsia" w:ascii="仿宋" w:hAnsi="仿宋" w:eastAsia="仿宋" w:cs="仿宋"/>
          <w:b/>
          <w:bCs/>
          <w:color w:val="auto"/>
          <w:sz w:val="32"/>
          <w:szCs w:val="32"/>
          <w:highlight w:val="none"/>
        </w:rPr>
        <w:t>第三部分 专用合同条款</w:t>
      </w:r>
      <w:bookmarkEnd w:id="408"/>
      <w:bookmarkEnd w:id="409"/>
    </w:p>
    <w:p w14:paraId="5CAC3797">
      <w:pPr>
        <w:keepNext/>
        <w:keepLines/>
        <w:adjustRightInd/>
        <w:spacing w:line="400" w:lineRule="exact"/>
        <w:outlineLvl w:val="3"/>
        <w:rPr>
          <w:rFonts w:hint="eastAsia" w:ascii="仿宋" w:hAnsi="仿宋" w:eastAsia="仿宋" w:cs="仿宋"/>
          <w:bCs/>
          <w:color w:val="auto"/>
          <w:szCs w:val="21"/>
          <w:highlight w:val="none"/>
        </w:rPr>
      </w:pPr>
      <w:bookmarkStart w:id="410" w:name="_Toc351203633"/>
      <w:r>
        <w:rPr>
          <w:rFonts w:hint="eastAsia" w:ascii="仿宋" w:hAnsi="仿宋" w:eastAsia="仿宋" w:cs="仿宋"/>
          <w:bCs/>
          <w:color w:val="auto"/>
          <w:szCs w:val="21"/>
          <w:highlight w:val="none"/>
        </w:rPr>
        <w:t>1</w:t>
      </w:r>
      <w:bookmarkStart w:id="411" w:name="_Toc296891196"/>
      <w:bookmarkStart w:id="412" w:name="_Toc297120456"/>
      <w:bookmarkStart w:id="413" w:name="_Toc296503156"/>
      <w:bookmarkStart w:id="414" w:name="_Toc296346657"/>
      <w:bookmarkStart w:id="415" w:name="_Toc296944495"/>
      <w:bookmarkStart w:id="416" w:name="_Toc292559866"/>
      <w:bookmarkStart w:id="417" w:name="_Toc292559361"/>
      <w:bookmarkStart w:id="418" w:name="_Toc296347155"/>
      <w:bookmarkStart w:id="419" w:name="_Toc297048342"/>
      <w:bookmarkStart w:id="420" w:name="_Toc296890984"/>
      <w:r>
        <w:rPr>
          <w:rFonts w:hint="eastAsia" w:ascii="仿宋" w:hAnsi="仿宋" w:eastAsia="仿宋" w:cs="仿宋"/>
          <w:bCs/>
          <w:color w:val="auto"/>
          <w:szCs w:val="21"/>
          <w:highlight w:val="none"/>
        </w:rPr>
        <w:t>. 一般约定</w:t>
      </w:r>
      <w:bookmarkEnd w:id="410"/>
    </w:p>
    <w:bookmarkEnd w:id="411"/>
    <w:bookmarkEnd w:id="412"/>
    <w:bookmarkEnd w:id="413"/>
    <w:bookmarkEnd w:id="414"/>
    <w:bookmarkEnd w:id="415"/>
    <w:bookmarkEnd w:id="416"/>
    <w:bookmarkEnd w:id="417"/>
    <w:bookmarkEnd w:id="418"/>
    <w:bookmarkEnd w:id="419"/>
    <w:bookmarkEnd w:id="420"/>
    <w:p w14:paraId="1290531E">
      <w:pPr>
        <w:adjustRightInd/>
        <w:spacing w:line="400" w:lineRule="exact"/>
        <w:ind w:firstLine="420" w:firstLineChars="200"/>
        <w:outlineLvl w:val="0"/>
        <w:rPr>
          <w:rFonts w:hint="eastAsia" w:ascii="仿宋" w:hAnsi="仿宋" w:eastAsia="仿宋" w:cs="仿宋"/>
          <w:color w:val="auto"/>
          <w:szCs w:val="21"/>
          <w:highlight w:val="none"/>
        </w:rPr>
      </w:pPr>
      <w:bookmarkStart w:id="421" w:name="_Toc506"/>
      <w:bookmarkStart w:id="422" w:name="_Toc8862"/>
      <w:bookmarkStart w:id="423" w:name="_Toc25744"/>
      <w:bookmarkStart w:id="424" w:name="_Toc32240"/>
      <w:bookmarkStart w:id="425" w:name="_Toc8994"/>
      <w:bookmarkStart w:id="426" w:name="_Toc32354"/>
      <w:r>
        <w:rPr>
          <w:rFonts w:hint="eastAsia" w:ascii="仿宋" w:hAnsi="仿宋" w:eastAsia="仿宋" w:cs="仿宋"/>
          <w:color w:val="auto"/>
          <w:szCs w:val="21"/>
          <w:highlight w:val="none"/>
        </w:rPr>
        <w:t>1.1 词语定义</w:t>
      </w:r>
      <w:bookmarkEnd w:id="421"/>
      <w:bookmarkEnd w:id="422"/>
      <w:bookmarkEnd w:id="423"/>
      <w:bookmarkEnd w:id="424"/>
      <w:bookmarkEnd w:id="425"/>
      <w:bookmarkEnd w:id="426"/>
    </w:p>
    <w:p w14:paraId="60F4B19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1.1.1合同</w:t>
      </w:r>
    </w:p>
    <w:p w14:paraId="7EAFA70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1.1.1.10其他合同文件包括：</w:t>
      </w:r>
      <w:r>
        <w:rPr>
          <w:rFonts w:hint="eastAsia" w:ascii="仿宋" w:hAnsi="仿宋" w:eastAsia="仿宋" w:cs="仿宋"/>
          <w:color w:val="auto"/>
          <w:szCs w:val="21"/>
          <w:highlight w:val="none"/>
          <w:u w:val="single"/>
        </w:rPr>
        <w:t>施工组织设计：施工组织</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"http://baike.baidu.com/view/14417.htm" \t "_blank"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1"/>
          <w:highlight w:val="none"/>
          <w:u w:val="single"/>
        </w:rPr>
        <w:t>设计</w:t>
      </w:r>
      <w:r>
        <w:rPr>
          <w:rFonts w:hint="eastAsia" w:ascii="仿宋" w:hAnsi="仿宋" w:eastAsia="仿宋" w:cs="仿宋"/>
          <w:color w:val="auto"/>
          <w:szCs w:val="21"/>
          <w:highlight w:val="none"/>
          <w:u w:val="single"/>
        </w:rPr>
        <w:fldChar w:fldCharType="end"/>
      </w:r>
      <w:r>
        <w:rPr>
          <w:rFonts w:hint="eastAsia" w:ascii="仿宋" w:hAnsi="仿宋" w:eastAsia="仿宋" w:cs="仿宋"/>
          <w:color w:val="auto"/>
          <w:szCs w:val="21"/>
          <w:highlight w:val="none"/>
          <w:u w:val="single"/>
        </w:rPr>
        <w:t>是用来指导</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"http://baike.baidu.com/view/1094820.htm" \t "_blank"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1"/>
          <w:highlight w:val="none"/>
          <w:u w:val="single"/>
        </w:rPr>
        <w:t>施工项目</w:t>
      </w:r>
      <w:r>
        <w:rPr>
          <w:rFonts w:hint="eastAsia" w:ascii="仿宋" w:hAnsi="仿宋" w:eastAsia="仿宋" w:cs="仿宋"/>
          <w:color w:val="auto"/>
          <w:szCs w:val="21"/>
          <w:highlight w:val="none"/>
          <w:u w:val="single"/>
        </w:rPr>
        <w:fldChar w:fldCharType="end"/>
      </w:r>
      <w:r>
        <w:rPr>
          <w:rFonts w:hint="eastAsia" w:ascii="仿宋" w:hAnsi="仿宋" w:eastAsia="仿宋" w:cs="仿宋"/>
          <w:color w:val="auto"/>
          <w:szCs w:val="21"/>
          <w:highlight w:val="none"/>
          <w:u w:val="single"/>
        </w:rPr>
        <w:t xml:space="preserve">全过程各项活动的技术、经济和组织的综合性文件  </w:t>
      </w:r>
      <w:r>
        <w:rPr>
          <w:rFonts w:hint="eastAsia" w:ascii="仿宋" w:hAnsi="仿宋" w:eastAsia="仿宋" w:cs="仿宋"/>
          <w:color w:val="auto"/>
          <w:szCs w:val="21"/>
          <w:highlight w:val="none"/>
        </w:rPr>
        <w:t>。</w:t>
      </w:r>
    </w:p>
    <w:p w14:paraId="685BDFE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1.1.2 合同当事人及其他相关方</w:t>
      </w:r>
    </w:p>
    <w:p w14:paraId="1BF1635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1.1.2.4监理人：</w:t>
      </w:r>
    </w:p>
    <w:p w14:paraId="3C715AB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    称：</w:t>
      </w:r>
      <w:r>
        <w:rPr>
          <w:rFonts w:hint="eastAsia" w:ascii="仿宋" w:hAnsi="仿宋" w:eastAsia="仿宋" w:cs="仿宋"/>
          <w:color w:val="auto"/>
          <w:szCs w:val="21"/>
          <w:highlight w:val="none"/>
          <w:u w:val="single"/>
        </w:rPr>
        <w:t xml:space="preserve">                </w:t>
      </w:r>
      <w:r>
        <w:rPr>
          <w:rFonts w:hint="eastAsia" w:ascii="仿宋" w:hAnsi="仿宋" w:eastAsia="仿宋" w:cs="仿宋"/>
          <w:color w:val="auto"/>
          <w:szCs w:val="21"/>
          <w:highlight w:val="none"/>
        </w:rPr>
        <w:t>；</w:t>
      </w:r>
    </w:p>
    <w:p w14:paraId="30EEF42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资质类别和等级：</w:t>
      </w:r>
      <w:r>
        <w:rPr>
          <w:rFonts w:hint="eastAsia" w:ascii="仿宋" w:hAnsi="仿宋" w:eastAsia="仿宋" w:cs="仿宋"/>
          <w:color w:val="auto"/>
          <w:szCs w:val="21"/>
          <w:highlight w:val="none"/>
          <w:u w:val="single"/>
        </w:rPr>
        <w:t>               </w:t>
      </w:r>
      <w:r>
        <w:rPr>
          <w:rFonts w:hint="eastAsia" w:ascii="仿宋" w:hAnsi="仿宋" w:eastAsia="仿宋" w:cs="仿宋"/>
          <w:color w:val="auto"/>
          <w:szCs w:val="21"/>
          <w:highlight w:val="none"/>
        </w:rPr>
        <w:t>；</w:t>
      </w:r>
    </w:p>
    <w:p w14:paraId="42EDF01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联系电话：</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14:paraId="5BE5D18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电子信箱：</w:t>
      </w:r>
      <w:r>
        <w:rPr>
          <w:rFonts w:hint="eastAsia" w:ascii="仿宋" w:hAnsi="仿宋" w:eastAsia="仿宋" w:cs="仿宋"/>
          <w:color w:val="auto"/>
          <w:szCs w:val="21"/>
          <w:highlight w:val="none"/>
          <w:u w:val="single"/>
        </w:rPr>
        <w:t>                </w:t>
      </w:r>
      <w:r>
        <w:rPr>
          <w:rFonts w:hint="eastAsia" w:ascii="仿宋" w:hAnsi="仿宋" w:eastAsia="仿宋" w:cs="仿宋"/>
          <w:color w:val="auto"/>
          <w:szCs w:val="21"/>
          <w:highlight w:val="none"/>
        </w:rPr>
        <w:t>；</w:t>
      </w:r>
    </w:p>
    <w:p w14:paraId="7DE8977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通信地址：</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14:paraId="6036C13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1.1.2.5 设计人：</w:t>
      </w:r>
    </w:p>
    <w:p w14:paraId="59BC84E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    称：</w:t>
      </w:r>
      <w:r>
        <w:rPr>
          <w:rFonts w:hint="eastAsia" w:ascii="仿宋" w:hAnsi="仿宋" w:eastAsia="仿宋" w:cs="仿宋"/>
          <w:color w:val="auto"/>
          <w:szCs w:val="21"/>
          <w:highlight w:val="none"/>
          <w:u w:val="single"/>
        </w:rPr>
        <w:t xml:space="preserve">                 </w:t>
      </w:r>
      <w:r>
        <w:rPr>
          <w:rFonts w:hint="eastAsia" w:ascii="仿宋" w:hAnsi="仿宋" w:eastAsia="仿宋" w:cs="仿宋"/>
          <w:color w:val="auto"/>
          <w:szCs w:val="21"/>
          <w:highlight w:val="none"/>
        </w:rPr>
        <w:t>；</w:t>
      </w:r>
    </w:p>
    <w:p w14:paraId="0512490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资质类别和等级：</w:t>
      </w:r>
      <w:r>
        <w:rPr>
          <w:rFonts w:hint="eastAsia" w:ascii="仿宋" w:hAnsi="仿宋" w:eastAsia="仿宋" w:cs="仿宋"/>
          <w:color w:val="auto"/>
          <w:szCs w:val="21"/>
          <w:highlight w:val="none"/>
          <w:u w:val="single"/>
        </w:rPr>
        <w:t>               </w:t>
      </w:r>
      <w:r>
        <w:rPr>
          <w:rFonts w:hint="eastAsia" w:ascii="仿宋" w:hAnsi="仿宋" w:eastAsia="仿宋" w:cs="仿宋"/>
          <w:color w:val="auto"/>
          <w:szCs w:val="21"/>
          <w:highlight w:val="none"/>
        </w:rPr>
        <w:t>；</w:t>
      </w:r>
    </w:p>
    <w:p w14:paraId="206FAEE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联系电话：</w:t>
      </w:r>
      <w:r>
        <w:rPr>
          <w:rFonts w:hint="eastAsia" w:ascii="仿宋" w:hAnsi="仿宋" w:eastAsia="仿宋" w:cs="仿宋"/>
          <w:color w:val="auto"/>
          <w:szCs w:val="21"/>
          <w:highlight w:val="none"/>
          <w:u w:val="single"/>
        </w:rPr>
        <w:t>                 </w:t>
      </w:r>
      <w:r>
        <w:rPr>
          <w:rFonts w:hint="eastAsia" w:ascii="仿宋" w:hAnsi="仿宋" w:eastAsia="仿宋" w:cs="仿宋"/>
          <w:color w:val="auto"/>
          <w:szCs w:val="21"/>
          <w:highlight w:val="none"/>
        </w:rPr>
        <w:t>；</w:t>
      </w:r>
    </w:p>
    <w:p w14:paraId="28B2F6E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电子信箱：</w:t>
      </w:r>
      <w:r>
        <w:rPr>
          <w:rFonts w:hint="eastAsia" w:ascii="仿宋" w:hAnsi="仿宋" w:eastAsia="仿宋" w:cs="仿宋"/>
          <w:color w:val="auto"/>
          <w:szCs w:val="21"/>
          <w:highlight w:val="none"/>
          <w:u w:val="single"/>
        </w:rPr>
        <w:t xml:space="preserve">                    </w:t>
      </w:r>
      <w:r>
        <w:rPr>
          <w:rFonts w:hint="eastAsia" w:ascii="仿宋" w:hAnsi="仿宋" w:eastAsia="仿宋" w:cs="仿宋"/>
          <w:color w:val="auto"/>
          <w:szCs w:val="21"/>
          <w:highlight w:val="none"/>
        </w:rPr>
        <w:t>；</w:t>
      </w:r>
    </w:p>
    <w:p w14:paraId="47844C1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通信地址：</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14:paraId="5018D7B9">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1.1.3 工程和设备</w:t>
      </w:r>
    </w:p>
    <w:p w14:paraId="2370183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1.1.3.7 作为施工现场组成部分的其他场所包括：</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74B0849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1.1.3.9 永久占地包括：</w:t>
      </w:r>
      <w:r>
        <w:rPr>
          <w:rFonts w:hint="eastAsia" w:ascii="仿宋" w:hAnsi="仿宋" w:eastAsia="仿宋" w:cs="仿宋"/>
          <w:color w:val="auto"/>
          <w:szCs w:val="21"/>
          <w:highlight w:val="none"/>
          <w:u w:val="single"/>
        </w:rPr>
        <w:t xml:space="preserve">       /      </w:t>
      </w:r>
      <w:r>
        <w:rPr>
          <w:rFonts w:hint="eastAsia" w:ascii="仿宋" w:hAnsi="仿宋" w:eastAsia="仿宋" w:cs="仿宋"/>
          <w:color w:val="auto"/>
          <w:szCs w:val="21"/>
          <w:highlight w:val="none"/>
        </w:rPr>
        <w:t>。</w:t>
      </w:r>
    </w:p>
    <w:p w14:paraId="0235A305">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1.1.3.10 临时占地包括：</w:t>
      </w:r>
      <w:r>
        <w:rPr>
          <w:rFonts w:hint="eastAsia" w:ascii="仿宋" w:hAnsi="仿宋" w:eastAsia="仿宋" w:cs="仿宋"/>
          <w:color w:val="auto"/>
          <w:szCs w:val="21"/>
          <w:highlight w:val="none"/>
          <w:u w:val="single"/>
        </w:rPr>
        <w:t xml:space="preserve">  由承包人自行解决，费用承包人自行承担 </w:t>
      </w:r>
      <w:r>
        <w:rPr>
          <w:rFonts w:hint="eastAsia" w:ascii="仿宋" w:hAnsi="仿宋" w:eastAsia="仿宋" w:cs="仿宋"/>
          <w:color w:val="auto"/>
          <w:szCs w:val="21"/>
          <w:highlight w:val="none"/>
        </w:rPr>
        <w:t>。</w:t>
      </w:r>
    </w:p>
    <w:p w14:paraId="40107D8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1.3法律 </w:t>
      </w:r>
    </w:p>
    <w:p w14:paraId="533DB8F5">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适用于合同的其他规范性文件：</w:t>
      </w:r>
      <w:r>
        <w:rPr>
          <w:rFonts w:hint="eastAsia" w:ascii="仿宋" w:hAnsi="仿宋" w:eastAsia="仿宋" w:cs="仿宋"/>
          <w:color w:val="auto"/>
          <w:szCs w:val="21"/>
          <w:highlight w:val="none"/>
          <w:u w:val="single"/>
        </w:rPr>
        <w:t xml:space="preserve">适用于本合同文件的法律为《中华人民共和国民法典》《建设工程质量管理条例》及其国家和工程所在地的适用于工程的包括但不限于法律、法规、规定、通知、决定、指导意见等各种规范性文件，部分规范性文件为： </w:t>
      </w:r>
      <w:r>
        <w:rPr>
          <w:rFonts w:hint="eastAsia" w:ascii="仿宋" w:hAnsi="仿宋" w:eastAsia="仿宋" w:cs="仿宋"/>
          <w:color w:val="auto"/>
          <w:szCs w:val="21"/>
          <w:highlight w:val="none"/>
        </w:rPr>
        <w:t>。</w:t>
      </w:r>
    </w:p>
    <w:p w14:paraId="3DC42849">
      <w:pPr>
        <w:spacing w:line="400" w:lineRule="exact"/>
        <w:ind w:firstLine="422" w:firstLineChars="200"/>
        <w:rPr>
          <w:rFonts w:hint="eastAsia" w:ascii="仿宋" w:hAnsi="仿宋" w:eastAsia="仿宋" w:cs="仿宋"/>
          <w:b/>
          <w:color w:val="auto"/>
          <w:szCs w:val="21"/>
          <w:highlight w:val="none"/>
          <w:u w:val="single"/>
        </w:rPr>
      </w:pPr>
      <w:r>
        <w:rPr>
          <w:rFonts w:hint="eastAsia" w:ascii="仿宋" w:hAnsi="仿宋" w:eastAsia="仿宋" w:cs="仿宋"/>
          <w:b/>
          <w:color w:val="auto"/>
          <w:szCs w:val="21"/>
          <w:highlight w:val="none"/>
          <w:u w:val="single"/>
        </w:rPr>
        <w:t>（1）《关于印发《杭州市建设工程工程量清单计价实施细则》（2018年修订）的通知》（杭建市发〔2018〕578号）</w:t>
      </w:r>
    </w:p>
    <w:p w14:paraId="04C71C81">
      <w:pPr>
        <w:spacing w:line="400" w:lineRule="exact"/>
        <w:ind w:firstLine="422" w:firstLineChars="200"/>
        <w:rPr>
          <w:rFonts w:hint="eastAsia" w:ascii="仿宋" w:hAnsi="仿宋" w:eastAsia="仿宋" w:cs="仿宋"/>
          <w:b/>
          <w:color w:val="auto"/>
          <w:szCs w:val="21"/>
          <w:highlight w:val="none"/>
          <w:u w:val="single"/>
        </w:rPr>
      </w:pPr>
      <w:r>
        <w:rPr>
          <w:rFonts w:hint="eastAsia" w:ascii="仿宋" w:hAnsi="仿宋" w:eastAsia="仿宋" w:cs="仿宋"/>
          <w:b/>
          <w:color w:val="auto"/>
          <w:szCs w:val="21"/>
          <w:highlight w:val="none"/>
          <w:u w:val="single"/>
        </w:rPr>
        <w:t>(2)《关于进一步加强杭州市建设工程市场要素价格动态管理的指导意见》（杭建市发〔2018〕579号 ）</w:t>
      </w:r>
    </w:p>
    <w:p w14:paraId="3D2AE3EE">
      <w:pPr>
        <w:spacing w:line="400" w:lineRule="exact"/>
        <w:ind w:firstLine="422" w:firstLineChars="200"/>
        <w:rPr>
          <w:rFonts w:hint="eastAsia" w:ascii="仿宋" w:hAnsi="仿宋" w:eastAsia="仿宋" w:cs="仿宋"/>
          <w:b/>
          <w:color w:val="auto"/>
          <w:szCs w:val="21"/>
          <w:highlight w:val="none"/>
          <w:u w:val="single"/>
        </w:rPr>
      </w:pPr>
      <w:r>
        <w:rPr>
          <w:rFonts w:hint="eastAsia" w:ascii="仿宋" w:hAnsi="仿宋" w:eastAsia="仿宋" w:cs="仿宋"/>
          <w:b/>
          <w:color w:val="auto"/>
          <w:szCs w:val="21"/>
          <w:highlight w:val="none"/>
          <w:u w:val="single"/>
        </w:rPr>
        <w:t>（3）《关于进一步加强建筑施工领域企业安全生产工作的实施意见》的通知 （杭建工发〔2011〕130号）</w:t>
      </w:r>
    </w:p>
    <w:p w14:paraId="6E38EC63">
      <w:pPr>
        <w:spacing w:line="400" w:lineRule="exact"/>
        <w:ind w:firstLine="422" w:firstLineChars="200"/>
        <w:rPr>
          <w:rFonts w:hint="eastAsia" w:ascii="仿宋" w:hAnsi="仿宋" w:eastAsia="仿宋" w:cs="仿宋"/>
          <w:b/>
          <w:color w:val="auto"/>
          <w:szCs w:val="21"/>
          <w:highlight w:val="none"/>
          <w:u w:val="single"/>
        </w:rPr>
      </w:pPr>
      <w:r>
        <w:rPr>
          <w:rFonts w:hint="eastAsia" w:ascii="仿宋" w:hAnsi="仿宋" w:eastAsia="仿宋" w:cs="仿宋"/>
          <w:b/>
          <w:color w:val="auto"/>
          <w:szCs w:val="21"/>
          <w:highlight w:val="none"/>
          <w:u w:val="single"/>
        </w:rPr>
        <w:t>（4）《关于进一步加强建设工程安全质量物联网管理应用平台建设的通知》（杭建工发【2012】426号）</w:t>
      </w:r>
    </w:p>
    <w:p w14:paraId="03F0C90A">
      <w:pPr>
        <w:spacing w:line="400" w:lineRule="exact"/>
        <w:ind w:firstLine="422" w:firstLineChars="200"/>
        <w:rPr>
          <w:rFonts w:hint="eastAsia" w:ascii="仿宋" w:hAnsi="仿宋" w:eastAsia="仿宋" w:cs="仿宋"/>
          <w:b/>
          <w:color w:val="auto"/>
          <w:szCs w:val="21"/>
          <w:highlight w:val="none"/>
          <w:u w:val="single"/>
        </w:rPr>
      </w:pPr>
      <w:r>
        <w:rPr>
          <w:rFonts w:hint="eastAsia" w:ascii="仿宋" w:hAnsi="仿宋" w:eastAsia="仿宋" w:cs="仿宋"/>
          <w:b/>
          <w:color w:val="auto"/>
          <w:szCs w:val="21"/>
          <w:highlight w:val="none"/>
          <w:u w:val="single"/>
        </w:rPr>
        <w:t>（5）《关于进一步加强预拌砂浆使用管理的通知》（杭建工发〔2017〕496号）</w:t>
      </w:r>
    </w:p>
    <w:p w14:paraId="2031680C">
      <w:pPr>
        <w:spacing w:line="400" w:lineRule="exact"/>
        <w:ind w:firstLine="422" w:firstLineChars="200"/>
        <w:rPr>
          <w:rFonts w:hint="eastAsia" w:ascii="仿宋" w:hAnsi="仿宋" w:eastAsia="仿宋" w:cs="仿宋"/>
          <w:b/>
          <w:color w:val="auto"/>
          <w:szCs w:val="21"/>
          <w:highlight w:val="none"/>
          <w:u w:val="single"/>
        </w:rPr>
      </w:pPr>
      <w:r>
        <w:rPr>
          <w:rFonts w:hint="eastAsia" w:ascii="仿宋" w:hAnsi="仿宋" w:eastAsia="仿宋" w:cs="仿宋"/>
          <w:b/>
          <w:color w:val="auto"/>
          <w:szCs w:val="21"/>
          <w:highlight w:val="none"/>
          <w:u w:val="single"/>
        </w:rPr>
        <w:t>（6）《关于落实建筑工棚安装空调事宜的通知》（杭建工发【2011】237号）</w:t>
      </w:r>
    </w:p>
    <w:p w14:paraId="4ADC097F">
      <w:pPr>
        <w:spacing w:line="400" w:lineRule="exact"/>
        <w:ind w:firstLine="420" w:firstLineChars="200"/>
        <w:rPr>
          <w:rFonts w:hint="eastAsia" w:ascii="仿宋" w:hAnsi="仿宋" w:eastAsia="仿宋" w:cs="仿宋"/>
          <w:b/>
          <w:color w:val="auto"/>
          <w:szCs w:val="21"/>
          <w:highlight w:val="none"/>
          <w:u w:val="single"/>
        </w:rPr>
      </w:pPr>
      <w:r>
        <w:rPr>
          <w:rFonts w:hint="eastAsia" w:ascii="仿宋" w:hAnsi="仿宋" w:eastAsia="仿宋" w:cs="仿宋"/>
          <w:color w:val="auto"/>
          <w:szCs w:val="21"/>
          <w:highlight w:val="none"/>
        </w:rPr>
        <w:t xml:space="preserve">（7）新工艺、新技术的约定：/ </w:t>
      </w:r>
    </w:p>
    <w:p w14:paraId="34008865">
      <w:pPr>
        <w:spacing w:line="400" w:lineRule="exact"/>
        <w:ind w:firstLine="420" w:firstLineChars="200"/>
        <w:rPr>
          <w:rFonts w:hint="eastAsia" w:ascii="仿宋" w:hAnsi="仿宋" w:eastAsia="仿宋" w:cs="仿宋"/>
          <w:b/>
          <w:color w:val="auto"/>
          <w:szCs w:val="21"/>
          <w:highlight w:val="none"/>
          <w:u w:val="single"/>
        </w:rPr>
      </w:pPr>
      <w:r>
        <w:rPr>
          <w:rFonts w:hint="eastAsia" w:ascii="仿宋" w:hAnsi="仿宋" w:eastAsia="仿宋" w:cs="仿宋"/>
          <w:color w:val="auto"/>
          <w:szCs w:val="21"/>
          <w:highlight w:val="none"/>
        </w:rPr>
        <w:t>（8）其他：国家现行的法律法规及浙江省、杭州市相关的法律法规、钱塘区及建设单位的适用于工程的相关文件，包括在合同期内不时更新后的文件。</w:t>
      </w:r>
    </w:p>
    <w:p w14:paraId="30331A4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1.4 标准和规范</w:t>
      </w:r>
    </w:p>
    <w:p w14:paraId="4B5EB40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1.4.1适用于工程的标准规范包括：</w:t>
      </w:r>
      <w:r>
        <w:rPr>
          <w:rFonts w:hint="eastAsia" w:ascii="仿宋" w:hAnsi="仿宋" w:eastAsia="仿宋" w:cs="仿宋"/>
          <w:color w:val="auto"/>
          <w:szCs w:val="21"/>
          <w:highlight w:val="none"/>
          <w:u w:val="single"/>
        </w:rPr>
        <w:t>现行的国家、浙江省、杭州市及工程所在地（区）的有关标准规范、质量评定标准和竣工验收规范</w:t>
      </w:r>
      <w:r>
        <w:rPr>
          <w:rFonts w:hint="eastAsia" w:ascii="仿宋" w:hAnsi="仿宋" w:eastAsia="仿宋" w:cs="仿宋"/>
          <w:color w:val="auto"/>
          <w:szCs w:val="21"/>
          <w:highlight w:val="none"/>
        </w:rPr>
        <w:t>。</w:t>
      </w:r>
    </w:p>
    <w:p w14:paraId="3C6AC35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1.4.2 发包人提供国外标准、规范的名称：</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55ABB3A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发包人提供国外标准、规范的份数：</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6F1ACB2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发包人提供国外标准、规范的名称：</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0DB19FE9">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1.4.3发包人对工程的技术标准和功能要求的特殊要求：</w:t>
      </w:r>
    </w:p>
    <w:p w14:paraId="42CF8C6E">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国家或行业如有新的技术标准和功能要求，则要求遵守新的技术标准和要求  </w:t>
      </w:r>
      <w:r>
        <w:rPr>
          <w:rFonts w:hint="eastAsia" w:ascii="仿宋" w:hAnsi="仿宋" w:eastAsia="仿宋" w:cs="仿宋"/>
          <w:color w:val="auto"/>
          <w:szCs w:val="21"/>
          <w:highlight w:val="none"/>
        </w:rPr>
        <w:t>。</w:t>
      </w:r>
    </w:p>
    <w:p w14:paraId="4601DD99">
      <w:pPr>
        <w:adjustRightInd/>
        <w:spacing w:line="400" w:lineRule="exact"/>
        <w:ind w:firstLine="420" w:firstLineChars="200"/>
        <w:outlineLvl w:val="0"/>
        <w:rPr>
          <w:rFonts w:hint="eastAsia" w:ascii="仿宋" w:hAnsi="仿宋" w:eastAsia="仿宋" w:cs="仿宋"/>
          <w:color w:val="auto"/>
          <w:szCs w:val="21"/>
          <w:highlight w:val="none"/>
        </w:rPr>
      </w:pPr>
      <w:bookmarkStart w:id="427" w:name="_Toc21239"/>
      <w:bookmarkStart w:id="428" w:name="_Toc14848"/>
      <w:bookmarkStart w:id="429" w:name="_Toc11242"/>
      <w:bookmarkStart w:id="430" w:name="_Toc24499"/>
      <w:bookmarkStart w:id="431" w:name="_Toc6062"/>
      <w:bookmarkStart w:id="432" w:name="_Toc8012"/>
      <w:r>
        <w:rPr>
          <w:rFonts w:hint="eastAsia" w:ascii="仿宋" w:hAnsi="仿宋" w:eastAsia="仿宋" w:cs="仿宋"/>
          <w:color w:val="auto"/>
          <w:szCs w:val="21"/>
          <w:highlight w:val="none"/>
        </w:rPr>
        <w:t>1.5 合同文件的优先顺序</w:t>
      </w:r>
      <w:bookmarkEnd w:id="427"/>
      <w:bookmarkEnd w:id="428"/>
      <w:bookmarkEnd w:id="429"/>
      <w:bookmarkEnd w:id="430"/>
      <w:bookmarkEnd w:id="431"/>
      <w:bookmarkEnd w:id="432"/>
    </w:p>
    <w:p w14:paraId="08E45C9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合同文件组成及优先顺序（序号之前的优先于序号在后的）为：</w:t>
      </w:r>
    </w:p>
    <w:p w14:paraId="26E8C64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（1）合同协议书及补充协议；</w:t>
      </w:r>
    </w:p>
    <w:p w14:paraId="41E5B261">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（2）中标通知书（或项目发承包基本情况表）；</w:t>
      </w:r>
    </w:p>
    <w:p w14:paraId="265D9074">
      <w:pPr>
        <w:adjustRightInd/>
        <w:spacing w:line="400" w:lineRule="exact"/>
        <w:ind w:firstLine="420" w:firstLineChars="200"/>
        <w:rPr>
          <w:rFonts w:hint="default"/>
          <w:color w:val="auto"/>
          <w:highlight w:val="none"/>
        </w:rPr>
      </w:pPr>
      <w:r>
        <w:rPr>
          <w:rFonts w:hint="eastAsia" w:ascii="仿宋" w:hAnsi="仿宋" w:eastAsia="仿宋" w:cs="仿宋"/>
          <w:color w:val="auto"/>
          <w:szCs w:val="21"/>
          <w:highlight w:val="none"/>
          <w:u w:val="single"/>
        </w:rPr>
        <w:t>（3）投标文件</w:t>
      </w:r>
      <w:r>
        <w:rPr>
          <w:rFonts w:hint="default" w:ascii="仿宋" w:hAnsi="仿宋" w:eastAsia="仿宋" w:cs="仿宋"/>
          <w:color w:val="auto"/>
          <w:szCs w:val="21"/>
          <w:highlight w:val="none"/>
          <w:u w:val="single"/>
        </w:rPr>
        <w:t>；</w:t>
      </w:r>
    </w:p>
    <w:p w14:paraId="3CF8EF9E">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（4）本合同的专用合同条款及其附件；</w:t>
      </w:r>
    </w:p>
    <w:p w14:paraId="5B31EAB8">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（5）本合同的通用合同条款；</w:t>
      </w:r>
    </w:p>
    <w:p w14:paraId="5F5D9123">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（6）技术标准和要求；</w:t>
      </w:r>
    </w:p>
    <w:p w14:paraId="5701B3FB">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（7）施工图纸（含会审纪要、设计变更等）；</w:t>
      </w:r>
    </w:p>
    <w:p w14:paraId="5FAA9FED">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（8）已标价工程量清单或预算书；</w:t>
      </w:r>
    </w:p>
    <w:p w14:paraId="48E7E1A0">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（9）其他合同文件：</w:t>
      </w:r>
    </w:p>
    <w:p w14:paraId="7B8A5932">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①施工组织设计；</w:t>
      </w:r>
    </w:p>
    <w:p w14:paraId="534A8FC6">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②其他：招标文件；</w:t>
      </w:r>
    </w:p>
    <w:p w14:paraId="75437878">
      <w:pPr>
        <w:adjustRightInd/>
        <w:spacing w:line="400" w:lineRule="exact"/>
        <w:ind w:firstLine="420" w:firstLineChars="200"/>
        <w:rPr>
          <w:rFonts w:hint="default" w:ascii="仿宋" w:hAnsi="仿宋" w:eastAsia="仿宋" w:cs="仿宋"/>
          <w:color w:val="auto"/>
          <w:szCs w:val="21"/>
          <w:highlight w:val="none"/>
          <w:u w:val="single"/>
          <w:lang w:eastAsia="zh-Hans"/>
        </w:rPr>
      </w:pPr>
      <w:r>
        <w:rPr>
          <w:rFonts w:hint="eastAsia" w:ascii="仿宋" w:hAnsi="仿宋" w:eastAsia="仿宋" w:cs="仿宋"/>
          <w:color w:val="auto"/>
          <w:szCs w:val="21"/>
          <w:highlight w:val="none"/>
          <w:u w:val="single"/>
        </w:rPr>
        <w:t>合同当事人就上述合同文件在合同订立及履行过程中所作出的补充和修改，应以最新签署的为准，且在解释时有最优先的顺序。</w:t>
      </w:r>
      <w:r>
        <w:rPr>
          <w:rFonts w:hint="eastAsia" w:ascii="仿宋" w:hAnsi="仿宋" w:eastAsia="仿宋" w:cs="仿宋"/>
          <w:color w:val="auto"/>
          <w:szCs w:val="21"/>
          <w:highlight w:val="none"/>
          <w:u w:val="single"/>
          <w:lang w:val="en-US" w:eastAsia="zh-Hans"/>
        </w:rPr>
        <w:t>但不得与招标文件中的实质性内容相背离</w:t>
      </w:r>
      <w:r>
        <w:rPr>
          <w:rFonts w:hint="default" w:ascii="仿宋" w:hAnsi="仿宋" w:eastAsia="仿宋" w:cs="仿宋"/>
          <w:color w:val="auto"/>
          <w:szCs w:val="21"/>
          <w:highlight w:val="none"/>
          <w:u w:val="single"/>
          <w:lang w:eastAsia="zh-Hans"/>
        </w:rPr>
        <w:t>。</w:t>
      </w:r>
    </w:p>
    <w:p w14:paraId="601F3108">
      <w:pPr>
        <w:adjustRightInd/>
        <w:spacing w:line="400" w:lineRule="exact"/>
        <w:ind w:firstLine="420" w:firstLineChars="200"/>
        <w:outlineLvl w:val="0"/>
        <w:rPr>
          <w:rFonts w:hint="eastAsia" w:ascii="仿宋" w:hAnsi="仿宋" w:eastAsia="仿宋" w:cs="仿宋"/>
          <w:color w:val="auto"/>
          <w:szCs w:val="21"/>
          <w:highlight w:val="none"/>
        </w:rPr>
      </w:pPr>
      <w:bookmarkStart w:id="433" w:name="_Toc2890"/>
      <w:bookmarkStart w:id="434" w:name="_Toc15225"/>
      <w:bookmarkStart w:id="435" w:name="_Toc17574"/>
      <w:bookmarkStart w:id="436" w:name="_Toc12400"/>
      <w:bookmarkStart w:id="437" w:name="_Toc9230"/>
      <w:bookmarkStart w:id="438" w:name="_Toc12132"/>
      <w:r>
        <w:rPr>
          <w:rFonts w:hint="eastAsia" w:ascii="仿宋" w:hAnsi="仿宋" w:eastAsia="仿宋" w:cs="仿宋"/>
          <w:color w:val="auto"/>
          <w:szCs w:val="21"/>
          <w:highlight w:val="none"/>
        </w:rPr>
        <w:t>1.6 图纸和承包人文件</w:t>
      </w:r>
      <w:bookmarkEnd w:id="433"/>
      <w:bookmarkEnd w:id="434"/>
      <w:bookmarkEnd w:id="435"/>
      <w:bookmarkEnd w:id="436"/>
      <w:bookmarkEnd w:id="437"/>
      <w:bookmarkEnd w:id="438"/>
      <w:r>
        <w:rPr>
          <w:rFonts w:hint="eastAsia" w:ascii="仿宋" w:hAnsi="仿宋" w:eastAsia="仿宋" w:cs="仿宋"/>
          <w:color w:val="auto"/>
          <w:szCs w:val="21"/>
          <w:highlight w:val="none"/>
        </w:rPr>
        <w:tab/>
      </w:r>
    </w:p>
    <w:p w14:paraId="2E2071F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1.6.1 图纸的提供</w:t>
      </w:r>
    </w:p>
    <w:p w14:paraId="06484C1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发包人向承包人提供图纸的期限：</w:t>
      </w:r>
      <w:r>
        <w:rPr>
          <w:rFonts w:hint="eastAsia" w:ascii="仿宋" w:hAnsi="仿宋" w:eastAsia="仿宋" w:cs="仿宋"/>
          <w:color w:val="auto"/>
          <w:szCs w:val="21"/>
          <w:highlight w:val="none"/>
          <w:u w:val="single"/>
        </w:rPr>
        <w:t>开工前</w:t>
      </w:r>
      <w:r>
        <w:rPr>
          <w:rFonts w:hint="eastAsia" w:ascii="仿宋" w:hAnsi="仿宋" w:eastAsia="仿宋" w:cs="仿宋"/>
          <w:color w:val="auto"/>
          <w:szCs w:val="21"/>
          <w:highlight w:val="none"/>
        </w:rPr>
        <w:t>；</w:t>
      </w:r>
    </w:p>
    <w:p w14:paraId="010F9ED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发包人向承包人提供图纸的数量：</w:t>
      </w:r>
      <w:r>
        <w:rPr>
          <w:rFonts w:hint="eastAsia" w:ascii="仿宋" w:hAnsi="仿宋" w:eastAsia="仿宋" w:cs="仿宋"/>
          <w:color w:val="auto"/>
          <w:szCs w:val="21"/>
          <w:highlight w:val="none"/>
          <w:u w:val="single"/>
        </w:rPr>
        <w:t>三套</w:t>
      </w:r>
      <w:r>
        <w:rPr>
          <w:rFonts w:hint="eastAsia" w:ascii="仿宋" w:hAnsi="仿宋" w:eastAsia="仿宋" w:cs="仿宋"/>
          <w:color w:val="auto"/>
          <w:szCs w:val="21"/>
          <w:highlight w:val="none"/>
        </w:rPr>
        <w:t>；</w:t>
      </w:r>
    </w:p>
    <w:p w14:paraId="79FF159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发包人向承包人提供图纸的内容：</w:t>
      </w:r>
      <w:r>
        <w:rPr>
          <w:rFonts w:hint="eastAsia" w:ascii="仿宋" w:hAnsi="仿宋" w:eastAsia="仿宋" w:cs="仿宋"/>
          <w:color w:val="auto"/>
          <w:szCs w:val="21"/>
          <w:highlight w:val="none"/>
          <w:u w:val="single"/>
        </w:rPr>
        <w:t>全套施工图纸、设计联系单等</w:t>
      </w:r>
      <w:r>
        <w:rPr>
          <w:rFonts w:hint="eastAsia" w:ascii="仿宋" w:hAnsi="仿宋" w:eastAsia="仿宋" w:cs="仿宋"/>
          <w:color w:val="auto"/>
          <w:szCs w:val="21"/>
          <w:highlight w:val="none"/>
        </w:rPr>
        <w:t>。承包人未经发包人</w:t>
      </w:r>
      <w:r>
        <w:rPr>
          <w:rFonts w:hint="eastAsia" w:ascii="仿宋" w:hAnsi="仿宋" w:eastAsia="仿宋" w:cs="仿宋"/>
          <w:color w:val="auto"/>
          <w:szCs w:val="21"/>
          <w:highlight w:val="none"/>
          <w:lang w:val="en-US" w:eastAsia="zh-Hans"/>
        </w:rPr>
        <w:t>书面</w:t>
      </w:r>
      <w:r>
        <w:rPr>
          <w:rFonts w:hint="eastAsia" w:ascii="仿宋" w:hAnsi="仿宋" w:eastAsia="仿宋" w:cs="仿宋"/>
          <w:color w:val="auto"/>
          <w:szCs w:val="21"/>
          <w:highlight w:val="none"/>
        </w:rPr>
        <w:t>许可</w:t>
      </w:r>
      <w:r>
        <w:rPr>
          <w:rFonts w:hint="default" w:ascii="仿宋" w:hAnsi="仿宋" w:eastAsia="仿宋" w:cs="仿宋"/>
          <w:color w:val="auto"/>
          <w:szCs w:val="21"/>
          <w:highlight w:val="none"/>
        </w:rPr>
        <w:t>，</w:t>
      </w:r>
      <w:r>
        <w:rPr>
          <w:rFonts w:hint="eastAsia" w:ascii="仿宋" w:hAnsi="仿宋" w:eastAsia="仿宋" w:cs="仿宋"/>
          <w:color w:val="auto"/>
          <w:szCs w:val="21"/>
          <w:highlight w:val="none"/>
        </w:rPr>
        <w:t>不得泄露，并不能用于本合同项目以外的工程。</w:t>
      </w:r>
    </w:p>
    <w:p w14:paraId="5A893F89">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1.6.4 承包人文件</w:t>
      </w:r>
    </w:p>
    <w:p w14:paraId="75F7B1C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需要由承包人提供的文件，包括：</w:t>
      </w:r>
      <w:r>
        <w:rPr>
          <w:rFonts w:hint="eastAsia" w:ascii="仿宋" w:hAnsi="仿宋" w:eastAsia="仿宋" w:cs="仿宋"/>
          <w:color w:val="auto"/>
          <w:szCs w:val="21"/>
          <w:highlight w:val="none"/>
          <w:u w:val="single"/>
        </w:rPr>
        <w:t xml:space="preserve">与工程施工有关的一切必要文件，包括但不仅限于施工组织设计、施工进度计划及发包人要求提供的各类文件、规范 </w:t>
      </w:r>
      <w:r>
        <w:rPr>
          <w:rFonts w:hint="eastAsia" w:ascii="仿宋" w:hAnsi="仿宋" w:eastAsia="仿宋" w:cs="仿宋"/>
          <w:color w:val="auto"/>
          <w:szCs w:val="21"/>
          <w:highlight w:val="none"/>
        </w:rPr>
        <w:t>；</w:t>
      </w:r>
    </w:p>
    <w:p w14:paraId="3B6B7F6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承包人提供的文件的期限为：</w:t>
      </w:r>
      <w:r>
        <w:rPr>
          <w:rFonts w:hint="eastAsia" w:ascii="仿宋" w:hAnsi="仿宋" w:eastAsia="仿宋" w:cs="仿宋"/>
          <w:color w:val="auto"/>
          <w:szCs w:val="21"/>
          <w:highlight w:val="none"/>
          <w:u w:val="single"/>
        </w:rPr>
        <w:t>合同签署后7天内</w:t>
      </w:r>
      <w:r>
        <w:rPr>
          <w:rFonts w:hint="eastAsia" w:ascii="仿宋" w:hAnsi="仿宋" w:eastAsia="仿宋" w:cs="仿宋"/>
          <w:color w:val="auto"/>
          <w:szCs w:val="21"/>
          <w:highlight w:val="none"/>
        </w:rPr>
        <w:t>；</w:t>
      </w:r>
    </w:p>
    <w:p w14:paraId="1D7E3EA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承包人提供的文件的数量为：</w:t>
      </w:r>
      <w:r>
        <w:rPr>
          <w:rFonts w:hint="eastAsia" w:ascii="仿宋" w:hAnsi="仿宋" w:eastAsia="仿宋" w:cs="仿宋"/>
          <w:color w:val="auto"/>
          <w:szCs w:val="21"/>
          <w:highlight w:val="none"/>
          <w:u w:val="single"/>
        </w:rPr>
        <w:t>一式叁份</w:t>
      </w:r>
      <w:r>
        <w:rPr>
          <w:rFonts w:hint="eastAsia" w:ascii="仿宋" w:hAnsi="仿宋" w:eastAsia="仿宋" w:cs="仿宋"/>
          <w:color w:val="auto"/>
          <w:szCs w:val="21"/>
          <w:highlight w:val="none"/>
        </w:rPr>
        <w:t>；</w:t>
      </w:r>
    </w:p>
    <w:p w14:paraId="6678484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承包人提供的文件的形式为：</w:t>
      </w:r>
      <w:r>
        <w:rPr>
          <w:rFonts w:hint="eastAsia" w:ascii="仿宋" w:hAnsi="仿宋" w:eastAsia="仿宋" w:cs="仿宋"/>
          <w:color w:val="auto"/>
          <w:szCs w:val="21"/>
          <w:highlight w:val="none"/>
          <w:u w:val="single"/>
        </w:rPr>
        <w:t>盖单位公章的纸制文本及电子光盘</w:t>
      </w:r>
      <w:r>
        <w:rPr>
          <w:rFonts w:hint="eastAsia" w:ascii="仿宋" w:hAnsi="仿宋" w:eastAsia="仿宋" w:cs="仿宋"/>
          <w:color w:val="auto"/>
          <w:szCs w:val="21"/>
          <w:highlight w:val="none"/>
        </w:rPr>
        <w:t>；</w:t>
      </w:r>
    </w:p>
    <w:p w14:paraId="0A4A54E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发包人审批承包人文件的期限：</w:t>
      </w:r>
      <w:r>
        <w:rPr>
          <w:rFonts w:hint="eastAsia" w:ascii="仿宋" w:hAnsi="仿宋" w:eastAsia="仿宋" w:cs="仿宋"/>
          <w:color w:val="auto"/>
          <w:szCs w:val="21"/>
          <w:highlight w:val="none"/>
          <w:u w:val="single"/>
        </w:rPr>
        <w:t>收到承包人文件后14天内</w:t>
      </w:r>
      <w:r>
        <w:rPr>
          <w:rFonts w:hint="eastAsia" w:ascii="仿宋" w:hAnsi="仿宋" w:eastAsia="仿宋" w:cs="仿宋"/>
          <w:color w:val="auto"/>
          <w:szCs w:val="21"/>
          <w:highlight w:val="none"/>
        </w:rPr>
        <w:t>。</w:t>
      </w:r>
    </w:p>
    <w:p w14:paraId="61973CF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1.6.5 现场图纸准备</w:t>
      </w:r>
    </w:p>
    <w:p w14:paraId="7BA282E5">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关于现场图纸准备的约定：</w:t>
      </w:r>
      <w:r>
        <w:rPr>
          <w:rFonts w:hint="eastAsia" w:ascii="仿宋" w:hAnsi="仿宋" w:eastAsia="仿宋" w:cs="仿宋"/>
          <w:color w:val="auto"/>
          <w:szCs w:val="21"/>
          <w:highlight w:val="none"/>
          <w:u w:val="single"/>
        </w:rPr>
        <w:t>承包人应在施工现场另外保存一套完整的图纸和承包人文件，供发包人、监理人及有关人员进行工程检查时使用</w:t>
      </w:r>
      <w:r>
        <w:rPr>
          <w:rFonts w:hint="eastAsia" w:ascii="仿宋" w:hAnsi="仿宋" w:eastAsia="仿宋" w:cs="仿宋"/>
          <w:color w:val="auto"/>
          <w:szCs w:val="21"/>
          <w:highlight w:val="none"/>
        </w:rPr>
        <w:t>。</w:t>
      </w:r>
    </w:p>
    <w:p w14:paraId="2894E562">
      <w:pPr>
        <w:adjustRightInd/>
        <w:spacing w:line="400" w:lineRule="exact"/>
        <w:ind w:firstLine="420" w:firstLineChars="200"/>
        <w:outlineLvl w:val="0"/>
        <w:rPr>
          <w:rFonts w:hint="eastAsia" w:ascii="仿宋" w:hAnsi="仿宋" w:eastAsia="仿宋" w:cs="仿宋"/>
          <w:color w:val="auto"/>
          <w:szCs w:val="21"/>
          <w:highlight w:val="none"/>
        </w:rPr>
      </w:pPr>
      <w:bookmarkStart w:id="439" w:name="_Toc29844"/>
      <w:bookmarkStart w:id="440" w:name="_Toc11801"/>
      <w:bookmarkStart w:id="441" w:name="_Toc23445"/>
      <w:bookmarkStart w:id="442" w:name="_Toc18983"/>
      <w:bookmarkStart w:id="443" w:name="_Toc27250"/>
      <w:bookmarkStart w:id="444" w:name="_Toc15589"/>
      <w:r>
        <w:rPr>
          <w:rFonts w:hint="eastAsia" w:ascii="仿宋" w:hAnsi="仿宋" w:eastAsia="仿宋" w:cs="仿宋"/>
          <w:color w:val="auto"/>
          <w:szCs w:val="21"/>
          <w:highlight w:val="none"/>
        </w:rPr>
        <w:t>1.7 联络</w:t>
      </w:r>
      <w:bookmarkEnd w:id="439"/>
      <w:bookmarkEnd w:id="440"/>
      <w:bookmarkEnd w:id="441"/>
      <w:bookmarkEnd w:id="442"/>
      <w:bookmarkEnd w:id="443"/>
      <w:bookmarkEnd w:id="444"/>
    </w:p>
    <w:p w14:paraId="4AE32819">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1.7.1发包人和承包人应当在</w:t>
      </w:r>
      <w:r>
        <w:rPr>
          <w:rFonts w:hint="eastAsia" w:ascii="仿宋" w:hAnsi="仿宋" w:eastAsia="仿宋" w:cs="仿宋"/>
          <w:color w:val="auto"/>
          <w:szCs w:val="21"/>
          <w:highlight w:val="none"/>
          <w:u w:val="single"/>
        </w:rPr>
        <w:t xml:space="preserve"> 7  </w:t>
      </w:r>
      <w:r>
        <w:rPr>
          <w:rFonts w:hint="eastAsia" w:ascii="仿宋" w:hAnsi="仿宋" w:eastAsia="仿宋" w:cs="仿宋"/>
          <w:color w:val="auto"/>
          <w:szCs w:val="21"/>
          <w:highlight w:val="none"/>
        </w:rPr>
        <w:t>天内将与合同有关的通知、批准、证明、证书、指示、指令、要求、请求、同意、意见、确定和决定等书面函件送达对方当事人。</w:t>
      </w:r>
    </w:p>
    <w:p w14:paraId="1F01453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1.7.2 发包人接收文件的地点：</w:t>
      </w:r>
      <w:r>
        <w:rPr>
          <w:rFonts w:hint="eastAsia" w:ascii="仿宋" w:hAnsi="仿宋" w:eastAsia="仿宋" w:cs="仿宋"/>
          <w:color w:val="auto"/>
          <w:szCs w:val="21"/>
          <w:highlight w:val="none"/>
          <w:u w:val="single"/>
        </w:rPr>
        <w:t>      </w:t>
      </w:r>
      <w:r>
        <w:rPr>
          <w:rFonts w:hint="eastAsia" w:ascii="仿宋" w:hAnsi="仿宋" w:eastAsia="仿宋" w:cs="仿宋"/>
          <w:color w:val="auto"/>
          <w:szCs w:val="21"/>
          <w:highlight w:val="none"/>
        </w:rPr>
        <w:t>；</w:t>
      </w:r>
    </w:p>
    <w:p w14:paraId="2A770D0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发包人指定的接收人为：</w:t>
      </w:r>
      <w:r>
        <w:rPr>
          <w:rFonts w:hint="eastAsia" w:ascii="仿宋" w:hAnsi="仿宋" w:eastAsia="仿宋" w:cs="仿宋"/>
          <w:color w:val="auto"/>
          <w:szCs w:val="21"/>
          <w:highlight w:val="none"/>
          <w:u w:val="single"/>
        </w:rPr>
        <w:t>               </w:t>
      </w:r>
      <w:r>
        <w:rPr>
          <w:rFonts w:hint="eastAsia" w:ascii="仿宋" w:hAnsi="仿宋" w:eastAsia="仿宋" w:cs="仿宋"/>
          <w:color w:val="auto"/>
          <w:szCs w:val="21"/>
          <w:highlight w:val="none"/>
        </w:rPr>
        <w:t>。</w:t>
      </w:r>
    </w:p>
    <w:p w14:paraId="01D1A18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承包人接收文件的地点：</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14:paraId="1A803719">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承包人指定的接收人为：</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14:paraId="5231EF7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监理人接收文件的地点：</w:t>
      </w:r>
      <w:r>
        <w:rPr>
          <w:rFonts w:hint="eastAsia" w:ascii="仿宋" w:hAnsi="仿宋" w:eastAsia="仿宋" w:cs="仿宋"/>
          <w:color w:val="auto"/>
          <w:szCs w:val="21"/>
          <w:highlight w:val="none"/>
          <w:u w:val="single"/>
        </w:rPr>
        <w:t>            </w:t>
      </w:r>
      <w:r>
        <w:rPr>
          <w:rFonts w:hint="eastAsia" w:ascii="仿宋" w:hAnsi="仿宋" w:eastAsia="仿宋" w:cs="仿宋"/>
          <w:color w:val="auto"/>
          <w:szCs w:val="21"/>
          <w:highlight w:val="none"/>
        </w:rPr>
        <w:t>；</w:t>
      </w:r>
    </w:p>
    <w:p w14:paraId="5F89433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监理人指定的接收人为：</w:t>
      </w:r>
      <w:r>
        <w:rPr>
          <w:rFonts w:hint="eastAsia" w:ascii="仿宋" w:hAnsi="仿宋" w:eastAsia="仿宋" w:cs="仿宋"/>
          <w:color w:val="auto"/>
          <w:szCs w:val="21"/>
          <w:highlight w:val="none"/>
          <w:u w:val="single"/>
        </w:rPr>
        <w:t>            </w:t>
      </w:r>
      <w:r>
        <w:rPr>
          <w:rFonts w:hint="eastAsia" w:ascii="仿宋" w:hAnsi="仿宋" w:eastAsia="仿宋" w:cs="仿宋"/>
          <w:color w:val="auto"/>
          <w:szCs w:val="21"/>
          <w:highlight w:val="none"/>
        </w:rPr>
        <w:t>。</w:t>
      </w:r>
    </w:p>
    <w:p w14:paraId="1F80A53E">
      <w:pPr>
        <w:adjustRightInd/>
        <w:spacing w:line="400" w:lineRule="exact"/>
        <w:ind w:firstLine="420" w:firstLineChars="200"/>
        <w:outlineLvl w:val="0"/>
        <w:rPr>
          <w:rFonts w:hint="eastAsia" w:ascii="仿宋" w:hAnsi="仿宋" w:eastAsia="仿宋" w:cs="仿宋"/>
          <w:color w:val="auto"/>
          <w:szCs w:val="21"/>
          <w:highlight w:val="none"/>
        </w:rPr>
      </w:pPr>
      <w:bookmarkStart w:id="445" w:name="_Toc21968"/>
      <w:bookmarkStart w:id="446" w:name="_Toc9812"/>
      <w:bookmarkStart w:id="447" w:name="_Toc28537"/>
      <w:bookmarkStart w:id="448" w:name="_Toc27894"/>
      <w:bookmarkStart w:id="449" w:name="_Toc22177"/>
      <w:r>
        <w:rPr>
          <w:rFonts w:hint="eastAsia" w:ascii="仿宋" w:hAnsi="仿宋" w:eastAsia="仿宋" w:cs="仿宋"/>
          <w:color w:val="auto"/>
          <w:szCs w:val="21"/>
          <w:highlight w:val="none"/>
        </w:rPr>
        <w:t>1.10 交通运输</w:t>
      </w:r>
      <w:bookmarkEnd w:id="445"/>
      <w:bookmarkEnd w:id="446"/>
      <w:bookmarkEnd w:id="447"/>
      <w:bookmarkEnd w:id="448"/>
      <w:bookmarkEnd w:id="449"/>
    </w:p>
    <w:p w14:paraId="053DDEA3">
      <w:pPr>
        <w:adjustRightInd/>
        <w:spacing w:line="400" w:lineRule="exact"/>
        <w:ind w:firstLine="420" w:firstLineChars="200"/>
        <w:outlineLvl w:val="0"/>
        <w:rPr>
          <w:rFonts w:hint="eastAsia" w:ascii="仿宋" w:hAnsi="仿宋" w:eastAsia="仿宋" w:cs="仿宋"/>
          <w:color w:val="auto"/>
          <w:szCs w:val="21"/>
          <w:highlight w:val="none"/>
        </w:rPr>
      </w:pPr>
      <w:bookmarkStart w:id="450" w:name="_Toc14115"/>
      <w:bookmarkStart w:id="451" w:name="_Toc12880"/>
      <w:bookmarkStart w:id="452" w:name="_Toc19724"/>
      <w:bookmarkStart w:id="453" w:name="_Toc26516"/>
      <w:bookmarkStart w:id="454" w:name="_Toc1357"/>
      <w:bookmarkStart w:id="455" w:name="_Toc11125"/>
      <w:r>
        <w:rPr>
          <w:rFonts w:hint="eastAsia" w:ascii="仿宋" w:hAnsi="仿宋" w:eastAsia="仿宋" w:cs="仿宋"/>
          <w:color w:val="auto"/>
          <w:szCs w:val="21"/>
          <w:highlight w:val="none"/>
        </w:rPr>
        <w:t>1</w:t>
      </w:r>
      <w:bookmarkStart w:id="456" w:name="_Toc303539100"/>
      <w:bookmarkStart w:id="457" w:name="_Toc304295521"/>
      <w:bookmarkStart w:id="458" w:name="_Toc300934943"/>
      <w:bookmarkStart w:id="459" w:name="_Toc318581155"/>
      <w:bookmarkStart w:id="460" w:name="_Toc312677986"/>
      <w:r>
        <w:rPr>
          <w:rFonts w:hint="eastAsia" w:ascii="仿宋" w:hAnsi="仿宋" w:eastAsia="仿宋" w:cs="仿宋"/>
          <w:color w:val="auto"/>
          <w:szCs w:val="21"/>
          <w:highlight w:val="none"/>
        </w:rPr>
        <w:t>.10.1 出入现场的权利</w:t>
      </w:r>
      <w:bookmarkEnd w:id="450"/>
      <w:bookmarkEnd w:id="451"/>
      <w:bookmarkEnd w:id="452"/>
      <w:bookmarkEnd w:id="453"/>
      <w:bookmarkEnd w:id="454"/>
      <w:bookmarkEnd w:id="455"/>
    </w:p>
    <w:p w14:paraId="4FD2599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关于出入现场的权利的约定：</w:t>
      </w:r>
      <w:r>
        <w:rPr>
          <w:rFonts w:hint="eastAsia" w:ascii="仿宋" w:hAnsi="仿宋" w:eastAsia="仿宋" w:cs="仿宋"/>
          <w:color w:val="auto"/>
          <w:szCs w:val="21"/>
          <w:highlight w:val="none"/>
          <w:u w:val="single"/>
        </w:rPr>
        <w:t>施工便道及进场通道、公共道路道口开设、施工场地平整等由施工单位负责，费用由承包方承担。场内道路设置及场外施工便道由承包商自行考虑，费用由承包方承担。但承包人应遵守当地交通部门限制通行的有关规定。发包人及发包人认可的单位及人员具有随时出入施工现场的权利</w:t>
      </w:r>
      <w:r>
        <w:rPr>
          <w:rFonts w:hint="eastAsia" w:ascii="仿宋" w:hAnsi="仿宋" w:eastAsia="仿宋" w:cs="仿宋"/>
          <w:color w:val="auto"/>
          <w:szCs w:val="21"/>
          <w:highlight w:val="none"/>
        </w:rPr>
        <w:t>。</w:t>
      </w:r>
    </w:p>
    <w:bookmarkEnd w:id="456"/>
    <w:bookmarkEnd w:id="457"/>
    <w:bookmarkEnd w:id="458"/>
    <w:bookmarkEnd w:id="459"/>
    <w:bookmarkEnd w:id="460"/>
    <w:p w14:paraId="08F579C1">
      <w:pPr>
        <w:adjustRightInd/>
        <w:spacing w:line="400" w:lineRule="exact"/>
        <w:ind w:firstLine="420" w:firstLineChars="200"/>
        <w:outlineLvl w:val="0"/>
        <w:rPr>
          <w:rFonts w:hint="eastAsia" w:ascii="仿宋" w:hAnsi="仿宋" w:eastAsia="仿宋" w:cs="仿宋"/>
          <w:color w:val="auto"/>
          <w:szCs w:val="21"/>
          <w:highlight w:val="none"/>
        </w:rPr>
      </w:pPr>
      <w:bookmarkStart w:id="461" w:name="_Toc5563"/>
      <w:bookmarkStart w:id="462" w:name="_Toc3509"/>
      <w:bookmarkStart w:id="463" w:name="_Toc19291"/>
      <w:bookmarkStart w:id="464" w:name="_Toc32641"/>
      <w:bookmarkStart w:id="465" w:name="_Toc12053"/>
      <w:bookmarkStart w:id="466" w:name="_Toc10120"/>
      <w:r>
        <w:rPr>
          <w:rFonts w:hint="eastAsia" w:ascii="仿宋" w:hAnsi="仿宋" w:eastAsia="仿宋" w:cs="仿宋"/>
          <w:color w:val="auto"/>
          <w:szCs w:val="21"/>
          <w:highlight w:val="none"/>
        </w:rPr>
        <w:t>1</w:t>
      </w:r>
      <w:bookmarkStart w:id="467" w:name="_Toc304295522"/>
      <w:bookmarkStart w:id="468" w:name="_Toc318581156"/>
      <w:bookmarkStart w:id="469" w:name="_Toc303539101"/>
      <w:bookmarkStart w:id="470" w:name="_Toc312677987"/>
      <w:bookmarkStart w:id="471" w:name="_Toc300934944"/>
      <w:r>
        <w:rPr>
          <w:rFonts w:hint="eastAsia" w:ascii="仿宋" w:hAnsi="仿宋" w:eastAsia="仿宋" w:cs="仿宋"/>
          <w:color w:val="auto"/>
          <w:szCs w:val="21"/>
          <w:highlight w:val="none"/>
        </w:rPr>
        <w:t>.10.3 场内交通</w:t>
      </w:r>
      <w:bookmarkEnd w:id="461"/>
      <w:bookmarkEnd w:id="462"/>
      <w:bookmarkEnd w:id="463"/>
      <w:bookmarkEnd w:id="464"/>
      <w:bookmarkEnd w:id="465"/>
      <w:bookmarkEnd w:id="466"/>
    </w:p>
    <w:p w14:paraId="53BE16A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关于场外交通和场内交通的边界的约定：</w:t>
      </w:r>
      <w:r>
        <w:rPr>
          <w:rFonts w:hint="eastAsia" w:ascii="仿宋" w:hAnsi="仿宋" w:eastAsia="仿宋" w:cs="仿宋"/>
          <w:color w:val="auto"/>
          <w:szCs w:val="21"/>
          <w:highlight w:val="none"/>
          <w:u w:val="single"/>
        </w:rPr>
        <w:t>以本工程覆盖范围和区域为准</w:t>
      </w:r>
      <w:r>
        <w:rPr>
          <w:rFonts w:hint="eastAsia" w:ascii="仿宋" w:hAnsi="仿宋" w:eastAsia="仿宋" w:cs="仿宋"/>
          <w:color w:val="auto"/>
          <w:szCs w:val="21"/>
          <w:highlight w:val="none"/>
        </w:rPr>
        <w:t>。</w:t>
      </w:r>
    </w:p>
    <w:p w14:paraId="643AD2E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关于发包人向承包人免费提供满足工程施工需要的场内道路和交通设施的约定：</w:t>
      </w:r>
      <w:r>
        <w:rPr>
          <w:rFonts w:hint="eastAsia" w:ascii="仿宋" w:hAnsi="仿宋" w:eastAsia="仿宋" w:cs="仿宋"/>
          <w:color w:val="auto"/>
          <w:szCs w:val="21"/>
          <w:highlight w:val="none"/>
          <w:u w:val="single"/>
        </w:rPr>
        <w:t>承包人在投标前已自行踏勘确定并且无异议，严格组织交通，自行跟交通部门沟通协调，并承担相应费用</w:t>
      </w:r>
      <w:r>
        <w:rPr>
          <w:rFonts w:hint="eastAsia" w:ascii="仿宋" w:hAnsi="仿宋" w:eastAsia="仿宋" w:cs="仿宋"/>
          <w:color w:val="auto"/>
          <w:szCs w:val="21"/>
          <w:highlight w:val="none"/>
        </w:rPr>
        <w:t>。</w:t>
      </w:r>
      <w:bookmarkEnd w:id="467"/>
      <w:bookmarkEnd w:id="468"/>
      <w:bookmarkEnd w:id="469"/>
      <w:bookmarkEnd w:id="470"/>
      <w:bookmarkEnd w:id="471"/>
      <w:bookmarkStart w:id="472" w:name="_Toc318581157"/>
    </w:p>
    <w:p w14:paraId="50F8A997">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1.10.4超大件和超重件的运输</w:t>
      </w:r>
    </w:p>
    <w:p w14:paraId="2FE2600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运输超大件或超重件所需的道路和桥梁临时加固改造费用和其他有关费用由</w:t>
      </w:r>
      <w:r>
        <w:rPr>
          <w:rFonts w:hint="eastAsia" w:ascii="仿宋" w:hAnsi="仿宋" w:eastAsia="仿宋" w:cs="仿宋"/>
          <w:color w:val="auto"/>
          <w:szCs w:val="21"/>
          <w:highlight w:val="none"/>
          <w:u w:val="single"/>
        </w:rPr>
        <w:t xml:space="preserve">  承包方  </w:t>
      </w:r>
      <w:r>
        <w:rPr>
          <w:rFonts w:hint="eastAsia" w:ascii="仿宋" w:hAnsi="仿宋" w:eastAsia="仿宋" w:cs="仿宋"/>
          <w:color w:val="auto"/>
          <w:szCs w:val="21"/>
          <w:highlight w:val="none"/>
        </w:rPr>
        <w:t>承担。</w:t>
      </w:r>
    </w:p>
    <w:bookmarkEnd w:id="472"/>
    <w:p w14:paraId="1FD05F49">
      <w:pPr>
        <w:adjustRightInd/>
        <w:spacing w:line="400" w:lineRule="exact"/>
        <w:ind w:firstLine="420" w:firstLineChars="200"/>
        <w:outlineLvl w:val="0"/>
        <w:rPr>
          <w:rFonts w:hint="eastAsia" w:ascii="仿宋" w:hAnsi="仿宋" w:eastAsia="仿宋" w:cs="仿宋"/>
          <w:color w:val="auto"/>
          <w:szCs w:val="21"/>
          <w:highlight w:val="none"/>
        </w:rPr>
      </w:pPr>
      <w:bookmarkStart w:id="473" w:name="_Toc13086"/>
      <w:bookmarkStart w:id="474" w:name="_Toc30240"/>
      <w:bookmarkStart w:id="475" w:name="_Toc10508"/>
      <w:bookmarkStart w:id="476" w:name="_Toc20663"/>
      <w:bookmarkStart w:id="477" w:name="_Toc12609"/>
      <w:bookmarkStart w:id="478" w:name="_Toc6135"/>
      <w:r>
        <w:rPr>
          <w:rFonts w:hint="eastAsia" w:ascii="仿宋" w:hAnsi="仿宋" w:eastAsia="仿宋" w:cs="仿宋"/>
          <w:color w:val="auto"/>
          <w:szCs w:val="21"/>
          <w:highlight w:val="none"/>
        </w:rPr>
        <w:t>1.11 知识产权</w:t>
      </w:r>
      <w:bookmarkEnd w:id="473"/>
      <w:bookmarkEnd w:id="474"/>
      <w:bookmarkEnd w:id="475"/>
      <w:bookmarkEnd w:id="476"/>
      <w:bookmarkEnd w:id="477"/>
      <w:bookmarkEnd w:id="478"/>
    </w:p>
    <w:p w14:paraId="3FBDF067">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color w:val="auto"/>
          <w:szCs w:val="21"/>
          <w:highlight w:val="none"/>
          <w:u w:val="single"/>
        </w:rPr>
        <w:t>归发包人</w:t>
      </w:r>
      <w:r>
        <w:rPr>
          <w:rFonts w:hint="eastAsia" w:ascii="仿宋" w:hAnsi="仿宋" w:eastAsia="仿宋" w:cs="仿宋"/>
          <w:color w:val="auto"/>
          <w:szCs w:val="21"/>
          <w:highlight w:val="none"/>
        </w:rPr>
        <w:t>。</w:t>
      </w:r>
    </w:p>
    <w:p w14:paraId="0E76805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关于发包人提供的上述文件的使用限制的要求</w:t>
      </w:r>
      <w:r>
        <w:rPr>
          <w:rFonts w:hint="eastAsia" w:ascii="仿宋" w:hAnsi="仿宋" w:eastAsia="仿宋" w:cs="仿宋"/>
          <w:color w:val="auto"/>
          <w:szCs w:val="21"/>
          <w:highlight w:val="none"/>
          <w:u w:val="single"/>
          <w:lang w:eastAsia="zh-Hans"/>
        </w:rPr>
        <w:t>： 未经发包人</w:t>
      </w:r>
      <w:r>
        <w:rPr>
          <w:rFonts w:hint="eastAsia" w:ascii="仿宋" w:hAnsi="仿宋" w:eastAsia="仿宋" w:cs="仿宋"/>
          <w:color w:val="auto"/>
          <w:szCs w:val="21"/>
          <w:highlight w:val="none"/>
          <w:u w:val="single"/>
          <w:lang w:val="en-US" w:eastAsia="zh-Hans"/>
        </w:rPr>
        <w:t>书面</w:t>
      </w:r>
      <w:r>
        <w:rPr>
          <w:rFonts w:hint="eastAsia" w:ascii="仿宋" w:hAnsi="仿宋" w:eastAsia="仿宋" w:cs="仿宋"/>
          <w:color w:val="auto"/>
          <w:szCs w:val="21"/>
          <w:highlight w:val="none"/>
          <w:u w:val="single"/>
          <w:lang w:eastAsia="zh-Hans"/>
        </w:rPr>
        <w:t>同意，不得用于</w:t>
      </w:r>
      <w:r>
        <w:rPr>
          <w:rFonts w:hint="eastAsia" w:ascii="仿宋" w:hAnsi="仿宋" w:eastAsia="仿宋" w:cs="仿宋"/>
          <w:color w:val="auto"/>
          <w:szCs w:val="21"/>
          <w:highlight w:val="none"/>
          <w:u w:val="single"/>
          <w:lang w:val="en-US" w:eastAsia="zh-Hans"/>
        </w:rPr>
        <w:t>除本工程以外的任何其他工程或其他用途，且本限制不因本合同的解除、终止、无效等原因而无效，承包人应遵守本限制直至发包人书面通知承包人解除本限制</w:t>
      </w:r>
      <w:r>
        <w:rPr>
          <w:rFonts w:hint="eastAsia" w:ascii="仿宋" w:hAnsi="仿宋" w:eastAsia="仿宋" w:cs="仿宋"/>
          <w:color w:val="auto"/>
          <w:szCs w:val="21"/>
          <w:highlight w:val="none"/>
          <w:u w:val="single"/>
          <w:lang w:eastAsia="zh-Hans"/>
        </w:rPr>
        <w:t>。</w:t>
      </w:r>
    </w:p>
    <w:p w14:paraId="6636E24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1.11.2 关于承包人为实施工程所编制文件的著作权的归属：</w:t>
      </w:r>
      <w:r>
        <w:rPr>
          <w:rFonts w:hint="eastAsia" w:ascii="仿宋" w:hAnsi="仿宋" w:eastAsia="仿宋" w:cs="仿宋"/>
          <w:color w:val="auto"/>
          <w:szCs w:val="21"/>
          <w:highlight w:val="none"/>
          <w:u w:val="single"/>
        </w:rPr>
        <w:t xml:space="preserve"> 归发包人</w:t>
      </w:r>
      <w:r>
        <w:rPr>
          <w:rFonts w:hint="eastAsia" w:ascii="仿宋" w:hAnsi="仿宋" w:eastAsia="仿宋" w:cs="仿宋"/>
          <w:color w:val="auto"/>
          <w:szCs w:val="21"/>
          <w:highlight w:val="none"/>
        </w:rPr>
        <w:t>。</w:t>
      </w:r>
    </w:p>
    <w:p w14:paraId="446FF2E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关于承包人提供的上述文件的使用限制的要求：</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u w:val="single"/>
          <w:lang w:val="en-US" w:eastAsia="zh-Hans"/>
        </w:rPr>
        <w:t>仅</w:t>
      </w:r>
      <w:r>
        <w:rPr>
          <w:rFonts w:hint="eastAsia" w:ascii="仿宋" w:hAnsi="仿宋" w:eastAsia="仿宋" w:cs="仿宋"/>
          <w:color w:val="auto"/>
          <w:szCs w:val="21"/>
          <w:highlight w:val="none"/>
          <w:u w:val="single"/>
        </w:rPr>
        <w:t xml:space="preserve">用于本工程 </w:t>
      </w:r>
      <w:r>
        <w:rPr>
          <w:rFonts w:hint="eastAsia" w:ascii="仿宋" w:hAnsi="仿宋" w:eastAsia="仿宋" w:cs="仿宋"/>
          <w:color w:val="auto"/>
          <w:szCs w:val="21"/>
          <w:highlight w:val="none"/>
        </w:rPr>
        <w:t>。</w:t>
      </w:r>
    </w:p>
    <w:p w14:paraId="5A055DBF">
      <w:pPr>
        <w:adjustRightInd/>
        <w:spacing w:line="400" w:lineRule="exact"/>
        <w:ind w:firstLine="420" w:firstLineChars="200"/>
        <w:outlineLvl w:val="0"/>
        <w:rPr>
          <w:rFonts w:hint="eastAsia" w:ascii="仿宋" w:hAnsi="仿宋" w:eastAsia="仿宋" w:cs="仿宋"/>
          <w:color w:val="auto"/>
          <w:szCs w:val="21"/>
          <w:highlight w:val="none"/>
          <w:u w:val="single"/>
        </w:rPr>
      </w:pPr>
      <w:bookmarkStart w:id="479" w:name="_Toc19984"/>
      <w:bookmarkStart w:id="480" w:name="_Toc2022"/>
      <w:bookmarkStart w:id="481" w:name="_Toc14008"/>
      <w:bookmarkStart w:id="482" w:name="_Toc3928"/>
      <w:bookmarkStart w:id="483" w:name="_Toc20939"/>
      <w:bookmarkStart w:id="484" w:name="_Toc27901"/>
      <w:r>
        <w:rPr>
          <w:rFonts w:hint="eastAsia" w:ascii="仿宋" w:hAnsi="仿宋" w:eastAsia="仿宋" w:cs="仿宋"/>
          <w:color w:val="auto"/>
          <w:szCs w:val="21"/>
          <w:highlight w:val="none"/>
        </w:rPr>
        <w:t>1.11.4 承包人在施工过程中所采用的专利、专有技术、技术秘密的使用费的承担方式：</w:t>
      </w:r>
      <w:r>
        <w:rPr>
          <w:rFonts w:hint="eastAsia" w:ascii="仿宋" w:hAnsi="仿宋" w:eastAsia="仿宋" w:cs="仿宋"/>
          <w:color w:val="auto"/>
          <w:szCs w:val="21"/>
          <w:highlight w:val="none"/>
          <w:u w:val="single"/>
        </w:rPr>
        <w:t xml:space="preserve">（除发包人指明外）承包人在施工过程中所采用的专利、专有技术、技术秘密的使用费包含在合同价款内，同时承包人需保证不会侵犯任何其他第三人的权利 </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lang w:val="en-US" w:eastAsia="zh-Hans"/>
        </w:rPr>
        <w:t>否则</w:t>
      </w:r>
      <w:r>
        <w:rPr>
          <w:rFonts w:hint="eastAsia" w:ascii="仿宋" w:hAnsi="仿宋" w:eastAsia="仿宋" w:cs="仿宋"/>
          <w:color w:val="auto"/>
          <w:szCs w:val="21"/>
          <w:highlight w:val="none"/>
          <w:u w:val="single"/>
          <w:lang w:eastAsia="zh-Hans"/>
        </w:rPr>
        <w:t>，</w:t>
      </w:r>
      <w:r>
        <w:rPr>
          <w:rFonts w:hint="eastAsia" w:ascii="仿宋" w:hAnsi="仿宋" w:eastAsia="仿宋" w:cs="仿宋"/>
          <w:bCs w:val="0"/>
          <w:color w:val="auto"/>
          <w:sz w:val="21"/>
          <w:szCs w:val="21"/>
          <w:highlight w:val="none"/>
          <w:u w:val="single"/>
          <w:lang w:val="en-US" w:eastAsia="zh-CN"/>
        </w:rPr>
        <w:t>承包人</w:t>
      </w:r>
      <w:r>
        <w:rPr>
          <w:rFonts w:hint="eastAsia" w:ascii="仿宋" w:hAnsi="仿宋" w:eastAsia="仿宋" w:cs="仿宋"/>
          <w:bCs w:val="0"/>
          <w:color w:val="auto"/>
          <w:sz w:val="21"/>
          <w:szCs w:val="21"/>
          <w:highlight w:val="none"/>
          <w:u w:val="single"/>
        </w:rPr>
        <w:t>应负责消除</w:t>
      </w:r>
      <w:r>
        <w:rPr>
          <w:rFonts w:hint="eastAsia" w:ascii="仿宋" w:hAnsi="仿宋" w:eastAsia="仿宋" w:cs="仿宋"/>
          <w:bCs w:val="0"/>
          <w:color w:val="auto"/>
          <w:sz w:val="21"/>
          <w:szCs w:val="21"/>
          <w:highlight w:val="none"/>
          <w:u w:val="single"/>
          <w:lang w:val="en-US" w:eastAsia="zh-CN"/>
        </w:rPr>
        <w:t>影响及所</w:t>
      </w:r>
      <w:r>
        <w:rPr>
          <w:rFonts w:hint="eastAsia" w:ascii="仿宋" w:hAnsi="仿宋" w:eastAsia="仿宋" w:cs="仿宋"/>
          <w:bCs w:val="0"/>
          <w:color w:val="auto"/>
          <w:sz w:val="21"/>
          <w:szCs w:val="21"/>
          <w:highlight w:val="none"/>
          <w:u w:val="single"/>
          <w:lang w:val="en-US" w:eastAsia="zh-Hans"/>
        </w:rPr>
        <w:t>采用</w:t>
      </w:r>
      <w:r>
        <w:rPr>
          <w:rFonts w:hint="eastAsia" w:ascii="仿宋" w:hAnsi="仿宋" w:eastAsia="仿宋" w:cs="仿宋"/>
          <w:bCs w:val="0"/>
          <w:color w:val="auto"/>
          <w:sz w:val="21"/>
          <w:szCs w:val="21"/>
          <w:highlight w:val="none"/>
          <w:u w:val="single"/>
          <w:lang w:val="en-US" w:eastAsia="zh-CN"/>
        </w:rPr>
        <w:t>的</w:t>
      </w:r>
      <w:r>
        <w:rPr>
          <w:rFonts w:hint="eastAsia" w:ascii="仿宋" w:hAnsi="仿宋" w:eastAsia="仿宋" w:cs="仿宋"/>
          <w:color w:val="auto"/>
          <w:szCs w:val="21"/>
          <w:highlight w:val="none"/>
          <w:u w:val="single"/>
        </w:rPr>
        <w:t>专利、专有技术、技术秘密</w:t>
      </w:r>
      <w:r>
        <w:rPr>
          <w:rFonts w:hint="eastAsia" w:ascii="仿宋" w:hAnsi="仿宋" w:eastAsia="仿宋" w:cs="仿宋"/>
          <w:bCs w:val="0"/>
          <w:color w:val="auto"/>
          <w:sz w:val="21"/>
          <w:szCs w:val="21"/>
          <w:highlight w:val="none"/>
          <w:u w:val="single"/>
          <w:lang w:val="en-US" w:eastAsia="zh-CN"/>
        </w:rPr>
        <w:t>或其任何一部分上</w:t>
      </w:r>
      <w:r>
        <w:rPr>
          <w:rFonts w:hint="eastAsia" w:ascii="仿宋" w:hAnsi="仿宋" w:eastAsia="仿宋" w:cs="仿宋"/>
          <w:bCs w:val="0"/>
          <w:color w:val="auto"/>
          <w:spacing w:val="0"/>
          <w:sz w:val="21"/>
          <w:szCs w:val="21"/>
          <w:highlight w:val="none"/>
          <w:u w:val="single"/>
        </w:rPr>
        <w:t>所存在的全部法律障碍，</w:t>
      </w:r>
      <w:r>
        <w:rPr>
          <w:rFonts w:hint="eastAsia" w:ascii="仿宋" w:hAnsi="仿宋" w:eastAsia="仿宋" w:cs="仿宋"/>
          <w:bCs w:val="0"/>
          <w:color w:val="auto"/>
          <w:spacing w:val="0"/>
          <w:sz w:val="21"/>
          <w:szCs w:val="21"/>
          <w:highlight w:val="none"/>
          <w:u w:val="single"/>
          <w:lang w:val="en-US" w:eastAsia="zh-CN"/>
        </w:rPr>
        <w:t>并对由此引起的纠纷和罚款等负责</w:t>
      </w:r>
      <w:r>
        <w:rPr>
          <w:rFonts w:hint="default" w:ascii="仿宋" w:hAnsi="仿宋" w:eastAsia="仿宋" w:cs="仿宋"/>
          <w:bCs w:val="0"/>
          <w:color w:val="auto"/>
          <w:spacing w:val="0"/>
          <w:sz w:val="21"/>
          <w:szCs w:val="21"/>
          <w:highlight w:val="none"/>
          <w:u w:val="single"/>
          <w:lang w:eastAsia="zh-CN"/>
        </w:rPr>
        <w:t>，</w:t>
      </w:r>
      <w:r>
        <w:rPr>
          <w:rFonts w:hint="eastAsia" w:ascii="仿宋" w:hAnsi="仿宋" w:eastAsia="仿宋" w:cs="仿宋"/>
          <w:bCs w:val="0"/>
          <w:color w:val="auto"/>
          <w:spacing w:val="0"/>
          <w:sz w:val="21"/>
          <w:szCs w:val="21"/>
          <w:highlight w:val="none"/>
          <w:u w:val="single"/>
          <w:lang w:val="en-US" w:eastAsia="zh-Hans"/>
        </w:rPr>
        <w:t>同时</w:t>
      </w:r>
      <w:r>
        <w:rPr>
          <w:rFonts w:hint="eastAsia" w:ascii="仿宋" w:hAnsi="仿宋" w:eastAsia="仿宋" w:cs="仿宋"/>
          <w:color w:val="auto"/>
          <w:szCs w:val="21"/>
          <w:highlight w:val="none"/>
          <w:u w:val="single"/>
          <w:lang w:val="en-US" w:eastAsia="zh-Hans"/>
        </w:rPr>
        <w:t>需承担因此给发包人造成的全部损失</w:t>
      </w:r>
      <w:r>
        <w:rPr>
          <w:rFonts w:hint="eastAsia" w:ascii="仿宋" w:hAnsi="仿宋" w:eastAsia="仿宋" w:cs="仿宋"/>
          <w:color w:val="auto"/>
          <w:szCs w:val="21"/>
          <w:highlight w:val="none"/>
          <w:u w:val="single"/>
        </w:rPr>
        <w:t xml:space="preserve"> 。</w:t>
      </w:r>
      <w:bookmarkEnd w:id="479"/>
      <w:bookmarkEnd w:id="480"/>
      <w:bookmarkEnd w:id="481"/>
      <w:bookmarkEnd w:id="482"/>
      <w:bookmarkEnd w:id="483"/>
      <w:bookmarkEnd w:id="484"/>
    </w:p>
    <w:p w14:paraId="1D0F0FE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1.13工程量清单错误的修正</w:t>
      </w:r>
    </w:p>
    <w:p w14:paraId="7F0DAF9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出现工程量清单错误时，是否调整合同价格：</w:t>
      </w:r>
      <w:r>
        <w:rPr>
          <w:rFonts w:hint="eastAsia" w:ascii="仿宋" w:hAnsi="仿宋" w:eastAsia="仿宋" w:cs="仿宋"/>
          <w:color w:val="auto"/>
          <w:szCs w:val="21"/>
          <w:highlight w:val="none"/>
          <w:u w:val="single"/>
        </w:rPr>
        <w:t xml:space="preserve">  是  </w:t>
      </w:r>
      <w:r>
        <w:rPr>
          <w:rFonts w:hint="eastAsia" w:ascii="仿宋" w:hAnsi="仿宋" w:eastAsia="仿宋" w:cs="仿宋"/>
          <w:color w:val="auto"/>
          <w:szCs w:val="21"/>
          <w:highlight w:val="none"/>
        </w:rPr>
        <w:t>。</w:t>
      </w:r>
    </w:p>
    <w:p w14:paraId="29D1F0F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允许调整合同价格的工程量偏差范围：</w:t>
      </w:r>
      <w:r>
        <w:rPr>
          <w:rFonts w:hint="eastAsia" w:ascii="仿宋" w:hAnsi="仿宋" w:eastAsia="仿宋" w:cs="仿宋"/>
          <w:color w:val="auto"/>
          <w:szCs w:val="21"/>
          <w:highlight w:val="none"/>
          <w:u w:val="single"/>
        </w:rPr>
        <w:t xml:space="preserve">（1） 固定单价合同的工程量在结算时按实结算，调整的原则参照10.4变更估价。（2）调整合同价格的修正时间：在竣工结算时审核后调整 </w:t>
      </w:r>
      <w:r>
        <w:rPr>
          <w:rFonts w:hint="eastAsia" w:ascii="仿宋" w:hAnsi="仿宋" w:eastAsia="仿宋" w:cs="仿宋"/>
          <w:color w:val="auto"/>
          <w:szCs w:val="21"/>
          <w:highlight w:val="none"/>
        </w:rPr>
        <w:t>。</w:t>
      </w:r>
    </w:p>
    <w:p w14:paraId="335D79C8">
      <w:pPr>
        <w:keepNext/>
        <w:keepLines/>
        <w:adjustRightInd/>
        <w:spacing w:line="400" w:lineRule="exact"/>
        <w:outlineLvl w:val="3"/>
        <w:rPr>
          <w:rFonts w:hint="eastAsia" w:ascii="仿宋" w:hAnsi="仿宋" w:eastAsia="仿宋" w:cs="仿宋"/>
          <w:bCs/>
          <w:color w:val="auto"/>
          <w:szCs w:val="21"/>
          <w:highlight w:val="none"/>
        </w:rPr>
      </w:pPr>
      <w:bookmarkStart w:id="485" w:name="_Toc351203634"/>
      <w:r>
        <w:rPr>
          <w:rFonts w:hint="eastAsia" w:ascii="仿宋" w:hAnsi="仿宋" w:eastAsia="仿宋" w:cs="仿宋"/>
          <w:bCs/>
          <w:color w:val="auto"/>
          <w:szCs w:val="21"/>
          <w:highlight w:val="none"/>
        </w:rPr>
        <w:t>2</w:t>
      </w:r>
      <w:bookmarkStart w:id="486" w:name="_Toc292559867"/>
      <w:bookmarkStart w:id="487" w:name="_Toc296347156"/>
      <w:bookmarkStart w:id="488" w:name="_Toc292559362"/>
      <w:bookmarkStart w:id="489" w:name="_Toc296890985"/>
      <w:bookmarkStart w:id="490" w:name="_Toc296346658"/>
      <w:bookmarkStart w:id="491" w:name="_Toc296944496"/>
      <w:bookmarkStart w:id="492" w:name="_Toc297120457"/>
      <w:bookmarkStart w:id="493" w:name="_Toc296891197"/>
      <w:bookmarkStart w:id="494" w:name="_Toc296503157"/>
      <w:bookmarkStart w:id="495" w:name="_Toc297048343"/>
      <w:r>
        <w:rPr>
          <w:rFonts w:hint="eastAsia" w:ascii="仿宋" w:hAnsi="仿宋" w:eastAsia="仿宋" w:cs="仿宋"/>
          <w:bCs/>
          <w:color w:val="auto"/>
          <w:szCs w:val="21"/>
          <w:highlight w:val="none"/>
        </w:rPr>
        <w:t>. 发包人</w:t>
      </w:r>
      <w:bookmarkEnd w:id="485"/>
    </w:p>
    <w:bookmarkEnd w:id="486"/>
    <w:bookmarkEnd w:id="487"/>
    <w:bookmarkEnd w:id="488"/>
    <w:bookmarkEnd w:id="489"/>
    <w:bookmarkEnd w:id="490"/>
    <w:bookmarkEnd w:id="491"/>
    <w:bookmarkEnd w:id="492"/>
    <w:bookmarkEnd w:id="493"/>
    <w:bookmarkEnd w:id="494"/>
    <w:bookmarkEnd w:id="495"/>
    <w:p w14:paraId="5C67C775">
      <w:pPr>
        <w:adjustRightInd/>
        <w:spacing w:line="400" w:lineRule="exact"/>
        <w:ind w:firstLine="420" w:firstLineChars="200"/>
        <w:outlineLvl w:val="0"/>
        <w:rPr>
          <w:rFonts w:hint="eastAsia" w:ascii="仿宋" w:hAnsi="仿宋" w:eastAsia="仿宋" w:cs="仿宋"/>
          <w:color w:val="auto"/>
          <w:szCs w:val="21"/>
          <w:highlight w:val="none"/>
        </w:rPr>
      </w:pPr>
      <w:bookmarkStart w:id="496" w:name="_Toc2298"/>
      <w:bookmarkStart w:id="497" w:name="_Toc28237"/>
      <w:bookmarkStart w:id="498" w:name="_Toc2698"/>
      <w:bookmarkStart w:id="499" w:name="_Toc2439"/>
      <w:bookmarkStart w:id="500" w:name="_Toc18299"/>
      <w:bookmarkStart w:id="501" w:name="_Toc12738"/>
      <w:r>
        <w:rPr>
          <w:rFonts w:hint="eastAsia" w:ascii="仿宋" w:hAnsi="仿宋" w:eastAsia="仿宋" w:cs="仿宋"/>
          <w:color w:val="auto"/>
          <w:szCs w:val="21"/>
          <w:highlight w:val="none"/>
        </w:rPr>
        <w:t>2.2 发包人代表</w:t>
      </w:r>
      <w:bookmarkEnd w:id="496"/>
      <w:bookmarkEnd w:id="497"/>
      <w:bookmarkEnd w:id="498"/>
      <w:bookmarkEnd w:id="499"/>
      <w:bookmarkEnd w:id="500"/>
      <w:bookmarkEnd w:id="501"/>
    </w:p>
    <w:p w14:paraId="4513DFB9">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发包人代表：</w:t>
      </w:r>
    </w:p>
    <w:p w14:paraId="068D9AD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姓    名：</w:t>
      </w:r>
      <w:r>
        <w:rPr>
          <w:rFonts w:hint="eastAsia" w:ascii="仿宋" w:hAnsi="仿宋" w:eastAsia="仿宋" w:cs="仿宋"/>
          <w:color w:val="auto"/>
          <w:szCs w:val="21"/>
          <w:highlight w:val="none"/>
          <w:u w:val="single"/>
        </w:rPr>
        <w:t>     </w:t>
      </w:r>
      <w:r>
        <w:rPr>
          <w:rFonts w:hint="eastAsia" w:ascii="仿宋" w:hAnsi="仿宋" w:eastAsia="仿宋" w:cs="仿宋"/>
          <w:color w:val="auto"/>
          <w:szCs w:val="21"/>
          <w:highlight w:val="none"/>
        </w:rPr>
        <w:t>；</w:t>
      </w:r>
    </w:p>
    <w:p w14:paraId="3204AA9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身份证号：</w:t>
      </w:r>
      <w:r>
        <w:rPr>
          <w:rFonts w:hint="eastAsia" w:ascii="仿宋" w:hAnsi="仿宋" w:eastAsia="仿宋" w:cs="仿宋"/>
          <w:color w:val="auto"/>
          <w:szCs w:val="21"/>
          <w:highlight w:val="none"/>
          <w:u w:val="single"/>
        </w:rPr>
        <w:t>      </w:t>
      </w:r>
      <w:r>
        <w:rPr>
          <w:rFonts w:hint="eastAsia" w:ascii="仿宋" w:hAnsi="仿宋" w:eastAsia="仿宋" w:cs="仿宋"/>
          <w:color w:val="auto"/>
          <w:szCs w:val="21"/>
          <w:highlight w:val="none"/>
        </w:rPr>
        <w:t>；</w:t>
      </w:r>
    </w:p>
    <w:p w14:paraId="1719355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    务：</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14:paraId="27C4C90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联系电话：</w:t>
      </w:r>
      <w:r>
        <w:rPr>
          <w:rFonts w:hint="eastAsia" w:ascii="仿宋" w:hAnsi="仿宋" w:eastAsia="仿宋" w:cs="仿宋"/>
          <w:color w:val="auto"/>
          <w:szCs w:val="21"/>
          <w:highlight w:val="none"/>
          <w:u w:val="single"/>
        </w:rPr>
        <w:t>     </w:t>
      </w:r>
      <w:r>
        <w:rPr>
          <w:rFonts w:hint="eastAsia" w:ascii="仿宋" w:hAnsi="仿宋" w:eastAsia="仿宋" w:cs="仿宋"/>
          <w:color w:val="auto"/>
          <w:szCs w:val="21"/>
          <w:highlight w:val="none"/>
        </w:rPr>
        <w:t>；</w:t>
      </w:r>
    </w:p>
    <w:p w14:paraId="72DE763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电子信箱：</w:t>
      </w:r>
      <w:r>
        <w:rPr>
          <w:rFonts w:hint="eastAsia" w:ascii="仿宋" w:hAnsi="仿宋" w:eastAsia="仿宋" w:cs="仿宋"/>
          <w:color w:val="auto"/>
          <w:szCs w:val="21"/>
          <w:highlight w:val="none"/>
          <w:u w:val="single"/>
        </w:rPr>
        <w:t>     </w:t>
      </w:r>
      <w:r>
        <w:rPr>
          <w:rFonts w:hint="eastAsia" w:ascii="仿宋" w:hAnsi="仿宋" w:eastAsia="仿宋" w:cs="仿宋"/>
          <w:color w:val="auto"/>
          <w:szCs w:val="21"/>
          <w:highlight w:val="none"/>
        </w:rPr>
        <w:t>；</w:t>
      </w:r>
    </w:p>
    <w:p w14:paraId="4F98400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通信地址：</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14:paraId="266CCFAC">
      <w:pPr>
        <w:adjustRightInd/>
        <w:spacing w:line="400" w:lineRule="exact"/>
        <w:ind w:firstLine="420" w:firstLineChars="200"/>
        <w:rPr>
          <w:rFonts w:hint="eastAsia" w:ascii="仿宋" w:hAnsi="仿宋" w:eastAsia="仿宋" w:cs="仿宋"/>
          <w:b/>
          <w:color w:val="auto"/>
          <w:szCs w:val="21"/>
          <w:highlight w:val="none"/>
        </w:rPr>
      </w:pPr>
      <w:r>
        <w:rPr>
          <w:rFonts w:hint="eastAsia" w:ascii="仿宋" w:hAnsi="仿宋" w:eastAsia="仿宋" w:cs="仿宋"/>
          <w:color w:val="auto"/>
          <w:szCs w:val="21"/>
          <w:highlight w:val="none"/>
        </w:rPr>
        <w:t>发包人对发包人代表的授权范围如下：</w:t>
      </w:r>
      <w:r>
        <w:rPr>
          <w:rFonts w:hint="eastAsia" w:ascii="仿宋" w:hAnsi="仿宋" w:eastAsia="仿宋" w:cs="仿宋"/>
          <w:color w:val="auto"/>
          <w:szCs w:val="21"/>
          <w:highlight w:val="none"/>
          <w:u w:val="single"/>
        </w:rPr>
        <w:t xml:space="preserve">对工程质量、安全、进度、投资、安全文明施工、合同执行情况等进行全面管理和监督，对设计变更、联系单及工程进度款签证。发包人有权调整发包人代表的授权范围。发包人调整授权范围的，应向承包人发出通知，承包人应按照发包人的通知办理。 </w:t>
      </w:r>
    </w:p>
    <w:p w14:paraId="5F114FC8">
      <w:pPr>
        <w:adjustRightInd/>
        <w:spacing w:line="400" w:lineRule="exact"/>
        <w:ind w:firstLine="420" w:firstLineChars="200"/>
        <w:outlineLvl w:val="0"/>
        <w:rPr>
          <w:rFonts w:hint="eastAsia" w:ascii="仿宋" w:hAnsi="仿宋" w:eastAsia="仿宋" w:cs="仿宋"/>
          <w:color w:val="auto"/>
          <w:szCs w:val="21"/>
          <w:highlight w:val="none"/>
        </w:rPr>
      </w:pPr>
      <w:bookmarkStart w:id="502" w:name="_Toc32311"/>
      <w:bookmarkStart w:id="503" w:name="_Toc23588"/>
      <w:bookmarkStart w:id="504" w:name="_Toc10089"/>
      <w:bookmarkStart w:id="505" w:name="_Toc12804"/>
      <w:bookmarkStart w:id="506" w:name="_Toc13428"/>
      <w:bookmarkStart w:id="507" w:name="_Toc22156"/>
      <w:r>
        <w:rPr>
          <w:rFonts w:hint="eastAsia" w:ascii="仿宋" w:hAnsi="仿宋" w:eastAsia="仿宋" w:cs="仿宋"/>
          <w:color w:val="auto"/>
          <w:szCs w:val="21"/>
          <w:highlight w:val="none"/>
        </w:rPr>
        <w:t>2.4 施工现场、施工条件和基础资料的提供</w:t>
      </w:r>
      <w:bookmarkEnd w:id="502"/>
      <w:bookmarkEnd w:id="503"/>
      <w:bookmarkEnd w:id="504"/>
      <w:bookmarkEnd w:id="505"/>
      <w:bookmarkEnd w:id="506"/>
      <w:bookmarkEnd w:id="507"/>
    </w:p>
    <w:p w14:paraId="18904F5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2.4.1 提供施工现场</w:t>
      </w:r>
    </w:p>
    <w:p w14:paraId="4D3AF21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关于发包人移交施工现场的期限要求：</w:t>
      </w:r>
      <w:r>
        <w:rPr>
          <w:rFonts w:hint="eastAsia" w:ascii="仿宋" w:hAnsi="仿宋" w:eastAsia="仿宋" w:cs="仿宋"/>
          <w:color w:val="auto"/>
          <w:szCs w:val="21"/>
          <w:highlight w:val="none"/>
          <w:u w:val="single"/>
        </w:rPr>
        <w:t xml:space="preserve">开工前7天移交  </w:t>
      </w:r>
      <w:r>
        <w:rPr>
          <w:rFonts w:hint="eastAsia" w:ascii="仿宋" w:hAnsi="仿宋" w:eastAsia="仿宋" w:cs="仿宋"/>
          <w:color w:val="auto"/>
          <w:szCs w:val="21"/>
          <w:highlight w:val="none"/>
        </w:rPr>
        <w:t>。</w:t>
      </w:r>
    </w:p>
    <w:p w14:paraId="150F228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2.4.2 提供施工条件</w:t>
      </w:r>
    </w:p>
    <w:p w14:paraId="567D153C">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关于发包人应负责提供施工所需要的条件，包括：</w:t>
      </w:r>
      <w:r>
        <w:rPr>
          <w:rFonts w:hint="eastAsia" w:ascii="仿宋" w:hAnsi="仿宋" w:eastAsia="仿宋" w:cs="仿宋"/>
          <w:color w:val="auto"/>
          <w:szCs w:val="21"/>
          <w:highlight w:val="none"/>
          <w:u w:val="single"/>
        </w:rPr>
        <w:t xml:space="preserve"> 提供用于本工程的水准点、坐标控制点；其余施工所需条件均由承包人负责，并承担相关费用，在结算时不予调整。水准点与坐标点交验完毕即由承包人负责保护，此后由于破坏和失准带来的重新测量、放点费用及由此造成的其他损失均由承包人承担 </w:t>
      </w:r>
      <w:r>
        <w:rPr>
          <w:rFonts w:hint="eastAsia" w:ascii="仿宋" w:hAnsi="仿宋" w:eastAsia="仿宋" w:cs="仿宋"/>
          <w:color w:val="auto"/>
          <w:szCs w:val="21"/>
          <w:highlight w:val="none"/>
        </w:rPr>
        <w:t>。</w:t>
      </w:r>
    </w:p>
    <w:p w14:paraId="52287BE4">
      <w:pPr>
        <w:adjustRightInd/>
        <w:spacing w:line="400" w:lineRule="exact"/>
        <w:ind w:firstLine="420" w:firstLineChars="200"/>
        <w:outlineLvl w:val="0"/>
        <w:rPr>
          <w:rFonts w:hint="eastAsia" w:ascii="仿宋" w:hAnsi="仿宋" w:eastAsia="仿宋" w:cs="仿宋"/>
          <w:color w:val="auto"/>
          <w:szCs w:val="21"/>
          <w:highlight w:val="none"/>
        </w:rPr>
      </w:pPr>
      <w:bookmarkStart w:id="508" w:name="_Toc21675"/>
      <w:bookmarkStart w:id="509" w:name="_Toc8543"/>
      <w:bookmarkStart w:id="510" w:name="_Toc25543"/>
      <w:bookmarkStart w:id="511" w:name="_Toc13044"/>
      <w:bookmarkStart w:id="512" w:name="_Toc3066"/>
      <w:bookmarkStart w:id="513" w:name="_Toc2162"/>
      <w:r>
        <w:rPr>
          <w:rFonts w:hint="eastAsia" w:ascii="仿宋" w:hAnsi="仿宋" w:eastAsia="仿宋" w:cs="仿宋"/>
          <w:color w:val="auto"/>
          <w:szCs w:val="21"/>
          <w:highlight w:val="none"/>
        </w:rPr>
        <w:t>2.5 资金来源证明及支付担保</w:t>
      </w:r>
      <w:bookmarkEnd w:id="508"/>
      <w:bookmarkEnd w:id="509"/>
      <w:bookmarkEnd w:id="510"/>
      <w:bookmarkEnd w:id="511"/>
      <w:bookmarkEnd w:id="512"/>
      <w:bookmarkEnd w:id="513"/>
    </w:p>
    <w:p w14:paraId="5184C71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发包人提供资金来源证明的期限要求：</w:t>
      </w:r>
      <w:r>
        <w:rPr>
          <w:rFonts w:hint="eastAsia" w:ascii="仿宋" w:hAnsi="仿宋" w:eastAsia="仿宋" w:cs="仿宋"/>
          <w:color w:val="auto"/>
          <w:szCs w:val="21"/>
          <w:highlight w:val="none"/>
          <w:u w:val="single"/>
        </w:rPr>
        <w:t></w:t>
      </w:r>
      <w:bookmarkStart w:id="514" w:name="_Hlk33896154"/>
      <w:r>
        <w:rPr>
          <w:rFonts w:hint="eastAsia" w:ascii="仿宋" w:hAnsi="仿宋" w:eastAsia="仿宋" w:cs="仿宋"/>
          <w:color w:val="auto"/>
          <w:szCs w:val="21"/>
          <w:highlight w:val="none"/>
          <w:u w:val="single"/>
        </w:rPr>
        <w:t>发包人不提供资金证明，无提供资金证明的期限要求</w:t>
      </w:r>
      <w:bookmarkEnd w:id="514"/>
      <w:r>
        <w:rPr>
          <w:rFonts w:hint="eastAsia" w:ascii="仿宋" w:hAnsi="仿宋" w:eastAsia="仿宋" w:cs="仿宋"/>
          <w:color w:val="auto"/>
          <w:szCs w:val="21"/>
          <w:highlight w:val="none"/>
        </w:rPr>
        <w:t>。</w:t>
      </w:r>
    </w:p>
    <w:p w14:paraId="014822F1">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发包人是否提供支付担保：</w:t>
      </w:r>
      <w:bookmarkStart w:id="515" w:name="_Hlk33896161"/>
      <w:r>
        <w:rPr>
          <w:rFonts w:hint="eastAsia" w:ascii="仿宋" w:hAnsi="仿宋" w:eastAsia="仿宋" w:cs="仿宋"/>
          <w:color w:val="auto"/>
          <w:szCs w:val="21"/>
          <w:highlight w:val="none"/>
          <w:u w:val="single"/>
        </w:rPr>
        <w:t>是</w:t>
      </w:r>
      <w:bookmarkEnd w:id="515"/>
      <w:r>
        <w:rPr>
          <w:rFonts w:hint="eastAsia" w:ascii="仿宋" w:hAnsi="仿宋" w:eastAsia="仿宋" w:cs="仿宋"/>
          <w:color w:val="auto"/>
          <w:szCs w:val="21"/>
          <w:highlight w:val="none"/>
        </w:rPr>
        <w:t>。</w:t>
      </w:r>
    </w:p>
    <w:p w14:paraId="2494FC01">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发包人提供支付担保的形式：</w:t>
      </w:r>
      <w:r>
        <w:rPr>
          <w:rFonts w:hint="eastAsia" w:ascii="仿宋" w:hAnsi="仿宋" w:eastAsia="仿宋" w:cs="仿宋"/>
          <w:color w:val="auto"/>
          <w:szCs w:val="21"/>
          <w:highlight w:val="none"/>
          <w:u w:val="single"/>
        </w:rPr>
        <w:t></w:t>
      </w:r>
      <w:bookmarkStart w:id="516" w:name="_Hlk33896168"/>
      <w:r>
        <w:rPr>
          <w:rFonts w:hint="eastAsia" w:ascii="仿宋" w:hAnsi="仿宋" w:eastAsia="仿宋" w:cs="仿宋"/>
          <w:color w:val="auto"/>
          <w:szCs w:val="21"/>
          <w:highlight w:val="none"/>
          <w:u w:val="single"/>
        </w:rPr>
        <w:t>现金、支票、汇票、转账、银行保函或者保险公司保函</w:t>
      </w:r>
      <w:bookmarkEnd w:id="516"/>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w:t>
      </w:r>
    </w:p>
    <w:p w14:paraId="46E75E30">
      <w:pPr>
        <w:keepNext/>
        <w:keepLines/>
        <w:adjustRightInd/>
        <w:spacing w:line="400" w:lineRule="exact"/>
        <w:outlineLvl w:val="3"/>
        <w:rPr>
          <w:rFonts w:hint="eastAsia" w:ascii="仿宋" w:hAnsi="仿宋" w:eastAsia="仿宋" w:cs="仿宋"/>
          <w:bCs/>
          <w:color w:val="auto"/>
          <w:szCs w:val="21"/>
          <w:highlight w:val="none"/>
        </w:rPr>
      </w:pPr>
      <w:bookmarkStart w:id="517" w:name="_Toc351203635"/>
      <w:r>
        <w:rPr>
          <w:rFonts w:hint="eastAsia" w:ascii="仿宋" w:hAnsi="仿宋" w:eastAsia="仿宋" w:cs="仿宋"/>
          <w:bCs/>
          <w:color w:val="auto"/>
          <w:szCs w:val="21"/>
          <w:highlight w:val="none"/>
        </w:rPr>
        <w:t>3</w:t>
      </w:r>
      <w:bookmarkStart w:id="518" w:name="_Toc296346659"/>
      <w:bookmarkStart w:id="519" w:name="_Toc297120458"/>
      <w:bookmarkStart w:id="520" w:name="_Toc296347157"/>
      <w:bookmarkStart w:id="521" w:name="_Toc292559363"/>
      <w:bookmarkStart w:id="522" w:name="_Toc292559868"/>
      <w:bookmarkStart w:id="523" w:name="_Toc297048344"/>
      <w:bookmarkStart w:id="524" w:name="_Toc296890986"/>
      <w:bookmarkStart w:id="525" w:name="_Toc296944497"/>
      <w:bookmarkStart w:id="526" w:name="_Toc296503158"/>
      <w:bookmarkStart w:id="527" w:name="_Toc296891198"/>
      <w:r>
        <w:rPr>
          <w:rFonts w:hint="eastAsia" w:ascii="仿宋" w:hAnsi="仿宋" w:eastAsia="仿宋" w:cs="仿宋"/>
          <w:bCs/>
          <w:color w:val="auto"/>
          <w:szCs w:val="21"/>
          <w:highlight w:val="none"/>
        </w:rPr>
        <w:t>. 承包人</w:t>
      </w:r>
      <w:bookmarkEnd w:id="517"/>
    </w:p>
    <w:bookmarkEnd w:id="518"/>
    <w:bookmarkEnd w:id="519"/>
    <w:bookmarkEnd w:id="520"/>
    <w:bookmarkEnd w:id="521"/>
    <w:bookmarkEnd w:id="522"/>
    <w:bookmarkEnd w:id="523"/>
    <w:bookmarkEnd w:id="524"/>
    <w:bookmarkEnd w:id="525"/>
    <w:bookmarkEnd w:id="526"/>
    <w:bookmarkEnd w:id="527"/>
    <w:p w14:paraId="01CE3EB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3.1 承包人的一般义务</w:t>
      </w:r>
    </w:p>
    <w:p w14:paraId="1F82C6F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（9）承包人提交的竣工资料的内容：</w:t>
      </w:r>
      <w:r>
        <w:rPr>
          <w:rFonts w:hint="eastAsia" w:ascii="仿宋" w:hAnsi="仿宋" w:eastAsia="仿宋" w:cs="仿宋"/>
          <w:color w:val="auto"/>
          <w:szCs w:val="21"/>
          <w:highlight w:val="none"/>
          <w:u w:val="single"/>
        </w:rPr>
        <w:t xml:space="preserve">   按《建筑工程资料管理规程》JGJ／T185-2009、《建筑工程资料归档规范》GB/T 50328-2014、杭州市城建档案馆、相关部门及发包人资料归档要求 </w:t>
      </w:r>
      <w:r>
        <w:rPr>
          <w:rFonts w:hint="eastAsia" w:ascii="仿宋" w:hAnsi="仿宋" w:eastAsia="仿宋" w:cs="仿宋"/>
          <w:color w:val="auto"/>
          <w:szCs w:val="21"/>
          <w:highlight w:val="none"/>
        </w:rPr>
        <w:t>。</w:t>
      </w:r>
    </w:p>
    <w:p w14:paraId="0549018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承包人需要提交的竣工资料套数：</w:t>
      </w:r>
      <w:r>
        <w:rPr>
          <w:rFonts w:hint="eastAsia" w:ascii="仿宋" w:hAnsi="仿宋" w:eastAsia="仿宋" w:cs="仿宋"/>
          <w:color w:val="auto"/>
          <w:szCs w:val="21"/>
          <w:highlight w:val="none"/>
          <w:u w:val="single"/>
        </w:rPr>
        <w:t xml:space="preserve"> 8 套竣工图、8 套竣工资料和电子版竣工图及资料光盘一张 </w:t>
      </w:r>
      <w:r>
        <w:rPr>
          <w:rFonts w:hint="eastAsia" w:ascii="仿宋" w:hAnsi="仿宋" w:eastAsia="仿宋" w:cs="仿宋"/>
          <w:color w:val="auto"/>
          <w:szCs w:val="21"/>
          <w:highlight w:val="none"/>
        </w:rPr>
        <w:t>。</w:t>
      </w:r>
    </w:p>
    <w:p w14:paraId="683F0FF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承包人提交的竣工资料的费用承担：</w:t>
      </w:r>
      <w:r>
        <w:rPr>
          <w:rFonts w:hint="eastAsia" w:ascii="仿宋" w:hAnsi="仿宋" w:eastAsia="仿宋" w:cs="仿宋"/>
          <w:color w:val="auto"/>
          <w:szCs w:val="21"/>
          <w:highlight w:val="none"/>
          <w:u w:val="single"/>
        </w:rPr>
        <w:t xml:space="preserve">  承包人自行承担   </w:t>
      </w:r>
      <w:r>
        <w:rPr>
          <w:rFonts w:hint="eastAsia" w:ascii="仿宋" w:hAnsi="仿宋" w:eastAsia="仿宋" w:cs="仿宋"/>
          <w:color w:val="auto"/>
          <w:szCs w:val="21"/>
          <w:highlight w:val="none"/>
        </w:rPr>
        <w:t>。</w:t>
      </w:r>
    </w:p>
    <w:p w14:paraId="56BD37F7">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承包人提交的竣工资料移交时间：</w:t>
      </w:r>
      <w:r>
        <w:rPr>
          <w:rFonts w:hint="eastAsia" w:ascii="仿宋" w:hAnsi="仿宋" w:eastAsia="仿宋" w:cs="仿宋"/>
          <w:color w:val="auto"/>
          <w:szCs w:val="21"/>
          <w:highlight w:val="none"/>
          <w:u w:val="single"/>
        </w:rPr>
        <w:t xml:space="preserve">  竣工验收合格后28天内    </w:t>
      </w:r>
      <w:r>
        <w:rPr>
          <w:rFonts w:hint="eastAsia" w:ascii="仿宋" w:hAnsi="仿宋" w:eastAsia="仿宋" w:cs="仿宋"/>
          <w:color w:val="auto"/>
          <w:szCs w:val="21"/>
          <w:highlight w:val="none"/>
        </w:rPr>
        <w:t>。</w:t>
      </w:r>
    </w:p>
    <w:p w14:paraId="5703F49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承包人提交的竣工资料形式要求：</w:t>
      </w:r>
      <w:r>
        <w:rPr>
          <w:rFonts w:hint="eastAsia" w:ascii="仿宋" w:hAnsi="仿宋" w:eastAsia="仿宋" w:cs="仿宋"/>
          <w:color w:val="auto"/>
          <w:szCs w:val="21"/>
          <w:highlight w:val="none"/>
          <w:u w:val="single"/>
        </w:rPr>
        <w:t xml:space="preserve"> 按《建筑工程资料管理规程》JGJ／T185-2009、《建筑工程资料归档规范》GB/T 50328-2014、杭州市城建档馆、相关部门及发包人资料归档要求(包括但不仅限于电子存档等)，若需档案馆重新整理，费用由承包人承担   </w:t>
      </w:r>
      <w:r>
        <w:rPr>
          <w:rFonts w:hint="eastAsia" w:ascii="仿宋" w:hAnsi="仿宋" w:eastAsia="仿宋" w:cs="仿宋"/>
          <w:color w:val="auto"/>
          <w:szCs w:val="21"/>
          <w:highlight w:val="none"/>
        </w:rPr>
        <w:t>。</w:t>
      </w:r>
    </w:p>
    <w:p w14:paraId="38D529E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（10）承包人应履行的其他义务：按约定时间和要求，完成以下工作（费用列入投标总价）：</w:t>
      </w:r>
    </w:p>
    <w:p w14:paraId="7D612515">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a、应提供计划、报表的名称及完成时间：在合同签署后7天内,承包人向发包人提供施工组织设计、工程总进度计划、周进度计划和材料供应计划（包括品种、规格、型号、数量、质量等级、供应时间和送达地点等），每月25提供下月进度计划及当月工程统计报表，上报发包人核定。如工程师另有要求时,还应按工程师指定的进度提交单位工程的进度计划。各类计划、文件均需一式【肆】份。</w:t>
      </w:r>
    </w:p>
    <w:p w14:paraId="1891271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b、承担施工安全保卫工作及非夜间施工照明的责任和要求：按照杭州市当地建筑工地安全文明施工管理规定执行。承包人应加强施工的安全生产管理，制定安全操作规程，保证工程施工的安全，承包人应教育其职工进行文明施工，配备必要的安全生产设施和劳动保护用具。承包人应对其管辖范围内的人员和设备（包括业主及监理单位的人员和设备）以及工程的安全负责，应负责做好其所辖人员的工作场所和居住区的日常治安管理和安全保护工作。承包人必须注意保护工地邻近建筑物和附近居民的安全，防止因施工措施不当使附近居民的人员财产遭受损失，否则承包人负全责。承包人必须对施工现场的用电安全负责。施工现场用电必须遵照杭州市建委颁布的施工现场用电管理条例执行。在工地现场做好警戒告示牌，提醒进入施工现场人员的注意。以上内容发生的费用和责任全部由承包人承担。</w:t>
      </w:r>
    </w:p>
    <w:p w14:paraId="667C3A0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c、向发包人提供的办公和生活房屋及设施的要求：</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rPr>
        <w:t>。</w:t>
      </w:r>
    </w:p>
    <w:p w14:paraId="59F42FC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d、需承包人办理的有关施工场地交通、环卫和施工噪音管理等手续：按通用条款及有关政府部门的管理规定和发包人的要求做好降噪工作、环境保护、交通秩序、光污染等工作，费用由承包人自理。承包人在办好后应书面通知发包人。如发包人因此被罚款的，其款项由承包人承担，并在进度款中直接扣除。</w:t>
      </w:r>
    </w:p>
    <w:p w14:paraId="4C27624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e、已完工程成品保护的特殊要求及费用承担：工程未经竣工验收合格、交付发包人</w:t>
      </w:r>
      <w:r>
        <w:rPr>
          <w:rFonts w:hint="eastAsia" w:ascii="仿宋" w:hAnsi="仿宋" w:eastAsia="仿宋" w:cs="仿宋"/>
          <w:color w:val="auto"/>
          <w:szCs w:val="21"/>
          <w:highlight w:val="none"/>
          <w:lang w:val="en-US" w:eastAsia="zh-Hans"/>
        </w:rPr>
        <w:t>使用</w:t>
      </w:r>
      <w:r>
        <w:rPr>
          <w:rFonts w:hint="eastAsia" w:ascii="仿宋" w:hAnsi="仿宋" w:eastAsia="仿宋" w:cs="仿宋"/>
          <w:color w:val="auto"/>
          <w:szCs w:val="21"/>
          <w:highlight w:val="none"/>
        </w:rPr>
        <w:t>之前，承包人负责承包范围内的已完工工程的现场保护，如发生损坏的由承包人自费修复；若承包人的成品、半成品保护措施不力，发包人有权提出具体要求，承包人必须执行，且费用由承包人承担；若因第三方原因造成承包人的成品、半成品损坏的，承包人应及时先予修复，不得以向第三方主张权利为由而拖延修复。竣工验收后交付前的工程保护，按前述约定执行。</w:t>
      </w:r>
    </w:p>
    <w:p w14:paraId="6CFE84B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f、施工场地周围地下管线和邻近建筑物、构筑物（含文物保护建筑）、古树名木的保护要求及费用承担：承包人在施工前要对施工场地周围建筑物、构筑物（含文物保护建筑）、古树名木和地下管线提出可行的保护措施，报发包人和有关部门审核后方可施工。施工期间，承包人应做好保护工作，除文物、古树名木保护及发包人认可发生的费用由发包人承担，其余由承包人承担相关费用及法律责任。</w:t>
      </w:r>
    </w:p>
    <w:p w14:paraId="721A55F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g、施工场地清洁卫生的要求：工程完工交付10天内现场应清除所有不再需要的临时工程、承包人的设备和多余材料、全部建筑、生活垃圾，达到工程师满意的使用状态。如承包人不履行，发包人可自行清除或另行委托他人处理，发生的费用由承包人双倍承担。</w:t>
      </w:r>
    </w:p>
    <w:p w14:paraId="5D162C78">
      <w:pPr>
        <w:adjustRightInd/>
        <w:spacing w:line="400" w:lineRule="exact"/>
        <w:ind w:firstLine="420" w:firstLineChars="200"/>
        <w:rPr>
          <w:rFonts w:hint="default" w:ascii="仿宋" w:hAnsi="仿宋" w:eastAsia="仿宋" w:cs="仿宋"/>
          <w:color w:val="auto"/>
          <w:szCs w:val="21"/>
          <w:highlight w:val="none"/>
          <w:lang w:eastAsia="zh-Hans"/>
        </w:rPr>
      </w:pPr>
      <w:r>
        <w:rPr>
          <w:rFonts w:hint="eastAsia" w:ascii="仿宋" w:hAnsi="仿宋" w:eastAsia="仿宋" w:cs="仿宋"/>
          <w:color w:val="auto"/>
          <w:szCs w:val="21"/>
          <w:highlight w:val="none"/>
        </w:rPr>
        <w:t>h、按期支付工人工资的要求：承包人应当</w:t>
      </w:r>
      <w:r>
        <w:rPr>
          <w:rFonts w:hint="eastAsia" w:ascii="仿宋" w:hAnsi="仿宋" w:eastAsia="仿宋" w:cs="仿宋"/>
          <w:color w:val="auto"/>
          <w:szCs w:val="21"/>
          <w:highlight w:val="none"/>
          <w:lang w:val="en-US" w:eastAsia="zh-Hans"/>
        </w:rPr>
        <w:t>与全体施工人员签署劳动合同</w:t>
      </w:r>
      <w:r>
        <w:rPr>
          <w:rFonts w:hint="default" w:ascii="仿宋" w:hAnsi="仿宋" w:eastAsia="仿宋" w:cs="仿宋"/>
          <w:color w:val="auto"/>
          <w:szCs w:val="21"/>
          <w:highlight w:val="none"/>
          <w:lang w:eastAsia="zh-Hans"/>
        </w:rPr>
        <w:t>，</w:t>
      </w:r>
      <w:r>
        <w:rPr>
          <w:rFonts w:hint="eastAsia" w:ascii="仿宋" w:hAnsi="仿宋" w:eastAsia="仿宋" w:cs="仿宋"/>
          <w:color w:val="auto"/>
          <w:szCs w:val="21"/>
          <w:highlight w:val="none"/>
        </w:rPr>
        <w:t>按照国家法律法规的要求每月按期足额向其全体施工工人发放工资，</w:t>
      </w:r>
      <w:r>
        <w:rPr>
          <w:rFonts w:hint="eastAsia" w:ascii="仿宋" w:hAnsi="仿宋" w:eastAsia="仿宋" w:cs="仿宋"/>
          <w:color w:val="auto"/>
          <w:sz w:val="21"/>
          <w:szCs w:val="21"/>
          <w:highlight w:val="none"/>
        </w:rPr>
        <w:t>否则发包人有权暂扣工程款直到</w:t>
      </w:r>
      <w:r>
        <w:rPr>
          <w:rFonts w:hint="eastAsia" w:ascii="仿宋" w:hAnsi="仿宋" w:eastAsia="仿宋" w:cs="仿宋"/>
          <w:color w:val="auto"/>
          <w:sz w:val="21"/>
          <w:szCs w:val="21"/>
          <w:highlight w:val="none"/>
          <w:lang w:val="en-US" w:eastAsia="zh-Hans"/>
        </w:rPr>
        <w:t>承包人</w:t>
      </w:r>
      <w:r>
        <w:rPr>
          <w:rFonts w:hint="eastAsia" w:ascii="仿宋" w:hAnsi="仿宋" w:eastAsia="仿宋" w:cs="仿宋"/>
          <w:color w:val="auto"/>
          <w:sz w:val="21"/>
          <w:szCs w:val="21"/>
          <w:highlight w:val="none"/>
        </w:rPr>
        <w:t>付清民工工资为止</w:t>
      </w:r>
      <w:r>
        <w:rPr>
          <w:rFonts w:hint="default" w:ascii="仿宋" w:hAnsi="仿宋" w:eastAsia="仿宋" w:cs="仿宋"/>
          <w:color w:val="auto"/>
          <w:sz w:val="21"/>
          <w:szCs w:val="21"/>
          <w:highlight w:val="none"/>
        </w:rPr>
        <w:t>，</w:t>
      </w:r>
      <w:r>
        <w:rPr>
          <w:rFonts w:hint="eastAsia" w:ascii="仿宋" w:hAnsi="仿宋" w:eastAsia="仿宋" w:cs="仿宋"/>
          <w:color w:val="auto"/>
          <w:sz w:val="21"/>
          <w:szCs w:val="21"/>
          <w:highlight w:val="none"/>
        </w:rPr>
        <w:t>并根据上级主管部门的相关规定进行处罚</w:t>
      </w:r>
      <w:r>
        <w:rPr>
          <w:rFonts w:hint="default"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Hans"/>
        </w:rPr>
        <w:t>承包应当</w:t>
      </w:r>
      <w:r>
        <w:rPr>
          <w:rFonts w:hint="eastAsia" w:ascii="仿宋" w:hAnsi="仿宋" w:eastAsia="仿宋" w:cs="仿宋"/>
          <w:color w:val="auto"/>
          <w:szCs w:val="21"/>
          <w:highlight w:val="none"/>
        </w:rPr>
        <w:t>为</w:t>
      </w:r>
      <w:r>
        <w:rPr>
          <w:rFonts w:hint="eastAsia" w:ascii="仿宋" w:hAnsi="仿宋" w:eastAsia="仿宋" w:cs="仿宋"/>
          <w:color w:val="auto"/>
          <w:szCs w:val="21"/>
          <w:highlight w:val="none"/>
          <w:lang w:val="en-US" w:eastAsia="zh-Hans"/>
        </w:rPr>
        <w:t>全体施工人员</w:t>
      </w:r>
      <w:r>
        <w:rPr>
          <w:rFonts w:hint="eastAsia" w:ascii="仿宋" w:hAnsi="仿宋" w:eastAsia="仿宋" w:cs="仿宋"/>
          <w:color w:val="auto"/>
          <w:szCs w:val="21"/>
          <w:highlight w:val="none"/>
        </w:rPr>
        <w:t>购买国家规定的各种强制性保险。若因承包人未支付工人工资，当地政府或司法部门要求发包人先予垫付的，视同发包人给承包人的借款，其本息（利息按不低于同期LPR利率计算）在下期工程进度款中全额扣回，同时扣罚安全文明施工履约担保的50%</w:t>
      </w:r>
      <w:r>
        <w:rPr>
          <w:rFonts w:hint="eastAsia" w:ascii="仿宋" w:hAnsi="仿宋" w:eastAsia="仿宋" w:cs="仿宋"/>
          <w:color w:val="auto"/>
          <w:szCs w:val="21"/>
          <w:highlight w:val="none"/>
          <w:lang w:val="en-US" w:eastAsia="zh-Hans"/>
        </w:rPr>
        <w:t>作为赔偿金</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Hans"/>
        </w:rPr>
        <w:t>施工人员发生劳动纠纷</w:t>
      </w:r>
      <w:r>
        <w:rPr>
          <w:rFonts w:hint="default" w:ascii="仿宋" w:hAnsi="仿宋" w:eastAsia="仿宋" w:cs="仿宋"/>
          <w:color w:val="auto"/>
          <w:szCs w:val="21"/>
          <w:highlight w:val="none"/>
          <w:lang w:eastAsia="zh-Hans"/>
        </w:rPr>
        <w:t>、</w:t>
      </w:r>
      <w:r>
        <w:rPr>
          <w:rFonts w:hint="eastAsia" w:ascii="仿宋" w:hAnsi="仿宋" w:eastAsia="仿宋" w:cs="仿宋"/>
          <w:color w:val="auto"/>
          <w:szCs w:val="21"/>
          <w:highlight w:val="none"/>
          <w:lang w:val="en-US" w:eastAsia="zh-Hans"/>
        </w:rPr>
        <w:t>工伤事故等</w:t>
      </w:r>
      <w:r>
        <w:rPr>
          <w:rFonts w:hint="default" w:ascii="仿宋" w:hAnsi="仿宋" w:eastAsia="仿宋" w:cs="仿宋"/>
          <w:color w:val="auto"/>
          <w:szCs w:val="21"/>
          <w:highlight w:val="none"/>
          <w:lang w:eastAsia="zh-Hans"/>
        </w:rPr>
        <w:t>，</w:t>
      </w:r>
      <w:r>
        <w:rPr>
          <w:rFonts w:hint="eastAsia" w:ascii="仿宋" w:hAnsi="仿宋" w:eastAsia="仿宋" w:cs="仿宋"/>
          <w:color w:val="auto"/>
          <w:szCs w:val="21"/>
          <w:highlight w:val="none"/>
          <w:lang w:val="en-US" w:eastAsia="zh-Hans"/>
        </w:rPr>
        <w:t>均由承包人自行承担全部责任</w:t>
      </w:r>
      <w:r>
        <w:rPr>
          <w:rFonts w:hint="default" w:ascii="仿宋" w:hAnsi="仿宋" w:eastAsia="仿宋" w:cs="仿宋"/>
          <w:color w:val="auto"/>
          <w:szCs w:val="21"/>
          <w:highlight w:val="none"/>
          <w:lang w:eastAsia="zh-Hans"/>
        </w:rPr>
        <w:t>，</w:t>
      </w:r>
      <w:r>
        <w:rPr>
          <w:rFonts w:hint="eastAsia" w:ascii="仿宋" w:hAnsi="仿宋" w:eastAsia="仿宋" w:cs="仿宋"/>
          <w:color w:val="auto"/>
          <w:szCs w:val="21"/>
          <w:highlight w:val="none"/>
          <w:lang w:val="en-US" w:eastAsia="zh-Hans"/>
        </w:rPr>
        <w:t>与发包人无关</w:t>
      </w:r>
      <w:r>
        <w:rPr>
          <w:rFonts w:hint="default" w:ascii="仿宋" w:hAnsi="仿宋" w:eastAsia="仿宋" w:cs="仿宋"/>
          <w:color w:val="auto"/>
          <w:szCs w:val="21"/>
          <w:highlight w:val="none"/>
          <w:lang w:eastAsia="zh-Hans"/>
        </w:rPr>
        <w:t>。</w:t>
      </w:r>
    </w:p>
    <w:p w14:paraId="3EF1997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i、双方约定承包人应做的其他工作：</w:t>
      </w:r>
    </w:p>
    <w:p w14:paraId="4BCB165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①承包人负责安装在施工过程中为自己所用的供水管网、用电线路及其设施，并严格按供水、供电的有关规定执行，否则一切后果均由承包人负责。施工场地内的施工便道由承包人负责。承包人服从发包人和监理公司书面提出的合理相关工作内容。</w:t>
      </w:r>
    </w:p>
    <w:p w14:paraId="4D9BD5D5">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②承包人在施工区域及现场办公区域、临时生活区域内做好各项安全保卫工作。</w:t>
      </w:r>
    </w:p>
    <w:p w14:paraId="2261B695">
      <w:pPr>
        <w:adjustRightInd/>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 3 \* GB3 \* MERGEFORMAT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szCs w:val="21"/>
          <w:highlight w:val="none"/>
        </w:rPr>
        <w:t>③</w:t>
      </w:r>
      <w:r>
        <w:rPr>
          <w:rFonts w:hint="eastAsia" w:ascii="仿宋" w:hAnsi="仿宋" w:eastAsia="仿宋" w:cs="仿宋"/>
          <w:color w:val="auto"/>
          <w:szCs w:val="21"/>
          <w:highlight w:val="none"/>
        </w:rPr>
        <w:fldChar w:fldCharType="end"/>
      </w:r>
      <w:r>
        <w:rPr>
          <w:rFonts w:hint="eastAsia" w:ascii="仿宋" w:hAnsi="仿宋" w:eastAsia="仿宋" w:cs="仿宋"/>
          <w:color w:val="auto"/>
          <w:sz w:val="21"/>
          <w:szCs w:val="21"/>
          <w:highlight w:val="none"/>
        </w:rPr>
        <w:t>本工程施工中所有土方、泥浆、材料、及施工废料的内外运输，必须遵守政府有关交通、环卫、安全、防噪声等行业管理法规的规定，行业管理部门要求办理的渣土准运证、渣土消纳场所和交通通行证等所有手续均应办理，并由</w:t>
      </w:r>
      <w:r>
        <w:rPr>
          <w:rFonts w:hint="eastAsia" w:ascii="仿宋" w:hAnsi="仿宋" w:eastAsia="仿宋" w:cs="仿宋"/>
          <w:color w:val="auto"/>
          <w:sz w:val="21"/>
          <w:szCs w:val="21"/>
          <w:highlight w:val="none"/>
          <w:lang w:val="en-US" w:eastAsia="zh-Hans"/>
        </w:rPr>
        <w:t>承包人</w:t>
      </w:r>
      <w:r>
        <w:rPr>
          <w:rFonts w:hint="eastAsia" w:ascii="仿宋" w:hAnsi="仿宋" w:eastAsia="仿宋" w:cs="仿宋"/>
          <w:color w:val="auto"/>
          <w:sz w:val="21"/>
          <w:szCs w:val="21"/>
          <w:highlight w:val="none"/>
        </w:rPr>
        <w:t>自行办理解决。承担渣土运输的企业必须是具备资质且信誉良好的专业运输企业。</w:t>
      </w:r>
      <w:r>
        <w:rPr>
          <w:rFonts w:hint="eastAsia" w:ascii="仿宋" w:hAnsi="仿宋" w:eastAsia="仿宋" w:cs="仿宋"/>
          <w:color w:val="auto"/>
          <w:sz w:val="21"/>
          <w:szCs w:val="21"/>
          <w:highlight w:val="none"/>
          <w:lang w:val="en-US" w:eastAsia="zh-Hans"/>
        </w:rPr>
        <w:t>承包人</w:t>
      </w:r>
      <w:r>
        <w:rPr>
          <w:rFonts w:hint="eastAsia" w:ascii="仿宋" w:hAnsi="仿宋" w:eastAsia="仿宋" w:cs="仿宋"/>
          <w:color w:val="auto"/>
          <w:sz w:val="21"/>
          <w:szCs w:val="21"/>
          <w:highlight w:val="none"/>
        </w:rPr>
        <w:t>施工中因违反本市有关规定，引起政府职能部门罚款和停工整改，其发生的费用与损失由</w:t>
      </w:r>
      <w:r>
        <w:rPr>
          <w:rFonts w:hint="eastAsia" w:ascii="仿宋" w:hAnsi="仿宋" w:eastAsia="仿宋" w:cs="仿宋"/>
          <w:color w:val="auto"/>
          <w:sz w:val="21"/>
          <w:szCs w:val="21"/>
          <w:highlight w:val="none"/>
          <w:lang w:val="en-US" w:eastAsia="zh-Hans"/>
        </w:rPr>
        <w:t>承包人</w:t>
      </w:r>
      <w:r>
        <w:rPr>
          <w:rFonts w:hint="eastAsia" w:ascii="仿宋" w:hAnsi="仿宋" w:eastAsia="仿宋" w:cs="仿宋"/>
          <w:color w:val="auto"/>
          <w:sz w:val="21"/>
          <w:szCs w:val="21"/>
          <w:highlight w:val="none"/>
        </w:rPr>
        <w:t>自行承担。</w:t>
      </w:r>
    </w:p>
    <w:p w14:paraId="3EE6390C">
      <w:pPr>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 4 \* GB3 \* MERGEFORMAT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Cs w:val="21"/>
          <w:highlight w:val="none"/>
        </w:rPr>
        <w:t>④</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t>本工程须以打造文明工地、控制扬尘和施工现场场容场貌为目标，认真做好建筑工地扬尘污染治理和文明施工，严格按照《关于做好打造“美丽杭州”建设“两美浙江”示范区环建设工程环境整治工作的补充通知》（杭建工【2015】 279 号）执行；施工期间需针对扬尘污染治理和文明施工综合整治做好台帐，确保文明施工管理资料完整，记录齐全等有关文明施工和扬尘治理的事项。若发包人在进行巡查时发现“扬尘整治目标”达不到要求，第一次给予</w:t>
      </w:r>
      <w:r>
        <w:rPr>
          <w:rFonts w:hint="eastAsia" w:ascii="仿宋" w:hAnsi="仿宋" w:eastAsia="仿宋" w:cs="仿宋"/>
          <w:color w:val="auto"/>
          <w:sz w:val="21"/>
          <w:szCs w:val="21"/>
          <w:highlight w:val="none"/>
          <w:lang w:val="en-US" w:eastAsia="zh-Hans"/>
        </w:rPr>
        <w:t>承包人</w:t>
      </w:r>
      <w:r>
        <w:rPr>
          <w:rFonts w:hint="eastAsia" w:ascii="仿宋" w:hAnsi="仿宋" w:eastAsia="仿宋" w:cs="仿宋"/>
          <w:color w:val="auto"/>
          <w:sz w:val="21"/>
          <w:szCs w:val="21"/>
          <w:highlight w:val="none"/>
        </w:rPr>
        <w:t>警告并责令整改，二次发现</w:t>
      </w:r>
      <w:r>
        <w:rPr>
          <w:rFonts w:hint="eastAsia" w:ascii="仿宋" w:hAnsi="仿宋" w:eastAsia="仿宋" w:cs="仿宋"/>
          <w:color w:val="auto"/>
          <w:sz w:val="21"/>
          <w:szCs w:val="21"/>
          <w:highlight w:val="none"/>
          <w:lang w:val="en-US" w:eastAsia="zh-Hans"/>
        </w:rPr>
        <w:t>承包人</w:t>
      </w:r>
      <w:r>
        <w:rPr>
          <w:rFonts w:hint="eastAsia" w:ascii="仿宋" w:hAnsi="仿宋" w:eastAsia="仿宋" w:cs="仿宋"/>
          <w:color w:val="auto"/>
          <w:sz w:val="21"/>
          <w:szCs w:val="21"/>
          <w:highlight w:val="none"/>
        </w:rPr>
        <w:t>应立即整改并向发包人支付壹万元人民币的违约金，三次或以上被发现或被上级部门通报批评或被新闻媒体曝光者，</w:t>
      </w:r>
      <w:r>
        <w:rPr>
          <w:rFonts w:hint="eastAsia" w:ascii="仿宋" w:hAnsi="仿宋" w:eastAsia="仿宋" w:cs="仿宋"/>
          <w:color w:val="auto"/>
          <w:sz w:val="21"/>
          <w:szCs w:val="21"/>
          <w:highlight w:val="none"/>
          <w:lang w:val="en-US" w:eastAsia="zh-Hans"/>
        </w:rPr>
        <w:t>承包人</w:t>
      </w:r>
      <w:r>
        <w:rPr>
          <w:rFonts w:hint="eastAsia" w:ascii="仿宋" w:hAnsi="仿宋" w:eastAsia="仿宋" w:cs="仿宋"/>
          <w:color w:val="auto"/>
          <w:sz w:val="21"/>
          <w:szCs w:val="21"/>
          <w:highlight w:val="none"/>
        </w:rPr>
        <w:t>按每次人民币伍万元向发包人支付违约金。</w:t>
      </w:r>
    </w:p>
    <w:p w14:paraId="6761B3CC">
      <w:pPr>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 5 \* GB3 \* MERGEFORMAT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Cs w:val="21"/>
          <w:highlight w:val="none"/>
        </w:rPr>
        <w:t>⑤</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lang w:val="en-US" w:eastAsia="zh-Hans"/>
        </w:rPr>
        <w:t>承包人</w:t>
      </w:r>
      <w:r>
        <w:rPr>
          <w:rFonts w:hint="eastAsia" w:ascii="仿宋" w:hAnsi="仿宋" w:eastAsia="仿宋" w:cs="仿宋"/>
          <w:color w:val="auto"/>
          <w:sz w:val="21"/>
          <w:szCs w:val="21"/>
          <w:highlight w:val="none"/>
        </w:rPr>
        <w:t>对施工场地周边一定范围环境负有责任，如：施工中不得随意排放浑浊废弃物，不得随意抛掷各类垃圾、建筑材料等杂物；运输建筑材料、垃圾和工程渣土的车辆应采取有效措施保证行驶途中不污染道路和环境等。</w:t>
      </w:r>
    </w:p>
    <w:p w14:paraId="59354C3E">
      <w:pPr>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 6 \* GB3 \* MERGEFORMAT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Cs w:val="21"/>
          <w:highlight w:val="none"/>
        </w:rPr>
        <w:t>⑥</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lang w:eastAsia="zh-Hans"/>
        </w:rPr>
        <w:t>施工期间由于</w:t>
      </w:r>
      <w:r>
        <w:rPr>
          <w:rFonts w:hint="eastAsia" w:ascii="仿宋" w:hAnsi="仿宋" w:eastAsia="仿宋" w:cs="仿宋"/>
          <w:color w:val="auto"/>
          <w:sz w:val="21"/>
          <w:szCs w:val="21"/>
          <w:highlight w:val="none"/>
          <w:lang w:val="en-US" w:eastAsia="zh-Hans"/>
        </w:rPr>
        <w:t>承包人</w:t>
      </w:r>
      <w:r>
        <w:rPr>
          <w:rFonts w:hint="eastAsia" w:ascii="仿宋" w:hAnsi="仿宋" w:eastAsia="仿宋" w:cs="仿宋"/>
          <w:color w:val="auto"/>
          <w:sz w:val="21"/>
          <w:szCs w:val="21"/>
          <w:highlight w:val="none"/>
          <w:lang w:eastAsia="zh-Hans"/>
        </w:rPr>
        <w:t>原因造成施工方案的更改，所增加的工程费用及工期一概不予调整，属施工技术组织措施失误造成的费用及延误工期均由</w:t>
      </w:r>
      <w:r>
        <w:rPr>
          <w:rFonts w:hint="eastAsia" w:ascii="仿宋" w:hAnsi="仿宋" w:eastAsia="仿宋" w:cs="仿宋"/>
          <w:color w:val="auto"/>
          <w:sz w:val="21"/>
          <w:szCs w:val="21"/>
          <w:highlight w:val="none"/>
          <w:lang w:val="en-US" w:eastAsia="zh-Hans"/>
        </w:rPr>
        <w:t>承包人</w:t>
      </w:r>
      <w:r>
        <w:rPr>
          <w:rFonts w:hint="eastAsia" w:ascii="仿宋" w:hAnsi="仿宋" w:eastAsia="仿宋" w:cs="仿宋"/>
          <w:color w:val="auto"/>
          <w:sz w:val="21"/>
          <w:szCs w:val="21"/>
          <w:highlight w:val="none"/>
          <w:lang w:eastAsia="zh-Hans"/>
        </w:rPr>
        <w:t>承担。</w:t>
      </w:r>
    </w:p>
    <w:p w14:paraId="0276893C">
      <w:pPr>
        <w:spacing w:line="400" w:lineRule="exact"/>
        <w:ind w:firstLine="420"/>
        <w:rPr>
          <w:rFonts w:hint="default" w:ascii="仿宋" w:hAnsi="仿宋" w:eastAsia="仿宋" w:cs="仿宋"/>
          <w:color w:val="auto"/>
          <w:sz w:val="21"/>
          <w:szCs w:val="21"/>
          <w:highlight w:val="none"/>
          <w:lang w:eastAsia="zh-Hans"/>
        </w:rPr>
      </w:pPr>
      <w:r>
        <w:rPr>
          <w:rFonts w:hint="eastAsia" w:ascii="仿宋" w:hAnsi="仿宋" w:eastAsia="仿宋" w:cs="仿宋"/>
          <w:color w:val="auto"/>
          <w:sz w:val="21"/>
          <w:szCs w:val="21"/>
          <w:highlight w:val="none"/>
          <w:lang w:val="en-US" w:eastAsia="zh-Hans"/>
        </w:rPr>
        <w:fldChar w:fldCharType="begin"/>
      </w:r>
      <w:r>
        <w:rPr>
          <w:rFonts w:hint="eastAsia" w:ascii="仿宋" w:hAnsi="仿宋" w:eastAsia="仿宋" w:cs="仿宋"/>
          <w:color w:val="auto"/>
          <w:sz w:val="21"/>
          <w:szCs w:val="21"/>
          <w:highlight w:val="none"/>
          <w:lang w:val="en-US" w:eastAsia="zh-Hans"/>
        </w:rPr>
        <w:instrText xml:space="preserve"> = 7 \* GB3 \* MERGEFORMAT </w:instrText>
      </w:r>
      <w:r>
        <w:rPr>
          <w:rFonts w:hint="eastAsia" w:ascii="仿宋" w:hAnsi="仿宋" w:eastAsia="仿宋" w:cs="仿宋"/>
          <w:color w:val="auto"/>
          <w:sz w:val="21"/>
          <w:szCs w:val="21"/>
          <w:highlight w:val="none"/>
          <w:lang w:val="en-US" w:eastAsia="zh-Hans"/>
        </w:rPr>
        <w:fldChar w:fldCharType="separate"/>
      </w:r>
      <w:r>
        <w:rPr>
          <w:rFonts w:hint="eastAsia" w:ascii="仿宋" w:hAnsi="仿宋" w:eastAsia="仿宋" w:cs="仿宋"/>
          <w:color w:val="auto"/>
          <w:szCs w:val="21"/>
          <w:highlight w:val="none"/>
        </w:rPr>
        <w:t>⑦</w:t>
      </w:r>
      <w:r>
        <w:rPr>
          <w:rFonts w:hint="eastAsia" w:ascii="仿宋" w:hAnsi="仿宋" w:eastAsia="仿宋" w:cs="仿宋"/>
          <w:color w:val="auto"/>
          <w:sz w:val="21"/>
          <w:szCs w:val="21"/>
          <w:highlight w:val="none"/>
          <w:lang w:val="en-US" w:eastAsia="zh-Hans"/>
        </w:rPr>
        <w:fldChar w:fldCharType="end"/>
      </w:r>
      <w:r>
        <w:rPr>
          <w:rFonts w:hint="eastAsia" w:ascii="仿宋" w:hAnsi="仿宋" w:eastAsia="仿宋" w:cs="仿宋"/>
          <w:color w:val="auto"/>
          <w:sz w:val="21"/>
          <w:szCs w:val="21"/>
          <w:highlight w:val="none"/>
          <w:lang w:val="en-US" w:eastAsia="zh-Hans"/>
        </w:rPr>
        <w:t>承包人</w:t>
      </w:r>
      <w:r>
        <w:rPr>
          <w:rFonts w:hint="eastAsia" w:ascii="仿宋" w:hAnsi="仿宋" w:eastAsia="仿宋" w:cs="仿宋"/>
          <w:color w:val="auto"/>
          <w:sz w:val="21"/>
          <w:szCs w:val="21"/>
          <w:highlight w:val="none"/>
        </w:rPr>
        <w:t>收到设计单位下发的设计联系单后，需在一周内向监理单位上报施工联系单，若</w:t>
      </w:r>
      <w:r>
        <w:rPr>
          <w:rFonts w:hint="eastAsia" w:ascii="仿宋" w:hAnsi="仿宋" w:eastAsia="仿宋" w:cs="仿宋"/>
          <w:color w:val="auto"/>
          <w:sz w:val="21"/>
          <w:szCs w:val="21"/>
          <w:highlight w:val="none"/>
          <w:lang w:val="en-US" w:eastAsia="zh-Hans"/>
        </w:rPr>
        <w:t>承包人</w:t>
      </w:r>
      <w:r>
        <w:rPr>
          <w:rFonts w:hint="eastAsia" w:ascii="仿宋" w:hAnsi="仿宋" w:eastAsia="仿宋" w:cs="仿宋"/>
          <w:color w:val="auto"/>
          <w:sz w:val="21"/>
          <w:szCs w:val="21"/>
          <w:highlight w:val="none"/>
        </w:rPr>
        <w:t>未在规定时间内上报施工联系单，则此联系单产生的相关费用由</w:t>
      </w:r>
      <w:r>
        <w:rPr>
          <w:rFonts w:hint="eastAsia" w:ascii="仿宋" w:hAnsi="仿宋" w:eastAsia="仿宋" w:cs="仿宋"/>
          <w:color w:val="auto"/>
          <w:sz w:val="21"/>
          <w:szCs w:val="21"/>
          <w:highlight w:val="none"/>
          <w:lang w:val="en-US" w:eastAsia="zh-Hans"/>
        </w:rPr>
        <w:t>承包人</w:t>
      </w:r>
      <w:r>
        <w:rPr>
          <w:rFonts w:hint="eastAsia" w:ascii="仿宋" w:hAnsi="仿宋" w:eastAsia="仿宋" w:cs="仿宋"/>
          <w:color w:val="auto"/>
          <w:sz w:val="21"/>
          <w:szCs w:val="21"/>
          <w:highlight w:val="none"/>
        </w:rPr>
        <w:t>自行承担，结算时不作调整。</w:t>
      </w:r>
    </w:p>
    <w:p w14:paraId="0636AE4A">
      <w:pPr>
        <w:spacing w:line="400" w:lineRule="exact"/>
        <w:ind w:firstLine="420"/>
        <w:rPr>
          <w:rFonts w:hint="eastAsia" w:ascii="仿宋" w:hAnsi="仿宋" w:eastAsia="仿宋" w:cs="仿宋"/>
          <w:color w:val="auto"/>
          <w:sz w:val="21"/>
          <w:szCs w:val="21"/>
          <w:highlight w:val="none"/>
          <w:lang w:eastAsia="zh-Hans"/>
        </w:rPr>
      </w:pPr>
      <w:r>
        <w:rPr>
          <w:rFonts w:hint="eastAsia" w:ascii="仿宋" w:hAnsi="仿宋" w:eastAsia="仿宋" w:cs="仿宋"/>
          <w:color w:val="auto"/>
          <w:sz w:val="21"/>
          <w:szCs w:val="21"/>
          <w:highlight w:val="none"/>
          <w:lang w:val="en-US" w:eastAsia="zh-Hans"/>
        </w:rPr>
        <w:fldChar w:fldCharType="begin"/>
      </w:r>
      <w:r>
        <w:rPr>
          <w:rFonts w:hint="eastAsia" w:ascii="仿宋" w:hAnsi="仿宋" w:eastAsia="仿宋" w:cs="仿宋"/>
          <w:color w:val="auto"/>
          <w:sz w:val="21"/>
          <w:szCs w:val="21"/>
          <w:highlight w:val="none"/>
          <w:lang w:val="en-US" w:eastAsia="zh-Hans"/>
        </w:rPr>
        <w:instrText xml:space="preserve"> = 8 \* GB3 \* MERGEFORMAT </w:instrText>
      </w:r>
      <w:r>
        <w:rPr>
          <w:rFonts w:hint="eastAsia" w:ascii="仿宋" w:hAnsi="仿宋" w:eastAsia="仿宋" w:cs="仿宋"/>
          <w:color w:val="auto"/>
          <w:sz w:val="21"/>
          <w:szCs w:val="21"/>
          <w:highlight w:val="none"/>
          <w:lang w:val="en-US" w:eastAsia="zh-Hans"/>
        </w:rPr>
        <w:fldChar w:fldCharType="separate"/>
      </w:r>
      <w:r>
        <w:rPr>
          <w:color w:val="auto"/>
          <w:highlight w:val="none"/>
        </w:rPr>
        <w:t>⑧</w:t>
      </w:r>
      <w:r>
        <w:rPr>
          <w:rFonts w:hint="eastAsia" w:ascii="仿宋" w:hAnsi="仿宋" w:eastAsia="仿宋" w:cs="仿宋"/>
          <w:color w:val="auto"/>
          <w:sz w:val="21"/>
          <w:szCs w:val="21"/>
          <w:highlight w:val="none"/>
          <w:lang w:val="en-US" w:eastAsia="zh-Hans"/>
        </w:rPr>
        <w:fldChar w:fldCharType="end"/>
      </w:r>
      <w:r>
        <w:rPr>
          <w:rFonts w:hint="eastAsia" w:ascii="仿宋" w:hAnsi="仿宋" w:eastAsia="仿宋" w:cs="仿宋"/>
          <w:color w:val="auto"/>
          <w:sz w:val="21"/>
          <w:szCs w:val="21"/>
          <w:highlight w:val="none"/>
          <w:lang w:eastAsia="zh-Hans"/>
        </w:rPr>
        <w:t>招标范围项目组织措施费包干，结算时不作调整，但工程发生重大甩项时，应根据实际情况酌情扣减。技术措施费按项报价实行包干，结算时不作调整，工程发生重大变更导致确实需要调整技术措施费用、并经重大变更相关会议决定同意的，可予调整。</w:t>
      </w:r>
    </w:p>
    <w:p w14:paraId="20058FAF">
      <w:pPr>
        <w:spacing w:line="400" w:lineRule="exact"/>
        <w:ind w:firstLine="420"/>
        <w:rPr>
          <w:rFonts w:hint="eastAsia" w:ascii="仿宋" w:hAnsi="仿宋" w:eastAsia="仿宋" w:cs="仿宋"/>
          <w:color w:val="auto"/>
          <w:sz w:val="21"/>
          <w:szCs w:val="21"/>
          <w:highlight w:val="none"/>
          <w:lang w:eastAsia="zh-Hans"/>
        </w:rPr>
      </w:pPr>
      <w:r>
        <w:rPr>
          <w:rFonts w:hint="eastAsia" w:ascii="仿宋" w:hAnsi="仿宋" w:eastAsia="仿宋" w:cs="仿宋"/>
          <w:color w:val="auto"/>
          <w:szCs w:val="21"/>
          <w:highlight w:val="none"/>
          <w:lang w:eastAsia="zh-Hans"/>
        </w:rPr>
        <w:fldChar w:fldCharType="begin"/>
      </w:r>
      <w:r>
        <w:rPr>
          <w:rFonts w:hint="eastAsia" w:ascii="仿宋" w:hAnsi="仿宋" w:eastAsia="仿宋" w:cs="仿宋"/>
          <w:color w:val="auto"/>
          <w:szCs w:val="21"/>
          <w:highlight w:val="none"/>
          <w:lang w:eastAsia="zh-Hans"/>
        </w:rPr>
        <w:instrText xml:space="preserve"> = 9 \* GB3 \* MERGEFORMAT </w:instrText>
      </w:r>
      <w:r>
        <w:rPr>
          <w:rFonts w:hint="eastAsia" w:ascii="仿宋" w:hAnsi="仿宋" w:eastAsia="仿宋" w:cs="仿宋"/>
          <w:color w:val="auto"/>
          <w:szCs w:val="21"/>
          <w:highlight w:val="none"/>
          <w:lang w:eastAsia="zh-Hans"/>
        </w:rPr>
        <w:fldChar w:fldCharType="separate"/>
      </w:r>
      <w:r>
        <w:rPr>
          <w:rFonts w:hint="eastAsia" w:ascii="仿宋" w:hAnsi="仿宋" w:eastAsia="仿宋" w:cs="仿宋"/>
          <w:color w:val="auto"/>
          <w:szCs w:val="21"/>
          <w:highlight w:val="none"/>
          <w:lang w:eastAsia="zh-Hans"/>
        </w:rPr>
        <w:t>⑨</w:t>
      </w:r>
      <w:r>
        <w:rPr>
          <w:rFonts w:hint="eastAsia" w:ascii="仿宋" w:hAnsi="仿宋" w:eastAsia="仿宋" w:cs="仿宋"/>
          <w:color w:val="auto"/>
          <w:szCs w:val="21"/>
          <w:highlight w:val="none"/>
          <w:lang w:eastAsia="zh-Hans"/>
        </w:rPr>
        <w:fldChar w:fldCharType="end"/>
      </w:r>
      <w:r>
        <w:rPr>
          <w:rFonts w:hint="eastAsia" w:ascii="仿宋" w:hAnsi="仿宋" w:eastAsia="仿宋" w:cs="仿宋"/>
          <w:color w:val="auto"/>
          <w:sz w:val="21"/>
          <w:szCs w:val="21"/>
          <w:highlight w:val="none"/>
          <w:lang w:val="en-US" w:eastAsia="zh-Hans"/>
        </w:rPr>
        <w:t>招标文件及其他相关文件规定的承包人应当履行的义务</w:t>
      </w:r>
      <w:r>
        <w:rPr>
          <w:rFonts w:hint="eastAsia" w:ascii="仿宋" w:hAnsi="仿宋" w:eastAsia="仿宋" w:cs="仿宋"/>
          <w:color w:val="auto"/>
          <w:sz w:val="21"/>
          <w:szCs w:val="21"/>
          <w:highlight w:val="none"/>
          <w:lang w:eastAsia="zh-Hans"/>
        </w:rPr>
        <w:t>。</w:t>
      </w:r>
    </w:p>
    <w:p w14:paraId="7F46D64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3.2 项目经理</w:t>
      </w:r>
    </w:p>
    <w:p w14:paraId="0D15C2C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3.2.1 项目经理：</w:t>
      </w:r>
    </w:p>
    <w:p w14:paraId="6E2E04D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姓    名：</w:t>
      </w:r>
      <w:r>
        <w:rPr>
          <w:rFonts w:hint="eastAsia" w:ascii="仿宋" w:hAnsi="仿宋" w:eastAsia="仿宋" w:cs="仿宋"/>
          <w:color w:val="auto"/>
          <w:szCs w:val="21"/>
          <w:highlight w:val="none"/>
          <w:u w:val="single"/>
        </w:rPr>
        <w:t>         </w:t>
      </w:r>
      <w:r>
        <w:rPr>
          <w:rFonts w:hint="eastAsia" w:ascii="仿宋" w:hAnsi="仿宋" w:eastAsia="仿宋" w:cs="仿宋"/>
          <w:color w:val="auto"/>
          <w:szCs w:val="21"/>
          <w:highlight w:val="none"/>
        </w:rPr>
        <w:t>；</w:t>
      </w:r>
    </w:p>
    <w:p w14:paraId="32E229B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身份证号：</w:t>
      </w:r>
      <w:r>
        <w:rPr>
          <w:rFonts w:hint="eastAsia" w:ascii="仿宋" w:hAnsi="仿宋" w:eastAsia="仿宋" w:cs="仿宋"/>
          <w:color w:val="auto"/>
          <w:szCs w:val="21"/>
          <w:highlight w:val="none"/>
          <w:u w:val="single"/>
        </w:rPr>
        <w:t>         </w:t>
      </w:r>
      <w:r>
        <w:rPr>
          <w:rFonts w:hint="eastAsia" w:ascii="仿宋" w:hAnsi="仿宋" w:eastAsia="仿宋" w:cs="仿宋"/>
          <w:color w:val="auto"/>
          <w:szCs w:val="21"/>
          <w:highlight w:val="none"/>
        </w:rPr>
        <w:t>；</w:t>
      </w:r>
    </w:p>
    <w:p w14:paraId="4E3A7E8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建造师执业资格等级：</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14:paraId="01AA4887">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建造师注册证书号：</w:t>
      </w:r>
      <w:r>
        <w:rPr>
          <w:rFonts w:hint="eastAsia" w:ascii="仿宋" w:hAnsi="仿宋" w:eastAsia="仿宋" w:cs="仿宋"/>
          <w:color w:val="auto"/>
          <w:szCs w:val="21"/>
          <w:highlight w:val="none"/>
          <w:u w:val="single"/>
        </w:rPr>
        <w:t> </w:t>
      </w:r>
      <w:r>
        <w:rPr>
          <w:rFonts w:hint="eastAsia" w:ascii="仿宋" w:hAnsi="仿宋" w:eastAsia="仿宋" w:cs="仿宋"/>
          <w:color w:val="auto"/>
          <w:szCs w:val="21"/>
          <w:highlight w:val="none"/>
        </w:rPr>
        <w:t>；</w:t>
      </w:r>
    </w:p>
    <w:p w14:paraId="3F4068E5">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建造师执业印章号：</w:t>
      </w:r>
      <w:r>
        <w:rPr>
          <w:rFonts w:hint="eastAsia" w:ascii="仿宋" w:hAnsi="仿宋" w:eastAsia="仿宋" w:cs="仿宋"/>
          <w:color w:val="auto"/>
          <w:szCs w:val="21"/>
          <w:highlight w:val="none"/>
          <w:u w:val="single"/>
        </w:rPr>
        <w:t> </w:t>
      </w:r>
      <w:r>
        <w:rPr>
          <w:rFonts w:hint="eastAsia" w:ascii="仿宋" w:hAnsi="仿宋" w:eastAsia="仿宋" w:cs="仿宋"/>
          <w:color w:val="auto"/>
          <w:szCs w:val="21"/>
          <w:highlight w:val="none"/>
        </w:rPr>
        <w:t>；</w:t>
      </w:r>
    </w:p>
    <w:p w14:paraId="381DC40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安全生产考核合格证书号：</w:t>
      </w:r>
      <w:r>
        <w:rPr>
          <w:rFonts w:hint="eastAsia" w:ascii="仿宋" w:hAnsi="仿宋" w:eastAsia="仿宋" w:cs="仿宋"/>
          <w:color w:val="auto"/>
          <w:szCs w:val="21"/>
          <w:highlight w:val="none"/>
          <w:u w:val="single"/>
        </w:rPr>
        <w:t> </w:t>
      </w:r>
      <w:r>
        <w:rPr>
          <w:rFonts w:hint="eastAsia" w:ascii="仿宋" w:hAnsi="仿宋" w:eastAsia="仿宋" w:cs="仿宋"/>
          <w:color w:val="auto"/>
          <w:szCs w:val="21"/>
          <w:highlight w:val="none"/>
        </w:rPr>
        <w:t>；</w:t>
      </w:r>
    </w:p>
    <w:p w14:paraId="701CE9A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联系电话：</w:t>
      </w:r>
      <w:r>
        <w:rPr>
          <w:rFonts w:hint="eastAsia" w:ascii="仿宋" w:hAnsi="仿宋" w:eastAsia="仿宋" w:cs="仿宋"/>
          <w:color w:val="auto"/>
          <w:szCs w:val="21"/>
          <w:highlight w:val="none"/>
          <w:u w:val="single"/>
        </w:rPr>
        <w:t>         </w:t>
      </w:r>
      <w:r>
        <w:rPr>
          <w:rFonts w:hint="eastAsia" w:ascii="仿宋" w:hAnsi="仿宋" w:eastAsia="仿宋" w:cs="仿宋"/>
          <w:color w:val="auto"/>
          <w:szCs w:val="21"/>
          <w:highlight w:val="none"/>
        </w:rPr>
        <w:t>；</w:t>
      </w:r>
    </w:p>
    <w:p w14:paraId="1ED0C6A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电子信箱：</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14:paraId="2E1993F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通信地址：</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14:paraId="7651F271">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承包人对项目经理的授权范围如下：</w:t>
      </w:r>
      <w:r>
        <w:rPr>
          <w:rFonts w:hint="eastAsia" w:ascii="仿宋" w:hAnsi="仿宋" w:eastAsia="仿宋" w:cs="仿宋"/>
          <w:color w:val="auto"/>
          <w:szCs w:val="21"/>
          <w:highlight w:val="none"/>
          <w:u w:val="single"/>
        </w:rPr>
        <w:t xml:space="preserve">全面负责该项目的实施，全权代表承包人履行本合同，其所有行为均得到承包人的充分授权而由承包人承认 </w:t>
      </w:r>
      <w:r>
        <w:rPr>
          <w:rFonts w:hint="eastAsia" w:ascii="仿宋" w:hAnsi="仿宋" w:eastAsia="仿宋" w:cs="仿宋"/>
          <w:color w:val="auto"/>
          <w:szCs w:val="21"/>
          <w:highlight w:val="none"/>
        </w:rPr>
        <w:t>。</w:t>
      </w:r>
    </w:p>
    <w:p w14:paraId="2835655D">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关于项目经理每月在施工现场的时间要求：</w:t>
      </w:r>
      <w:r>
        <w:rPr>
          <w:rFonts w:hint="eastAsia" w:ascii="仿宋" w:hAnsi="仿宋" w:eastAsia="仿宋" w:cs="仿宋"/>
          <w:color w:val="auto"/>
          <w:szCs w:val="21"/>
          <w:highlight w:val="none"/>
          <w:u w:val="single"/>
        </w:rPr>
        <w:t>项目经理应严格按照住建部《建筑施工项目经理质量安全责任十项规定（试行）》（建质[2014]123号要求），切实履行项目经理职责，项目经理每月现场出勤不得少于本月施工时间的90%。若每月现场出勤少于本月施工时间的90%,多于70%,每月次处以施工合同价的0.1%作为违约金（每月次上限5万）；若每月现场出勤少于本月施工时间的70%,每月次处以施工合同价的0.25%作为违约金（每月次上限15万元）；若抽查检查时发现无故不在岗，每次处以施工合同价的0.05%作为违约金（每人次上限3万元）。</w:t>
      </w:r>
    </w:p>
    <w:p w14:paraId="702548F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施工企业应按投标承诺组建施工机构，项目施工机构人员每月现场出勤不得少于本月施工时间的90%。若每月现场出勤少于本月施工时间的90%,多于80%,每月次处以施工合同价的0.1%作为违约金（每月次上限5万元）；若现场出勤少于本月施工时间的80%,每月次处以施工合同价的0.25%作为违约金（每月次上限15万元）；若抽查检查时发现技术负责人、安全员、质量员、资料员、施工员等人员无故不在岗，每次处以施工合同价的0.02%每人作为违约金（每人次上限1.5万元）。</w:t>
      </w:r>
    </w:p>
    <w:p w14:paraId="46766AA4">
      <w:pPr>
        <w:pStyle w:val="46"/>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施工企业应定期对项目经理到岗率和履行岗位职责情况进行检查和考核，并做好书面记录，要求施工企业副总及以上职位人员每月不少于一次参加工地例会、每月不少于一次带班检查工地。若发现不到会议、未带班检查情况，每次处以施工合同价的0.1%作为违约金（每人次上限5万元）。</w:t>
      </w:r>
    </w:p>
    <w:p w14:paraId="01D30EC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承包人未提交劳动合同，以及没有为项目经理缴纳社会保险证明的违约责任：</w:t>
      </w:r>
      <w:r>
        <w:rPr>
          <w:rFonts w:hint="eastAsia" w:ascii="仿宋" w:hAnsi="仿宋" w:eastAsia="仿宋" w:cs="仿宋"/>
          <w:color w:val="auto"/>
          <w:szCs w:val="21"/>
          <w:highlight w:val="none"/>
          <w:u w:val="single"/>
        </w:rPr>
        <w:t xml:space="preserve">  由承包人自行承担相关责任，且发包人有权要求更换项目经理，并通报有关建设行政主管部门进行处罚</w:t>
      </w:r>
      <w:r>
        <w:rPr>
          <w:rFonts w:hint="eastAsia" w:ascii="仿宋" w:hAnsi="仿宋" w:eastAsia="仿宋" w:cs="仿宋"/>
          <w:color w:val="auto"/>
          <w:szCs w:val="21"/>
          <w:highlight w:val="none"/>
        </w:rPr>
        <w:t>。</w:t>
      </w:r>
    </w:p>
    <w:p w14:paraId="721B4BC3">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项目经理未经批准，擅自离开施工现场的违约责任：按月以日历天为基数计算考核，未达到的按每天1000元处以违约金。承包人中标项目负责人施工期间离岗七天以上必须经发包人同意，如发现项目负责人不在现场组织施工，发包人有权按违约处理，并有权单方终止合同，后果由承包人负责。</w:t>
      </w:r>
    </w:p>
    <w:p w14:paraId="1559A76A">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3.2.3 承包人擅自更换项目经理的违约责任：</w:t>
      </w:r>
    </w:p>
    <w:p w14:paraId="5D623566">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（1）承包人确需更换项目经理的，继任项目经理注册执业资格、管理经验的约定：</w:t>
      </w:r>
      <w:r>
        <w:rPr>
          <w:rFonts w:hint="eastAsia" w:ascii="仿宋" w:hAnsi="仿宋" w:eastAsia="仿宋" w:cs="仿宋"/>
          <w:color w:val="auto"/>
          <w:szCs w:val="21"/>
          <w:highlight w:val="none"/>
          <w:u w:val="single"/>
        </w:rPr>
        <w:t>继任项目经理注册执业资格、管理经验不得低于前任项目经理，并经发包人</w:t>
      </w:r>
      <w:r>
        <w:rPr>
          <w:rFonts w:hint="eastAsia" w:ascii="仿宋" w:hAnsi="仿宋" w:eastAsia="仿宋" w:cs="仿宋"/>
          <w:color w:val="auto"/>
          <w:szCs w:val="21"/>
          <w:highlight w:val="none"/>
          <w:u w:val="single"/>
          <w:lang w:val="en-US" w:eastAsia="zh-Hans"/>
        </w:rPr>
        <w:t>书面</w:t>
      </w:r>
      <w:r>
        <w:rPr>
          <w:rFonts w:hint="eastAsia" w:ascii="仿宋" w:hAnsi="仿宋" w:eastAsia="仿宋" w:cs="仿宋"/>
          <w:color w:val="auto"/>
          <w:szCs w:val="21"/>
          <w:highlight w:val="none"/>
          <w:u w:val="single"/>
        </w:rPr>
        <w:t>同意</w:t>
      </w:r>
      <w:r>
        <w:rPr>
          <w:rFonts w:hint="eastAsia" w:ascii="仿宋" w:hAnsi="仿宋" w:eastAsia="仿宋" w:cs="仿宋"/>
          <w:color w:val="auto"/>
          <w:szCs w:val="21"/>
          <w:highlight w:val="none"/>
        </w:rPr>
        <w:t>。</w:t>
      </w:r>
    </w:p>
    <w:p w14:paraId="29520861">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（2）承包人擅自更换项目经理的违约责任：</w:t>
      </w:r>
      <w:r>
        <w:rPr>
          <w:rFonts w:hint="eastAsia" w:ascii="仿宋" w:hAnsi="仿宋" w:eastAsia="仿宋" w:cs="仿宋"/>
          <w:color w:val="auto"/>
          <w:szCs w:val="21"/>
          <w:highlight w:val="none"/>
          <w:u w:val="single"/>
        </w:rPr>
        <w:t>承包人在施工期间不准擅自更换项目经理。承包人擅自更换项目经理的将被视为承包人违约，处以合同价的2%（每起上限</w:t>
      </w:r>
      <w:r>
        <w:rPr>
          <w:rFonts w:hint="eastAsia" w:ascii="仿宋" w:hAnsi="仿宋" w:eastAsia="仿宋" w:cs="仿宋"/>
          <w:color w:val="auto"/>
          <w:szCs w:val="21"/>
          <w:highlight w:val="none"/>
          <w:u w:val="single"/>
          <w:lang w:val="en-US" w:eastAsia="zh-CN"/>
        </w:rPr>
        <w:t>50</w:t>
      </w:r>
      <w:r>
        <w:rPr>
          <w:rFonts w:hint="eastAsia" w:ascii="仿宋" w:hAnsi="仿宋" w:eastAsia="仿宋" w:cs="仿宋"/>
          <w:color w:val="auto"/>
          <w:szCs w:val="21"/>
          <w:highlight w:val="none"/>
          <w:u w:val="single"/>
        </w:rPr>
        <w:t>万元）的违约金，情节严重的发包人有权</w:t>
      </w:r>
      <w:r>
        <w:rPr>
          <w:rFonts w:hint="eastAsia" w:ascii="仿宋" w:hAnsi="仿宋" w:eastAsia="仿宋" w:cs="仿宋"/>
          <w:color w:val="auto"/>
          <w:szCs w:val="21"/>
          <w:highlight w:val="none"/>
          <w:u w:val="single"/>
          <w:lang w:val="en-US" w:eastAsia="zh-Hans"/>
        </w:rPr>
        <w:t>立即单方</w:t>
      </w:r>
      <w:r>
        <w:rPr>
          <w:rFonts w:hint="eastAsia" w:ascii="仿宋" w:hAnsi="仿宋" w:eastAsia="仿宋" w:cs="仿宋"/>
          <w:color w:val="auto"/>
          <w:szCs w:val="21"/>
          <w:highlight w:val="none"/>
          <w:u w:val="single"/>
        </w:rPr>
        <w:t>解除合同</w:t>
      </w:r>
      <w:r>
        <w:rPr>
          <w:rFonts w:hint="eastAsia" w:ascii="仿宋" w:hAnsi="仿宋" w:eastAsia="仿宋" w:cs="仿宋"/>
          <w:color w:val="auto"/>
          <w:szCs w:val="21"/>
          <w:highlight w:val="none"/>
        </w:rPr>
        <w:t>。</w:t>
      </w:r>
    </w:p>
    <w:p w14:paraId="4BFC8F0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3.2.4 承包人无正当理由拒绝更换项目经理的违约责任：</w:t>
      </w:r>
      <w:r>
        <w:rPr>
          <w:rFonts w:hint="eastAsia" w:ascii="仿宋" w:hAnsi="仿宋" w:eastAsia="仿宋" w:cs="仿宋"/>
          <w:color w:val="auto"/>
          <w:szCs w:val="21"/>
          <w:highlight w:val="none"/>
          <w:u w:val="single"/>
        </w:rPr>
        <w:t xml:space="preserve"> 若原项目经理不能按约定到岗履职</w:t>
      </w:r>
      <w:r>
        <w:rPr>
          <w:rFonts w:hint="eastAsia" w:ascii="仿宋" w:hAnsi="仿宋" w:eastAsia="仿宋" w:cs="仿宋"/>
          <w:color w:val="auto"/>
          <w:szCs w:val="21"/>
          <w:highlight w:val="none"/>
          <w:u w:val="single"/>
          <w:lang w:eastAsia="zh-CN"/>
        </w:rPr>
        <w:t>、</w:t>
      </w:r>
      <w:r>
        <w:rPr>
          <w:rFonts w:hint="eastAsia" w:ascii="仿宋" w:hAnsi="仿宋" w:eastAsia="仿宋" w:cs="仿宋"/>
          <w:b w:val="0"/>
          <w:color w:val="auto"/>
          <w:sz w:val="21"/>
          <w:szCs w:val="21"/>
          <w:highlight w:val="none"/>
          <w:u w:val="single"/>
        </w:rPr>
        <w:t>贻误工期</w:t>
      </w:r>
      <w:r>
        <w:rPr>
          <w:rFonts w:hint="eastAsia" w:ascii="仿宋" w:hAnsi="仿宋" w:eastAsia="仿宋" w:cs="仿宋"/>
          <w:b w:val="0"/>
          <w:color w:val="auto"/>
          <w:sz w:val="21"/>
          <w:szCs w:val="21"/>
          <w:highlight w:val="none"/>
          <w:u w:val="single"/>
          <w:lang w:eastAsia="zh-CN"/>
        </w:rPr>
        <w:t>、</w:t>
      </w:r>
      <w:r>
        <w:rPr>
          <w:rFonts w:hint="eastAsia" w:ascii="仿宋" w:hAnsi="仿宋" w:eastAsia="仿宋" w:cs="仿宋"/>
          <w:b w:val="0"/>
          <w:color w:val="auto"/>
          <w:sz w:val="21"/>
          <w:szCs w:val="21"/>
          <w:highlight w:val="none"/>
          <w:u w:val="single"/>
        </w:rPr>
        <w:t>造成严重的安全事故和工程质量事故、违法乱纪</w:t>
      </w:r>
      <w:r>
        <w:rPr>
          <w:rFonts w:hint="eastAsia" w:ascii="仿宋" w:hAnsi="仿宋" w:eastAsia="仿宋" w:cs="仿宋"/>
          <w:color w:val="auto"/>
          <w:szCs w:val="21"/>
          <w:highlight w:val="none"/>
          <w:u w:val="single"/>
        </w:rPr>
        <w:t>的或能力不能满足工作需要的，发包人书面通知承包人进行更换项目经理，承包人在</w:t>
      </w:r>
      <w:r>
        <w:rPr>
          <w:rFonts w:hint="eastAsia" w:ascii="仿宋" w:hAnsi="仿宋" w:eastAsia="仿宋" w:cs="仿宋"/>
          <w:color w:val="auto"/>
          <w:szCs w:val="21"/>
          <w:highlight w:val="none"/>
          <w:u w:val="single"/>
          <w:lang w:eastAsia="zh-CN"/>
        </w:rPr>
        <w:t>一</w:t>
      </w:r>
      <w:r>
        <w:rPr>
          <w:rFonts w:hint="eastAsia" w:ascii="仿宋" w:hAnsi="仿宋" w:eastAsia="仿宋" w:cs="仿宋"/>
          <w:color w:val="auto"/>
          <w:szCs w:val="21"/>
          <w:highlight w:val="none"/>
          <w:u w:val="single"/>
        </w:rPr>
        <w:t>个星期内未更换项目经理的，处以合同价的1.5%（不低于5万元）的违约金，情节严重的发包人有权</w:t>
      </w:r>
      <w:r>
        <w:rPr>
          <w:rFonts w:hint="eastAsia" w:ascii="仿宋" w:hAnsi="仿宋" w:eastAsia="仿宋" w:cs="仿宋"/>
          <w:color w:val="auto"/>
          <w:szCs w:val="21"/>
          <w:highlight w:val="none"/>
          <w:u w:val="single"/>
          <w:lang w:val="en-US" w:eastAsia="zh-Hans"/>
        </w:rPr>
        <w:t>立即单方</w:t>
      </w:r>
      <w:r>
        <w:rPr>
          <w:rFonts w:hint="eastAsia" w:ascii="仿宋" w:hAnsi="仿宋" w:eastAsia="仿宋" w:cs="仿宋"/>
          <w:color w:val="auto"/>
          <w:szCs w:val="21"/>
          <w:highlight w:val="none"/>
          <w:u w:val="single"/>
        </w:rPr>
        <w:t>解除合同</w:t>
      </w:r>
      <w:r>
        <w:rPr>
          <w:rFonts w:hint="eastAsia" w:ascii="仿宋" w:hAnsi="仿宋" w:eastAsia="仿宋" w:cs="仿宋"/>
          <w:color w:val="auto"/>
          <w:szCs w:val="21"/>
          <w:highlight w:val="none"/>
        </w:rPr>
        <w:t>。</w:t>
      </w:r>
    </w:p>
    <w:p w14:paraId="10D01C20">
      <w:pPr>
        <w:pStyle w:val="27"/>
        <w:rPr>
          <w:rFonts w:hint="eastAsia" w:ascii="仿宋" w:hAnsi="仿宋" w:eastAsia="仿宋" w:cs="仿宋"/>
          <w:color w:val="auto"/>
          <w:sz w:val="21"/>
          <w:szCs w:val="21"/>
          <w:highlight w:val="none"/>
          <w:u w:val="single"/>
          <w:lang w:val="en-US" w:eastAsia="zh-CN"/>
        </w:rPr>
      </w:pPr>
      <w:r>
        <w:rPr>
          <w:rFonts w:hint="eastAsia" w:ascii="仿宋" w:hAnsi="仿宋" w:eastAsia="仿宋" w:cs="仿宋"/>
          <w:color w:val="auto"/>
          <w:sz w:val="21"/>
          <w:szCs w:val="21"/>
          <w:highlight w:val="none"/>
          <w:u w:val="single"/>
          <w:lang w:val="en-US"/>
        </w:rPr>
        <w:t>3</w:t>
      </w:r>
      <w:r>
        <w:rPr>
          <w:rFonts w:hint="eastAsia" w:ascii="仿宋" w:hAnsi="仿宋" w:eastAsia="仿宋" w:cs="仿宋"/>
          <w:color w:val="auto"/>
          <w:sz w:val="21"/>
          <w:szCs w:val="21"/>
          <w:highlight w:val="none"/>
          <w:u w:val="single"/>
          <w:lang w:val="en-US" w:eastAsia="zh-CN"/>
        </w:rPr>
        <w:t>.2.5</w:t>
      </w:r>
      <w:r>
        <w:rPr>
          <w:rFonts w:hint="eastAsia" w:ascii="仿宋" w:hAnsi="仿宋" w:eastAsia="仿宋" w:cs="仿宋"/>
          <w:color w:val="auto"/>
          <w:sz w:val="21"/>
          <w:szCs w:val="21"/>
          <w:highlight w:val="none"/>
          <w:u w:val="single"/>
        </w:rPr>
        <w:t>进场项目班子应是</w:t>
      </w:r>
      <w:r>
        <w:rPr>
          <w:rFonts w:hint="eastAsia" w:ascii="仿宋" w:hAnsi="仿宋" w:eastAsia="仿宋" w:cs="仿宋"/>
          <w:color w:val="auto"/>
          <w:sz w:val="21"/>
          <w:szCs w:val="21"/>
          <w:highlight w:val="none"/>
          <w:u w:val="single"/>
          <w:lang w:val="en-US" w:eastAsia="zh-Hans"/>
        </w:rPr>
        <w:t>承包人</w:t>
      </w:r>
      <w:r>
        <w:rPr>
          <w:rFonts w:hint="eastAsia" w:ascii="仿宋" w:hAnsi="仿宋" w:eastAsia="仿宋" w:cs="仿宋"/>
          <w:color w:val="auto"/>
          <w:sz w:val="21"/>
          <w:szCs w:val="21"/>
          <w:highlight w:val="none"/>
          <w:u w:val="single"/>
        </w:rPr>
        <w:t>企业内的，挂靠</w:t>
      </w:r>
      <w:r>
        <w:rPr>
          <w:rFonts w:hint="eastAsia" w:ascii="仿宋" w:hAnsi="仿宋" w:eastAsia="仿宋" w:cs="仿宋"/>
          <w:color w:val="auto"/>
          <w:sz w:val="21"/>
          <w:szCs w:val="21"/>
          <w:highlight w:val="none"/>
          <w:u w:val="single"/>
          <w:lang w:val="en-US" w:eastAsia="zh-Hans"/>
        </w:rPr>
        <w:t>承包人</w:t>
      </w:r>
      <w:r>
        <w:rPr>
          <w:rFonts w:hint="eastAsia" w:ascii="仿宋" w:hAnsi="仿宋" w:eastAsia="仿宋" w:cs="仿宋"/>
          <w:color w:val="auto"/>
          <w:sz w:val="21"/>
          <w:szCs w:val="21"/>
          <w:highlight w:val="none"/>
          <w:u w:val="single"/>
        </w:rPr>
        <w:t>或临时拼凑的施工班子（不含专业分包单位人员），一经发现并经查实后，其全部履约担保将被没收，施工合同将被终止，并赔偿由此给发包人造成的经济损失。派驻现场的施工班子人员数量、年龄结构、专业配备应满足工程实际需要。在合同执行期间发包人有权对不称职的工程技术、管理人员提出更换，</w:t>
      </w:r>
      <w:r>
        <w:rPr>
          <w:rFonts w:hint="eastAsia" w:ascii="仿宋" w:hAnsi="仿宋" w:eastAsia="仿宋" w:cs="仿宋"/>
          <w:color w:val="auto"/>
          <w:sz w:val="21"/>
          <w:szCs w:val="21"/>
          <w:highlight w:val="none"/>
          <w:u w:val="single"/>
          <w:lang w:val="en-US" w:eastAsia="zh-Hans"/>
        </w:rPr>
        <w:t>承包人</w:t>
      </w:r>
      <w:r>
        <w:rPr>
          <w:rFonts w:hint="eastAsia" w:ascii="仿宋" w:hAnsi="仿宋" w:eastAsia="仿宋" w:cs="仿宋"/>
          <w:color w:val="auto"/>
          <w:sz w:val="21"/>
          <w:szCs w:val="21"/>
          <w:highlight w:val="none"/>
          <w:u w:val="single"/>
        </w:rPr>
        <w:t>应在一个工作周内作出更换，并报发包人批准，不得拒绝和拖延</w:t>
      </w:r>
      <w:r>
        <w:rPr>
          <w:rFonts w:hint="eastAsia" w:ascii="仿宋" w:hAnsi="仿宋" w:eastAsia="仿宋" w:cs="仿宋"/>
          <w:color w:val="auto"/>
          <w:sz w:val="21"/>
          <w:szCs w:val="21"/>
          <w:highlight w:val="none"/>
          <w:u w:val="single"/>
          <w:lang w:val="en-US" w:eastAsia="zh-CN"/>
        </w:rPr>
        <w:t>.</w:t>
      </w:r>
    </w:p>
    <w:p w14:paraId="080FAA2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3.3 承包人人员</w:t>
      </w:r>
    </w:p>
    <w:p w14:paraId="7D2AE4C6">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3.3.1 承包人提交项目管理机构及施工现场管理人员安排报告的期限：</w:t>
      </w:r>
      <w:r>
        <w:rPr>
          <w:rFonts w:hint="eastAsia" w:ascii="仿宋" w:hAnsi="仿宋" w:eastAsia="仿宋" w:cs="仿宋"/>
          <w:color w:val="auto"/>
          <w:szCs w:val="21"/>
          <w:highlight w:val="none"/>
          <w:u w:val="single"/>
        </w:rPr>
        <w:t xml:space="preserve"> 承包人承诺的项目经理及项目部其他管理人员必须按投标承诺名单及时到位。若因特殊情况或实际需要必须调换的，承包人必须事先向发包人提供以下材料并取得发包人的书面批准以后，才能派替换的人员进场：</w:t>
      </w:r>
    </w:p>
    <w:p w14:paraId="5D2187D1">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a、书面请示报告；</w:t>
      </w:r>
    </w:p>
    <w:p w14:paraId="5DCE7DAD">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b、替换人的技术职称证书、岗位证书、身份证（验证原件，提供复印件）及其工作经历与业绩等有关证明材料。</w:t>
      </w:r>
    </w:p>
    <w:p w14:paraId="478BB469">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当替换人的技术职称、资质和工作经历满足招标文件要求或发包人认为可以接受时，发包人可以给予批准。当发包人认为项目经理或其他人员不能胜任该工作，有权要求承包人无条件更换。</w:t>
      </w:r>
    </w:p>
    <w:p w14:paraId="3DAA400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从项目中标到竣工，施工企业不得随意更换项目经理。确需更换项目经理的，应当办理书面更换手续，更换后的项目经理必须同样满足执业资格、业绩等要求，项目经理每更换一次处以施工合同价的1%作为违约金（每起上限</w:t>
      </w:r>
      <w:r>
        <w:rPr>
          <w:rFonts w:hint="eastAsia" w:ascii="仿宋" w:hAnsi="仿宋" w:eastAsia="仿宋" w:cs="仿宋"/>
          <w:color w:val="auto"/>
          <w:szCs w:val="21"/>
          <w:highlight w:val="none"/>
          <w:u w:val="single"/>
          <w:lang w:val="en-US" w:eastAsia="zh-CN"/>
        </w:rPr>
        <w:t>5</w:t>
      </w:r>
      <w:r>
        <w:rPr>
          <w:rFonts w:hint="eastAsia" w:ascii="仿宋" w:hAnsi="仿宋" w:eastAsia="仿宋" w:cs="仿宋"/>
          <w:color w:val="auto"/>
          <w:szCs w:val="21"/>
          <w:highlight w:val="none"/>
          <w:u w:val="single"/>
        </w:rPr>
        <w:t>0万元）。</w:t>
      </w:r>
    </w:p>
    <w:p w14:paraId="575A437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3.3.3 承包人无正当理由拒绝撤换主要施工管理人员的违约责任：</w:t>
      </w:r>
      <w:r>
        <w:rPr>
          <w:rFonts w:hint="eastAsia" w:ascii="仿宋" w:hAnsi="仿宋" w:eastAsia="仿宋" w:cs="仿宋"/>
          <w:color w:val="auto"/>
          <w:szCs w:val="21"/>
          <w:highlight w:val="none"/>
          <w:u w:val="single"/>
        </w:rPr>
        <w:t xml:space="preserve">  技术负责人处20000元/人</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次的违约金，其他管理人员处5000元/人</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次的违约金</w:t>
      </w:r>
      <w:r>
        <w:rPr>
          <w:rFonts w:hint="eastAsia" w:ascii="仿宋" w:hAnsi="仿宋" w:eastAsia="仿宋" w:cs="仿宋"/>
          <w:color w:val="auto"/>
          <w:szCs w:val="21"/>
          <w:highlight w:val="none"/>
        </w:rPr>
        <w:t>。</w:t>
      </w:r>
    </w:p>
    <w:p w14:paraId="2FF61B82">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3.3.4 承包人主要施工管理人员离开施工现场的批准要求：报监理人和发包人书面批准。</w:t>
      </w:r>
    </w:p>
    <w:p w14:paraId="72FA667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3.3.5承包人擅自更换主要施工管理人员的违约责任：在施工期间不准更换，特殊情况要求更换的，须经发包人</w:t>
      </w:r>
      <w:r>
        <w:rPr>
          <w:rFonts w:hint="eastAsia" w:ascii="仿宋" w:hAnsi="仿宋" w:eastAsia="仿宋" w:cs="仿宋"/>
          <w:color w:val="auto"/>
          <w:szCs w:val="21"/>
          <w:highlight w:val="none"/>
          <w:lang w:val="en-US" w:eastAsia="zh-Hans"/>
        </w:rPr>
        <w:t>书面</w:t>
      </w:r>
      <w:r>
        <w:rPr>
          <w:rFonts w:hint="eastAsia" w:ascii="仿宋" w:hAnsi="仿宋" w:eastAsia="仿宋" w:cs="仿宋"/>
          <w:color w:val="auto"/>
          <w:szCs w:val="21"/>
          <w:highlight w:val="none"/>
        </w:rPr>
        <w:t>同意备案</w:t>
      </w:r>
      <w:r>
        <w:rPr>
          <w:rFonts w:hint="default" w:ascii="仿宋" w:hAnsi="仿宋" w:eastAsia="仿宋" w:cs="仿宋"/>
          <w:color w:val="auto"/>
          <w:szCs w:val="21"/>
          <w:highlight w:val="none"/>
        </w:rPr>
        <w:t>，</w:t>
      </w:r>
      <w:r>
        <w:rPr>
          <w:rFonts w:hint="eastAsia" w:ascii="仿宋" w:hAnsi="仿宋" w:eastAsia="仿宋" w:cs="仿宋"/>
          <w:color w:val="auto"/>
          <w:szCs w:val="21"/>
          <w:highlight w:val="none"/>
        </w:rPr>
        <w:t>且处违约金分别为合同额的0.5%（不高于10万元）（技术负责人）、合同额的0.2%（不高于5万元）（其他人员）；承包人擅自更换技术负责人、其他人员的</w:t>
      </w:r>
      <w:r>
        <w:rPr>
          <w:rFonts w:hint="default" w:ascii="仿宋" w:hAnsi="仿宋" w:eastAsia="仿宋" w:cs="仿宋"/>
          <w:color w:val="auto"/>
          <w:szCs w:val="21"/>
          <w:highlight w:val="none"/>
        </w:rPr>
        <w:t>，</w:t>
      </w:r>
      <w:r>
        <w:rPr>
          <w:rFonts w:hint="eastAsia" w:ascii="仿宋" w:hAnsi="仿宋" w:eastAsia="仿宋" w:cs="仿宋"/>
          <w:color w:val="auto"/>
          <w:szCs w:val="21"/>
          <w:highlight w:val="none"/>
        </w:rPr>
        <w:t>将被视为承包人违约，额外处以违约金分别为合同额的0.5%（不高于20万元）（技术负责人）、合同额的0.2%（不高于10万元）（其他人员），情节严重的发包人有权</w:t>
      </w:r>
      <w:r>
        <w:rPr>
          <w:rFonts w:hint="eastAsia" w:ascii="仿宋" w:hAnsi="仿宋" w:eastAsia="仿宋" w:cs="仿宋"/>
          <w:color w:val="auto"/>
          <w:szCs w:val="21"/>
          <w:highlight w:val="none"/>
          <w:lang w:val="en-US" w:eastAsia="zh-Hans"/>
        </w:rPr>
        <w:t>立即单方</w:t>
      </w:r>
      <w:r>
        <w:rPr>
          <w:rFonts w:hint="eastAsia" w:ascii="仿宋" w:hAnsi="仿宋" w:eastAsia="仿宋" w:cs="仿宋"/>
          <w:color w:val="auto"/>
          <w:szCs w:val="21"/>
          <w:highlight w:val="none"/>
        </w:rPr>
        <w:t>解除合同。</w:t>
      </w:r>
    </w:p>
    <w:p w14:paraId="4EA2AF4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bookmarkStart w:id="528" w:name="_Toc296346660"/>
      <w:bookmarkStart w:id="529" w:name="_Toc312677988"/>
      <w:bookmarkStart w:id="530" w:name="_Toc296891199"/>
      <w:bookmarkStart w:id="531" w:name="_Toc296503159"/>
      <w:bookmarkStart w:id="532" w:name="_Toc303539102"/>
      <w:bookmarkStart w:id="533" w:name="_Toc297048345"/>
      <w:bookmarkStart w:id="534" w:name="_Toc292559364"/>
      <w:bookmarkStart w:id="535" w:name="_Toc296944498"/>
      <w:bookmarkStart w:id="536" w:name="_Toc292559869"/>
      <w:bookmarkStart w:id="537" w:name="_Toc297216151"/>
      <w:bookmarkStart w:id="538" w:name="_Toc297120459"/>
      <w:bookmarkStart w:id="539" w:name="_Toc296347158"/>
      <w:bookmarkStart w:id="540" w:name="_Toc300934945"/>
      <w:bookmarkStart w:id="541" w:name="_Toc297123492"/>
      <w:bookmarkStart w:id="542" w:name="_Toc304295523"/>
      <w:bookmarkStart w:id="543" w:name="_Toc296890987"/>
      <w:r>
        <w:rPr>
          <w:rFonts w:hint="eastAsia" w:ascii="仿宋" w:hAnsi="仿宋" w:eastAsia="仿宋" w:cs="仿宋"/>
          <w:color w:val="auto"/>
          <w:szCs w:val="21"/>
          <w:highlight w:val="none"/>
        </w:rPr>
        <w:t>.5 分包</w:t>
      </w:r>
    </w:p>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14:paraId="17D07AD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bookmarkStart w:id="544" w:name="_Toc297216152"/>
      <w:bookmarkStart w:id="545" w:name="_Toc292559365"/>
      <w:bookmarkStart w:id="546" w:name="_Toc297120460"/>
      <w:bookmarkStart w:id="547" w:name="_Toc292559870"/>
      <w:bookmarkStart w:id="548" w:name="_Toc304295524"/>
      <w:bookmarkStart w:id="549" w:name="_Toc296347159"/>
      <w:bookmarkStart w:id="550" w:name="_Toc297048346"/>
      <w:bookmarkStart w:id="551" w:name="_Toc297123493"/>
      <w:bookmarkStart w:id="552" w:name="_Toc296944499"/>
      <w:bookmarkStart w:id="553" w:name="_Toc303539103"/>
      <w:bookmarkStart w:id="554" w:name="_Toc296503160"/>
      <w:bookmarkStart w:id="555" w:name="_Toc296890988"/>
      <w:bookmarkStart w:id="556" w:name="_Toc300934946"/>
      <w:bookmarkStart w:id="557" w:name="_Toc296346661"/>
      <w:bookmarkStart w:id="558" w:name="_Toc296891200"/>
      <w:bookmarkStart w:id="559" w:name="_Toc312677989"/>
      <w:bookmarkStart w:id="560" w:name="_Toc318581158"/>
      <w:r>
        <w:rPr>
          <w:rFonts w:hint="eastAsia" w:ascii="仿宋" w:hAnsi="仿宋" w:eastAsia="仿宋" w:cs="仿宋"/>
          <w:color w:val="auto"/>
          <w:szCs w:val="21"/>
          <w:highlight w:val="none"/>
        </w:rPr>
        <w:t>.5.1 分包的一般约定</w:t>
      </w:r>
    </w:p>
    <w:p w14:paraId="324D795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禁止分包的工程包括：</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432C99C4">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主体结构、关键性工作的范围：</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Start w:id="561" w:name="_Toc297216153"/>
      <w:bookmarkStart w:id="562" w:name="_Toc304295525"/>
      <w:bookmarkStart w:id="563" w:name="_Toc300934947"/>
      <w:bookmarkStart w:id="564" w:name="_Toc296891201"/>
      <w:bookmarkStart w:id="565" w:name="_Toc296347160"/>
      <w:bookmarkStart w:id="566" w:name="_Toc297123494"/>
      <w:bookmarkStart w:id="567" w:name="_Toc296503161"/>
      <w:bookmarkStart w:id="568" w:name="_Toc297048347"/>
      <w:bookmarkStart w:id="569" w:name="_Toc296944500"/>
      <w:bookmarkStart w:id="570" w:name="_Toc303539104"/>
      <w:bookmarkStart w:id="571" w:name="_Toc296346662"/>
      <w:bookmarkStart w:id="572" w:name="_Toc296890989"/>
      <w:bookmarkStart w:id="573" w:name="_Toc297120461"/>
    </w:p>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p w14:paraId="6E997ACB">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3</w:t>
      </w:r>
      <w:bookmarkStart w:id="574" w:name="_Toc312677990"/>
      <w:bookmarkStart w:id="575" w:name="_Toc318581159"/>
      <w:r>
        <w:rPr>
          <w:rFonts w:hint="eastAsia" w:ascii="仿宋" w:hAnsi="仿宋" w:eastAsia="仿宋" w:cs="仿宋"/>
          <w:color w:val="auto"/>
          <w:szCs w:val="21"/>
          <w:highlight w:val="none"/>
        </w:rPr>
        <w:t>.5.2分包的确定</w:t>
      </w:r>
    </w:p>
    <w:p w14:paraId="1B6AFA17">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允许分包的专业工程包括：</w:t>
      </w:r>
      <w:r>
        <w:rPr>
          <w:rFonts w:hint="eastAsia" w:ascii="仿宋" w:hAnsi="仿宋" w:eastAsia="仿宋" w:cs="仿宋"/>
          <w:color w:val="auto"/>
          <w:szCs w:val="21"/>
          <w:highlight w:val="none"/>
          <w:u w:val="single"/>
        </w:rPr>
        <w:t xml:space="preserve">无   </w:t>
      </w:r>
      <w:r>
        <w:rPr>
          <w:rFonts w:hint="eastAsia" w:ascii="仿宋" w:hAnsi="仿宋" w:eastAsia="仿宋" w:cs="仿宋"/>
          <w:color w:val="auto"/>
          <w:szCs w:val="21"/>
          <w:highlight w:val="none"/>
        </w:rPr>
        <w:t>。</w:t>
      </w:r>
    </w:p>
    <w:p w14:paraId="25B3DF46">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其他关于分包的约定：</w:t>
      </w:r>
      <w:r>
        <w:rPr>
          <w:rFonts w:hint="eastAsia" w:ascii="仿宋" w:hAnsi="仿宋" w:eastAsia="仿宋" w:cs="仿宋"/>
          <w:color w:val="auto"/>
          <w:szCs w:val="21"/>
          <w:highlight w:val="none"/>
          <w:u w:val="single"/>
        </w:rPr>
        <w:t xml:space="preserve"> 分包单位必须经发包人书面同意后方可与总包单位签订专业分包协议。分包工程进度必须符合总进度计划要求。承包人不得以任何形式进行转包</w:t>
      </w:r>
      <w:r>
        <w:rPr>
          <w:rFonts w:hint="eastAsia" w:ascii="仿宋" w:hAnsi="仿宋" w:eastAsia="仿宋" w:cs="仿宋"/>
          <w:color w:val="auto"/>
          <w:szCs w:val="21"/>
          <w:highlight w:val="none"/>
          <w:u w:val="single"/>
          <w:lang w:val="en-US" w:eastAsia="zh-Hans"/>
        </w:rPr>
        <w:t>或未经发包人书面同意分包</w:t>
      </w:r>
      <w:r>
        <w:rPr>
          <w:rFonts w:hint="eastAsia" w:ascii="仿宋" w:hAnsi="仿宋" w:eastAsia="仿宋" w:cs="仿宋"/>
          <w:color w:val="auto"/>
          <w:szCs w:val="21"/>
          <w:highlight w:val="none"/>
          <w:u w:val="single"/>
        </w:rPr>
        <w:t>，如发生转包的或非法分包的，发包人将上报建设行政主管部门依法处置并扣缴其履约担保，</w:t>
      </w:r>
      <w:r>
        <w:rPr>
          <w:rFonts w:hint="eastAsia" w:ascii="仿宋" w:hAnsi="仿宋" w:eastAsia="仿宋" w:cs="仿宋"/>
          <w:color w:val="auto"/>
          <w:szCs w:val="21"/>
          <w:highlight w:val="none"/>
          <w:u w:val="single"/>
          <w:lang w:val="en-US" w:eastAsia="zh-Hans"/>
        </w:rPr>
        <w:t>发包人有权立即单方面解除合同</w:t>
      </w:r>
      <w:r>
        <w:rPr>
          <w:rFonts w:hint="eastAsia" w:ascii="仿宋" w:hAnsi="仿宋" w:eastAsia="仿宋" w:cs="仿宋"/>
          <w:color w:val="auto"/>
          <w:szCs w:val="21"/>
          <w:highlight w:val="none"/>
          <w:u w:val="single"/>
          <w:lang w:eastAsia="zh-Hans"/>
        </w:rPr>
        <w:t>，</w:t>
      </w:r>
      <w:r>
        <w:rPr>
          <w:rFonts w:hint="eastAsia" w:ascii="仿宋" w:hAnsi="仿宋" w:eastAsia="仿宋" w:cs="仿宋"/>
          <w:color w:val="auto"/>
          <w:szCs w:val="21"/>
          <w:highlight w:val="none"/>
          <w:u w:val="single"/>
          <w:lang w:val="en-US" w:eastAsia="zh-Hans"/>
        </w:rPr>
        <w:t>由此引起的一切损失由承包人承担</w:t>
      </w:r>
      <w:r>
        <w:rPr>
          <w:rFonts w:hint="eastAsia" w:ascii="仿宋" w:hAnsi="仿宋" w:eastAsia="仿宋" w:cs="仿宋"/>
          <w:color w:val="auto"/>
          <w:szCs w:val="21"/>
          <w:highlight w:val="none"/>
          <w:u w:val="single"/>
        </w:rPr>
        <w:t>。在合同执行过程中，若发现存在下列情况的视作转包或非法分包：</w:t>
      </w:r>
    </w:p>
    <w:p w14:paraId="3EBD9694">
      <w:pPr>
        <w:adjustRightInd/>
        <w:spacing w:line="400" w:lineRule="exact"/>
        <w:ind w:firstLine="420" w:firstLineChars="200"/>
        <w:rPr>
          <w:rFonts w:hint="eastAsia" w:ascii="仿宋" w:hAnsi="仿宋" w:eastAsia="仿宋" w:cs="仿宋"/>
          <w:color w:val="auto"/>
          <w:szCs w:val="21"/>
          <w:highlight w:val="none"/>
          <w:u w:val="single"/>
        </w:rPr>
      </w:pPr>
      <w:bookmarkStart w:id="576" w:name="_Toc384745511"/>
      <w:bookmarkStart w:id="577" w:name="_Toc384726607"/>
      <w:r>
        <w:rPr>
          <w:rFonts w:hint="eastAsia" w:ascii="仿宋" w:hAnsi="仿宋" w:eastAsia="仿宋" w:cs="仿宋"/>
          <w:color w:val="auto"/>
          <w:szCs w:val="21"/>
          <w:highlight w:val="none"/>
          <w:u w:val="single"/>
        </w:rPr>
        <w:t>1）承包人不履行合同约定的工期，成本、质量，安全生产等责任和义务，将其承包的全部建设工程转给他人承包的。</w:t>
      </w:r>
      <w:bookmarkEnd w:id="576"/>
      <w:bookmarkEnd w:id="577"/>
    </w:p>
    <w:p w14:paraId="3163E24D">
      <w:pPr>
        <w:adjustRightInd/>
        <w:spacing w:line="400" w:lineRule="exact"/>
        <w:ind w:firstLine="420" w:firstLineChars="200"/>
        <w:rPr>
          <w:rFonts w:hint="eastAsia" w:ascii="仿宋" w:hAnsi="仿宋" w:eastAsia="仿宋" w:cs="仿宋"/>
          <w:color w:val="auto"/>
          <w:szCs w:val="21"/>
          <w:highlight w:val="none"/>
          <w:u w:val="single"/>
        </w:rPr>
      </w:pPr>
      <w:bookmarkStart w:id="578" w:name="_Toc384745512"/>
      <w:bookmarkStart w:id="579" w:name="_Toc384726608"/>
      <w:r>
        <w:rPr>
          <w:rFonts w:hint="eastAsia" w:ascii="仿宋" w:hAnsi="仿宋" w:eastAsia="仿宋" w:cs="仿宋"/>
          <w:color w:val="auto"/>
          <w:szCs w:val="21"/>
          <w:highlight w:val="none"/>
          <w:u w:val="single"/>
        </w:rPr>
        <w:t>2）承包人将其承包的全部建设工程肢解后，以分包名义转给他人承包的。</w:t>
      </w:r>
      <w:bookmarkEnd w:id="578"/>
      <w:bookmarkEnd w:id="579"/>
    </w:p>
    <w:p w14:paraId="460444DA">
      <w:pPr>
        <w:adjustRightInd/>
        <w:spacing w:line="400" w:lineRule="exact"/>
        <w:ind w:firstLine="420" w:firstLineChars="200"/>
        <w:rPr>
          <w:rFonts w:hint="eastAsia" w:ascii="仿宋" w:hAnsi="仿宋" w:eastAsia="仿宋" w:cs="仿宋"/>
          <w:color w:val="auto"/>
          <w:szCs w:val="21"/>
          <w:highlight w:val="none"/>
          <w:u w:val="single"/>
        </w:rPr>
      </w:pPr>
      <w:bookmarkStart w:id="580" w:name="_Toc384745513"/>
      <w:bookmarkStart w:id="581" w:name="_Toc384726609"/>
      <w:r>
        <w:rPr>
          <w:rFonts w:hint="eastAsia" w:ascii="仿宋" w:hAnsi="仿宋" w:eastAsia="仿宋" w:cs="仿宋"/>
          <w:color w:val="auto"/>
          <w:szCs w:val="21"/>
          <w:highlight w:val="none"/>
          <w:u w:val="single"/>
        </w:rPr>
        <w:t>3）承包人将主体结构工程转给他人承包的。</w:t>
      </w:r>
      <w:bookmarkEnd w:id="580"/>
      <w:bookmarkEnd w:id="581"/>
    </w:p>
    <w:p w14:paraId="3496F448">
      <w:pPr>
        <w:adjustRightInd/>
        <w:spacing w:line="400" w:lineRule="exact"/>
        <w:ind w:firstLine="420" w:firstLineChars="200"/>
        <w:rPr>
          <w:rFonts w:hint="eastAsia" w:ascii="仿宋" w:hAnsi="仿宋" w:eastAsia="仿宋" w:cs="仿宋"/>
          <w:color w:val="auto"/>
          <w:szCs w:val="21"/>
          <w:highlight w:val="none"/>
          <w:u w:val="single"/>
        </w:rPr>
      </w:pPr>
      <w:bookmarkStart w:id="582" w:name="_Toc384745514"/>
      <w:bookmarkStart w:id="583" w:name="_Toc384726610"/>
      <w:r>
        <w:rPr>
          <w:rFonts w:hint="eastAsia" w:ascii="仿宋" w:hAnsi="仿宋" w:eastAsia="仿宋" w:cs="仿宋"/>
          <w:color w:val="auto"/>
          <w:szCs w:val="21"/>
          <w:highlight w:val="none"/>
          <w:u w:val="single"/>
        </w:rPr>
        <w:t>4）施工承包人未在施工现场设立项目管理机构和派驻相应人员进行组织管理的。或者施工现场的项目经理及主要工程管理人员与承包人之间无劳动合同及社会保险关系。</w:t>
      </w:r>
      <w:bookmarkEnd w:id="582"/>
      <w:bookmarkEnd w:id="583"/>
    </w:p>
    <w:p w14:paraId="4E1142DF">
      <w:pPr>
        <w:adjustRightInd/>
        <w:spacing w:line="400" w:lineRule="exact"/>
        <w:ind w:firstLine="420" w:firstLineChars="200"/>
        <w:rPr>
          <w:rFonts w:hint="eastAsia" w:ascii="仿宋" w:hAnsi="仿宋" w:eastAsia="仿宋" w:cs="仿宋"/>
          <w:color w:val="auto"/>
          <w:szCs w:val="21"/>
          <w:highlight w:val="none"/>
          <w:u w:val="single"/>
        </w:rPr>
      </w:pPr>
      <w:bookmarkStart w:id="584" w:name="_Toc384745515"/>
      <w:bookmarkStart w:id="585" w:name="_Toc384726611"/>
      <w:r>
        <w:rPr>
          <w:rFonts w:hint="eastAsia" w:ascii="仿宋" w:hAnsi="仿宋" w:eastAsia="仿宋" w:cs="仿宋"/>
          <w:color w:val="auto"/>
          <w:szCs w:val="21"/>
          <w:highlight w:val="none"/>
          <w:u w:val="single"/>
        </w:rPr>
        <w:t>5）施工现场的项目经理及主要管理人员与合同约定的项目经理及主要管理人员不符。</w:t>
      </w:r>
      <w:bookmarkEnd w:id="584"/>
      <w:bookmarkEnd w:id="585"/>
    </w:p>
    <w:p w14:paraId="0CDE048D">
      <w:pPr>
        <w:adjustRightInd/>
        <w:spacing w:line="400" w:lineRule="exact"/>
        <w:ind w:firstLine="420" w:firstLineChars="200"/>
        <w:rPr>
          <w:rFonts w:hint="eastAsia" w:ascii="仿宋" w:hAnsi="仿宋" w:eastAsia="仿宋" w:cs="仿宋"/>
          <w:color w:val="auto"/>
          <w:szCs w:val="21"/>
          <w:highlight w:val="none"/>
          <w:u w:val="single"/>
        </w:rPr>
      </w:pPr>
      <w:bookmarkStart w:id="586" w:name="_Toc384726612"/>
      <w:bookmarkStart w:id="587" w:name="_Toc384745516"/>
      <w:r>
        <w:rPr>
          <w:rFonts w:hint="eastAsia" w:ascii="仿宋" w:hAnsi="仿宋" w:eastAsia="仿宋" w:cs="仿宋"/>
          <w:color w:val="auto"/>
          <w:szCs w:val="21"/>
          <w:highlight w:val="none"/>
          <w:u w:val="single"/>
        </w:rPr>
        <w:t>6）实行工程总承包或施工总承包的工程，总承包人和总承包人范围内的分包工程，发包人为两个独立发包单位。</w:t>
      </w:r>
      <w:bookmarkEnd w:id="586"/>
      <w:bookmarkEnd w:id="587"/>
    </w:p>
    <w:p w14:paraId="1C257F37">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7）承包人将工程分包给不具备相应资质条件的单位 。</w:t>
      </w:r>
    </w:p>
    <w:p w14:paraId="2B15ABE7">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3.5.4 分包合同价款</w:t>
      </w:r>
    </w:p>
    <w:p w14:paraId="3F690DB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关于分包合同价款支付的约定：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bookmarkEnd w:id="574"/>
    <w:bookmarkEnd w:id="575"/>
    <w:p w14:paraId="5BE774A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3.6 工程照管与成品、半成品保护</w:t>
      </w:r>
    </w:p>
    <w:p w14:paraId="3851E8B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承包人负责照管工程及工程相关的材料、工程设备的起始时间：</w:t>
      </w:r>
    </w:p>
    <w:p w14:paraId="6BF47CF2">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（1）开工日后，施工场地由承包人负责保管并负担保管费用。</w:t>
      </w:r>
    </w:p>
    <w:p w14:paraId="470F64A4">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（2）施工期间，承包人实施的在建工程，承包人采购的物资、使用的设备，以及发包人采购但已经交付给承包人的物资、设备，由承包人负责保管并负担保管费用。</w:t>
      </w:r>
    </w:p>
    <w:p w14:paraId="42073490">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（3）竣工日后到</w:t>
      </w:r>
      <w:r>
        <w:rPr>
          <w:rFonts w:hint="eastAsia" w:ascii="仿宋" w:hAnsi="仿宋" w:eastAsia="仿宋" w:cs="仿宋"/>
          <w:color w:val="auto"/>
          <w:szCs w:val="21"/>
          <w:highlight w:val="none"/>
          <w:u w:val="single"/>
          <w:lang w:val="en-US" w:eastAsia="zh-Hans"/>
        </w:rPr>
        <w:t>发包人通知</w:t>
      </w:r>
      <w:r>
        <w:rPr>
          <w:rFonts w:hint="eastAsia" w:ascii="仿宋" w:hAnsi="仿宋" w:eastAsia="仿宋" w:cs="仿宋"/>
          <w:color w:val="auto"/>
          <w:szCs w:val="21"/>
          <w:highlight w:val="none"/>
          <w:u w:val="single"/>
        </w:rPr>
        <w:t>的工程移交日前，竣工工程（包括附属设备、设施），由承包人负责保管并负担保管费用。</w:t>
      </w:r>
    </w:p>
    <w:p w14:paraId="2CD9EF8A">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（4）</w:t>
      </w:r>
      <w:r>
        <w:rPr>
          <w:rFonts w:hint="eastAsia" w:ascii="仿宋" w:hAnsi="仿宋" w:eastAsia="仿宋" w:cs="仿宋"/>
          <w:color w:val="auto"/>
          <w:szCs w:val="21"/>
          <w:highlight w:val="none"/>
          <w:u w:val="single"/>
          <w:lang w:val="en-US" w:eastAsia="zh-Hans"/>
        </w:rPr>
        <w:t>发包人通知</w:t>
      </w:r>
      <w:r>
        <w:rPr>
          <w:rFonts w:hint="eastAsia" w:ascii="仿宋" w:hAnsi="仿宋" w:eastAsia="仿宋" w:cs="仿宋"/>
          <w:color w:val="auto"/>
          <w:szCs w:val="21"/>
          <w:highlight w:val="none"/>
          <w:u w:val="single"/>
        </w:rPr>
        <w:t>的工程移交日后，对于承包人已经移交给发包人的竣工工程（包括附属设备、设施），由发包人负责保管并负担保管费用；对于承包人尚未移交给发包人的竣工工程（包括附属设备、设施），由承包人负责保管并负担保管费用。</w:t>
      </w:r>
    </w:p>
    <w:p w14:paraId="1914323B">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5）在承包人保管期间，发生工程、物资、设施设备等损坏、减少、灭失的，承包人应及时自费修复、补足、恢复原状。若承包人无法自行修复、补足、恢复原状的，应及时书面告知发包人，并承担由此产生的全部赔偿责任。造成的工期延期的，承包人</w:t>
      </w:r>
      <w:r>
        <w:rPr>
          <w:rFonts w:hint="eastAsia" w:ascii="仿宋" w:hAnsi="仿宋" w:eastAsia="仿宋" w:cs="仿宋"/>
          <w:color w:val="auto"/>
          <w:szCs w:val="21"/>
          <w:highlight w:val="none"/>
          <w:u w:val="single"/>
          <w:lang w:val="en-US" w:eastAsia="zh-Hans"/>
        </w:rPr>
        <w:t>需承担工期延期的违约责任</w:t>
      </w:r>
      <w:r>
        <w:rPr>
          <w:rFonts w:hint="eastAsia" w:ascii="仿宋" w:hAnsi="仿宋" w:eastAsia="仿宋" w:cs="仿宋"/>
          <w:color w:val="auto"/>
          <w:szCs w:val="21"/>
          <w:highlight w:val="none"/>
          <w:u w:val="single"/>
        </w:rPr>
        <w:t>。</w:t>
      </w:r>
    </w:p>
    <w:p w14:paraId="67D939F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3.7 履约担保</w:t>
      </w:r>
    </w:p>
    <w:p w14:paraId="20D3BCD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承包人是否提供履约担保：</w:t>
      </w:r>
      <w:r>
        <w:rPr>
          <w:rFonts w:hint="eastAsia" w:ascii="仿宋" w:hAnsi="仿宋" w:eastAsia="仿宋" w:cs="仿宋"/>
          <w:color w:val="auto"/>
          <w:szCs w:val="21"/>
          <w:highlight w:val="none"/>
          <w:u w:val="single"/>
        </w:rPr>
        <w:t xml:space="preserve">    是     </w:t>
      </w:r>
      <w:r>
        <w:rPr>
          <w:rFonts w:hint="eastAsia" w:ascii="仿宋" w:hAnsi="仿宋" w:eastAsia="仿宋" w:cs="仿宋"/>
          <w:color w:val="auto"/>
          <w:szCs w:val="21"/>
          <w:highlight w:val="none"/>
        </w:rPr>
        <w:t>。</w:t>
      </w:r>
    </w:p>
    <w:p w14:paraId="270ABF30">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承包人提供履约担保的形式、金额及期限的：</w:t>
      </w:r>
      <w:r>
        <w:rPr>
          <w:rFonts w:hint="eastAsia" w:ascii="仿宋" w:hAnsi="仿宋" w:eastAsia="仿宋" w:cs="仿宋"/>
          <w:color w:val="auto"/>
          <w:szCs w:val="21"/>
          <w:highlight w:val="none"/>
          <w:u w:val="single"/>
        </w:rPr>
        <w:t>本工程要求承包人提供的履约担保金额为合同总价的</w:t>
      </w:r>
      <w:r>
        <w:rPr>
          <w:rFonts w:hint="eastAsia" w:ascii="仿宋" w:hAnsi="仿宋" w:eastAsia="仿宋" w:cs="仿宋"/>
          <w:color w:val="auto"/>
          <w:szCs w:val="21"/>
          <w:highlight w:val="none"/>
          <w:u w:val="single"/>
          <w:lang w:val="en-US" w:eastAsia="zh-CN"/>
        </w:rPr>
        <w:t>1</w:t>
      </w:r>
      <w:r>
        <w:rPr>
          <w:rFonts w:hint="eastAsia" w:ascii="仿宋" w:hAnsi="仿宋" w:eastAsia="仿宋" w:cs="仿宋"/>
          <w:color w:val="auto"/>
          <w:szCs w:val="21"/>
          <w:highlight w:val="none"/>
          <w:u w:val="single"/>
        </w:rPr>
        <w:t>%（采用支票、汇票、转帐、银行保函、保险机构保证保险保单或融资担保公司保函等）；</w:t>
      </w:r>
      <w:bookmarkStart w:id="588" w:name="OLE_LINK26"/>
      <w:r>
        <w:rPr>
          <w:rFonts w:hint="eastAsia" w:ascii="仿宋" w:hAnsi="仿宋" w:eastAsia="仿宋" w:cs="仿宋"/>
          <w:color w:val="auto"/>
          <w:szCs w:val="21"/>
          <w:highlight w:val="none"/>
          <w:u w:val="single"/>
        </w:rPr>
        <w:t>在合同签订后</w:t>
      </w:r>
      <w:r>
        <w:rPr>
          <w:rFonts w:hint="eastAsia" w:ascii="仿宋" w:hAnsi="仿宋" w:eastAsia="仿宋" w:cs="仿宋"/>
          <w:color w:val="auto"/>
          <w:szCs w:val="21"/>
          <w:highlight w:val="none"/>
          <w:u w:val="single"/>
          <w:lang w:val="en-US" w:eastAsia="zh-CN"/>
        </w:rPr>
        <w:t>5个工作日</w:t>
      </w:r>
      <w:r>
        <w:rPr>
          <w:rFonts w:hint="eastAsia" w:ascii="仿宋" w:hAnsi="仿宋" w:eastAsia="仿宋" w:cs="仿宋"/>
          <w:color w:val="auto"/>
          <w:szCs w:val="21"/>
          <w:highlight w:val="none"/>
          <w:u w:val="single"/>
        </w:rPr>
        <w:t>内提交，承包人若未按合同约定时间交纳履约担保，发包人将延迟支付工程款项并处以按迟交天数日乘合同价(合同价1000万元以上的以履约担保金额为基数)的万分之五的违约金。若采用履约保函形式，因故导致保函有效期在竣工验收前过期的，乙方无条件做好延期，未按时延期的，视同未按时交纳履约担保，按合同价的万分之五／日计算违约金。</w:t>
      </w:r>
      <w:bookmarkEnd w:id="588"/>
      <w:r>
        <w:rPr>
          <w:rFonts w:hint="eastAsia" w:ascii="仿宋" w:hAnsi="仿宋" w:eastAsia="仿宋" w:cs="仿宋"/>
          <w:color w:val="auto"/>
          <w:szCs w:val="21"/>
          <w:highlight w:val="none"/>
          <w:u w:val="single"/>
        </w:rPr>
        <w:t>履约担保划分如下：其中工程质量履约担保占履约担保总额的20%，工期履约担保占履约担保总额的40%，安全、文明施工履约担保占履约担保总额的20%，项目班组履约担保占履约担保总额的20%。</w:t>
      </w:r>
    </w:p>
    <w:p w14:paraId="7A22484A">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银行保函从签订本合同至竣工验收合格后90天内有效。</w:t>
      </w:r>
    </w:p>
    <w:p w14:paraId="34EC0B89">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履约担保的退还：</w:t>
      </w:r>
      <w:r>
        <w:rPr>
          <w:rFonts w:hint="eastAsia" w:ascii="仿宋" w:hAnsi="仿宋" w:eastAsia="仿宋" w:cs="仿宋"/>
          <w:color w:val="auto"/>
          <w:szCs w:val="21"/>
          <w:highlight w:val="none"/>
          <w:u w:val="single"/>
        </w:rPr>
        <w:t>承包人完成全部合同约定内容，合同履约期间无违约行为，一次性竣工验收合格的，则在工程竣工验收合格后10日内，发包人退还履约担保。</w:t>
      </w:r>
    </w:p>
    <w:p w14:paraId="61F6477D">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本合同履行期间，承包人违反合同而应承担金钱责任被提取履约担保的，则承包人应自履约担保被提取之日起7个日内将被提取的履约担保的数额补足，否则视为承包人违约，按照应填补而未填补数额以每日万分之五的标准承担逾期填补违约金。</w:t>
      </w:r>
    </w:p>
    <w:p w14:paraId="505D83C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3.8 </w:t>
      </w:r>
    </w:p>
    <w:p w14:paraId="2EAC4BCF">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3.8.1  联合体所承担的连带责任持续有效而无需再行作出书面约定，唯有不承担连带责任之特殊情形，须另行作出书面约定。</w:t>
      </w:r>
    </w:p>
    <w:p w14:paraId="5F6AF09E">
      <w:pPr>
        <w:keepNext/>
        <w:keepLines/>
        <w:adjustRightInd/>
        <w:spacing w:line="400" w:lineRule="exact"/>
        <w:outlineLvl w:val="3"/>
        <w:rPr>
          <w:rFonts w:hint="eastAsia" w:ascii="仿宋" w:hAnsi="仿宋" w:eastAsia="仿宋" w:cs="仿宋"/>
          <w:bCs/>
          <w:color w:val="auto"/>
          <w:szCs w:val="21"/>
          <w:highlight w:val="none"/>
        </w:rPr>
      </w:pPr>
      <w:bookmarkStart w:id="589" w:name="_Toc351203636"/>
      <w:r>
        <w:rPr>
          <w:rFonts w:hint="eastAsia" w:ascii="仿宋" w:hAnsi="仿宋" w:eastAsia="仿宋" w:cs="仿宋"/>
          <w:bCs/>
          <w:color w:val="auto"/>
          <w:szCs w:val="21"/>
          <w:highlight w:val="none"/>
        </w:rPr>
        <w:t>4</w:t>
      </w:r>
      <w:bookmarkStart w:id="590" w:name="_Toc297048348"/>
      <w:bookmarkStart w:id="591" w:name="_Toc296944501"/>
      <w:bookmarkStart w:id="592" w:name="_Toc267251413"/>
      <w:bookmarkStart w:id="593" w:name="_Toc296346663"/>
      <w:bookmarkStart w:id="594" w:name="_Toc296503162"/>
      <w:bookmarkStart w:id="595" w:name="_Toc292559871"/>
      <w:bookmarkStart w:id="596" w:name="_Toc297120462"/>
      <w:bookmarkStart w:id="597" w:name="_Toc296347161"/>
      <w:bookmarkStart w:id="598" w:name="_Toc292559366"/>
      <w:bookmarkStart w:id="599" w:name="_Toc296891202"/>
      <w:bookmarkStart w:id="600" w:name="_Toc296890990"/>
      <w:r>
        <w:rPr>
          <w:rFonts w:hint="eastAsia" w:ascii="仿宋" w:hAnsi="仿宋" w:eastAsia="仿宋" w:cs="仿宋"/>
          <w:bCs/>
          <w:color w:val="auto"/>
          <w:szCs w:val="21"/>
          <w:highlight w:val="none"/>
        </w:rPr>
        <w:t>. 监</w:t>
      </w:r>
      <w:bookmarkEnd w:id="590"/>
      <w:bookmarkEnd w:id="591"/>
      <w:bookmarkEnd w:id="592"/>
      <w:bookmarkEnd w:id="593"/>
      <w:bookmarkEnd w:id="594"/>
      <w:bookmarkEnd w:id="595"/>
      <w:bookmarkEnd w:id="596"/>
      <w:bookmarkEnd w:id="597"/>
      <w:bookmarkEnd w:id="598"/>
      <w:bookmarkEnd w:id="599"/>
      <w:bookmarkEnd w:id="600"/>
      <w:r>
        <w:rPr>
          <w:rFonts w:hint="eastAsia" w:ascii="仿宋" w:hAnsi="仿宋" w:eastAsia="仿宋" w:cs="仿宋"/>
          <w:bCs/>
          <w:color w:val="auto"/>
          <w:szCs w:val="21"/>
          <w:highlight w:val="none"/>
        </w:rPr>
        <w:t>理人</w:t>
      </w:r>
      <w:bookmarkEnd w:id="589"/>
    </w:p>
    <w:p w14:paraId="391CA83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4.1监理人的一般规定</w:t>
      </w:r>
    </w:p>
    <w:p w14:paraId="65BC902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关于监理人的监理内容：</w:t>
      </w:r>
      <w:r>
        <w:rPr>
          <w:rFonts w:hint="eastAsia" w:ascii="仿宋" w:hAnsi="仿宋" w:eastAsia="仿宋" w:cs="仿宋"/>
          <w:color w:val="auto"/>
          <w:szCs w:val="21"/>
          <w:highlight w:val="none"/>
          <w:u w:val="single"/>
        </w:rPr>
        <w:t xml:space="preserve">  见本工程的委托监理合同    </w:t>
      </w:r>
      <w:r>
        <w:rPr>
          <w:rFonts w:hint="eastAsia" w:ascii="仿宋" w:hAnsi="仿宋" w:eastAsia="仿宋" w:cs="仿宋"/>
          <w:color w:val="auto"/>
          <w:szCs w:val="21"/>
          <w:highlight w:val="none"/>
        </w:rPr>
        <w:t>。</w:t>
      </w:r>
    </w:p>
    <w:p w14:paraId="2564E6D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关于监理人的监理权限：</w:t>
      </w:r>
      <w:r>
        <w:rPr>
          <w:rFonts w:hint="eastAsia" w:ascii="仿宋" w:hAnsi="仿宋" w:eastAsia="仿宋" w:cs="仿宋"/>
          <w:color w:val="auto"/>
          <w:szCs w:val="21"/>
          <w:highlight w:val="none"/>
          <w:u w:val="single"/>
        </w:rPr>
        <w:t xml:space="preserve">  根据监理合同、施工承包合同和法律法规规定的事项代表发包人进行工程前期协调、施工现场协调、工程监理   </w:t>
      </w:r>
      <w:r>
        <w:rPr>
          <w:rFonts w:hint="eastAsia" w:ascii="仿宋" w:hAnsi="仿宋" w:eastAsia="仿宋" w:cs="仿宋"/>
          <w:color w:val="auto"/>
          <w:szCs w:val="21"/>
          <w:highlight w:val="none"/>
        </w:rPr>
        <w:t xml:space="preserve">。 </w:t>
      </w:r>
    </w:p>
    <w:p w14:paraId="555000B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关于监理人在施工现场的办公场所、生活场所的提供和费用承担的约定：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1DB9F53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4.2 监理人员</w:t>
      </w:r>
    </w:p>
    <w:p w14:paraId="19C442A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总监理工程师：</w:t>
      </w:r>
    </w:p>
    <w:p w14:paraId="188CED6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姓    名：</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14:paraId="74325D4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    务：</w:t>
      </w:r>
      <w:r>
        <w:rPr>
          <w:rFonts w:hint="eastAsia" w:ascii="仿宋" w:hAnsi="仿宋" w:eastAsia="仿宋" w:cs="仿宋"/>
          <w:color w:val="auto"/>
          <w:szCs w:val="21"/>
          <w:highlight w:val="none"/>
          <w:u w:val="single"/>
        </w:rPr>
        <w:t>总监理工程师 </w:t>
      </w:r>
      <w:r>
        <w:rPr>
          <w:rFonts w:hint="eastAsia" w:ascii="仿宋" w:hAnsi="仿宋" w:eastAsia="仿宋" w:cs="仿宋"/>
          <w:color w:val="auto"/>
          <w:szCs w:val="21"/>
          <w:highlight w:val="none"/>
        </w:rPr>
        <w:t>；</w:t>
      </w:r>
    </w:p>
    <w:p w14:paraId="794F5A2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监理工程师执业资格证书号：</w:t>
      </w:r>
      <w:r>
        <w:rPr>
          <w:rFonts w:hint="eastAsia" w:ascii="仿宋" w:hAnsi="仿宋" w:eastAsia="仿宋" w:cs="仿宋"/>
          <w:color w:val="auto"/>
          <w:szCs w:val="21"/>
          <w:highlight w:val="none"/>
          <w:u w:val="single"/>
        </w:rPr>
        <w:t> </w:t>
      </w:r>
      <w:r>
        <w:rPr>
          <w:rFonts w:hint="eastAsia" w:ascii="仿宋" w:hAnsi="仿宋" w:eastAsia="仿宋" w:cs="仿宋"/>
          <w:color w:val="auto"/>
          <w:szCs w:val="21"/>
          <w:highlight w:val="none"/>
        </w:rPr>
        <w:t>；</w:t>
      </w:r>
    </w:p>
    <w:p w14:paraId="0003A75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联系电话：</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14:paraId="432F4C2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电子信箱：</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14:paraId="4FDBF9E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通信地址：</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14:paraId="4E3BFB37">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关于监理人的其他约定：</w:t>
      </w:r>
      <w:r>
        <w:rPr>
          <w:rFonts w:hint="eastAsia" w:ascii="仿宋" w:hAnsi="仿宋" w:eastAsia="仿宋" w:cs="仿宋"/>
          <w:color w:val="auto"/>
          <w:szCs w:val="21"/>
          <w:highlight w:val="none"/>
          <w:u w:val="single"/>
        </w:rPr>
        <w:t>需要取得发包人</w:t>
      </w:r>
      <w:r>
        <w:rPr>
          <w:rFonts w:hint="eastAsia" w:ascii="仿宋" w:hAnsi="仿宋" w:eastAsia="仿宋" w:cs="仿宋"/>
          <w:color w:val="auto"/>
          <w:szCs w:val="21"/>
          <w:highlight w:val="none"/>
          <w:u w:val="single"/>
          <w:lang w:val="en-US" w:eastAsia="zh-Hans"/>
        </w:rPr>
        <w:t>书面</w:t>
      </w:r>
      <w:r>
        <w:rPr>
          <w:rFonts w:hint="eastAsia" w:ascii="仿宋" w:hAnsi="仿宋" w:eastAsia="仿宋" w:cs="仿宋"/>
          <w:color w:val="auto"/>
          <w:szCs w:val="21"/>
          <w:highlight w:val="none"/>
          <w:u w:val="single"/>
        </w:rPr>
        <w:t>批准才能行使的职权：包括但不限于以下内容，（1）涉及全局进度的工程暂停、复工；（2）设计变更的估价；（3）索赔的支付；（4）涉及改变原设计意图；（5）涉及设计变更，工期延顺，材料价格，用材、追加工程款，经济补偿等。所有涉及工程付款或工期的签证需经发包人书面同意，签证才有效</w:t>
      </w:r>
      <w:r>
        <w:rPr>
          <w:rFonts w:hint="eastAsia" w:ascii="仿宋" w:hAnsi="仿宋" w:eastAsia="仿宋" w:cs="仿宋"/>
          <w:color w:val="auto"/>
          <w:szCs w:val="21"/>
          <w:highlight w:val="none"/>
        </w:rPr>
        <w:t>。</w:t>
      </w:r>
    </w:p>
    <w:p w14:paraId="521B509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4.4 商定或确定</w:t>
      </w:r>
    </w:p>
    <w:p w14:paraId="62396F67">
      <w:pPr>
        <w:adjustRightInd/>
        <w:spacing w:line="400" w:lineRule="exact"/>
        <w:ind w:firstLine="420" w:firstLineChars="200"/>
        <w:rPr>
          <w:rFonts w:hint="eastAsia" w:ascii="仿宋" w:hAnsi="仿宋" w:eastAsia="仿宋" w:cs="仿宋"/>
          <w:color w:val="auto"/>
          <w:szCs w:val="21"/>
          <w:highlight w:val="none"/>
        </w:rPr>
      </w:pPr>
      <w:bookmarkStart w:id="601" w:name="_Toc267251418"/>
      <w:r>
        <w:rPr>
          <w:rFonts w:hint="eastAsia" w:ascii="仿宋" w:hAnsi="仿宋" w:eastAsia="仿宋" w:cs="仿宋"/>
          <w:color w:val="auto"/>
          <w:szCs w:val="21"/>
          <w:highlight w:val="none"/>
        </w:rPr>
        <w:t>在发包人和承包人不能通过协商达成一致意见时，发包人授权监理人对以下事项进行确定：</w:t>
      </w:r>
    </w:p>
    <w:p w14:paraId="5BE302FB">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u w:val="single"/>
        </w:rPr>
        <w:t xml:space="preserve">       无           </w:t>
      </w:r>
      <w:r>
        <w:rPr>
          <w:rFonts w:hint="eastAsia" w:ascii="仿宋" w:hAnsi="仿宋" w:eastAsia="仿宋" w:cs="仿宋"/>
          <w:color w:val="auto"/>
          <w:szCs w:val="21"/>
          <w:highlight w:val="none"/>
        </w:rPr>
        <w:t>；</w:t>
      </w:r>
    </w:p>
    <w:p w14:paraId="7DE814BC">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u w:val="single"/>
        </w:rPr>
        <w:t xml:space="preserve">       无           </w:t>
      </w:r>
      <w:r>
        <w:rPr>
          <w:rFonts w:hint="eastAsia" w:ascii="仿宋" w:hAnsi="仿宋" w:eastAsia="仿宋" w:cs="仿宋"/>
          <w:color w:val="auto"/>
          <w:szCs w:val="21"/>
          <w:highlight w:val="none"/>
        </w:rPr>
        <w:t>；</w:t>
      </w:r>
    </w:p>
    <w:p w14:paraId="6F93EFB3">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r>
        <w:rPr>
          <w:rFonts w:hint="eastAsia" w:ascii="仿宋" w:hAnsi="仿宋" w:eastAsia="仿宋" w:cs="仿宋"/>
          <w:color w:val="auto"/>
          <w:szCs w:val="21"/>
          <w:highlight w:val="none"/>
          <w:u w:val="single"/>
        </w:rPr>
        <w:t xml:space="preserve">       无           </w:t>
      </w:r>
      <w:r>
        <w:rPr>
          <w:rFonts w:hint="eastAsia" w:ascii="仿宋" w:hAnsi="仿宋" w:eastAsia="仿宋" w:cs="仿宋"/>
          <w:color w:val="auto"/>
          <w:szCs w:val="21"/>
          <w:highlight w:val="none"/>
        </w:rPr>
        <w:t>。</w:t>
      </w:r>
    </w:p>
    <w:p w14:paraId="7C536020">
      <w:pPr>
        <w:keepNext/>
        <w:keepLines/>
        <w:adjustRightInd/>
        <w:spacing w:line="400" w:lineRule="exact"/>
        <w:outlineLvl w:val="3"/>
        <w:rPr>
          <w:rFonts w:hint="eastAsia" w:ascii="仿宋" w:hAnsi="仿宋" w:eastAsia="仿宋" w:cs="仿宋"/>
          <w:bCs/>
          <w:color w:val="auto"/>
          <w:szCs w:val="21"/>
          <w:highlight w:val="none"/>
        </w:rPr>
      </w:pPr>
      <w:bookmarkStart w:id="602" w:name="_Toc351203637"/>
      <w:r>
        <w:rPr>
          <w:rFonts w:hint="eastAsia" w:ascii="仿宋" w:hAnsi="仿宋" w:eastAsia="仿宋" w:cs="仿宋"/>
          <w:bCs/>
          <w:color w:val="auto"/>
          <w:szCs w:val="21"/>
          <w:highlight w:val="none"/>
        </w:rPr>
        <w:t>5</w:t>
      </w:r>
      <w:bookmarkEnd w:id="601"/>
      <w:bookmarkStart w:id="603" w:name="_Toc292559872"/>
      <w:bookmarkStart w:id="604" w:name="_Toc296890991"/>
      <w:bookmarkStart w:id="605" w:name="_Toc292559367"/>
      <w:bookmarkStart w:id="606" w:name="_Toc296891203"/>
      <w:bookmarkStart w:id="607" w:name="_Toc297048349"/>
      <w:bookmarkStart w:id="608" w:name="_Toc296944502"/>
      <w:bookmarkStart w:id="609" w:name="_Toc296346664"/>
      <w:bookmarkStart w:id="610" w:name="_Toc296503163"/>
      <w:bookmarkStart w:id="611" w:name="_Toc296347162"/>
      <w:bookmarkStart w:id="612" w:name="_Toc297120463"/>
      <w:r>
        <w:rPr>
          <w:rFonts w:hint="eastAsia" w:ascii="仿宋" w:hAnsi="仿宋" w:eastAsia="仿宋" w:cs="仿宋"/>
          <w:bCs/>
          <w:color w:val="auto"/>
          <w:szCs w:val="21"/>
          <w:highlight w:val="none"/>
        </w:rPr>
        <w:t>. 工程质量</w:t>
      </w:r>
      <w:bookmarkEnd w:id="602"/>
    </w:p>
    <w:p w14:paraId="473B60FD">
      <w:pPr>
        <w:adjustRightInd/>
        <w:spacing w:line="400" w:lineRule="exact"/>
        <w:ind w:firstLine="420" w:firstLineChars="200"/>
        <w:outlineLvl w:val="0"/>
        <w:rPr>
          <w:rFonts w:hint="eastAsia" w:ascii="仿宋" w:hAnsi="仿宋" w:eastAsia="仿宋" w:cs="仿宋"/>
          <w:color w:val="auto"/>
          <w:szCs w:val="21"/>
          <w:highlight w:val="none"/>
        </w:rPr>
      </w:pPr>
      <w:bookmarkStart w:id="613" w:name="_Toc4026"/>
      <w:bookmarkStart w:id="614" w:name="_Toc23350"/>
      <w:bookmarkStart w:id="615" w:name="_Toc29387"/>
      <w:bookmarkStart w:id="616" w:name="_Toc15287"/>
      <w:bookmarkStart w:id="617" w:name="_Toc30439"/>
      <w:bookmarkStart w:id="618" w:name="_Toc4020"/>
      <w:r>
        <w:rPr>
          <w:rFonts w:hint="eastAsia" w:ascii="仿宋" w:hAnsi="仿宋" w:eastAsia="仿宋" w:cs="仿宋"/>
          <w:color w:val="auto"/>
          <w:szCs w:val="21"/>
          <w:highlight w:val="none"/>
        </w:rPr>
        <w:t>5.1 质量要求</w:t>
      </w:r>
      <w:bookmarkEnd w:id="613"/>
      <w:bookmarkEnd w:id="614"/>
      <w:bookmarkEnd w:id="615"/>
      <w:bookmarkEnd w:id="616"/>
      <w:bookmarkEnd w:id="617"/>
      <w:bookmarkEnd w:id="618"/>
    </w:p>
    <w:p w14:paraId="31467ABB">
      <w:pPr>
        <w:adjustRightInd/>
        <w:spacing w:line="400" w:lineRule="exact"/>
        <w:ind w:firstLine="420" w:firstLineChars="200"/>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bookmarkStart w:id="619" w:name="_Toc297216155"/>
      <w:bookmarkStart w:id="620" w:name="_Toc297123496"/>
      <w:bookmarkStart w:id="621" w:name="_Toc304295527"/>
      <w:bookmarkStart w:id="622" w:name="_Toc312677997"/>
      <w:bookmarkStart w:id="623" w:name="_Toc303539106"/>
      <w:bookmarkStart w:id="624" w:name="_Toc318581164"/>
      <w:bookmarkStart w:id="625" w:name="_Toc300934949"/>
      <w:r>
        <w:rPr>
          <w:rFonts w:hint="eastAsia" w:ascii="仿宋" w:hAnsi="仿宋" w:eastAsia="仿宋" w:cs="仿宋"/>
          <w:color w:val="auto"/>
          <w:szCs w:val="21"/>
          <w:highlight w:val="none"/>
        </w:rPr>
        <w:t>.1.1 特殊质量标准和要求：</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0051FAF6">
      <w:pPr>
        <w:adjustRightInd/>
        <w:spacing w:line="400" w:lineRule="exact"/>
        <w:ind w:firstLine="420" w:firstLineChars="200"/>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关于工程奖项的约定：</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054D5B9D">
      <w:pPr>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5.1.2 因发包人原因造成工程质量未达到合同约定标准的，由发包人承担由此增加的费用和（或）延误的工期，但不包括承包人的利润损失。</w:t>
      </w:r>
    </w:p>
    <w:p w14:paraId="51BEFD27">
      <w:pPr>
        <w:adjustRightInd/>
        <w:spacing w:line="400" w:lineRule="exact"/>
        <w:ind w:firstLine="420" w:firstLineChars="200"/>
        <w:outlineLvl w:val="0"/>
        <w:rPr>
          <w:rFonts w:hint="eastAsia" w:ascii="仿宋" w:hAnsi="仿宋" w:eastAsia="仿宋" w:cs="仿宋"/>
          <w:color w:val="auto"/>
          <w:szCs w:val="21"/>
          <w:highlight w:val="none"/>
        </w:rPr>
      </w:pPr>
      <w:bookmarkStart w:id="626" w:name="_Toc29586"/>
      <w:bookmarkStart w:id="627" w:name="_Toc113"/>
      <w:bookmarkStart w:id="628" w:name="_Toc29840"/>
      <w:bookmarkStart w:id="629" w:name="_Toc23574"/>
      <w:bookmarkStart w:id="630" w:name="_Toc4135"/>
      <w:bookmarkStart w:id="631" w:name="_Toc20752"/>
      <w:r>
        <w:rPr>
          <w:rFonts w:hint="eastAsia" w:ascii="仿宋" w:hAnsi="仿宋" w:eastAsia="仿宋" w:cs="仿宋"/>
          <w:color w:val="auto"/>
          <w:szCs w:val="21"/>
          <w:highlight w:val="none"/>
        </w:rPr>
        <w:t>5.3 隐蔽工程检查</w:t>
      </w:r>
      <w:bookmarkEnd w:id="626"/>
      <w:bookmarkEnd w:id="627"/>
      <w:bookmarkEnd w:id="628"/>
      <w:bookmarkEnd w:id="629"/>
      <w:bookmarkEnd w:id="630"/>
      <w:bookmarkEnd w:id="631"/>
    </w:p>
    <w:p w14:paraId="38ED360F">
      <w:pPr>
        <w:adjustRightInd/>
        <w:spacing w:line="400" w:lineRule="exact"/>
        <w:ind w:firstLine="420" w:firstLineChars="200"/>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5.3.2承包人提前通知监理人隐蔽工程检查的期限的约定：</w:t>
      </w:r>
      <w:r>
        <w:rPr>
          <w:rFonts w:hint="eastAsia" w:ascii="仿宋" w:hAnsi="仿宋" w:eastAsia="仿宋" w:cs="仿宋"/>
          <w:color w:val="auto"/>
          <w:szCs w:val="21"/>
          <w:highlight w:val="none"/>
          <w:u w:val="single"/>
        </w:rPr>
        <w:t xml:space="preserve"> 承包人应在共同检查前48小时书面通知监理人。施工期间，承包方应严格实行隐蔽工程验收制度，如承包人有未经监理方自行验收隐蔽工程的或私自将工程隐蔽部位覆盖的，监理方和发包方有权要求复验，所有费用由承包方承担，发包方有权视情节轻重对承包方处以1万元/次的违约金。复验期间不顺延施工工期。施工期间，承包方应严格遵守</w:t>
      </w:r>
      <w:r>
        <w:rPr>
          <w:rFonts w:hint="eastAsia" w:ascii="仿宋" w:hAnsi="仿宋" w:eastAsia="仿宋" w:cs="仿宋"/>
          <w:color w:val="auto"/>
          <w:szCs w:val="21"/>
          <w:highlight w:val="none"/>
          <w:u w:val="single"/>
          <w:lang w:eastAsia="zh-CN"/>
        </w:rPr>
        <w:t>发包人</w:t>
      </w:r>
      <w:r>
        <w:rPr>
          <w:rFonts w:hint="eastAsia" w:ascii="仿宋" w:hAnsi="仿宋" w:eastAsia="仿宋" w:cs="仿宋"/>
          <w:color w:val="auto"/>
          <w:szCs w:val="21"/>
          <w:highlight w:val="none"/>
          <w:u w:val="single"/>
        </w:rPr>
        <w:t>相关工程管理制度，若有费用产生由承包方承担，发包人有权视情节轻重对承包方按制度处以违约金</w:t>
      </w:r>
      <w:r>
        <w:rPr>
          <w:rFonts w:hint="eastAsia" w:ascii="仿宋" w:hAnsi="仿宋" w:eastAsia="仿宋" w:cs="仿宋"/>
          <w:color w:val="auto"/>
          <w:szCs w:val="21"/>
          <w:highlight w:val="none"/>
        </w:rPr>
        <w:t>。</w:t>
      </w:r>
    </w:p>
    <w:p w14:paraId="0F2516A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监理人不能按时进行检查时，应提前</w:t>
      </w:r>
      <w:r>
        <w:rPr>
          <w:rFonts w:hint="eastAsia" w:ascii="仿宋" w:hAnsi="仿宋" w:eastAsia="仿宋" w:cs="仿宋"/>
          <w:color w:val="auto"/>
          <w:szCs w:val="21"/>
          <w:highlight w:val="none"/>
          <w:u w:val="single"/>
        </w:rPr>
        <w:t xml:space="preserve">   24    </w:t>
      </w:r>
      <w:r>
        <w:rPr>
          <w:rFonts w:hint="eastAsia" w:ascii="仿宋" w:hAnsi="仿宋" w:eastAsia="仿宋" w:cs="仿宋"/>
          <w:color w:val="auto"/>
          <w:szCs w:val="21"/>
          <w:highlight w:val="none"/>
        </w:rPr>
        <w:t>小时提交书面延期要求。</w:t>
      </w:r>
    </w:p>
    <w:p w14:paraId="6BE5F3C7">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关于延期最长不得超过：</w:t>
      </w:r>
      <w:r>
        <w:rPr>
          <w:rFonts w:hint="eastAsia" w:ascii="仿宋" w:hAnsi="仿宋" w:eastAsia="仿宋" w:cs="仿宋"/>
          <w:color w:val="auto"/>
          <w:szCs w:val="21"/>
          <w:highlight w:val="none"/>
          <w:u w:val="single"/>
        </w:rPr>
        <w:t xml:space="preserve">    48     </w:t>
      </w:r>
      <w:r>
        <w:rPr>
          <w:rFonts w:hint="eastAsia" w:ascii="仿宋" w:hAnsi="仿宋" w:eastAsia="仿宋" w:cs="仿宋"/>
          <w:color w:val="auto"/>
          <w:szCs w:val="21"/>
          <w:highlight w:val="none"/>
        </w:rPr>
        <w:t>小时。</w:t>
      </w:r>
    </w:p>
    <w:p w14:paraId="596B8499">
      <w:pPr>
        <w:keepNext/>
        <w:keepLines/>
        <w:adjustRightInd/>
        <w:spacing w:line="400" w:lineRule="exact"/>
        <w:outlineLvl w:val="3"/>
        <w:rPr>
          <w:rFonts w:hint="eastAsia" w:ascii="仿宋" w:hAnsi="仿宋" w:eastAsia="仿宋" w:cs="仿宋"/>
          <w:bCs/>
          <w:color w:val="auto"/>
          <w:szCs w:val="21"/>
          <w:highlight w:val="none"/>
        </w:rPr>
      </w:pPr>
      <w:bookmarkStart w:id="632" w:name="_Toc351203638"/>
      <w:r>
        <w:rPr>
          <w:rFonts w:hint="eastAsia" w:ascii="仿宋" w:hAnsi="仿宋" w:eastAsia="仿宋" w:cs="仿宋"/>
          <w:bCs/>
          <w:color w:val="auto"/>
          <w:szCs w:val="21"/>
          <w:highlight w:val="none"/>
        </w:rPr>
        <w:t>6. 安全文明施工与环境保护</w:t>
      </w:r>
      <w:bookmarkEnd w:id="632"/>
    </w:p>
    <w:p w14:paraId="2BEBE2C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6.1安全文明施工</w:t>
      </w:r>
    </w:p>
    <w:p w14:paraId="27D5745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6.1.1 项目安全生产的达标目标及相应事项的约定：</w:t>
      </w:r>
      <w:r>
        <w:rPr>
          <w:rFonts w:hint="eastAsia" w:ascii="仿宋" w:hAnsi="仿宋" w:eastAsia="仿宋" w:cs="仿宋"/>
          <w:color w:val="auto"/>
          <w:szCs w:val="21"/>
          <w:highlight w:val="none"/>
          <w:u w:val="single"/>
        </w:rPr>
        <w:t>施工现场按照《建筑施工安全检查标准》（JGJ59-2011）评定达到“合格”标准。承包人必须严格遵守和执行中华人民共和国以及杭州市安全生产和劳动保护的有关规定，保证采取一切必要的安全预防措施，以防止承包人的雇员、发包人和工程师的职员及其他人员因承包人的不当操作而受到伤害。在施工过程中由于承包人原因而发生的人身伤亡、财产损失及其它一切事故，其责任全部由承包人负责。承包人人员在工地现场发生打架、破坏污染建筑单体的行为，发包人将视责任程度每次处以5000-10000元的违约金，对造成的损失由承包人照价赔偿。不定期进行安全文明施工检查，施工单位应及时整改，被一次警告后不作处罚，限期整改，被二次警告后扣除相应比例的文明施工费，另若由于施工不文明、不安全而被新闻单位曝光或建设主管部门检查后通报，每次扣除承包人壹万元整，且还应赔偿给发包人带来的所有损失。</w:t>
      </w:r>
    </w:p>
    <w:p w14:paraId="4B4EFCA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6.1.4 关于治安保卫的特别约定：</w:t>
      </w:r>
      <w:r>
        <w:rPr>
          <w:rFonts w:hint="eastAsia" w:ascii="仿宋" w:hAnsi="仿宋" w:eastAsia="仿宋" w:cs="仿宋"/>
          <w:color w:val="auto"/>
          <w:szCs w:val="21"/>
          <w:highlight w:val="none"/>
          <w:u w:val="single"/>
        </w:rPr>
        <w:t xml:space="preserve"> 按照杭州市当地建筑工地安全文明施工管理规定执行。承包人应加强施工的安全生产管理，制定安全操作规程，保证工程施工的安全，承包人应教育其职工进行文明施工，配备必要的安全生产设施和劳动保护用具。承包人应对其管辖范围内的人员和设备（包括业主及监理单位的人员和设备）以及工程的安全负责，应负责做好其所辖人员的工作场所和居住区的日常治安管理和安全保护工作。承包人必须注意保护工地邻近建筑物和附近居民的安全，防止因施工措施不当使附近居民的人员财产遭受损失，否则承包人负全责。承包人必须对施工现场的用电安全负责。施工现场用电必须遵照杭州市建委颁布的施工现场用电管理条例执行。在工地现场做好警戒告示牌，提醒进入施工现场人员的注意。以上内容发生的费用和责任全部由承包人承担 </w:t>
      </w:r>
      <w:r>
        <w:rPr>
          <w:rFonts w:hint="eastAsia" w:ascii="仿宋" w:hAnsi="仿宋" w:eastAsia="仿宋" w:cs="仿宋"/>
          <w:color w:val="auto"/>
          <w:szCs w:val="21"/>
          <w:highlight w:val="none"/>
        </w:rPr>
        <w:t>。</w:t>
      </w:r>
    </w:p>
    <w:p w14:paraId="6B41DF4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关于编制施工场地治安管理计划的约定：</w:t>
      </w:r>
      <w:r>
        <w:rPr>
          <w:rFonts w:hint="eastAsia" w:ascii="仿宋" w:hAnsi="仿宋" w:eastAsia="仿宋" w:cs="仿宋"/>
          <w:color w:val="auto"/>
          <w:szCs w:val="21"/>
          <w:highlight w:val="none"/>
          <w:u w:val="single"/>
        </w:rPr>
        <w:t xml:space="preserve">   由承包人负责 </w:t>
      </w:r>
      <w:r>
        <w:rPr>
          <w:rFonts w:hint="eastAsia" w:ascii="仿宋" w:hAnsi="仿宋" w:eastAsia="仿宋" w:cs="仿宋"/>
          <w:color w:val="auto"/>
          <w:szCs w:val="21"/>
          <w:highlight w:val="none"/>
        </w:rPr>
        <w:t>。</w:t>
      </w:r>
    </w:p>
    <w:p w14:paraId="05FFA1A7">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6.1.5 文明施工</w:t>
      </w:r>
    </w:p>
    <w:p w14:paraId="0C2791A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合同当事人对文明施工的要求：</w:t>
      </w:r>
    </w:p>
    <w:p w14:paraId="4F21FBB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（1）遵守地方政府和有关部门对施工场地交通、环卫、安全和施工噪音等管理规定，并办理相关审批手续。</w:t>
      </w:r>
    </w:p>
    <w:p w14:paraId="0E5131F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（2）承包人应采取有效措施尽量减小尘土和噪音污染，需要进行夜间作业时应经有关部门批准。</w:t>
      </w:r>
    </w:p>
    <w:p w14:paraId="200E2CD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3）其他:文明施工按《2018年全市建设工程文明施工和扬尘管控水平提升专项行动实施方案&gt;的通知》（杭建文领办（2018）1号）、杭建监总（2003）38号关于实施《杭州市建设工地安全生产、文明施工管理实施细则（试行）的通知》及文明工地杭建监总[2011]21号《关于打造“文明工地”创建全国文明城市活动实施方案》执行，否则若造成工程损失或人身伤害，由承包人承担全部责任及费用。</w:t>
      </w:r>
    </w:p>
    <w:p w14:paraId="41D6D15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（4）上述手续办理费用约定如下：由承包人自行承担，在结算时不予调整</w:t>
      </w:r>
      <w:r>
        <w:rPr>
          <w:rFonts w:hint="eastAsia" w:ascii="仿宋" w:hAnsi="仿宋" w:eastAsia="仿宋" w:cs="仿宋"/>
          <w:color w:val="auto"/>
          <w:szCs w:val="21"/>
          <w:highlight w:val="none"/>
        </w:rPr>
        <w:t xml:space="preserve">。  </w:t>
      </w:r>
    </w:p>
    <w:p w14:paraId="6F6659B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6.1.6 关于安全文明施工费支付比例和支付期限的约定：</w:t>
      </w:r>
      <w:r>
        <w:rPr>
          <w:rFonts w:hint="eastAsia" w:ascii="仿宋" w:hAnsi="仿宋" w:eastAsia="仿宋" w:cs="仿宋"/>
          <w:color w:val="auto"/>
          <w:szCs w:val="21"/>
          <w:highlight w:val="none"/>
          <w:u w:val="single"/>
        </w:rPr>
        <w:t>按以下第（ 1 ）种方式约定：</w:t>
      </w:r>
    </w:p>
    <w:p w14:paraId="19A432A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（1）发包人应在开工后28天内预付安全文明施工费总额的60%，剩余部分支付按以下第（①）种方式约定 </w:t>
      </w:r>
      <w:r>
        <w:rPr>
          <w:rFonts w:hint="eastAsia" w:ascii="仿宋" w:hAnsi="仿宋" w:eastAsia="仿宋" w:cs="仿宋"/>
          <w:color w:val="auto"/>
          <w:szCs w:val="21"/>
          <w:highlight w:val="none"/>
        </w:rPr>
        <w:t>：</w:t>
      </w:r>
    </w:p>
    <w:p w14:paraId="45EB266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①  视相关措施的落实情况与进度款同期支付             </w:t>
      </w:r>
      <w:r>
        <w:rPr>
          <w:rFonts w:hint="eastAsia" w:ascii="仿宋" w:hAnsi="仿宋" w:eastAsia="仿宋" w:cs="仿宋"/>
          <w:color w:val="auto"/>
          <w:szCs w:val="21"/>
          <w:highlight w:val="none"/>
        </w:rPr>
        <w:t xml:space="preserve"> 。</w:t>
      </w:r>
    </w:p>
    <w:p w14:paraId="3138AA5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②  其他：                                           </w:t>
      </w:r>
      <w:r>
        <w:rPr>
          <w:rFonts w:hint="eastAsia" w:ascii="仿宋" w:hAnsi="仿宋" w:eastAsia="仿宋" w:cs="仿宋"/>
          <w:color w:val="auto"/>
          <w:szCs w:val="21"/>
          <w:highlight w:val="none"/>
        </w:rPr>
        <w:t xml:space="preserve"> 。</w:t>
      </w:r>
    </w:p>
    <w:p w14:paraId="0E808659">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（2）其他：        /             </w:t>
      </w:r>
      <w:r>
        <w:rPr>
          <w:rFonts w:hint="eastAsia" w:ascii="仿宋" w:hAnsi="仿宋" w:eastAsia="仿宋" w:cs="仿宋"/>
          <w:color w:val="auto"/>
          <w:szCs w:val="21"/>
          <w:highlight w:val="none"/>
        </w:rPr>
        <w:t>。</w:t>
      </w:r>
    </w:p>
    <w:bookmarkEnd w:id="619"/>
    <w:bookmarkEnd w:id="620"/>
    <w:bookmarkEnd w:id="621"/>
    <w:bookmarkEnd w:id="622"/>
    <w:bookmarkEnd w:id="623"/>
    <w:bookmarkEnd w:id="624"/>
    <w:bookmarkEnd w:id="625"/>
    <w:p w14:paraId="773ED24A">
      <w:pPr>
        <w:keepNext/>
        <w:keepLines/>
        <w:adjustRightInd/>
        <w:spacing w:line="400" w:lineRule="exact"/>
        <w:outlineLvl w:val="3"/>
        <w:rPr>
          <w:rFonts w:hint="eastAsia" w:ascii="仿宋" w:hAnsi="仿宋" w:eastAsia="仿宋" w:cs="仿宋"/>
          <w:bCs/>
          <w:color w:val="auto"/>
          <w:szCs w:val="21"/>
          <w:highlight w:val="none"/>
        </w:rPr>
      </w:pPr>
      <w:bookmarkStart w:id="633" w:name="_Toc351203639"/>
      <w:r>
        <w:rPr>
          <w:rFonts w:hint="eastAsia" w:ascii="仿宋" w:hAnsi="仿宋" w:eastAsia="仿宋" w:cs="仿宋"/>
          <w:bCs/>
          <w:color w:val="auto"/>
          <w:szCs w:val="21"/>
          <w:highlight w:val="none"/>
        </w:rPr>
        <w:t>7. 工期和进度</w:t>
      </w:r>
      <w:bookmarkEnd w:id="633"/>
    </w:p>
    <w:p w14:paraId="7DC18377">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7.1 施工组织设计</w:t>
      </w:r>
    </w:p>
    <w:p w14:paraId="72B57027">
      <w:pPr>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7.1.1 合同当事人约定的施工组织设计应包括的其他内容：</w:t>
      </w:r>
    </w:p>
    <w:p w14:paraId="44CB2E84">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  按《通用合同条款》执行      </w:t>
      </w:r>
      <w:r>
        <w:rPr>
          <w:rFonts w:hint="eastAsia" w:ascii="仿宋" w:hAnsi="仿宋" w:eastAsia="仿宋" w:cs="仿宋"/>
          <w:color w:val="auto"/>
          <w:szCs w:val="21"/>
          <w:highlight w:val="none"/>
        </w:rPr>
        <w:t>。</w:t>
      </w:r>
    </w:p>
    <w:p w14:paraId="6F3597CF">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7.1.2 施工组织设计的提交和修改</w:t>
      </w:r>
    </w:p>
    <w:p w14:paraId="31256526">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承包人提交详细施工组织设计的期限的约定：</w:t>
      </w:r>
      <w:r>
        <w:rPr>
          <w:rFonts w:hint="eastAsia" w:ascii="仿宋" w:hAnsi="仿宋" w:eastAsia="仿宋" w:cs="仿宋"/>
          <w:color w:val="auto"/>
          <w:szCs w:val="21"/>
          <w:highlight w:val="none"/>
          <w:u w:val="single"/>
        </w:rPr>
        <w:t xml:space="preserve">  合同签订后（7）天内提供详细施工组织设计（施工方案）和进度计划 </w:t>
      </w:r>
      <w:r>
        <w:rPr>
          <w:rFonts w:hint="eastAsia" w:ascii="仿宋" w:hAnsi="仿宋" w:eastAsia="仿宋" w:cs="仿宋"/>
          <w:color w:val="auto"/>
          <w:szCs w:val="21"/>
          <w:highlight w:val="none"/>
        </w:rPr>
        <w:t>。</w:t>
      </w:r>
    </w:p>
    <w:p w14:paraId="7B0F4D21">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发包人和监理人在收到详细的施工组织设计后确认或提出修改意见的期限：</w:t>
      </w:r>
      <w:r>
        <w:rPr>
          <w:rFonts w:hint="eastAsia" w:ascii="仿宋" w:hAnsi="仿宋" w:eastAsia="仿宋" w:cs="仿宋"/>
          <w:color w:val="auto"/>
          <w:szCs w:val="21"/>
          <w:highlight w:val="none"/>
          <w:u w:val="single"/>
        </w:rPr>
        <w:t xml:space="preserve">  收到该计划后的14天内审查同意或提出修改意见。发包人提出修改意见的，承包人应按照发包人提出的修改意见实施</w:t>
      </w:r>
      <w:r>
        <w:rPr>
          <w:rFonts w:hint="eastAsia" w:ascii="仿宋" w:hAnsi="仿宋" w:eastAsia="仿宋" w:cs="仿宋"/>
          <w:color w:val="auto"/>
          <w:szCs w:val="21"/>
          <w:highlight w:val="none"/>
        </w:rPr>
        <w:t>。</w:t>
      </w:r>
    </w:p>
    <w:p w14:paraId="02E96B7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w:t>
      </w:r>
      <w:bookmarkStart w:id="634" w:name="_Toc300934966"/>
      <w:bookmarkStart w:id="635" w:name="_Toc303539123"/>
      <w:bookmarkStart w:id="636" w:name="_Toc304295541"/>
      <w:bookmarkStart w:id="637" w:name="_Toc297123514"/>
      <w:bookmarkStart w:id="638" w:name="_Toc312677479"/>
      <w:bookmarkStart w:id="639" w:name="_Toc297216173"/>
      <w:bookmarkStart w:id="640" w:name="_Toc312678005"/>
      <w:r>
        <w:rPr>
          <w:rFonts w:hint="eastAsia" w:ascii="仿宋" w:hAnsi="仿宋" w:eastAsia="仿宋" w:cs="仿宋"/>
          <w:color w:val="auto"/>
          <w:szCs w:val="21"/>
          <w:highlight w:val="none"/>
        </w:rPr>
        <w:t>.2 施工进度计划</w:t>
      </w:r>
    </w:p>
    <w:p w14:paraId="62CFE66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7.2.2 施工进度计划的修订</w:t>
      </w:r>
    </w:p>
    <w:p w14:paraId="6F35CBE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发包人和监理人在收到修订的施工进度计划后确认或提出修改意见的期限：</w:t>
      </w:r>
      <w:r>
        <w:rPr>
          <w:rFonts w:hint="eastAsia" w:ascii="仿宋" w:hAnsi="仿宋" w:eastAsia="仿宋" w:cs="仿宋"/>
          <w:color w:val="auto"/>
          <w:szCs w:val="21"/>
          <w:highlight w:val="none"/>
          <w:u w:val="single"/>
        </w:rPr>
        <w:t xml:space="preserve">  14天内   </w:t>
      </w:r>
      <w:r>
        <w:rPr>
          <w:rFonts w:hint="eastAsia" w:ascii="仿宋" w:hAnsi="仿宋" w:eastAsia="仿宋" w:cs="仿宋"/>
          <w:color w:val="auto"/>
          <w:szCs w:val="21"/>
          <w:highlight w:val="none"/>
        </w:rPr>
        <w:t>。</w:t>
      </w:r>
    </w:p>
    <w:p w14:paraId="16F383F1">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7.3 开工</w:t>
      </w:r>
    </w:p>
    <w:p w14:paraId="080598D7">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7.3.1 开工准备</w:t>
      </w:r>
    </w:p>
    <w:p w14:paraId="034C2B0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关于承包人提交工程开工报审表的期限：</w:t>
      </w:r>
      <w:r>
        <w:rPr>
          <w:rFonts w:hint="eastAsia" w:ascii="仿宋" w:hAnsi="仿宋" w:eastAsia="仿宋" w:cs="仿宋"/>
          <w:color w:val="auto"/>
          <w:szCs w:val="21"/>
          <w:highlight w:val="none"/>
          <w:u w:val="single"/>
        </w:rPr>
        <w:t xml:space="preserve"> 承包人应当在协议书约定的暂定开工日期前做好进场施工的一切准备工作（包括有关设备到位、搭建施工工棚等）并办理完毕各项行政许可手续，正式开工日期以监理单位签发的开工报告为准。承包人因自身原因提出延期开工申请，除非工程师及发包人书面确认同意外，均视为不同意，工期不予顺延 </w:t>
      </w:r>
      <w:r>
        <w:rPr>
          <w:rFonts w:hint="eastAsia" w:ascii="仿宋" w:hAnsi="仿宋" w:eastAsia="仿宋" w:cs="仿宋"/>
          <w:color w:val="auto"/>
          <w:szCs w:val="21"/>
          <w:highlight w:val="none"/>
        </w:rPr>
        <w:t>。</w:t>
      </w:r>
    </w:p>
    <w:p w14:paraId="2D7EBE8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关于发包人应完成的其他开工准备工作及期限：</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w:t>
      </w:r>
      <w:r>
        <w:rPr>
          <w:rFonts w:hint="eastAsia" w:ascii="仿宋" w:hAnsi="仿宋" w:eastAsia="仿宋" w:cs="仿宋"/>
          <w:color w:val="auto"/>
          <w:szCs w:val="21"/>
          <w:highlight w:val="none"/>
        </w:rPr>
        <w:t>。</w:t>
      </w:r>
    </w:p>
    <w:p w14:paraId="16E15B8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关于承包人应完成的其他开工准备工作及期限：</w:t>
      </w:r>
      <w:r>
        <w:rPr>
          <w:rFonts w:hint="eastAsia" w:ascii="仿宋" w:hAnsi="仿宋" w:eastAsia="仿宋" w:cs="仿宋"/>
          <w:color w:val="auto"/>
          <w:szCs w:val="21"/>
          <w:highlight w:val="none"/>
          <w:u w:val="single"/>
        </w:rPr>
        <w:t xml:space="preserve"> 承包人应当在协议书约定的暂定开工日期前做好进场施工的一切准备工作（包括有关设备到位、搭建施工工棚等）并办理完毕各项行政许可手续，正式开工日期以监理单位签发的开工报告为准。承包人因自身原因提出延期开工申请，除非工程师书面确认同意外，均视为不同意，工期不予顺延 </w:t>
      </w:r>
      <w:r>
        <w:rPr>
          <w:rFonts w:hint="eastAsia" w:ascii="仿宋" w:hAnsi="仿宋" w:eastAsia="仿宋" w:cs="仿宋"/>
          <w:color w:val="auto"/>
          <w:szCs w:val="21"/>
          <w:highlight w:val="none"/>
        </w:rPr>
        <w:t>。</w:t>
      </w:r>
    </w:p>
    <w:p w14:paraId="700FFCA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7.3.2开工通知</w:t>
      </w:r>
    </w:p>
    <w:p w14:paraId="1A411F2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因发包人原因造成监理人未能在计划开工日期之日起</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天内发出开工通知的，承包人有权提出价格调整要求，或者解除合同。</w:t>
      </w:r>
    </w:p>
    <w:bookmarkEnd w:id="634"/>
    <w:bookmarkEnd w:id="635"/>
    <w:bookmarkEnd w:id="636"/>
    <w:bookmarkEnd w:id="637"/>
    <w:bookmarkEnd w:id="638"/>
    <w:bookmarkEnd w:id="639"/>
    <w:bookmarkEnd w:id="640"/>
    <w:p w14:paraId="0EA0071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7.4 测量放线</w:t>
      </w:r>
    </w:p>
    <w:p w14:paraId="16D10108">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7.4.1发包人通过监理人向承包人提供测量基准点、基准线和水准点及其书面资料的期限：</w:t>
      </w:r>
      <w:r>
        <w:rPr>
          <w:rFonts w:hint="eastAsia" w:ascii="仿宋" w:hAnsi="仿宋" w:eastAsia="仿宋" w:cs="仿宋"/>
          <w:color w:val="auto"/>
          <w:szCs w:val="21"/>
          <w:highlight w:val="none"/>
          <w:u w:val="single"/>
        </w:rPr>
        <w:t xml:space="preserve"> 在工程开工前，业主将通过工程师提供工程需要的水准点与坐标控制点，双方代表应做好现场的校验工作并签字确认。移交后，承包人应予以良好保护，完工后将水准点完好地交还给业主 </w:t>
      </w:r>
      <w:r>
        <w:rPr>
          <w:rFonts w:hint="eastAsia" w:ascii="仿宋" w:hAnsi="仿宋" w:eastAsia="仿宋" w:cs="仿宋"/>
          <w:color w:val="auto"/>
          <w:szCs w:val="21"/>
          <w:highlight w:val="none"/>
        </w:rPr>
        <w:t>。</w:t>
      </w:r>
    </w:p>
    <w:p w14:paraId="17F11D5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w:t>
      </w:r>
      <w:bookmarkStart w:id="641" w:name="_Toc303539125"/>
      <w:bookmarkStart w:id="642" w:name="_Toc304295546"/>
      <w:bookmarkStart w:id="643" w:name="_Toc312678010"/>
      <w:bookmarkStart w:id="644" w:name="_Toc297123516"/>
      <w:bookmarkStart w:id="645" w:name="_Toc312677484"/>
      <w:bookmarkStart w:id="646" w:name="_Toc297216175"/>
      <w:bookmarkStart w:id="647" w:name="_Toc300934968"/>
      <w:r>
        <w:rPr>
          <w:rFonts w:hint="eastAsia" w:ascii="仿宋" w:hAnsi="仿宋" w:eastAsia="仿宋" w:cs="仿宋"/>
          <w:color w:val="auto"/>
          <w:szCs w:val="21"/>
          <w:highlight w:val="none"/>
        </w:rPr>
        <w:t>.5 工期延误</w:t>
      </w:r>
    </w:p>
    <w:bookmarkEnd w:id="641"/>
    <w:bookmarkEnd w:id="642"/>
    <w:bookmarkEnd w:id="643"/>
    <w:bookmarkEnd w:id="644"/>
    <w:bookmarkEnd w:id="645"/>
    <w:bookmarkEnd w:id="646"/>
    <w:bookmarkEnd w:id="647"/>
    <w:p w14:paraId="25987EA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7.5.1 因发包人原因导致工期延误</w:t>
      </w:r>
    </w:p>
    <w:p w14:paraId="6299DB5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（7）因发包人原因导致工期延误的其他情形：</w:t>
      </w:r>
      <w:r>
        <w:rPr>
          <w:rFonts w:hint="eastAsia" w:ascii="仿宋" w:hAnsi="仿宋" w:eastAsia="仿宋" w:cs="仿宋"/>
          <w:color w:val="auto"/>
          <w:szCs w:val="21"/>
          <w:highlight w:val="none"/>
          <w:u w:val="single"/>
        </w:rPr>
        <w:t xml:space="preserve"> 无 </w:t>
      </w:r>
      <w:r>
        <w:rPr>
          <w:rFonts w:hint="eastAsia" w:ascii="仿宋" w:hAnsi="仿宋" w:eastAsia="仿宋" w:cs="仿宋"/>
          <w:color w:val="auto"/>
          <w:szCs w:val="21"/>
          <w:highlight w:val="none"/>
        </w:rPr>
        <w:t>。</w:t>
      </w:r>
    </w:p>
    <w:p w14:paraId="142051C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w:t>
      </w:r>
      <w:bookmarkStart w:id="648" w:name="_Toc312678012"/>
      <w:bookmarkStart w:id="649" w:name="_Toc312677486"/>
      <w:bookmarkStart w:id="650" w:name="_Toc318581169"/>
      <w:bookmarkStart w:id="651" w:name="_Toc303539127"/>
      <w:bookmarkStart w:id="652" w:name="_Toc300934970"/>
      <w:bookmarkStart w:id="653" w:name="_Toc304295548"/>
      <w:bookmarkStart w:id="654" w:name="_Toc297123518"/>
      <w:bookmarkStart w:id="655" w:name="_Toc297216177"/>
      <w:r>
        <w:rPr>
          <w:rFonts w:hint="eastAsia" w:ascii="仿宋" w:hAnsi="仿宋" w:eastAsia="仿宋" w:cs="仿宋"/>
          <w:color w:val="auto"/>
          <w:szCs w:val="21"/>
          <w:highlight w:val="none"/>
        </w:rPr>
        <w:t>.5.2 因承包人原因导致工期延误</w:t>
      </w:r>
      <w:bookmarkEnd w:id="648"/>
      <w:bookmarkEnd w:id="649"/>
      <w:bookmarkEnd w:id="650"/>
    </w:p>
    <w:p w14:paraId="2712533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因</w:t>
      </w:r>
      <w:bookmarkStart w:id="656" w:name="_Toc312677487"/>
      <w:bookmarkStart w:id="657" w:name="_Toc312678013"/>
      <w:bookmarkStart w:id="658" w:name="_Toc318581170"/>
      <w:r>
        <w:rPr>
          <w:rFonts w:hint="eastAsia" w:ascii="仿宋" w:hAnsi="仿宋" w:eastAsia="仿宋" w:cs="仿宋"/>
          <w:color w:val="auto"/>
          <w:szCs w:val="21"/>
          <w:highlight w:val="none"/>
        </w:rPr>
        <w:t>承包人原因造成工期延误，逾期竣工违约金的计算方法为：</w:t>
      </w:r>
      <w:bookmarkEnd w:id="651"/>
      <w:bookmarkEnd w:id="652"/>
      <w:bookmarkEnd w:id="653"/>
      <w:bookmarkEnd w:id="654"/>
      <w:bookmarkEnd w:id="655"/>
      <w:bookmarkEnd w:id="656"/>
      <w:bookmarkEnd w:id="657"/>
      <w:r>
        <w:rPr>
          <w:rFonts w:hint="eastAsia" w:ascii="仿宋" w:hAnsi="仿宋" w:eastAsia="仿宋" w:cs="仿宋"/>
          <w:color w:val="auto"/>
          <w:szCs w:val="21"/>
          <w:highlight w:val="none"/>
          <w:u w:val="single"/>
        </w:rPr>
        <w:t>工期每拖延一天</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处以违约金为签约合同价的万分之二,</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延期超过一个月的，工期每拖延一天处以违约金为签约合同价的万分之四。如逾期竣工违约金达到签约合同价格的百分之二，则发包人有权要求承包人无条件退场，并承担由此产生的各方一切损失</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同时，发包人也有权安排其他施工队伍进场施工，费用经审核后从承包人合同价款中扣除</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由此给发包人造成损失的，损失费用同时扣除。</w:t>
      </w:r>
      <w:bookmarkEnd w:id="658"/>
    </w:p>
    <w:p w14:paraId="5D9172FB">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因承包人原因造成工期延误，逾</w:t>
      </w:r>
      <w:bookmarkStart w:id="659" w:name="_Toc312678014"/>
      <w:bookmarkStart w:id="660" w:name="_Toc318581171"/>
      <w:r>
        <w:rPr>
          <w:rFonts w:hint="eastAsia" w:ascii="仿宋" w:hAnsi="仿宋" w:eastAsia="仿宋" w:cs="仿宋"/>
          <w:color w:val="auto"/>
          <w:szCs w:val="21"/>
          <w:highlight w:val="none"/>
        </w:rPr>
        <w:t>期竣工违约金的上限：</w:t>
      </w:r>
      <w:r>
        <w:rPr>
          <w:rFonts w:hint="eastAsia" w:ascii="仿宋" w:hAnsi="仿宋" w:eastAsia="仿宋" w:cs="仿宋"/>
          <w:color w:val="auto"/>
          <w:szCs w:val="21"/>
          <w:highlight w:val="none"/>
          <w:u w:val="single"/>
        </w:rPr>
        <w:t xml:space="preserve"> 不超过工程合同款</w:t>
      </w:r>
      <w:r>
        <w:rPr>
          <w:rFonts w:hint="eastAsia" w:ascii="仿宋" w:hAnsi="仿宋" w:eastAsia="仿宋" w:cs="仿宋"/>
          <w:color w:val="auto"/>
          <w:szCs w:val="21"/>
          <w:highlight w:val="none"/>
          <w:u w:val="single"/>
          <w:lang w:val="en-US" w:eastAsia="zh-Hans"/>
        </w:rPr>
        <w:t>的</w:t>
      </w:r>
      <w:r>
        <w:rPr>
          <w:rFonts w:hint="default" w:ascii="仿宋" w:hAnsi="仿宋" w:eastAsia="仿宋" w:cs="仿宋"/>
          <w:color w:val="auto"/>
          <w:szCs w:val="21"/>
          <w:highlight w:val="none"/>
          <w:u w:val="single"/>
          <w:lang w:eastAsia="zh-Hans"/>
        </w:rPr>
        <w:t>30%</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50BD88D3">
      <w:pPr>
        <w:spacing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7.5.3工程延期的审批:</w:t>
      </w:r>
    </w:p>
    <w:p w14:paraId="3E662D53">
      <w:pPr>
        <w:spacing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7.5.3.1</w:t>
      </w:r>
      <w:r>
        <w:rPr>
          <w:rFonts w:hint="eastAsia" w:ascii="仿宋" w:hAnsi="仿宋" w:eastAsia="仿宋" w:cs="仿宋"/>
          <w:bCs/>
          <w:color w:val="auto"/>
          <w:szCs w:val="21"/>
          <w:highlight w:val="none"/>
          <w:u w:val="single"/>
        </w:rPr>
        <w:t xml:space="preserve"> 必须是非承包人自身的原因造成的工期延误，发包人才可以考虑是否受理承包人的延期申请。与承包人建立合同关系的供应商等主体造成的原因，仍然属于承包人原因而不考虑同意承包人的任何延期申请。</w:t>
      </w:r>
    </w:p>
    <w:p w14:paraId="7E729D0A">
      <w:pPr>
        <w:spacing w:line="400" w:lineRule="exact"/>
        <w:ind w:firstLine="420" w:firstLineChars="200"/>
        <w:rPr>
          <w:rFonts w:hint="eastAsia" w:ascii="仿宋" w:hAnsi="仿宋" w:eastAsia="仿宋" w:cs="仿宋"/>
          <w:bCs/>
          <w:color w:val="auto"/>
          <w:szCs w:val="21"/>
          <w:highlight w:val="none"/>
          <w:u w:val="single"/>
        </w:rPr>
      </w:pPr>
      <w:r>
        <w:rPr>
          <w:rFonts w:hint="eastAsia" w:ascii="仿宋" w:hAnsi="仿宋" w:eastAsia="仿宋" w:cs="仿宋"/>
          <w:bCs/>
          <w:color w:val="auto"/>
          <w:szCs w:val="21"/>
          <w:highlight w:val="none"/>
        </w:rPr>
        <w:t>7.5.3.2</w:t>
      </w:r>
      <w:r>
        <w:rPr>
          <w:rFonts w:hint="eastAsia" w:ascii="仿宋" w:hAnsi="仿宋" w:eastAsia="仿宋" w:cs="仿宋"/>
          <w:bCs/>
          <w:color w:val="auto"/>
          <w:szCs w:val="21"/>
          <w:highlight w:val="none"/>
          <w:u w:val="single"/>
        </w:rPr>
        <w:t xml:space="preserve"> 若只是局部工程受到影响，承包人应采取措施并合理安排施工方案予以弥补，而不能影响工程的总工期。</w:t>
      </w:r>
    </w:p>
    <w:p w14:paraId="7DA9AC57">
      <w:pPr>
        <w:spacing w:line="400" w:lineRule="exact"/>
        <w:ind w:firstLine="420" w:firstLineChars="200"/>
        <w:rPr>
          <w:rFonts w:hint="eastAsia" w:ascii="仿宋" w:hAnsi="仿宋" w:eastAsia="仿宋" w:cs="仿宋"/>
          <w:bCs/>
          <w:color w:val="auto"/>
          <w:szCs w:val="21"/>
          <w:highlight w:val="none"/>
          <w:u w:val="single"/>
        </w:rPr>
      </w:pPr>
      <w:r>
        <w:rPr>
          <w:rFonts w:hint="eastAsia" w:ascii="仿宋" w:hAnsi="仿宋" w:eastAsia="仿宋" w:cs="仿宋"/>
          <w:bCs/>
          <w:color w:val="auto"/>
          <w:szCs w:val="21"/>
          <w:highlight w:val="none"/>
        </w:rPr>
        <w:t>7.5.3.3</w:t>
      </w:r>
      <w:r>
        <w:rPr>
          <w:rFonts w:hint="eastAsia" w:ascii="仿宋" w:hAnsi="仿宋" w:eastAsia="仿宋" w:cs="仿宋"/>
          <w:bCs/>
          <w:color w:val="auto"/>
          <w:szCs w:val="21"/>
          <w:highlight w:val="none"/>
          <w:u w:val="single"/>
        </w:rPr>
        <w:t xml:space="preserve"> 双方约定本工程属于但不限于下列情况者，工期不予顺延：</w:t>
      </w:r>
    </w:p>
    <w:p w14:paraId="224C620C">
      <w:pPr>
        <w:spacing w:line="400" w:lineRule="exact"/>
        <w:ind w:firstLine="420" w:firstLineChars="200"/>
        <w:rPr>
          <w:rFonts w:hint="eastAsia" w:ascii="仿宋" w:hAnsi="仿宋" w:eastAsia="仿宋" w:cs="仿宋"/>
          <w:bCs/>
          <w:color w:val="auto"/>
          <w:szCs w:val="21"/>
          <w:highlight w:val="none"/>
          <w:u w:val="single"/>
        </w:rPr>
      </w:pPr>
      <w:r>
        <w:rPr>
          <w:rFonts w:hint="eastAsia" w:ascii="仿宋" w:hAnsi="仿宋" w:eastAsia="仿宋" w:cs="仿宋"/>
          <w:bCs/>
          <w:color w:val="auto"/>
          <w:szCs w:val="21"/>
          <w:highlight w:val="none"/>
          <w:u w:val="single"/>
        </w:rPr>
        <w:t>（1）因承包人违反规范或因工程质量不合格而进行返工、重建、修建的施工工期；</w:t>
      </w:r>
    </w:p>
    <w:p w14:paraId="16096D26">
      <w:pPr>
        <w:spacing w:line="400" w:lineRule="exact"/>
        <w:ind w:firstLine="420" w:firstLineChars="200"/>
        <w:rPr>
          <w:rFonts w:hint="eastAsia" w:ascii="仿宋" w:hAnsi="仿宋" w:eastAsia="仿宋" w:cs="仿宋"/>
          <w:bCs/>
          <w:color w:val="auto"/>
          <w:szCs w:val="21"/>
          <w:highlight w:val="none"/>
          <w:u w:val="single"/>
        </w:rPr>
      </w:pPr>
      <w:r>
        <w:rPr>
          <w:rFonts w:hint="eastAsia" w:ascii="仿宋" w:hAnsi="仿宋" w:eastAsia="仿宋" w:cs="仿宋"/>
          <w:bCs/>
          <w:color w:val="auto"/>
          <w:szCs w:val="21"/>
          <w:highlight w:val="none"/>
          <w:u w:val="single"/>
        </w:rPr>
        <w:t>（2）因承包人违反规范施工，以伪劣材料充抵合同规定的品牌、型号、质量等级，或没有按投标时报送样品进行采购供货，或未按合同约定进行人员配置等等，经发包人或监理工程师下达停工令的停工日期不得顺延；</w:t>
      </w:r>
    </w:p>
    <w:p w14:paraId="3525E7FA">
      <w:pPr>
        <w:spacing w:line="400" w:lineRule="exact"/>
        <w:ind w:firstLine="420" w:firstLineChars="200"/>
        <w:rPr>
          <w:rFonts w:hint="eastAsia" w:ascii="仿宋" w:hAnsi="仿宋" w:eastAsia="仿宋" w:cs="仿宋"/>
          <w:bCs/>
          <w:color w:val="auto"/>
          <w:szCs w:val="21"/>
          <w:highlight w:val="none"/>
          <w:u w:val="single"/>
        </w:rPr>
      </w:pPr>
      <w:r>
        <w:rPr>
          <w:rFonts w:hint="eastAsia" w:ascii="仿宋" w:hAnsi="仿宋" w:eastAsia="仿宋" w:cs="仿宋"/>
          <w:bCs/>
          <w:color w:val="auto"/>
          <w:szCs w:val="21"/>
          <w:highlight w:val="none"/>
          <w:u w:val="single"/>
        </w:rPr>
        <w:t>（3）承包人没有组织和协调好各相关施工队伍进行施工而造成工期延误，由承包人承担责任；</w:t>
      </w:r>
    </w:p>
    <w:p w14:paraId="103556C2">
      <w:pPr>
        <w:spacing w:line="400" w:lineRule="exact"/>
        <w:ind w:firstLine="420" w:firstLineChars="200"/>
        <w:rPr>
          <w:rFonts w:hint="eastAsia" w:ascii="仿宋" w:hAnsi="仿宋" w:eastAsia="仿宋" w:cs="仿宋"/>
          <w:bCs/>
          <w:color w:val="auto"/>
          <w:szCs w:val="21"/>
          <w:highlight w:val="none"/>
          <w:u w:val="single"/>
        </w:rPr>
      </w:pPr>
      <w:r>
        <w:rPr>
          <w:rFonts w:hint="eastAsia" w:ascii="仿宋" w:hAnsi="仿宋" w:eastAsia="仿宋" w:cs="仿宋"/>
          <w:bCs/>
          <w:color w:val="auto"/>
          <w:szCs w:val="21"/>
          <w:highlight w:val="none"/>
          <w:u w:val="single"/>
        </w:rPr>
        <w:t>（4）承包人未按设计要求施工，发包人要求返工的工期不得顺延；</w:t>
      </w:r>
    </w:p>
    <w:p w14:paraId="709434D5">
      <w:pPr>
        <w:spacing w:line="400" w:lineRule="exact"/>
        <w:ind w:firstLine="420" w:firstLineChars="200"/>
        <w:rPr>
          <w:rFonts w:hint="eastAsia" w:ascii="仿宋" w:hAnsi="仿宋" w:eastAsia="仿宋" w:cs="仿宋"/>
          <w:bCs/>
          <w:color w:val="auto"/>
          <w:szCs w:val="21"/>
          <w:highlight w:val="none"/>
          <w:u w:val="single"/>
        </w:rPr>
      </w:pPr>
      <w:r>
        <w:rPr>
          <w:rFonts w:hint="eastAsia" w:ascii="仿宋" w:hAnsi="仿宋" w:eastAsia="仿宋" w:cs="仿宋"/>
          <w:bCs/>
          <w:color w:val="auto"/>
          <w:szCs w:val="21"/>
          <w:highlight w:val="none"/>
          <w:u w:val="single"/>
        </w:rPr>
        <w:t>（5）工程实施期间或完工后接受有关部门检查发现存在质量问题，需作整改，其整改费用和延误工期均由承包人自行承担，并负责经济赔偿；</w:t>
      </w:r>
    </w:p>
    <w:p w14:paraId="0861D38A">
      <w:pPr>
        <w:spacing w:line="400" w:lineRule="exact"/>
        <w:ind w:firstLine="420" w:firstLineChars="200"/>
        <w:rPr>
          <w:rFonts w:hint="eastAsia" w:ascii="仿宋" w:hAnsi="仿宋" w:eastAsia="仿宋" w:cs="仿宋"/>
          <w:bCs/>
          <w:color w:val="auto"/>
          <w:szCs w:val="21"/>
          <w:highlight w:val="none"/>
          <w:u w:val="single"/>
        </w:rPr>
      </w:pPr>
      <w:r>
        <w:rPr>
          <w:rFonts w:hint="eastAsia" w:ascii="仿宋" w:hAnsi="仿宋" w:eastAsia="仿宋" w:cs="仿宋"/>
          <w:bCs/>
          <w:color w:val="auto"/>
          <w:szCs w:val="21"/>
          <w:highlight w:val="none"/>
          <w:u w:val="single"/>
        </w:rPr>
        <w:t>（6）延期工程项目如果不在工程施工进度网络计划的关键线路上，即使是重要工序发包人也不考虑延长工程总工期。</w:t>
      </w:r>
    </w:p>
    <w:p w14:paraId="064BE116">
      <w:pPr>
        <w:spacing w:line="400" w:lineRule="exact"/>
        <w:ind w:firstLine="420" w:firstLineChars="200"/>
        <w:rPr>
          <w:rFonts w:hint="eastAsia" w:ascii="仿宋" w:hAnsi="仿宋" w:eastAsia="仿宋" w:cs="仿宋"/>
          <w:bCs/>
          <w:color w:val="auto"/>
          <w:szCs w:val="21"/>
          <w:highlight w:val="none"/>
          <w:u w:val="single"/>
        </w:rPr>
      </w:pPr>
      <w:r>
        <w:rPr>
          <w:rFonts w:hint="eastAsia" w:ascii="仿宋" w:hAnsi="仿宋" w:eastAsia="仿宋" w:cs="仿宋"/>
          <w:bCs/>
          <w:color w:val="auto"/>
          <w:szCs w:val="21"/>
          <w:highlight w:val="none"/>
          <w:u w:val="single"/>
        </w:rPr>
        <w:t>7.5.4如承包人需要变更关键线路，应以发包人书面批复为准。</w:t>
      </w:r>
    </w:p>
    <w:bookmarkEnd w:id="659"/>
    <w:bookmarkEnd w:id="660"/>
    <w:p w14:paraId="079D6B4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w:t>
      </w:r>
      <w:bookmarkStart w:id="661" w:name="_Toc303539128"/>
      <w:bookmarkStart w:id="662" w:name="_Toc300934971"/>
      <w:bookmarkStart w:id="663" w:name="_Toc312678015"/>
      <w:bookmarkStart w:id="664" w:name="_Toc297123519"/>
      <w:bookmarkStart w:id="665" w:name="_Toc304295549"/>
      <w:bookmarkStart w:id="666" w:name="_Toc297216178"/>
      <w:r>
        <w:rPr>
          <w:rFonts w:hint="eastAsia" w:ascii="仿宋" w:hAnsi="仿宋" w:eastAsia="仿宋" w:cs="仿宋"/>
          <w:color w:val="auto"/>
          <w:szCs w:val="21"/>
          <w:highlight w:val="none"/>
        </w:rPr>
        <w:t>.6 不</w:t>
      </w:r>
      <w:bookmarkEnd w:id="661"/>
      <w:bookmarkEnd w:id="662"/>
      <w:bookmarkEnd w:id="663"/>
      <w:bookmarkEnd w:id="664"/>
      <w:bookmarkEnd w:id="665"/>
      <w:bookmarkEnd w:id="666"/>
      <w:r>
        <w:rPr>
          <w:rFonts w:hint="eastAsia" w:ascii="仿宋" w:hAnsi="仿宋" w:eastAsia="仿宋" w:cs="仿宋"/>
          <w:color w:val="auto"/>
          <w:szCs w:val="21"/>
          <w:highlight w:val="none"/>
        </w:rPr>
        <w:t>利物质条件</w:t>
      </w:r>
      <w:bookmarkStart w:id="667" w:name="_Toc304295550"/>
      <w:bookmarkStart w:id="668" w:name="_Toc297216179"/>
      <w:bookmarkStart w:id="669" w:name="_Toc300934972"/>
      <w:bookmarkStart w:id="670" w:name="_Toc303539129"/>
      <w:bookmarkStart w:id="671" w:name="_Toc297123520"/>
      <w:bookmarkStart w:id="672" w:name="_Toc312678016"/>
      <w:bookmarkStart w:id="673" w:name="_Toc318581172"/>
    </w:p>
    <w:p w14:paraId="7F665569">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不利物质条件的其他情形和有关约定：</w:t>
      </w:r>
    </w:p>
    <w:p w14:paraId="37EF556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（1）施工场地周围地下管线；</w:t>
      </w:r>
    </w:p>
    <w:p w14:paraId="5D4FDFA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（2）地下障碍物和污染物；</w:t>
      </w:r>
    </w:p>
    <w:p w14:paraId="00EE8255">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（3）邻近建筑物、构筑物的保护要求；</w:t>
      </w:r>
    </w:p>
    <w:bookmarkEnd w:id="667"/>
    <w:bookmarkEnd w:id="668"/>
    <w:bookmarkEnd w:id="669"/>
    <w:bookmarkEnd w:id="670"/>
    <w:bookmarkEnd w:id="671"/>
    <w:bookmarkEnd w:id="672"/>
    <w:bookmarkEnd w:id="673"/>
    <w:p w14:paraId="0B6B1825">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w:t>
      </w:r>
      <w:bookmarkStart w:id="674" w:name="_Toc300934973"/>
      <w:bookmarkStart w:id="675" w:name="_Toc297216180"/>
      <w:bookmarkStart w:id="676" w:name="_Toc304295551"/>
      <w:bookmarkStart w:id="677" w:name="_Toc297123521"/>
      <w:bookmarkStart w:id="678" w:name="_Toc303539130"/>
      <w:bookmarkStart w:id="679" w:name="_Toc312678017"/>
      <w:r>
        <w:rPr>
          <w:rFonts w:hint="eastAsia" w:ascii="仿宋" w:hAnsi="仿宋" w:eastAsia="仿宋" w:cs="仿宋"/>
          <w:color w:val="auto"/>
          <w:szCs w:val="21"/>
          <w:highlight w:val="none"/>
        </w:rPr>
        <w:t>.7异常恶劣的气候条件</w:t>
      </w:r>
    </w:p>
    <w:bookmarkEnd w:id="674"/>
    <w:bookmarkEnd w:id="675"/>
    <w:bookmarkEnd w:id="676"/>
    <w:bookmarkEnd w:id="677"/>
    <w:bookmarkEnd w:id="678"/>
    <w:bookmarkEnd w:id="679"/>
    <w:p w14:paraId="27361E0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发包人和承包人同意以下情形视为异常恶劣的气候条件：</w:t>
      </w:r>
      <w:r>
        <w:rPr>
          <w:rFonts w:hint="eastAsia" w:ascii="仿宋" w:hAnsi="仿宋" w:eastAsia="仿宋" w:cs="仿宋"/>
          <w:color w:val="auto"/>
          <w:szCs w:val="21"/>
          <w:highlight w:val="none"/>
          <w:u w:val="single"/>
        </w:rPr>
        <w:t xml:space="preserve">  /  </w:t>
      </w:r>
    </w:p>
    <w:p w14:paraId="7E190998">
      <w:pPr>
        <w:adjustRightInd/>
        <w:spacing w:line="400" w:lineRule="exact"/>
        <w:ind w:firstLine="420" w:firstLineChars="200"/>
        <w:outlineLvl w:val="0"/>
        <w:rPr>
          <w:rFonts w:hint="eastAsia" w:ascii="仿宋" w:hAnsi="仿宋" w:eastAsia="仿宋" w:cs="仿宋"/>
          <w:color w:val="auto"/>
          <w:szCs w:val="21"/>
          <w:highlight w:val="none"/>
        </w:rPr>
      </w:pPr>
      <w:bookmarkStart w:id="680" w:name="_Toc19780"/>
      <w:bookmarkStart w:id="681" w:name="_Toc31872"/>
      <w:bookmarkStart w:id="682" w:name="_Toc27338"/>
      <w:bookmarkStart w:id="683" w:name="_Toc2424"/>
      <w:bookmarkStart w:id="684" w:name="_Toc8513"/>
      <w:bookmarkStart w:id="685" w:name="_Toc20500"/>
      <w:r>
        <w:rPr>
          <w:rFonts w:hint="eastAsia" w:ascii="仿宋" w:hAnsi="仿宋" w:eastAsia="仿宋" w:cs="仿宋"/>
          <w:color w:val="auto"/>
          <w:szCs w:val="21"/>
          <w:highlight w:val="none"/>
        </w:rPr>
        <w:t>7.9 提前竣工的奖励</w:t>
      </w:r>
      <w:bookmarkEnd w:id="680"/>
      <w:bookmarkEnd w:id="681"/>
      <w:bookmarkEnd w:id="682"/>
      <w:bookmarkEnd w:id="683"/>
      <w:bookmarkEnd w:id="684"/>
      <w:bookmarkEnd w:id="685"/>
    </w:p>
    <w:p w14:paraId="1B4CBB11">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7.9.2提前竣工的奖励：</w:t>
      </w:r>
      <w:r>
        <w:rPr>
          <w:rFonts w:hint="eastAsia" w:ascii="仿宋" w:hAnsi="仿宋" w:eastAsia="仿宋" w:cs="仿宋"/>
          <w:color w:val="auto"/>
          <w:szCs w:val="21"/>
          <w:highlight w:val="none"/>
          <w:u w:val="single"/>
        </w:rPr>
        <w:t xml:space="preserve">      无       </w:t>
      </w:r>
      <w:r>
        <w:rPr>
          <w:rFonts w:hint="eastAsia" w:ascii="仿宋" w:hAnsi="仿宋" w:eastAsia="仿宋" w:cs="仿宋"/>
          <w:color w:val="auto"/>
          <w:szCs w:val="21"/>
          <w:highlight w:val="none"/>
        </w:rPr>
        <w:t>。</w:t>
      </w:r>
    </w:p>
    <w:p w14:paraId="536A1527">
      <w:pPr>
        <w:keepNext/>
        <w:keepLines/>
        <w:adjustRightInd/>
        <w:spacing w:line="400" w:lineRule="exact"/>
        <w:outlineLvl w:val="3"/>
        <w:rPr>
          <w:rFonts w:hint="eastAsia" w:ascii="仿宋" w:hAnsi="仿宋" w:eastAsia="仿宋" w:cs="仿宋"/>
          <w:bCs/>
          <w:color w:val="auto"/>
          <w:szCs w:val="21"/>
          <w:highlight w:val="none"/>
        </w:rPr>
      </w:pPr>
      <w:bookmarkStart w:id="686" w:name="_Toc351203640"/>
      <w:r>
        <w:rPr>
          <w:rFonts w:hint="eastAsia" w:ascii="仿宋" w:hAnsi="仿宋" w:eastAsia="仿宋" w:cs="仿宋"/>
          <w:bCs/>
          <w:color w:val="auto"/>
          <w:szCs w:val="21"/>
          <w:highlight w:val="none"/>
        </w:rPr>
        <w:t>8. 材料与设备</w:t>
      </w:r>
      <w:bookmarkEnd w:id="686"/>
    </w:p>
    <w:bookmarkEnd w:id="603"/>
    <w:bookmarkEnd w:id="604"/>
    <w:bookmarkEnd w:id="605"/>
    <w:bookmarkEnd w:id="606"/>
    <w:bookmarkEnd w:id="607"/>
    <w:bookmarkEnd w:id="608"/>
    <w:bookmarkEnd w:id="609"/>
    <w:bookmarkEnd w:id="610"/>
    <w:bookmarkEnd w:id="611"/>
    <w:bookmarkEnd w:id="612"/>
    <w:p w14:paraId="305E1F0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8</w:t>
      </w:r>
      <w:bookmarkStart w:id="687" w:name="_Toc296347166"/>
      <w:bookmarkStart w:id="688" w:name="_Toc296891207"/>
      <w:bookmarkStart w:id="689" w:name="_Toc297120467"/>
      <w:bookmarkStart w:id="690" w:name="_Toc296890995"/>
      <w:bookmarkStart w:id="691" w:name="_Toc280868654"/>
      <w:bookmarkStart w:id="692" w:name="_Toc296944506"/>
      <w:bookmarkStart w:id="693" w:name="_Toc296503167"/>
      <w:bookmarkStart w:id="694" w:name="_Toc303539136"/>
      <w:bookmarkStart w:id="695" w:name="_Toc297048353"/>
      <w:bookmarkStart w:id="696" w:name="_Toc312677493"/>
      <w:bookmarkStart w:id="697" w:name="_Toc312678019"/>
      <w:bookmarkStart w:id="698" w:name="_Toc296346668"/>
      <w:bookmarkStart w:id="699" w:name="_Toc297123527"/>
      <w:bookmarkStart w:id="700" w:name="_Toc297216186"/>
      <w:bookmarkStart w:id="701" w:name="_Toc304295556"/>
      <w:bookmarkStart w:id="702" w:name="_Toc300934979"/>
      <w:bookmarkStart w:id="703" w:name="_Toc292559372"/>
      <w:bookmarkStart w:id="704" w:name="_Toc292559877"/>
      <w:bookmarkStart w:id="705" w:name="_Toc280868655"/>
      <w:bookmarkStart w:id="706" w:name="_Toc280868656"/>
      <w:bookmarkStart w:id="707" w:name="_Toc267251424"/>
      <w:r>
        <w:rPr>
          <w:rFonts w:hint="eastAsia" w:ascii="仿宋" w:hAnsi="仿宋" w:eastAsia="仿宋" w:cs="仿宋"/>
          <w:color w:val="auto"/>
          <w:szCs w:val="21"/>
          <w:highlight w:val="none"/>
        </w:rPr>
        <w:t>.4材料与工程设备的保管与使用</w:t>
      </w:r>
    </w:p>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p w14:paraId="1B060AA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8</w:t>
      </w:r>
      <w:bookmarkStart w:id="708" w:name="_Toc292559878"/>
      <w:bookmarkStart w:id="709" w:name="_Toc292559373"/>
      <w:bookmarkStart w:id="710" w:name="_Toc297048354"/>
      <w:bookmarkStart w:id="711" w:name="_Toc300934980"/>
      <w:bookmarkStart w:id="712" w:name="_Toc296890996"/>
      <w:bookmarkStart w:id="713" w:name="_Toc297120468"/>
      <w:bookmarkStart w:id="714" w:name="_Toc296944507"/>
      <w:bookmarkStart w:id="715" w:name="_Toc318581173"/>
      <w:bookmarkStart w:id="716" w:name="_Toc304295557"/>
      <w:bookmarkStart w:id="717" w:name="_Toc296891208"/>
      <w:bookmarkStart w:id="718" w:name="_Toc297123528"/>
      <w:bookmarkStart w:id="719" w:name="_Toc303539137"/>
      <w:bookmarkStart w:id="720" w:name="_Toc296346669"/>
      <w:bookmarkStart w:id="721" w:name="_Toc297216187"/>
      <w:bookmarkStart w:id="722" w:name="_Toc312677494"/>
      <w:bookmarkStart w:id="723" w:name="_Toc296347167"/>
      <w:bookmarkStart w:id="724" w:name="_Toc312678020"/>
      <w:bookmarkStart w:id="725" w:name="_Toc296503168"/>
      <w:r>
        <w:rPr>
          <w:rFonts w:hint="eastAsia" w:ascii="仿宋" w:hAnsi="仿宋" w:eastAsia="仿宋" w:cs="仿宋"/>
          <w:color w:val="auto"/>
          <w:szCs w:val="21"/>
          <w:highlight w:val="none"/>
        </w:rPr>
        <w:t>.4.1发包人供应的材料设备的保管费用的承担：</w:t>
      </w:r>
      <w:r>
        <w:rPr>
          <w:rFonts w:hint="eastAsia" w:ascii="仿宋" w:hAnsi="仿宋" w:eastAsia="仿宋" w:cs="仿宋"/>
          <w:color w:val="auto"/>
          <w:szCs w:val="21"/>
          <w:highlight w:val="none"/>
          <w:u w:val="single"/>
        </w:rPr>
        <w:t xml:space="preserve"> 施工期间，承包人实施的在建工程，承包人采购的物资、使用的设备，以及发包人采购但已经交付给承包人的物资、设备，由承包人负责保管并负担保管费用。甲供材料保管费用、卸货费、二次搬运费等由承包人承担。发包人有权根据工程实际情况调整甲供材料及设备的品种、规格、型号、质量等级，承包人不得拒绝接收 </w:t>
      </w:r>
      <w:r>
        <w:rPr>
          <w:rFonts w:hint="eastAsia" w:ascii="仿宋" w:hAnsi="仿宋" w:eastAsia="仿宋" w:cs="仿宋"/>
          <w:color w:val="auto"/>
          <w:szCs w:val="21"/>
          <w:highlight w:val="none"/>
        </w:rPr>
        <w:t>。</w:t>
      </w:r>
      <w:bookmarkEnd w:id="708"/>
      <w:bookmarkEnd w:id="709"/>
    </w:p>
    <w:p w14:paraId="39F5470A">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发包人供应材料设备的结算方法：</w:t>
      </w:r>
      <w:r>
        <w:rPr>
          <w:rFonts w:hint="eastAsia" w:ascii="仿宋" w:hAnsi="仿宋" w:eastAsia="仿宋" w:cs="仿宋"/>
          <w:color w:val="auto"/>
          <w:szCs w:val="21"/>
          <w:highlight w:val="none"/>
          <w:u w:val="single"/>
        </w:rPr>
        <w:t>按发包人实际采购价和核定承包人领用量在支付工程进度款时扣除</w:t>
      </w:r>
      <w:r>
        <w:rPr>
          <w:rFonts w:hint="eastAsia" w:ascii="仿宋" w:hAnsi="仿宋" w:eastAsia="仿宋" w:cs="仿宋"/>
          <w:color w:val="auto"/>
          <w:szCs w:val="21"/>
          <w:highlight w:val="none"/>
        </w:rPr>
        <w:t>。</w:t>
      </w:r>
    </w:p>
    <w:p w14:paraId="71232916">
      <w:pPr>
        <w:adjustRightInd/>
        <w:spacing w:line="400" w:lineRule="exact"/>
        <w:ind w:firstLine="420" w:firstLineChars="200"/>
        <w:outlineLvl w:val="0"/>
        <w:rPr>
          <w:rFonts w:hint="eastAsia" w:ascii="仿宋" w:hAnsi="仿宋" w:eastAsia="仿宋" w:cs="仿宋"/>
          <w:color w:val="auto"/>
          <w:szCs w:val="21"/>
          <w:highlight w:val="none"/>
        </w:rPr>
      </w:pPr>
      <w:bookmarkStart w:id="726" w:name="_Toc1742"/>
      <w:bookmarkStart w:id="727" w:name="_Toc9896"/>
      <w:bookmarkStart w:id="728" w:name="_Toc18241"/>
      <w:bookmarkStart w:id="729" w:name="_Toc16897"/>
      <w:bookmarkStart w:id="730" w:name="_Toc26492"/>
      <w:bookmarkStart w:id="731" w:name="_Toc15717"/>
      <w:r>
        <w:rPr>
          <w:rFonts w:hint="eastAsia" w:ascii="仿宋" w:hAnsi="仿宋" w:eastAsia="仿宋" w:cs="仿宋"/>
          <w:color w:val="auto"/>
          <w:szCs w:val="21"/>
          <w:highlight w:val="none"/>
        </w:rPr>
        <w:t>8.6 样品</w:t>
      </w:r>
      <w:bookmarkEnd w:id="726"/>
      <w:bookmarkEnd w:id="727"/>
      <w:bookmarkEnd w:id="728"/>
      <w:bookmarkEnd w:id="729"/>
      <w:bookmarkEnd w:id="730"/>
      <w:bookmarkEnd w:id="731"/>
    </w:p>
    <w:p w14:paraId="308C768B">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8.6.1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样品的报送与封存</w:t>
      </w:r>
    </w:p>
    <w:p w14:paraId="2F3337E9">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需要承包人报送样品的材料或工程设备，样品的种类、名称、规格、数量要求：</w:t>
      </w:r>
      <w:r>
        <w:rPr>
          <w:rFonts w:hint="eastAsia" w:ascii="仿宋" w:hAnsi="仿宋" w:eastAsia="仿宋" w:cs="仿宋"/>
          <w:color w:val="auto"/>
          <w:szCs w:val="21"/>
          <w:highlight w:val="none"/>
          <w:u w:val="single"/>
        </w:rPr>
        <w:t>除另有约定外，承包人负责完成本工程施工除甲供材料之外的所需的全部材料、设备采购、验收、运输和保管（包括甲供材料、设备的验收、保管）</w:t>
      </w:r>
      <w:r>
        <w:rPr>
          <w:rFonts w:hint="eastAsia" w:ascii="仿宋" w:hAnsi="仿宋" w:eastAsia="仿宋" w:cs="仿宋"/>
          <w:color w:val="auto"/>
          <w:szCs w:val="21"/>
          <w:highlight w:val="none"/>
        </w:rPr>
        <w:t>。</w:t>
      </w:r>
    </w:p>
    <w:p w14:paraId="13869664">
      <w:pPr>
        <w:adjustRightInd/>
        <w:spacing w:line="400" w:lineRule="exact"/>
        <w:ind w:firstLine="420" w:firstLineChars="200"/>
        <w:outlineLvl w:val="0"/>
        <w:rPr>
          <w:rFonts w:hint="eastAsia" w:ascii="仿宋" w:hAnsi="仿宋" w:eastAsia="仿宋" w:cs="仿宋"/>
          <w:color w:val="auto"/>
          <w:szCs w:val="21"/>
          <w:highlight w:val="none"/>
        </w:rPr>
      </w:pPr>
      <w:bookmarkStart w:id="732" w:name="_Toc9251"/>
      <w:bookmarkStart w:id="733" w:name="_Toc4843"/>
      <w:bookmarkStart w:id="734" w:name="_Toc32690"/>
      <w:bookmarkStart w:id="735" w:name="_Toc13868"/>
      <w:bookmarkStart w:id="736" w:name="_Toc27408"/>
      <w:bookmarkStart w:id="737" w:name="_Toc22514"/>
      <w:r>
        <w:rPr>
          <w:rFonts w:hint="eastAsia" w:ascii="仿宋" w:hAnsi="仿宋" w:eastAsia="仿宋" w:cs="仿宋"/>
          <w:color w:val="auto"/>
          <w:szCs w:val="21"/>
          <w:highlight w:val="none"/>
        </w:rPr>
        <w:t>8.8 施工设备和临时设施</w:t>
      </w:r>
      <w:bookmarkEnd w:id="732"/>
      <w:bookmarkEnd w:id="733"/>
      <w:bookmarkEnd w:id="734"/>
      <w:bookmarkEnd w:id="735"/>
      <w:bookmarkEnd w:id="736"/>
      <w:bookmarkEnd w:id="737"/>
    </w:p>
    <w:p w14:paraId="23F060DA">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8.8.1 承包人提供的施工设备和临时设施</w:t>
      </w:r>
    </w:p>
    <w:p w14:paraId="77484799">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关于修建临时设施费用承担的约定：</w:t>
      </w:r>
      <w:r>
        <w:rPr>
          <w:rFonts w:hint="eastAsia" w:ascii="仿宋" w:hAnsi="仿宋" w:eastAsia="仿宋" w:cs="仿宋"/>
          <w:color w:val="auto"/>
          <w:szCs w:val="21"/>
          <w:highlight w:val="none"/>
          <w:u w:val="single"/>
        </w:rPr>
        <w:t xml:space="preserve"> 由承包人承担  </w:t>
      </w:r>
      <w:r>
        <w:rPr>
          <w:rFonts w:hint="eastAsia" w:ascii="仿宋" w:hAnsi="仿宋" w:eastAsia="仿宋" w:cs="仿宋"/>
          <w:color w:val="auto"/>
          <w:szCs w:val="21"/>
          <w:highlight w:val="none"/>
        </w:rPr>
        <w:t>。</w:t>
      </w:r>
    </w:p>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p w14:paraId="674B2C0E">
      <w:pPr>
        <w:keepNext/>
        <w:keepLines/>
        <w:adjustRightInd/>
        <w:spacing w:line="360" w:lineRule="auto"/>
        <w:outlineLvl w:val="3"/>
        <w:rPr>
          <w:rFonts w:hint="eastAsia" w:ascii="仿宋" w:hAnsi="仿宋" w:eastAsia="仿宋" w:cs="仿宋"/>
          <w:bCs/>
          <w:color w:val="auto"/>
          <w:szCs w:val="21"/>
          <w:highlight w:val="none"/>
        </w:rPr>
      </w:pPr>
      <w:bookmarkStart w:id="738" w:name="_Toc351203641"/>
      <w:r>
        <w:rPr>
          <w:rFonts w:hint="eastAsia" w:ascii="仿宋" w:hAnsi="仿宋" w:eastAsia="仿宋" w:cs="仿宋"/>
          <w:bCs/>
          <w:color w:val="auto"/>
          <w:szCs w:val="21"/>
          <w:highlight w:val="none"/>
        </w:rPr>
        <w:t>9</w:t>
      </w:r>
      <w:bookmarkEnd w:id="705"/>
      <w:bookmarkEnd w:id="706"/>
      <w:bookmarkEnd w:id="707"/>
      <w:bookmarkStart w:id="739" w:name="_Toc312677495"/>
      <w:bookmarkStart w:id="740" w:name="_Toc300934982"/>
      <w:bookmarkStart w:id="741" w:name="_Toc312678021"/>
      <w:bookmarkStart w:id="742" w:name="_Toc304295559"/>
      <w:bookmarkStart w:id="743" w:name="_Toc297123533"/>
      <w:bookmarkStart w:id="744" w:name="_Toc303539139"/>
      <w:bookmarkStart w:id="745" w:name="_Toc297216192"/>
      <w:bookmarkStart w:id="746" w:name="_Toc296891213"/>
      <w:bookmarkStart w:id="747" w:name="_Toc296347172"/>
      <w:bookmarkStart w:id="748" w:name="_Toc296891001"/>
      <w:bookmarkStart w:id="749" w:name="_Toc297120473"/>
      <w:bookmarkStart w:id="750" w:name="_Toc296346674"/>
      <w:bookmarkStart w:id="751" w:name="_Toc296503173"/>
      <w:bookmarkStart w:id="752" w:name="_Toc267251428"/>
      <w:bookmarkStart w:id="753" w:name="_Toc297048359"/>
      <w:bookmarkStart w:id="754" w:name="_Toc296944512"/>
      <w:bookmarkStart w:id="755" w:name="_Toc267251427"/>
      <w:bookmarkStart w:id="756" w:name="_Toc292559378"/>
      <w:bookmarkStart w:id="757" w:name="_Toc292559883"/>
      <w:r>
        <w:rPr>
          <w:rFonts w:hint="eastAsia" w:ascii="仿宋" w:hAnsi="仿宋" w:eastAsia="仿宋" w:cs="仿宋"/>
          <w:bCs/>
          <w:color w:val="auto"/>
          <w:szCs w:val="21"/>
          <w:highlight w:val="none"/>
        </w:rPr>
        <w:t>. 试验与检验</w:t>
      </w:r>
      <w:bookmarkEnd w:id="738"/>
    </w:p>
    <w:bookmarkEnd w:id="739"/>
    <w:bookmarkEnd w:id="740"/>
    <w:bookmarkEnd w:id="741"/>
    <w:bookmarkEnd w:id="742"/>
    <w:bookmarkEnd w:id="743"/>
    <w:bookmarkEnd w:id="744"/>
    <w:bookmarkEnd w:id="745"/>
    <w:p w14:paraId="5AD3B32A">
      <w:pPr>
        <w:adjustRightInd/>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9</w:t>
      </w:r>
      <w:bookmarkStart w:id="758" w:name="_Toc303539140"/>
      <w:bookmarkStart w:id="759" w:name="_Toc300934983"/>
      <w:bookmarkStart w:id="760" w:name="_Toc312678022"/>
      <w:bookmarkStart w:id="761" w:name="_Toc297123534"/>
      <w:bookmarkStart w:id="762" w:name="_Toc304295560"/>
      <w:bookmarkStart w:id="763" w:name="_Toc297216193"/>
      <w:bookmarkStart w:id="764" w:name="_Toc312677496"/>
      <w:r>
        <w:rPr>
          <w:rFonts w:hint="eastAsia" w:ascii="仿宋" w:hAnsi="仿宋" w:eastAsia="仿宋" w:cs="仿宋"/>
          <w:color w:val="auto"/>
          <w:szCs w:val="21"/>
          <w:highlight w:val="none"/>
        </w:rPr>
        <w:t>.1试验设备与试验人员</w:t>
      </w:r>
    </w:p>
    <w:bookmarkEnd w:id="758"/>
    <w:bookmarkEnd w:id="759"/>
    <w:bookmarkEnd w:id="760"/>
    <w:bookmarkEnd w:id="761"/>
    <w:bookmarkEnd w:id="762"/>
    <w:bookmarkEnd w:id="763"/>
    <w:bookmarkEnd w:id="764"/>
    <w:p w14:paraId="497D40F3">
      <w:pPr>
        <w:adjustRightInd/>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9</w:t>
      </w:r>
      <w:bookmarkStart w:id="765" w:name="_Toc312677497"/>
      <w:bookmarkStart w:id="766" w:name="_Toc312678023"/>
      <w:bookmarkStart w:id="767" w:name="_Toc297123535"/>
      <w:bookmarkStart w:id="768" w:name="_Toc304295561"/>
      <w:bookmarkStart w:id="769" w:name="_Toc303539141"/>
      <w:bookmarkStart w:id="770" w:name="_Toc297216194"/>
      <w:bookmarkStart w:id="771" w:name="_Toc300934984"/>
      <w:bookmarkStart w:id="772" w:name="_Toc318581174"/>
      <w:r>
        <w:rPr>
          <w:rFonts w:hint="eastAsia" w:ascii="仿宋" w:hAnsi="仿宋" w:eastAsia="仿宋" w:cs="仿宋"/>
          <w:color w:val="auto"/>
          <w:szCs w:val="21"/>
          <w:highlight w:val="none"/>
        </w:rPr>
        <w:t>.1.2 试验设备</w:t>
      </w:r>
    </w:p>
    <w:p w14:paraId="25075126">
      <w:pPr>
        <w:adjustRightInd/>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施工现场需要配置的试验场所：</w:t>
      </w:r>
      <w:bookmarkEnd w:id="765"/>
      <w:bookmarkEnd w:id="766"/>
      <w:bookmarkEnd w:id="767"/>
      <w:bookmarkEnd w:id="768"/>
      <w:bookmarkEnd w:id="769"/>
      <w:bookmarkEnd w:id="770"/>
      <w:bookmarkEnd w:id="771"/>
      <w:bookmarkStart w:id="773" w:name="_Toc312678024"/>
      <w:bookmarkStart w:id="774" w:name="_Toc300934985"/>
      <w:bookmarkStart w:id="775" w:name="_Toc304295562"/>
      <w:bookmarkStart w:id="776" w:name="_Toc297216195"/>
      <w:bookmarkStart w:id="777" w:name="_Toc312677498"/>
      <w:bookmarkStart w:id="778" w:name="_Toc297123536"/>
      <w:bookmarkStart w:id="779" w:name="_Toc303539142"/>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 xml:space="preserve">。 </w:t>
      </w:r>
    </w:p>
    <w:p w14:paraId="1B21AF38">
      <w:pPr>
        <w:adjustRightInd/>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施工现场需要配备的试验设备：</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72A9507F">
      <w:pPr>
        <w:adjustRightInd/>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施工现场需要具备的其他试验条件：</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26971F33">
      <w:pPr>
        <w:adjustRightInd/>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9.3  材料、工程设备和工程的试验和检验</w:t>
      </w:r>
    </w:p>
    <w:p w14:paraId="0FF35B4A">
      <w:pPr>
        <w:adjustRightInd/>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试验、检测单位资质条件约定：</w:t>
      </w:r>
      <w:r>
        <w:rPr>
          <w:rFonts w:hint="eastAsia" w:ascii="仿宋" w:hAnsi="仿宋" w:eastAsia="仿宋" w:cs="仿宋"/>
          <w:color w:val="auto"/>
          <w:szCs w:val="21"/>
          <w:highlight w:val="none"/>
          <w:u w:val="single"/>
        </w:rPr>
        <w:t>按有关规定；</w:t>
      </w:r>
    </w:p>
    <w:p w14:paraId="4B2B22CA">
      <w:pPr>
        <w:adjustRightInd/>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试验、检测单位选择约定：</w:t>
      </w:r>
      <w:r>
        <w:rPr>
          <w:rFonts w:hint="eastAsia" w:ascii="仿宋" w:hAnsi="仿宋" w:eastAsia="仿宋" w:cs="仿宋"/>
          <w:color w:val="auto"/>
          <w:szCs w:val="21"/>
          <w:highlight w:val="none"/>
          <w:u w:val="single"/>
        </w:rPr>
        <w:t>按有关规定；</w:t>
      </w:r>
    </w:p>
    <w:p w14:paraId="244464EB">
      <w:pPr>
        <w:adjustRightInd/>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试验、检测费用约定：</w:t>
      </w:r>
      <w:r>
        <w:rPr>
          <w:rFonts w:hint="eastAsia" w:ascii="仿宋" w:hAnsi="仿宋" w:eastAsia="仿宋" w:cs="仿宋"/>
          <w:color w:val="auto"/>
          <w:szCs w:val="21"/>
          <w:highlight w:val="none"/>
          <w:u w:val="single"/>
        </w:rPr>
        <w:t>本工程所需所有检测试验项目，所需费用由承包人承担。由于建设单位要求额外的检测试验，由建设单位支付费用，施工单位应无条件配合。由于质量问题所引起的复测，如复测结果质量合格，复测费用由建设单位支付</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如不合格，则由施工单位支付。</w:t>
      </w:r>
    </w:p>
    <w:p w14:paraId="78788B1B">
      <w:pPr>
        <w:adjustRightInd/>
        <w:spacing w:line="400" w:lineRule="exact"/>
        <w:ind w:firstLine="420" w:firstLineChars="200"/>
        <w:outlineLvl w:val="0"/>
        <w:rPr>
          <w:rFonts w:hint="eastAsia" w:ascii="仿宋" w:hAnsi="仿宋" w:eastAsia="仿宋" w:cs="仿宋"/>
          <w:color w:val="auto"/>
          <w:szCs w:val="21"/>
          <w:highlight w:val="none"/>
        </w:rPr>
      </w:pPr>
      <w:bookmarkStart w:id="780" w:name="_Toc8402"/>
      <w:bookmarkStart w:id="781" w:name="_Toc32061"/>
      <w:bookmarkStart w:id="782" w:name="_Toc11066"/>
      <w:bookmarkStart w:id="783" w:name="_Toc9472"/>
      <w:bookmarkStart w:id="784" w:name="_Toc22320"/>
      <w:bookmarkStart w:id="785" w:name="_Toc18684"/>
      <w:r>
        <w:rPr>
          <w:rFonts w:hint="eastAsia" w:ascii="仿宋" w:hAnsi="仿宋" w:eastAsia="仿宋" w:cs="仿宋"/>
          <w:color w:val="auto"/>
          <w:szCs w:val="21"/>
          <w:highlight w:val="none"/>
        </w:rPr>
        <w:t>9.4 现场工艺试验</w:t>
      </w:r>
      <w:bookmarkEnd w:id="780"/>
      <w:bookmarkEnd w:id="781"/>
      <w:bookmarkEnd w:id="782"/>
      <w:bookmarkEnd w:id="783"/>
      <w:bookmarkEnd w:id="784"/>
      <w:bookmarkEnd w:id="785"/>
    </w:p>
    <w:p w14:paraId="53276EA2">
      <w:pPr>
        <w:adjustRightInd/>
        <w:spacing w:line="400" w:lineRule="exact"/>
        <w:ind w:firstLine="420" w:firstLineChars="200"/>
        <w:outlineLvl w:val="0"/>
        <w:rPr>
          <w:rFonts w:hint="eastAsia" w:ascii="仿宋" w:hAnsi="仿宋" w:eastAsia="仿宋" w:cs="仿宋"/>
          <w:color w:val="auto"/>
          <w:szCs w:val="21"/>
          <w:highlight w:val="none"/>
        </w:rPr>
      </w:pPr>
      <w:bookmarkStart w:id="786" w:name="_Toc23413"/>
      <w:bookmarkStart w:id="787" w:name="_Toc4246"/>
      <w:bookmarkStart w:id="788" w:name="_Toc1747"/>
      <w:bookmarkStart w:id="789" w:name="_Toc19892"/>
      <w:bookmarkStart w:id="790" w:name="_Toc8425"/>
      <w:bookmarkStart w:id="791" w:name="_Toc19192"/>
      <w:r>
        <w:rPr>
          <w:rFonts w:hint="eastAsia" w:ascii="仿宋" w:hAnsi="仿宋" w:eastAsia="仿宋" w:cs="仿宋"/>
          <w:color w:val="auto"/>
          <w:szCs w:val="21"/>
          <w:highlight w:val="none"/>
        </w:rPr>
        <w:t>现场工艺试验的有关约定：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bookmarkEnd w:id="786"/>
      <w:bookmarkEnd w:id="787"/>
      <w:bookmarkEnd w:id="788"/>
      <w:bookmarkEnd w:id="789"/>
      <w:bookmarkEnd w:id="790"/>
      <w:bookmarkEnd w:id="791"/>
    </w:p>
    <w:bookmarkEnd w:id="772"/>
    <w:bookmarkEnd w:id="773"/>
    <w:bookmarkEnd w:id="774"/>
    <w:bookmarkEnd w:id="775"/>
    <w:bookmarkEnd w:id="776"/>
    <w:bookmarkEnd w:id="777"/>
    <w:bookmarkEnd w:id="778"/>
    <w:bookmarkEnd w:id="779"/>
    <w:p w14:paraId="41CCDB68">
      <w:pPr>
        <w:keepNext/>
        <w:keepLines/>
        <w:adjustRightInd/>
        <w:spacing w:line="400" w:lineRule="exact"/>
        <w:outlineLvl w:val="3"/>
        <w:rPr>
          <w:rFonts w:hint="eastAsia" w:ascii="仿宋" w:hAnsi="仿宋" w:eastAsia="仿宋" w:cs="仿宋"/>
          <w:bCs/>
          <w:color w:val="auto"/>
          <w:szCs w:val="21"/>
          <w:highlight w:val="none"/>
        </w:rPr>
      </w:pPr>
      <w:bookmarkStart w:id="792" w:name="_Toc351203642"/>
      <w:r>
        <w:rPr>
          <w:rFonts w:hint="eastAsia" w:ascii="仿宋" w:hAnsi="仿宋" w:eastAsia="仿宋" w:cs="仿宋"/>
          <w:bCs/>
          <w:color w:val="auto"/>
          <w:szCs w:val="21"/>
          <w:highlight w:val="none"/>
        </w:rPr>
        <w:t>1</w:t>
      </w:r>
      <w:bookmarkEnd w:id="746"/>
      <w:bookmarkEnd w:id="747"/>
      <w:bookmarkEnd w:id="748"/>
      <w:bookmarkEnd w:id="749"/>
      <w:bookmarkEnd w:id="750"/>
      <w:bookmarkEnd w:id="751"/>
      <w:bookmarkEnd w:id="752"/>
      <w:bookmarkEnd w:id="753"/>
      <w:bookmarkEnd w:id="754"/>
      <w:bookmarkEnd w:id="755"/>
      <w:bookmarkEnd w:id="756"/>
      <w:bookmarkEnd w:id="757"/>
      <w:bookmarkStart w:id="793" w:name="_Toc297048379"/>
      <w:bookmarkStart w:id="794" w:name="_Toc296347192"/>
      <w:bookmarkStart w:id="795" w:name="_Toc296891021"/>
      <w:bookmarkStart w:id="796" w:name="_Toc297216199"/>
      <w:bookmarkStart w:id="797" w:name="_Toc296346694"/>
      <w:bookmarkStart w:id="798" w:name="_Toc296503193"/>
      <w:bookmarkStart w:id="799" w:name="_Toc296891233"/>
      <w:bookmarkStart w:id="800" w:name="_Toc300934989"/>
      <w:bookmarkStart w:id="801" w:name="_Toc304295566"/>
      <w:bookmarkStart w:id="802" w:name="_Toc303539146"/>
      <w:bookmarkStart w:id="803" w:name="_Toc292559903"/>
      <w:bookmarkStart w:id="804" w:name="_Toc292559398"/>
      <w:bookmarkStart w:id="805" w:name="_Toc297120493"/>
      <w:bookmarkStart w:id="806" w:name="_Toc297123540"/>
      <w:bookmarkStart w:id="807" w:name="_Toc296944532"/>
      <w:bookmarkStart w:id="808" w:name="_Toc312677499"/>
      <w:bookmarkStart w:id="809" w:name="_Toc312678025"/>
      <w:bookmarkStart w:id="810" w:name="_Toc267251433"/>
      <w:bookmarkStart w:id="811" w:name="_Toc267251439"/>
      <w:bookmarkStart w:id="812" w:name="_Toc267251437"/>
      <w:bookmarkStart w:id="813" w:name="_Toc267251441"/>
      <w:bookmarkStart w:id="814" w:name="_Toc267251440"/>
      <w:bookmarkStart w:id="815" w:name="_Toc267251435"/>
      <w:r>
        <w:rPr>
          <w:rFonts w:hint="eastAsia" w:ascii="仿宋" w:hAnsi="仿宋" w:eastAsia="仿宋" w:cs="仿宋"/>
          <w:bCs/>
          <w:color w:val="auto"/>
          <w:szCs w:val="21"/>
          <w:highlight w:val="none"/>
        </w:rPr>
        <w:t>0. 变更</w:t>
      </w:r>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p>
    <w:bookmarkEnd w:id="808"/>
    <w:bookmarkEnd w:id="809"/>
    <w:p w14:paraId="2B488FC1">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bookmarkStart w:id="816" w:name="_Toc312677500"/>
      <w:bookmarkStart w:id="817" w:name="_Toc297048380"/>
      <w:bookmarkStart w:id="818" w:name="_Toc297216200"/>
      <w:bookmarkStart w:id="819" w:name="_Toc296944533"/>
      <w:bookmarkStart w:id="820" w:name="_Toc292559399"/>
      <w:bookmarkStart w:id="821" w:name="_Toc297120494"/>
      <w:bookmarkStart w:id="822" w:name="_Toc297123541"/>
      <w:bookmarkStart w:id="823" w:name="_Toc296346695"/>
      <w:bookmarkStart w:id="824" w:name="_Toc296891234"/>
      <w:bookmarkStart w:id="825" w:name="_Toc304295567"/>
      <w:bookmarkStart w:id="826" w:name="_Toc312678026"/>
      <w:bookmarkStart w:id="827" w:name="_Toc292559904"/>
      <w:bookmarkStart w:id="828" w:name="_Toc296347193"/>
      <w:bookmarkStart w:id="829" w:name="_Toc296891022"/>
      <w:bookmarkStart w:id="830" w:name="_Toc296503194"/>
      <w:bookmarkStart w:id="831" w:name="_Toc300934990"/>
      <w:bookmarkStart w:id="832" w:name="_Toc303539147"/>
      <w:r>
        <w:rPr>
          <w:rFonts w:hint="eastAsia" w:ascii="仿宋" w:hAnsi="仿宋" w:eastAsia="仿宋" w:cs="仿宋"/>
          <w:color w:val="auto"/>
          <w:szCs w:val="21"/>
          <w:highlight w:val="none"/>
        </w:rPr>
        <w:t>0.1变更的范围</w:t>
      </w:r>
    </w:p>
    <w:p w14:paraId="45C145C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关于变更的范围的约定：</w:t>
      </w:r>
      <w:r>
        <w:rPr>
          <w:rFonts w:hint="eastAsia" w:ascii="仿宋" w:hAnsi="仿宋" w:eastAsia="仿宋" w:cs="仿宋"/>
          <w:color w:val="auto"/>
          <w:szCs w:val="21"/>
          <w:highlight w:val="none"/>
          <w:u w:val="single"/>
        </w:rPr>
        <w:t xml:space="preserve">按照建设单位及上级管理部门的变更管理办法中的相关规定  </w:t>
      </w:r>
      <w:r>
        <w:rPr>
          <w:rFonts w:hint="eastAsia" w:ascii="仿宋" w:hAnsi="仿宋" w:eastAsia="仿宋" w:cs="仿宋"/>
          <w:color w:val="auto"/>
          <w:szCs w:val="21"/>
          <w:highlight w:val="none"/>
        </w:rPr>
        <w:t>。</w:t>
      </w:r>
    </w:p>
    <w:p w14:paraId="613103A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10.1.2施工中发包人需对原工程设计变更，应提前14天以书面形式向承包人发出变更通知。变更超过原设计标准或批准的建设规模时，发包人应报规划管理部门和其他有关部门重新审查批准，并由原设计单位提供变更的相应图纸和说明。承包人按照发包人发出的变更通知、图纸及有关要求进行变更。</w:t>
      </w:r>
    </w:p>
    <w:p w14:paraId="2EEEF1F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10.1.3施工中承包人不得对原工程设计进行变更。因承包人擅自变更设计发生的费用和由此导致发包人的直接损失，由承包人承担，</w:t>
      </w:r>
      <w:r>
        <w:rPr>
          <w:rFonts w:hint="eastAsia" w:ascii="仿宋" w:hAnsi="仿宋" w:eastAsia="仿宋" w:cs="仿宋"/>
          <w:color w:val="auto"/>
          <w:szCs w:val="21"/>
          <w:highlight w:val="none"/>
          <w:u w:val="single"/>
          <w:lang w:val="en-US" w:eastAsia="zh-Hans"/>
        </w:rPr>
        <w:t>承包人应无条件返工</w:t>
      </w:r>
      <w:r>
        <w:rPr>
          <w:rFonts w:hint="default" w:ascii="仿宋" w:hAnsi="仿宋" w:eastAsia="仿宋" w:cs="仿宋"/>
          <w:color w:val="auto"/>
          <w:szCs w:val="21"/>
          <w:highlight w:val="none"/>
          <w:u w:val="single"/>
          <w:lang w:eastAsia="zh-Hans"/>
        </w:rPr>
        <w:t>，</w:t>
      </w:r>
      <w:r>
        <w:rPr>
          <w:rFonts w:hint="eastAsia" w:ascii="仿宋" w:hAnsi="仿宋" w:eastAsia="仿宋" w:cs="仿宋"/>
          <w:color w:val="auto"/>
          <w:szCs w:val="21"/>
          <w:highlight w:val="none"/>
          <w:u w:val="single"/>
        </w:rPr>
        <w:t>延误的工期不予顺延。</w:t>
      </w:r>
    </w:p>
    <w:p w14:paraId="71525E4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10.1.4承包人在施工中提出的合理化建议涉及到对设计图纸或施工组织设计的更改及对材料、设备的换用，须经发包人</w:t>
      </w:r>
      <w:r>
        <w:rPr>
          <w:rFonts w:hint="eastAsia" w:ascii="仿宋" w:hAnsi="仿宋" w:eastAsia="仿宋" w:cs="仿宋"/>
          <w:color w:val="auto"/>
          <w:szCs w:val="21"/>
          <w:highlight w:val="none"/>
          <w:u w:val="single"/>
          <w:lang w:val="en-US" w:eastAsia="zh-Hans"/>
        </w:rPr>
        <w:t>书面</w:t>
      </w:r>
      <w:r>
        <w:rPr>
          <w:rFonts w:hint="eastAsia" w:ascii="仿宋" w:hAnsi="仿宋" w:eastAsia="仿宋" w:cs="仿宋"/>
          <w:color w:val="auto"/>
          <w:szCs w:val="21"/>
          <w:highlight w:val="none"/>
          <w:u w:val="single"/>
        </w:rPr>
        <w:t>同意。未经同意擅自更改或换用时，承包人承担由此发生的费用，并赔偿发包人的有关损失，延误的工期不予顺延。</w:t>
      </w:r>
    </w:p>
    <w:p w14:paraId="469411D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10.1.5发包人有可能根据工程需要修改施工图或发出指令增加或减少工程量，工程量不论增减多少，承包人均应无条件服从，对因变更增加或减少的工程量，其结算口径按本合同专用条款执行。对变更单项材料累计金额达到规定标准时，发包人有权通过招标或进行政府采购确定材料价格及供货单位。</w:t>
      </w:r>
    </w:p>
    <w:p w14:paraId="2FD21C6E">
      <w:pPr>
        <w:adjustRightInd/>
        <w:spacing w:line="400" w:lineRule="exact"/>
        <w:ind w:firstLine="420" w:firstLineChars="200"/>
        <w:outlineLvl w:val="0"/>
        <w:rPr>
          <w:rFonts w:hint="eastAsia" w:ascii="仿宋" w:hAnsi="仿宋" w:eastAsia="仿宋" w:cs="仿宋"/>
          <w:color w:val="auto"/>
          <w:szCs w:val="21"/>
          <w:highlight w:val="none"/>
        </w:rPr>
      </w:pPr>
      <w:bookmarkStart w:id="833" w:name="_Toc789"/>
      <w:bookmarkStart w:id="834" w:name="_Toc32184"/>
      <w:bookmarkStart w:id="835" w:name="_Toc20596"/>
      <w:bookmarkStart w:id="836" w:name="_Toc353"/>
      <w:bookmarkStart w:id="837" w:name="_Toc19048"/>
      <w:bookmarkStart w:id="838" w:name="_Toc9300"/>
      <w:r>
        <w:rPr>
          <w:rFonts w:hint="eastAsia" w:ascii="仿宋" w:hAnsi="仿宋" w:eastAsia="仿宋" w:cs="仿宋"/>
          <w:color w:val="auto"/>
          <w:szCs w:val="21"/>
          <w:highlight w:val="none"/>
        </w:rPr>
        <w:t>10.4 变更估价</w:t>
      </w:r>
      <w:bookmarkEnd w:id="833"/>
      <w:bookmarkEnd w:id="834"/>
      <w:bookmarkEnd w:id="835"/>
      <w:bookmarkEnd w:id="836"/>
      <w:bookmarkEnd w:id="837"/>
      <w:bookmarkEnd w:id="838"/>
    </w:p>
    <w:p w14:paraId="070725C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10.4.1 变更估价原则</w:t>
      </w:r>
    </w:p>
    <w:p w14:paraId="3F24C8C4">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关于变更估价的约定:</w:t>
      </w:r>
      <w:r>
        <w:rPr>
          <w:rFonts w:hint="eastAsia" w:ascii="仿宋" w:hAnsi="仿宋" w:eastAsia="仿宋" w:cs="仿宋"/>
          <w:color w:val="auto"/>
          <w:szCs w:val="21"/>
          <w:highlight w:val="none"/>
          <w:u w:val="single"/>
        </w:rPr>
        <w:t>（1）已标价工程量清单或预算书有相同项目的，按照相同项目单价确定。</w:t>
      </w:r>
    </w:p>
    <w:p w14:paraId="58ABB31C">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（2）已标价工程量清单或预算书中无相同项目，但有类似项目的，参照类似项目的单价确定。</w:t>
      </w:r>
    </w:p>
    <w:p w14:paraId="2BBF3E0A">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①清单项目某一特征或工程内容变化，不影响其他特征及工程内容价格的，其他特征组合标准不变，仅调整发生变化的组合子目价格。</w:t>
      </w:r>
    </w:p>
    <w:p w14:paraId="72E1AB2E">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②某种材料（包括半成品或成品）等级、标准发生变化的，清单组价子目不变，仅调整不同材料编制期信息价的差价（计税金）：材料编制期信息价计价顺序依次为《杭州市造价信息》、《浙江省造价信息》正刊，对造价信息价正刊没有的材料，发包人将在充分市场询价基础上，参照同期同类材料市场价格水平，按照相关规定审批程序签证确定其编制期信息价。</w:t>
      </w:r>
    </w:p>
    <w:p w14:paraId="2763B703">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（3）已标价工程量清单或预算书中无相同项目及类似项目单价的，其单价的确定，按以下约定：</w:t>
      </w:r>
    </w:p>
    <w:p w14:paraId="498BF484">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①定额套用顺序：新增单价依据《杭州市建设工程工程量清单计价实施细则》（杭建市发[2018]578号）并依次采用浙江省安装工程预算定额（2018版）、浙江省市政工程预算定额（2018版）、浙江省建筑工程预算定额（2018版）、其他定额（如无法直接套用定额的，可参考其他部委类似定额自行补充）；</w:t>
      </w:r>
    </w:p>
    <w:p w14:paraId="7ADEC4F9">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②材料单价：按投标截止时间日前28日历天所在月份的杭州市公开发布的《杭州造价信息》计算，信息价中没有的材料价格经发包人、监理人、承包人市场调查询价后，参照施工期同类材料市场价格水平，并形成市场询价资料，按照相关规定审批程序签证确定；</w:t>
      </w:r>
    </w:p>
    <w:p w14:paraId="5AAB1F8A">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③费率：按采用的相应定额取费标准（中值），税金、农民工工伤保险按投标口径执行；</w:t>
      </w:r>
    </w:p>
    <w:p w14:paraId="2FA4A738">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④优惠幅度：新增综合单价按上述①、②、③原则计算后乘以（1-承包人报价浮动率L）得出结算单价，承包人报价浮动率L=（1-(中标价-暂列金额）÷（招标控制价-暂列金额）)×100%。</w:t>
      </w:r>
    </w:p>
    <w:p w14:paraId="76DDE817">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⑤当零星工程发生签证人工、机械台班数量，人工和机械台班单价有投标价的执行投标价，无投标价的执行相应定额并按投标口径同比例优惠。</w:t>
      </w:r>
    </w:p>
    <w:p w14:paraId="2F1E72AC">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4）工程量清单错误（或）设计变更导致实际完成的工程量与已标价工程量清单或预算书中列明的该项目工程量的变化幅度超过以下情况的，其单价允许调整：凡合价金额占合同总价2%及以上的分部分项清单项目，其工程量增加或减少超过本项目工程数量15%及以上时，或者合价金额占合同总价不到2%的分部分项清单项目，但其工程量增加或减少超过本项目工程数量25%及以上时。工程量偏差超过上述变化幅度之外变动部分的相应单价调整方法按以下方式约定：</w:t>
      </w:r>
    </w:p>
    <w:p w14:paraId="0BC41266">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按照《建设工程工程量清单计价规范》（GB50500-2013）9.6.2条规定，增加部分的工程量的综合单价应予调低，减少后剩余部分的工程量的综合单价应予调高，可按下列公式调整:</w:t>
      </w:r>
    </w:p>
    <w:p w14:paraId="0C23B66D">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凡合价金额占合同总价2%及以上的分部分项清单项目，</w:t>
      </w:r>
    </w:p>
    <w:p w14:paraId="6099756A">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①当Q1&gt;1.15Q0时:       S=1.15Q0×P0+（Q1-1.15 Q0）×P1</w:t>
      </w:r>
    </w:p>
    <w:p w14:paraId="1D8AE028">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②当Q1&lt;0.85Q0时:       S=Q1×P1</w:t>
      </w:r>
    </w:p>
    <w:p w14:paraId="3D64DB72">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凡合价金额占合同总价不到2%的分部分项清单项目，</w:t>
      </w:r>
    </w:p>
    <w:p w14:paraId="259AAB2F">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③当Q1&gt;1.25Q0时:       S=1.25Q0×P0+（Q1-1.25 Q0）×P1</w:t>
      </w:r>
    </w:p>
    <w:p w14:paraId="101729EB">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④当Q1&lt;0.75Q0时:       S=Q1×P1</w:t>
      </w:r>
    </w:p>
    <w:p w14:paraId="7D3EDA1C">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式中 S——调整后某一分部分项工程费结算价；</w:t>
      </w:r>
    </w:p>
    <w:p w14:paraId="1C106447">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 xml:space="preserve">     Q1——最终完成的工程量；</w:t>
      </w:r>
    </w:p>
    <w:p w14:paraId="7180CB74">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 xml:space="preserve">     Q0——招标工程量清单中列出的工程量；</w:t>
      </w:r>
    </w:p>
    <w:p w14:paraId="5C466A02">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 xml:space="preserve">     P0——承包人在已标价工程量清单中填报的综合单价</w:t>
      </w:r>
    </w:p>
    <w:p w14:paraId="3E3E39C5">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     P1——按照最终完成工程量重新调整后的综合单价，按本合同第10.4.1条（3）款约定的组价方法计算。结算单价的确定，在P1和P0进行比较，在工程量增加时，若计算结果大于P0的，结算单价取 P0，在工程量减少时，若计算结果小于P0的，结算单价取 P0。 </w:t>
      </w:r>
    </w:p>
    <w:p w14:paraId="43CE77B4">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（5）工程变更管理暂按《杭州钱塘新区政府投资项目工程变更管理办法（试行）》（钱塘管办发[2019]42号）执行；</w:t>
      </w:r>
    </w:p>
    <w:p w14:paraId="68D6292F">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备注：相关文件有不一致之处按发包人及钱塘新区财政要求为准；</w:t>
      </w:r>
    </w:p>
    <w:p w14:paraId="6EACD1BE">
      <w:pPr>
        <w:pStyle w:val="46"/>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　（6）最高限价400万元以下的小额工程项目招标控制价为预算审核价。</w:t>
      </w:r>
    </w:p>
    <w:p w14:paraId="2E36D5A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Start w:id="839" w:name="_Toc300934993"/>
      <w:bookmarkStart w:id="840" w:name="_Toc297120497"/>
      <w:bookmarkStart w:id="841" w:name="_Toc296891237"/>
      <w:bookmarkStart w:id="842" w:name="_Toc303539150"/>
      <w:bookmarkStart w:id="843" w:name="_Toc296891025"/>
      <w:bookmarkStart w:id="844" w:name="_Toc297048383"/>
      <w:bookmarkStart w:id="845" w:name="_Toc297123544"/>
      <w:bookmarkStart w:id="846" w:name="_Toc292559907"/>
      <w:bookmarkStart w:id="847" w:name="_Toc297216203"/>
      <w:bookmarkStart w:id="848" w:name="_Toc296944536"/>
      <w:bookmarkStart w:id="849" w:name="_Toc296347196"/>
      <w:bookmarkStart w:id="850" w:name="_Toc296346698"/>
      <w:bookmarkStart w:id="851" w:name="_Toc292559402"/>
      <w:bookmarkStart w:id="852" w:name="_Toc296503197"/>
      <w:bookmarkStart w:id="853" w:name="_Toc312677503"/>
      <w:bookmarkStart w:id="854" w:name="_Toc304295570"/>
      <w:bookmarkStart w:id="855" w:name="_Toc312678029"/>
      <w:r>
        <w:rPr>
          <w:rFonts w:hint="eastAsia" w:ascii="仿宋" w:hAnsi="仿宋" w:eastAsia="仿宋" w:cs="仿宋"/>
          <w:color w:val="auto"/>
          <w:szCs w:val="21"/>
          <w:highlight w:val="none"/>
        </w:rPr>
        <w:t>0.5承</w:t>
      </w:r>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Start w:id="856" w:name="_Toc292559408"/>
      <w:bookmarkStart w:id="857" w:name="_Toc296891031"/>
      <w:bookmarkStart w:id="858" w:name="_Toc297048389"/>
      <w:bookmarkStart w:id="859" w:name="_Toc297120503"/>
      <w:bookmarkStart w:id="860" w:name="_Toc296891243"/>
      <w:bookmarkStart w:id="861" w:name="_Toc296347202"/>
      <w:bookmarkStart w:id="862" w:name="_Toc303539151"/>
      <w:bookmarkStart w:id="863" w:name="_Toc296503203"/>
      <w:bookmarkStart w:id="864" w:name="_Toc296346704"/>
      <w:bookmarkStart w:id="865" w:name="_Toc292559913"/>
      <w:bookmarkStart w:id="866" w:name="_Toc300934994"/>
      <w:bookmarkStart w:id="867" w:name="_Toc296944542"/>
      <w:bookmarkStart w:id="868" w:name="_Toc297216204"/>
      <w:bookmarkStart w:id="869" w:name="_Toc297123545"/>
      <w:r>
        <w:rPr>
          <w:rFonts w:hint="eastAsia" w:ascii="仿宋" w:hAnsi="仿宋" w:eastAsia="仿宋" w:cs="仿宋"/>
          <w:color w:val="auto"/>
          <w:szCs w:val="21"/>
          <w:highlight w:val="none"/>
        </w:rPr>
        <w:t>包人的合理化建议</w:t>
      </w:r>
    </w:p>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p w14:paraId="1C698E5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监理人审查承包人合理化建议的期限：</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140A9DE7">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发包人审批承包人合理化建议的期限：</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382A7C9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w:t>
      </w:r>
      <w:bookmarkStart w:id="870" w:name="_Toc296944543"/>
      <w:bookmarkStart w:id="871" w:name="_Toc300934995"/>
      <w:bookmarkStart w:id="872" w:name="_Toc297216205"/>
      <w:bookmarkStart w:id="873" w:name="_Toc296347203"/>
      <w:bookmarkStart w:id="874" w:name="_Toc312678030"/>
      <w:bookmarkStart w:id="875" w:name="_Toc296891244"/>
      <w:bookmarkStart w:id="876" w:name="_Toc312677504"/>
      <w:bookmarkStart w:id="877" w:name="_Toc296891032"/>
      <w:bookmarkStart w:id="878" w:name="_Toc292559409"/>
      <w:bookmarkStart w:id="879" w:name="_Toc296346705"/>
      <w:bookmarkStart w:id="880" w:name="_Toc297123546"/>
      <w:bookmarkStart w:id="881" w:name="_Toc292559914"/>
      <w:bookmarkStart w:id="882" w:name="_Toc304295571"/>
      <w:bookmarkStart w:id="883" w:name="_Toc296503204"/>
      <w:bookmarkStart w:id="884" w:name="_Toc297120504"/>
      <w:bookmarkStart w:id="885" w:name="_Toc297048390"/>
      <w:bookmarkStart w:id="886" w:name="_Toc303539152"/>
      <w:bookmarkStart w:id="887" w:name="_Toc318581175"/>
      <w:r>
        <w:rPr>
          <w:rFonts w:hint="eastAsia" w:ascii="仿宋" w:hAnsi="仿宋" w:eastAsia="仿宋" w:cs="仿宋"/>
          <w:color w:val="auto"/>
          <w:szCs w:val="21"/>
          <w:highlight w:val="none"/>
        </w:rPr>
        <w:t>包人提出的合理化建议降低了合同价格或者提高了工程经济效益的奖励的方法和金额为：</w:t>
      </w:r>
      <w:r>
        <w:rPr>
          <w:rFonts w:hint="eastAsia" w:ascii="仿宋" w:hAnsi="仿宋" w:eastAsia="仿宋" w:cs="仿宋"/>
          <w:color w:val="auto"/>
          <w:szCs w:val="21"/>
          <w:highlight w:val="none"/>
          <w:u w:val="single"/>
        </w:rPr>
        <w:t>无</w:t>
      </w:r>
      <w:r>
        <w:rPr>
          <w:rFonts w:hint="eastAsia" w:ascii="仿宋" w:hAnsi="仿宋" w:eastAsia="仿宋" w:cs="仿宋"/>
          <w:color w:val="auto"/>
          <w:szCs w:val="21"/>
          <w:highlight w:val="none"/>
        </w:rPr>
        <w:t>。</w:t>
      </w:r>
    </w:p>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p w14:paraId="5BC03989">
      <w:pPr>
        <w:adjustRightInd/>
        <w:spacing w:line="400" w:lineRule="exact"/>
        <w:ind w:firstLine="420" w:firstLineChars="200"/>
        <w:outlineLvl w:val="0"/>
        <w:rPr>
          <w:rFonts w:hint="eastAsia" w:ascii="仿宋" w:hAnsi="仿宋" w:eastAsia="仿宋" w:cs="仿宋"/>
          <w:color w:val="auto"/>
          <w:szCs w:val="21"/>
          <w:highlight w:val="none"/>
        </w:rPr>
      </w:pPr>
      <w:bookmarkStart w:id="888" w:name="_Toc28127"/>
      <w:bookmarkStart w:id="889" w:name="_Toc12094"/>
      <w:bookmarkStart w:id="890" w:name="_Toc7636"/>
      <w:bookmarkStart w:id="891" w:name="_Toc10600"/>
      <w:bookmarkStart w:id="892" w:name="_Toc21345"/>
      <w:bookmarkStart w:id="893" w:name="_Toc11085"/>
      <w:r>
        <w:rPr>
          <w:rFonts w:hint="eastAsia" w:ascii="仿宋" w:hAnsi="仿宋" w:eastAsia="仿宋" w:cs="仿宋"/>
          <w:color w:val="auto"/>
          <w:szCs w:val="21"/>
          <w:highlight w:val="none"/>
        </w:rPr>
        <w:t>1</w:t>
      </w:r>
      <w:bookmarkStart w:id="894" w:name="_Toc296347198"/>
      <w:bookmarkStart w:id="895" w:name="_Toc296891027"/>
      <w:bookmarkStart w:id="896" w:name="_Toc292559404"/>
      <w:bookmarkStart w:id="897" w:name="_Toc292559909"/>
      <w:bookmarkStart w:id="898" w:name="_Toc303539154"/>
      <w:bookmarkStart w:id="899" w:name="_Toc300934997"/>
      <w:bookmarkStart w:id="900" w:name="_Toc297216207"/>
      <w:bookmarkStart w:id="901" w:name="_Toc296944538"/>
      <w:bookmarkStart w:id="902" w:name="_Toc296891239"/>
      <w:bookmarkStart w:id="903" w:name="_Toc296503199"/>
      <w:bookmarkStart w:id="904" w:name="_Toc297123548"/>
      <w:bookmarkStart w:id="905" w:name="_Toc312677507"/>
      <w:bookmarkStart w:id="906" w:name="_Toc296346700"/>
      <w:bookmarkStart w:id="907" w:name="_Toc297048385"/>
      <w:bookmarkStart w:id="908" w:name="_Toc297120499"/>
      <w:bookmarkStart w:id="909" w:name="_Toc304295574"/>
      <w:bookmarkStart w:id="910" w:name="_Toc312678033"/>
      <w:r>
        <w:rPr>
          <w:rFonts w:hint="eastAsia" w:ascii="仿宋" w:hAnsi="仿宋" w:eastAsia="仿宋" w:cs="仿宋"/>
          <w:color w:val="auto"/>
          <w:szCs w:val="21"/>
          <w:highlight w:val="none"/>
        </w:rPr>
        <w:t>0.7 暂估价</w:t>
      </w:r>
      <w:bookmarkEnd w:id="888"/>
      <w:bookmarkEnd w:id="889"/>
      <w:bookmarkEnd w:id="890"/>
      <w:bookmarkEnd w:id="891"/>
      <w:bookmarkEnd w:id="892"/>
      <w:bookmarkEnd w:id="893"/>
    </w:p>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p w14:paraId="1FD70AC9">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暂</w:t>
      </w:r>
      <w:bookmarkStart w:id="911" w:name="_Toc312677508"/>
      <w:bookmarkStart w:id="912" w:name="_Toc312678034"/>
      <w:bookmarkStart w:id="913" w:name="_Toc318581176"/>
      <w:r>
        <w:rPr>
          <w:rFonts w:hint="eastAsia" w:ascii="仿宋" w:hAnsi="仿宋" w:eastAsia="仿宋" w:cs="仿宋"/>
          <w:color w:val="auto"/>
          <w:szCs w:val="21"/>
          <w:highlight w:val="none"/>
        </w:rPr>
        <w:t>估价材料和工程设备的明细详见附件：《暂估价一览表》。</w:t>
      </w:r>
    </w:p>
    <w:bookmarkEnd w:id="911"/>
    <w:bookmarkEnd w:id="912"/>
    <w:bookmarkEnd w:id="913"/>
    <w:p w14:paraId="6382B83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bookmarkStart w:id="914" w:name="_Toc312678035"/>
      <w:bookmarkStart w:id="915" w:name="_Toc318581177"/>
      <w:bookmarkStart w:id="916" w:name="_Toc312677509"/>
      <w:r>
        <w:rPr>
          <w:rFonts w:hint="eastAsia" w:ascii="仿宋" w:hAnsi="仿宋" w:eastAsia="仿宋" w:cs="仿宋"/>
          <w:color w:val="auto"/>
          <w:szCs w:val="21"/>
          <w:highlight w:val="none"/>
        </w:rPr>
        <w:t>0.7.1 依法必须招标的暂估价项目</w:t>
      </w:r>
    </w:p>
    <w:bookmarkEnd w:id="914"/>
    <w:bookmarkEnd w:id="915"/>
    <w:bookmarkEnd w:id="916"/>
    <w:p w14:paraId="5BC87BA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对于依法必须招标的暂估价项目的确认和批准采取第</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种方式确定。</w:t>
      </w:r>
    </w:p>
    <w:p w14:paraId="22D01F5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10.7.2 不属于依法必须招标的暂估价项目</w:t>
      </w:r>
    </w:p>
    <w:p w14:paraId="763B17C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对于不属于依法必须招标的暂估价项目的确认和批准采取第</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 xml:space="preserve"> 种方式确定。</w:t>
      </w:r>
    </w:p>
    <w:p w14:paraId="157C1C4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第3种方式：承包人直接实施的暂估价项目</w:t>
      </w:r>
    </w:p>
    <w:p w14:paraId="6E8927C5">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承包人直接实施的暂估价项目的约定：</w:t>
      </w:r>
      <w:r>
        <w:rPr>
          <w:rFonts w:hint="eastAsia" w:ascii="仿宋" w:hAnsi="仿宋" w:eastAsia="仿宋" w:cs="仿宋"/>
          <w:color w:val="auto"/>
          <w:szCs w:val="21"/>
          <w:highlight w:val="none"/>
          <w:u w:val="single"/>
        </w:rPr>
        <w:t xml:space="preserve">    无   </w:t>
      </w:r>
      <w:r>
        <w:rPr>
          <w:rFonts w:hint="eastAsia" w:ascii="仿宋" w:hAnsi="仿宋" w:eastAsia="仿宋" w:cs="仿宋"/>
          <w:color w:val="auto"/>
          <w:szCs w:val="21"/>
          <w:highlight w:val="none"/>
        </w:rPr>
        <w:t>。</w:t>
      </w:r>
    </w:p>
    <w:p w14:paraId="14E9B08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10.8 暂列金额</w:t>
      </w:r>
    </w:p>
    <w:p w14:paraId="673C998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合同当事人关于暂列金额使用的约定：</w:t>
      </w:r>
      <w:r>
        <w:rPr>
          <w:rFonts w:hint="eastAsia" w:ascii="仿宋" w:hAnsi="仿宋" w:eastAsia="仿宋" w:cs="仿宋"/>
          <w:color w:val="auto"/>
          <w:szCs w:val="21"/>
          <w:highlight w:val="none"/>
          <w:u w:val="single"/>
        </w:rPr>
        <w:t xml:space="preserve">  暂列金额作为不可预见费，实际发生时按实结算，不发生时不予支付   </w:t>
      </w:r>
      <w:r>
        <w:rPr>
          <w:rFonts w:hint="eastAsia" w:ascii="仿宋" w:hAnsi="仿宋" w:eastAsia="仿宋" w:cs="仿宋"/>
          <w:color w:val="auto"/>
          <w:szCs w:val="21"/>
          <w:highlight w:val="none"/>
        </w:rPr>
        <w:t>。</w:t>
      </w:r>
    </w:p>
    <w:p w14:paraId="028A96BA">
      <w:pPr>
        <w:keepNext/>
        <w:keepLines/>
        <w:adjustRightInd/>
        <w:spacing w:line="400" w:lineRule="exact"/>
        <w:outlineLvl w:val="3"/>
        <w:rPr>
          <w:rFonts w:hint="eastAsia" w:ascii="仿宋" w:hAnsi="仿宋" w:eastAsia="仿宋" w:cs="仿宋"/>
          <w:bCs/>
          <w:color w:val="auto"/>
          <w:szCs w:val="21"/>
          <w:highlight w:val="none"/>
        </w:rPr>
      </w:pPr>
      <w:bookmarkStart w:id="917" w:name="_Toc351203643"/>
      <w:r>
        <w:rPr>
          <w:rFonts w:hint="eastAsia" w:ascii="仿宋" w:hAnsi="仿宋" w:eastAsia="仿宋" w:cs="仿宋"/>
          <w:bCs/>
          <w:color w:val="auto"/>
          <w:szCs w:val="21"/>
          <w:highlight w:val="none"/>
        </w:rPr>
        <w:t>11. 价格调整</w:t>
      </w:r>
      <w:bookmarkEnd w:id="917"/>
    </w:p>
    <w:p w14:paraId="40AFDE73">
      <w:pPr>
        <w:adjustRightInd/>
        <w:spacing w:line="400" w:lineRule="exact"/>
        <w:ind w:firstLine="420" w:firstLineChars="200"/>
        <w:rPr>
          <w:rFonts w:hint="eastAsia" w:ascii="仿宋" w:hAnsi="仿宋" w:eastAsia="仿宋" w:cs="仿宋"/>
          <w:color w:val="auto"/>
          <w:szCs w:val="21"/>
          <w:highlight w:val="none"/>
        </w:rPr>
      </w:pPr>
      <w:bookmarkStart w:id="918" w:name="_Toc296347200"/>
      <w:bookmarkStart w:id="919" w:name="_Toc296346702"/>
      <w:bookmarkStart w:id="920" w:name="_Toc296891241"/>
      <w:bookmarkStart w:id="921" w:name="_Toc297123550"/>
      <w:bookmarkStart w:id="922" w:name="_Toc296891029"/>
      <w:bookmarkStart w:id="923" w:name="_Toc304295577"/>
      <w:bookmarkStart w:id="924" w:name="_Toc296503201"/>
      <w:bookmarkStart w:id="925" w:name="_Toc297120501"/>
      <w:bookmarkStart w:id="926" w:name="_Toc296944540"/>
      <w:bookmarkStart w:id="927" w:name="_Toc300935000"/>
      <w:bookmarkStart w:id="928" w:name="_Toc303539157"/>
      <w:bookmarkStart w:id="929" w:name="_Toc297216209"/>
      <w:bookmarkStart w:id="930" w:name="_Toc297048387"/>
      <w:bookmarkStart w:id="931" w:name="_Toc312678039"/>
      <w:bookmarkStart w:id="932" w:name="_Toc292559911"/>
      <w:bookmarkStart w:id="933" w:name="_Toc292559406"/>
      <w:r>
        <w:rPr>
          <w:rFonts w:hint="eastAsia" w:ascii="仿宋" w:hAnsi="仿宋" w:eastAsia="仿宋" w:cs="仿宋"/>
          <w:color w:val="auto"/>
          <w:szCs w:val="21"/>
          <w:highlight w:val="none"/>
        </w:rPr>
        <w:t>11.1 市场价格波动引起的调整</w:t>
      </w:r>
    </w:p>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p w14:paraId="28C67905">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市场价格波动是否调整合同价格的约定：</w:t>
      </w:r>
      <w:r>
        <w:rPr>
          <w:rFonts w:hint="eastAsia" w:ascii="仿宋" w:hAnsi="仿宋" w:eastAsia="仿宋" w:cs="仿宋"/>
          <w:color w:val="auto"/>
          <w:szCs w:val="21"/>
          <w:highlight w:val="none"/>
          <w:u w:val="single"/>
        </w:rPr>
        <w:t xml:space="preserve">  是 </w:t>
      </w:r>
      <w:r>
        <w:rPr>
          <w:rFonts w:hint="eastAsia" w:ascii="仿宋" w:hAnsi="仿宋" w:eastAsia="仿宋" w:cs="仿宋"/>
          <w:color w:val="auto"/>
          <w:szCs w:val="21"/>
          <w:highlight w:val="none"/>
        </w:rPr>
        <w:t>。</w:t>
      </w:r>
    </w:p>
    <w:p w14:paraId="36645C4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因市场价格波动调整合同价格，采用以下第</w:t>
      </w:r>
      <w:r>
        <w:rPr>
          <w:rFonts w:hint="eastAsia" w:ascii="仿宋" w:hAnsi="仿宋" w:eastAsia="仿宋" w:cs="仿宋"/>
          <w:color w:val="auto"/>
          <w:szCs w:val="21"/>
          <w:highlight w:val="none"/>
          <w:u w:val="single"/>
        </w:rPr>
        <w:t xml:space="preserve"> 3  </w:t>
      </w:r>
      <w:r>
        <w:rPr>
          <w:rFonts w:hint="eastAsia" w:ascii="仿宋" w:hAnsi="仿宋" w:eastAsia="仿宋" w:cs="仿宋"/>
          <w:color w:val="auto"/>
          <w:szCs w:val="21"/>
          <w:highlight w:val="none"/>
        </w:rPr>
        <w:t>种方式对合同价格进行调整：</w:t>
      </w:r>
    </w:p>
    <w:p w14:paraId="150A94B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第1种方式：采用价格指数进行价格调整。</w:t>
      </w:r>
    </w:p>
    <w:p w14:paraId="2C9A6450">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关于各可调因子、定值和变值权重，以及基本价格指数及其来源的约定：  ； </w:t>
      </w:r>
    </w:p>
    <w:p w14:paraId="2DD68D1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第2种方式：采用造价信息进行价格调整。</w:t>
      </w:r>
    </w:p>
    <w:p w14:paraId="72EDF2B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（2）关于基准价格的约定：</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58D1281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专用合同条款①承包人在已标价工程量清单或预算书中载明的材料单价低于基准价格的：专用合同条款合同履行期间材料单价涨幅以基准价格为基础超过</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%时，或材料单价跌幅以已标价工程量清单或预算书中载明材料单价为基础超过</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%时，其超过部分据实调整。</w:t>
      </w:r>
    </w:p>
    <w:p w14:paraId="19A11AD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②承包人在已标价工程量清单或预算书中载明的材料单价高于基准价格的：专用合同条款合同履行期间材料单价跌幅以基准价格为基础超过</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%时，材料单价涨幅以已标价工程量清单或预算书中载明材料单价为基础超过</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%时，其超过部分据实调整。</w:t>
      </w:r>
    </w:p>
    <w:p w14:paraId="378299A6">
      <w:pPr>
        <w:adjustRightInd/>
        <w:spacing w:line="400" w:lineRule="exact"/>
        <w:ind w:firstLine="645"/>
        <w:rPr>
          <w:rFonts w:hint="eastAsia" w:ascii="仿宋" w:hAnsi="仿宋" w:eastAsia="仿宋" w:cs="仿宋"/>
          <w:color w:val="auto"/>
          <w:szCs w:val="21"/>
          <w:highlight w:val="none"/>
        </w:rPr>
      </w:pPr>
      <w:r>
        <w:rPr>
          <w:rFonts w:hint="eastAsia" w:ascii="仿宋" w:hAnsi="仿宋" w:eastAsia="仿宋" w:cs="仿宋"/>
          <w:color w:val="auto"/>
          <w:szCs w:val="21"/>
          <w:highlight w:val="none"/>
        </w:rPr>
        <w:t>③承包人在已标价工程量清单或预算书中载明的材料单价等于基准单价的：专用合同条款合同履行期间材料单价涨跌幅以基准单价为基础超过±</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%时，其超过部分据实调整。</w:t>
      </w:r>
    </w:p>
    <w:bookmarkEnd w:id="810"/>
    <w:bookmarkEnd w:id="811"/>
    <w:bookmarkEnd w:id="812"/>
    <w:bookmarkEnd w:id="813"/>
    <w:bookmarkEnd w:id="814"/>
    <w:bookmarkEnd w:id="815"/>
    <w:p w14:paraId="6847571B">
      <w:pPr>
        <w:adjustRightInd/>
        <w:spacing w:line="360" w:lineRule="auto"/>
        <w:ind w:firstLine="420" w:firstLineChars="200"/>
        <w:rPr>
          <w:rFonts w:hint="eastAsia" w:ascii="仿宋" w:hAnsi="仿宋" w:eastAsia="仿宋" w:cs="仿宋"/>
          <w:color w:val="auto"/>
          <w:szCs w:val="21"/>
          <w:highlight w:val="none"/>
          <w:u w:val="single"/>
        </w:rPr>
      </w:pPr>
      <w:bookmarkStart w:id="934" w:name="_Toc297120505"/>
      <w:bookmarkStart w:id="935" w:name="_Toc292559915"/>
      <w:bookmarkStart w:id="936" w:name="_Toc296347204"/>
      <w:bookmarkStart w:id="937" w:name="_Toc296891245"/>
      <w:bookmarkStart w:id="938" w:name="_Toc296891033"/>
      <w:bookmarkStart w:id="939" w:name="_Toc296503205"/>
      <w:bookmarkStart w:id="940" w:name="_Toc296944544"/>
      <w:bookmarkStart w:id="941" w:name="_Toc297048391"/>
      <w:bookmarkStart w:id="942" w:name="_Toc296346706"/>
      <w:bookmarkStart w:id="943" w:name="_Toc292559410"/>
      <w:bookmarkStart w:id="944" w:name="_Toc351203644"/>
      <w:bookmarkStart w:id="945" w:name="_Toc303539159"/>
      <w:bookmarkStart w:id="946" w:name="_Toc304295579"/>
      <w:bookmarkStart w:id="947" w:name="_Toc312678040"/>
      <w:bookmarkStart w:id="948" w:name="_Toc300935002"/>
      <w:bookmarkStart w:id="949" w:name="_Toc297123552"/>
      <w:bookmarkStart w:id="950" w:name="_Toc297216211"/>
      <w:r>
        <w:rPr>
          <w:rFonts w:hint="eastAsia" w:ascii="仿宋" w:hAnsi="仿宋" w:eastAsia="仿宋" w:cs="仿宋"/>
          <w:color w:val="auto"/>
          <w:szCs w:val="21"/>
          <w:highlight w:val="none"/>
        </w:rPr>
        <w:t>第3种方式：其他价格调整方式：</w:t>
      </w:r>
      <w:r>
        <w:rPr>
          <w:rFonts w:hint="eastAsia" w:ascii="仿宋" w:hAnsi="仿宋" w:eastAsia="仿宋" w:cs="仿宋"/>
          <w:color w:val="auto"/>
          <w:szCs w:val="21"/>
          <w:highlight w:val="none"/>
          <w:u w:val="single"/>
        </w:rPr>
        <w:t xml:space="preserve"> 政府投资工程因市场价格波动引起的调整按以下第（ 一 ）种方式约定执行：</w:t>
      </w:r>
    </w:p>
    <w:p w14:paraId="05F7A804">
      <w:pPr>
        <w:adjustRightInd/>
        <w:spacing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（一）按《关于进一步加强杭州市建设工程市场要素价格动态管理的指导意见》（杭建市发[2018]579号）执行  ；</w:t>
      </w:r>
    </w:p>
    <w:p w14:paraId="40C4C46D">
      <w:pPr>
        <w:adjustRightInd/>
        <w:spacing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约定市场要素价格调整方式及价差计算方法：</w:t>
      </w:r>
    </w:p>
    <w:p w14:paraId="034B42A4">
      <w:pPr>
        <w:adjustRightInd/>
        <w:spacing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1、材料价款动态调整结算方式约定：采用竣工后一次性结算调价。</w:t>
      </w:r>
    </w:p>
    <w:p w14:paraId="0CA3B5A3">
      <w:pPr>
        <w:adjustRightInd/>
        <w:spacing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2、风险范围及幅度的约定：人工费的风险幅度为5%，材料价格的风险幅度为5%，施工机械台班中的机上人工、燃料动力的风险约定幅度按相应人工、材料价格风险原则处理。</w:t>
      </w:r>
    </w:p>
    <w:p w14:paraId="45BBDC3E">
      <w:pPr>
        <w:adjustRightInd/>
        <w:spacing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3、非承包人原因引起的延期，经发包人、监理单位审批同意顺延后，经批准的顺延工期可计入合同工期，未经审批同意，不得延长合同工期。</w:t>
      </w:r>
    </w:p>
    <w:p w14:paraId="3A53404F">
      <w:pPr>
        <w:adjustRightInd/>
        <w:spacing w:line="360" w:lineRule="auto"/>
        <w:rPr>
          <w:rFonts w:hint="default" w:ascii="仿宋" w:hAnsi="仿宋" w:eastAsia="仿宋" w:cs="仿宋"/>
          <w:color w:val="auto"/>
          <w:szCs w:val="21"/>
          <w:highlight w:val="none"/>
          <w:u w:val="single"/>
        </w:rPr>
      </w:pPr>
      <w:r>
        <w:rPr>
          <w:rFonts w:hint="eastAsia" w:ascii="仿宋" w:hAnsi="仿宋" w:eastAsia="仿宋" w:cs="仿宋"/>
          <w:color w:val="auto"/>
          <w:szCs w:val="21"/>
          <w:highlight w:val="none"/>
          <w:u w:val="single"/>
        </w:rPr>
        <w:t>4、施工单位办理工程结算时必须向审核部门提供预算软件导出的带有计价软件格式的电子结算文件</w:t>
      </w:r>
      <w:r>
        <w:rPr>
          <w:rFonts w:hint="default" w:ascii="仿宋" w:hAnsi="仿宋" w:eastAsia="仿宋" w:cs="仿宋"/>
          <w:color w:val="auto"/>
          <w:szCs w:val="21"/>
          <w:highlight w:val="none"/>
          <w:u w:val="single"/>
        </w:rPr>
        <w:t>。</w:t>
      </w:r>
    </w:p>
    <w:p w14:paraId="2FDF3E80">
      <w:pPr>
        <w:adjustRightInd/>
        <w:spacing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5、若杭州市、钱塘区有新的调价文件</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按新的调价文件执行。</w:t>
      </w:r>
    </w:p>
    <w:p w14:paraId="52B2EE0B">
      <w:pPr>
        <w:adjustRightInd/>
        <w:spacing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6、允许市场要素价格调整的材料为：钢筋、水泥、商品砼、黄砂、碎石、沥青砼、水泥稳定碎石、预拌砂浆、砌块、电线电缆、钢管（安装工程使用）、钢结构用钢。</w:t>
      </w:r>
    </w:p>
    <w:p w14:paraId="5CE95F4C">
      <w:pPr>
        <w:keepNext/>
        <w:keepLines/>
        <w:adjustRightInd/>
        <w:spacing w:line="400" w:lineRule="exact"/>
        <w:outlineLvl w:val="3"/>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 xml:space="preserve">12. </w:t>
      </w:r>
      <w:bookmarkEnd w:id="934"/>
      <w:bookmarkEnd w:id="935"/>
      <w:bookmarkEnd w:id="936"/>
      <w:bookmarkEnd w:id="937"/>
      <w:bookmarkEnd w:id="938"/>
      <w:bookmarkEnd w:id="939"/>
      <w:bookmarkEnd w:id="940"/>
      <w:bookmarkEnd w:id="941"/>
      <w:bookmarkEnd w:id="942"/>
      <w:bookmarkEnd w:id="943"/>
      <w:r>
        <w:rPr>
          <w:rFonts w:hint="eastAsia" w:ascii="仿宋" w:hAnsi="仿宋" w:eastAsia="仿宋" w:cs="仿宋"/>
          <w:bCs/>
          <w:color w:val="auto"/>
          <w:szCs w:val="21"/>
          <w:highlight w:val="none"/>
        </w:rPr>
        <w:t>合同价格、计量与支付</w:t>
      </w:r>
      <w:bookmarkEnd w:id="944"/>
    </w:p>
    <w:bookmarkEnd w:id="945"/>
    <w:bookmarkEnd w:id="946"/>
    <w:bookmarkEnd w:id="947"/>
    <w:bookmarkEnd w:id="948"/>
    <w:bookmarkEnd w:id="949"/>
    <w:bookmarkEnd w:id="950"/>
    <w:p w14:paraId="630254B1">
      <w:pPr>
        <w:adjustRightInd/>
        <w:spacing w:line="400" w:lineRule="exact"/>
        <w:ind w:firstLine="420" w:firstLineChars="200"/>
        <w:rPr>
          <w:rFonts w:hint="eastAsia" w:ascii="仿宋" w:hAnsi="仿宋" w:eastAsia="仿宋" w:cs="仿宋"/>
          <w:color w:val="auto"/>
          <w:szCs w:val="21"/>
          <w:highlight w:val="none"/>
        </w:rPr>
      </w:pPr>
      <w:bookmarkStart w:id="951" w:name="_Toc292559411"/>
      <w:bookmarkStart w:id="952" w:name="_Toc292559916"/>
      <w:bookmarkStart w:id="953" w:name="_Toc267251461"/>
      <w:bookmarkStart w:id="954" w:name="_Toc296346707"/>
      <w:bookmarkStart w:id="955" w:name="_Toc296347205"/>
      <w:bookmarkStart w:id="956" w:name="_Toc296891246"/>
      <w:bookmarkStart w:id="957" w:name="_Toc297120506"/>
      <w:bookmarkStart w:id="958" w:name="_Toc297048392"/>
      <w:bookmarkStart w:id="959" w:name="_Toc296944545"/>
      <w:bookmarkStart w:id="960" w:name="_Toc296503206"/>
      <w:bookmarkStart w:id="961" w:name="_Toc296891034"/>
      <w:bookmarkStart w:id="962" w:name="_Toc304295580"/>
      <w:bookmarkStart w:id="963" w:name="_Toc297216212"/>
      <w:bookmarkStart w:id="964" w:name="_Toc297123553"/>
      <w:bookmarkStart w:id="965" w:name="_Toc312678041"/>
      <w:bookmarkStart w:id="966" w:name="_Toc303539160"/>
      <w:bookmarkStart w:id="967" w:name="_Toc300935003"/>
      <w:r>
        <w:rPr>
          <w:rFonts w:hint="eastAsia" w:ascii="仿宋" w:hAnsi="仿宋" w:eastAsia="仿宋" w:cs="仿宋"/>
          <w:color w:val="auto"/>
          <w:szCs w:val="21"/>
          <w:highlight w:val="none"/>
        </w:rPr>
        <w:t>12.1 合</w:t>
      </w:r>
      <w:bookmarkEnd w:id="951"/>
      <w:bookmarkEnd w:id="952"/>
      <w:bookmarkEnd w:id="953"/>
      <w:r>
        <w:rPr>
          <w:rFonts w:hint="eastAsia" w:ascii="仿宋" w:hAnsi="仿宋" w:eastAsia="仿宋" w:cs="仿宋"/>
          <w:color w:val="auto"/>
          <w:szCs w:val="21"/>
          <w:highlight w:val="none"/>
        </w:rPr>
        <w:t>同价</w:t>
      </w:r>
      <w:bookmarkEnd w:id="954"/>
      <w:bookmarkEnd w:id="955"/>
      <w:bookmarkEnd w:id="956"/>
      <w:bookmarkEnd w:id="957"/>
      <w:bookmarkEnd w:id="958"/>
      <w:bookmarkEnd w:id="959"/>
      <w:bookmarkEnd w:id="960"/>
      <w:bookmarkEnd w:id="961"/>
      <w:r>
        <w:rPr>
          <w:rFonts w:hint="eastAsia" w:ascii="仿宋" w:hAnsi="仿宋" w:eastAsia="仿宋" w:cs="仿宋"/>
          <w:color w:val="auto"/>
          <w:szCs w:val="21"/>
          <w:highlight w:val="none"/>
        </w:rPr>
        <w:t>格形式</w:t>
      </w:r>
    </w:p>
    <w:bookmarkEnd w:id="962"/>
    <w:bookmarkEnd w:id="963"/>
    <w:bookmarkEnd w:id="964"/>
    <w:bookmarkEnd w:id="965"/>
    <w:bookmarkEnd w:id="966"/>
    <w:bookmarkEnd w:id="967"/>
    <w:p w14:paraId="02D3866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1、单价合同。</w:t>
      </w:r>
    </w:p>
    <w:p w14:paraId="5359810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综合单价包含的风险范围：</w:t>
      </w:r>
    </w:p>
    <w:p w14:paraId="33008772">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 xml:space="preserve">（1）应由承包人承担的工、料、机在投标编制期或预算书编制期与合同实施期间所发生的市场价格波动。 </w:t>
      </w:r>
    </w:p>
    <w:p w14:paraId="5E20C0BE">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（2）其他：</w:t>
      </w:r>
    </w:p>
    <w:p w14:paraId="4117D2EC">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a、国家规定允许调整外的工日、材料（设备）、机械台班价格的上涨；</w:t>
      </w:r>
    </w:p>
    <w:p w14:paraId="320712A9">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b、在工程施工中应能预计的费用；</w:t>
      </w:r>
    </w:p>
    <w:p w14:paraId="0B6FFE0A">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c、所有招标文件或工程量清单明示要求报价的内容而承包人未予报价的；</w:t>
      </w:r>
    </w:p>
    <w:p w14:paraId="16C2C026">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d、承包人对工程现场环境以及发包人提供的招标文件、图纸等资料作出错误的推论、理解而导致的报价失误；</w:t>
      </w:r>
    </w:p>
    <w:p w14:paraId="63BB9557">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e、招标范围项目组织措施费包干，结算时不作调整，但工程发生重大甩项时，应根据实际情况酌情扣减。技术措施费按项报价实行包干，结算时不作调整，工程发生重大变更导致确实需要调整技术措施费用、并经重大变更相关会议决定同意的，可予调整；</w:t>
      </w:r>
    </w:p>
    <w:p w14:paraId="78665B84">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f、按图集或规范施工的，单价必须满足规范和图集要求，单价不得调整；</w:t>
      </w:r>
    </w:p>
    <w:p w14:paraId="01AC5BB0">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g、工程量项目特征描述中未描述或描述不全，但又是完成该清单项目中必须有的工作内容，均应包括在报价内；</w:t>
      </w:r>
    </w:p>
    <w:p w14:paraId="4189B93F">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h、因施工场地窄小、场内施工不便等需要增加的各种费用；</w:t>
      </w:r>
    </w:p>
    <w:p w14:paraId="3AB9886D">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i、在工程施工中有经验的承包人应能预计的其它费用。</w:t>
      </w:r>
    </w:p>
    <w:p w14:paraId="2A45D8E8">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工程实施中属于招标文件和本合同约定需要投标报价和合同包干风险范围内应考虑的费用，虽经发包人现场签证认可，在工程结算时可认定该签证无效。</w:t>
      </w:r>
    </w:p>
    <w:p w14:paraId="4ADCD8B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风险费用的计算方法：</w:t>
      </w:r>
      <w:r>
        <w:rPr>
          <w:rFonts w:hint="eastAsia" w:ascii="仿宋" w:hAnsi="仿宋" w:eastAsia="仿宋" w:cs="仿宋"/>
          <w:color w:val="auto"/>
          <w:szCs w:val="21"/>
          <w:highlight w:val="none"/>
          <w:u w:val="single"/>
        </w:rPr>
        <w:t xml:space="preserve"> 以上风险范围之内的费用承包人已预估并计入投标总价，不再另行计取   </w:t>
      </w:r>
      <w:r>
        <w:rPr>
          <w:rFonts w:hint="eastAsia" w:ascii="仿宋" w:hAnsi="仿宋" w:eastAsia="仿宋" w:cs="仿宋"/>
          <w:color w:val="auto"/>
          <w:szCs w:val="21"/>
          <w:highlight w:val="none"/>
        </w:rPr>
        <w:t>。</w:t>
      </w:r>
    </w:p>
    <w:p w14:paraId="6D1BE0D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风险范围以外合同价格的调整方法：</w:t>
      </w:r>
    </w:p>
    <w:p w14:paraId="41A3ABD9">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 xml:space="preserve">（1）市场价格波动引起的调整按本合同11.1第3种方式的约定计算 </w:t>
      </w:r>
      <w:r>
        <w:rPr>
          <w:rFonts w:hint="eastAsia" w:ascii="仿宋" w:hAnsi="仿宋" w:eastAsia="仿宋" w:cs="仿宋"/>
          <w:color w:val="auto"/>
          <w:szCs w:val="21"/>
          <w:highlight w:val="none"/>
        </w:rPr>
        <w:t>。</w:t>
      </w:r>
    </w:p>
    <w:p w14:paraId="1F6DB326">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（2）其他：/  </w:t>
      </w:r>
      <w:r>
        <w:rPr>
          <w:rFonts w:hint="eastAsia" w:ascii="仿宋" w:hAnsi="仿宋" w:eastAsia="仿宋" w:cs="仿宋"/>
          <w:color w:val="auto"/>
          <w:szCs w:val="21"/>
          <w:highlight w:val="none"/>
        </w:rPr>
        <w:t>。</w:t>
      </w:r>
    </w:p>
    <w:p w14:paraId="433665A9">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2、总价合同。</w:t>
      </w:r>
    </w:p>
    <w:p w14:paraId="2B24843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总价包含的风险范围：</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2358841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风险费用的计算方法：</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00A5CAC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风险范围以外合同价格的调整方法：</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12B0093E">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3、其他价格方式：</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0AB5A254">
      <w:pPr>
        <w:adjustRightInd/>
        <w:spacing w:line="400" w:lineRule="exact"/>
        <w:ind w:firstLine="420" w:firstLineChars="200"/>
        <w:rPr>
          <w:rFonts w:hint="eastAsia" w:ascii="仿宋" w:hAnsi="仿宋" w:eastAsia="仿宋" w:cs="仿宋"/>
          <w:color w:val="auto"/>
          <w:szCs w:val="21"/>
          <w:highlight w:val="none"/>
        </w:rPr>
      </w:pPr>
      <w:bookmarkStart w:id="968" w:name="_Toc297123554"/>
      <w:bookmarkStart w:id="969" w:name="_Toc312678042"/>
      <w:bookmarkStart w:id="970" w:name="_Toc303539161"/>
      <w:bookmarkStart w:id="971" w:name="_Toc304295581"/>
      <w:bookmarkStart w:id="972" w:name="_Toc297216213"/>
      <w:bookmarkStart w:id="973" w:name="_Toc300935004"/>
      <w:bookmarkStart w:id="974" w:name="_Toc296347206"/>
      <w:bookmarkStart w:id="975" w:name="_Toc292559917"/>
      <w:bookmarkStart w:id="976" w:name="_Toc292559412"/>
      <w:bookmarkStart w:id="977" w:name="_Toc297120507"/>
      <w:bookmarkStart w:id="978" w:name="_Toc296503207"/>
      <w:bookmarkStart w:id="979" w:name="_Toc296891247"/>
      <w:bookmarkStart w:id="980" w:name="_Toc296346708"/>
      <w:bookmarkStart w:id="981" w:name="_Toc296944546"/>
      <w:bookmarkStart w:id="982" w:name="_Toc296891035"/>
      <w:bookmarkStart w:id="983" w:name="_Toc297048393"/>
      <w:r>
        <w:rPr>
          <w:rFonts w:hint="eastAsia" w:ascii="仿宋" w:hAnsi="仿宋" w:eastAsia="仿宋" w:cs="仿宋"/>
          <w:color w:val="auto"/>
          <w:szCs w:val="21"/>
          <w:highlight w:val="none"/>
        </w:rPr>
        <w:t>12.2 预付款</w:t>
      </w:r>
    </w:p>
    <w:bookmarkEnd w:id="968"/>
    <w:bookmarkEnd w:id="969"/>
    <w:bookmarkEnd w:id="970"/>
    <w:bookmarkEnd w:id="971"/>
    <w:bookmarkEnd w:id="972"/>
    <w:bookmarkEnd w:id="973"/>
    <w:p w14:paraId="4855F75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12.2.1 预付款的支付</w:t>
      </w:r>
    </w:p>
    <w:p w14:paraId="3EA2C4B3">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预付款支付比例或金额：</w:t>
      </w:r>
      <w:r>
        <w:rPr>
          <w:rFonts w:hint="eastAsia" w:ascii="仿宋" w:hAnsi="仿宋" w:eastAsia="仿宋" w:cs="仿宋"/>
          <w:color w:val="auto"/>
          <w:szCs w:val="21"/>
          <w:highlight w:val="none"/>
          <w:u w:val="single"/>
        </w:rPr>
        <w:t xml:space="preserve">  工资性工程预付款为合同价的1%；工程预付款为合同价(不含暂列金)的</w:t>
      </w:r>
      <w:r>
        <w:rPr>
          <w:rFonts w:hint="eastAsia" w:ascii="仿宋" w:hAnsi="仿宋" w:eastAsia="仿宋" w:cs="仿宋"/>
          <w:color w:val="auto"/>
          <w:szCs w:val="21"/>
          <w:highlight w:val="none"/>
          <w:u w:val="single"/>
          <w:lang w:val="en-US" w:eastAsia="zh-CN"/>
        </w:rPr>
        <w:t>5</w:t>
      </w:r>
      <w:r>
        <w:rPr>
          <w:rFonts w:hint="eastAsia" w:ascii="仿宋" w:hAnsi="仿宋" w:eastAsia="仿宋" w:cs="仿宋"/>
          <w:color w:val="auto"/>
          <w:szCs w:val="21"/>
          <w:highlight w:val="none"/>
          <w:u w:val="single"/>
        </w:rPr>
        <w:t>0%</w:t>
      </w:r>
      <w:r>
        <w:rPr>
          <w:rFonts w:hint="eastAsia" w:ascii="仿宋" w:hAnsi="仿宋" w:eastAsia="仿宋" w:cs="仿宋"/>
          <w:color w:val="auto"/>
          <w:szCs w:val="21"/>
          <w:highlight w:val="none"/>
        </w:rPr>
        <w:t>。</w:t>
      </w:r>
    </w:p>
    <w:p w14:paraId="5A6F2B24">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预付款支付期限：</w:t>
      </w:r>
      <w:r>
        <w:rPr>
          <w:rFonts w:hint="eastAsia" w:ascii="仿宋" w:hAnsi="仿宋" w:eastAsia="仿宋" w:cs="仿宋"/>
          <w:color w:val="auto"/>
          <w:szCs w:val="21"/>
          <w:highlight w:val="none"/>
          <w:u w:val="single"/>
        </w:rPr>
        <w:t>在合同生效以及具备实施条件后</w:t>
      </w:r>
      <w:r>
        <w:rPr>
          <w:rFonts w:hint="eastAsia" w:ascii="仿宋" w:hAnsi="仿宋" w:eastAsia="仿宋" w:cs="仿宋"/>
          <w:color w:val="auto"/>
          <w:szCs w:val="21"/>
          <w:highlight w:val="none"/>
          <w:u w:val="single"/>
          <w:lang w:val="en-US" w:eastAsia="zh-CN"/>
        </w:rPr>
        <w:t>7</w:t>
      </w:r>
      <w:r>
        <w:rPr>
          <w:rFonts w:hint="eastAsia" w:ascii="仿宋" w:hAnsi="仿宋" w:eastAsia="仿宋" w:cs="仿宋"/>
          <w:color w:val="auto"/>
          <w:szCs w:val="21"/>
          <w:highlight w:val="none"/>
          <w:u w:val="single"/>
        </w:rPr>
        <w:t>个工作日内，发包人向承包人预付合同金额(不含暂列金)的</w:t>
      </w:r>
      <w:r>
        <w:rPr>
          <w:rFonts w:hint="eastAsia" w:ascii="仿宋" w:hAnsi="仿宋" w:eastAsia="仿宋" w:cs="仿宋"/>
          <w:color w:val="auto"/>
          <w:szCs w:val="21"/>
          <w:highlight w:val="none"/>
          <w:u w:val="single"/>
          <w:lang w:val="en-US" w:eastAsia="zh-CN"/>
        </w:rPr>
        <w:t>5</w:t>
      </w:r>
      <w:r>
        <w:rPr>
          <w:rFonts w:hint="eastAsia" w:ascii="仿宋" w:hAnsi="仿宋" w:eastAsia="仿宋" w:cs="仿宋"/>
          <w:color w:val="auto"/>
          <w:szCs w:val="21"/>
          <w:highlight w:val="none"/>
          <w:u w:val="single"/>
        </w:rPr>
        <w:t>0%作为工程预付款</w:t>
      </w:r>
      <w:r>
        <w:rPr>
          <w:rFonts w:hint="eastAsia" w:ascii="仿宋" w:hAnsi="仿宋" w:eastAsia="仿宋" w:cs="仿宋"/>
          <w:color w:val="auto"/>
          <w:szCs w:val="21"/>
          <w:highlight w:val="none"/>
        </w:rPr>
        <w:t>。</w:t>
      </w:r>
    </w:p>
    <w:p w14:paraId="18812350">
      <w:pPr>
        <w:snapToGrid w:val="0"/>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预付款扣回的方式：工程预付款在第一期进度款中扣回，如第一期进度款不足，则在第二期进度款中继续。</w:t>
      </w:r>
    </w:p>
    <w:p w14:paraId="5A0EFEA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12.2.2 预付款担保</w:t>
      </w:r>
    </w:p>
    <w:bookmarkEnd w:id="974"/>
    <w:bookmarkEnd w:id="975"/>
    <w:bookmarkEnd w:id="976"/>
    <w:bookmarkEnd w:id="977"/>
    <w:bookmarkEnd w:id="978"/>
    <w:bookmarkEnd w:id="979"/>
    <w:bookmarkEnd w:id="980"/>
    <w:bookmarkEnd w:id="981"/>
    <w:bookmarkEnd w:id="982"/>
    <w:bookmarkEnd w:id="983"/>
    <w:p w14:paraId="57CF9319">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承包人提交预付款担保的期限：</w:t>
      </w:r>
      <w:r>
        <w:rPr>
          <w:rFonts w:hint="eastAsia" w:ascii="仿宋" w:hAnsi="仿宋" w:eastAsia="仿宋" w:cs="仿宋"/>
          <w:color w:val="auto"/>
          <w:szCs w:val="21"/>
          <w:highlight w:val="none"/>
          <w:u w:val="single"/>
        </w:rPr>
        <w:t>自预付款担保交纳之日起至竣工验收合格后7日内有效，在此有效期截止日后14天内此预付款担保（如有剩余）解除。如工期延误，则承包人必须在有效期满前1个月办理预付款担保有效期顺延事宜，否则发包人有权不予支付工程款</w:t>
      </w:r>
      <w:r>
        <w:rPr>
          <w:rFonts w:hint="eastAsia" w:ascii="仿宋" w:hAnsi="仿宋" w:eastAsia="仿宋" w:cs="仿宋"/>
          <w:color w:val="auto"/>
          <w:szCs w:val="21"/>
          <w:highlight w:val="none"/>
        </w:rPr>
        <w:t xml:space="preserve">。 </w:t>
      </w:r>
    </w:p>
    <w:p w14:paraId="33AAC7BE">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预付款担保的形式为：</w:t>
      </w:r>
      <w:r>
        <w:rPr>
          <w:rFonts w:hint="eastAsia" w:ascii="仿宋" w:hAnsi="仿宋" w:eastAsia="仿宋" w:cs="仿宋"/>
          <w:color w:val="auto"/>
          <w:szCs w:val="21"/>
          <w:highlight w:val="none"/>
          <w:u w:val="single"/>
        </w:rPr>
        <w:t>银行、保险公司等金融机构出具的预付款保函。预付款担保的金额：合同金额的</w:t>
      </w:r>
      <w:r>
        <w:rPr>
          <w:rFonts w:hint="eastAsia" w:ascii="仿宋" w:hAnsi="仿宋" w:eastAsia="仿宋" w:cs="仿宋"/>
          <w:color w:val="auto"/>
          <w:szCs w:val="21"/>
          <w:highlight w:val="none"/>
          <w:u w:val="single"/>
          <w:lang w:val="en-US" w:eastAsia="zh-CN"/>
        </w:rPr>
        <w:t>5</w:t>
      </w:r>
      <w:r>
        <w:rPr>
          <w:rFonts w:hint="eastAsia" w:ascii="仿宋" w:hAnsi="仿宋" w:eastAsia="仿宋" w:cs="仿宋"/>
          <w:color w:val="auto"/>
          <w:szCs w:val="21"/>
          <w:highlight w:val="none"/>
          <w:u w:val="single"/>
        </w:rPr>
        <w:t>0%（不含暂列金）。预付款担保有效期合同履行期间如承包人出现违约情况，发包人将予以处罚，承包人应在接到处罚通知后15天内缴纳违约金，否则发包人有权停止支付工程进度款或从工程进度款中扣除</w:t>
      </w:r>
      <w:r>
        <w:rPr>
          <w:rFonts w:hint="eastAsia" w:ascii="仿宋" w:hAnsi="仿宋" w:eastAsia="仿宋" w:cs="仿宋"/>
          <w:color w:val="auto"/>
          <w:szCs w:val="21"/>
          <w:highlight w:val="none"/>
        </w:rPr>
        <w:t>。</w:t>
      </w:r>
    </w:p>
    <w:p w14:paraId="0F3CD3E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12.3 计量</w:t>
      </w:r>
    </w:p>
    <w:p w14:paraId="33F4F17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12.3.1 计量原则</w:t>
      </w:r>
    </w:p>
    <w:p w14:paraId="6490C358">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工程量计算规则：</w:t>
      </w:r>
    </w:p>
    <w:p w14:paraId="058D2544">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（1）实行工程量清单计价的工程项目，其工程量的计算规则应按国家标准工程量计算规范及省级行业主管部门颁布的补充规定执行。</w:t>
      </w:r>
    </w:p>
    <w:p w14:paraId="13D6A38D">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（2）不实行工程量清单计价的工程项目，工程量的计算规则应按省、市行业主管部门颁布的各专业工程定额的工程量计算规则执行。</w:t>
      </w:r>
    </w:p>
    <w:p w14:paraId="473C45C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12.3.2 计量周期</w:t>
      </w:r>
    </w:p>
    <w:p w14:paraId="30FA2DB5">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关于计量周期的约定：</w:t>
      </w:r>
      <w:r>
        <w:rPr>
          <w:rFonts w:hint="eastAsia" w:ascii="仿宋" w:hAnsi="仿宋" w:eastAsia="仿宋" w:cs="仿宋"/>
          <w:color w:val="auto"/>
          <w:szCs w:val="21"/>
          <w:highlight w:val="none"/>
          <w:u w:val="single"/>
        </w:rPr>
        <w:t xml:space="preserve">按月计量 </w:t>
      </w:r>
      <w:r>
        <w:rPr>
          <w:rFonts w:hint="eastAsia" w:ascii="仿宋" w:hAnsi="仿宋" w:eastAsia="仿宋" w:cs="仿宋"/>
          <w:color w:val="auto"/>
          <w:szCs w:val="21"/>
          <w:highlight w:val="none"/>
        </w:rPr>
        <w:t>。</w:t>
      </w:r>
    </w:p>
    <w:p w14:paraId="411DC629">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12.3.3 单价合同的计量</w:t>
      </w:r>
    </w:p>
    <w:p w14:paraId="2939217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关于单价合同计量的约定：</w:t>
      </w:r>
      <w:r>
        <w:rPr>
          <w:rFonts w:hint="eastAsia" w:ascii="仿宋" w:hAnsi="仿宋" w:eastAsia="仿宋" w:cs="仿宋"/>
          <w:color w:val="auto"/>
          <w:szCs w:val="21"/>
          <w:highlight w:val="none"/>
          <w:u w:val="single"/>
        </w:rPr>
        <w:t>工期在3个月（含）以下的项目，在完工后一次性报送完成工程量，无需按月报送；工期在3个月（不含）以上的项目，按月计量，每月工程量在每月25日前上报监理工程师审核，监理工程师自接到承包人报告之日起10个工作日内予以审查，审查完成后报发包人审核。承包人未按前述约定报送的，发包人有权延期支付工程款且不承担任何责任</w:t>
      </w:r>
      <w:r>
        <w:rPr>
          <w:rFonts w:hint="eastAsia" w:ascii="仿宋" w:hAnsi="仿宋" w:eastAsia="仿宋" w:cs="仿宋"/>
          <w:color w:val="auto"/>
          <w:szCs w:val="21"/>
          <w:highlight w:val="none"/>
        </w:rPr>
        <w:t>。</w:t>
      </w:r>
    </w:p>
    <w:p w14:paraId="6CDD1C7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12.3.4 总价合同的计量</w:t>
      </w:r>
    </w:p>
    <w:p w14:paraId="1C2F3315">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关于总价合同计量的约定：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5A45DCA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12.3.5总价合同采用支付分解表计量支付的，是否适用第12.3.4 项〔总价合同的计量〕约定进行计量：</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10855EC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12.3.6 其他价格形式合同的计量</w:t>
      </w:r>
    </w:p>
    <w:p w14:paraId="2ABB7FBF">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其他价格形式的计量方式和程序：</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1105928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12.4 工程进度款支付</w:t>
      </w:r>
    </w:p>
    <w:p w14:paraId="1CA81770">
      <w:pPr>
        <w:adjustRightInd/>
        <w:spacing w:line="400" w:lineRule="exact"/>
        <w:ind w:firstLine="420" w:firstLineChars="200"/>
        <w:rPr>
          <w:rFonts w:hint="eastAsia" w:ascii="仿宋" w:hAnsi="仿宋" w:eastAsia="仿宋" w:cs="仿宋"/>
          <w:color w:val="auto"/>
          <w:szCs w:val="21"/>
          <w:highlight w:val="none"/>
        </w:rPr>
      </w:pPr>
      <w:bookmarkStart w:id="984" w:name="_Toc296503211"/>
      <w:bookmarkStart w:id="985" w:name="_Toc297120511"/>
      <w:bookmarkStart w:id="986" w:name="_Toc292559416"/>
      <w:bookmarkStart w:id="987" w:name="_Toc297123556"/>
      <w:bookmarkStart w:id="988" w:name="_Toc297216215"/>
      <w:bookmarkStart w:id="989" w:name="_Toc303539163"/>
      <w:bookmarkStart w:id="990" w:name="_Toc296891039"/>
      <w:bookmarkStart w:id="991" w:name="_Toc292559921"/>
      <w:bookmarkStart w:id="992" w:name="_Toc297048397"/>
      <w:bookmarkStart w:id="993" w:name="_Toc296347210"/>
      <w:bookmarkStart w:id="994" w:name="_Toc296346712"/>
      <w:bookmarkStart w:id="995" w:name="_Toc296891251"/>
      <w:bookmarkStart w:id="996" w:name="_Toc300935006"/>
      <w:bookmarkStart w:id="997" w:name="_Toc296944550"/>
      <w:r>
        <w:rPr>
          <w:rFonts w:hint="eastAsia" w:ascii="仿宋" w:hAnsi="仿宋" w:eastAsia="仿宋" w:cs="仿宋"/>
          <w:color w:val="auto"/>
          <w:szCs w:val="21"/>
          <w:highlight w:val="none"/>
        </w:rPr>
        <w:t>12.4.1 付款周期</w:t>
      </w:r>
    </w:p>
    <w:p w14:paraId="1D58B359">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关于付款周期的约定：</w:t>
      </w:r>
    </w:p>
    <w:p w14:paraId="66DD31FA">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a、合同价款内的工程款支付：合同签订且具备合同履约条件后7个工作日内，支付合同金额(不含暂列金)的50%作为工程预付款，竣工验收合格后支付至合同总价的70%；结算审核结束后支付至结算审定价的100%。中标人须以银行保函形式提交结算审定价1.5%作为工程质保金（质保期满后经评价合格退还）。</w:t>
      </w:r>
    </w:p>
    <w:p w14:paraId="7C1B55DA">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b、合同价款外的工程款支付：在施工的前提下，按《杭州钱塘新区政府投资项目工程变更管理办法（试行）》（钱塘管办发[2019]42号）、《杭州钱塘新区政府投资项目建设单位工程变更内控管理暂行规定》（钱塘管办发[2020]16号）等为准。</w:t>
      </w:r>
    </w:p>
    <w:p w14:paraId="460B27A0">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c、在承包人领取工程款时，应提供与工程款同等数额的工程款发票，否则，发包人有权拒绝支付工程款。</w:t>
      </w:r>
    </w:p>
    <w:p w14:paraId="4FA4357D">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证书的修改：发包人可通过任何一次进度款支付证书对其所签发过的任何原有的进度款支付证书进行任何修改或更改。</w:t>
      </w:r>
    </w:p>
    <w:p w14:paraId="0AB8C168">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d、本工程发票开具须按发包人或相关部门要求开具。</w:t>
      </w:r>
    </w:p>
    <w:p w14:paraId="57B3A027">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本项目工程款承包人须做到专款专用，不得将本项目工程款项挪作他用，且发包人有权随时了解和查看工程款项的使用情况及去向。乙方无条件提供相关款项凭证等资料。</w:t>
      </w:r>
    </w:p>
    <w:p w14:paraId="5BD4A449">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f、每次合同款项支付之前需</w:t>
      </w:r>
      <w:r>
        <w:rPr>
          <w:rFonts w:hint="eastAsia" w:ascii="仿宋" w:hAnsi="仿宋" w:eastAsia="仿宋" w:cs="仿宋"/>
          <w:color w:val="auto"/>
          <w:szCs w:val="21"/>
          <w:highlight w:val="none"/>
          <w:u w:val="single"/>
        </w:rPr>
        <w:t>提供</w:t>
      </w:r>
      <w:r>
        <w:rPr>
          <w:rFonts w:hint="eastAsia" w:ascii="仿宋" w:hAnsi="仿宋" w:eastAsia="仿宋" w:cs="仿宋"/>
          <w:color w:val="auto"/>
          <w:szCs w:val="21"/>
          <w:highlight w:val="none"/>
        </w:rPr>
        <w:t>完税证明。</w:t>
      </w:r>
    </w:p>
    <w:p w14:paraId="0B73F7B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12.4.2 进度付款申请单的编制</w:t>
      </w:r>
    </w:p>
    <w:p w14:paraId="6560427C">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关于进度付款申请单编制的约定：</w:t>
      </w:r>
      <w:r>
        <w:rPr>
          <w:rFonts w:hint="eastAsia" w:ascii="仿宋" w:hAnsi="仿宋" w:eastAsia="仿宋" w:cs="仿宋"/>
          <w:color w:val="auto"/>
          <w:szCs w:val="21"/>
          <w:highlight w:val="none"/>
          <w:u w:val="single"/>
        </w:rPr>
        <w:t xml:space="preserve">   按发包人要求编制   </w:t>
      </w:r>
      <w:r>
        <w:rPr>
          <w:rFonts w:hint="eastAsia" w:ascii="仿宋" w:hAnsi="仿宋" w:eastAsia="仿宋" w:cs="仿宋"/>
          <w:color w:val="auto"/>
          <w:szCs w:val="21"/>
          <w:highlight w:val="none"/>
        </w:rPr>
        <w:t>。</w:t>
      </w:r>
    </w:p>
    <w:p w14:paraId="5A679C81">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r>
        <w:rPr>
          <w:rFonts w:hint="eastAsia" w:ascii="仿宋" w:hAnsi="仿宋" w:eastAsia="仿宋" w:cs="仿宋"/>
          <w:color w:val="auto"/>
          <w:szCs w:val="21"/>
          <w:highlight w:val="none"/>
        </w:rPr>
        <w:t>2.4.3 进度付款申请单的提交</w:t>
      </w:r>
    </w:p>
    <w:p w14:paraId="7D168DD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（1）单价合同进度付款申请单提交的约定：</w:t>
      </w:r>
      <w:r>
        <w:rPr>
          <w:rFonts w:hint="eastAsia" w:ascii="仿宋" w:hAnsi="仿宋" w:eastAsia="仿宋" w:cs="仿宋"/>
          <w:color w:val="auto"/>
          <w:szCs w:val="21"/>
          <w:highlight w:val="none"/>
          <w:u w:val="single"/>
        </w:rPr>
        <w:t xml:space="preserve"> 提交工程量经监理、发包人审核后提交</w:t>
      </w:r>
      <w:r>
        <w:rPr>
          <w:rFonts w:hint="eastAsia" w:ascii="仿宋" w:hAnsi="仿宋" w:eastAsia="仿宋" w:cs="仿宋"/>
          <w:color w:val="auto"/>
          <w:szCs w:val="21"/>
          <w:highlight w:val="none"/>
        </w:rPr>
        <w:t>。</w:t>
      </w:r>
    </w:p>
    <w:p w14:paraId="50EFCFD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（2）总价合同进度付款申请单提交的约定：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6876F649">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（3）其他价格形式合同进度付款申请单提交的约定：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092C022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12.4.4 进度款审核和支付</w:t>
      </w:r>
    </w:p>
    <w:p w14:paraId="1F42F7A6">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（1）监理人审查并报送发包人的期限：</w:t>
      </w:r>
      <w:r>
        <w:rPr>
          <w:rFonts w:hint="eastAsia" w:ascii="仿宋" w:hAnsi="仿宋" w:eastAsia="仿宋" w:cs="仿宋"/>
          <w:color w:val="auto"/>
          <w:szCs w:val="21"/>
          <w:highlight w:val="none"/>
          <w:u w:val="single"/>
        </w:rPr>
        <w:t>收到申请之日起7天内</w:t>
      </w:r>
      <w:r>
        <w:rPr>
          <w:rFonts w:hint="eastAsia" w:ascii="仿宋" w:hAnsi="仿宋" w:eastAsia="仿宋" w:cs="仿宋"/>
          <w:color w:val="auto"/>
          <w:szCs w:val="21"/>
          <w:highlight w:val="none"/>
        </w:rPr>
        <w:t>。</w:t>
      </w:r>
    </w:p>
    <w:p w14:paraId="5FF44D3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发包人完成审批并签发进度款支付证书的期限：</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rPr>
        <w:t>。</w:t>
      </w:r>
    </w:p>
    <w:p w14:paraId="0CA5FC9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（2）发包人支付进度款的期限：</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71EE9FA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发包人逾期支付进度款的违约金的计算方式：</w:t>
      </w:r>
      <w:r>
        <w:rPr>
          <w:rFonts w:hint="eastAsia" w:ascii="仿宋" w:hAnsi="仿宋" w:eastAsia="仿宋" w:cs="仿宋"/>
          <w:color w:val="auto"/>
          <w:szCs w:val="21"/>
          <w:highlight w:val="none"/>
          <w:u w:val="single"/>
        </w:rPr>
        <w:t xml:space="preserve">   无    </w:t>
      </w:r>
      <w:r>
        <w:rPr>
          <w:rFonts w:hint="eastAsia" w:ascii="仿宋" w:hAnsi="仿宋" w:eastAsia="仿宋" w:cs="仿宋"/>
          <w:color w:val="auto"/>
          <w:szCs w:val="21"/>
          <w:highlight w:val="none"/>
        </w:rPr>
        <w:t>。</w:t>
      </w:r>
    </w:p>
    <w:p w14:paraId="0B0BF8B5">
      <w:pPr>
        <w:adjustRightInd/>
        <w:spacing w:line="400" w:lineRule="exact"/>
        <w:ind w:firstLine="525" w:firstLineChars="25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12.4.6 支付分解表的编制</w:t>
      </w:r>
    </w:p>
    <w:p w14:paraId="6CEB9656">
      <w:pPr>
        <w:adjustRightInd/>
        <w:spacing w:line="400" w:lineRule="exact"/>
        <w:ind w:left="4200" w:hanging="4200" w:hangingChars="20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2、总价合同支付分解表的编制与审批：</w:t>
      </w:r>
      <w:r>
        <w:rPr>
          <w:rFonts w:hint="eastAsia" w:ascii="仿宋" w:hAnsi="仿宋" w:eastAsia="仿宋" w:cs="仿宋"/>
          <w:color w:val="auto"/>
          <w:szCs w:val="21"/>
          <w:highlight w:val="none"/>
          <w:u w:val="single"/>
        </w:rPr>
        <w:t xml:space="preserve">     无   </w:t>
      </w:r>
      <w:r>
        <w:rPr>
          <w:rFonts w:hint="eastAsia" w:ascii="仿宋" w:hAnsi="仿宋" w:eastAsia="仿宋" w:cs="仿宋"/>
          <w:color w:val="auto"/>
          <w:szCs w:val="21"/>
          <w:highlight w:val="none"/>
        </w:rPr>
        <w:t>。</w:t>
      </w:r>
    </w:p>
    <w:p w14:paraId="292D517A">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3、单价合同的总价项目支付分解表的编制与审批：</w:t>
      </w:r>
      <w:r>
        <w:rPr>
          <w:rFonts w:hint="eastAsia" w:ascii="仿宋" w:hAnsi="仿宋" w:eastAsia="仿宋" w:cs="仿宋"/>
          <w:color w:val="auto"/>
          <w:szCs w:val="21"/>
          <w:highlight w:val="none"/>
          <w:u w:val="single"/>
        </w:rPr>
        <w:t xml:space="preserve"> 按发包人要求   </w:t>
      </w:r>
      <w:r>
        <w:rPr>
          <w:rFonts w:hint="eastAsia" w:ascii="仿宋" w:hAnsi="仿宋" w:eastAsia="仿宋" w:cs="仿宋"/>
          <w:color w:val="auto"/>
          <w:szCs w:val="21"/>
          <w:highlight w:val="none"/>
        </w:rPr>
        <w:t>。</w:t>
      </w:r>
    </w:p>
    <w:p w14:paraId="326F4B89">
      <w:pPr>
        <w:keepNext/>
        <w:keepLines/>
        <w:adjustRightInd/>
        <w:spacing w:line="400" w:lineRule="exact"/>
        <w:outlineLvl w:val="3"/>
        <w:rPr>
          <w:rFonts w:hint="eastAsia" w:ascii="仿宋" w:hAnsi="仿宋" w:eastAsia="仿宋" w:cs="仿宋"/>
          <w:bCs/>
          <w:color w:val="auto"/>
          <w:szCs w:val="21"/>
          <w:highlight w:val="none"/>
        </w:rPr>
      </w:pPr>
      <w:bookmarkStart w:id="998" w:name="_Toc351203645"/>
      <w:bookmarkStart w:id="999" w:name="_Toc297048405"/>
      <w:bookmarkStart w:id="1000" w:name="_Toc304295593"/>
      <w:bookmarkStart w:id="1001" w:name="_Toc297216223"/>
      <w:bookmarkStart w:id="1002" w:name="_Toc300935015"/>
      <w:bookmarkStart w:id="1003" w:name="_Toc296347218"/>
      <w:bookmarkStart w:id="1004" w:name="_Toc296891259"/>
      <w:bookmarkStart w:id="1005" w:name="_Toc292559929"/>
      <w:bookmarkStart w:id="1006" w:name="_Toc296944558"/>
      <w:bookmarkStart w:id="1007" w:name="_Toc296346720"/>
      <w:bookmarkStart w:id="1008" w:name="_Toc297123564"/>
      <w:bookmarkStart w:id="1009" w:name="_Toc296503219"/>
      <w:bookmarkStart w:id="1010" w:name="_Toc303539172"/>
      <w:bookmarkStart w:id="1011" w:name="_Toc297120519"/>
      <w:bookmarkStart w:id="1012" w:name="_Toc296891047"/>
      <w:bookmarkStart w:id="1013" w:name="_Toc312678053"/>
      <w:bookmarkStart w:id="1014" w:name="_Toc292559424"/>
      <w:r>
        <w:rPr>
          <w:rFonts w:hint="eastAsia" w:ascii="仿宋" w:hAnsi="仿宋" w:eastAsia="仿宋" w:cs="仿宋"/>
          <w:bCs/>
          <w:color w:val="auto"/>
          <w:szCs w:val="21"/>
          <w:highlight w:val="none"/>
        </w:rPr>
        <w:t>13. 验收和工程试车</w:t>
      </w:r>
      <w:bookmarkEnd w:id="998"/>
    </w:p>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p w14:paraId="10AD4F7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13.1 分部分项工程验收</w:t>
      </w:r>
    </w:p>
    <w:p w14:paraId="6344EDC7">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13.1.2监理人不能按时进行验收时，应提前</w:t>
      </w:r>
      <w:r>
        <w:rPr>
          <w:rFonts w:hint="eastAsia" w:ascii="仿宋" w:hAnsi="仿宋" w:eastAsia="仿宋" w:cs="仿宋"/>
          <w:color w:val="auto"/>
          <w:szCs w:val="21"/>
          <w:highlight w:val="none"/>
          <w:u w:val="single"/>
        </w:rPr>
        <w:t xml:space="preserve">  24  </w:t>
      </w:r>
      <w:r>
        <w:rPr>
          <w:rFonts w:hint="eastAsia" w:ascii="仿宋" w:hAnsi="仿宋" w:eastAsia="仿宋" w:cs="仿宋"/>
          <w:color w:val="auto"/>
          <w:szCs w:val="21"/>
          <w:highlight w:val="none"/>
        </w:rPr>
        <w:t>小时提交书面延期要求。</w:t>
      </w:r>
    </w:p>
    <w:p w14:paraId="52A650A6">
      <w:pPr>
        <w:adjustRightInd/>
        <w:spacing w:line="400" w:lineRule="exact"/>
        <w:ind w:firstLine="420" w:firstLineChars="200"/>
        <w:rPr>
          <w:rFonts w:hint="eastAsia" w:ascii="仿宋" w:hAnsi="仿宋" w:eastAsia="仿宋" w:cs="仿宋"/>
          <w:b/>
          <w:color w:val="auto"/>
          <w:szCs w:val="21"/>
          <w:highlight w:val="none"/>
        </w:rPr>
      </w:pPr>
      <w:r>
        <w:rPr>
          <w:rFonts w:hint="eastAsia" w:ascii="仿宋" w:hAnsi="仿宋" w:eastAsia="仿宋" w:cs="仿宋"/>
          <w:color w:val="auto"/>
          <w:szCs w:val="21"/>
          <w:highlight w:val="none"/>
        </w:rPr>
        <w:t>关于延期最长不得超过：</w:t>
      </w:r>
      <w:r>
        <w:rPr>
          <w:rFonts w:hint="eastAsia" w:ascii="仿宋" w:hAnsi="仿宋" w:eastAsia="仿宋" w:cs="仿宋"/>
          <w:color w:val="auto"/>
          <w:szCs w:val="21"/>
          <w:highlight w:val="none"/>
          <w:u w:val="single"/>
        </w:rPr>
        <w:t xml:space="preserve">  48  </w:t>
      </w:r>
      <w:r>
        <w:rPr>
          <w:rFonts w:hint="eastAsia" w:ascii="仿宋" w:hAnsi="仿宋" w:eastAsia="仿宋" w:cs="仿宋"/>
          <w:color w:val="auto"/>
          <w:szCs w:val="21"/>
          <w:highlight w:val="none"/>
        </w:rPr>
        <w:t>小时。</w:t>
      </w:r>
    </w:p>
    <w:p w14:paraId="653E0F97">
      <w:pPr>
        <w:adjustRightInd/>
        <w:spacing w:line="400" w:lineRule="exact"/>
        <w:ind w:firstLine="420" w:firstLineChars="200"/>
        <w:rPr>
          <w:rFonts w:hint="eastAsia" w:ascii="仿宋" w:hAnsi="仿宋" w:eastAsia="仿宋" w:cs="仿宋"/>
          <w:color w:val="auto"/>
          <w:szCs w:val="21"/>
          <w:highlight w:val="none"/>
        </w:rPr>
      </w:pPr>
      <w:bookmarkStart w:id="1015" w:name="_Toc297216224"/>
      <w:bookmarkStart w:id="1016" w:name="_Toc297120523"/>
      <w:bookmarkStart w:id="1017" w:name="_Toc297123565"/>
      <w:bookmarkStart w:id="1018" w:name="_Toc300935016"/>
      <w:bookmarkStart w:id="1019" w:name="_Toc296944562"/>
      <w:bookmarkStart w:id="1020" w:name="_Toc297048409"/>
      <w:bookmarkStart w:id="1021" w:name="_Toc304295596"/>
      <w:bookmarkStart w:id="1022" w:name="_Toc292559933"/>
      <w:bookmarkStart w:id="1023" w:name="_Toc296346724"/>
      <w:bookmarkStart w:id="1024" w:name="_Toc296891263"/>
      <w:bookmarkStart w:id="1025" w:name="_Toc292559428"/>
      <w:bookmarkStart w:id="1026" w:name="_Toc303539173"/>
      <w:bookmarkStart w:id="1027" w:name="_Toc296347222"/>
      <w:bookmarkStart w:id="1028" w:name="_Toc296891051"/>
      <w:bookmarkStart w:id="1029" w:name="_Toc312678056"/>
      <w:bookmarkStart w:id="1030" w:name="_Toc296503223"/>
      <w:bookmarkStart w:id="1031" w:name="_Toc267251471"/>
      <w:bookmarkStart w:id="1032" w:name="_Toc267251474"/>
      <w:bookmarkStart w:id="1033" w:name="_Toc267251470"/>
      <w:bookmarkStart w:id="1034" w:name="_Toc267251476"/>
      <w:bookmarkStart w:id="1035" w:name="_Toc267251475"/>
      <w:bookmarkStart w:id="1036" w:name="_Toc267251473"/>
      <w:bookmarkStart w:id="1037" w:name="_Toc267251472"/>
      <w:r>
        <w:rPr>
          <w:rFonts w:hint="eastAsia" w:ascii="仿宋" w:hAnsi="仿宋" w:eastAsia="仿宋" w:cs="仿宋"/>
          <w:color w:val="auto"/>
          <w:szCs w:val="21"/>
          <w:highlight w:val="none"/>
        </w:rPr>
        <w:t>13.2 竣工验收</w:t>
      </w:r>
    </w:p>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p w14:paraId="791B4840">
      <w:pPr>
        <w:adjustRightInd/>
        <w:spacing w:line="400" w:lineRule="exact"/>
        <w:ind w:firstLine="420" w:firstLineChars="200"/>
        <w:rPr>
          <w:rFonts w:hint="eastAsia" w:ascii="仿宋" w:hAnsi="仿宋" w:eastAsia="仿宋" w:cs="仿宋"/>
          <w:color w:val="auto"/>
          <w:szCs w:val="21"/>
          <w:highlight w:val="none"/>
        </w:rPr>
      </w:pPr>
      <w:bookmarkStart w:id="1038" w:name="_Toc280868704"/>
      <w:bookmarkStart w:id="1039" w:name="_Toc280868705"/>
      <w:bookmarkStart w:id="1040" w:name="_Toc280868706"/>
      <w:bookmarkStart w:id="1041" w:name="_Toc280868707"/>
      <w:bookmarkStart w:id="1042" w:name="_Toc280868708"/>
      <w:bookmarkStart w:id="1043" w:name="_Toc280868709"/>
      <w:r>
        <w:rPr>
          <w:rFonts w:hint="eastAsia" w:ascii="仿宋" w:hAnsi="仿宋" w:eastAsia="仿宋" w:cs="仿宋"/>
          <w:color w:val="auto"/>
          <w:szCs w:val="21"/>
          <w:highlight w:val="none"/>
        </w:rPr>
        <w:t>13.2.2竣工验收程序</w:t>
      </w:r>
    </w:p>
    <w:bookmarkEnd w:id="1038"/>
    <w:p w14:paraId="3068B7F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关于竣工验收程序的约定：</w:t>
      </w:r>
    </w:p>
    <w:p w14:paraId="1A3F598A">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承包人应在确认工程竣工，拟竣工验收工程符合各项竣工要求以及施工期间国家、当地政府各种强制性规定的基础上，向发包人签发《预约竣工验收的通知书》，说明拟交工项目的情况，商定有关竣工验收事项；并向发包人提交经监理单位认可签署意见的《竣工工程拟验收报告》和完整的符合规范要求的工程竣工资料原件（包括但不限于：工程施工资料，工程质量保证资料，工程检验评定资料，竣工图，规定的其他应交资料、各种管线图纸、附属设施以及设备的使用说明书、质量保证书、维修卡等），约定竣工验收日期。若承包人递交的竣工验收资料不完整或不符合合同约定，发包人有权拒绝接受《竣工工程拟验收报告》，要求承包人补齐资料后方组织进行竣工验收。</w:t>
      </w:r>
    </w:p>
    <w:p w14:paraId="26CA1D2F">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发包人收到《竣工工程拟验收报告》和完整的符合规范要求的工程竣工资料原件后的三十天内，应组织有关单位并通知承包人在施工地点，进行竣工验收。若发包人在前述期限内没有组织验收的，承包人有义务再次书面通知、确定一个合理日期进行验收，发包人如仍没有组织验收的，视为《竣工工程拟验收报告》已经被认可。竣工验收应依据但不仅限于下列文件:a批准的设计文件,施工图纸及说明书；b双方签订的施工合同；c设计变更通知书；d设备技术说明书；e施工验收规范及质量验收标准；f外资工程应依据我国有关规定提交竣工验收文件。</w:t>
      </w:r>
    </w:p>
    <w:p w14:paraId="1A61EC2A">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3）发包人组织勘察、设计、施工、监理等单位按照竣工验收程序，对工程进行核查后，应做出验收结论，并形成《工程竣工验收报告》；参与竣工验收的各方负责人应在竣工验收报告上签字并盖单位公章。竣工验收合格之日为实际竣工日期。</w:t>
      </w:r>
    </w:p>
    <w:p w14:paraId="7C1382FA">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4）如果参与竣工验收的各方负责人在竣工验收报告上确认拟竣工工程严重不合格的，发包人有权在《工程竣工验收报告》签署后三十天内提出对工程质量进行鉴定，鉴定费用由承包人负担。发包人有权根据鉴定结论书面向承包人提出工程返工意见以及索赔要求，并确定第二次竣工验收日期，工期延误责任由承包人负担。返工结束并经验收合格之日为实际竣工日期。</w:t>
      </w:r>
    </w:p>
    <w:p w14:paraId="00CA28BB">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对于参与竣工验收的各方负责人在竣工验收报告上确认拟竣工工程基本合格、某些次要部分不合格的，发包人有权在《工程竣工验收报告》签署后三十天内书面向承包人提出工程改进、返工意见以及索赔要求，工期延误责任由承包人负担。承包人按照要求在规定日期内修改，并承担由于自身原因造成修改的费用。承包人整改结束并经确认之日为实际竣工日期。</w:t>
      </w:r>
    </w:p>
    <w:p w14:paraId="7927EAE9">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发包人在《工程竣工验收报告》签署后三十天内没有提出鉴定意见、修改意见的，视为竣工工程已经验收通过。</w:t>
      </w:r>
    </w:p>
    <w:p w14:paraId="52DAE6E2">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5）自本工程竣工验收合格后十五日内，承包人应配合发包人在当地建设行政主管部门办理竣工验收备案，并提供应由承包人出具的相关资料。如因承包人原因造成发包人未能及时完成竣工验收备案，承包人应向发包人赔偿给发包人造成的直接、间接经济损失（包括由此给发包人造成的房屋交付、办证延迟导致的违约赔偿）。</w:t>
      </w:r>
    </w:p>
    <w:p w14:paraId="5B7BB3DA">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6）在工程竣工验收通过后一个月内,承包人向发包人免费提交竣工图8套及竣工资料一式8份,并按城建档案馆及相关部门资料归档要求整理。如因资料不符合城建档案馆及其他有关部门的要求，而产生的资料整理费用，由承包人承担。</w:t>
      </w:r>
    </w:p>
    <w:p w14:paraId="29266111">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（7）合格工程的移交</w:t>
      </w:r>
    </w:p>
    <w:p w14:paraId="6324070E">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通过竣工验收程序、发包人确认竣工工程验收合格后，承包人应在发包人通知的期限内（该期限不得迟于验收合格日后十五天）向发包人办理工程移交手续；承包人不得以任何理由拒绝在发包人通知的期限内完整地向发包人移交工程，否则，发包人有权拒绝办理竣工结算、支付剩余的工程价款。</w:t>
      </w:r>
    </w:p>
    <w:p w14:paraId="6A83381C">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承包人应当向发包人实施工程移交的内容包括：</w:t>
      </w:r>
    </w:p>
    <w:p w14:paraId="43DAF6CE">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①承包人实施承包的全部工程；</w:t>
      </w:r>
    </w:p>
    <w:p w14:paraId="1E1E23A4">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②工程的全部附属设施、设备；</w:t>
      </w:r>
    </w:p>
    <w:p w14:paraId="2852E6E3">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③工程竣工资料原件（包括但不限于：工程施工资料，工程质量保证资料，工程检验评定资料，竣工图，规定的其他应交资料、各种管线图纸、附属设施以及设备的使用说明书、质量保证书、维修卡等）；</w:t>
      </w:r>
    </w:p>
    <w:p w14:paraId="24063C9B">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④其他属于承包人移交义务的工程、设施、设备、文件资料。</w:t>
      </w:r>
    </w:p>
    <w:p w14:paraId="07F3983E">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发包人不按照本项约定组织竣工验收、颁发工程接收证书的违约金的计算方法：</w:t>
      </w:r>
      <w:r>
        <w:rPr>
          <w:rFonts w:hint="eastAsia" w:ascii="仿宋" w:hAnsi="仿宋" w:eastAsia="仿宋" w:cs="仿宋"/>
          <w:color w:val="auto"/>
          <w:szCs w:val="21"/>
          <w:highlight w:val="none"/>
          <w:u w:val="single"/>
        </w:rPr>
        <w:t>无</w:t>
      </w:r>
      <w:r>
        <w:rPr>
          <w:rFonts w:hint="eastAsia" w:ascii="仿宋" w:hAnsi="仿宋" w:eastAsia="仿宋" w:cs="仿宋"/>
          <w:color w:val="auto"/>
          <w:szCs w:val="21"/>
          <w:highlight w:val="none"/>
        </w:rPr>
        <w:t>。</w:t>
      </w:r>
      <w:bookmarkEnd w:id="1039"/>
    </w:p>
    <w:p w14:paraId="13F23C9A">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13.2.5移交、接收全部与部分工程</w:t>
      </w:r>
    </w:p>
    <w:bookmarkEnd w:id="1040"/>
    <w:p w14:paraId="3CEAE07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承包人向发包人移交工程的期限：</w:t>
      </w:r>
      <w:r>
        <w:rPr>
          <w:rFonts w:hint="eastAsia" w:ascii="仿宋" w:hAnsi="仿宋" w:eastAsia="仿宋" w:cs="仿宋"/>
          <w:color w:val="auto"/>
          <w:szCs w:val="21"/>
          <w:highlight w:val="none"/>
          <w:u w:val="single"/>
        </w:rPr>
        <w:t xml:space="preserve">   不得迟于验收合格日后十五天    </w:t>
      </w:r>
      <w:r>
        <w:rPr>
          <w:rFonts w:hint="eastAsia" w:ascii="仿宋" w:hAnsi="仿宋" w:eastAsia="仿宋" w:cs="仿宋"/>
          <w:color w:val="auto"/>
          <w:szCs w:val="21"/>
          <w:highlight w:val="none"/>
        </w:rPr>
        <w:t>。</w:t>
      </w:r>
    </w:p>
    <w:p w14:paraId="19A78E75">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发包人未按本合同约定接收全部或部分工程的，违约金的计算方法为：</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bookmarkEnd w:id="1041"/>
    <w:p w14:paraId="012927F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承包人未按时移交工程的，违约金的计算方法为：</w:t>
      </w:r>
      <w:r>
        <w:rPr>
          <w:rFonts w:hint="eastAsia" w:ascii="仿宋" w:hAnsi="仿宋" w:eastAsia="仿宋" w:cs="仿宋"/>
          <w:color w:val="auto"/>
          <w:szCs w:val="21"/>
          <w:highlight w:val="none"/>
          <w:u w:val="single"/>
        </w:rPr>
        <w:t xml:space="preserve"> 每延误一天，按签约合同价的万分之四向发包人支付违约金  </w:t>
      </w:r>
      <w:r>
        <w:rPr>
          <w:rFonts w:hint="eastAsia" w:ascii="仿宋" w:hAnsi="仿宋" w:eastAsia="仿宋" w:cs="仿宋"/>
          <w:color w:val="auto"/>
          <w:szCs w:val="21"/>
          <w:highlight w:val="none"/>
        </w:rPr>
        <w:t>。</w:t>
      </w:r>
    </w:p>
    <w:p w14:paraId="4843970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13.3 工程试车</w:t>
      </w:r>
    </w:p>
    <w:bookmarkEnd w:id="1042"/>
    <w:p w14:paraId="491A703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13.3.1 试车程序</w:t>
      </w:r>
    </w:p>
    <w:p w14:paraId="3F09215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工程试车内容：</w:t>
      </w:r>
      <w:r>
        <w:rPr>
          <w:rFonts w:hint="eastAsia" w:ascii="仿宋" w:hAnsi="仿宋" w:eastAsia="仿宋" w:cs="仿宋"/>
          <w:color w:val="auto"/>
          <w:szCs w:val="21"/>
          <w:highlight w:val="none"/>
          <w:u w:val="single"/>
        </w:rPr>
        <w:t xml:space="preserve">    按本合同《通用条款》约定   </w:t>
      </w:r>
      <w:r>
        <w:rPr>
          <w:rFonts w:hint="eastAsia" w:ascii="仿宋" w:hAnsi="仿宋" w:eastAsia="仿宋" w:cs="仿宋"/>
          <w:color w:val="auto"/>
          <w:szCs w:val="21"/>
          <w:highlight w:val="none"/>
        </w:rPr>
        <w:t>。</w:t>
      </w:r>
    </w:p>
    <w:p w14:paraId="7D5F106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（1）单机无负荷试车费用由</w:t>
      </w:r>
      <w:r>
        <w:rPr>
          <w:rFonts w:hint="eastAsia" w:ascii="仿宋" w:hAnsi="仿宋" w:eastAsia="仿宋" w:cs="仿宋"/>
          <w:color w:val="auto"/>
          <w:szCs w:val="21"/>
          <w:highlight w:val="none"/>
          <w:u w:val="single"/>
        </w:rPr>
        <w:t xml:space="preserve">    承包人            </w:t>
      </w:r>
      <w:r>
        <w:rPr>
          <w:rFonts w:hint="eastAsia" w:ascii="仿宋" w:hAnsi="仿宋" w:eastAsia="仿宋" w:cs="仿宋"/>
          <w:color w:val="auto"/>
          <w:szCs w:val="21"/>
          <w:highlight w:val="none"/>
        </w:rPr>
        <w:t>承担；</w:t>
      </w:r>
    </w:p>
    <w:p w14:paraId="11D02897">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（2）无负荷联动试车费用由</w:t>
      </w:r>
      <w:r>
        <w:rPr>
          <w:rFonts w:hint="eastAsia" w:ascii="仿宋" w:hAnsi="仿宋" w:eastAsia="仿宋" w:cs="仿宋"/>
          <w:color w:val="auto"/>
          <w:szCs w:val="21"/>
          <w:highlight w:val="none"/>
          <w:u w:val="single"/>
        </w:rPr>
        <w:t xml:space="preserve">     承包人       </w:t>
      </w:r>
      <w:r>
        <w:rPr>
          <w:rFonts w:hint="eastAsia" w:ascii="仿宋" w:hAnsi="仿宋" w:eastAsia="仿宋" w:cs="仿宋"/>
          <w:color w:val="auto"/>
          <w:szCs w:val="21"/>
          <w:highlight w:val="none"/>
        </w:rPr>
        <w:t>承担。</w:t>
      </w:r>
    </w:p>
    <w:p w14:paraId="3FDD51C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13.3.3 投料试车</w:t>
      </w:r>
    </w:p>
    <w:p w14:paraId="5AE339E8">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关于投料试车相关事项的约定：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3D643697">
      <w:pPr>
        <w:adjustRightInd/>
        <w:spacing w:line="400" w:lineRule="exact"/>
        <w:ind w:firstLine="420" w:firstLineChars="200"/>
        <w:outlineLvl w:val="0"/>
        <w:rPr>
          <w:rFonts w:hint="eastAsia" w:ascii="仿宋" w:hAnsi="仿宋" w:eastAsia="仿宋" w:cs="仿宋"/>
          <w:color w:val="auto"/>
          <w:szCs w:val="21"/>
          <w:highlight w:val="none"/>
        </w:rPr>
      </w:pPr>
      <w:bookmarkStart w:id="1044" w:name="_Toc14409"/>
      <w:bookmarkStart w:id="1045" w:name="_Toc5399"/>
      <w:bookmarkStart w:id="1046" w:name="_Toc894"/>
      <w:bookmarkStart w:id="1047" w:name="_Toc23795"/>
      <w:bookmarkStart w:id="1048" w:name="_Toc24397"/>
      <w:bookmarkStart w:id="1049" w:name="_Toc18523"/>
      <w:r>
        <w:rPr>
          <w:rFonts w:hint="eastAsia" w:ascii="仿宋" w:hAnsi="仿宋" w:eastAsia="仿宋" w:cs="仿宋"/>
          <w:color w:val="auto"/>
          <w:szCs w:val="21"/>
          <w:highlight w:val="none"/>
        </w:rPr>
        <w:t>13.6 竣工退场</w:t>
      </w:r>
      <w:bookmarkEnd w:id="1044"/>
      <w:bookmarkEnd w:id="1045"/>
      <w:bookmarkEnd w:id="1046"/>
      <w:bookmarkEnd w:id="1047"/>
      <w:bookmarkEnd w:id="1048"/>
      <w:bookmarkEnd w:id="1049"/>
    </w:p>
    <w:p w14:paraId="7119C0F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13.6.1 竣工退场</w:t>
      </w:r>
    </w:p>
    <w:p w14:paraId="2F7DE861">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承包人完成竣工退场的期限：</w:t>
      </w:r>
      <w:r>
        <w:rPr>
          <w:rFonts w:hint="eastAsia" w:ascii="仿宋" w:hAnsi="仿宋" w:eastAsia="仿宋" w:cs="仿宋"/>
          <w:color w:val="auto"/>
          <w:szCs w:val="21"/>
          <w:highlight w:val="none"/>
          <w:u w:val="single"/>
        </w:rPr>
        <w:t xml:space="preserve">   竣工验收通过10天内    </w:t>
      </w:r>
      <w:r>
        <w:rPr>
          <w:rFonts w:hint="eastAsia" w:ascii="仿宋" w:hAnsi="仿宋" w:eastAsia="仿宋" w:cs="仿宋"/>
          <w:color w:val="auto"/>
          <w:szCs w:val="21"/>
          <w:highlight w:val="none"/>
        </w:rPr>
        <w:t>。</w:t>
      </w:r>
    </w:p>
    <w:p w14:paraId="2B30EA0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竣工退场其他要求：</w:t>
      </w:r>
      <w:r>
        <w:rPr>
          <w:rFonts w:hint="eastAsia" w:ascii="仿宋" w:hAnsi="仿宋" w:eastAsia="仿宋" w:cs="仿宋"/>
          <w:color w:val="auto"/>
          <w:szCs w:val="21"/>
          <w:highlight w:val="none"/>
          <w:u w:val="single"/>
        </w:rPr>
        <w:t>及时清理施工现场（土地红线）内或明显属于本工程所有的成品、半成品材料、施工机具、少渣土及建筑垃圾等，符合项目正常使用要求。及时清理场地内、场地外以本工程施工名义搭设的施工临时设施、建（构）筑物，并恢复原样</w:t>
      </w:r>
      <w:r>
        <w:rPr>
          <w:rFonts w:hint="eastAsia" w:ascii="仿宋" w:hAnsi="仿宋" w:eastAsia="仿宋" w:cs="仿宋"/>
          <w:color w:val="auto"/>
          <w:szCs w:val="21"/>
          <w:highlight w:val="none"/>
        </w:rPr>
        <w:t>。</w:t>
      </w:r>
    </w:p>
    <w:p w14:paraId="3FF0001A">
      <w:pPr>
        <w:keepNext/>
        <w:keepLines/>
        <w:adjustRightInd/>
        <w:spacing w:line="400" w:lineRule="exact"/>
        <w:outlineLvl w:val="3"/>
        <w:rPr>
          <w:rFonts w:hint="eastAsia" w:ascii="仿宋" w:hAnsi="仿宋" w:eastAsia="仿宋" w:cs="仿宋"/>
          <w:bCs/>
          <w:color w:val="auto"/>
          <w:szCs w:val="21"/>
          <w:highlight w:val="none"/>
        </w:rPr>
      </w:pPr>
      <w:bookmarkStart w:id="1050" w:name="_Toc351203646"/>
      <w:r>
        <w:rPr>
          <w:rFonts w:hint="eastAsia" w:ascii="仿宋" w:hAnsi="仿宋" w:eastAsia="仿宋" w:cs="仿宋"/>
          <w:bCs/>
          <w:color w:val="auto"/>
          <w:szCs w:val="21"/>
          <w:highlight w:val="none"/>
        </w:rPr>
        <w:t>14. 竣工结算</w:t>
      </w:r>
      <w:bookmarkEnd w:id="1050"/>
    </w:p>
    <w:p w14:paraId="4848CF5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14.1 竣工结算申请</w:t>
      </w:r>
    </w:p>
    <w:p w14:paraId="52D7364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承包人提交竣工结算申请单的期限：</w:t>
      </w:r>
      <w:r>
        <w:rPr>
          <w:rFonts w:hint="eastAsia" w:ascii="仿宋" w:hAnsi="仿宋" w:eastAsia="仿宋" w:cs="仿宋"/>
          <w:color w:val="auto"/>
          <w:szCs w:val="21"/>
          <w:highlight w:val="none"/>
          <w:u w:val="single"/>
        </w:rPr>
        <w:t xml:space="preserve"> 竣工验收合格通过日后的三十天内  </w:t>
      </w:r>
      <w:r>
        <w:rPr>
          <w:rFonts w:hint="eastAsia" w:ascii="仿宋" w:hAnsi="仿宋" w:eastAsia="仿宋" w:cs="仿宋"/>
          <w:color w:val="auto"/>
          <w:szCs w:val="21"/>
          <w:highlight w:val="none"/>
        </w:rPr>
        <w:t>。</w:t>
      </w:r>
    </w:p>
    <w:p w14:paraId="0602A261">
      <w:pPr>
        <w:adjustRightInd/>
        <w:spacing w:line="400" w:lineRule="exact"/>
        <w:ind w:firstLine="420" w:firstLineChars="200"/>
        <w:rPr>
          <w:rFonts w:hint="eastAsia" w:ascii="仿宋" w:hAnsi="仿宋" w:eastAsia="仿宋" w:cs="仿宋"/>
          <w:color w:val="auto"/>
          <w:szCs w:val="21"/>
          <w:highlight w:val="none"/>
          <w:u w:val="single"/>
          <w:lang w:eastAsia="zh-CN"/>
        </w:rPr>
      </w:pPr>
      <w:r>
        <w:rPr>
          <w:rFonts w:hint="eastAsia" w:ascii="仿宋" w:hAnsi="仿宋" w:eastAsia="仿宋" w:cs="仿宋"/>
          <w:color w:val="auto"/>
          <w:szCs w:val="21"/>
          <w:highlight w:val="none"/>
          <w:u w:val="single"/>
        </w:rPr>
        <w:t>承包人应向发包人提交承包人盖章、承包人总经理、项目经理签字的竣工结算报告及完整、有效的结算资料（工程联系单的有效性按照本合同专用条款的约定执行），发包人工程师在竣工结算资料回执上签字并加盖发包人公章后方可视为发包人收到竣工结算资料。发包人拒收的，承包人可以公证送达或者以特快专递给发包人总经理、工程师的方式送达。承包人不按期报送竣工结算资料且经发包人催促后14天内仍未提供的，发包人有权根据已有资料进行审查，责任由承包人自负</w:t>
      </w:r>
      <w:r>
        <w:rPr>
          <w:rFonts w:hint="eastAsia" w:ascii="仿宋" w:hAnsi="仿宋" w:eastAsia="仿宋" w:cs="仿宋"/>
          <w:color w:val="auto"/>
          <w:szCs w:val="21"/>
          <w:highlight w:val="none"/>
          <w:u w:val="single"/>
          <w:lang w:eastAsia="zh-CN"/>
        </w:rPr>
        <w:t>。</w:t>
      </w:r>
    </w:p>
    <w:p w14:paraId="62FD3356">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发包人自有效收到之日，选择按照如下方式完成对承包人提交的竣工结算报告及完整、有效的结算资料的审计：</w:t>
      </w:r>
    </w:p>
    <w:p w14:paraId="1C1FBDC7">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（1）该工程为政府性投资项目，发包人根据国家造价管理的有关规定以及</w:t>
      </w:r>
      <w:bookmarkStart w:id="1051" w:name="_Hlk59719221"/>
      <w:bookmarkStart w:id="1052" w:name="_Hlk59719067"/>
      <w:r>
        <w:rPr>
          <w:rFonts w:hint="eastAsia" w:ascii="仿宋" w:hAnsi="仿宋" w:eastAsia="仿宋" w:cs="仿宋"/>
          <w:color w:val="auto"/>
          <w:szCs w:val="21"/>
          <w:highlight w:val="none"/>
          <w:u w:val="single"/>
        </w:rPr>
        <w:t>委托审定</w:t>
      </w:r>
      <w:r>
        <w:rPr>
          <w:rFonts w:hint="eastAsia" w:ascii="仿宋" w:hAnsi="仿宋" w:eastAsia="仿宋" w:cs="仿宋"/>
          <w:i/>
          <w:iCs/>
          <w:color w:val="auto"/>
          <w:szCs w:val="21"/>
          <w:highlight w:val="none"/>
          <w:u w:val="single"/>
        </w:rPr>
        <w:t>（发包人审定或委托审定）</w:t>
      </w:r>
      <w:r>
        <w:rPr>
          <w:rFonts w:hint="eastAsia" w:ascii="仿宋" w:hAnsi="仿宋" w:eastAsia="仿宋" w:cs="仿宋"/>
          <w:color w:val="auto"/>
          <w:szCs w:val="21"/>
          <w:highlight w:val="none"/>
          <w:u w:val="single"/>
        </w:rPr>
        <w:t>的</w:t>
      </w:r>
      <w:bookmarkEnd w:id="1051"/>
      <w:r>
        <w:rPr>
          <w:rFonts w:hint="eastAsia" w:ascii="仿宋" w:hAnsi="仿宋" w:eastAsia="仿宋" w:cs="仿宋"/>
          <w:color w:val="auto"/>
          <w:szCs w:val="21"/>
          <w:highlight w:val="none"/>
          <w:u w:val="single"/>
        </w:rPr>
        <w:t>工程结算价</w:t>
      </w:r>
      <w:bookmarkEnd w:id="1052"/>
      <w:r>
        <w:rPr>
          <w:rFonts w:hint="eastAsia" w:ascii="仿宋" w:hAnsi="仿宋" w:eastAsia="仿宋" w:cs="仿宋"/>
          <w:color w:val="auto"/>
          <w:szCs w:val="21"/>
          <w:highlight w:val="none"/>
          <w:u w:val="single"/>
        </w:rPr>
        <w:t>为准，与承包人办理最终价款结算手续。</w:t>
      </w:r>
    </w:p>
    <w:p w14:paraId="34BA5475">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（2）若审计部门</w:t>
      </w:r>
      <w:r>
        <w:rPr>
          <w:rFonts w:hint="eastAsia" w:ascii="仿宋" w:hAnsi="仿宋" w:eastAsia="仿宋" w:cs="仿宋"/>
          <w:i/>
          <w:iCs/>
          <w:color w:val="auto"/>
          <w:szCs w:val="21"/>
          <w:highlight w:val="none"/>
          <w:u w:val="single"/>
        </w:rPr>
        <w:t>（发包人）</w:t>
      </w:r>
      <w:r>
        <w:rPr>
          <w:rFonts w:hint="eastAsia" w:ascii="仿宋" w:hAnsi="仿宋" w:eastAsia="仿宋" w:cs="仿宋"/>
          <w:color w:val="auto"/>
          <w:szCs w:val="21"/>
          <w:highlight w:val="none"/>
          <w:u w:val="single"/>
        </w:rPr>
        <w:t>委托中介机构对承包人提交的竣工结算报告进行审核（计）时，承包人必须根据发包人及中介机构的要求履行配合义务，因承包人不配合中介机构，导致中介机构无法及时完成造价审核（审计）的，责任由承包人承担，承包人不得以此要求发包人承担逾期付款违约责任。</w:t>
      </w:r>
    </w:p>
    <w:p w14:paraId="05517E9D">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（3）发包人向承包人提交审核报告（审计报告）后30日内，承包人未提出异议的或异议不符合合同约定和文件规定的，视为承包人认可该审核报告（审计报告），发包人按审核报告支付结算款。</w:t>
      </w:r>
    </w:p>
    <w:p w14:paraId="5E5EC2D5">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（4）在竣工结算价款最终</w:t>
      </w:r>
      <w:bookmarkStart w:id="1053" w:name="_Hlk59718295"/>
      <w:r>
        <w:rPr>
          <w:rFonts w:hint="eastAsia" w:ascii="仿宋" w:hAnsi="仿宋" w:eastAsia="仿宋" w:cs="仿宋"/>
          <w:color w:val="auto"/>
          <w:szCs w:val="21"/>
          <w:highlight w:val="none"/>
          <w:u w:val="single"/>
        </w:rPr>
        <w:t>由</w:t>
      </w:r>
      <w:bookmarkEnd w:id="1053"/>
      <w:r>
        <w:rPr>
          <w:rFonts w:hint="eastAsia" w:ascii="仿宋" w:hAnsi="仿宋" w:eastAsia="仿宋" w:cs="仿宋"/>
          <w:color w:val="auto"/>
          <w:szCs w:val="21"/>
          <w:highlight w:val="none"/>
          <w:u w:val="single"/>
        </w:rPr>
        <w:t>承包人书面确认或者由审价机构的审核报告最终确认或者诉至法院被法院最终判决确认后的十五日内，承包人应提供收款明细表和财务凭证，会同发包人对已经支付的工程价款、未付的工程结算价款进行对帐并确认，多退少补。承包人应协助发包人从有关单位退还各类工程建设各类押金，在工程结算造价审定后支付前，承包人应将退还押金所需的资料准备妥当并提供给发包人，因承包人未准备和提供因而导致发包人未能从有关单位退还墙改、水泥、档案等各项押金的，发包人有权扣除与押金总额相等金额的工程款，待退还押金后再将款项支付给承包人。</w:t>
      </w:r>
    </w:p>
    <w:p w14:paraId="066541E7">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竣工结算申请单应包括的内容：</w:t>
      </w:r>
      <w:r>
        <w:rPr>
          <w:rFonts w:hint="eastAsia" w:ascii="仿宋" w:hAnsi="仿宋" w:eastAsia="仿宋" w:cs="仿宋"/>
          <w:color w:val="auto"/>
          <w:szCs w:val="21"/>
          <w:highlight w:val="none"/>
          <w:u w:val="single"/>
        </w:rPr>
        <w:t xml:space="preserve">   按通用条款      </w:t>
      </w:r>
      <w:r>
        <w:rPr>
          <w:rFonts w:hint="eastAsia" w:ascii="仿宋" w:hAnsi="仿宋" w:eastAsia="仿宋" w:cs="仿宋"/>
          <w:color w:val="auto"/>
          <w:szCs w:val="21"/>
          <w:highlight w:val="none"/>
        </w:rPr>
        <w:t>。</w:t>
      </w:r>
    </w:p>
    <w:p w14:paraId="2752FCE5">
      <w:pPr>
        <w:adjustRightInd/>
        <w:spacing w:line="400" w:lineRule="exact"/>
        <w:ind w:firstLine="420" w:firstLineChars="200"/>
        <w:outlineLvl w:val="0"/>
        <w:rPr>
          <w:rFonts w:hint="eastAsia" w:ascii="仿宋" w:hAnsi="仿宋" w:eastAsia="仿宋" w:cs="仿宋"/>
          <w:color w:val="auto"/>
          <w:szCs w:val="21"/>
          <w:highlight w:val="none"/>
        </w:rPr>
      </w:pPr>
      <w:bookmarkStart w:id="1054" w:name="_Toc31055"/>
      <w:bookmarkStart w:id="1055" w:name="_Toc2587"/>
      <w:bookmarkStart w:id="1056" w:name="_Toc27610"/>
      <w:bookmarkStart w:id="1057" w:name="_Toc12011"/>
      <w:bookmarkStart w:id="1058" w:name="_Toc11186"/>
      <w:bookmarkStart w:id="1059" w:name="_Toc17429"/>
      <w:r>
        <w:rPr>
          <w:rFonts w:hint="eastAsia" w:ascii="仿宋" w:hAnsi="仿宋" w:eastAsia="仿宋" w:cs="仿宋"/>
          <w:color w:val="auto"/>
          <w:szCs w:val="21"/>
          <w:highlight w:val="none"/>
        </w:rPr>
        <w:t>14.2 竣工结算审核</w:t>
      </w:r>
      <w:bookmarkEnd w:id="1054"/>
      <w:bookmarkEnd w:id="1055"/>
      <w:bookmarkEnd w:id="1056"/>
      <w:bookmarkEnd w:id="1057"/>
      <w:bookmarkEnd w:id="1058"/>
      <w:bookmarkEnd w:id="1059"/>
    </w:p>
    <w:p w14:paraId="5F92A7D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发包人审批竣工付款申请单的期限：</w:t>
      </w:r>
      <w:r>
        <w:rPr>
          <w:rFonts w:hint="eastAsia" w:ascii="仿宋" w:hAnsi="仿宋" w:eastAsia="仿宋" w:cs="仿宋"/>
          <w:color w:val="auto"/>
          <w:szCs w:val="21"/>
          <w:highlight w:val="none"/>
          <w:u w:val="single"/>
        </w:rPr>
        <w:t xml:space="preserve">  收到竣工付款申请单30天内 </w:t>
      </w:r>
      <w:r>
        <w:rPr>
          <w:rFonts w:hint="eastAsia" w:ascii="仿宋" w:hAnsi="仿宋" w:eastAsia="仿宋" w:cs="仿宋"/>
          <w:color w:val="auto"/>
          <w:szCs w:val="21"/>
          <w:highlight w:val="none"/>
        </w:rPr>
        <w:t>。</w:t>
      </w:r>
    </w:p>
    <w:p w14:paraId="368002C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发包人完成竣工付款的期限：</w:t>
      </w:r>
      <w:r>
        <w:rPr>
          <w:rFonts w:hint="eastAsia" w:ascii="仿宋" w:hAnsi="仿宋" w:eastAsia="仿宋" w:cs="仿宋"/>
          <w:color w:val="auto"/>
          <w:szCs w:val="21"/>
          <w:highlight w:val="none"/>
          <w:u w:val="single"/>
        </w:rPr>
        <w:t xml:space="preserve">   收到竣工付款申请单30天内    </w:t>
      </w:r>
      <w:r>
        <w:rPr>
          <w:rFonts w:hint="eastAsia" w:ascii="仿宋" w:hAnsi="仿宋" w:eastAsia="仿宋" w:cs="仿宋"/>
          <w:color w:val="auto"/>
          <w:szCs w:val="21"/>
          <w:highlight w:val="none"/>
        </w:rPr>
        <w:t>。</w:t>
      </w:r>
    </w:p>
    <w:p w14:paraId="67BC3AC5">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关于竣工付款证书异议部分复核的方式和程序：</w:t>
      </w:r>
      <w:r>
        <w:rPr>
          <w:rFonts w:hint="eastAsia" w:ascii="仿宋" w:hAnsi="仿宋" w:eastAsia="仿宋" w:cs="仿宋"/>
          <w:color w:val="auto"/>
          <w:szCs w:val="21"/>
          <w:highlight w:val="none"/>
          <w:u w:val="single"/>
        </w:rPr>
        <w:t xml:space="preserve">  按通用条款执行 </w:t>
      </w:r>
      <w:r>
        <w:rPr>
          <w:rFonts w:hint="eastAsia" w:ascii="仿宋" w:hAnsi="仿宋" w:eastAsia="仿宋" w:cs="仿宋"/>
          <w:color w:val="auto"/>
          <w:szCs w:val="21"/>
          <w:highlight w:val="none"/>
        </w:rPr>
        <w:t>。</w:t>
      </w:r>
    </w:p>
    <w:p w14:paraId="23371F52">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14.2.1本工程为政府性投资项目，发包人根据国家造价管理的有关规定以及财政部门</w:t>
      </w:r>
      <w:r>
        <w:rPr>
          <w:rFonts w:hint="eastAsia" w:ascii="仿宋" w:hAnsi="仿宋" w:eastAsia="仿宋" w:cs="仿宋"/>
          <w:i/>
          <w:iCs/>
          <w:color w:val="auto"/>
          <w:szCs w:val="21"/>
          <w:highlight w:val="none"/>
          <w:u w:val="single"/>
        </w:rPr>
        <w:t>（发包人）</w:t>
      </w:r>
      <w:r>
        <w:rPr>
          <w:rFonts w:hint="eastAsia" w:ascii="仿宋" w:hAnsi="仿宋" w:eastAsia="仿宋" w:cs="仿宋"/>
          <w:color w:val="auto"/>
          <w:szCs w:val="21"/>
          <w:highlight w:val="none"/>
          <w:u w:val="single"/>
        </w:rPr>
        <w:t>审定的工程造价结算，与承包人办理最终价款结算手续。承包方应当在工程验收合格后的一个月内向发包方提交完整的工程竣工结算资料，经发包人催促后14天内仍未提供或没有明确答复，发包人有权根据已有资料进行审查，承包人同意，无论双方对工程量和工程造价结算是否存在异议，也无论这一异议最终是否提交诉讼或仲裁，最终工程款的结算价格以财政部门</w:t>
      </w:r>
      <w:r>
        <w:rPr>
          <w:rFonts w:hint="eastAsia" w:ascii="仿宋" w:hAnsi="仿宋" w:eastAsia="仿宋" w:cs="仿宋"/>
          <w:i/>
          <w:iCs/>
          <w:color w:val="auto"/>
          <w:szCs w:val="21"/>
          <w:highlight w:val="none"/>
          <w:u w:val="single"/>
        </w:rPr>
        <w:t>（发包人）</w:t>
      </w:r>
      <w:r>
        <w:rPr>
          <w:rFonts w:hint="eastAsia" w:ascii="仿宋" w:hAnsi="仿宋" w:eastAsia="仿宋" w:cs="仿宋"/>
          <w:color w:val="auto"/>
          <w:szCs w:val="21"/>
          <w:highlight w:val="none"/>
          <w:u w:val="single"/>
        </w:rPr>
        <w:t xml:space="preserve">审定的工程造价为唯一的确定依据，责任由承包人自负。 </w:t>
      </w:r>
    </w:p>
    <w:p w14:paraId="5DC63075">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14.2.2工程价款结算审计按浙建价协[2021]13号文件执行，超过5%以外的核减额追加费用由施工单位支付至财政专户，凭交纳凭证及财政出具审定通知书（结算备案表）与发包人结算尾款。</w:t>
      </w:r>
    </w:p>
    <w:p w14:paraId="7846DAF6">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14.2.3承包人必须保证施工过程所提出的签证内容是合法的、真实的，并不由于发包人和监理工程师的确认而免除承包人的责任。</w:t>
      </w:r>
    </w:p>
    <w:p w14:paraId="4159327B">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14.2.4  若财政或审计部门委托中介机构对承包人提交的竣工结算报告进行审核（计）时，承包人必须根据发包人及中介机构的要求履行配合义务，因承包人不配合中介机构或配合不到位，导致中介机构无法及时完成造价审核（审计）的，责任由承包人承担，承包人不得以此要求发包人承担逾期付款违约责任。承包人不配合的情形包括但不限于：拒绝核对工程量；拒绝接受中介机构的询证、询问和审核；拒绝对审计审价报告征求初稿发表意见；拒绝签收审计审价报告初稿等。</w:t>
      </w:r>
    </w:p>
    <w:p w14:paraId="7E0EDE7D">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14.2.5发包人向承包人提交审核报告（审计报告）初稿后30日内，承包人未书面提出异议或异议内容无合法依据的，视为承包人认可该报告数据，审核中介机构可以出具单方审核报告，发包人按审核报告结算工程款。</w:t>
      </w:r>
    </w:p>
    <w:p w14:paraId="68855BD4">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14.2.6工程竣工结算总造价应控制在政府有关部门已批复的概算内，否则不予支付。</w:t>
      </w:r>
    </w:p>
    <w:p w14:paraId="01456208">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14.2.7承包人提交竣工结算资料时必须提供预算软件导出的带有计价软件格式的电子结算文件。</w:t>
      </w:r>
    </w:p>
    <w:p w14:paraId="2B49EDE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14.4 最终结清</w:t>
      </w:r>
    </w:p>
    <w:p w14:paraId="6B384E1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14.4.1 最终结清申请单</w:t>
      </w:r>
    </w:p>
    <w:p w14:paraId="29CF2C4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承包人提交最终结清申请单的份数：</w:t>
      </w:r>
      <w:r>
        <w:rPr>
          <w:rFonts w:hint="eastAsia" w:ascii="仿宋" w:hAnsi="仿宋" w:eastAsia="仿宋" w:cs="仿宋"/>
          <w:color w:val="auto"/>
          <w:szCs w:val="21"/>
          <w:highlight w:val="none"/>
          <w:u w:val="single"/>
        </w:rPr>
        <w:t xml:space="preserve">  按发包人要求提供   </w:t>
      </w:r>
      <w:r>
        <w:rPr>
          <w:rFonts w:hint="eastAsia" w:ascii="仿宋" w:hAnsi="仿宋" w:eastAsia="仿宋" w:cs="仿宋"/>
          <w:color w:val="auto"/>
          <w:szCs w:val="21"/>
          <w:highlight w:val="none"/>
        </w:rPr>
        <w:t>。</w:t>
      </w:r>
    </w:p>
    <w:p w14:paraId="524639F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承包人提交最终结算申请单的期限：</w:t>
      </w:r>
      <w:r>
        <w:rPr>
          <w:rFonts w:hint="eastAsia" w:ascii="仿宋" w:hAnsi="仿宋" w:eastAsia="仿宋" w:cs="仿宋"/>
          <w:color w:val="auto"/>
          <w:szCs w:val="21"/>
          <w:highlight w:val="none"/>
          <w:u w:val="single"/>
        </w:rPr>
        <w:t xml:space="preserve">  按通用条款执行     </w:t>
      </w:r>
      <w:r>
        <w:rPr>
          <w:rFonts w:hint="eastAsia" w:ascii="仿宋" w:hAnsi="仿宋" w:eastAsia="仿宋" w:cs="仿宋"/>
          <w:color w:val="auto"/>
          <w:szCs w:val="21"/>
          <w:highlight w:val="none"/>
        </w:rPr>
        <w:t xml:space="preserve">。 </w:t>
      </w:r>
    </w:p>
    <w:p w14:paraId="2EDF06B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14.4.2 最终结清证书和支付</w:t>
      </w:r>
    </w:p>
    <w:p w14:paraId="74E94DE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（1）发包人完成最终结清申请单的审批并颁发最终结清证书的期限：</w:t>
      </w:r>
      <w:r>
        <w:rPr>
          <w:rFonts w:hint="eastAsia" w:ascii="仿宋" w:hAnsi="仿宋" w:eastAsia="仿宋" w:cs="仿宋"/>
          <w:color w:val="auto"/>
          <w:szCs w:val="21"/>
          <w:highlight w:val="none"/>
          <w:u w:val="single"/>
        </w:rPr>
        <w:t>按通用条款执行</w:t>
      </w:r>
      <w:r>
        <w:rPr>
          <w:rFonts w:hint="eastAsia" w:ascii="仿宋" w:hAnsi="仿宋" w:eastAsia="仿宋" w:cs="仿宋"/>
          <w:color w:val="auto"/>
          <w:szCs w:val="21"/>
          <w:highlight w:val="none"/>
        </w:rPr>
        <w:t>。</w:t>
      </w:r>
    </w:p>
    <w:p w14:paraId="68F1189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（2）发包人完成支付的期限：</w:t>
      </w:r>
      <w:r>
        <w:rPr>
          <w:rFonts w:hint="eastAsia" w:ascii="仿宋" w:hAnsi="仿宋" w:eastAsia="仿宋" w:cs="仿宋"/>
          <w:color w:val="auto"/>
          <w:szCs w:val="21"/>
          <w:highlight w:val="none"/>
          <w:u w:val="single"/>
        </w:rPr>
        <w:t xml:space="preserve">   按通用条款执行    </w:t>
      </w:r>
      <w:r>
        <w:rPr>
          <w:rFonts w:hint="eastAsia" w:ascii="仿宋" w:hAnsi="仿宋" w:eastAsia="仿宋" w:cs="仿宋"/>
          <w:color w:val="auto"/>
          <w:szCs w:val="21"/>
          <w:highlight w:val="none"/>
        </w:rPr>
        <w:t>。</w:t>
      </w:r>
    </w:p>
    <w:bookmarkEnd w:id="1031"/>
    <w:bookmarkEnd w:id="1032"/>
    <w:bookmarkEnd w:id="1033"/>
    <w:bookmarkEnd w:id="1034"/>
    <w:bookmarkEnd w:id="1035"/>
    <w:bookmarkEnd w:id="1036"/>
    <w:bookmarkEnd w:id="1037"/>
    <w:bookmarkEnd w:id="1043"/>
    <w:p w14:paraId="68FD4F03">
      <w:pPr>
        <w:keepNext/>
        <w:keepLines/>
        <w:adjustRightInd/>
        <w:spacing w:line="400" w:lineRule="exact"/>
        <w:outlineLvl w:val="3"/>
        <w:rPr>
          <w:rFonts w:hint="eastAsia" w:ascii="仿宋" w:hAnsi="仿宋" w:eastAsia="仿宋" w:cs="仿宋"/>
          <w:bCs/>
          <w:color w:val="auto"/>
          <w:szCs w:val="21"/>
          <w:highlight w:val="none"/>
        </w:rPr>
      </w:pPr>
      <w:bookmarkStart w:id="1060" w:name="_Toc351203647"/>
      <w:bookmarkStart w:id="1061" w:name="_Toc267251483"/>
      <w:bookmarkStart w:id="1062" w:name="_Toc267251482"/>
      <w:bookmarkStart w:id="1063" w:name="_Toc267251484"/>
      <w:bookmarkStart w:id="1064" w:name="_Toc267251485"/>
      <w:bookmarkStart w:id="1065" w:name="_Toc267251486"/>
      <w:bookmarkStart w:id="1066" w:name="_Toc267251488"/>
      <w:bookmarkStart w:id="1067" w:name="_Toc267251490"/>
      <w:bookmarkStart w:id="1068" w:name="_Toc267251489"/>
      <w:bookmarkStart w:id="1069" w:name="_Toc267251495"/>
      <w:bookmarkStart w:id="1070" w:name="_Toc267251491"/>
      <w:bookmarkStart w:id="1071" w:name="_Toc267251499"/>
      <w:bookmarkStart w:id="1072" w:name="_Toc267251493"/>
      <w:bookmarkStart w:id="1073" w:name="_Toc267251494"/>
      <w:bookmarkStart w:id="1074" w:name="_Toc267251501"/>
      <w:bookmarkStart w:id="1075" w:name="_Toc267251497"/>
      <w:bookmarkStart w:id="1076" w:name="_Toc267251492"/>
      <w:bookmarkStart w:id="1077" w:name="_Toc267251496"/>
      <w:bookmarkStart w:id="1078" w:name="_Toc267251503"/>
      <w:bookmarkStart w:id="1079" w:name="_Toc267251498"/>
      <w:bookmarkStart w:id="1080" w:name="_Toc267251502"/>
      <w:bookmarkStart w:id="1081" w:name="_Toc267251504"/>
      <w:bookmarkStart w:id="1082" w:name="_Toc267251506"/>
      <w:bookmarkStart w:id="1083" w:name="_Toc267251507"/>
      <w:bookmarkStart w:id="1084" w:name="_Toc267251508"/>
      <w:bookmarkStart w:id="1085" w:name="_Toc267251514"/>
      <w:bookmarkStart w:id="1086" w:name="_Toc267251509"/>
      <w:bookmarkStart w:id="1087" w:name="_Toc267251513"/>
      <w:bookmarkStart w:id="1088" w:name="_Toc267251511"/>
      <w:bookmarkStart w:id="1089" w:name="_Toc267251510"/>
      <w:bookmarkStart w:id="1090" w:name="_Toc267251515"/>
      <w:r>
        <w:rPr>
          <w:rFonts w:hint="eastAsia" w:ascii="仿宋" w:hAnsi="仿宋" w:eastAsia="仿宋" w:cs="仿宋"/>
          <w:bCs/>
          <w:color w:val="auto"/>
          <w:szCs w:val="21"/>
          <w:highlight w:val="none"/>
        </w:rPr>
        <w:t>15. 缺陷责任期与保修</w:t>
      </w:r>
      <w:bookmarkEnd w:id="1060"/>
    </w:p>
    <w:p w14:paraId="5467FAD1">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15.2缺陷责任期</w:t>
      </w:r>
      <w:bookmarkEnd w:id="1061"/>
    </w:p>
    <w:p w14:paraId="4AF002D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缺陷责任期的具体期限：</w:t>
      </w:r>
      <w:r>
        <w:rPr>
          <w:rFonts w:hint="eastAsia" w:ascii="仿宋" w:hAnsi="仿宋" w:eastAsia="仿宋" w:cs="仿宋"/>
          <w:color w:val="auto"/>
          <w:szCs w:val="21"/>
          <w:highlight w:val="none"/>
          <w:u w:val="single"/>
        </w:rPr>
        <w:t>详附件</w:t>
      </w:r>
      <w:r>
        <w:rPr>
          <w:rFonts w:hint="eastAsia" w:ascii="仿宋" w:hAnsi="仿宋" w:eastAsia="仿宋" w:cs="仿宋"/>
          <w:color w:val="auto"/>
          <w:szCs w:val="21"/>
          <w:highlight w:val="none"/>
          <w:u w:val="single"/>
          <w:lang w:val="en-US" w:eastAsia="zh-CN"/>
        </w:rPr>
        <w:t>1</w:t>
      </w:r>
      <w:r>
        <w:rPr>
          <w:rFonts w:hint="eastAsia" w:ascii="仿宋" w:hAnsi="仿宋" w:eastAsia="仿宋" w:cs="仿宋"/>
          <w:color w:val="auto"/>
          <w:szCs w:val="21"/>
          <w:highlight w:val="none"/>
          <w:u w:val="single"/>
        </w:rPr>
        <w:t xml:space="preserve">工程质量保修书    </w:t>
      </w:r>
      <w:r>
        <w:rPr>
          <w:rFonts w:hint="eastAsia" w:ascii="仿宋" w:hAnsi="仿宋" w:eastAsia="仿宋" w:cs="仿宋"/>
          <w:color w:val="auto"/>
          <w:szCs w:val="21"/>
          <w:highlight w:val="none"/>
        </w:rPr>
        <w:t>。</w:t>
      </w:r>
    </w:p>
    <w:p w14:paraId="331438E5">
      <w:pPr>
        <w:adjustRightInd/>
        <w:spacing w:line="400" w:lineRule="exact"/>
        <w:ind w:firstLine="420" w:firstLineChars="200"/>
        <w:outlineLvl w:val="0"/>
        <w:rPr>
          <w:rFonts w:hint="eastAsia" w:ascii="仿宋" w:hAnsi="仿宋" w:eastAsia="仿宋" w:cs="仿宋"/>
          <w:color w:val="auto"/>
          <w:szCs w:val="21"/>
          <w:highlight w:val="none"/>
        </w:rPr>
      </w:pPr>
      <w:bookmarkStart w:id="1091" w:name="_Toc5231"/>
      <w:bookmarkStart w:id="1092" w:name="_Toc30991"/>
      <w:bookmarkStart w:id="1093" w:name="_Toc9467"/>
      <w:bookmarkStart w:id="1094" w:name="_Toc21231"/>
      <w:bookmarkStart w:id="1095" w:name="_Toc30279"/>
      <w:bookmarkStart w:id="1096" w:name="_Toc30453"/>
      <w:r>
        <w:rPr>
          <w:rFonts w:hint="eastAsia" w:ascii="仿宋" w:hAnsi="仿宋" w:eastAsia="仿宋" w:cs="仿宋"/>
          <w:color w:val="auto"/>
          <w:szCs w:val="21"/>
          <w:highlight w:val="none"/>
        </w:rPr>
        <w:t>15.3 质量保证金</w:t>
      </w:r>
      <w:bookmarkEnd w:id="1091"/>
      <w:bookmarkEnd w:id="1092"/>
      <w:bookmarkEnd w:id="1093"/>
      <w:bookmarkEnd w:id="1094"/>
      <w:bookmarkEnd w:id="1095"/>
      <w:bookmarkEnd w:id="1096"/>
    </w:p>
    <w:p w14:paraId="513BC77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关于是否扣留质量保证金的约定：</w:t>
      </w:r>
      <w:r>
        <w:rPr>
          <w:rFonts w:hint="eastAsia" w:ascii="仿宋" w:hAnsi="仿宋" w:eastAsia="仿宋" w:cs="仿宋"/>
          <w:color w:val="auto"/>
          <w:szCs w:val="21"/>
          <w:highlight w:val="none"/>
          <w:u w:val="single"/>
          <w:lang w:eastAsia="zh-CN"/>
        </w:rPr>
        <w:t>不扣留，</w:t>
      </w:r>
      <w:r>
        <w:rPr>
          <w:rFonts w:hint="eastAsia" w:ascii="仿宋" w:hAnsi="仿宋" w:eastAsia="仿宋" w:cs="仿宋"/>
          <w:color w:val="auto"/>
          <w:szCs w:val="21"/>
          <w:highlight w:val="none"/>
          <w:u w:val="single"/>
        </w:rPr>
        <w:t>以银行保函的方式递交</w:t>
      </w:r>
      <w:r>
        <w:rPr>
          <w:rFonts w:hint="eastAsia" w:ascii="仿宋" w:hAnsi="仿宋" w:eastAsia="仿宋" w:cs="仿宋"/>
          <w:color w:val="auto"/>
          <w:szCs w:val="21"/>
          <w:highlight w:val="none"/>
          <w:u w:val="single"/>
          <w:lang w:val="en-US" w:eastAsia="zh-Hans"/>
        </w:rPr>
        <w:t>质量保证金</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。在工程项目竣工前，承包人按专用合同条款第3.7条提供履约担保的，发包人不得同时预留工程质量保证金。</w:t>
      </w:r>
    </w:p>
    <w:p w14:paraId="48095DB4">
      <w:pPr>
        <w:adjustRightInd/>
        <w:spacing w:line="400" w:lineRule="exact"/>
        <w:ind w:firstLine="420" w:firstLineChars="200"/>
        <w:outlineLvl w:val="0"/>
        <w:rPr>
          <w:rFonts w:hint="eastAsia" w:ascii="仿宋" w:hAnsi="仿宋" w:eastAsia="仿宋" w:cs="仿宋"/>
          <w:color w:val="auto"/>
          <w:szCs w:val="21"/>
          <w:highlight w:val="none"/>
        </w:rPr>
      </w:pPr>
      <w:bookmarkStart w:id="1097" w:name="_Toc15137"/>
      <w:bookmarkStart w:id="1098" w:name="_Toc11788"/>
      <w:bookmarkStart w:id="1099" w:name="_Toc20470"/>
      <w:bookmarkStart w:id="1100" w:name="_Toc3756"/>
      <w:bookmarkStart w:id="1101" w:name="_Toc32079"/>
      <w:bookmarkStart w:id="1102" w:name="_Toc7204"/>
      <w:r>
        <w:rPr>
          <w:rFonts w:hint="eastAsia" w:ascii="仿宋" w:hAnsi="仿宋" w:eastAsia="仿宋" w:cs="仿宋"/>
          <w:color w:val="auto"/>
          <w:szCs w:val="21"/>
          <w:highlight w:val="none"/>
        </w:rPr>
        <w:t>15.3.1 承包人提供质量保证金的方式</w:t>
      </w:r>
      <w:bookmarkEnd w:id="1097"/>
      <w:bookmarkEnd w:id="1098"/>
      <w:bookmarkEnd w:id="1099"/>
      <w:bookmarkEnd w:id="1100"/>
      <w:bookmarkEnd w:id="1101"/>
      <w:bookmarkEnd w:id="1102"/>
    </w:p>
    <w:p w14:paraId="14E2650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质量保证金采用以下第</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eastAsia="zh-CN"/>
        </w:rPr>
        <w:t>（</w:t>
      </w:r>
      <w:r>
        <w:rPr>
          <w:rFonts w:hint="eastAsia" w:ascii="仿宋" w:hAnsi="仿宋" w:eastAsia="仿宋" w:cs="仿宋"/>
          <w:color w:val="auto"/>
          <w:szCs w:val="21"/>
          <w:highlight w:val="none"/>
          <w:u w:val="single"/>
          <w:lang w:val="en-US" w:eastAsia="zh-CN"/>
        </w:rPr>
        <w:t>1</w:t>
      </w:r>
      <w:r>
        <w:rPr>
          <w:rFonts w:hint="eastAsia" w:ascii="仿宋" w:hAnsi="仿宋" w:eastAsia="仿宋" w:cs="仿宋"/>
          <w:color w:val="auto"/>
          <w:szCs w:val="21"/>
          <w:highlight w:val="none"/>
          <w:u w:val="single"/>
          <w:lang w:eastAsia="zh-CN"/>
        </w:rPr>
        <w:t>）</w:t>
      </w:r>
      <w:r>
        <w:rPr>
          <w:rFonts w:hint="eastAsia" w:ascii="仿宋" w:hAnsi="仿宋" w:eastAsia="仿宋" w:cs="仿宋"/>
          <w:color w:val="auto"/>
          <w:szCs w:val="21"/>
          <w:highlight w:val="none"/>
        </w:rPr>
        <w:t>种方式：</w:t>
      </w:r>
    </w:p>
    <w:p w14:paraId="0352985F">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（1）质量保证金保函，保证金额为：</w:t>
      </w:r>
      <w:r>
        <w:rPr>
          <w:rFonts w:hint="eastAsia" w:ascii="仿宋" w:hAnsi="仿宋" w:eastAsia="仿宋" w:cs="仿宋"/>
          <w:color w:val="auto"/>
          <w:szCs w:val="21"/>
          <w:highlight w:val="none"/>
          <w:u w:val="single"/>
        </w:rPr>
        <w:t xml:space="preserve"> 结算价的1.5%作为工程质量保证金（以银行保函的方式递交） </w:t>
      </w:r>
      <w:r>
        <w:rPr>
          <w:rFonts w:hint="eastAsia" w:ascii="仿宋" w:hAnsi="仿宋" w:eastAsia="仿宋" w:cs="仿宋"/>
          <w:color w:val="auto"/>
          <w:szCs w:val="21"/>
          <w:highlight w:val="none"/>
        </w:rPr>
        <w:t xml:space="preserve">； </w:t>
      </w:r>
    </w:p>
    <w:p w14:paraId="198FD016">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%的工程款；</w:t>
      </w:r>
    </w:p>
    <w:p w14:paraId="690C006D">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（3）其他方式:</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6CF24654">
      <w:pPr>
        <w:adjustRightInd/>
        <w:spacing w:line="400" w:lineRule="exact"/>
        <w:ind w:firstLine="420" w:firstLineChars="200"/>
        <w:outlineLvl w:val="0"/>
        <w:rPr>
          <w:rFonts w:hint="eastAsia" w:ascii="仿宋" w:hAnsi="仿宋" w:eastAsia="仿宋" w:cs="仿宋"/>
          <w:color w:val="auto"/>
          <w:szCs w:val="21"/>
          <w:highlight w:val="none"/>
        </w:rPr>
      </w:pPr>
      <w:bookmarkStart w:id="1103" w:name="_Toc7298"/>
      <w:bookmarkStart w:id="1104" w:name="_Toc29761"/>
      <w:bookmarkStart w:id="1105" w:name="_Toc754"/>
      <w:bookmarkStart w:id="1106" w:name="_Toc11622"/>
      <w:bookmarkStart w:id="1107" w:name="_Toc16932"/>
      <w:bookmarkStart w:id="1108" w:name="_Toc26314"/>
      <w:r>
        <w:rPr>
          <w:rFonts w:hint="eastAsia" w:ascii="仿宋" w:hAnsi="仿宋" w:eastAsia="仿宋" w:cs="仿宋"/>
          <w:color w:val="auto"/>
          <w:szCs w:val="21"/>
          <w:highlight w:val="none"/>
        </w:rPr>
        <w:t>15.3.2 质量保证金的扣留</w:t>
      </w:r>
      <w:bookmarkEnd w:id="1103"/>
      <w:bookmarkEnd w:id="1104"/>
      <w:bookmarkEnd w:id="1105"/>
      <w:bookmarkEnd w:id="1106"/>
      <w:bookmarkEnd w:id="1107"/>
      <w:bookmarkEnd w:id="1108"/>
    </w:p>
    <w:p w14:paraId="31C4024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质量保证金的扣留采取以下第</w:t>
      </w:r>
      <w:r>
        <w:rPr>
          <w:rFonts w:hint="eastAsia" w:ascii="仿宋" w:hAnsi="仿宋" w:eastAsia="仿宋" w:cs="仿宋"/>
          <w:color w:val="auto"/>
          <w:szCs w:val="21"/>
          <w:highlight w:val="none"/>
          <w:u w:val="single"/>
          <w:lang w:val="en-US" w:eastAsia="zh-CN"/>
        </w:rPr>
        <w:t>/</w:t>
      </w:r>
      <w:r>
        <w:rPr>
          <w:rFonts w:hint="eastAsia" w:ascii="仿宋" w:hAnsi="仿宋" w:eastAsia="仿宋" w:cs="仿宋"/>
          <w:color w:val="auto"/>
          <w:szCs w:val="21"/>
          <w:highlight w:val="none"/>
        </w:rPr>
        <w:t>种方式：</w:t>
      </w:r>
    </w:p>
    <w:p w14:paraId="109BC4EA">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（1）在支付工程进度款时逐次扣留，在此情形下，质量保证金的计算基数不包括预付款的支付、扣回以及价格调整的金额；</w:t>
      </w:r>
    </w:p>
    <w:p w14:paraId="70E69D8D">
      <w:pPr>
        <w:spacing w:line="400" w:lineRule="exact"/>
        <w:ind w:firstLine="420" w:firstLineChars="200"/>
        <w:outlineLvl w:val="0"/>
        <w:rPr>
          <w:rFonts w:hint="eastAsia" w:ascii="仿宋" w:hAnsi="仿宋" w:eastAsia="仿宋" w:cs="仿宋"/>
          <w:color w:val="auto"/>
          <w:szCs w:val="21"/>
          <w:highlight w:val="none"/>
        </w:rPr>
      </w:pPr>
      <w:bookmarkStart w:id="1109" w:name="_Toc10978"/>
      <w:bookmarkStart w:id="1110" w:name="_Toc27361"/>
      <w:bookmarkStart w:id="1111" w:name="_Toc92"/>
      <w:bookmarkStart w:id="1112" w:name="_Toc20963"/>
      <w:bookmarkStart w:id="1113" w:name="_Toc24375"/>
      <w:bookmarkStart w:id="1114" w:name="_Toc2746"/>
      <w:r>
        <w:rPr>
          <w:rFonts w:hint="eastAsia" w:ascii="仿宋" w:hAnsi="仿宋" w:eastAsia="仿宋" w:cs="仿宋"/>
          <w:color w:val="auto"/>
          <w:szCs w:val="21"/>
          <w:highlight w:val="none"/>
        </w:rPr>
        <w:t>（2）工程竣工结算时一次性扣留质量保证金；</w:t>
      </w:r>
      <w:bookmarkEnd w:id="1109"/>
      <w:bookmarkEnd w:id="1110"/>
      <w:bookmarkEnd w:id="1111"/>
      <w:bookmarkEnd w:id="1112"/>
      <w:bookmarkEnd w:id="1113"/>
      <w:bookmarkEnd w:id="1114"/>
    </w:p>
    <w:p w14:paraId="4D8DF677">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（3）其他扣留方式:</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0491F22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关于质量保证金的补充约定：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6EB6F18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工程质量保修金的退还：</w:t>
      </w:r>
    </w:p>
    <w:p w14:paraId="2168B667">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①工程质量保修金，在工程缺陷期满后无息返还。</w:t>
      </w:r>
    </w:p>
    <w:p w14:paraId="2FDB2B9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②工程移交后，如发包人或者本工程有关的使用人发现存在因承包人原因引起的质量问题的，有权要求承包人及时维修，并赔偿给发包人带来的各种直接、间接经济损失。承包人不及时维修的，发包人有权扣除该保修金用于维修以及支付发包人的维修管理费用（按维修费用的15%计算），并在事后要求承包人补足缺额。</w:t>
      </w:r>
    </w:p>
    <w:p w14:paraId="34FC7AC9">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③工程移交后，如发包人或者本工程有关的使用人发现存在承包人范围内的重大质量问题的，有权扣除承包人的全部保修金，要求承包人及时维修，并赔偿给发包人带来的各种直接、间接经济损失。</w:t>
      </w:r>
    </w:p>
    <w:p w14:paraId="551C44A5">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在国家规定的保修期外,如本工程出现质量问题系由承包人偷工减料或使用不合格原材料、成品、半成品（不包括甲供材料）引起的，发包人有权无限期追溯，承包人应承担由此造成的一切损失。</w:t>
      </w:r>
    </w:p>
    <w:bookmarkEnd w:id="1062"/>
    <w:bookmarkEnd w:id="1063"/>
    <w:p w14:paraId="201A28D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15.4保修</w:t>
      </w:r>
    </w:p>
    <w:bookmarkEnd w:id="1064"/>
    <w:p w14:paraId="14FEA71A">
      <w:pPr>
        <w:adjustRightInd/>
        <w:spacing w:line="400" w:lineRule="exact"/>
        <w:ind w:firstLine="409" w:firstLineChars="195"/>
        <w:rPr>
          <w:rFonts w:hint="eastAsia" w:ascii="仿宋" w:hAnsi="仿宋" w:eastAsia="仿宋" w:cs="仿宋"/>
          <w:color w:val="auto"/>
          <w:szCs w:val="21"/>
          <w:highlight w:val="none"/>
        </w:rPr>
      </w:pPr>
      <w:r>
        <w:rPr>
          <w:rFonts w:hint="eastAsia" w:ascii="仿宋" w:hAnsi="仿宋" w:eastAsia="仿宋" w:cs="仿宋"/>
          <w:color w:val="auto"/>
          <w:szCs w:val="21"/>
          <w:highlight w:val="none"/>
        </w:rPr>
        <w:t>15.4.1 保修责任</w:t>
      </w:r>
    </w:p>
    <w:p w14:paraId="26FCF6D1">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工程保修期为：</w:t>
      </w:r>
      <w:r>
        <w:rPr>
          <w:rFonts w:hint="eastAsia" w:ascii="仿宋" w:hAnsi="仿宋" w:eastAsia="仿宋" w:cs="仿宋"/>
          <w:color w:val="auto"/>
          <w:szCs w:val="21"/>
          <w:highlight w:val="none"/>
          <w:u w:val="single"/>
        </w:rPr>
        <w:t xml:space="preserve">    详见工程质量保修书（附件</w:t>
      </w:r>
      <w:r>
        <w:rPr>
          <w:rFonts w:hint="eastAsia" w:ascii="仿宋" w:hAnsi="仿宋" w:eastAsia="仿宋" w:cs="仿宋"/>
          <w:color w:val="auto"/>
          <w:szCs w:val="21"/>
          <w:highlight w:val="none"/>
          <w:u w:val="single"/>
          <w:lang w:val="en-US" w:eastAsia="zh-CN"/>
        </w:rPr>
        <w:t>1</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1E059900">
      <w:pPr>
        <w:adjustRightInd/>
        <w:spacing w:line="400" w:lineRule="exact"/>
        <w:ind w:firstLine="409" w:firstLineChars="195"/>
        <w:rPr>
          <w:rFonts w:hint="eastAsia" w:ascii="仿宋" w:hAnsi="仿宋" w:eastAsia="仿宋" w:cs="仿宋"/>
          <w:color w:val="auto"/>
          <w:szCs w:val="21"/>
          <w:highlight w:val="none"/>
        </w:rPr>
      </w:pPr>
      <w:r>
        <w:rPr>
          <w:rFonts w:hint="eastAsia" w:ascii="仿宋" w:hAnsi="仿宋" w:eastAsia="仿宋" w:cs="仿宋"/>
          <w:color w:val="auto"/>
          <w:szCs w:val="21"/>
          <w:highlight w:val="none"/>
        </w:rPr>
        <w:t>15.4.3 修复通知</w:t>
      </w:r>
    </w:p>
    <w:p w14:paraId="787A945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承包人收到保修通知并到达工程现场的合理时间：</w:t>
      </w:r>
      <w:r>
        <w:rPr>
          <w:rFonts w:hint="eastAsia" w:ascii="仿宋" w:hAnsi="仿宋" w:eastAsia="仿宋" w:cs="仿宋"/>
          <w:color w:val="auto"/>
          <w:szCs w:val="21"/>
          <w:highlight w:val="none"/>
          <w:u w:val="single"/>
        </w:rPr>
        <w:t xml:space="preserve">  按质量保修书执行</w:t>
      </w:r>
      <w:r>
        <w:rPr>
          <w:rFonts w:hint="eastAsia" w:ascii="仿宋" w:hAnsi="仿宋" w:eastAsia="仿宋" w:cs="仿宋"/>
          <w:color w:val="auto"/>
          <w:szCs w:val="21"/>
          <w:highlight w:val="none"/>
        </w:rPr>
        <w:t>。</w:t>
      </w:r>
    </w:p>
    <w:bookmarkEnd w:id="1065"/>
    <w:bookmarkEnd w:id="1066"/>
    <w:bookmarkEnd w:id="1067"/>
    <w:bookmarkEnd w:id="1068"/>
    <w:p w14:paraId="77317AD2">
      <w:pPr>
        <w:keepNext/>
        <w:keepLines/>
        <w:adjustRightInd/>
        <w:spacing w:line="400" w:lineRule="exact"/>
        <w:outlineLvl w:val="3"/>
        <w:rPr>
          <w:rFonts w:hint="eastAsia" w:ascii="仿宋" w:hAnsi="仿宋" w:eastAsia="仿宋" w:cs="仿宋"/>
          <w:bCs/>
          <w:color w:val="auto"/>
          <w:szCs w:val="21"/>
          <w:highlight w:val="none"/>
        </w:rPr>
      </w:pPr>
      <w:bookmarkStart w:id="1115" w:name="_Toc351203648"/>
      <w:bookmarkStart w:id="1116" w:name="_Toc280868717"/>
      <w:bookmarkStart w:id="1117" w:name="_Toc280868718"/>
      <w:r>
        <w:rPr>
          <w:rFonts w:hint="eastAsia" w:ascii="仿宋" w:hAnsi="仿宋" w:eastAsia="仿宋" w:cs="仿宋"/>
          <w:bCs/>
          <w:color w:val="auto"/>
          <w:szCs w:val="21"/>
          <w:highlight w:val="none"/>
        </w:rPr>
        <w:t>16. 违约</w:t>
      </w:r>
      <w:bookmarkEnd w:id="1115"/>
    </w:p>
    <w:p w14:paraId="6A7B6B6F">
      <w:pPr>
        <w:adjustRightInd/>
        <w:spacing w:line="400" w:lineRule="exact"/>
        <w:ind w:firstLine="420" w:firstLineChars="200"/>
        <w:outlineLvl w:val="0"/>
        <w:rPr>
          <w:rFonts w:hint="eastAsia" w:ascii="仿宋" w:hAnsi="仿宋" w:eastAsia="仿宋" w:cs="仿宋"/>
          <w:color w:val="auto"/>
          <w:szCs w:val="21"/>
          <w:highlight w:val="none"/>
        </w:rPr>
      </w:pPr>
      <w:bookmarkStart w:id="1118" w:name="_Toc18269"/>
      <w:bookmarkStart w:id="1119" w:name="_Toc5424"/>
      <w:bookmarkStart w:id="1120" w:name="_Toc29612"/>
      <w:bookmarkStart w:id="1121" w:name="_Toc20226"/>
      <w:bookmarkStart w:id="1122" w:name="_Toc4901"/>
      <w:bookmarkStart w:id="1123" w:name="_Toc24774"/>
      <w:r>
        <w:rPr>
          <w:rFonts w:hint="eastAsia" w:ascii="仿宋" w:hAnsi="仿宋" w:eastAsia="仿宋" w:cs="仿宋"/>
          <w:color w:val="auto"/>
          <w:szCs w:val="21"/>
          <w:highlight w:val="none"/>
        </w:rPr>
        <w:t>16.1 发包人违约</w:t>
      </w:r>
      <w:bookmarkEnd w:id="1118"/>
      <w:bookmarkEnd w:id="1119"/>
      <w:bookmarkEnd w:id="1120"/>
      <w:bookmarkEnd w:id="1121"/>
      <w:bookmarkEnd w:id="1122"/>
      <w:bookmarkEnd w:id="1123"/>
    </w:p>
    <w:p w14:paraId="16B653E1">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16.1.1发包人违约的情形</w:t>
      </w:r>
    </w:p>
    <w:p w14:paraId="7C27F1CA">
      <w:pPr>
        <w:adjustRightInd/>
        <w:spacing w:line="400" w:lineRule="exact"/>
        <w:ind w:left="1050" w:leftChars="200" w:hanging="630" w:hanging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发包人违约的其他情形：</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63A359A6">
      <w:pPr>
        <w:adjustRightInd/>
        <w:spacing w:line="400" w:lineRule="exact"/>
        <w:ind w:left="1050" w:hanging="1050" w:hangingChars="5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16.1.2 发包人违约的责任</w:t>
      </w:r>
    </w:p>
    <w:p w14:paraId="7FAE4F3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发包人违约责任的承担方式和计算方法：</w:t>
      </w:r>
    </w:p>
    <w:p w14:paraId="7BAA57A6">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（1）因发包人原因未能在计划开工日期前7天内下达开工通知的违约责任：</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667BEB3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（2）因发包人原因未能按合同约定支付合同价款的违约责任：</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53ACDC15">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（3）发包人违反第10.1款〔变更的范围〕第（2）项约定，自行实施被取消的工作或转由他人实施的违约责任：</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4413F955">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（4）发包人提供的材料、工程设备的规格、数量或质量不符合合同约定，或因发包人原因导致交货日期延误或交货地点变更等情况的违约责任：</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76B5829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（5）因发包人违反合同约定造成暂停施工的违约责任：</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5A99A20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（6）发包人无正当理由没有在约定期限内发出复工指示，导致承包人无法复工的违约责任：</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01190F59">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（7）其他：</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0532401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16.1.3 因发包人违约解除合同</w:t>
      </w:r>
    </w:p>
    <w:p w14:paraId="478D6FE0">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承包人按16.1.1项〔发包人违约的情形〕约定暂停施工满</w:t>
      </w:r>
      <w:r>
        <w:rPr>
          <w:rFonts w:hint="eastAsia" w:ascii="仿宋" w:hAnsi="仿宋" w:eastAsia="仿宋" w:cs="仿宋"/>
          <w:color w:val="auto"/>
          <w:szCs w:val="21"/>
          <w:highlight w:val="none"/>
          <w:u w:val="single"/>
        </w:rPr>
        <w:t xml:space="preserve">  28  </w:t>
      </w:r>
      <w:r>
        <w:rPr>
          <w:rFonts w:hint="eastAsia" w:ascii="仿宋" w:hAnsi="仿宋" w:eastAsia="仿宋" w:cs="仿宋"/>
          <w:color w:val="auto"/>
          <w:szCs w:val="21"/>
          <w:highlight w:val="none"/>
        </w:rPr>
        <w:t>天后发包人仍不纠正其违约行为并致使合同目的不能实现的，承包人有权解除合同。</w:t>
      </w:r>
    </w:p>
    <w:p w14:paraId="723CEC73">
      <w:pPr>
        <w:adjustRightInd/>
        <w:spacing w:line="400" w:lineRule="exact"/>
        <w:ind w:firstLine="420" w:firstLineChars="200"/>
        <w:outlineLvl w:val="0"/>
        <w:rPr>
          <w:rFonts w:hint="eastAsia" w:ascii="仿宋" w:hAnsi="仿宋" w:eastAsia="仿宋" w:cs="仿宋"/>
          <w:color w:val="auto"/>
          <w:szCs w:val="21"/>
          <w:highlight w:val="none"/>
        </w:rPr>
      </w:pPr>
      <w:bookmarkStart w:id="1124" w:name="_Toc21495"/>
      <w:bookmarkStart w:id="1125" w:name="_Toc11360"/>
      <w:bookmarkStart w:id="1126" w:name="_Toc3527"/>
      <w:bookmarkStart w:id="1127" w:name="_Toc2679"/>
      <w:bookmarkStart w:id="1128" w:name="_Toc2763"/>
      <w:bookmarkStart w:id="1129" w:name="_Toc17026"/>
      <w:r>
        <w:rPr>
          <w:rFonts w:hint="eastAsia" w:ascii="仿宋" w:hAnsi="仿宋" w:eastAsia="仿宋" w:cs="仿宋"/>
          <w:color w:val="auto"/>
          <w:szCs w:val="21"/>
          <w:highlight w:val="none"/>
        </w:rPr>
        <w:t>16.2 承包人违约</w:t>
      </w:r>
      <w:bookmarkEnd w:id="1124"/>
      <w:bookmarkEnd w:id="1125"/>
      <w:bookmarkEnd w:id="1126"/>
      <w:bookmarkEnd w:id="1127"/>
      <w:bookmarkEnd w:id="1128"/>
      <w:bookmarkEnd w:id="1129"/>
    </w:p>
    <w:p w14:paraId="771BC56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16.2.1 承包人违约的情形</w:t>
      </w:r>
    </w:p>
    <w:p w14:paraId="336608A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承包人违约的其他情形：</w:t>
      </w:r>
      <w:r>
        <w:rPr>
          <w:rFonts w:hint="eastAsia" w:ascii="仿宋" w:hAnsi="仿宋" w:eastAsia="仿宋" w:cs="仿宋"/>
          <w:color w:val="auto"/>
          <w:szCs w:val="21"/>
          <w:highlight w:val="none"/>
          <w:u w:val="single"/>
        </w:rPr>
        <w:t xml:space="preserve"> 除本合同通用条款外详见本合同专用条款16.2.2   </w:t>
      </w:r>
      <w:r>
        <w:rPr>
          <w:rFonts w:hint="eastAsia" w:ascii="仿宋" w:hAnsi="仿宋" w:eastAsia="仿宋" w:cs="仿宋"/>
          <w:color w:val="auto"/>
          <w:szCs w:val="21"/>
          <w:highlight w:val="none"/>
        </w:rPr>
        <w:t>。</w:t>
      </w:r>
    </w:p>
    <w:p w14:paraId="44F0CD4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16.2.2承包人违约的责任</w:t>
      </w:r>
    </w:p>
    <w:p w14:paraId="706E87C6">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承包人违约责任的承担方式和计算方法： 工期</w:t>
      </w:r>
      <w:r>
        <w:rPr>
          <w:rFonts w:hint="eastAsia" w:ascii="仿宋" w:hAnsi="仿宋" w:eastAsia="仿宋" w:cs="仿宋"/>
          <w:color w:val="auto"/>
          <w:szCs w:val="21"/>
          <w:highlight w:val="none"/>
          <w:u w:val="single"/>
        </w:rPr>
        <w:t>延期在一个月内的，每拖延一天</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处以违约金为签约合同价的万分之二</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延期超过一个月的，每拖延一天处以违约金为签约合同价的万分之四。如逾期竣工违约金达到签约合同价格的百分之二，则发包人有权要求承包人无条件退场，并承担由此产生的各方一切损失</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同时，发包人也有权安排其他施工队伍进场施工，费用经审核后从承包人合同价款中扣除</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由此给发包人造成损失的，损失费用同时扣除。如因承包人自身原因造成工期严重滞后，又无明显改进措施的，发包人有权要求承包人无条件退场，并承担由此产生的一切损失，同时，发包人也有权安排其他施工队伍进场施工，费用经审核后从承包人合同价款中扣除。承包人拒不退场，也不配合第三方施工队伍进场的，必须承担一切赔偿责任；承包人必须严格按照施工图及工程施工验收规范等精心组织施工，严格把好每道工序的质量关，确保工程质量达到合格等级。经验收，如有不合格工程，承包人应无条件返工、整改、采取相应的补救、修复措施，直至验收合格，由此追加的费用和延误的工期均由承包人负责，同时扣除其全额质量履约担保，并处以工程结算总造价的5%的违约金。</w:t>
      </w:r>
    </w:p>
    <w:p w14:paraId="7D07FB7A">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u w:val="single"/>
        </w:rPr>
        <w:t>承包人违反合同约定进行转包或违法分包的，一经发现，发包人有权终止合同，承包人应支付签约合同价【10】%的违约金，由此所产生的一切后果及经济损失均由承包人承担。</w:t>
      </w:r>
    </w:p>
    <w:p w14:paraId="5422C21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u w:val="single"/>
        </w:rPr>
        <w:t>因承包人原因造成工期延误，逾期竣工违约金的上限：  不超过工程签约合同的</w:t>
      </w:r>
      <w:r>
        <w:rPr>
          <w:rFonts w:hint="default" w:ascii="仿宋" w:hAnsi="仿宋" w:eastAsia="仿宋" w:cs="仿宋"/>
          <w:color w:val="auto"/>
          <w:szCs w:val="21"/>
          <w:highlight w:val="none"/>
          <w:u w:val="single"/>
        </w:rPr>
        <w:t>30</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5CC8F37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16.2.3 因承包人违约解除合同</w:t>
      </w:r>
    </w:p>
    <w:p w14:paraId="45B40CB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关于承包人违约解除合同的特别约定：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3BA2E33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发包人继续使用承包人在施工现场的材料、设备、临时工程、承包人文件和由承包人或以其名义编制的其他文件的费用承担方式：</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1A73F9A2">
      <w:pPr>
        <w:keepNext/>
        <w:keepLines/>
        <w:adjustRightInd/>
        <w:spacing w:line="400" w:lineRule="exact"/>
        <w:outlineLvl w:val="3"/>
        <w:rPr>
          <w:rFonts w:hint="eastAsia" w:ascii="仿宋" w:hAnsi="仿宋" w:eastAsia="仿宋" w:cs="仿宋"/>
          <w:bCs/>
          <w:color w:val="auto"/>
          <w:szCs w:val="21"/>
          <w:highlight w:val="none"/>
        </w:rPr>
      </w:pPr>
      <w:bookmarkStart w:id="1130" w:name="_Toc351203649"/>
      <w:r>
        <w:rPr>
          <w:rFonts w:hint="eastAsia" w:ascii="仿宋" w:hAnsi="仿宋" w:eastAsia="仿宋" w:cs="仿宋"/>
          <w:bCs/>
          <w:color w:val="auto"/>
          <w:szCs w:val="21"/>
          <w:highlight w:val="none"/>
        </w:rPr>
        <w:t>17. 不可抗力</w:t>
      </w:r>
      <w:bookmarkEnd w:id="1116"/>
      <w:bookmarkEnd w:id="1130"/>
    </w:p>
    <w:p w14:paraId="08925B4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17.1 不可抗力的确认</w:t>
      </w:r>
    </w:p>
    <w:p w14:paraId="7251D53B">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除通用合同条款约定的不可抗力事件之外，视为不可抗力的其他情形： </w:t>
      </w:r>
      <w:r>
        <w:rPr>
          <w:rFonts w:hint="eastAsia" w:ascii="仿宋" w:hAnsi="仿宋" w:eastAsia="仿宋" w:cs="仿宋"/>
          <w:color w:val="auto"/>
          <w:szCs w:val="21"/>
          <w:highlight w:val="none"/>
          <w:u w:val="single"/>
        </w:rPr>
        <w:t>（1）超过三天的洪涝引起本工程施工现场及周边主要道路中断；</w:t>
      </w:r>
    </w:p>
    <w:p w14:paraId="5BBE707A">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（2）连续停水、停电超过48小时的；</w:t>
      </w:r>
    </w:p>
    <w:p w14:paraId="3FAB5DC3">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（3）政府下令停止或限制施工的台风、热带风暴，或政府下令停止施工连续超过三天的台风、热带风暴；</w:t>
      </w:r>
    </w:p>
    <w:p w14:paraId="0CDF78BB">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（4）由于高考、中考、政府部门有重大活动等原因，政府要求停止或限制施工的。</w:t>
      </w:r>
    </w:p>
    <w:p w14:paraId="4B116D6E">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指定分包人在不可抗力事件发生后14天内，就延误的工期以书面形式向总包人、工程师提出报告。</w:t>
      </w:r>
    </w:p>
    <w:p w14:paraId="6444B158">
      <w:pPr>
        <w:adjustRightInd/>
        <w:spacing w:line="400" w:lineRule="exact"/>
        <w:ind w:firstLine="420" w:firstLineChars="200"/>
        <w:outlineLvl w:val="0"/>
        <w:rPr>
          <w:rFonts w:hint="eastAsia" w:ascii="仿宋" w:hAnsi="仿宋" w:eastAsia="仿宋" w:cs="仿宋"/>
          <w:color w:val="auto"/>
          <w:szCs w:val="21"/>
          <w:highlight w:val="none"/>
        </w:rPr>
      </w:pPr>
      <w:bookmarkStart w:id="1131" w:name="_Toc13471"/>
      <w:bookmarkStart w:id="1132" w:name="_Toc12655"/>
      <w:bookmarkStart w:id="1133" w:name="_Toc18254"/>
      <w:bookmarkStart w:id="1134" w:name="_Toc6041"/>
      <w:bookmarkStart w:id="1135" w:name="_Toc17985"/>
      <w:bookmarkStart w:id="1136" w:name="_Toc7191"/>
      <w:r>
        <w:rPr>
          <w:rFonts w:hint="eastAsia" w:ascii="仿宋" w:hAnsi="仿宋" w:eastAsia="仿宋" w:cs="仿宋"/>
          <w:color w:val="auto"/>
          <w:szCs w:val="21"/>
          <w:highlight w:val="none"/>
        </w:rPr>
        <w:t>17.4 因不可抗力解除合同</w:t>
      </w:r>
      <w:bookmarkEnd w:id="1131"/>
      <w:bookmarkEnd w:id="1132"/>
      <w:bookmarkEnd w:id="1133"/>
      <w:bookmarkEnd w:id="1134"/>
      <w:bookmarkEnd w:id="1135"/>
      <w:bookmarkEnd w:id="1136"/>
    </w:p>
    <w:p w14:paraId="746B8A4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合同解除后，发包人应在商定或确定发包人应支付款项后天内完成款项的支付。</w:t>
      </w:r>
    </w:p>
    <w:p w14:paraId="2D9D1DDC">
      <w:pPr>
        <w:keepNext/>
        <w:keepLines/>
        <w:adjustRightInd/>
        <w:spacing w:line="400" w:lineRule="exact"/>
        <w:outlineLvl w:val="3"/>
        <w:rPr>
          <w:rFonts w:hint="eastAsia" w:ascii="仿宋" w:hAnsi="仿宋" w:eastAsia="仿宋" w:cs="仿宋"/>
          <w:bCs/>
          <w:color w:val="auto"/>
          <w:szCs w:val="21"/>
          <w:highlight w:val="none"/>
        </w:rPr>
      </w:pPr>
      <w:bookmarkStart w:id="1137" w:name="_Toc351203650"/>
      <w:r>
        <w:rPr>
          <w:rFonts w:hint="eastAsia" w:ascii="仿宋" w:hAnsi="仿宋" w:eastAsia="仿宋" w:cs="仿宋"/>
          <w:bCs/>
          <w:color w:val="auto"/>
          <w:szCs w:val="21"/>
          <w:highlight w:val="none"/>
        </w:rPr>
        <w:t>18. 保险</w:t>
      </w:r>
      <w:bookmarkEnd w:id="1137"/>
    </w:p>
    <w:bookmarkEnd w:id="1117"/>
    <w:p w14:paraId="39F3E9F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18.1 工程保险</w:t>
      </w:r>
    </w:p>
    <w:p w14:paraId="108754B4">
      <w:pPr>
        <w:adjustRightInd/>
        <w:spacing w:line="400" w:lineRule="exact"/>
        <w:ind w:firstLine="420" w:firstLineChars="200"/>
        <w:rPr>
          <w:rFonts w:hint="default" w:ascii="仿宋" w:hAnsi="仿宋" w:eastAsia="仿宋" w:cs="仿宋"/>
          <w:color w:val="auto"/>
          <w:szCs w:val="21"/>
          <w:highlight w:val="none"/>
          <w:lang w:eastAsia="zh-Hans"/>
        </w:rPr>
      </w:pPr>
      <w:r>
        <w:rPr>
          <w:rFonts w:hint="eastAsia" w:ascii="仿宋" w:hAnsi="仿宋" w:eastAsia="仿宋" w:cs="仿宋"/>
          <w:color w:val="auto"/>
          <w:szCs w:val="21"/>
          <w:highlight w:val="none"/>
        </w:rPr>
        <w:t>关于工程保险的特别约定：</w:t>
      </w:r>
      <w:r>
        <w:rPr>
          <w:rFonts w:hint="eastAsia" w:ascii="仿宋" w:hAnsi="仿宋" w:eastAsia="仿宋" w:cs="仿宋"/>
          <w:color w:val="auto"/>
          <w:szCs w:val="21"/>
          <w:highlight w:val="none"/>
          <w:u w:val="single"/>
        </w:rPr>
        <w:t xml:space="preserve"> 承包人投保内容：</w:t>
      </w:r>
      <w:r>
        <w:rPr>
          <w:rFonts w:hint="eastAsia" w:ascii="仿宋" w:hAnsi="仿宋" w:eastAsia="仿宋" w:cs="仿宋"/>
          <w:color w:val="auto"/>
          <w:szCs w:val="21"/>
          <w:highlight w:val="none"/>
          <w:u w:val="single"/>
        </w:rPr>
        <w:fldChar w:fldCharType="begin"/>
      </w:r>
      <w:r>
        <w:rPr>
          <w:rFonts w:hint="eastAsia" w:ascii="仿宋" w:hAnsi="仿宋" w:eastAsia="仿宋" w:cs="仿宋"/>
          <w:color w:val="auto"/>
          <w:szCs w:val="21"/>
          <w:highlight w:val="none"/>
          <w:u w:val="single"/>
        </w:rPr>
        <w:instrText xml:space="preserve"> = 1 \* GB3 </w:instrText>
      </w:r>
      <w:r>
        <w:rPr>
          <w:rFonts w:hint="eastAsia" w:ascii="仿宋" w:hAnsi="仿宋" w:eastAsia="仿宋" w:cs="仿宋"/>
          <w:color w:val="auto"/>
          <w:szCs w:val="21"/>
          <w:highlight w:val="none"/>
          <w:u w:val="single"/>
        </w:rPr>
        <w:fldChar w:fldCharType="separate"/>
      </w:r>
      <w:r>
        <w:rPr>
          <w:rFonts w:hint="eastAsia" w:ascii="仿宋" w:hAnsi="仿宋" w:eastAsia="仿宋" w:cs="仿宋"/>
          <w:color w:val="auto"/>
          <w:szCs w:val="21"/>
          <w:highlight w:val="none"/>
          <w:u w:val="single"/>
        </w:rPr>
        <w:t>①</w:t>
      </w:r>
      <w:r>
        <w:rPr>
          <w:rFonts w:hint="eastAsia" w:ascii="仿宋" w:hAnsi="仿宋" w:eastAsia="仿宋" w:cs="仿宋"/>
          <w:color w:val="auto"/>
          <w:szCs w:val="21"/>
          <w:highlight w:val="none"/>
          <w:u w:val="single"/>
        </w:rPr>
        <w:fldChar w:fldCharType="end"/>
      </w:r>
      <w:r>
        <w:rPr>
          <w:rFonts w:hint="eastAsia" w:ascii="仿宋" w:hAnsi="仿宋" w:eastAsia="仿宋" w:cs="仿宋"/>
          <w:color w:val="auto"/>
          <w:szCs w:val="21"/>
          <w:highlight w:val="none"/>
          <w:u w:val="single"/>
        </w:rPr>
        <w:t>工程保险（含建筑工程一切险、安装工程一切险）；</w:t>
      </w:r>
      <w:r>
        <w:rPr>
          <w:rFonts w:hint="eastAsia" w:ascii="仿宋" w:hAnsi="仿宋" w:eastAsia="仿宋" w:cs="仿宋"/>
          <w:color w:val="auto"/>
          <w:szCs w:val="21"/>
          <w:highlight w:val="none"/>
          <w:u w:val="single"/>
        </w:rPr>
        <w:fldChar w:fldCharType="begin"/>
      </w:r>
      <w:r>
        <w:rPr>
          <w:rFonts w:hint="eastAsia" w:ascii="仿宋" w:hAnsi="仿宋" w:eastAsia="仿宋" w:cs="仿宋"/>
          <w:color w:val="auto"/>
          <w:szCs w:val="21"/>
          <w:highlight w:val="none"/>
          <w:u w:val="single"/>
        </w:rPr>
        <w:instrText xml:space="preserve"> = 2 \* GB3 </w:instrText>
      </w:r>
      <w:r>
        <w:rPr>
          <w:rFonts w:hint="eastAsia" w:ascii="仿宋" w:hAnsi="仿宋" w:eastAsia="仿宋" w:cs="仿宋"/>
          <w:color w:val="auto"/>
          <w:szCs w:val="21"/>
          <w:highlight w:val="none"/>
          <w:u w:val="single"/>
        </w:rPr>
        <w:fldChar w:fldCharType="separate"/>
      </w:r>
      <w:r>
        <w:rPr>
          <w:rFonts w:hint="eastAsia" w:ascii="仿宋" w:hAnsi="仿宋" w:eastAsia="仿宋" w:cs="仿宋"/>
          <w:color w:val="auto"/>
          <w:szCs w:val="21"/>
          <w:highlight w:val="none"/>
          <w:u w:val="single"/>
        </w:rPr>
        <w:t>②</w:t>
      </w:r>
      <w:r>
        <w:rPr>
          <w:rFonts w:hint="eastAsia" w:ascii="仿宋" w:hAnsi="仿宋" w:eastAsia="仿宋" w:cs="仿宋"/>
          <w:color w:val="auto"/>
          <w:szCs w:val="21"/>
          <w:highlight w:val="none"/>
          <w:u w:val="single"/>
        </w:rPr>
        <w:fldChar w:fldCharType="end"/>
      </w:r>
      <w:r>
        <w:rPr>
          <w:rFonts w:hint="eastAsia" w:ascii="仿宋" w:hAnsi="仿宋" w:eastAsia="仿宋" w:cs="仿宋"/>
          <w:color w:val="auto"/>
          <w:szCs w:val="21"/>
          <w:highlight w:val="none"/>
          <w:u w:val="single"/>
        </w:rPr>
        <w:t>承包人应为其履行合同所雇佣的全部人员，缴纳工伤保险费，并要求其分包人也进行此项保险；</w:t>
      </w:r>
      <w:r>
        <w:rPr>
          <w:rFonts w:hint="eastAsia" w:ascii="仿宋" w:hAnsi="仿宋" w:eastAsia="仿宋" w:cs="仿宋"/>
          <w:color w:val="auto"/>
          <w:szCs w:val="21"/>
          <w:highlight w:val="none"/>
          <w:u w:val="single"/>
        </w:rPr>
        <w:fldChar w:fldCharType="begin"/>
      </w:r>
      <w:r>
        <w:rPr>
          <w:rFonts w:hint="eastAsia" w:ascii="仿宋" w:hAnsi="仿宋" w:eastAsia="仿宋" w:cs="仿宋"/>
          <w:color w:val="auto"/>
          <w:szCs w:val="21"/>
          <w:highlight w:val="none"/>
          <w:u w:val="single"/>
        </w:rPr>
        <w:instrText xml:space="preserve"> = 3 \* GB3 </w:instrText>
      </w:r>
      <w:r>
        <w:rPr>
          <w:rFonts w:hint="eastAsia" w:ascii="仿宋" w:hAnsi="仿宋" w:eastAsia="仿宋" w:cs="仿宋"/>
          <w:color w:val="auto"/>
          <w:szCs w:val="21"/>
          <w:highlight w:val="none"/>
          <w:u w:val="single"/>
        </w:rPr>
        <w:fldChar w:fldCharType="separate"/>
      </w:r>
      <w:r>
        <w:rPr>
          <w:rFonts w:hint="eastAsia" w:ascii="仿宋" w:hAnsi="仿宋" w:eastAsia="仿宋" w:cs="仿宋"/>
          <w:color w:val="auto"/>
          <w:szCs w:val="21"/>
          <w:highlight w:val="none"/>
          <w:u w:val="single"/>
        </w:rPr>
        <w:t>③</w:t>
      </w:r>
      <w:r>
        <w:rPr>
          <w:rFonts w:hint="eastAsia" w:ascii="仿宋" w:hAnsi="仿宋" w:eastAsia="仿宋" w:cs="仿宋"/>
          <w:color w:val="auto"/>
          <w:szCs w:val="21"/>
          <w:highlight w:val="none"/>
          <w:u w:val="single"/>
        </w:rPr>
        <w:fldChar w:fldCharType="end"/>
      </w:r>
      <w:r>
        <w:rPr>
          <w:rFonts w:hint="eastAsia" w:ascii="仿宋" w:hAnsi="仿宋" w:eastAsia="仿宋" w:cs="仿宋"/>
          <w:color w:val="auto"/>
          <w:szCs w:val="21"/>
          <w:highlight w:val="none"/>
          <w:u w:val="single"/>
        </w:rPr>
        <w:t>承包人应在整个施工期间为其现场机构雇用的全部人员，投保人身意外伤害险，缴纳保险费，并要求其分包人也进行此项保险；</w:t>
      </w:r>
      <w:r>
        <w:rPr>
          <w:rFonts w:hint="eastAsia" w:ascii="仿宋" w:hAnsi="仿宋" w:eastAsia="仿宋" w:cs="仿宋"/>
          <w:color w:val="auto"/>
          <w:szCs w:val="21"/>
          <w:highlight w:val="none"/>
          <w:u w:val="single"/>
        </w:rPr>
        <w:fldChar w:fldCharType="begin"/>
      </w:r>
      <w:r>
        <w:rPr>
          <w:rFonts w:hint="eastAsia" w:ascii="仿宋" w:hAnsi="仿宋" w:eastAsia="仿宋" w:cs="仿宋"/>
          <w:color w:val="auto"/>
          <w:szCs w:val="21"/>
          <w:highlight w:val="none"/>
          <w:u w:val="single"/>
        </w:rPr>
        <w:instrText xml:space="preserve"> = 4 \* GB3 </w:instrText>
      </w:r>
      <w:r>
        <w:rPr>
          <w:rFonts w:hint="eastAsia" w:ascii="仿宋" w:hAnsi="仿宋" w:eastAsia="仿宋" w:cs="仿宋"/>
          <w:color w:val="auto"/>
          <w:szCs w:val="21"/>
          <w:highlight w:val="none"/>
          <w:u w:val="single"/>
        </w:rPr>
        <w:fldChar w:fldCharType="separate"/>
      </w:r>
      <w:r>
        <w:rPr>
          <w:rFonts w:hint="eastAsia" w:ascii="仿宋" w:hAnsi="仿宋" w:eastAsia="仿宋" w:cs="仿宋"/>
          <w:color w:val="auto"/>
          <w:szCs w:val="21"/>
          <w:highlight w:val="none"/>
          <w:u w:val="single"/>
        </w:rPr>
        <w:t>④</w:t>
      </w:r>
      <w:r>
        <w:rPr>
          <w:rFonts w:hint="eastAsia" w:ascii="仿宋" w:hAnsi="仿宋" w:eastAsia="仿宋" w:cs="仿宋"/>
          <w:color w:val="auto"/>
          <w:szCs w:val="21"/>
          <w:highlight w:val="none"/>
          <w:u w:val="single"/>
        </w:rPr>
        <w:fldChar w:fldCharType="end"/>
      </w:r>
      <w:r>
        <w:rPr>
          <w:rFonts w:hint="eastAsia" w:ascii="仿宋" w:hAnsi="仿宋" w:eastAsia="仿宋" w:cs="仿宋"/>
          <w:color w:val="auto"/>
          <w:szCs w:val="21"/>
          <w:highlight w:val="none"/>
          <w:u w:val="single"/>
        </w:rPr>
        <w:t xml:space="preserve">对因工程意外事故造成的、依法应由被保险人负责的工地上及毗邻地区的第三者人身伤亡、疾病或财产损失投保第三者责任险。承包人办理投保的相关费用已包含在合同总价内 </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Hans"/>
        </w:rPr>
        <w:t>发生纠纷</w:t>
      </w:r>
      <w:r>
        <w:rPr>
          <w:rFonts w:hint="default" w:ascii="仿宋" w:hAnsi="仿宋" w:eastAsia="仿宋" w:cs="仿宋"/>
          <w:color w:val="auto"/>
          <w:szCs w:val="21"/>
          <w:highlight w:val="none"/>
          <w:lang w:eastAsia="zh-Hans"/>
        </w:rPr>
        <w:t>，</w:t>
      </w:r>
      <w:r>
        <w:rPr>
          <w:rFonts w:hint="eastAsia" w:ascii="仿宋" w:hAnsi="仿宋" w:eastAsia="仿宋" w:cs="仿宋"/>
          <w:color w:val="auto"/>
          <w:szCs w:val="21"/>
          <w:highlight w:val="none"/>
          <w:lang w:val="en-US" w:eastAsia="zh-Hans"/>
        </w:rPr>
        <w:t>由承包人自行处理并承担全部法律责任</w:t>
      </w:r>
      <w:r>
        <w:rPr>
          <w:rFonts w:hint="default" w:ascii="仿宋" w:hAnsi="仿宋" w:eastAsia="仿宋" w:cs="仿宋"/>
          <w:color w:val="auto"/>
          <w:szCs w:val="21"/>
          <w:highlight w:val="none"/>
          <w:lang w:eastAsia="zh-Hans"/>
        </w:rPr>
        <w:t>。</w:t>
      </w:r>
    </w:p>
    <w:p w14:paraId="7F422DC0">
      <w:pPr>
        <w:adjustRightInd/>
        <w:spacing w:line="400" w:lineRule="exact"/>
        <w:ind w:firstLine="420" w:firstLineChars="200"/>
        <w:outlineLvl w:val="0"/>
        <w:rPr>
          <w:rFonts w:hint="eastAsia" w:ascii="仿宋" w:hAnsi="仿宋" w:eastAsia="仿宋" w:cs="仿宋"/>
          <w:color w:val="auto"/>
          <w:szCs w:val="21"/>
          <w:highlight w:val="none"/>
        </w:rPr>
      </w:pPr>
      <w:bookmarkStart w:id="1138" w:name="_Toc6543"/>
      <w:bookmarkStart w:id="1139" w:name="_Toc25210"/>
      <w:bookmarkStart w:id="1140" w:name="_Toc22388"/>
      <w:bookmarkStart w:id="1141" w:name="_Toc29077"/>
      <w:bookmarkStart w:id="1142" w:name="_Toc573"/>
      <w:bookmarkStart w:id="1143" w:name="_Toc30980"/>
      <w:r>
        <w:rPr>
          <w:rFonts w:hint="eastAsia" w:ascii="仿宋" w:hAnsi="仿宋" w:eastAsia="仿宋" w:cs="仿宋"/>
          <w:color w:val="auto"/>
          <w:szCs w:val="21"/>
          <w:highlight w:val="none"/>
        </w:rPr>
        <w:t>18.3 其他保险</w:t>
      </w:r>
      <w:bookmarkEnd w:id="1138"/>
      <w:bookmarkEnd w:id="1139"/>
      <w:bookmarkEnd w:id="1140"/>
      <w:bookmarkEnd w:id="1141"/>
      <w:bookmarkEnd w:id="1142"/>
      <w:bookmarkEnd w:id="1143"/>
    </w:p>
    <w:p w14:paraId="6E821ED9">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关于其他保险的约定：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47E35A9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承包人是否应为其施工设备等办理财产保险：</w:t>
      </w:r>
      <w:r>
        <w:rPr>
          <w:rFonts w:hint="eastAsia" w:ascii="仿宋" w:hAnsi="仿宋" w:eastAsia="仿宋" w:cs="仿宋"/>
          <w:color w:val="auto"/>
          <w:szCs w:val="21"/>
          <w:highlight w:val="none"/>
          <w:u w:val="single"/>
        </w:rPr>
        <w:t xml:space="preserve">    是   </w:t>
      </w:r>
      <w:r>
        <w:rPr>
          <w:rFonts w:hint="eastAsia" w:ascii="仿宋" w:hAnsi="仿宋" w:eastAsia="仿宋" w:cs="仿宋"/>
          <w:color w:val="auto"/>
          <w:szCs w:val="21"/>
          <w:highlight w:val="none"/>
        </w:rPr>
        <w:t>。</w:t>
      </w:r>
    </w:p>
    <w:p w14:paraId="2D89150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18.7 通知义务</w:t>
      </w:r>
    </w:p>
    <w:p w14:paraId="370D5D19">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关于变更保险合同时的通知义务的约定：</w:t>
      </w:r>
      <w:r>
        <w:rPr>
          <w:rFonts w:hint="eastAsia" w:ascii="仿宋" w:hAnsi="仿宋" w:eastAsia="仿宋" w:cs="仿宋"/>
          <w:color w:val="auto"/>
          <w:szCs w:val="21"/>
          <w:highlight w:val="none"/>
          <w:u w:val="single"/>
        </w:rPr>
        <w:t xml:space="preserve">  按本合同（通用条款）执行    </w:t>
      </w:r>
      <w:r>
        <w:rPr>
          <w:rFonts w:hint="eastAsia" w:ascii="仿宋" w:hAnsi="仿宋" w:eastAsia="仿宋" w:cs="仿宋"/>
          <w:color w:val="auto"/>
          <w:szCs w:val="21"/>
          <w:highlight w:val="none"/>
        </w:rPr>
        <w:t>。</w:t>
      </w:r>
    </w:p>
    <w:bookmarkEnd w:id="1069"/>
    <w:bookmarkEnd w:id="1070"/>
    <w:bookmarkEnd w:id="1071"/>
    <w:bookmarkEnd w:id="1072"/>
    <w:bookmarkEnd w:id="1073"/>
    <w:bookmarkEnd w:id="1074"/>
    <w:bookmarkEnd w:id="1075"/>
    <w:bookmarkEnd w:id="1076"/>
    <w:bookmarkEnd w:id="1077"/>
    <w:bookmarkEnd w:id="1078"/>
    <w:bookmarkEnd w:id="1079"/>
    <w:bookmarkEnd w:id="1080"/>
    <w:p w14:paraId="146D243F">
      <w:pPr>
        <w:keepNext/>
        <w:keepLines/>
        <w:adjustRightInd/>
        <w:spacing w:line="400" w:lineRule="exact"/>
        <w:outlineLvl w:val="3"/>
        <w:rPr>
          <w:rFonts w:hint="eastAsia" w:ascii="仿宋" w:hAnsi="仿宋" w:eastAsia="仿宋" w:cs="仿宋"/>
          <w:bCs/>
          <w:color w:val="auto"/>
          <w:szCs w:val="21"/>
          <w:highlight w:val="none"/>
        </w:rPr>
      </w:pPr>
      <w:bookmarkStart w:id="1144" w:name="_Toc351203651"/>
      <w:r>
        <w:rPr>
          <w:rFonts w:hint="eastAsia" w:ascii="仿宋" w:hAnsi="仿宋" w:eastAsia="仿宋" w:cs="仿宋"/>
          <w:bCs/>
          <w:color w:val="auto"/>
          <w:szCs w:val="21"/>
          <w:highlight w:val="none"/>
        </w:rPr>
        <w:t>20. 争议解决</w:t>
      </w:r>
      <w:bookmarkEnd w:id="1144"/>
    </w:p>
    <w:bookmarkEnd w:id="1081"/>
    <w:bookmarkEnd w:id="1082"/>
    <w:p w14:paraId="37B8ACD8">
      <w:pPr>
        <w:adjustRightInd/>
        <w:spacing w:line="400" w:lineRule="exact"/>
        <w:ind w:firstLine="420" w:firstLineChars="200"/>
        <w:outlineLvl w:val="0"/>
        <w:rPr>
          <w:rFonts w:hint="eastAsia" w:ascii="仿宋" w:hAnsi="仿宋" w:eastAsia="仿宋" w:cs="仿宋"/>
          <w:color w:val="auto"/>
          <w:szCs w:val="21"/>
          <w:highlight w:val="none"/>
        </w:rPr>
      </w:pPr>
      <w:bookmarkStart w:id="1145" w:name="_Toc11977"/>
      <w:bookmarkStart w:id="1146" w:name="_Toc9313"/>
      <w:bookmarkStart w:id="1147" w:name="_Toc26480"/>
      <w:bookmarkStart w:id="1148" w:name="_Toc13495"/>
      <w:bookmarkStart w:id="1149" w:name="_Toc20437"/>
      <w:bookmarkStart w:id="1150" w:name="_Toc32728"/>
      <w:r>
        <w:rPr>
          <w:rFonts w:hint="eastAsia" w:ascii="仿宋" w:hAnsi="仿宋" w:eastAsia="仿宋" w:cs="仿宋"/>
          <w:color w:val="auto"/>
          <w:szCs w:val="21"/>
          <w:highlight w:val="none"/>
        </w:rPr>
        <w:t>20.3 争</w:t>
      </w:r>
      <w:bookmarkEnd w:id="1083"/>
      <w:r>
        <w:rPr>
          <w:rFonts w:hint="eastAsia" w:ascii="仿宋" w:hAnsi="仿宋" w:eastAsia="仿宋" w:cs="仿宋"/>
          <w:color w:val="auto"/>
          <w:szCs w:val="21"/>
          <w:highlight w:val="none"/>
        </w:rPr>
        <w:t>议评审</w:t>
      </w:r>
      <w:bookmarkEnd w:id="1145"/>
      <w:bookmarkEnd w:id="1146"/>
      <w:bookmarkEnd w:id="1147"/>
      <w:bookmarkEnd w:id="1148"/>
      <w:bookmarkEnd w:id="1149"/>
      <w:bookmarkEnd w:id="1150"/>
    </w:p>
    <w:p w14:paraId="275EC529">
      <w:pPr>
        <w:adjustRightInd/>
        <w:spacing w:line="400" w:lineRule="exact"/>
        <w:ind w:firstLine="315"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合同当事人是否同意将工程争议提交争议评审小组决定：</w:t>
      </w:r>
      <w:r>
        <w:rPr>
          <w:rFonts w:hint="eastAsia" w:ascii="仿宋" w:hAnsi="仿宋" w:eastAsia="仿宋" w:cs="仿宋"/>
          <w:color w:val="auto"/>
          <w:szCs w:val="21"/>
          <w:highlight w:val="none"/>
          <w:u w:val="single"/>
        </w:rPr>
        <w:t>否</w:t>
      </w:r>
      <w:r>
        <w:rPr>
          <w:rFonts w:hint="eastAsia" w:ascii="仿宋" w:hAnsi="仿宋" w:eastAsia="仿宋" w:cs="仿宋"/>
          <w:color w:val="auto"/>
          <w:szCs w:val="21"/>
          <w:highlight w:val="none"/>
        </w:rPr>
        <w:t xml:space="preserve">。  </w:t>
      </w:r>
    </w:p>
    <w:p w14:paraId="031B7A49">
      <w:pPr>
        <w:adjustRightInd/>
        <w:spacing w:line="400" w:lineRule="exact"/>
        <w:ind w:firstLine="420" w:firstLineChars="200"/>
        <w:outlineLvl w:val="0"/>
        <w:rPr>
          <w:rFonts w:hint="eastAsia" w:ascii="仿宋" w:hAnsi="仿宋" w:eastAsia="仿宋" w:cs="仿宋"/>
          <w:color w:val="auto"/>
          <w:szCs w:val="21"/>
          <w:highlight w:val="none"/>
        </w:rPr>
      </w:pPr>
      <w:bookmarkStart w:id="1151" w:name="_Toc20525"/>
      <w:bookmarkStart w:id="1152" w:name="_Toc13753"/>
      <w:bookmarkStart w:id="1153" w:name="_Toc22693"/>
      <w:bookmarkStart w:id="1154" w:name="_Toc19421"/>
      <w:bookmarkStart w:id="1155" w:name="_Toc30750"/>
      <w:bookmarkStart w:id="1156" w:name="_Toc7776"/>
      <w:r>
        <w:rPr>
          <w:rFonts w:hint="eastAsia" w:ascii="仿宋" w:hAnsi="仿宋" w:eastAsia="仿宋" w:cs="仿宋"/>
          <w:color w:val="auto"/>
          <w:szCs w:val="21"/>
          <w:highlight w:val="none"/>
        </w:rPr>
        <w:t>20.3.1 争议评审小组的确定</w:t>
      </w:r>
      <w:bookmarkEnd w:id="1151"/>
      <w:bookmarkEnd w:id="1152"/>
      <w:bookmarkEnd w:id="1153"/>
      <w:bookmarkEnd w:id="1154"/>
      <w:bookmarkEnd w:id="1155"/>
      <w:bookmarkEnd w:id="1156"/>
    </w:p>
    <w:p w14:paraId="46359E5E">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争议评审小组成员的确定：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23FDD4A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选定争议评审员的期限：</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43D945A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争议评审小组成员的报酬承担方式：</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7EA3309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其他事项的约定：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4F48F86E">
      <w:pPr>
        <w:spacing w:line="400" w:lineRule="exact"/>
        <w:ind w:firstLine="420" w:firstLineChars="200"/>
        <w:outlineLvl w:val="0"/>
        <w:rPr>
          <w:rFonts w:hint="eastAsia" w:ascii="仿宋" w:hAnsi="仿宋" w:eastAsia="仿宋" w:cs="仿宋"/>
          <w:color w:val="auto"/>
          <w:szCs w:val="21"/>
          <w:highlight w:val="none"/>
        </w:rPr>
      </w:pPr>
      <w:bookmarkStart w:id="1157" w:name="_Toc15185"/>
      <w:bookmarkStart w:id="1158" w:name="_Toc12133"/>
      <w:bookmarkStart w:id="1159" w:name="_Toc10018"/>
      <w:bookmarkStart w:id="1160" w:name="_Toc24100"/>
      <w:bookmarkStart w:id="1161" w:name="_Toc3737"/>
      <w:bookmarkStart w:id="1162" w:name="_Toc12666"/>
      <w:r>
        <w:rPr>
          <w:rFonts w:hint="eastAsia" w:ascii="仿宋" w:hAnsi="仿宋" w:eastAsia="仿宋" w:cs="仿宋"/>
          <w:color w:val="auto"/>
          <w:szCs w:val="21"/>
          <w:highlight w:val="none"/>
        </w:rPr>
        <w:t>20.3.2 争议评审小组的决定</w:t>
      </w:r>
      <w:bookmarkEnd w:id="1157"/>
      <w:bookmarkEnd w:id="1158"/>
      <w:bookmarkEnd w:id="1159"/>
      <w:bookmarkEnd w:id="1160"/>
      <w:bookmarkEnd w:id="1161"/>
      <w:bookmarkEnd w:id="1162"/>
    </w:p>
    <w:p w14:paraId="3BA80B9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合同当事人关于本项的约定：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3C4F25BC">
      <w:pPr>
        <w:adjustRightInd/>
        <w:spacing w:line="400" w:lineRule="exact"/>
        <w:ind w:firstLine="420" w:firstLineChars="200"/>
        <w:outlineLvl w:val="0"/>
        <w:rPr>
          <w:rFonts w:hint="eastAsia" w:ascii="仿宋" w:hAnsi="仿宋" w:eastAsia="仿宋" w:cs="仿宋"/>
          <w:color w:val="auto"/>
          <w:szCs w:val="21"/>
          <w:highlight w:val="none"/>
        </w:rPr>
      </w:pPr>
      <w:bookmarkStart w:id="1163" w:name="_Toc24098"/>
      <w:bookmarkStart w:id="1164" w:name="_Toc32105"/>
      <w:bookmarkStart w:id="1165" w:name="_Toc15348"/>
      <w:bookmarkStart w:id="1166" w:name="_Toc16653"/>
      <w:bookmarkStart w:id="1167" w:name="_Toc1571"/>
      <w:bookmarkStart w:id="1168" w:name="_Toc22889"/>
      <w:r>
        <w:rPr>
          <w:rFonts w:hint="eastAsia" w:ascii="仿宋" w:hAnsi="仿宋" w:eastAsia="仿宋" w:cs="仿宋"/>
          <w:color w:val="auto"/>
          <w:szCs w:val="21"/>
          <w:highlight w:val="none"/>
        </w:rPr>
        <w:t>20.4仲裁或诉讼</w:t>
      </w:r>
      <w:bookmarkEnd w:id="1084"/>
      <w:bookmarkEnd w:id="1163"/>
      <w:bookmarkEnd w:id="1164"/>
      <w:bookmarkEnd w:id="1165"/>
      <w:bookmarkEnd w:id="1166"/>
      <w:bookmarkEnd w:id="1167"/>
      <w:bookmarkEnd w:id="1168"/>
    </w:p>
    <w:p w14:paraId="50EFB91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因合同及合同有关事项发生的争议，按下列第</w:t>
      </w:r>
      <w:r>
        <w:rPr>
          <w:rFonts w:hint="eastAsia" w:ascii="仿宋" w:hAnsi="仿宋" w:eastAsia="仿宋" w:cs="仿宋"/>
          <w:color w:val="auto"/>
          <w:szCs w:val="21"/>
          <w:highlight w:val="none"/>
          <w:u w:val="single"/>
        </w:rPr>
        <w:t xml:space="preserve">   2  </w:t>
      </w:r>
      <w:r>
        <w:rPr>
          <w:rFonts w:hint="eastAsia" w:ascii="仿宋" w:hAnsi="仿宋" w:eastAsia="仿宋" w:cs="仿宋"/>
          <w:color w:val="auto"/>
          <w:szCs w:val="21"/>
          <w:highlight w:val="none"/>
        </w:rPr>
        <w:t>种方式解决：</w:t>
      </w:r>
    </w:p>
    <w:p w14:paraId="38367A5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（1）向</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仲裁委员会申请仲裁；</w:t>
      </w:r>
    </w:p>
    <w:p w14:paraId="502643B1">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（2）向</w:t>
      </w:r>
      <w:r>
        <w:rPr>
          <w:rFonts w:hint="eastAsia" w:ascii="仿宋" w:hAnsi="仿宋" w:eastAsia="仿宋" w:cs="仿宋"/>
          <w:color w:val="auto"/>
          <w:szCs w:val="21"/>
          <w:highlight w:val="none"/>
          <w:u w:val="single"/>
        </w:rPr>
        <w:t xml:space="preserve">   工程所在地      </w:t>
      </w:r>
      <w:r>
        <w:rPr>
          <w:rFonts w:hint="eastAsia" w:ascii="仿宋" w:hAnsi="仿宋" w:eastAsia="仿宋" w:cs="仿宋"/>
          <w:color w:val="auto"/>
          <w:szCs w:val="21"/>
          <w:highlight w:val="none"/>
        </w:rPr>
        <w:t>人民法院起诉。</w:t>
      </w:r>
      <w:bookmarkEnd w:id="1085"/>
      <w:bookmarkEnd w:id="1086"/>
      <w:bookmarkEnd w:id="1087"/>
      <w:bookmarkEnd w:id="1088"/>
      <w:bookmarkEnd w:id="1089"/>
      <w:bookmarkEnd w:id="1090"/>
    </w:p>
    <w:p w14:paraId="1BE000FF">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21．其他补充事项的约定</w:t>
      </w:r>
    </w:p>
    <w:p w14:paraId="78DF856A">
      <w:pPr>
        <w:pStyle w:val="46"/>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以下补充事项如与上述合同条款存在不一致的，则以本补充事项效力为高。</w:t>
      </w:r>
    </w:p>
    <w:p w14:paraId="14A4488D">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 xml:space="preserve">21.1承包人在投标文件中隐含与招标文件相违背的内容，并且影响了发包人的利益，评标专家在评标中没有发现，并不代表发包人认可此内容，未经发包人同意此内容无效，此内容对发包人无约束力，应当按招标文件执行。 </w:t>
      </w:r>
    </w:p>
    <w:p w14:paraId="482D9827">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21.2当结算审核时发现投标商务标所有子项合价有误、以及合价之累计金额与中标价不一致时，累计金额大于中标价的差额视同投标人的优惠，结算审核时对投标文件的错误按以下原则进行调整：</w:t>
      </w:r>
    </w:p>
    <w:p w14:paraId="75D5A0DC">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(1)如果数字表示的金额和用文字表示的金额不一致时，以文字表示的金额为准；</w:t>
      </w:r>
    </w:p>
    <w:p w14:paraId="3BD14749">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(2)当单价与数量的乘积与合价不一致时，以合价为准修改单价。</w:t>
      </w:r>
    </w:p>
    <w:p w14:paraId="1B13140B">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(3)合计累计金额与小计(合计)金额不一致的，以累计金额为准，并修改小计(合计)金额。</w:t>
      </w:r>
    </w:p>
    <w:p w14:paraId="31E7C9B3">
      <w:pPr>
        <w:adjustRightInd/>
        <w:spacing w:line="400" w:lineRule="exact"/>
        <w:ind w:firstLine="420" w:firstLineChars="200"/>
        <w:rPr>
          <w:rFonts w:hint="eastAsia" w:ascii="仿宋" w:hAnsi="仿宋" w:eastAsia="仿宋" w:cs="仿宋"/>
          <w:color w:val="auto"/>
          <w:szCs w:val="21"/>
          <w:highlight w:val="none"/>
          <w:u w:val="single"/>
          <w:lang w:eastAsia="zh-CN"/>
        </w:rPr>
      </w:pPr>
      <w:r>
        <w:rPr>
          <w:rFonts w:hint="eastAsia" w:ascii="仿宋" w:hAnsi="仿宋" w:eastAsia="仿宋" w:cs="仿宋"/>
          <w:color w:val="auto"/>
          <w:szCs w:val="21"/>
          <w:highlight w:val="none"/>
          <w:u w:val="single"/>
        </w:rPr>
        <w:t>21.3承包人应确保民工工资的及时支付，如不及时支付，发包人有权暂扣工程款直到承包人付清民工工资为止，并根据上级主管部门的相关规定进行处罚</w:t>
      </w:r>
      <w:r>
        <w:rPr>
          <w:rFonts w:hint="eastAsia" w:ascii="仿宋" w:hAnsi="仿宋" w:eastAsia="仿宋" w:cs="仿宋"/>
          <w:color w:val="auto"/>
          <w:szCs w:val="21"/>
          <w:highlight w:val="none"/>
          <w:u w:val="single"/>
          <w:lang w:eastAsia="zh-CN"/>
        </w:rPr>
        <w:t>。</w:t>
      </w:r>
    </w:p>
    <w:p w14:paraId="6CDF286C">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21.4承包人在本工程实施过程中不得以任何理由拒绝发包人要求的工程量的增加或减少及工作内容变更的指令。</w:t>
      </w:r>
    </w:p>
    <w:p w14:paraId="5871B5B1">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21.5合同双方确认，本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14:paraId="52404E3A">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21.6承包人在中标后不得随意提出材料品种和规格的变更，除非发包人</w:t>
      </w:r>
      <w:r>
        <w:rPr>
          <w:rFonts w:hint="eastAsia" w:ascii="仿宋" w:hAnsi="仿宋" w:eastAsia="仿宋" w:cs="仿宋"/>
          <w:color w:val="auto"/>
          <w:szCs w:val="21"/>
          <w:highlight w:val="none"/>
          <w:u w:val="single"/>
          <w:lang w:val="en-US" w:eastAsia="zh-Hans"/>
        </w:rPr>
        <w:t>书面</w:t>
      </w:r>
      <w:r>
        <w:rPr>
          <w:rFonts w:hint="eastAsia" w:ascii="仿宋" w:hAnsi="仿宋" w:eastAsia="仿宋" w:cs="仿宋"/>
          <w:color w:val="auto"/>
          <w:szCs w:val="21"/>
          <w:highlight w:val="none"/>
          <w:u w:val="single"/>
        </w:rPr>
        <w:t>同意，均不得以采购困难等理由延误工期，否则发包人可自行组织采购，视为甲供材料，费用从承包人工程款中扣除。</w:t>
      </w:r>
    </w:p>
    <w:p w14:paraId="1B70FDD7">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21.7工程结算若有新的文件规定，按新文件规定</w:t>
      </w:r>
    </w:p>
    <w:p w14:paraId="431633E3">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21.8本项目若需要土方外运，招标人已在招标控制价中列入预算价，投标人应结合项目实际合理报价，中标的施工企业须在合同签订后30天内向招标人提供渣土证</w:t>
      </w:r>
      <w:r>
        <w:rPr>
          <w:rFonts w:hint="default" w:ascii="仿宋" w:hAnsi="仿宋" w:eastAsia="仿宋" w:cs="仿宋"/>
          <w:color w:val="auto"/>
          <w:szCs w:val="21"/>
          <w:highlight w:val="none"/>
          <w:u w:val="single"/>
        </w:rPr>
        <w:t>，</w:t>
      </w:r>
      <w:r>
        <w:rPr>
          <w:rFonts w:hint="eastAsia" w:ascii="仿宋" w:hAnsi="仿宋" w:eastAsia="仿宋" w:cs="仿宋"/>
          <w:b w:val="0"/>
          <w:color w:val="auto"/>
          <w:sz w:val="21"/>
          <w:szCs w:val="21"/>
          <w:highlight w:val="none"/>
          <w:u w:val="single"/>
        </w:rPr>
        <w:t>若不办理，每发现一次处</w:t>
      </w:r>
      <w:r>
        <w:rPr>
          <w:rFonts w:hint="default" w:ascii="仿宋" w:hAnsi="仿宋" w:eastAsia="仿宋" w:cs="仿宋"/>
          <w:b w:val="0"/>
          <w:color w:val="auto"/>
          <w:sz w:val="21"/>
          <w:szCs w:val="21"/>
          <w:highlight w:val="none"/>
          <w:u w:val="single"/>
        </w:rPr>
        <w:t>【】</w:t>
      </w:r>
      <w:r>
        <w:rPr>
          <w:rFonts w:hint="eastAsia" w:ascii="仿宋" w:hAnsi="仿宋" w:eastAsia="仿宋" w:cs="仿宋"/>
          <w:b w:val="0"/>
          <w:color w:val="auto"/>
          <w:sz w:val="21"/>
          <w:szCs w:val="21"/>
          <w:highlight w:val="none"/>
          <w:u w:val="single"/>
        </w:rPr>
        <w:t>元违约金，并需立即整改到位。</w:t>
      </w:r>
      <w:r>
        <w:rPr>
          <w:rFonts w:hint="eastAsia" w:ascii="仿宋" w:hAnsi="仿宋" w:eastAsia="仿宋" w:cs="仿宋"/>
          <w:color w:val="auto"/>
          <w:szCs w:val="21"/>
          <w:highlight w:val="none"/>
          <w:u w:val="single"/>
        </w:rPr>
        <w:t>。</w:t>
      </w:r>
    </w:p>
    <w:p w14:paraId="134A5BC9">
      <w:pPr>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21.9招标文件</w:t>
      </w:r>
      <w:r>
        <w:rPr>
          <w:rFonts w:hint="eastAsia" w:ascii="仿宋" w:hAnsi="仿宋" w:eastAsia="仿宋" w:cs="仿宋"/>
          <w:color w:val="auto"/>
          <w:szCs w:val="21"/>
          <w:highlight w:val="none"/>
          <w:u w:val="single"/>
          <w:lang w:val="en-US" w:eastAsia="zh-Hans"/>
        </w:rPr>
        <w:t>第三部分采购需求中</w:t>
      </w:r>
      <w:r>
        <w:rPr>
          <w:rFonts w:hint="eastAsia" w:ascii="仿宋" w:hAnsi="仿宋" w:eastAsia="仿宋" w:cs="仿宋"/>
          <w:color w:val="auto"/>
          <w:szCs w:val="21"/>
          <w:highlight w:val="none"/>
          <w:u w:val="single"/>
        </w:rPr>
        <w:t>“</w:t>
      </w:r>
      <w:r>
        <w:rPr>
          <w:rFonts w:hint="eastAsia" w:ascii="仿宋" w:hAnsi="仿宋" w:eastAsia="仿宋" w:cs="仿宋"/>
          <w:color w:val="auto"/>
          <w:sz w:val="21"/>
          <w:szCs w:val="21"/>
          <w:highlight w:val="none"/>
          <w:u w:val="single"/>
          <w:lang w:val="en-US" w:eastAsia="zh-Hans"/>
        </w:rPr>
        <w:t>四</w:t>
      </w:r>
      <w:r>
        <w:rPr>
          <w:rFonts w:hint="default" w:ascii="仿宋" w:hAnsi="仿宋" w:eastAsia="仿宋" w:cs="仿宋"/>
          <w:color w:val="auto"/>
          <w:sz w:val="21"/>
          <w:szCs w:val="21"/>
          <w:highlight w:val="none"/>
          <w:u w:val="single"/>
          <w:lang w:eastAsia="zh-Hans"/>
        </w:rPr>
        <w:t>、</w:t>
      </w:r>
      <w:r>
        <w:rPr>
          <w:rFonts w:hint="eastAsia" w:ascii="仿宋" w:hAnsi="仿宋" w:eastAsia="仿宋" w:cs="仿宋"/>
          <w:color w:val="auto"/>
          <w:sz w:val="21"/>
          <w:szCs w:val="21"/>
          <w:highlight w:val="none"/>
          <w:u w:val="single"/>
          <w:lang w:val="en-US" w:eastAsia="zh-Hans"/>
        </w:rPr>
        <w:t>其他</w:t>
      </w:r>
      <w:r>
        <w:rPr>
          <w:rFonts w:hint="eastAsia" w:ascii="仿宋" w:hAnsi="仿宋" w:eastAsia="仿宋" w:cs="仿宋"/>
          <w:color w:val="auto"/>
          <w:szCs w:val="21"/>
          <w:highlight w:val="none"/>
          <w:u w:val="single"/>
        </w:rPr>
        <w:t>” 的相关内容作为合同的补充条款，承包人在合同执行过程中必须遵守执行。</w:t>
      </w:r>
    </w:p>
    <w:p w14:paraId="1CCCDAF5">
      <w:pPr>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21.10因发包人代付水电费产生的税率差额</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由承包人承担。</w:t>
      </w:r>
    </w:p>
    <w:p w14:paraId="2DE92F1D">
      <w:pPr>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21.11承包人已充分了解现场地理人文条件，合理处理与周边村民的关系，若在施工工程中出现有周边村民阻扰施工等现象，承包人必须自行妥善处理，且不得影响工期，所产生的协调费用由承包人承担。</w:t>
      </w:r>
    </w:p>
    <w:p w14:paraId="61312723">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21.12如有移交要求，工程款支付至合同范围内实际完成工程量的</w:t>
      </w:r>
      <w:r>
        <w:rPr>
          <w:rFonts w:hint="eastAsia" w:ascii="仿宋" w:hAnsi="仿宋" w:eastAsia="仿宋" w:cs="仿宋"/>
          <w:color w:val="auto"/>
          <w:szCs w:val="21"/>
          <w:highlight w:val="none"/>
          <w:u w:val="single"/>
          <w:lang w:val="en-US" w:eastAsia="zh-CN"/>
        </w:rPr>
        <w:t>7</w:t>
      </w:r>
      <w:r>
        <w:rPr>
          <w:rFonts w:hint="eastAsia" w:ascii="仿宋" w:hAnsi="仿宋" w:eastAsia="仿宋" w:cs="仿宋"/>
          <w:color w:val="auto"/>
          <w:szCs w:val="21"/>
          <w:highlight w:val="none"/>
          <w:u w:val="single"/>
        </w:rPr>
        <w:t>0%。</w:t>
      </w:r>
    </w:p>
    <w:p w14:paraId="26FE6AFA">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21.13.施工企业副总及以上职位人员每月不少于一次参加工地例会、每月不少于 一次带班检查工地。若发现不到会议、未带班检查情况，每次处以施工合同价的0.1%作为违约金（每人次上限5万元）。</w:t>
      </w:r>
    </w:p>
    <w:p w14:paraId="46D2314C">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21.14</w:t>
      </w:r>
      <w:r>
        <w:rPr>
          <w:rFonts w:hint="eastAsia" w:ascii="仿宋" w:hAnsi="仿宋" w:eastAsia="仿宋" w:cs="仿宋"/>
          <w:color w:val="auto"/>
          <w:szCs w:val="21"/>
          <w:highlight w:val="none"/>
          <w:u w:val="single"/>
          <w:lang w:val="en-US" w:eastAsia="zh-Hans"/>
        </w:rPr>
        <w:t>.</w:t>
      </w:r>
      <w:r>
        <w:rPr>
          <w:rFonts w:hint="eastAsia" w:ascii="仿宋" w:hAnsi="仿宋" w:eastAsia="仿宋" w:cs="仿宋"/>
          <w:color w:val="auto"/>
          <w:szCs w:val="21"/>
          <w:highlight w:val="none"/>
          <w:u w:val="single"/>
        </w:rPr>
        <w:t>本合同所涉及到的包括但不仅限于安全、质量、进度、人员等由于承包人原因受到发包人处罚的，同时上报上级主管部门,包括但不仅限于处以信用等级相关处罚。</w:t>
      </w:r>
    </w:p>
    <w:p w14:paraId="1AFE8461">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21.1</w:t>
      </w:r>
      <w:r>
        <w:rPr>
          <w:rFonts w:hint="default" w:ascii="仿宋" w:hAnsi="仿宋" w:eastAsia="仿宋" w:cs="仿宋"/>
          <w:color w:val="auto"/>
          <w:szCs w:val="21"/>
          <w:highlight w:val="none"/>
          <w:u w:val="single"/>
        </w:rPr>
        <w:t>5</w:t>
      </w:r>
      <w:r>
        <w:rPr>
          <w:rFonts w:hint="eastAsia" w:ascii="仿宋" w:hAnsi="仿宋" w:eastAsia="仿宋" w:cs="仿宋"/>
          <w:color w:val="auto"/>
          <w:szCs w:val="21"/>
          <w:highlight w:val="none"/>
          <w:u w:val="single"/>
        </w:rPr>
        <w:t>.项目施工机构应对进场用于工程材料、设备、构配件审查报验，并按照规定对用于工程的材料进行复试检验。若发现已使用未检验或经检验不合格已使用或经检验不合格未限期退场的工程材料、设备、构配件（含不限于材料设备尺寸、品牌、型号、外观、含量等），以及现场未按施工图 施工等情况，视作施工机构不履职违约，每次每项处以施工合同价的0.5%作为违约金（每次每项上限30万元）。</w:t>
      </w:r>
    </w:p>
    <w:p w14:paraId="1AA66755">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21.1</w:t>
      </w:r>
      <w:r>
        <w:rPr>
          <w:rFonts w:hint="default" w:ascii="仿宋" w:hAnsi="仿宋" w:eastAsia="仿宋" w:cs="仿宋"/>
          <w:color w:val="auto"/>
          <w:szCs w:val="21"/>
          <w:highlight w:val="none"/>
          <w:u w:val="single"/>
        </w:rPr>
        <w:t>6</w:t>
      </w:r>
      <w:r>
        <w:rPr>
          <w:rFonts w:hint="eastAsia" w:ascii="仿宋" w:hAnsi="仿宋" w:eastAsia="仿宋" w:cs="仿宋"/>
          <w:color w:val="auto"/>
          <w:szCs w:val="21"/>
          <w:highlight w:val="none"/>
          <w:u w:val="single"/>
          <w:lang w:val="en-US" w:eastAsia="zh-Hans"/>
        </w:rPr>
        <w:t>.</w:t>
      </w:r>
      <w:r>
        <w:rPr>
          <w:rFonts w:hint="eastAsia" w:ascii="仿宋" w:hAnsi="仿宋" w:eastAsia="仿宋" w:cs="仿宋"/>
          <w:color w:val="auto"/>
          <w:szCs w:val="21"/>
          <w:highlight w:val="none"/>
          <w:u w:val="single"/>
        </w:rPr>
        <w:t>项目若发生质量、安全事故视作施工机构不履职违约情况，若发生一般（有伤亡）、一般以上事故，每起处以施工合同价的2%作为违约金（每起上限50万元）；发生一般（未伤亡）事故，每起处以施工合同价的0.5%作为违约金（每起上限50万元）。</w:t>
      </w:r>
      <w:r>
        <w:rPr>
          <w:rFonts w:hint="eastAsia" w:ascii="仿宋" w:hAnsi="仿宋" w:eastAsia="仿宋" w:cs="仿宋"/>
          <w:color w:val="auto"/>
          <w:szCs w:val="21"/>
          <w:highlight w:val="none"/>
          <w:u w:val="single"/>
          <w:lang w:val="en-US" w:eastAsia="zh-CN"/>
        </w:rPr>
        <w:t>且承包人应当对由此产生的纠纷和全部损失负责。</w:t>
      </w:r>
    </w:p>
    <w:p w14:paraId="6EB06EE9">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21.1</w:t>
      </w:r>
      <w:r>
        <w:rPr>
          <w:rFonts w:hint="default" w:ascii="仿宋" w:hAnsi="仿宋" w:eastAsia="仿宋" w:cs="仿宋"/>
          <w:color w:val="auto"/>
          <w:szCs w:val="21"/>
          <w:highlight w:val="none"/>
          <w:u w:val="single"/>
        </w:rPr>
        <w:t>7</w:t>
      </w:r>
      <w:r>
        <w:rPr>
          <w:rFonts w:hint="eastAsia" w:ascii="仿宋" w:hAnsi="仿宋" w:eastAsia="仿宋" w:cs="仿宋"/>
          <w:color w:val="auto"/>
          <w:szCs w:val="21"/>
          <w:highlight w:val="none"/>
          <w:u w:val="single"/>
          <w:lang w:val="en-US" w:eastAsia="zh-Hans"/>
        </w:rPr>
        <w:t>.</w:t>
      </w:r>
      <w:r>
        <w:rPr>
          <w:rFonts w:hint="eastAsia" w:ascii="仿宋" w:hAnsi="仿宋" w:eastAsia="仿宋" w:cs="仿宋"/>
          <w:color w:val="auto"/>
          <w:szCs w:val="21"/>
          <w:highlight w:val="none"/>
          <w:u w:val="single"/>
        </w:rPr>
        <w:t>项目若因质量、安全、环境隐患问题发生媒体曝光、政府部门通报、政府部门约谈、3人及以上群体信访、造成社会影响事件情况，视作施工机构不履职违约，每起处以施工合同价的0.05%作为违约金（每次每项上限5万元）。</w:t>
      </w:r>
    </w:p>
    <w:p w14:paraId="1321DD87">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21.1</w:t>
      </w:r>
      <w:r>
        <w:rPr>
          <w:rFonts w:hint="default" w:ascii="仿宋" w:hAnsi="仿宋" w:eastAsia="仿宋" w:cs="仿宋"/>
          <w:color w:val="auto"/>
          <w:szCs w:val="21"/>
          <w:highlight w:val="none"/>
          <w:u w:val="single"/>
        </w:rPr>
        <w:t>8</w:t>
      </w:r>
      <w:r>
        <w:rPr>
          <w:rFonts w:hint="eastAsia" w:ascii="仿宋" w:hAnsi="仿宋" w:eastAsia="仿宋" w:cs="仿宋"/>
          <w:color w:val="auto"/>
          <w:szCs w:val="21"/>
          <w:highlight w:val="none"/>
          <w:u w:val="single"/>
          <w:lang w:val="en-US" w:eastAsia="zh-Hans"/>
        </w:rPr>
        <w:t>.</w:t>
      </w:r>
      <w:r>
        <w:rPr>
          <w:rFonts w:hint="eastAsia" w:ascii="仿宋" w:hAnsi="仿宋" w:eastAsia="仿宋" w:cs="仿宋"/>
          <w:color w:val="auto"/>
          <w:szCs w:val="21"/>
          <w:highlight w:val="none"/>
          <w:u w:val="single"/>
        </w:rPr>
        <w:t>由施工单位原因导致实际进度滞后于要求计划进度时，造成工期延误情况，视作施工机构不履职违约，工期每拖延一天</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处以违约金为签约合同价的万分之二,</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延期超过一个月的，工期每拖延一天处以违约金为签约合同价的万分之四。如逾期竣工违约金达到签约合同价格的百分之二，则发包人有权要求承包人无条件退场，并承担由此产生的各方一切损失</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w:t>
      </w:r>
    </w:p>
    <w:p w14:paraId="296E6282">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w:t>
      </w:r>
      <w:r>
        <w:rPr>
          <w:rFonts w:hint="default" w:ascii="仿宋" w:hAnsi="仿宋" w:eastAsia="仿宋" w:cs="仿宋"/>
          <w:color w:val="auto"/>
          <w:szCs w:val="21"/>
          <w:highlight w:val="none"/>
          <w:u w:val="single"/>
        </w:rPr>
        <w:t>19</w:t>
      </w:r>
      <w:r>
        <w:rPr>
          <w:rFonts w:hint="eastAsia" w:ascii="仿宋" w:hAnsi="仿宋" w:eastAsia="仿宋" w:cs="仿宋"/>
          <w:color w:val="auto"/>
          <w:szCs w:val="21"/>
          <w:highlight w:val="none"/>
          <w:u w:val="single"/>
          <w:lang w:val="en-US" w:eastAsia="zh-Hans"/>
        </w:rPr>
        <w:t>.</w:t>
      </w:r>
      <w:r>
        <w:rPr>
          <w:rFonts w:hint="eastAsia" w:ascii="仿宋" w:hAnsi="仿宋" w:eastAsia="仿宋" w:cs="仿宋"/>
          <w:color w:val="auto"/>
          <w:szCs w:val="21"/>
          <w:highlight w:val="none"/>
          <w:u w:val="single"/>
        </w:rPr>
        <w:t>如中标单位发生在中标项目发生欠薪（包括分包欠薪）行为造成不良影响的，将上报上级主管部门纳入钱塘区黑名单。</w:t>
      </w:r>
    </w:p>
    <w:p w14:paraId="41420130">
      <w:pPr>
        <w:adjustRightInd/>
        <w:spacing w:line="400" w:lineRule="exact"/>
        <w:ind w:firstLine="420" w:firstLineChars="200"/>
        <w:rPr>
          <w:rFonts w:hint="default" w:ascii="仿宋" w:hAnsi="仿宋" w:eastAsia="仿宋" w:cs="仿宋"/>
          <w:color w:val="auto"/>
          <w:szCs w:val="21"/>
          <w:highlight w:val="none"/>
          <w:u w:val="single"/>
          <w:lang w:eastAsia="zh-Hans"/>
        </w:rPr>
      </w:pPr>
      <w:r>
        <w:rPr>
          <w:rFonts w:hint="eastAsia" w:ascii="仿宋" w:hAnsi="仿宋" w:eastAsia="仿宋" w:cs="仿宋"/>
          <w:color w:val="auto"/>
          <w:szCs w:val="21"/>
          <w:highlight w:val="none"/>
          <w:u w:val="single"/>
        </w:rPr>
        <w:t>21.2</w:t>
      </w:r>
      <w:r>
        <w:rPr>
          <w:rFonts w:hint="default" w:ascii="仿宋" w:hAnsi="仿宋" w:eastAsia="仿宋" w:cs="仿宋"/>
          <w:color w:val="auto"/>
          <w:szCs w:val="21"/>
          <w:highlight w:val="none"/>
          <w:u w:val="single"/>
        </w:rPr>
        <w:t>0</w:t>
      </w:r>
      <w:r>
        <w:rPr>
          <w:rFonts w:hint="eastAsia" w:ascii="仿宋" w:hAnsi="仿宋" w:eastAsia="仿宋" w:cs="仿宋"/>
          <w:color w:val="auto"/>
          <w:szCs w:val="21"/>
          <w:highlight w:val="none"/>
          <w:u w:val="single"/>
          <w:lang w:val="en-US" w:eastAsia="zh-Hans"/>
        </w:rPr>
        <w:t>.</w:t>
      </w:r>
      <w:r>
        <w:rPr>
          <w:rFonts w:hint="eastAsia" w:ascii="仿宋" w:hAnsi="仿宋" w:eastAsia="仿宋" w:cs="仿宋"/>
          <w:color w:val="auto"/>
          <w:szCs w:val="21"/>
          <w:highlight w:val="none"/>
          <w:u w:val="single"/>
        </w:rPr>
        <w:t>本合同所涉及到的违约金等</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需在当期工程费支付前由承包人基本户缴纳。</w:t>
      </w:r>
      <w:r>
        <w:rPr>
          <w:rFonts w:hint="eastAsia" w:ascii="仿宋" w:hAnsi="仿宋" w:eastAsia="仿宋" w:cs="仿宋"/>
          <w:color w:val="auto"/>
          <w:szCs w:val="21"/>
          <w:highlight w:val="none"/>
          <w:u w:val="single"/>
          <w:lang w:val="en-US" w:eastAsia="zh-Hans"/>
        </w:rPr>
        <w:t>承包人逾期不缴纳或拒绝缴纳的</w:t>
      </w:r>
      <w:r>
        <w:rPr>
          <w:rFonts w:hint="default" w:ascii="仿宋" w:hAnsi="仿宋" w:eastAsia="仿宋" w:cs="仿宋"/>
          <w:color w:val="auto"/>
          <w:szCs w:val="21"/>
          <w:highlight w:val="none"/>
          <w:u w:val="single"/>
          <w:lang w:eastAsia="zh-Hans"/>
        </w:rPr>
        <w:t>，</w:t>
      </w:r>
      <w:r>
        <w:rPr>
          <w:rFonts w:hint="eastAsia" w:ascii="仿宋" w:hAnsi="仿宋" w:eastAsia="仿宋" w:cs="仿宋"/>
          <w:color w:val="auto"/>
          <w:szCs w:val="21"/>
          <w:highlight w:val="none"/>
          <w:u w:val="single"/>
          <w:lang w:val="en-US" w:eastAsia="zh-Hans"/>
        </w:rPr>
        <w:t>发包人有权直接从当期工程费中扣除</w:t>
      </w:r>
      <w:r>
        <w:rPr>
          <w:rFonts w:hint="default" w:ascii="仿宋" w:hAnsi="仿宋" w:eastAsia="仿宋" w:cs="仿宋"/>
          <w:color w:val="auto"/>
          <w:szCs w:val="21"/>
          <w:highlight w:val="none"/>
          <w:u w:val="single"/>
          <w:lang w:eastAsia="zh-Hans"/>
        </w:rPr>
        <w:t>。</w:t>
      </w:r>
    </w:p>
    <w:p w14:paraId="5CCDA271">
      <w:pPr>
        <w:adjustRightInd/>
        <w:spacing w:line="400" w:lineRule="exact"/>
        <w:ind w:firstLine="420" w:firstLineChars="200"/>
        <w:rPr>
          <w:rFonts w:hint="eastAsia" w:ascii="仿宋" w:hAnsi="仿宋" w:eastAsia="仿宋" w:cs="仿宋"/>
          <w:color w:val="auto"/>
          <w:sz w:val="21"/>
          <w:szCs w:val="21"/>
          <w:highlight w:val="none"/>
          <w:u w:val="single"/>
          <w:lang w:val="en-US" w:eastAsia="zh-CN"/>
        </w:rPr>
      </w:pPr>
      <w:r>
        <w:rPr>
          <w:rFonts w:hint="eastAsia" w:ascii="仿宋" w:hAnsi="仿宋" w:eastAsia="仿宋" w:cs="仿宋"/>
          <w:color w:val="auto"/>
          <w:szCs w:val="21"/>
          <w:highlight w:val="none"/>
          <w:u w:val="single"/>
          <w:lang w:val="en-US" w:eastAsia="zh-CN"/>
        </w:rPr>
        <w:t>21.21</w:t>
      </w:r>
      <w:r>
        <w:rPr>
          <w:rFonts w:hint="eastAsia" w:ascii="仿宋" w:hAnsi="仿宋" w:eastAsia="仿宋" w:cs="仿宋"/>
          <w:color w:val="auto"/>
          <w:sz w:val="21"/>
          <w:szCs w:val="21"/>
          <w:highlight w:val="none"/>
          <w:u w:val="single"/>
          <w:lang w:val="en-US" w:eastAsia="zh-CN"/>
        </w:rPr>
        <w:t>在维护期内若出现防涂鸦抗粘贴涂层浮起掉落的现象，</w:t>
      </w:r>
      <w:r>
        <w:rPr>
          <w:rFonts w:hint="eastAsia" w:ascii="仿宋" w:hAnsi="仿宋" w:eastAsia="仿宋" w:cs="仿宋"/>
          <w:color w:val="auto"/>
          <w:sz w:val="21"/>
          <w:szCs w:val="21"/>
          <w:highlight w:val="none"/>
          <w:u w:val="single"/>
          <w:lang w:val="en-US" w:eastAsia="zh-Hans"/>
        </w:rPr>
        <w:t>承包人应</w:t>
      </w:r>
      <w:r>
        <w:rPr>
          <w:rFonts w:hint="eastAsia" w:ascii="仿宋" w:hAnsi="仿宋" w:eastAsia="仿宋" w:cs="仿宋"/>
          <w:color w:val="auto"/>
          <w:sz w:val="21"/>
          <w:szCs w:val="21"/>
          <w:highlight w:val="none"/>
          <w:u w:val="single"/>
          <w:lang w:val="en-US" w:eastAsia="zh-CN"/>
        </w:rPr>
        <w:t>无条件重新整改，直至</w:t>
      </w:r>
      <w:r>
        <w:rPr>
          <w:rFonts w:hint="eastAsia" w:ascii="仿宋" w:hAnsi="仿宋" w:eastAsia="仿宋" w:cs="仿宋"/>
          <w:color w:val="auto"/>
          <w:sz w:val="21"/>
          <w:szCs w:val="21"/>
          <w:highlight w:val="none"/>
          <w:u w:val="single"/>
          <w:lang w:val="en-US" w:eastAsia="zh-Hans"/>
        </w:rPr>
        <w:t>发包人</w:t>
      </w:r>
      <w:r>
        <w:rPr>
          <w:rFonts w:hint="eastAsia" w:ascii="仿宋" w:hAnsi="仿宋" w:eastAsia="仿宋" w:cs="仿宋"/>
          <w:color w:val="auto"/>
          <w:sz w:val="21"/>
          <w:szCs w:val="21"/>
          <w:highlight w:val="none"/>
          <w:u w:val="single"/>
          <w:lang w:val="en-US" w:eastAsia="zh-CN"/>
        </w:rPr>
        <w:t>满意为止。</w:t>
      </w:r>
    </w:p>
    <w:p w14:paraId="4D03C571">
      <w:pPr>
        <w:spacing w:line="360" w:lineRule="auto"/>
        <w:ind w:firstLine="420" w:firstLineChars="200"/>
        <w:rPr>
          <w:rFonts w:hint="default" w:eastAsia="仿宋"/>
          <w:color w:val="auto"/>
          <w:highlight w:val="none"/>
          <w:lang w:eastAsia="zh-Hans"/>
        </w:rPr>
      </w:pPr>
      <w:r>
        <w:rPr>
          <w:rFonts w:hint="default" w:ascii="仿宋" w:hAnsi="仿宋" w:eastAsia="仿宋" w:cs="仿宋"/>
          <w:color w:val="auto"/>
          <w:sz w:val="21"/>
          <w:szCs w:val="21"/>
          <w:highlight w:val="none"/>
          <w:u w:val="single"/>
          <w:lang w:eastAsia="zh-CN"/>
        </w:rPr>
        <w:t>21</w:t>
      </w:r>
      <w:r>
        <w:rPr>
          <w:rFonts w:hint="eastAsia" w:ascii="仿宋" w:hAnsi="仿宋" w:eastAsia="仿宋" w:cs="仿宋"/>
          <w:color w:val="auto"/>
          <w:sz w:val="21"/>
          <w:szCs w:val="21"/>
          <w:highlight w:val="none"/>
          <w:u w:val="single"/>
          <w:lang w:val="en-US" w:eastAsia="zh-Hans"/>
        </w:rPr>
        <w:t>.</w:t>
      </w:r>
      <w:r>
        <w:rPr>
          <w:rFonts w:hint="default" w:ascii="仿宋" w:hAnsi="仿宋" w:eastAsia="仿宋" w:cs="仿宋"/>
          <w:color w:val="auto"/>
          <w:sz w:val="21"/>
          <w:szCs w:val="21"/>
          <w:highlight w:val="none"/>
          <w:u w:val="single"/>
          <w:lang w:eastAsia="zh-Hans"/>
        </w:rPr>
        <w:t>2</w:t>
      </w:r>
      <w:r>
        <w:rPr>
          <w:rFonts w:hint="eastAsia" w:ascii="仿宋" w:hAnsi="仿宋" w:eastAsia="仿宋" w:cs="仿宋"/>
          <w:color w:val="auto"/>
          <w:sz w:val="21"/>
          <w:szCs w:val="21"/>
          <w:highlight w:val="none"/>
          <w:u w:val="single"/>
          <w:lang w:val="en-US" w:eastAsia="zh-CN"/>
        </w:rPr>
        <w:t>2</w:t>
      </w:r>
      <w:r>
        <w:rPr>
          <w:rFonts w:hint="eastAsia" w:ascii="仿宋" w:hAnsi="仿宋" w:eastAsia="仿宋" w:cs="仿宋"/>
          <w:color w:val="auto"/>
          <w:sz w:val="21"/>
          <w:szCs w:val="21"/>
          <w:highlight w:val="none"/>
          <w:u w:val="single"/>
        </w:rPr>
        <w:t>本合同签订后一个月内，发包人、</w:t>
      </w:r>
      <w:r>
        <w:rPr>
          <w:rFonts w:hint="eastAsia" w:ascii="仿宋" w:hAnsi="仿宋" w:eastAsia="仿宋" w:cs="仿宋"/>
          <w:color w:val="auto"/>
          <w:sz w:val="21"/>
          <w:szCs w:val="21"/>
          <w:highlight w:val="none"/>
          <w:u w:val="single"/>
          <w:lang w:val="en-US" w:eastAsia="zh-Hans"/>
        </w:rPr>
        <w:t>承包人</w:t>
      </w:r>
      <w:r>
        <w:rPr>
          <w:rFonts w:hint="eastAsia" w:ascii="仿宋" w:hAnsi="仿宋" w:eastAsia="仿宋" w:cs="仿宋"/>
          <w:color w:val="auto"/>
          <w:sz w:val="21"/>
          <w:szCs w:val="21"/>
          <w:highlight w:val="none"/>
          <w:u w:val="single"/>
        </w:rPr>
        <w:t>及劳务分包单位三方需签订《建设项目工资款和其他工程款分账管理协议》</w:t>
      </w:r>
      <w:r>
        <w:rPr>
          <w:rFonts w:hint="default" w:ascii="仿宋" w:hAnsi="仿宋" w:eastAsia="仿宋" w:cs="仿宋"/>
          <w:color w:val="auto"/>
          <w:sz w:val="21"/>
          <w:szCs w:val="21"/>
          <w:highlight w:val="none"/>
          <w:u w:val="single"/>
        </w:rPr>
        <w:t>。</w:t>
      </w:r>
    </w:p>
    <w:p w14:paraId="4CA35ADC">
      <w:pPr>
        <w:adjustRightInd/>
        <w:ind w:firstLine="371" w:firstLineChars="177"/>
        <w:jc w:val="left"/>
        <w:rPr>
          <w:rFonts w:hint="eastAsia" w:ascii="仿宋" w:hAnsi="仿宋" w:eastAsia="仿宋" w:cs="仿宋"/>
          <w:snapToGrid w:val="0"/>
          <w:color w:val="auto"/>
          <w:kern w:val="0"/>
          <w:szCs w:val="21"/>
          <w:highlight w:val="none"/>
        </w:rPr>
      </w:pPr>
    </w:p>
    <w:p w14:paraId="5EF73DA8">
      <w:pPr>
        <w:spacing w:before="162" w:line="440" w:lineRule="exact"/>
        <w:ind w:firstLine="480"/>
        <w:rPr>
          <w:rFonts w:hint="eastAsia" w:ascii="仿宋" w:hAnsi="仿宋" w:eastAsia="仿宋" w:cs="仿宋"/>
          <w:b/>
          <w:bCs/>
          <w:color w:val="auto"/>
          <w:sz w:val="24"/>
          <w:highlight w:val="none"/>
        </w:rPr>
      </w:pPr>
      <w:r>
        <w:rPr>
          <w:rFonts w:hint="eastAsia" w:ascii="仿宋" w:hAnsi="仿宋" w:eastAsia="仿宋" w:cs="仿宋"/>
          <w:color w:val="auto"/>
          <w:sz w:val="24"/>
          <w:highlight w:val="none"/>
          <w:u w:val="single"/>
        </w:rPr>
        <w:br w:type="page"/>
      </w:r>
      <w:r>
        <w:rPr>
          <w:rFonts w:hint="eastAsia" w:ascii="仿宋" w:hAnsi="仿宋" w:eastAsia="仿宋" w:cs="仿宋"/>
          <w:b/>
          <w:bCs/>
          <w:color w:val="auto"/>
          <w:sz w:val="24"/>
          <w:highlight w:val="none"/>
        </w:rPr>
        <w:t>附件1:</w:t>
      </w:r>
    </w:p>
    <w:p w14:paraId="066D26EE">
      <w:pPr>
        <w:adjustRightInd/>
        <w:spacing w:before="120" w:beforeLines="50" w:after="120" w:afterLines="50" w:line="288" w:lineRule="auto"/>
        <w:jc w:val="center"/>
        <w:rPr>
          <w:rFonts w:hint="eastAsia" w:ascii="仿宋" w:hAnsi="仿宋" w:eastAsia="仿宋" w:cs="仿宋"/>
          <w:snapToGrid w:val="0"/>
          <w:color w:val="auto"/>
          <w:kern w:val="0"/>
          <w:sz w:val="22"/>
          <w:szCs w:val="22"/>
          <w:highlight w:val="none"/>
        </w:rPr>
      </w:pPr>
      <w:r>
        <w:rPr>
          <w:rFonts w:hint="eastAsia" w:ascii="仿宋" w:hAnsi="仿宋" w:eastAsia="仿宋" w:cs="仿宋"/>
          <w:snapToGrid w:val="0"/>
          <w:color w:val="auto"/>
          <w:kern w:val="0"/>
          <w:sz w:val="22"/>
          <w:szCs w:val="22"/>
          <w:highlight w:val="none"/>
        </w:rPr>
        <w:t>工程质量保修书</w:t>
      </w:r>
    </w:p>
    <w:p w14:paraId="01B0AC4C">
      <w:pPr>
        <w:adjustRightInd/>
        <w:spacing w:line="288" w:lineRule="auto"/>
        <w:ind w:firstLine="420" w:firstLineChars="200"/>
        <w:rPr>
          <w:rFonts w:hint="eastAsia" w:ascii="仿宋" w:hAnsi="仿宋" w:eastAsia="仿宋" w:cs="仿宋"/>
          <w:snapToGrid w:val="0"/>
          <w:color w:val="auto"/>
          <w:kern w:val="0"/>
          <w:szCs w:val="21"/>
          <w:highlight w:val="none"/>
          <w:lang w:eastAsia="zh-CN"/>
        </w:rPr>
      </w:pPr>
      <w:r>
        <w:rPr>
          <w:rFonts w:hint="eastAsia" w:ascii="仿宋" w:hAnsi="仿宋" w:eastAsia="仿宋" w:cs="仿宋"/>
          <w:snapToGrid w:val="0"/>
          <w:color w:val="auto"/>
          <w:kern w:val="0"/>
          <w:szCs w:val="21"/>
          <w:highlight w:val="none"/>
        </w:rPr>
        <w:t>发包人（全称）：</w:t>
      </w:r>
      <w:r>
        <w:rPr>
          <w:rFonts w:hint="eastAsia" w:ascii="仿宋" w:hAnsi="仿宋" w:eastAsia="仿宋" w:cs="仿宋"/>
          <w:color w:val="auto"/>
          <w:szCs w:val="21"/>
          <w:highlight w:val="none"/>
          <w:u w:val="single"/>
          <w:lang w:eastAsia="zh-CN"/>
        </w:rPr>
        <w:t>杭州市钱塘区金沙湖实验学校</w:t>
      </w:r>
    </w:p>
    <w:p w14:paraId="5CC9F3CE">
      <w:pPr>
        <w:adjustRightInd/>
        <w:spacing w:line="288"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　　承包人（全称）：</w:t>
      </w:r>
      <w:bookmarkStart w:id="1169" w:name="SOA_zyht_zlbxcbr"/>
      <w:bookmarkEnd w:id="1169"/>
    </w:p>
    <w:p w14:paraId="632A3026">
      <w:pPr>
        <w:adjustRightInd/>
        <w:spacing w:line="288"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　　发包人和承包人根据《中华人民共和国建筑法》和《建设工程质量管理条例》，经协商一致就</w:t>
      </w:r>
      <w:bookmarkStart w:id="1170" w:name="SOA_zyht_gcqc"/>
      <w:bookmarkEnd w:id="1170"/>
      <w:r>
        <w:rPr>
          <w:rFonts w:hint="eastAsia" w:ascii="仿宋" w:hAnsi="仿宋" w:eastAsia="仿宋" w:cs="仿宋"/>
          <w:snapToGrid w:val="0"/>
          <w:color w:val="auto"/>
          <w:kern w:val="0"/>
          <w:szCs w:val="21"/>
          <w:highlight w:val="none"/>
        </w:rPr>
        <w:t>（</w:t>
      </w:r>
      <w:r>
        <w:rPr>
          <w:rFonts w:hint="eastAsia" w:ascii="仿宋" w:hAnsi="仿宋" w:eastAsia="仿宋" w:cs="仿宋"/>
          <w:snapToGrid w:val="0"/>
          <w:color w:val="auto"/>
          <w:kern w:val="0"/>
          <w:szCs w:val="21"/>
          <w:highlight w:val="none"/>
          <w:u w:val="single"/>
          <w:lang w:eastAsia="zh-CN"/>
        </w:rPr>
        <w:t>杭州市钱塘区金沙湖实验学校2025年足球场改造工程</w:t>
      </w:r>
      <w:r>
        <w:rPr>
          <w:rFonts w:hint="eastAsia" w:ascii="仿宋" w:hAnsi="仿宋" w:eastAsia="仿宋" w:cs="仿宋"/>
          <w:snapToGrid w:val="0"/>
          <w:color w:val="auto"/>
          <w:kern w:val="0"/>
          <w:szCs w:val="21"/>
          <w:highlight w:val="none"/>
        </w:rPr>
        <w:t>）签订工程质量保修书。</w:t>
      </w:r>
    </w:p>
    <w:p w14:paraId="022CC0CA">
      <w:pPr>
        <w:adjustRightInd/>
        <w:spacing w:line="288"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一、工程质量保修范围和内容</w:t>
      </w:r>
    </w:p>
    <w:p w14:paraId="62B560CE">
      <w:pPr>
        <w:adjustRightInd/>
        <w:spacing w:line="288"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　　承包人在质量保修期内，按照有关法律规定和合同约定，承担工程质量保修责任。</w:t>
      </w:r>
    </w:p>
    <w:p w14:paraId="54374028">
      <w:pPr>
        <w:adjustRightInd/>
        <w:spacing w:line="288"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7F7AB96D">
      <w:pPr>
        <w:adjustRightInd/>
        <w:spacing w:line="288" w:lineRule="auto"/>
        <w:ind w:firstLine="420" w:firstLineChars="200"/>
        <w:rPr>
          <w:rFonts w:hint="eastAsia" w:ascii="仿宋" w:hAnsi="仿宋" w:eastAsia="仿宋" w:cs="仿宋"/>
          <w:snapToGrid w:val="0"/>
          <w:color w:val="auto"/>
          <w:kern w:val="0"/>
          <w:szCs w:val="21"/>
          <w:highlight w:val="none"/>
        </w:rPr>
      </w:pPr>
      <w:bookmarkStart w:id="1171" w:name="SOA_zyht_gczlbxfw"/>
      <w:r>
        <w:rPr>
          <w:rFonts w:hint="eastAsia" w:ascii="仿宋" w:hAnsi="仿宋" w:eastAsia="仿宋" w:cs="仿宋"/>
          <w:snapToGrid w:val="0"/>
          <w:color w:val="auto"/>
          <w:kern w:val="0"/>
          <w:szCs w:val="21"/>
          <w:highlight w:val="none"/>
          <w:u w:val="single"/>
        </w:rPr>
        <w:t>双方约定对施工承包范围内的所有内容实行保修</w:t>
      </w:r>
      <w:bookmarkEnd w:id="1171"/>
      <w:r>
        <w:rPr>
          <w:rFonts w:hint="eastAsia" w:ascii="仿宋" w:hAnsi="仿宋" w:eastAsia="仿宋" w:cs="仿宋"/>
          <w:snapToGrid w:val="0"/>
          <w:color w:val="auto"/>
          <w:kern w:val="0"/>
          <w:szCs w:val="21"/>
          <w:highlight w:val="none"/>
        </w:rPr>
        <w:t>。</w:t>
      </w:r>
    </w:p>
    <w:p w14:paraId="36FF523E">
      <w:pPr>
        <w:adjustRightInd/>
        <w:spacing w:line="288"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二、质量保修期</w:t>
      </w:r>
    </w:p>
    <w:p w14:paraId="1341EF5F">
      <w:pPr>
        <w:adjustRightInd/>
        <w:spacing w:line="288" w:lineRule="auto"/>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根据《建设工程质量管理条例》及有关规定，工程的质量保修期如下：</w:t>
      </w:r>
    </w:p>
    <w:p w14:paraId="4E32C05E">
      <w:pPr>
        <w:adjustRightInd/>
        <w:spacing w:line="288" w:lineRule="auto"/>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1．地基基础工程和主体结构工程为设计文件规定的工程合理使用年限；</w:t>
      </w:r>
    </w:p>
    <w:p w14:paraId="6917D81D">
      <w:pPr>
        <w:adjustRightInd/>
        <w:spacing w:line="288" w:lineRule="auto"/>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2．屋面防水工程、有防水要求的卫生间、房间和外墙面的防渗为</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u w:val="single"/>
          <w:lang w:val="en-US" w:eastAsia="zh-CN"/>
        </w:rPr>
        <w:t xml:space="preserve">/ </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rPr>
        <w:t>年；</w:t>
      </w:r>
    </w:p>
    <w:p w14:paraId="2A4F4C48">
      <w:pPr>
        <w:adjustRightInd/>
        <w:spacing w:line="288" w:lineRule="auto"/>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3．装修工程为</w:t>
      </w:r>
      <w:r>
        <w:rPr>
          <w:rFonts w:hint="eastAsia" w:ascii="仿宋" w:hAnsi="仿宋" w:eastAsia="仿宋" w:cs="仿宋"/>
          <w:snapToGrid w:val="0"/>
          <w:color w:val="auto"/>
          <w:kern w:val="0"/>
          <w:szCs w:val="21"/>
          <w:highlight w:val="none"/>
          <w:u w:val="single"/>
          <w:lang w:val="en-US" w:eastAsia="zh-CN"/>
        </w:rPr>
        <w:t xml:space="preserve"> </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u w:val="single"/>
          <w:lang w:val="en-US" w:eastAsia="zh-CN"/>
        </w:rPr>
        <w:t xml:space="preserve">/ </w:t>
      </w:r>
      <w:r>
        <w:rPr>
          <w:rFonts w:hint="eastAsia" w:ascii="仿宋" w:hAnsi="仿宋" w:eastAsia="仿宋" w:cs="仿宋"/>
          <w:snapToGrid w:val="0"/>
          <w:color w:val="auto"/>
          <w:kern w:val="0"/>
          <w:szCs w:val="21"/>
          <w:highlight w:val="none"/>
        </w:rPr>
        <w:t>年；</w:t>
      </w:r>
    </w:p>
    <w:p w14:paraId="6AA96B4B">
      <w:pPr>
        <w:adjustRightInd/>
        <w:spacing w:line="288" w:lineRule="auto"/>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4．电气管线、给排水管道、设备安装工程为</w:t>
      </w:r>
      <w:bookmarkStart w:id="1172" w:name="SOA_zyht_azbxnx"/>
      <w:bookmarkEnd w:id="1172"/>
      <w:r>
        <w:rPr>
          <w:rFonts w:hint="eastAsia" w:ascii="仿宋" w:hAnsi="仿宋" w:eastAsia="仿宋" w:cs="仿宋"/>
          <w:snapToGrid w:val="0"/>
          <w:color w:val="auto"/>
          <w:kern w:val="0"/>
          <w:szCs w:val="21"/>
          <w:highlight w:val="none"/>
          <w:u w:val="single"/>
          <w:lang w:val="en-US" w:eastAsia="zh-CN"/>
        </w:rPr>
        <w:t xml:space="preserve"> /</w:t>
      </w:r>
      <w:r>
        <w:rPr>
          <w:rFonts w:hint="eastAsia" w:ascii="仿宋" w:hAnsi="仿宋" w:eastAsia="仿宋" w:cs="仿宋"/>
          <w:snapToGrid w:val="0"/>
          <w:color w:val="auto"/>
          <w:kern w:val="0"/>
          <w:szCs w:val="21"/>
          <w:highlight w:val="none"/>
        </w:rPr>
        <w:t>年；</w:t>
      </w:r>
    </w:p>
    <w:p w14:paraId="4EADD65C">
      <w:pPr>
        <w:adjustRightInd/>
        <w:spacing w:line="288" w:lineRule="auto"/>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5．供热与供冷系统为</w:t>
      </w:r>
      <w:r>
        <w:rPr>
          <w:rFonts w:hint="eastAsia" w:ascii="仿宋" w:hAnsi="仿宋" w:eastAsia="仿宋" w:cs="仿宋"/>
          <w:snapToGrid w:val="0"/>
          <w:color w:val="auto"/>
          <w:kern w:val="0"/>
          <w:szCs w:val="21"/>
          <w:highlight w:val="none"/>
          <w:u w:val="single"/>
          <w:lang w:val="en-US" w:eastAsia="zh-CN"/>
        </w:rPr>
        <w:t xml:space="preserve"> / </w:t>
      </w:r>
      <w:r>
        <w:rPr>
          <w:rFonts w:hint="eastAsia" w:ascii="仿宋" w:hAnsi="仿宋" w:eastAsia="仿宋" w:cs="仿宋"/>
          <w:snapToGrid w:val="0"/>
          <w:color w:val="auto"/>
          <w:kern w:val="0"/>
          <w:szCs w:val="21"/>
          <w:highlight w:val="none"/>
        </w:rPr>
        <w:t>个采暖期、供冷期；</w:t>
      </w:r>
    </w:p>
    <w:p w14:paraId="4E64BC36">
      <w:pPr>
        <w:adjustRightInd/>
        <w:spacing w:line="288" w:lineRule="auto"/>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6．住宅小区内的给排水设施、道路等配套工程为</w:t>
      </w:r>
      <w:r>
        <w:rPr>
          <w:rFonts w:hint="eastAsia" w:ascii="仿宋" w:hAnsi="仿宋" w:eastAsia="仿宋" w:cs="仿宋"/>
          <w:snapToGrid w:val="0"/>
          <w:color w:val="auto"/>
          <w:kern w:val="0"/>
          <w:szCs w:val="21"/>
          <w:highlight w:val="none"/>
          <w:u w:val="single"/>
          <w:lang w:val="en-US" w:eastAsia="zh-CN"/>
        </w:rPr>
        <w:t xml:space="preserve"> / </w:t>
      </w:r>
      <w:r>
        <w:rPr>
          <w:rFonts w:hint="eastAsia" w:ascii="仿宋" w:hAnsi="仿宋" w:eastAsia="仿宋" w:cs="仿宋"/>
          <w:snapToGrid w:val="0"/>
          <w:color w:val="auto"/>
          <w:kern w:val="0"/>
          <w:szCs w:val="21"/>
          <w:highlight w:val="none"/>
        </w:rPr>
        <w:t>年；</w:t>
      </w:r>
    </w:p>
    <w:p w14:paraId="03802EF7">
      <w:pPr>
        <w:adjustRightInd/>
        <w:spacing w:line="288" w:lineRule="auto"/>
        <w:ind w:firstLine="420" w:firstLineChars="200"/>
        <w:rPr>
          <w:rFonts w:hint="default" w:ascii="仿宋" w:hAnsi="仿宋" w:eastAsia="仿宋" w:cs="仿宋"/>
          <w:snapToGrid w:val="0"/>
          <w:color w:val="auto"/>
          <w:kern w:val="0"/>
          <w:szCs w:val="21"/>
          <w:highlight w:val="none"/>
          <w:lang w:val="en-US" w:eastAsia="zh-CN"/>
        </w:rPr>
      </w:pPr>
      <w:r>
        <w:rPr>
          <w:rFonts w:hint="eastAsia" w:ascii="仿宋" w:hAnsi="仿宋" w:eastAsia="仿宋" w:cs="仿宋"/>
          <w:snapToGrid w:val="0"/>
          <w:color w:val="auto"/>
          <w:kern w:val="0"/>
          <w:szCs w:val="21"/>
          <w:highlight w:val="none"/>
        </w:rPr>
        <w:t>7．其他项目保修期限约定如下：</w:t>
      </w:r>
      <w:r>
        <w:rPr>
          <w:rFonts w:hint="eastAsia" w:ascii="仿宋" w:hAnsi="仿宋" w:eastAsia="仿宋" w:cs="仿宋"/>
          <w:snapToGrid w:val="0"/>
          <w:color w:val="auto"/>
          <w:kern w:val="0"/>
          <w:szCs w:val="21"/>
          <w:highlight w:val="none"/>
          <w:u w:val="single"/>
          <w:lang w:val="en-US" w:eastAsia="zh-CN"/>
        </w:rPr>
        <w:t>本项目质保期为</w:t>
      </w:r>
      <w:r>
        <w:rPr>
          <w:rFonts w:hint="eastAsia" w:ascii="仿宋" w:hAnsi="仿宋" w:eastAsia="仿宋" w:cs="仿宋"/>
          <w:b/>
          <w:bCs/>
          <w:snapToGrid w:val="0"/>
          <w:color w:val="auto"/>
          <w:kern w:val="0"/>
          <w:szCs w:val="21"/>
          <w:highlight w:val="none"/>
          <w:u w:val="single"/>
          <w:lang w:val="en-US" w:eastAsia="zh-CN"/>
        </w:rPr>
        <w:t>2</w:t>
      </w:r>
      <w:r>
        <w:rPr>
          <w:rFonts w:hint="eastAsia" w:ascii="仿宋" w:hAnsi="仿宋" w:eastAsia="仿宋" w:cs="仿宋"/>
          <w:snapToGrid w:val="0"/>
          <w:color w:val="auto"/>
          <w:kern w:val="0"/>
          <w:szCs w:val="21"/>
          <w:highlight w:val="none"/>
          <w:u w:val="single"/>
          <w:lang w:val="en-US" w:eastAsia="zh-CN"/>
        </w:rPr>
        <w:t>年。</w:t>
      </w:r>
    </w:p>
    <w:p w14:paraId="21493ADC">
      <w:pPr>
        <w:adjustRightInd/>
        <w:spacing w:line="288"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　　质量保修期自工程竣工验收合格之日起计算。</w:t>
      </w:r>
    </w:p>
    <w:p w14:paraId="163B849F">
      <w:pPr>
        <w:adjustRightInd/>
        <w:spacing w:line="288"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三、缺陷责任期</w:t>
      </w:r>
    </w:p>
    <w:p w14:paraId="25B8AFCA">
      <w:pPr>
        <w:adjustRightInd/>
        <w:spacing w:line="360" w:lineRule="auto"/>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工程缺陷责任期为</w:t>
      </w:r>
      <w:bookmarkStart w:id="1173" w:name="SOA_zyht_gcqxq"/>
      <w:r>
        <w:rPr>
          <w:rFonts w:hint="eastAsia" w:ascii="仿宋" w:hAnsi="仿宋" w:eastAsia="仿宋" w:cs="仿宋"/>
          <w:snapToGrid w:val="0"/>
          <w:color w:val="auto"/>
          <w:kern w:val="0"/>
          <w:szCs w:val="21"/>
          <w:highlight w:val="none"/>
          <w:u w:val="single"/>
        </w:rPr>
        <w:t>24</w:t>
      </w:r>
      <w:bookmarkEnd w:id="1173"/>
      <w:r>
        <w:rPr>
          <w:rFonts w:hint="eastAsia" w:ascii="仿宋" w:hAnsi="仿宋" w:eastAsia="仿宋" w:cs="仿宋"/>
          <w:snapToGrid w:val="0"/>
          <w:color w:val="auto"/>
          <w:kern w:val="0"/>
          <w:szCs w:val="21"/>
          <w:highlight w:val="none"/>
        </w:rPr>
        <w:t>个月，缺陷责任期自工程通过竣工验收合格之日起计算。单位工程先于全部工程进行验收，单位工程缺陷责任期自单位工程验收合格之日起计算。</w:t>
      </w:r>
    </w:p>
    <w:p w14:paraId="0F3DFE1B">
      <w:pPr>
        <w:adjustRightInd/>
        <w:spacing w:line="288" w:lineRule="auto"/>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缺陷责任期终止后，发包人应退还剩余的质量保证金。</w:t>
      </w:r>
    </w:p>
    <w:p w14:paraId="0F04E231">
      <w:pPr>
        <w:adjustRightInd/>
        <w:spacing w:line="288"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四、质量保修责任</w:t>
      </w:r>
    </w:p>
    <w:p w14:paraId="06693129">
      <w:pPr>
        <w:adjustRightInd/>
        <w:spacing w:line="288" w:lineRule="auto"/>
        <w:ind w:left="105" w:leftChars="50" w:firstLine="430" w:firstLineChars="205"/>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1．属于保修范围、内容的项目，承包人应当在接到保修通知之日起7天内派人保修。承包人不在约定期限内派人保修的，发包人可以委托他人修理</w:t>
      </w:r>
      <w:r>
        <w:rPr>
          <w:rFonts w:hint="default" w:ascii="仿宋" w:hAnsi="仿宋" w:eastAsia="仿宋" w:cs="仿宋"/>
          <w:snapToGrid w:val="0"/>
          <w:color w:val="auto"/>
          <w:kern w:val="0"/>
          <w:szCs w:val="21"/>
          <w:highlight w:val="none"/>
        </w:rPr>
        <w:t>，</w:t>
      </w:r>
      <w:r>
        <w:rPr>
          <w:rFonts w:hint="eastAsia" w:ascii="仿宋" w:hAnsi="仿宋" w:eastAsia="仿宋" w:cs="仿宋"/>
          <w:snapToGrid w:val="0"/>
          <w:color w:val="auto"/>
          <w:kern w:val="0"/>
          <w:szCs w:val="21"/>
          <w:highlight w:val="none"/>
          <w:lang w:val="en-US" w:eastAsia="zh-Hans"/>
        </w:rPr>
        <w:t>因此产生的费用由承包人负担</w:t>
      </w:r>
      <w:r>
        <w:rPr>
          <w:rFonts w:hint="eastAsia" w:ascii="仿宋" w:hAnsi="仿宋" w:eastAsia="仿宋" w:cs="仿宋"/>
          <w:snapToGrid w:val="0"/>
          <w:color w:val="auto"/>
          <w:kern w:val="0"/>
          <w:szCs w:val="21"/>
          <w:highlight w:val="none"/>
        </w:rPr>
        <w:t>。</w:t>
      </w:r>
    </w:p>
    <w:p w14:paraId="0EDCCA41">
      <w:pPr>
        <w:adjustRightInd/>
        <w:spacing w:line="300" w:lineRule="auto"/>
        <w:ind w:left="105" w:leftChars="50" w:firstLine="430" w:firstLineChars="205"/>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2．发生紧急事故需抢修的，承包人在接到事故通知后，应当立即到达事故现场抢修。</w:t>
      </w:r>
    </w:p>
    <w:p w14:paraId="4348DC6D">
      <w:pPr>
        <w:adjustRightInd/>
        <w:spacing w:line="300" w:lineRule="auto"/>
        <w:ind w:left="105" w:leftChars="50" w:firstLine="430" w:firstLineChars="205"/>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6487F667">
      <w:pPr>
        <w:adjustRightInd/>
        <w:spacing w:line="300" w:lineRule="auto"/>
        <w:ind w:left="420" w:leftChars="200" w:firstLine="105" w:firstLineChars="5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4．质量保修完成后，由发包人组织验收。</w:t>
      </w:r>
    </w:p>
    <w:p w14:paraId="04D94FD2">
      <w:pPr>
        <w:adjustRightInd/>
        <w:spacing w:line="300"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五、保修费用</w:t>
      </w:r>
    </w:p>
    <w:p w14:paraId="1501AD74">
      <w:pPr>
        <w:adjustRightInd/>
        <w:spacing w:line="300" w:lineRule="auto"/>
        <w:ind w:firstLine="48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保修费用由造成质量缺陷的责任方承担。</w:t>
      </w:r>
    </w:p>
    <w:p w14:paraId="67D07957">
      <w:pPr>
        <w:spacing w:line="400" w:lineRule="exact"/>
        <w:rPr>
          <w:rFonts w:hint="eastAsia" w:ascii="仿宋" w:hAnsi="仿宋" w:eastAsia="仿宋" w:cs="仿宋"/>
          <w:bCs/>
          <w:color w:val="auto"/>
          <w:szCs w:val="21"/>
          <w:highlight w:val="none"/>
        </w:rPr>
      </w:pPr>
      <w:r>
        <w:rPr>
          <w:rFonts w:hint="eastAsia" w:ascii="仿宋" w:hAnsi="仿宋" w:eastAsia="仿宋" w:cs="仿宋"/>
          <w:b/>
          <w:snapToGrid w:val="0"/>
          <w:color w:val="auto"/>
          <w:kern w:val="0"/>
          <w:szCs w:val="21"/>
          <w:highlight w:val="none"/>
        </w:rPr>
        <w:t>六</w:t>
      </w:r>
      <w:r>
        <w:rPr>
          <w:rFonts w:hint="eastAsia" w:ascii="仿宋" w:hAnsi="仿宋" w:eastAsia="仿宋" w:cs="仿宋"/>
          <w:snapToGrid w:val="0"/>
          <w:color w:val="auto"/>
          <w:kern w:val="0"/>
          <w:szCs w:val="21"/>
          <w:highlight w:val="none"/>
        </w:rPr>
        <w:t>、双方约定的其他工程质量保修事项</w:t>
      </w:r>
      <w:r>
        <w:rPr>
          <w:rFonts w:hint="eastAsia" w:ascii="仿宋" w:hAnsi="仿宋" w:eastAsia="仿宋" w:cs="仿宋"/>
          <w:snapToGrid w:val="0"/>
          <w:color w:val="auto"/>
          <w:kern w:val="0"/>
          <w:szCs w:val="21"/>
          <w:highlight w:val="none"/>
          <w:u w:val="single"/>
        </w:rPr>
        <w:t>：本工程约定的工程质量保修金为</w:t>
      </w:r>
      <w:r>
        <w:rPr>
          <w:rFonts w:hint="eastAsia" w:ascii="仿宋" w:hAnsi="仿宋" w:eastAsia="仿宋" w:cs="仿宋"/>
          <w:color w:val="auto"/>
          <w:szCs w:val="21"/>
          <w:highlight w:val="none"/>
          <w:u w:val="single"/>
          <w:lang w:val="en-US" w:eastAsia="zh-CN"/>
        </w:rPr>
        <w:t>结算价的</w:t>
      </w:r>
      <w:r>
        <w:rPr>
          <w:rFonts w:hint="eastAsia" w:ascii="仿宋" w:hAnsi="仿宋" w:eastAsia="仿宋" w:cs="仿宋"/>
          <w:color w:val="auto"/>
          <w:szCs w:val="21"/>
          <w:highlight w:val="none"/>
          <w:u w:val="single"/>
        </w:rPr>
        <w:t>1.5%</w:t>
      </w:r>
      <w:r>
        <w:rPr>
          <w:rFonts w:hint="eastAsia" w:ascii="仿宋" w:hAnsi="仿宋" w:eastAsia="仿宋" w:cs="仿宋"/>
          <w:color w:val="auto"/>
          <w:szCs w:val="21"/>
          <w:highlight w:val="none"/>
          <w:u w:val="single"/>
          <w:lang w:eastAsia="zh-CN"/>
        </w:rPr>
        <w:t>（</w:t>
      </w:r>
      <w:r>
        <w:rPr>
          <w:rFonts w:hint="eastAsia" w:ascii="仿宋" w:hAnsi="仿宋" w:eastAsia="仿宋" w:cs="仿宋"/>
          <w:color w:val="auto"/>
          <w:szCs w:val="21"/>
          <w:highlight w:val="none"/>
          <w:u w:val="single"/>
          <w:lang w:val="en-US" w:eastAsia="zh-CN"/>
        </w:rPr>
        <w:t>以银行保函的方式递交）。</w:t>
      </w:r>
    </w:p>
    <w:p w14:paraId="342B91ED">
      <w:pPr>
        <w:adjustRightInd/>
        <w:spacing w:line="300" w:lineRule="auto"/>
        <w:ind w:firstLine="399" w:firstLineChars="19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工程质量保修书由发包人、承包人在工程竣工验收前共同签署，作为施工合同附件，其有效期限至保修期满。</w:t>
      </w:r>
    </w:p>
    <w:p w14:paraId="7AD48C64">
      <w:pPr>
        <w:adjustRightInd/>
        <w:spacing w:line="300"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发包人(公章)：</w:t>
      </w:r>
      <w:bookmarkStart w:id="1174" w:name="SOA_zyht_fbr"/>
      <w:bookmarkEnd w:id="1174"/>
      <w:r>
        <w:rPr>
          <w:rFonts w:hint="eastAsia" w:ascii="仿宋" w:hAnsi="仿宋" w:eastAsia="仿宋" w:cs="仿宋"/>
          <w:snapToGrid w:val="0"/>
          <w:color w:val="auto"/>
          <w:kern w:val="0"/>
          <w:szCs w:val="21"/>
          <w:highlight w:val="none"/>
          <w:lang w:val="en-US" w:eastAsia="zh-CN"/>
        </w:rPr>
        <w:t xml:space="preserve"> </w:t>
      </w:r>
      <w:r>
        <w:rPr>
          <w:rFonts w:hint="eastAsia" w:ascii="仿宋" w:hAnsi="仿宋" w:eastAsia="仿宋" w:cs="仿宋"/>
          <w:snapToGrid w:val="0"/>
          <w:color w:val="auto"/>
          <w:kern w:val="0"/>
          <w:szCs w:val="21"/>
          <w:highlight w:val="none"/>
          <w:u w:val="single"/>
        </w:rPr>
        <w:t></w:t>
      </w:r>
      <w:r>
        <w:rPr>
          <w:rFonts w:hint="default" w:ascii="仿宋" w:hAnsi="仿宋" w:eastAsia="仿宋" w:cs="仿宋"/>
          <w:snapToGrid w:val="0"/>
          <w:color w:val="auto"/>
          <w:kern w:val="0"/>
          <w:szCs w:val="21"/>
          <w:highlight w:val="none"/>
          <w:u w:val="single"/>
        </w:rPr>
        <w:t xml:space="preserve">    </w:t>
      </w:r>
      <w:r>
        <w:rPr>
          <w:rFonts w:hint="default" w:ascii="仿宋" w:hAnsi="仿宋" w:eastAsia="仿宋" w:cs="仿宋"/>
          <w:snapToGrid w:val="0"/>
          <w:color w:val="auto"/>
          <w:kern w:val="0"/>
          <w:szCs w:val="21"/>
          <w:highlight w:val="none"/>
          <w:u w:val="none"/>
        </w:rPr>
        <w:t xml:space="preserve">                                  </w:t>
      </w:r>
      <w:r>
        <w:rPr>
          <w:rFonts w:hint="eastAsia" w:ascii="仿宋" w:hAnsi="仿宋" w:eastAsia="仿宋" w:cs="仿宋"/>
          <w:snapToGrid w:val="0"/>
          <w:color w:val="auto"/>
          <w:kern w:val="0"/>
          <w:szCs w:val="21"/>
          <w:highlight w:val="none"/>
        </w:rPr>
        <w:t>承包人(公章)：</w:t>
      </w:r>
      <w:r>
        <w:rPr>
          <w:rFonts w:hint="eastAsia" w:ascii="仿宋" w:hAnsi="仿宋" w:eastAsia="仿宋" w:cs="仿宋"/>
          <w:snapToGrid w:val="0"/>
          <w:color w:val="auto"/>
          <w:kern w:val="0"/>
          <w:szCs w:val="21"/>
          <w:highlight w:val="none"/>
          <w:u w:val="single"/>
        </w:rPr>
        <w:t></w:t>
      </w:r>
      <w:bookmarkStart w:id="1175" w:name="SOA_zyht_cbr"/>
      <w:bookmarkEnd w:id="1175"/>
    </w:p>
    <w:p w14:paraId="63CB6AA9">
      <w:pPr>
        <w:adjustRightInd/>
        <w:spacing w:line="300"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地  址：</w:t>
      </w:r>
      <w:bookmarkStart w:id="1176" w:name="SOA_zyht_fbrdz"/>
      <w:bookmarkEnd w:id="1176"/>
      <w:r>
        <w:rPr>
          <w:rFonts w:hint="eastAsia" w:ascii="仿宋" w:hAnsi="仿宋" w:eastAsia="仿宋" w:cs="仿宋"/>
          <w:snapToGrid w:val="0"/>
          <w:color w:val="auto"/>
          <w:kern w:val="0"/>
          <w:szCs w:val="21"/>
          <w:highlight w:val="none"/>
          <w:u w:val="single"/>
        </w:rPr>
        <w:t></w:t>
      </w:r>
      <w:r>
        <w:rPr>
          <w:rFonts w:hint="default" w:ascii="仿宋" w:hAnsi="仿宋" w:eastAsia="仿宋" w:cs="仿宋"/>
          <w:snapToGrid w:val="0"/>
          <w:color w:val="auto"/>
          <w:kern w:val="0"/>
          <w:szCs w:val="21"/>
          <w:highlight w:val="none"/>
          <w:u w:val="none"/>
        </w:rPr>
        <w:t xml:space="preserve">                                            </w:t>
      </w:r>
      <w:r>
        <w:rPr>
          <w:rFonts w:hint="eastAsia" w:ascii="仿宋" w:hAnsi="仿宋" w:eastAsia="仿宋" w:cs="仿宋"/>
          <w:snapToGrid w:val="0"/>
          <w:color w:val="auto"/>
          <w:kern w:val="0"/>
          <w:szCs w:val="21"/>
          <w:highlight w:val="none"/>
        </w:rPr>
        <w:t>地  址：</w:t>
      </w:r>
      <w:r>
        <w:rPr>
          <w:rFonts w:hint="eastAsia" w:ascii="仿宋" w:hAnsi="仿宋" w:eastAsia="仿宋" w:cs="仿宋"/>
          <w:snapToGrid w:val="0"/>
          <w:color w:val="auto"/>
          <w:kern w:val="0"/>
          <w:szCs w:val="21"/>
          <w:highlight w:val="none"/>
          <w:u w:val="single"/>
        </w:rPr>
        <w:t></w:t>
      </w:r>
      <w:bookmarkStart w:id="1177" w:name="SOA_zyht_cbrdz"/>
      <w:bookmarkEnd w:id="1177"/>
      <w:r>
        <w:rPr>
          <w:rFonts w:hint="eastAsia" w:ascii="仿宋" w:hAnsi="仿宋" w:eastAsia="仿宋" w:cs="仿宋"/>
          <w:snapToGrid w:val="0"/>
          <w:color w:val="auto"/>
          <w:kern w:val="0"/>
          <w:szCs w:val="21"/>
          <w:highlight w:val="none"/>
          <w:u w:val="single"/>
        </w:rPr>
        <w:t></w:t>
      </w:r>
    </w:p>
    <w:p w14:paraId="73E232F2">
      <w:pPr>
        <w:adjustRightInd/>
        <w:spacing w:line="300"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法定代表人(签字)：</w:t>
      </w:r>
      <w:bookmarkStart w:id="1178" w:name="SOA_zyht_fddbr1"/>
      <w:bookmarkEnd w:id="1178"/>
      <w:r>
        <w:rPr>
          <w:rFonts w:hint="default" w:ascii="仿宋" w:hAnsi="仿宋" w:eastAsia="仿宋" w:cs="仿宋"/>
          <w:snapToGrid w:val="0"/>
          <w:color w:val="auto"/>
          <w:kern w:val="0"/>
          <w:szCs w:val="21"/>
          <w:highlight w:val="none"/>
        </w:rPr>
        <w:t xml:space="preserve">                                     </w:t>
      </w:r>
      <w:r>
        <w:rPr>
          <w:rFonts w:hint="eastAsia" w:ascii="仿宋" w:hAnsi="仿宋" w:eastAsia="仿宋" w:cs="仿宋"/>
          <w:snapToGrid w:val="0"/>
          <w:color w:val="auto"/>
          <w:kern w:val="0"/>
          <w:szCs w:val="21"/>
          <w:highlight w:val="none"/>
        </w:rPr>
        <w:t>法定代表人(签字)：</w:t>
      </w:r>
      <w:bookmarkStart w:id="1179" w:name="SOA_zyht_fddbr2"/>
      <w:bookmarkEnd w:id="1179"/>
    </w:p>
    <w:p w14:paraId="7814011F">
      <w:pPr>
        <w:adjustRightInd/>
        <w:spacing w:line="300"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委托代理人(签字)：</w:t>
      </w:r>
      <w:bookmarkStart w:id="1180" w:name="SOA_zyht_wtdlr1"/>
      <w:bookmarkEnd w:id="1180"/>
      <w:r>
        <w:rPr>
          <w:rFonts w:hint="default" w:ascii="仿宋" w:hAnsi="仿宋" w:eastAsia="仿宋" w:cs="仿宋"/>
          <w:snapToGrid w:val="0"/>
          <w:color w:val="auto"/>
          <w:kern w:val="0"/>
          <w:szCs w:val="21"/>
          <w:highlight w:val="none"/>
        </w:rPr>
        <w:t xml:space="preserve">                                     </w:t>
      </w:r>
      <w:r>
        <w:rPr>
          <w:rFonts w:hint="eastAsia" w:ascii="仿宋" w:hAnsi="仿宋" w:eastAsia="仿宋" w:cs="仿宋"/>
          <w:snapToGrid w:val="0"/>
          <w:color w:val="auto"/>
          <w:kern w:val="0"/>
          <w:szCs w:val="21"/>
          <w:highlight w:val="none"/>
        </w:rPr>
        <w:t>委托代理人(签字)：</w:t>
      </w:r>
      <w:bookmarkStart w:id="1181" w:name="SOA_zyht_wtdlr2"/>
      <w:bookmarkEnd w:id="1181"/>
    </w:p>
    <w:p w14:paraId="561ED818">
      <w:pPr>
        <w:adjustRightInd/>
        <w:spacing w:line="300"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电  话：</w:t>
      </w:r>
      <w:r>
        <w:rPr>
          <w:rFonts w:hint="eastAsia" w:ascii="仿宋" w:hAnsi="仿宋" w:eastAsia="仿宋" w:cs="仿宋"/>
          <w:snapToGrid w:val="0"/>
          <w:color w:val="auto"/>
          <w:kern w:val="0"/>
          <w:szCs w:val="21"/>
          <w:highlight w:val="none"/>
          <w:u w:val="single"/>
        </w:rPr>
        <w:t></w:t>
      </w:r>
      <w:bookmarkStart w:id="1182" w:name="SOA_zyht_fbrdh1"/>
      <w:bookmarkEnd w:id="1182"/>
      <w:r>
        <w:rPr>
          <w:rFonts w:hint="default" w:ascii="仿宋" w:hAnsi="仿宋" w:eastAsia="仿宋" w:cs="仿宋"/>
          <w:snapToGrid w:val="0"/>
          <w:color w:val="auto"/>
          <w:kern w:val="0"/>
          <w:szCs w:val="21"/>
          <w:highlight w:val="none"/>
          <w:u w:val="none"/>
        </w:rPr>
        <w:t xml:space="preserve">                                            </w:t>
      </w:r>
      <w:r>
        <w:rPr>
          <w:rFonts w:hint="eastAsia" w:ascii="仿宋" w:hAnsi="仿宋" w:eastAsia="仿宋" w:cs="仿宋"/>
          <w:snapToGrid w:val="0"/>
          <w:color w:val="auto"/>
          <w:kern w:val="0"/>
          <w:szCs w:val="21"/>
          <w:highlight w:val="none"/>
        </w:rPr>
        <w:t>电  话：</w:t>
      </w:r>
      <w:r>
        <w:rPr>
          <w:rFonts w:hint="eastAsia" w:ascii="仿宋" w:hAnsi="仿宋" w:eastAsia="仿宋" w:cs="仿宋"/>
          <w:snapToGrid w:val="0"/>
          <w:color w:val="auto"/>
          <w:kern w:val="0"/>
          <w:szCs w:val="21"/>
          <w:highlight w:val="none"/>
          <w:u w:val="single"/>
        </w:rPr>
        <w:t></w:t>
      </w:r>
      <w:bookmarkStart w:id="1183" w:name="SOA_zyht_cbrdh"/>
      <w:bookmarkEnd w:id="1183"/>
      <w:r>
        <w:rPr>
          <w:rFonts w:hint="eastAsia" w:ascii="仿宋" w:hAnsi="仿宋" w:eastAsia="仿宋" w:cs="仿宋"/>
          <w:snapToGrid w:val="0"/>
          <w:color w:val="auto"/>
          <w:kern w:val="0"/>
          <w:szCs w:val="21"/>
          <w:highlight w:val="none"/>
          <w:u w:val="single"/>
        </w:rPr>
        <w:t xml:space="preserve"> </w:t>
      </w:r>
    </w:p>
    <w:p w14:paraId="0FC38C04">
      <w:pPr>
        <w:adjustRightInd/>
        <w:spacing w:line="300"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开户银行：</w:t>
      </w:r>
      <w:bookmarkStart w:id="1184" w:name="SOA_zyht_fbrkhyh"/>
      <w:bookmarkEnd w:id="1184"/>
      <w:r>
        <w:rPr>
          <w:rFonts w:hint="default" w:ascii="仿宋" w:hAnsi="仿宋" w:eastAsia="仿宋" w:cs="仿宋"/>
          <w:snapToGrid w:val="0"/>
          <w:color w:val="auto"/>
          <w:kern w:val="0"/>
          <w:szCs w:val="21"/>
          <w:highlight w:val="none"/>
        </w:rPr>
        <w:t xml:space="preserve">                                            </w:t>
      </w:r>
      <w:r>
        <w:rPr>
          <w:rFonts w:hint="eastAsia" w:ascii="仿宋" w:hAnsi="仿宋" w:eastAsia="仿宋" w:cs="仿宋"/>
          <w:snapToGrid w:val="0"/>
          <w:color w:val="auto"/>
          <w:kern w:val="0"/>
          <w:szCs w:val="21"/>
          <w:highlight w:val="none"/>
        </w:rPr>
        <w:t>开户银行：</w:t>
      </w:r>
      <w:bookmarkStart w:id="1185" w:name="SOA_zyht_cbrkhyh"/>
      <w:bookmarkEnd w:id="1185"/>
    </w:p>
    <w:p w14:paraId="4B943F6A">
      <w:pPr>
        <w:adjustRightInd/>
        <w:spacing w:line="300"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账  号：</w:t>
      </w:r>
      <w:r>
        <w:rPr>
          <w:rFonts w:hint="eastAsia" w:ascii="仿宋" w:hAnsi="仿宋" w:eastAsia="仿宋" w:cs="仿宋"/>
          <w:snapToGrid w:val="0"/>
          <w:color w:val="auto"/>
          <w:kern w:val="0"/>
          <w:szCs w:val="21"/>
          <w:highlight w:val="none"/>
          <w:u w:val="single"/>
        </w:rPr>
        <w:t></w:t>
      </w:r>
      <w:bookmarkStart w:id="1186" w:name="SOA_zyht_fbrzh"/>
      <w:bookmarkEnd w:id="1186"/>
      <w:r>
        <w:rPr>
          <w:rFonts w:hint="eastAsia" w:ascii="仿宋" w:hAnsi="仿宋" w:eastAsia="仿宋" w:cs="仿宋"/>
          <w:snapToGrid w:val="0"/>
          <w:color w:val="auto"/>
          <w:kern w:val="0"/>
          <w:szCs w:val="21"/>
          <w:highlight w:val="none"/>
          <w:u w:val="single"/>
        </w:rPr>
        <w:t></w:t>
      </w:r>
      <w:r>
        <w:rPr>
          <w:rFonts w:hint="default" w:ascii="仿宋" w:hAnsi="仿宋" w:eastAsia="仿宋" w:cs="仿宋"/>
          <w:snapToGrid w:val="0"/>
          <w:color w:val="auto"/>
          <w:kern w:val="0"/>
          <w:szCs w:val="21"/>
          <w:highlight w:val="none"/>
          <w:u w:val="none"/>
        </w:rPr>
        <w:t xml:space="preserve">                                          </w:t>
      </w:r>
      <w:r>
        <w:rPr>
          <w:rFonts w:hint="eastAsia" w:ascii="仿宋" w:hAnsi="仿宋" w:eastAsia="仿宋" w:cs="仿宋"/>
          <w:snapToGrid w:val="0"/>
          <w:color w:val="auto"/>
          <w:kern w:val="0"/>
          <w:szCs w:val="21"/>
          <w:highlight w:val="none"/>
        </w:rPr>
        <w:t>账 号：</w:t>
      </w:r>
      <w:r>
        <w:rPr>
          <w:rFonts w:hint="eastAsia" w:ascii="仿宋" w:hAnsi="仿宋" w:eastAsia="仿宋" w:cs="仿宋"/>
          <w:snapToGrid w:val="0"/>
          <w:color w:val="auto"/>
          <w:kern w:val="0"/>
          <w:szCs w:val="21"/>
          <w:highlight w:val="none"/>
          <w:u w:val="single"/>
        </w:rPr>
        <w:t></w:t>
      </w:r>
      <w:bookmarkStart w:id="1187" w:name="SOA_zyht_cbrzh"/>
      <w:bookmarkEnd w:id="1187"/>
    </w:p>
    <w:p w14:paraId="3A714724">
      <w:pPr>
        <w:adjustRightInd/>
        <w:spacing w:line="300"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邮政编码：</w:t>
      </w:r>
      <w:bookmarkStart w:id="1188" w:name="SOA_zyht_fbryb"/>
      <w:bookmarkEnd w:id="1188"/>
      <w:r>
        <w:rPr>
          <w:rFonts w:hint="default" w:ascii="仿宋" w:hAnsi="仿宋" w:eastAsia="仿宋" w:cs="仿宋"/>
          <w:snapToGrid w:val="0"/>
          <w:color w:val="auto"/>
          <w:kern w:val="0"/>
          <w:szCs w:val="21"/>
          <w:highlight w:val="none"/>
        </w:rPr>
        <w:t xml:space="preserve">                                            </w:t>
      </w:r>
      <w:r>
        <w:rPr>
          <w:rFonts w:hint="eastAsia" w:ascii="仿宋" w:hAnsi="仿宋" w:eastAsia="仿宋" w:cs="仿宋"/>
          <w:snapToGrid w:val="0"/>
          <w:color w:val="auto"/>
          <w:kern w:val="0"/>
          <w:szCs w:val="21"/>
          <w:highlight w:val="none"/>
        </w:rPr>
        <w:t>邮政编码：</w:t>
      </w:r>
      <w:r>
        <w:rPr>
          <w:rFonts w:hint="eastAsia" w:ascii="仿宋" w:hAnsi="仿宋" w:eastAsia="仿宋" w:cs="仿宋"/>
          <w:snapToGrid w:val="0"/>
          <w:color w:val="auto"/>
          <w:kern w:val="0"/>
          <w:szCs w:val="21"/>
          <w:highlight w:val="none"/>
          <w:u w:val="single"/>
        </w:rPr>
        <w:t></w:t>
      </w:r>
      <w:bookmarkStart w:id="1189" w:name="SOA_zyht_cbryb"/>
      <w:bookmarkEnd w:id="1189"/>
    </w:p>
    <w:p w14:paraId="16A54F5B">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6FAE640C">
      <w:pPr>
        <w:rPr>
          <w:rFonts w:hint="eastAsia" w:asciiTheme="minorEastAsia" w:hAnsiTheme="minorEastAsia" w:eastAsiaTheme="minorEastAsia"/>
          <w:color w:val="auto"/>
          <w:szCs w:val="21"/>
          <w:highlight w:val="none"/>
        </w:rPr>
      </w:pPr>
    </w:p>
    <w:p w14:paraId="6BB24722">
      <w:pPr>
        <w:kinsoku/>
        <w:wordWrap/>
        <w:overflowPunct/>
        <w:topLinePunct w:val="0"/>
        <w:bidi w:val="0"/>
        <w:spacing w:line="360" w:lineRule="auto"/>
        <w:ind w:left="0" w:leftChars="0" w:firstLine="0"/>
        <w:textAlignment w:val="auto"/>
        <w:rPr>
          <w:rFonts w:hint="eastAsia" w:ascii="宋体" w:hAnsi="宋体" w:eastAsia="宋体" w:cs="宋体"/>
          <w:color w:val="auto"/>
          <w:sz w:val="24"/>
          <w:szCs w:val="24"/>
          <w:highlight w:val="none"/>
          <w:u w:val="single"/>
        </w:rPr>
      </w:pPr>
      <w:bookmarkStart w:id="1190" w:name="_Toc534620509"/>
      <w:bookmarkStart w:id="1191" w:name="_Toc249091536"/>
    </w:p>
    <w:bookmarkEnd w:id="1190"/>
    <w:bookmarkEnd w:id="1191"/>
    <w:p w14:paraId="2E4410FE">
      <w:pPr>
        <w:snapToGrid w:val="0"/>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9"/>
      <w:r>
        <w:rPr>
          <w:rFonts w:hint="eastAsia" w:ascii="宋体" w:hAnsi="宋体" w:cs="宋体"/>
          <w:b/>
          <w:color w:val="auto"/>
          <w:sz w:val="36"/>
          <w:szCs w:val="20"/>
          <w:highlight w:val="none"/>
        </w:rPr>
        <w:t xml:space="preserve"> </w:t>
      </w:r>
      <w:bookmarkEnd w:id="400"/>
      <w:r>
        <w:rPr>
          <w:rFonts w:hint="eastAsia" w:ascii="宋体" w:hAnsi="宋体" w:cs="宋体"/>
          <w:b/>
          <w:color w:val="auto"/>
          <w:sz w:val="36"/>
          <w:szCs w:val="20"/>
          <w:highlight w:val="none"/>
        </w:rPr>
        <w:t>应提交的有关格式范例</w:t>
      </w:r>
    </w:p>
    <w:p w14:paraId="532011F9">
      <w:pPr>
        <w:spacing w:line="360" w:lineRule="auto"/>
        <w:jc w:val="center"/>
        <w:outlineLvl w:val="0"/>
        <w:rPr>
          <w:rFonts w:ascii="宋体" w:hAnsi="宋体" w:cs="宋体"/>
          <w:b/>
          <w:color w:val="auto"/>
          <w:kern w:val="0"/>
          <w:sz w:val="36"/>
          <w:szCs w:val="36"/>
          <w:highlight w:val="none"/>
        </w:rPr>
      </w:pPr>
    </w:p>
    <w:p w14:paraId="629EEA1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20FDFED2">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888F5E3">
      <w:pPr>
        <w:spacing w:line="360" w:lineRule="auto"/>
        <w:jc w:val="center"/>
        <w:outlineLvl w:val="0"/>
        <w:rPr>
          <w:rFonts w:ascii="宋体" w:hAnsi="宋体" w:cs="宋体"/>
          <w:b/>
          <w:color w:val="auto"/>
          <w:kern w:val="0"/>
          <w:sz w:val="36"/>
          <w:szCs w:val="36"/>
          <w:highlight w:val="none"/>
        </w:rPr>
      </w:pPr>
    </w:p>
    <w:p w14:paraId="023B853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45383C53">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10B907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265DAEE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0B786C09">
      <w:pPr>
        <w:spacing w:line="360" w:lineRule="auto"/>
        <w:ind w:firstLine="480" w:firstLineChars="200"/>
        <w:rPr>
          <w:rFonts w:ascii="宋体" w:hAnsi="宋体" w:cs="宋体"/>
          <w:color w:val="auto"/>
          <w:sz w:val="24"/>
          <w:highlight w:val="none"/>
        </w:rPr>
      </w:pPr>
    </w:p>
    <w:p w14:paraId="6A3DC741">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369160DB">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杭州市钱塘区金沙湖实验学校</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浙江省房地产管理咨询有限公司</w:t>
      </w:r>
      <w:r>
        <w:rPr>
          <w:rFonts w:hint="eastAsia" w:ascii="宋体" w:hAnsi="宋体" w:cs="宋体"/>
          <w:color w:val="auto"/>
          <w:sz w:val="24"/>
          <w:highlight w:val="none"/>
        </w:rPr>
        <w:t>：</w:t>
      </w:r>
    </w:p>
    <w:p w14:paraId="210CC17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杭州市钱塘区金沙湖实验学校2025年足球场改造工程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 xml:space="preserve"> QTCG-CS-2025-038</w:t>
      </w:r>
      <w:r>
        <w:rPr>
          <w:rFonts w:hint="eastAsia" w:ascii="宋体" w:hAnsi="宋体" w:cs="宋体"/>
          <w:color w:val="auto"/>
          <w:sz w:val="24"/>
          <w:highlight w:val="none"/>
        </w:rPr>
        <w:t>】政府采购活动，郑重承诺：</w:t>
      </w:r>
    </w:p>
    <w:p w14:paraId="1225D8E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4714EF1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0F6C56A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7CB3719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E69630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CA4F9F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3FA43C6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6397A97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340847F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14714D3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B2732D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423813C0">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464E51F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883A7DC">
      <w:pPr>
        <w:snapToGrid w:val="0"/>
        <w:spacing w:line="360" w:lineRule="auto"/>
        <w:ind w:right="480"/>
        <w:jc w:val="center"/>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440" w:right="1080" w:bottom="1440" w:left="1080" w:header="851" w:footer="992" w:gutter="0"/>
          <w:cols w:space="720" w:num="1"/>
          <w:titlePg/>
          <w:docGrid w:linePitch="312" w:charSpace="0"/>
        </w:sectPr>
      </w:pPr>
    </w:p>
    <w:p w14:paraId="10BE5208">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0F44029A">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[以联合体形式参与的，提供联合协议（附件5）；供应商不以联合体形式投参与的，则不需要提供]</w:t>
      </w:r>
    </w:p>
    <w:p w14:paraId="75BADB60">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5F707B04">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4E9CB4E">
      <w:pPr>
        <w:spacing w:line="360" w:lineRule="auto"/>
        <w:rPr>
          <w:rFonts w:ascii="宋体" w:hAnsi="宋体" w:cs="宋体"/>
          <w:color w:val="auto"/>
          <w:sz w:val="24"/>
          <w:highlight w:val="none"/>
        </w:rPr>
      </w:pPr>
      <w:r>
        <w:rPr>
          <w:rFonts w:hint="eastAsia" w:ascii="宋体" w:hAnsi="宋体" w:cs="宋体"/>
          <w:color w:val="auto"/>
          <w:sz w:val="24"/>
          <w:highlight w:val="none"/>
        </w:rPr>
        <w:t>（根据竞争性磋商公告落实政府采购政策需满足的资格要求选择提供相应的材料；未要求的，无需提供）</w:t>
      </w:r>
    </w:p>
    <w:p w14:paraId="1183BB7A">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.专门面向中小企业，工程全部由符合政策要求的中小企业（或小微企业）承建的，提供相应的中小企业声明函（附件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67822055">
      <w:pPr>
        <w:widowControl/>
        <w:spacing w:line="360" w:lineRule="auto"/>
        <w:ind w:firstLine="480"/>
        <w:jc w:val="left"/>
        <w:rPr>
          <w:rFonts w:hint="eastAsia" w:ascii="宋体" w:hAnsi="宋体" w:cs="宋体"/>
          <w:b/>
          <w:bCs/>
          <w:color w:val="auto"/>
          <w:kern w:val="0"/>
          <w:sz w:val="24"/>
          <w:highlight w:val="none"/>
        </w:rPr>
      </w:pPr>
    </w:p>
    <w:p w14:paraId="6E33D5C9">
      <w:pPr>
        <w:widowControl/>
        <w:spacing w:line="360" w:lineRule="auto"/>
        <w:ind w:firstLine="480"/>
        <w:jc w:val="left"/>
        <w:rPr>
          <w:rFonts w:ascii="宋体" w:hAnsi="宋体" w:cs="宋体"/>
          <w:color w:val="auto"/>
          <w:sz w:val="24"/>
          <w:highlight w:val="none"/>
        </w:rPr>
      </w:pPr>
      <w:r>
        <w:rPr>
          <w:rFonts w:hint="eastAsia" w:ascii="宋体" w:hAnsi="宋体" w:cs="宋体"/>
          <w:b/>
          <w:bCs/>
          <w:color w:val="auto"/>
          <w:kern w:val="0"/>
          <w:sz w:val="24"/>
          <w:highlight w:val="none"/>
        </w:rPr>
        <w:t>标的：</w:t>
      </w:r>
      <w:r>
        <w:rPr>
          <w:rFonts w:hint="eastAsia" w:ascii="宋体" w:hAnsi="宋体" w:cs="宋体"/>
          <w:b/>
          <w:bCs/>
          <w:color w:val="auto"/>
          <w:kern w:val="0"/>
          <w:sz w:val="24"/>
          <w:highlight w:val="none"/>
          <w:u w:val="single"/>
          <w:lang w:eastAsia="zh-CN"/>
        </w:rPr>
        <w:t>杭州市钱塘区金沙湖实验学校2025年足球场改造工程</w:t>
      </w:r>
      <w:r>
        <w:rPr>
          <w:rFonts w:hint="eastAsia" w:ascii="宋体" w:hAnsi="宋体" w:cs="宋体"/>
          <w:b/>
          <w:bCs/>
          <w:color w:val="auto"/>
          <w:kern w:val="0"/>
          <w:sz w:val="24"/>
          <w:highlight w:val="none"/>
        </w:rPr>
        <w:t>，属于</w:t>
      </w:r>
      <w:r>
        <w:rPr>
          <w:rFonts w:hint="eastAsia" w:ascii="宋体" w:hAnsi="宋体" w:cs="宋体"/>
          <w:b/>
          <w:bCs/>
          <w:color w:val="auto"/>
          <w:kern w:val="0"/>
          <w:sz w:val="24"/>
          <w:highlight w:val="none"/>
          <w:u w:val="single"/>
        </w:rPr>
        <w:t xml:space="preserve"> </w:t>
      </w:r>
      <w:r>
        <w:rPr>
          <w:rFonts w:hint="eastAsia" w:ascii="宋体" w:hAnsi="宋体" w:cs="宋体"/>
          <w:b/>
          <w:bCs/>
          <w:color w:val="auto"/>
          <w:kern w:val="0"/>
          <w:sz w:val="24"/>
          <w:highlight w:val="none"/>
          <w:u w:val="single"/>
          <w:lang w:eastAsia="zh-CN"/>
        </w:rPr>
        <w:t>建筑业</w:t>
      </w:r>
      <w:r>
        <w:rPr>
          <w:rFonts w:hint="eastAsia" w:ascii="宋体" w:hAnsi="宋体" w:cs="宋体"/>
          <w:b/>
          <w:bCs/>
          <w:color w:val="auto"/>
          <w:kern w:val="0"/>
          <w:sz w:val="24"/>
          <w:highlight w:val="none"/>
          <w:u w:val="single"/>
        </w:rPr>
        <w:t xml:space="preserve"> </w:t>
      </w:r>
      <w:r>
        <w:rPr>
          <w:rFonts w:hint="eastAsia" w:ascii="宋体" w:hAnsi="宋体" w:cs="宋体"/>
          <w:b/>
          <w:bCs/>
          <w:color w:val="auto"/>
          <w:kern w:val="0"/>
          <w:sz w:val="24"/>
          <w:highlight w:val="none"/>
        </w:rPr>
        <w:t>行业；</w:t>
      </w:r>
    </w:p>
    <w:p w14:paraId="50C56209">
      <w:pPr>
        <w:widowControl/>
        <w:spacing w:line="360" w:lineRule="auto"/>
        <w:ind w:firstLine="472" w:firstLineChars="196"/>
        <w:jc w:val="left"/>
        <w:rPr>
          <w:rFonts w:hint="eastAsia" w:ascii="宋体" w:hAnsi="宋体" w:cs="宋体"/>
          <w:b/>
          <w:color w:val="auto"/>
          <w:sz w:val="24"/>
          <w:highlight w:val="none"/>
        </w:rPr>
      </w:pPr>
    </w:p>
    <w:p w14:paraId="0D4AD845">
      <w:pPr>
        <w:pStyle w:val="83"/>
        <w:rPr>
          <w:rFonts w:hint="eastAsia"/>
          <w:color w:val="auto"/>
          <w:highlight w:val="none"/>
        </w:rPr>
      </w:pPr>
    </w:p>
    <w:p w14:paraId="0ED03784">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竞争性磋商公告载明的比例；如果供应商本身提供所有标的均由中小企业承建的，视同符合了资格条件，无需再与其他中小企业组成联合体参加政府采购活动，无需提供联合协议。</w:t>
      </w:r>
    </w:p>
    <w:p w14:paraId="4095A4D9">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30C5E2C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），分包意向协议中中小企业合同金额应当达到竞争性磋商公告载明的比例；如果供应商本身提供所有标的均由中小企业承建，视同符合了资格条件，无需再向中小企业分包，无需提供分包意向协议。</w:t>
      </w:r>
    </w:p>
    <w:p w14:paraId="00FCB4FC">
      <w:pPr>
        <w:widowControl/>
        <w:spacing w:line="360" w:lineRule="auto"/>
        <w:ind w:left="150"/>
        <w:jc w:val="center"/>
        <w:rPr>
          <w:rFonts w:ascii="宋体" w:hAnsi="宋体" w:cs="宋体"/>
          <w:b/>
          <w:color w:val="auto"/>
          <w:kern w:val="0"/>
          <w:sz w:val="32"/>
          <w:szCs w:val="32"/>
          <w:highlight w:val="none"/>
        </w:rPr>
      </w:pPr>
    </w:p>
    <w:p w14:paraId="2835CF9C">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5BC22A0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（根据竞争性磋商公告本项目的特定资格要求提供相应的材料）</w:t>
      </w:r>
    </w:p>
    <w:p w14:paraId="3A19149B">
      <w:pPr>
        <w:widowControl/>
        <w:spacing w:line="360" w:lineRule="auto"/>
        <w:ind w:left="150"/>
        <w:jc w:val="center"/>
        <w:rPr>
          <w:rFonts w:hint="eastAsia" w:ascii="宋体" w:hAnsi="宋体" w:cs="宋体"/>
          <w:b/>
          <w:color w:val="auto"/>
          <w:kern w:val="0"/>
          <w:sz w:val="32"/>
          <w:szCs w:val="32"/>
          <w:highlight w:val="none"/>
          <w:lang w:val="en-US" w:eastAsia="zh-CN"/>
        </w:rPr>
      </w:pPr>
    </w:p>
    <w:p w14:paraId="0BB1307F">
      <w:pPr>
        <w:widowControl/>
        <w:spacing w:line="360" w:lineRule="auto"/>
        <w:ind w:left="150"/>
        <w:jc w:val="center"/>
        <w:rPr>
          <w:rFonts w:hint="eastAsia" w:ascii="宋体" w:hAnsi="宋体" w:cs="宋体"/>
          <w:b/>
          <w:color w:val="auto"/>
          <w:kern w:val="0"/>
          <w:sz w:val="32"/>
          <w:szCs w:val="32"/>
          <w:highlight w:val="none"/>
          <w:lang w:val="en-US" w:eastAsia="zh-CN"/>
        </w:rPr>
      </w:pPr>
    </w:p>
    <w:p w14:paraId="5AD6B3C1">
      <w:pPr>
        <w:widowControl/>
        <w:spacing w:line="360" w:lineRule="auto"/>
        <w:ind w:left="150"/>
        <w:jc w:val="center"/>
        <w:rPr>
          <w:rFonts w:hint="eastAsia" w:ascii="宋体" w:hAnsi="宋体" w:cs="宋体"/>
          <w:b/>
          <w:color w:val="auto"/>
          <w:kern w:val="0"/>
          <w:sz w:val="32"/>
          <w:szCs w:val="32"/>
          <w:highlight w:val="none"/>
          <w:lang w:val="en-US" w:eastAsia="zh-CN"/>
        </w:rPr>
      </w:pPr>
    </w:p>
    <w:p w14:paraId="57DA9E99">
      <w:pPr>
        <w:widowControl/>
        <w:spacing w:line="360" w:lineRule="auto"/>
        <w:ind w:left="150"/>
        <w:jc w:val="center"/>
        <w:rPr>
          <w:rFonts w:hint="eastAsia" w:ascii="宋体" w:hAnsi="宋体" w:cs="宋体"/>
          <w:b/>
          <w:color w:val="auto"/>
          <w:kern w:val="0"/>
          <w:sz w:val="32"/>
          <w:szCs w:val="32"/>
          <w:highlight w:val="none"/>
          <w:lang w:val="en-US" w:eastAsia="zh-CN"/>
        </w:rPr>
      </w:pPr>
    </w:p>
    <w:p w14:paraId="54FFBDE3">
      <w:pPr>
        <w:widowControl/>
        <w:spacing w:line="360" w:lineRule="auto"/>
        <w:ind w:left="150"/>
        <w:jc w:val="center"/>
        <w:rPr>
          <w:rFonts w:hint="eastAsia" w:ascii="宋体" w:hAnsi="宋体" w:cs="宋体"/>
          <w:b/>
          <w:color w:val="auto"/>
          <w:kern w:val="0"/>
          <w:sz w:val="32"/>
          <w:szCs w:val="32"/>
          <w:highlight w:val="none"/>
          <w:lang w:val="en-US" w:eastAsia="zh-CN"/>
        </w:rPr>
      </w:pPr>
    </w:p>
    <w:p w14:paraId="630FD22F">
      <w:pPr>
        <w:widowControl/>
        <w:spacing w:line="360" w:lineRule="auto"/>
        <w:ind w:left="150"/>
        <w:jc w:val="center"/>
        <w:rPr>
          <w:rFonts w:hint="eastAsia" w:ascii="宋体" w:hAnsi="宋体" w:cs="宋体"/>
          <w:b/>
          <w:color w:val="auto"/>
          <w:kern w:val="0"/>
          <w:sz w:val="32"/>
          <w:szCs w:val="32"/>
          <w:highlight w:val="none"/>
          <w:lang w:val="en-US" w:eastAsia="zh-CN"/>
        </w:rPr>
      </w:pPr>
    </w:p>
    <w:p w14:paraId="6DAB4D73">
      <w:pPr>
        <w:rPr>
          <w:color w:val="auto"/>
          <w:highlight w:val="yellow"/>
        </w:rPr>
        <w:sectPr>
          <w:pgSz w:w="11906" w:h="16838"/>
          <w:pgMar w:top="1440" w:right="1080" w:bottom="1440" w:left="1080" w:header="851" w:footer="992" w:gutter="0"/>
          <w:pgNumType w:fmt="decimal"/>
          <w:cols w:space="720" w:num="1"/>
          <w:titlePg/>
          <w:docGrid w:linePitch="312" w:charSpace="0"/>
        </w:sectPr>
      </w:pPr>
    </w:p>
    <w:p w14:paraId="3098D05E">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12C63757">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29C881C8">
      <w:pPr>
        <w:numPr>
          <w:ilvl w:val="255"/>
          <w:numId w:val="0"/>
        </w:numPr>
        <w:snapToGrid w:val="0"/>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响应函……………………………………………………………………………（页码）</w:t>
      </w:r>
    </w:p>
    <w:p w14:paraId="00D68388">
      <w:pPr>
        <w:numPr>
          <w:ilvl w:val="255"/>
          <w:numId w:val="0"/>
        </w:numPr>
        <w:snapToGrid w:val="0"/>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2）授权委托书或法定代表人（单位负责人、自然人本人）身份证明</w:t>
      </w:r>
      <w:r>
        <w:rPr>
          <w:rFonts w:hint="eastAsia" w:ascii="宋体" w:hAnsi="宋体" w:cs="宋体"/>
          <w:color w:val="auto"/>
          <w:sz w:val="24"/>
          <w:highlight w:val="none"/>
        </w:rPr>
        <w:t>……………（页码）</w:t>
      </w:r>
    </w:p>
    <w:p w14:paraId="1AD536D5">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）分包意向协议………………………………………………………………………（页码）</w:t>
      </w:r>
    </w:p>
    <w:p w14:paraId="7445C1B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）符合性审查资料……………………………………………………………………（页码）</w:t>
      </w:r>
    </w:p>
    <w:p w14:paraId="6BFFA21D">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）评审标准相应的商务技术资料……………………………………………………（页码）（</w:t>
      </w:r>
      <w:r>
        <w:rPr>
          <w:rFonts w:ascii="宋体" w:hAnsi="宋体" w:cs="宋体"/>
          <w:color w:val="auto"/>
          <w:sz w:val="24"/>
          <w:highlight w:val="none"/>
        </w:rPr>
        <w:t>6</w:t>
      </w:r>
      <w:r>
        <w:rPr>
          <w:rFonts w:hint="eastAsia" w:ascii="宋体" w:hAnsi="宋体" w:cs="宋体"/>
          <w:color w:val="auto"/>
          <w:sz w:val="24"/>
          <w:highlight w:val="none"/>
        </w:rPr>
        <w:t>）商务技术偏离表……………………………………………………………………（页码）</w:t>
      </w:r>
    </w:p>
    <w:p w14:paraId="59B8A0FC">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lang w:val="zh-CN"/>
        </w:rPr>
        <w:t>（</w:t>
      </w:r>
      <w:r>
        <w:rPr>
          <w:rFonts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sz w:val="24"/>
          <w:highlight w:val="none"/>
        </w:rPr>
        <w:t>…………………………………………………（页码）</w:t>
      </w:r>
    </w:p>
    <w:p w14:paraId="78C601F8">
      <w:pPr>
        <w:snapToGrid w:val="0"/>
        <w:spacing w:line="360" w:lineRule="auto"/>
        <w:jc w:val="center"/>
        <w:rPr>
          <w:rFonts w:ascii="宋体" w:hAnsi="宋体" w:cs="宋体"/>
          <w:b/>
          <w:color w:val="auto"/>
          <w:kern w:val="0"/>
          <w:sz w:val="24"/>
          <w:szCs w:val="32"/>
          <w:highlight w:val="none"/>
          <w:lang w:val="zh-CN"/>
        </w:rPr>
        <w:sectPr>
          <w:pgSz w:w="11906" w:h="16838"/>
          <w:pgMar w:top="1440" w:right="1080" w:bottom="1440" w:left="1080" w:header="851" w:footer="992" w:gutter="0"/>
          <w:cols w:space="720" w:num="1"/>
          <w:titlePg/>
          <w:docGrid w:linePitch="312" w:charSpace="0"/>
        </w:sectPr>
      </w:pPr>
    </w:p>
    <w:p w14:paraId="691FB6E3">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一、响应函</w:t>
      </w:r>
    </w:p>
    <w:p w14:paraId="5C2A3538">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杭州市钱塘区金沙湖实验学校</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浙江省房地产管理咨询有限公司</w:t>
      </w:r>
      <w:r>
        <w:rPr>
          <w:rFonts w:hint="eastAsia" w:ascii="宋体" w:hAnsi="宋体" w:cs="宋体"/>
          <w:color w:val="auto"/>
          <w:sz w:val="24"/>
          <w:highlight w:val="none"/>
        </w:rPr>
        <w:t>：</w:t>
      </w:r>
    </w:p>
    <w:p w14:paraId="144C826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杭州市钱塘区金沙湖实验学校2025年足球场改造工程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 xml:space="preserve"> QTCG-CS-2025-038</w:t>
      </w:r>
      <w:r>
        <w:rPr>
          <w:rFonts w:hint="eastAsia" w:ascii="宋体" w:hAnsi="宋体" w:cs="宋体"/>
          <w:color w:val="auto"/>
          <w:sz w:val="24"/>
          <w:highlight w:val="none"/>
        </w:rPr>
        <w:t>】采购的有关活动，并对此项目提交响应文件及报价。为此：</w:t>
      </w:r>
    </w:p>
    <w:p w14:paraId="2C4F392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1、我方承诺响应文件有效期从提交响应文件的截止之日起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90</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本响应文件在响应文件有效期满之前均具有约束力。</w:t>
      </w:r>
    </w:p>
    <w:p w14:paraId="4E242D5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14:paraId="752E88E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6F1B99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103946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7361B90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p>
    <w:p w14:paraId="369A1CD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43532F1">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EEC8E3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2.2.1响应函；</w:t>
      </w:r>
      <w:r>
        <w:rPr>
          <w:rFonts w:hint="eastAsia" w:ascii="宋体" w:hAnsi="宋体" w:cs="宋体"/>
          <w:color w:val="auto"/>
          <w:sz w:val="24"/>
          <w:highlight w:val="none"/>
          <w:lang w:val="zh-CN"/>
        </w:rPr>
        <w:t xml:space="preserve"> </w:t>
      </w:r>
    </w:p>
    <w:p w14:paraId="100EFA5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45A669E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05F9095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1397F1E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评审标准相应的商务技术资料；</w:t>
      </w:r>
    </w:p>
    <w:p w14:paraId="3CFB2BF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2.2.6商务技术偏离表；</w:t>
      </w:r>
    </w:p>
    <w:p w14:paraId="17256EC8">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50078EC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67E7F35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2.3.1报价单；</w:t>
      </w:r>
    </w:p>
    <w:p w14:paraId="5A83F46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2.3.2已标价工程量清单；</w:t>
      </w:r>
    </w:p>
    <w:p w14:paraId="67B6701F">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2.3.3中小企业声明函。</w:t>
      </w:r>
    </w:p>
    <w:p w14:paraId="60B6BF6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.3.4 报价情况说明（如供应商报价低于项目预算50%的，应当提交本文档，详细阐述不影响产品质量或者诚信履约的具体原因）。</w:t>
      </w:r>
    </w:p>
    <w:p w14:paraId="5F327FC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3、3.我方承诺除商务技术偏离表列出的偏离外，我方响应招标文件的全部要求。对投标文件中材料的真实性、合法性负责，积极配合采购人、采购代理机构复核投标文件中的资料。</w:t>
      </w:r>
    </w:p>
    <w:p w14:paraId="526640F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4、如我方成交，我方承诺：</w:t>
      </w:r>
    </w:p>
    <w:p w14:paraId="2C1299F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14:paraId="06E35AC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4BFE44D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4.3按照采购文件要求提交履约保证金； </w:t>
      </w:r>
    </w:p>
    <w:p w14:paraId="6A2A8C8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2E027CB">
      <w:pPr>
        <w:numPr>
          <w:ilvl w:val="0"/>
          <w:numId w:val="0"/>
        </w:numPr>
        <w:snapToGrid w:val="0"/>
        <w:spacing w:line="360" w:lineRule="auto"/>
        <w:ind w:leftChars="300"/>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04294FD">
      <w:pPr>
        <w:numPr>
          <w:ilvl w:val="0"/>
          <w:numId w:val="0"/>
        </w:numPr>
        <w:snapToGrid w:val="0"/>
        <w:spacing w:line="360" w:lineRule="auto"/>
        <w:ind w:leftChars="3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9232F7D">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供应商名称（电子签名）：                          </w:t>
      </w:r>
    </w:p>
    <w:p w14:paraId="6CD69A9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15D9EE7">
      <w:pPr>
        <w:snapToGrid w:val="0"/>
        <w:spacing w:line="360" w:lineRule="auto"/>
        <w:ind w:left="420" w:leftChars="200" w:firstLine="4200" w:firstLineChars="1750"/>
        <w:rPr>
          <w:rFonts w:ascii="宋体" w:hAnsi="宋体" w:cs="宋体"/>
          <w:color w:val="auto"/>
          <w:kern w:val="0"/>
          <w:sz w:val="24"/>
          <w:highlight w:val="none"/>
          <w:u w:val="single"/>
        </w:rPr>
      </w:pPr>
    </w:p>
    <w:p w14:paraId="6143714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F4DD560">
      <w:pPr>
        <w:snapToGrid w:val="0"/>
        <w:spacing w:line="360" w:lineRule="auto"/>
        <w:jc w:val="center"/>
        <w:rPr>
          <w:rFonts w:ascii="宋体" w:hAnsi="宋体" w:cs="宋体"/>
          <w:b/>
          <w:color w:val="auto"/>
          <w:kern w:val="0"/>
          <w:sz w:val="32"/>
          <w:szCs w:val="32"/>
          <w:highlight w:val="none"/>
        </w:rPr>
      </w:pPr>
    </w:p>
    <w:p w14:paraId="145F1FFB">
      <w:pPr>
        <w:snapToGrid w:val="0"/>
        <w:spacing w:line="360" w:lineRule="auto"/>
        <w:rPr>
          <w:rFonts w:ascii="宋体" w:hAnsi="宋体" w:cs="宋体"/>
          <w:color w:val="auto"/>
          <w:sz w:val="24"/>
          <w:highlight w:val="none"/>
        </w:rPr>
      </w:pPr>
    </w:p>
    <w:p w14:paraId="74E70215">
      <w:pPr>
        <w:jc w:val="center"/>
        <w:rPr>
          <w:rFonts w:ascii="宋体" w:hAnsi="宋体" w:cs="宋体"/>
          <w:b/>
          <w:color w:val="auto"/>
          <w:kern w:val="0"/>
          <w:sz w:val="32"/>
          <w:szCs w:val="32"/>
          <w:highlight w:val="none"/>
        </w:rPr>
      </w:pPr>
    </w:p>
    <w:p w14:paraId="216D1411">
      <w:pPr>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1F240840">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二、授权委托书或法定代表人（单位负责人、自然人本人）身份证明</w:t>
      </w:r>
    </w:p>
    <w:p w14:paraId="78F5DD7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5E63BF46">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授权委托书（适用于非联合体</w:t>
      </w:r>
      <w:r>
        <w:rPr>
          <w:rFonts w:hint="eastAsia" w:ascii="宋体" w:hAnsi="宋体" w:cs="宋体"/>
          <w:b/>
          <w:bCs/>
          <w:color w:val="auto"/>
          <w:sz w:val="32"/>
          <w:szCs w:val="32"/>
          <w:highlight w:val="none"/>
          <w:lang w:val="en-US" w:eastAsia="zh-CN"/>
        </w:rPr>
        <w:t>响应</w:t>
      </w:r>
      <w:r>
        <w:rPr>
          <w:rFonts w:hint="eastAsia" w:ascii="宋体" w:hAnsi="宋体" w:cs="宋体"/>
          <w:b/>
          <w:bCs/>
          <w:color w:val="auto"/>
          <w:sz w:val="32"/>
          <w:szCs w:val="32"/>
          <w:highlight w:val="none"/>
          <w:lang w:val="zh-CN"/>
        </w:rPr>
        <w:t>）</w:t>
      </w:r>
    </w:p>
    <w:p w14:paraId="4040088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杭州市钱塘区金沙湖实验学校</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浙江省房地产管理咨询有限公司</w:t>
      </w:r>
      <w:r>
        <w:rPr>
          <w:rFonts w:hint="eastAsia" w:ascii="宋体" w:hAnsi="宋体" w:cs="宋体"/>
          <w:color w:val="auto"/>
          <w:kern w:val="0"/>
          <w:sz w:val="24"/>
          <w:highlight w:val="none"/>
          <w:lang w:val="zh-CN"/>
        </w:rPr>
        <w:t>：</w:t>
      </w:r>
    </w:p>
    <w:p w14:paraId="422BB50B">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杭州市钱塘区金沙湖实验学校2025年足球场改造工程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 xml:space="preserve"> QTCG-CS-2025-038</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zh-CN"/>
        </w:rPr>
        <w:t>的一切事项，其法律后果由我方承担。</w:t>
      </w:r>
    </w:p>
    <w:p w14:paraId="798A737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00C8FE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C29A02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2C5A9D09">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47D9435E">
      <w:pPr>
        <w:snapToGrid w:val="0"/>
        <w:spacing w:line="360" w:lineRule="auto"/>
        <w:rPr>
          <w:rFonts w:ascii="宋体" w:hAnsi="宋体" w:cs="宋体"/>
          <w:color w:val="auto"/>
          <w:sz w:val="24"/>
          <w:highlight w:val="none"/>
        </w:rPr>
      </w:pPr>
    </w:p>
    <w:p w14:paraId="0CE8D73F">
      <w:pPr>
        <w:snapToGrid w:val="0"/>
        <w:spacing w:line="360" w:lineRule="auto"/>
        <w:rPr>
          <w:rFonts w:ascii="宋体" w:hAnsi="宋体" w:cs="宋体"/>
          <w:color w:val="auto"/>
          <w:sz w:val="24"/>
          <w:highlight w:val="none"/>
        </w:rPr>
      </w:pPr>
    </w:p>
    <w:p w14:paraId="18ABA1E1">
      <w:pPr>
        <w:snapToGrid w:val="0"/>
        <w:spacing w:line="360" w:lineRule="auto"/>
        <w:rPr>
          <w:rFonts w:ascii="宋体" w:hAnsi="宋体" w:cs="宋体"/>
          <w:color w:val="auto"/>
          <w:sz w:val="24"/>
          <w:highlight w:val="none"/>
        </w:rPr>
      </w:pPr>
    </w:p>
    <w:p w14:paraId="291EF396">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授权委托书（适用于联合体</w:t>
      </w:r>
      <w:r>
        <w:rPr>
          <w:rFonts w:hint="eastAsia" w:ascii="宋体" w:hAnsi="宋体" w:cs="宋体"/>
          <w:b/>
          <w:bCs/>
          <w:color w:val="auto"/>
          <w:sz w:val="32"/>
          <w:szCs w:val="32"/>
          <w:highlight w:val="none"/>
          <w:lang w:val="en-US" w:eastAsia="zh-CN"/>
        </w:rPr>
        <w:t>响应</w:t>
      </w:r>
      <w:r>
        <w:rPr>
          <w:rFonts w:hint="eastAsia" w:ascii="宋体" w:hAnsi="宋体" w:cs="宋体"/>
          <w:b/>
          <w:bCs/>
          <w:color w:val="auto"/>
          <w:sz w:val="32"/>
          <w:szCs w:val="32"/>
          <w:highlight w:val="none"/>
          <w:lang w:val="zh-CN"/>
        </w:rPr>
        <w:t>）</w:t>
      </w:r>
    </w:p>
    <w:p w14:paraId="42FE7D4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杭州市钱塘区金沙湖实验学校</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浙江省房地产管理咨询有限公司</w:t>
      </w:r>
      <w:r>
        <w:rPr>
          <w:rFonts w:hint="eastAsia" w:ascii="宋体" w:hAnsi="宋体" w:cs="宋体"/>
          <w:color w:val="auto"/>
          <w:kern w:val="0"/>
          <w:sz w:val="24"/>
          <w:highlight w:val="none"/>
          <w:lang w:val="zh-CN"/>
        </w:rPr>
        <w:t>：</w:t>
      </w:r>
    </w:p>
    <w:p w14:paraId="5FDBC89F">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杭州市钱塘区金沙湖实验学校2025年足球场改造工程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 xml:space="preserve"> QTCG-CS-2025-038</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zh-CN"/>
        </w:rPr>
        <w:t>的一切事项，其法律后果由我方承担。</w:t>
      </w:r>
    </w:p>
    <w:p w14:paraId="07289D3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820AC9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8DE22E5">
      <w:pPr>
        <w:jc w:val="center"/>
        <w:rPr>
          <w:rFonts w:ascii="宋体" w:hAnsi="宋体" w:cs="宋体"/>
          <w:b/>
          <w:color w:val="auto"/>
          <w:kern w:val="0"/>
          <w:sz w:val="32"/>
          <w:szCs w:val="32"/>
          <w:highlight w:val="none"/>
        </w:rPr>
      </w:pPr>
    </w:p>
    <w:p w14:paraId="339EA02A">
      <w:pPr>
        <w:jc w:val="center"/>
        <w:rPr>
          <w:rFonts w:ascii="宋体" w:hAnsi="宋体" w:cs="宋体"/>
          <w:b/>
          <w:color w:val="auto"/>
          <w:kern w:val="0"/>
          <w:sz w:val="32"/>
          <w:szCs w:val="32"/>
          <w:highlight w:val="none"/>
        </w:rPr>
      </w:pPr>
    </w:p>
    <w:p w14:paraId="53BB541D">
      <w:pPr>
        <w:jc w:val="center"/>
        <w:rPr>
          <w:rFonts w:ascii="宋体" w:hAnsi="宋体" w:cs="宋体"/>
          <w:b/>
          <w:color w:val="auto"/>
          <w:kern w:val="0"/>
          <w:sz w:val="32"/>
          <w:szCs w:val="32"/>
          <w:highlight w:val="none"/>
        </w:rPr>
      </w:pPr>
    </w:p>
    <w:p w14:paraId="58E96099">
      <w:pPr>
        <w:rPr>
          <w:rFonts w:ascii="宋体" w:hAnsi="宋体" w:cs="宋体"/>
          <w:color w:val="auto"/>
          <w:highlight w:val="none"/>
        </w:rPr>
      </w:pPr>
    </w:p>
    <w:p w14:paraId="40E4471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EF396C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3F561FD">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55E4517">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1D04983">
      <w:pPr>
        <w:snapToGrid w:val="0"/>
        <w:jc w:val="center"/>
        <w:rPr>
          <w:rFonts w:hint="eastAsia" w:ascii="宋体" w:hAnsi="宋体" w:cs="宋体"/>
          <w:b/>
          <w:bCs/>
          <w:color w:val="auto"/>
          <w:sz w:val="32"/>
          <w:szCs w:val="32"/>
          <w:highlight w:val="none"/>
          <w:lang w:val="zh-CN"/>
        </w:rPr>
      </w:pPr>
    </w:p>
    <w:p w14:paraId="4FCF31F8">
      <w:pPr>
        <w:snapToGrid w:val="0"/>
        <w:jc w:val="center"/>
        <w:rPr>
          <w:rFonts w:hint="eastAsia" w:ascii="宋体" w:hAnsi="宋体" w:cs="宋体"/>
          <w:b/>
          <w:bCs/>
          <w:color w:val="auto"/>
          <w:sz w:val="32"/>
          <w:szCs w:val="32"/>
          <w:highlight w:val="none"/>
          <w:lang w:val="zh-CN"/>
        </w:rPr>
      </w:pPr>
    </w:p>
    <w:p w14:paraId="0BB1C02F">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法定代表人、单位负责人或自然人本人</w:t>
      </w:r>
      <w:r>
        <w:rPr>
          <w:rFonts w:hint="eastAsia" w:ascii="宋体" w:hAnsi="宋体" w:cs="宋体"/>
          <w:b/>
          <w:bCs/>
          <w:color w:val="auto"/>
          <w:sz w:val="32"/>
          <w:szCs w:val="32"/>
          <w:highlight w:val="none"/>
        </w:rPr>
        <w:t>的身份证明（适用于法定代表人、单位负责人或者自然人本人代表供应商参加</w:t>
      </w:r>
      <w:r>
        <w:rPr>
          <w:rFonts w:hint="eastAsia" w:ascii="宋体" w:hAnsi="宋体" w:cs="宋体"/>
          <w:b/>
          <w:bCs/>
          <w:color w:val="auto"/>
          <w:sz w:val="32"/>
          <w:szCs w:val="32"/>
          <w:highlight w:val="none"/>
          <w:lang w:val="en-US" w:eastAsia="zh-CN"/>
        </w:rPr>
        <w:t>响应</w:t>
      </w:r>
      <w:r>
        <w:rPr>
          <w:rFonts w:hint="eastAsia" w:ascii="宋体" w:hAnsi="宋体" w:cs="宋体"/>
          <w:b/>
          <w:bCs/>
          <w:color w:val="auto"/>
          <w:sz w:val="32"/>
          <w:szCs w:val="32"/>
          <w:highlight w:val="none"/>
        </w:rPr>
        <w:t>）</w:t>
      </w:r>
    </w:p>
    <w:p w14:paraId="3EE045AC">
      <w:pPr>
        <w:pStyle w:val="151"/>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20CC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E08C12B">
            <w:pPr>
              <w:pStyle w:val="151"/>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226A5622">
            <w:pPr>
              <w:pStyle w:val="151"/>
              <w:adjustRightInd w:val="0"/>
              <w:spacing w:line="360" w:lineRule="auto"/>
              <w:rPr>
                <w:rFonts w:hAnsi="宋体" w:cs="宋体"/>
                <w:bCs/>
                <w:color w:val="auto"/>
                <w:sz w:val="24"/>
                <w:highlight w:val="none"/>
              </w:rPr>
            </w:pPr>
          </w:p>
        </w:tc>
      </w:tr>
    </w:tbl>
    <w:p w14:paraId="3634880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E99A8D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611446F3">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4942DE4">
      <w:pPr>
        <w:jc w:val="center"/>
        <w:rPr>
          <w:rFonts w:ascii="宋体" w:hAnsi="宋体" w:cs="宋体"/>
          <w:b/>
          <w:color w:val="auto"/>
          <w:kern w:val="0"/>
          <w:sz w:val="32"/>
          <w:szCs w:val="32"/>
          <w:highlight w:val="none"/>
        </w:rPr>
      </w:pPr>
    </w:p>
    <w:p w14:paraId="4B106C4F">
      <w:pPr>
        <w:jc w:val="center"/>
        <w:rPr>
          <w:rFonts w:ascii="宋体" w:hAnsi="宋体" w:cs="宋体"/>
          <w:b/>
          <w:color w:val="auto"/>
          <w:kern w:val="0"/>
          <w:sz w:val="32"/>
          <w:szCs w:val="32"/>
          <w:highlight w:val="none"/>
        </w:rPr>
      </w:pPr>
    </w:p>
    <w:p w14:paraId="39DD2E67">
      <w:pPr>
        <w:jc w:val="center"/>
        <w:rPr>
          <w:rFonts w:ascii="宋体" w:hAnsi="宋体" w:cs="宋体"/>
          <w:b/>
          <w:color w:val="auto"/>
          <w:kern w:val="0"/>
          <w:sz w:val="32"/>
          <w:szCs w:val="32"/>
          <w:highlight w:val="none"/>
        </w:rPr>
      </w:pPr>
    </w:p>
    <w:p w14:paraId="75DC6400">
      <w:pPr>
        <w:jc w:val="center"/>
        <w:rPr>
          <w:rFonts w:ascii="宋体" w:hAnsi="宋体" w:cs="宋体"/>
          <w:b/>
          <w:color w:val="auto"/>
          <w:kern w:val="0"/>
          <w:sz w:val="32"/>
          <w:szCs w:val="32"/>
          <w:highlight w:val="none"/>
        </w:rPr>
      </w:pPr>
    </w:p>
    <w:p w14:paraId="10CEA927">
      <w:pPr>
        <w:jc w:val="center"/>
        <w:rPr>
          <w:rFonts w:ascii="宋体" w:hAnsi="宋体" w:cs="宋体"/>
          <w:b/>
          <w:color w:val="auto"/>
          <w:kern w:val="0"/>
          <w:sz w:val="32"/>
          <w:szCs w:val="32"/>
          <w:highlight w:val="none"/>
        </w:rPr>
      </w:pPr>
    </w:p>
    <w:p w14:paraId="2EC8B30A">
      <w:pPr>
        <w:jc w:val="center"/>
        <w:rPr>
          <w:rFonts w:ascii="宋体" w:hAnsi="宋体" w:cs="宋体"/>
          <w:b/>
          <w:color w:val="auto"/>
          <w:kern w:val="0"/>
          <w:sz w:val="32"/>
          <w:szCs w:val="32"/>
          <w:highlight w:val="none"/>
        </w:rPr>
      </w:pPr>
    </w:p>
    <w:p w14:paraId="7C16F8F8">
      <w:pPr>
        <w:jc w:val="center"/>
        <w:rPr>
          <w:rFonts w:ascii="宋体" w:hAnsi="宋体" w:cs="宋体"/>
          <w:b/>
          <w:color w:val="auto"/>
          <w:kern w:val="0"/>
          <w:sz w:val="32"/>
          <w:szCs w:val="32"/>
          <w:highlight w:val="none"/>
        </w:rPr>
      </w:pPr>
    </w:p>
    <w:p w14:paraId="7B13B697">
      <w:pPr>
        <w:jc w:val="center"/>
        <w:rPr>
          <w:rFonts w:ascii="宋体" w:hAnsi="宋体" w:cs="宋体"/>
          <w:b/>
          <w:color w:val="auto"/>
          <w:kern w:val="0"/>
          <w:sz w:val="32"/>
          <w:szCs w:val="32"/>
          <w:highlight w:val="none"/>
        </w:rPr>
      </w:pPr>
    </w:p>
    <w:p w14:paraId="2CE5F072">
      <w:pPr>
        <w:jc w:val="center"/>
        <w:rPr>
          <w:rFonts w:ascii="宋体" w:hAnsi="宋体" w:cs="宋体"/>
          <w:b/>
          <w:color w:val="auto"/>
          <w:kern w:val="0"/>
          <w:sz w:val="32"/>
          <w:szCs w:val="32"/>
          <w:highlight w:val="none"/>
        </w:rPr>
      </w:pPr>
    </w:p>
    <w:p w14:paraId="56C701E2">
      <w:pPr>
        <w:jc w:val="center"/>
        <w:rPr>
          <w:rFonts w:ascii="宋体" w:hAnsi="宋体" w:cs="宋体"/>
          <w:b/>
          <w:color w:val="auto"/>
          <w:kern w:val="0"/>
          <w:sz w:val="32"/>
          <w:szCs w:val="32"/>
          <w:highlight w:val="none"/>
        </w:rPr>
      </w:pPr>
    </w:p>
    <w:p w14:paraId="3BDBFA29">
      <w:pPr>
        <w:snapToGrid w:val="0"/>
        <w:spacing w:line="360" w:lineRule="auto"/>
        <w:ind w:right="480"/>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6FDFF5CB">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三、分包意向协议</w:t>
      </w:r>
    </w:p>
    <w:p w14:paraId="4806B92C">
      <w:pPr>
        <w:widowControl/>
        <w:spacing w:line="360" w:lineRule="auto"/>
        <w:ind w:firstLine="120" w:firstLineChars="50"/>
        <w:jc w:val="left"/>
        <w:rPr>
          <w:rFonts w:ascii="宋体" w:hAnsi="宋体" w:cs="宋体"/>
          <w:color w:val="auto"/>
          <w:sz w:val="24"/>
          <w:highlight w:val="none"/>
        </w:rPr>
      </w:pPr>
      <w:bookmarkStart w:id="1192" w:name="_Hlk101169080"/>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；采购人不同意分包或者供应商成交后不以分包方式履行合同的，则不需要提供。</w:t>
      </w:r>
      <w:r>
        <w:rPr>
          <w:rFonts w:hint="eastAsia" w:ascii="宋体" w:hAnsi="宋体" w:cs="宋体"/>
          <w:color w:val="auto"/>
          <w:sz w:val="24"/>
          <w:highlight w:val="none"/>
        </w:rPr>
        <w:t>]</w:t>
      </w:r>
    </w:p>
    <w:bookmarkEnd w:id="1192"/>
    <w:p w14:paraId="760F84E3">
      <w:pPr>
        <w:snapToGrid w:val="0"/>
        <w:spacing w:line="360" w:lineRule="auto"/>
        <w:rPr>
          <w:rFonts w:ascii="宋体" w:hAnsi="宋体" w:cs="宋体"/>
          <w:color w:val="auto"/>
          <w:kern w:val="0"/>
          <w:sz w:val="24"/>
          <w:highlight w:val="none"/>
        </w:rPr>
      </w:pPr>
    </w:p>
    <w:p w14:paraId="7F12DD00">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四、符合性审查资料</w:t>
      </w:r>
    </w:p>
    <w:p w14:paraId="7A504A55">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6B16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ED42613">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1DEE7F5B">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3FBE0114">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01732BCF">
            <w:pPr>
              <w:snapToGrid w:val="0"/>
              <w:spacing w:line="240" w:lineRule="atLeast"/>
              <w:jc w:val="center"/>
              <w:rPr>
                <w:rFonts w:ascii="宋体" w:hAnsi="宋体" w:cs="宋体"/>
                <w:b/>
                <w:sz w:val="24"/>
              </w:rPr>
            </w:pPr>
            <w:r>
              <w:rPr>
                <w:rFonts w:hint="eastAsia" w:ascii="宋体" w:hAnsi="宋体" w:cs="宋体"/>
                <w:b/>
                <w:sz w:val="24"/>
              </w:rPr>
              <w:t>响应文件中的</w:t>
            </w:r>
          </w:p>
          <w:p w14:paraId="268F05A5">
            <w:pPr>
              <w:snapToGrid w:val="0"/>
              <w:spacing w:line="240" w:lineRule="atLeast"/>
              <w:jc w:val="center"/>
              <w:rPr>
                <w:rFonts w:ascii="宋体" w:hAnsi="宋体" w:cs="宋体"/>
                <w:b/>
                <w:sz w:val="24"/>
              </w:rPr>
            </w:pPr>
            <w:r>
              <w:rPr>
                <w:rFonts w:hint="eastAsia" w:ascii="宋体" w:hAnsi="宋体" w:cs="宋体"/>
                <w:b/>
                <w:sz w:val="24"/>
              </w:rPr>
              <w:t>页码位置</w:t>
            </w:r>
          </w:p>
        </w:tc>
      </w:tr>
      <w:tr w14:paraId="46D79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1C2AD29">
            <w:pPr>
              <w:rPr>
                <w:rFonts w:ascii="宋体" w:hAnsi="宋体" w:cs="宋体"/>
                <w:sz w:val="24"/>
              </w:rPr>
            </w:pPr>
            <w:r>
              <w:rPr>
                <w:rFonts w:hint="eastAsia" w:ascii="宋体" w:hAnsi="宋体" w:cs="宋体"/>
                <w:sz w:val="24"/>
              </w:rPr>
              <w:t>1</w:t>
            </w:r>
          </w:p>
        </w:tc>
        <w:tc>
          <w:tcPr>
            <w:tcW w:w="4991" w:type="dxa"/>
            <w:vAlign w:val="center"/>
          </w:tcPr>
          <w:p w14:paraId="457EED15">
            <w:pPr>
              <w:spacing w:line="360" w:lineRule="auto"/>
              <w:rPr>
                <w:rFonts w:ascii="宋体" w:hAnsi="宋体" w:cs="宋体"/>
                <w:sz w:val="24"/>
              </w:rPr>
            </w:pPr>
            <w:r>
              <w:rPr>
                <w:rFonts w:hint="eastAsia" w:ascii="宋体" w:hAnsi="宋体" w:cs="宋体"/>
                <w:sz w:val="24"/>
              </w:rPr>
              <w:t>响应文件按照采购文件要求签署、盖章。</w:t>
            </w:r>
          </w:p>
        </w:tc>
        <w:tc>
          <w:tcPr>
            <w:tcW w:w="2551" w:type="dxa"/>
            <w:vAlign w:val="center"/>
          </w:tcPr>
          <w:p w14:paraId="60DAB515">
            <w:pPr>
              <w:rPr>
                <w:rFonts w:ascii="宋体" w:hAnsi="宋体" w:cs="宋体"/>
                <w:sz w:val="24"/>
              </w:rPr>
            </w:pPr>
            <w:r>
              <w:rPr>
                <w:rFonts w:hint="eastAsia" w:ascii="宋体" w:hAnsi="宋体" w:cs="宋体"/>
                <w:sz w:val="24"/>
              </w:rPr>
              <w:t>需要使用电子签名或者签字盖章的响应文件的组成部分</w:t>
            </w:r>
          </w:p>
        </w:tc>
        <w:tc>
          <w:tcPr>
            <w:tcW w:w="1418" w:type="dxa"/>
            <w:vAlign w:val="center"/>
          </w:tcPr>
          <w:p w14:paraId="51114DDE">
            <w:pPr>
              <w:rPr>
                <w:rFonts w:ascii="宋体" w:hAnsi="宋体" w:cs="宋体"/>
                <w:sz w:val="24"/>
              </w:rPr>
            </w:pPr>
            <w:r>
              <w:rPr>
                <w:rFonts w:hint="eastAsia" w:ascii="宋体" w:hAnsi="宋体" w:cs="宋体"/>
                <w:sz w:val="24"/>
              </w:rPr>
              <w:t>见响应文件</w:t>
            </w:r>
          </w:p>
          <w:p w14:paraId="1904B3DF">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6BDDE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D4321B1">
            <w:pPr>
              <w:spacing w:line="360" w:lineRule="auto"/>
              <w:rPr>
                <w:rFonts w:ascii="宋体" w:hAnsi="宋体" w:cs="宋体"/>
                <w:sz w:val="24"/>
              </w:rPr>
            </w:pPr>
            <w:r>
              <w:rPr>
                <w:rFonts w:hint="eastAsia" w:ascii="宋体" w:hAnsi="宋体" w:cs="宋体"/>
                <w:sz w:val="24"/>
              </w:rPr>
              <w:t>2</w:t>
            </w:r>
          </w:p>
        </w:tc>
        <w:tc>
          <w:tcPr>
            <w:tcW w:w="4991" w:type="dxa"/>
            <w:vAlign w:val="center"/>
          </w:tcPr>
          <w:p w14:paraId="39A32E06">
            <w:pPr>
              <w:spacing w:line="360" w:lineRule="auto"/>
              <w:rPr>
                <w:rFonts w:ascii="宋体" w:hAnsi="宋体" w:cs="宋体"/>
                <w:sz w:val="24"/>
              </w:rPr>
            </w:pPr>
            <w:r>
              <w:rPr>
                <w:rFonts w:hint="eastAsia" w:ascii="宋体" w:hAnsi="宋体" w:cs="宋体"/>
                <w:sz w:val="24"/>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66614168">
            <w:pPr>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c>
          <w:tcPr>
            <w:tcW w:w="1418" w:type="dxa"/>
            <w:vAlign w:val="center"/>
          </w:tcPr>
          <w:p w14:paraId="1B774F87">
            <w:pPr>
              <w:rPr>
                <w:rFonts w:ascii="宋体" w:hAnsi="宋体" w:cs="宋体"/>
                <w:sz w:val="24"/>
              </w:rPr>
            </w:pPr>
            <w:r>
              <w:rPr>
                <w:rFonts w:hint="eastAsia" w:ascii="宋体" w:hAnsi="宋体" w:cs="宋体"/>
                <w:sz w:val="24"/>
              </w:rPr>
              <w:t>见响应文件</w:t>
            </w:r>
          </w:p>
          <w:p w14:paraId="103737EE">
            <w:pPr>
              <w:pStyle w:val="4"/>
              <w:jc w:val="both"/>
              <w:rPr>
                <w:rFonts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14:paraId="7A3FB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4B6B0B9">
            <w:pPr>
              <w:rPr>
                <w:rFonts w:ascii="宋体" w:hAnsi="宋体" w:cs="宋体"/>
                <w:sz w:val="24"/>
              </w:rPr>
            </w:pPr>
            <w:r>
              <w:rPr>
                <w:rFonts w:hint="eastAsia" w:ascii="宋体" w:hAnsi="宋体" w:cs="宋体"/>
                <w:sz w:val="24"/>
              </w:rPr>
              <w:t>3</w:t>
            </w:r>
          </w:p>
        </w:tc>
        <w:tc>
          <w:tcPr>
            <w:tcW w:w="4991" w:type="dxa"/>
            <w:vAlign w:val="center"/>
          </w:tcPr>
          <w:p w14:paraId="38A8736B">
            <w:pPr>
              <w:spacing w:line="360" w:lineRule="auto"/>
              <w:rPr>
                <w:rFonts w:ascii="宋体" w:hAnsi="宋体" w:cs="宋体"/>
                <w:sz w:val="24"/>
              </w:rPr>
            </w:pPr>
            <w:r>
              <w:rPr>
                <w:rFonts w:hint="eastAsia" w:ascii="宋体" w:hAnsi="宋体" w:cs="宋体"/>
                <w:sz w:val="24"/>
              </w:rPr>
              <w:t>响应文件中承诺的响应文件有效期不少于采购文件中载明的响应文件有效期。</w:t>
            </w:r>
          </w:p>
        </w:tc>
        <w:tc>
          <w:tcPr>
            <w:tcW w:w="2551" w:type="dxa"/>
            <w:vAlign w:val="center"/>
          </w:tcPr>
          <w:p w14:paraId="430C54D5">
            <w:pPr>
              <w:rPr>
                <w:rFonts w:ascii="宋体" w:hAnsi="宋体" w:cs="宋体"/>
                <w:sz w:val="24"/>
              </w:rPr>
            </w:pPr>
            <w:r>
              <w:rPr>
                <w:rFonts w:hint="eastAsia" w:ascii="宋体" w:hAnsi="宋体" w:cs="宋体"/>
                <w:sz w:val="24"/>
              </w:rPr>
              <w:t>响应函</w:t>
            </w:r>
          </w:p>
        </w:tc>
        <w:tc>
          <w:tcPr>
            <w:tcW w:w="1418" w:type="dxa"/>
            <w:vAlign w:val="center"/>
          </w:tcPr>
          <w:p w14:paraId="5444BA53">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4D763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9B8EEAC">
            <w:pPr>
              <w:jc w:val="center"/>
              <w:rPr>
                <w:rFonts w:ascii="宋体" w:hAnsi="宋体" w:cs="宋体"/>
                <w:sz w:val="24"/>
                <w:highlight w:val="none"/>
              </w:rPr>
            </w:pPr>
            <w:r>
              <w:rPr>
                <w:rFonts w:hint="eastAsia" w:ascii="宋体" w:hAnsi="宋体" w:cs="宋体"/>
                <w:b w:val="0"/>
                <w:bCs w:val="0"/>
                <w:sz w:val="24"/>
                <w:highlight w:val="none"/>
                <w:lang w:val="en-US" w:eastAsia="zh-CN"/>
              </w:rPr>
              <w:t>4</w:t>
            </w:r>
          </w:p>
        </w:tc>
        <w:tc>
          <w:tcPr>
            <w:tcW w:w="4991" w:type="dxa"/>
            <w:vAlign w:val="top"/>
          </w:tcPr>
          <w:p w14:paraId="3F10BC8E">
            <w:pPr>
              <w:spacing w:line="360" w:lineRule="auto"/>
              <w:rPr>
                <w:rFonts w:ascii="宋体" w:hAnsi="宋体" w:cs="宋体"/>
                <w:sz w:val="24"/>
                <w:highlight w:val="none"/>
              </w:rPr>
            </w:pPr>
            <w:r>
              <w:rPr>
                <w:rFonts w:hint="eastAsia" w:ascii="宋体" w:hAnsi="宋体" w:cs="宋体"/>
                <w:b w:val="0"/>
                <w:bCs w:val="0"/>
                <w:snapToGrid w:val="0"/>
                <w:sz w:val="24"/>
                <w:highlight w:val="none"/>
                <w:lang w:val="en-US" w:eastAsia="zh-CN"/>
              </w:rPr>
              <w:t>其他实质性要求1：</w:t>
            </w:r>
          </w:p>
        </w:tc>
        <w:tc>
          <w:tcPr>
            <w:tcW w:w="2551" w:type="dxa"/>
            <w:vMerge w:val="restart"/>
            <w:vAlign w:val="center"/>
          </w:tcPr>
          <w:p w14:paraId="64C95335">
            <w:pPr>
              <w:rPr>
                <w:rFonts w:ascii="宋体" w:hAnsi="宋体" w:cs="宋体"/>
                <w:sz w:val="24"/>
                <w:highlight w:val="none"/>
              </w:rPr>
            </w:pPr>
            <w:r>
              <w:rPr>
                <w:rFonts w:hint="eastAsia" w:ascii="宋体" w:hAnsi="宋体" w:cs="宋体"/>
                <w:kern w:val="0"/>
                <w:sz w:val="24"/>
                <w:highlight w:val="none"/>
              </w:rPr>
              <w:t>采购文件其它实质性要求相应的材料（“▲” 系指实质性要求条款，采购文件无其它实质性要求的，无需提供）</w:t>
            </w:r>
          </w:p>
        </w:tc>
        <w:tc>
          <w:tcPr>
            <w:tcW w:w="1418" w:type="dxa"/>
            <w:vAlign w:val="center"/>
          </w:tcPr>
          <w:p w14:paraId="2E129498">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78596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F9C4D1B">
            <w:pPr>
              <w:jc w:val="center"/>
              <w:rPr>
                <w:rFonts w:hint="eastAsia" w:ascii="宋体" w:hAnsi="宋体" w:cs="宋体"/>
                <w:sz w:val="24"/>
                <w:highlight w:val="none"/>
              </w:rPr>
            </w:pPr>
            <w:r>
              <w:rPr>
                <w:rFonts w:hint="eastAsia" w:ascii="宋体" w:hAnsi="宋体" w:cs="宋体"/>
                <w:b w:val="0"/>
                <w:bCs w:val="0"/>
                <w:sz w:val="24"/>
                <w:highlight w:val="none"/>
                <w:lang w:val="en-US" w:eastAsia="zh-CN"/>
              </w:rPr>
              <w:t>5</w:t>
            </w:r>
          </w:p>
        </w:tc>
        <w:tc>
          <w:tcPr>
            <w:tcW w:w="4991" w:type="dxa"/>
            <w:vAlign w:val="top"/>
          </w:tcPr>
          <w:p w14:paraId="6E4C030D">
            <w:pPr>
              <w:spacing w:line="360" w:lineRule="auto"/>
              <w:rPr>
                <w:rFonts w:hint="eastAsia" w:ascii="宋体" w:hAnsi="宋体" w:cs="宋体"/>
                <w:sz w:val="24"/>
                <w:highlight w:val="none"/>
              </w:rPr>
            </w:pPr>
            <w:r>
              <w:rPr>
                <w:rFonts w:hint="eastAsia" w:ascii="宋体" w:hAnsi="宋体" w:cs="宋体"/>
                <w:b w:val="0"/>
                <w:bCs w:val="0"/>
                <w:snapToGrid w:val="0"/>
                <w:sz w:val="24"/>
                <w:highlight w:val="none"/>
                <w:lang w:val="en-US" w:eastAsia="zh-CN"/>
              </w:rPr>
              <w:t>其他实质性要求2：</w:t>
            </w:r>
          </w:p>
        </w:tc>
        <w:tc>
          <w:tcPr>
            <w:tcW w:w="2551" w:type="dxa"/>
            <w:vMerge w:val="continue"/>
            <w:vAlign w:val="center"/>
          </w:tcPr>
          <w:p w14:paraId="66361DEA">
            <w:pPr>
              <w:rPr>
                <w:rFonts w:hint="eastAsia" w:ascii="宋体" w:hAnsi="宋体" w:cs="宋体"/>
                <w:kern w:val="0"/>
                <w:sz w:val="24"/>
                <w:highlight w:val="none"/>
              </w:rPr>
            </w:pPr>
          </w:p>
        </w:tc>
        <w:tc>
          <w:tcPr>
            <w:tcW w:w="1418" w:type="dxa"/>
            <w:vAlign w:val="center"/>
          </w:tcPr>
          <w:p w14:paraId="4AD41BDA">
            <w:pPr>
              <w:rPr>
                <w:rFonts w:hint="eastAsia" w:ascii="宋体" w:hAnsi="宋体" w:cs="宋体"/>
                <w:sz w:val="24"/>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2280A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1E776A">
            <w:pPr>
              <w:jc w:val="center"/>
              <w:rPr>
                <w:rFonts w:hint="eastAsia"/>
                <w:highlight w:val="none"/>
              </w:rPr>
            </w:pPr>
            <w:r>
              <w:rPr>
                <w:rFonts w:hint="eastAsia" w:ascii="宋体" w:hAnsi="宋体" w:cs="宋体"/>
                <w:kern w:val="0"/>
                <w:sz w:val="24"/>
                <w:highlight w:val="none"/>
              </w:rPr>
              <w:t>……</w:t>
            </w:r>
          </w:p>
        </w:tc>
        <w:tc>
          <w:tcPr>
            <w:tcW w:w="4991" w:type="dxa"/>
            <w:vAlign w:val="top"/>
          </w:tcPr>
          <w:p w14:paraId="47AADD3C">
            <w:pPr>
              <w:spacing w:line="360" w:lineRule="auto"/>
              <w:rPr>
                <w:rFonts w:hint="eastAsia" w:ascii="宋体" w:hAnsi="宋体" w:cs="宋体"/>
                <w:sz w:val="24"/>
                <w:highlight w:val="none"/>
              </w:rPr>
            </w:pPr>
            <w:r>
              <w:rPr>
                <w:rFonts w:hint="eastAsia" w:ascii="宋体" w:hAnsi="宋体" w:cs="宋体"/>
                <w:b w:val="0"/>
                <w:bCs w:val="0"/>
                <w:snapToGrid w:val="0"/>
                <w:sz w:val="24"/>
                <w:highlight w:val="none"/>
                <w:lang w:val="en-US" w:eastAsia="zh-CN"/>
              </w:rPr>
              <w:t>其他实质性要求</w:t>
            </w:r>
            <w:r>
              <w:rPr>
                <w:rFonts w:hint="eastAsia" w:ascii="宋体" w:hAnsi="宋体" w:cs="宋体"/>
                <w:kern w:val="0"/>
                <w:sz w:val="24"/>
                <w:highlight w:val="none"/>
              </w:rPr>
              <w:t>……</w:t>
            </w:r>
            <w:r>
              <w:rPr>
                <w:rFonts w:hint="eastAsia" w:ascii="宋体" w:hAnsi="宋体" w:cs="宋体"/>
                <w:b w:val="0"/>
                <w:bCs w:val="0"/>
                <w:snapToGrid w:val="0"/>
                <w:sz w:val="24"/>
                <w:highlight w:val="none"/>
                <w:lang w:val="en-US" w:eastAsia="zh-CN"/>
              </w:rPr>
              <w:t>：</w:t>
            </w:r>
          </w:p>
        </w:tc>
        <w:tc>
          <w:tcPr>
            <w:tcW w:w="2551" w:type="dxa"/>
            <w:vMerge w:val="continue"/>
            <w:vAlign w:val="center"/>
          </w:tcPr>
          <w:p w14:paraId="6FBBB7FD">
            <w:pPr>
              <w:rPr>
                <w:rFonts w:hint="eastAsia" w:ascii="宋体" w:hAnsi="宋体" w:cs="宋体"/>
                <w:kern w:val="0"/>
                <w:sz w:val="24"/>
                <w:highlight w:val="none"/>
              </w:rPr>
            </w:pPr>
          </w:p>
        </w:tc>
        <w:tc>
          <w:tcPr>
            <w:tcW w:w="1418" w:type="dxa"/>
            <w:vAlign w:val="center"/>
          </w:tcPr>
          <w:p w14:paraId="20BCB9CE">
            <w:pPr>
              <w:rPr>
                <w:rFonts w:hint="eastAsia" w:ascii="宋体" w:hAnsi="宋体" w:cs="宋体"/>
                <w:sz w:val="24"/>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bl>
    <w:p w14:paraId="1B84B288">
      <w:pPr>
        <w:spacing w:line="360" w:lineRule="auto"/>
        <w:ind w:right="420"/>
        <w:rPr>
          <w:rFonts w:hint="eastAsia" w:ascii="宋体" w:hAnsi="宋体" w:cs="宋体"/>
          <w:sz w:val="24"/>
        </w:rPr>
      </w:pPr>
      <w:r>
        <w:rPr>
          <w:rFonts w:hint="eastAsia" w:ascii="宋体" w:hAnsi="宋体" w:cs="宋体"/>
          <w:sz w:val="24"/>
        </w:rPr>
        <w:t>注：</w:t>
      </w:r>
      <w:r>
        <w:rPr>
          <w:rFonts w:hint="eastAsia" w:ascii="宋体" w:hAnsi="宋体" w:cs="宋体"/>
          <w:sz w:val="24"/>
          <w:lang w:val="en-US" w:eastAsia="zh-CN"/>
        </w:rPr>
        <w:t>1、</w:t>
      </w:r>
      <w:r>
        <w:rPr>
          <w:rFonts w:hint="eastAsia" w:ascii="宋体" w:hAnsi="宋体" w:cs="宋体"/>
          <w:sz w:val="24"/>
        </w:rPr>
        <w:t>按本格式和要求提供。</w:t>
      </w:r>
    </w:p>
    <w:p w14:paraId="16AD3F32">
      <w:pPr>
        <w:spacing w:line="360" w:lineRule="auto"/>
        <w:ind w:right="42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采购</w:t>
      </w:r>
      <w:r>
        <w:rPr>
          <w:rFonts w:hint="eastAsia" w:ascii="宋体" w:hAnsi="宋体" w:eastAsia="宋体" w:cs="宋体"/>
          <w:sz w:val="24"/>
        </w:rPr>
        <w:t>文件中实质性要求必须明确响应。</w:t>
      </w:r>
    </w:p>
    <w:p w14:paraId="62E4FBA4">
      <w:pPr>
        <w:jc w:val="center"/>
        <w:rPr>
          <w:rFonts w:ascii="宋体" w:hAnsi="宋体" w:cs="宋体"/>
          <w:b/>
          <w:color w:val="auto"/>
          <w:kern w:val="0"/>
          <w:sz w:val="32"/>
          <w:szCs w:val="32"/>
          <w:highlight w:val="none"/>
        </w:rPr>
      </w:pPr>
    </w:p>
    <w:p w14:paraId="28BE3E03">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50C0C689">
      <w:pPr>
        <w:jc w:val="center"/>
        <w:rPr>
          <w:rFonts w:ascii="宋体" w:hAnsi="宋体" w:cs="宋体"/>
          <w:b/>
          <w:color w:val="auto"/>
          <w:kern w:val="0"/>
          <w:sz w:val="32"/>
          <w:szCs w:val="32"/>
          <w:highlight w:val="none"/>
        </w:rPr>
      </w:pPr>
    </w:p>
    <w:p w14:paraId="0B34F72A">
      <w:pPr>
        <w:jc w:val="center"/>
        <w:rPr>
          <w:rFonts w:ascii="宋体" w:hAnsi="宋体" w:cs="宋体"/>
          <w:b/>
          <w:color w:val="auto"/>
          <w:kern w:val="0"/>
          <w:sz w:val="32"/>
          <w:szCs w:val="32"/>
          <w:highlight w:val="none"/>
        </w:rPr>
      </w:pPr>
    </w:p>
    <w:p w14:paraId="63802AF1">
      <w:pPr>
        <w:jc w:val="center"/>
        <w:rPr>
          <w:rFonts w:ascii="宋体" w:hAnsi="宋体" w:cs="宋体"/>
          <w:b/>
          <w:color w:val="auto"/>
          <w:kern w:val="0"/>
          <w:sz w:val="32"/>
          <w:szCs w:val="32"/>
          <w:highlight w:val="none"/>
        </w:rPr>
      </w:pPr>
    </w:p>
    <w:p w14:paraId="42787EAA">
      <w:pPr>
        <w:jc w:val="center"/>
        <w:rPr>
          <w:rFonts w:ascii="宋体" w:hAnsi="宋体" w:cs="宋体"/>
          <w:b/>
          <w:color w:val="auto"/>
          <w:kern w:val="0"/>
          <w:sz w:val="32"/>
          <w:szCs w:val="32"/>
          <w:highlight w:val="none"/>
        </w:rPr>
      </w:pPr>
    </w:p>
    <w:p w14:paraId="674DB46C">
      <w:pPr>
        <w:jc w:val="center"/>
        <w:rPr>
          <w:rFonts w:ascii="宋体" w:hAnsi="宋体" w:cs="宋体"/>
          <w:b/>
          <w:color w:val="auto"/>
          <w:kern w:val="0"/>
          <w:sz w:val="32"/>
          <w:szCs w:val="32"/>
          <w:highlight w:val="none"/>
        </w:rPr>
      </w:pPr>
    </w:p>
    <w:p w14:paraId="39B0C98F">
      <w:pPr>
        <w:jc w:val="center"/>
        <w:rPr>
          <w:rFonts w:ascii="宋体" w:hAnsi="宋体" w:cs="宋体"/>
          <w:b/>
          <w:color w:val="auto"/>
          <w:kern w:val="0"/>
          <w:sz w:val="32"/>
          <w:szCs w:val="32"/>
          <w:highlight w:val="none"/>
        </w:rPr>
      </w:pPr>
    </w:p>
    <w:p w14:paraId="04BADA75">
      <w:pPr>
        <w:jc w:val="center"/>
        <w:rPr>
          <w:rFonts w:ascii="宋体" w:hAnsi="宋体" w:cs="宋体"/>
          <w:b/>
          <w:color w:val="auto"/>
          <w:kern w:val="0"/>
          <w:sz w:val="32"/>
          <w:szCs w:val="32"/>
          <w:highlight w:val="none"/>
        </w:rPr>
      </w:pPr>
    </w:p>
    <w:p w14:paraId="4CC3DD9B">
      <w:pPr>
        <w:jc w:val="center"/>
        <w:rPr>
          <w:rFonts w:ascii="宋体" w:hAnsi="宋体" w:cs="宋体"/>
          <w:b/>
          <w:color w:val="auto"/>
          <w:kern w:val="0"/>
          <w:sz w:val="32"/>
          <w:szCs w:val="32"/>
          <w:highlight w:val="none"/>
        </w:rPr>
      </w:pPr>
    </w:p>
    <w:p w14:paraId="1E45F6A1">
      <w:pPr>
        <w:numPr>
          <w:ilvl w:val="0"/>
          <w:numId w:val="8"/>
        </w:numPr>
        <w:snapToGrid w:val="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评审标准相应的商务技术资料</w:t>
      </w:r>
    </w:p>
    <w:p w14:paraId="6A062B3C">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（按采购文件第四部分评审办法前附表中“响应文件中评审标准相应的商务技术资料目录”提供资料。）</w:t>
      </w:r>
    </w:p>
    <w:tbl>
      <w:tblPr>
        <w:tblStyle w:val="63"/>
        <w:tblpPr w:leftFromText="180" w:rightFromText="180" w:vertAnchor="text" w:horzAnchor="page" w:tblpX="1031" w:tblpY="126"/>
        <w:tblW w:w="9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1472"/>
        <w:gridCol w:w="67"/>
        <w:gridCol w:w="4218"/>
        <w:gridCol w:w="985"/>
        <w:gridCol w:w="1155"/>
        <w:gridCol w:w="1176"/>
      </w:tblGrid>
      <w:tr w14:paraId="59E82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23" w:type="dxa"/>
            <w:vAlign w:val="center"/>
          </w:tcPr>
          <w:p w14:paraId="041C03BF">
            <w:pPr>
              <w:spacing w:line="360" w:lineRule="auto"/>
              <w:jc w:val="center"/>
              <w:outlineLvl w:val="0"/>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序号</w:t>
            </w:r>
          </w:p>
        </w:tc>
        <w:tc>
          <w:tcPr>
            <w:tcW w:w="5757" w:type="dxa"/>
            <w:gridSpan w:val="3"/>
            <w:vAlign w:val="center"/>
          </w:tcPr>
          <w:p w14:paraId="2BB2B337">
            <w:pPr>
              <w:spacing w:line="360" w:lineRule="auto"/>
              <w:jc w:val="center"/>
              <w:outlineLvl w:val="0"/>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评标标准</w:t>
            </w:r>
          </w:p>
        </w:tc>
        <w:tc>
          <w:tcPr>
            <w:tcW w:w="985" w:type="dxa"/>
            <w:vAlign w:val="center"/>
          </w:tcPr>
          <w:p w14:paraId="6C7140BD">
            <w:pPr>
              <w:spacing w:line="360" w:lineRule="auto"/>
              <w:jc w:val="center"/>
              <w:outlineLvl w:val="0"/>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权重</w:t>
            </w:r>
          </w:p>
        </w:tc>
        <w:tc>
          <w:tcPr>
            <w:tcW w:w="1155" w:type="dxa"/>
            <w:vAlign w:val="center"/>
          </w:tcPr>
          <w:p w14:paraId="4DADEFAF">
            <w:pPr>
              <w:spacing w:line="360" w:lineRule="auto"/>
              <w:jc w:val="center"/>
              <w:outlineLvl w:val="0"/>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目录</w:t>
            </w:r>
          </w:p>
        </w:tc>
        <w:tc>
          <w:tcPr>
            <w:tcW w:w="1176" w:type="dxa"/>
            <w:vAlign w:val="top"/>
          </w:tcPr>
          <w:p w14:paraId="5FAA81D3">
            <w:pPr>
              <w:snapToGrid w:val="0"/>
              <w:spacing w:line="240" w:lineRule="atLeast"/>
              <w:jc w:val="center"/>
              <w:rPr>
                <w:rFonts w:hint="eastAsia" w:ascii="宋体" w:hAnsi="宋体" w:cs="宋体"/>
                <w:color w:val="auto"/>
                <w:kern w:val="0"/>
                <w:sz w:val="21"/>
                <w:szCs w:val="21"/>
                <w:highlight w:val="none"/>
                <w:lang w:bidi="ar"/>
              </w:rPr>
            </w:pPr>
            <w:r>
              <w:rPr>
                <w:rFonts w:hint="eastAsia" w:ascii="宋体" w:hAnsi="宋体" w:cs="宋体"/>
                <w:b w:val="0"/>
                <w:bCs/>
                <w:sz w:val="21"/>
                <w:szCs w:val="21"/>
                <w:lang w:eastAsia="zh-CN"/>
              </w:rPr>
              <w:t>响应</w:t>
            </w:r>
            <w:r>
              <w:rPr>
                <w:rFonts w:hint="eastAsia" w:ascii="宋体" w:hAnsi="宋体" w:cs="宋体"/>
                <w:b w:val="0"/>
                <w:bCs/>
                <w:sz w:val="21"/>
                <w:szCs w:val="21"/>
              </w:rPr>
              <w:t>文件中的页码位置</w:t>
            </w:r>
          </w:p>
        </w:tc>
      </w:tr>
      <w:tr w14:paraId="02540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623" w:type="dxa"/>
            <w:vAlign w:val="center"/>
          </w:tcPr>
          <w:p w14:paraId="41D411A4">
            <w:pPr>
              <w:spacing w:line="360" w:lineRule="auto"/>
              <w:jc w:val="center"/>
              <w:rPr>
                <w:rFonts w:hint="eastAsia" w:ascii="宋体" w:hAnsi="宋体" w:eastAsia="宋体" w:cs="宋体"/>
                <w:color w:val="auto"/>
                <w:kern w:val="0"/>
                <w:sz w:val="21"/>
                <w:szCs w:val="21"/>
                <w:highlight w:val="none"/>
                <w:lang w:eastAsia="zh-CN" w:bidi="ar"/>
              </w:rPr>
            </w:pPr>
            <w:r>
              <w:rPr>
                <w:rFonts w:hint="eastAsia" w:ascii="宋体" w:hAnsi="宋体" w:cs="宋体"/>
                <w:color w:val="auto"/>
                <w:kern w:val="0"/>
                <w:sz w:val="21"/>
                <w:szCs w:val="21"/>
                <w:highlight w:val="none"/>
                <w:lang w:val="en-US" w:eastAsia="zh-CN" w:bidi="ar"/>
              </w:rPr>
              <w:t>1</w:t>
            </w:r>
          </w:p>
        </w:tc>
        <w:tc>
          <w:tcPr>
            <w:tcW w:w="5757" w:type="dxa"/>
            <w:gridSpan w:val="3"/>
            <w:vAlign w:val="center"/>
          </w:tcPr>
          <w:p w14:paraId="7F348D4E">
            <w:pPr>
              <w:spacing w:line="360" w:lineRule="auto"/>
              <w:jc w:val="left"/>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投标人自20</w:t>
            </w:r>
            <w:r>
              <w:rPr>
                <w:rFonts w:ascii="宋体" w:hAnsi="宋体" w:cs="宋体"/>
                <w:color w:val="auto"/>
                <w:kern w:val="0"/>
                <w:sz w:val="21"/>
                <w:szCs w:val="21"/>
                <w:highlight w:val="none"/>
                <w:lang w:bidi="ar"/>
              </w:rPr>
              <w:t>2</w:t>
            </w:r>
            <w:r>
              <w:rPr>
                <w:rFonts w:hint="eastAsia" w:ascii="宋体" w:hAnsi="宋体" w:cs="宋体"/>
                <w:color w:val="auto"/>
                <w:kern w:val="0"/>
                <w:sz w:val="21"/>
                <w:szCs w:val="21"/>
                <w:highlight w:val="none"/>
                <w:lang w:val="en-US" w:eastAsia="zh-CN" w:bidi="ar"/>
              </w:rPr>
              <w:t>2</w:t>
            </w:r>
            <w:r>
              <w:rPr>
                <w:rFonts w:hint="eastAsia" w:ascii="宋体" w:hAnsi="宋体" w:cs="宋体"/>
                <w:color w:val="auto"/>
                <w:kern w:val="0"/>
                <w:sz w:val="21"/>
                <w:szCs w:val="21"/>
                <w:highlight w:val="none"/>
                <w:lang w:bidi="ar"/>
              </w:rPr>
              <w:t>年</w:t>
            </w:r>
            <w:r>
              <w:rPr>
                <w:rFonts w:hint="eastAsia" w:ascii="宋体" w:hAnsi="宋体" w:cs="宋体"/>
                <w:color w:val="auto"/>
                <w:kern w:val="0"/>
                <w:sz w:val="21"/>
                <w:szCs w:val="21"/>
                <w:highlight w:val="none"/>
                <w:lang w:val="en-US" w:eastAsia="zh-CN" w:bidi="ar"/>
              </w:rPr>
              <w:t>7</w:t>
            </w:r>
            <w:r>
              <w:rPr>
                <w:rFonts w:hint="eastAsia" w:ascii="宋体" w:hAnsi="宋体" w:cs="宋体"/>
                <w:color w:val="auto"/>
                <w:kern w:val="0"/>
                <w:sz w:val="21"/>
                <w:szCs w:val="21"/>
                <w:highlight w:val="none"/>
                <w:lang w:bidi="ar"/>
              </w:rPr>
              <w:t>月</w:t>
            </w:r>
            <w:r>
              <w:rPr>
                <w:rFonts w:hint="eastAsia" w:ascii="宋体" w:hAnsi="宋体" w:cs="宋体"/>
                <w:color w:val="auto"/>
                <w:kern w:val="0"/>
                <w:sz w:val="21"/>
                <w:szCs w:val="21"/>
                <w:highlight w:val="none"/>
                <w:lang w:val="en-US" w:eastAsia="zh-CN" w:bidi="ar"/>
              </w:rPr>
              <w:t>1日</w:t>
            </w:r>
            <w:r>
              <w:rPr>
                <w:rFonts w:hint="eastAsia" w:ascii="宋体" w:hAnsi="宋体" w:cs="宋体"/>
                <w:color w:val="auto"/>
                <w:kern w:val="0"/>
                <w:sz w:val="21"/>
                <w:szCs w:val="21"/>
                <w:highlight w:val="none"/>
                <w:lang w:bidi="ar"/>
              </w:rPr>
              <w:t>以来（以</w:t>
            </w:r>
            <w:r>
              <w:rPr>
                <w:rFonts w:hint="eastAsia" w:ascii="宋体" w:hAnsi="宋体" w:cs="宋体"/>
                <w:color w:val="auto"/>
                <w:kern w:val="0"/>
                <w:sz w:val="21"/>
                <w:szCs w:val="21"/>
                <w:highlight w:val="none"/>
                <w:lang w:val="en-US" w:eastAsia="zh-CN" w:bidi="ar"/>
              </w:rPr>
              <w:t>竣工验收</w:t>
            </w:r>
            <w:r>
              <w:rPr>
                <w:rFonts w:hint="eastAsia" w:ascii="宋体" w:hAnsi="宋体" w:cs="宋体"/>
                <w:color w:val="auto"/>
                <w:kern w:val="0"/>
                <w:sz w:val="21"/>
                <w:szCs w:val="21"/>
                <w:highlight w:val="none"/>
                <w:lang w:bidi="ar"/>
              </w:rPr>
              <w:t>日期为准）承建过类似业绩，每提供一项业绩证明材料得</w:t>
            </w:r>
            <w:r>
              <w:rPr>
                <w:rFonts w:hint="eastAsia" w:ascii="宋体" w:hAnsi="宋体" w:cs="宋体"/>
                <w:color w:val="auto"/>
                <w:kern w:val="0"/>
                <w:sz w:val="21"/>
                <w:szCs w:val="21"/>
                <w:highlight w:val="none"/>
                <w:lang w:val="en-US" w:eastAsia="zh-CN" w:bidi="ar"/>
              </w:rPr>
              <w:t>0.3</w:t>
            </w:r>
            <w:r>
              <w:rPr>
                <w:rFonts w:hint="eastAsia" w:ascii="宋体" w:hAnsi="宋体" w:cs="宋体"/>
                <w:color w:val="auto"/>
                <w:kern w:val="0"/>
                <w:sz w:val="21"/>
                <w:szCs w:val="21"/>
                <w:highlight w:val="none"/>
                <w:lang w:bidi="ar"/>
              </w:rPr>
              <w:t>分，本项最高得</w:t>
            </w:r>
            <w:r>
              <w:rPr>
                <w:rFonts w:hint="eastAsia" w:ascii="宋体" w:hAnsi="宋体" w:cs="宋体"/>
                <w:color w:val="auto"/>
                <w:kern w:val="0"/>
                <w:sz w:val="21"/>
                <w:szCs w:val="21"/>
                <w:highlight w:val="none"/>
                <w:lang w:val="en-US" w:eastAsia="zh-CN" w:bidi="ar"/>
              </w:rPr>
              <w:t>1.5</w:t>
            </w:r>
            <w:r>
              <w:rPr>
                <w:rFonts w:hint="eastAsia" w:ascii="宋体" w:hAnsi="宋体" w:cs="宋体"/>
                <w:color w:val="auto"/>
                <w:kern w:val="0"/>
                <w:sz w:val="21"/>
                <w:szCs w:val="21"/>
                <w:highlight w:val="none"/>
                <w:lang w:bidi="ar"/>
              </w:rPr>
              <w:t>分。</w:t>
            </w:r>
          </w:p>
          <w:p w14:paraId="370EA78B">
            <w:pPr>
              <w:spacing w:line="360" w:lineRule="auto"/>
              <w:jc w:val="left"/>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w:t>
            </w:r>
            <w:r>
              <w:rPr>
                <w:rFonts w:hint="eastAsia" w:ascii="宋体" w:hAnsi="宋体" w:cs="宋体"/>
                <w:color w:val="auto"/>
                <w:kern w:val="0"/>
                <w:sz w:val="21"/>
                <w:szCs w:val="21"/>
                <w:highlight w:val="none"/>
                <w:lang w:val="en-US" w:eastAsia="zh-CN" w:bidi="ar"/>
              </w:rPr>
              <w:t>需</w:t>
            </w:r>
            <w:r>
              <w:rPr>
                <w:rFonts w:hint="eastAsia" w:ascii="宋体" w:hAnsi="宋体" w:cs="宋体"/>
                <w:color w:val="auto"/>
                <w:kern w:val="0"/>
                <w:sz w:val="21"/>
                <w:szCs w:val="21"/>
                <w:highlight w:val="none"/>
                <w:lang w:bidi="ar"/>
              </w:rPr>
              <w:t>提供</w:t>
            </w:r>
            <w:r>
              <w:rPr>
                <w:rFonts w:hint="eastAsia" w:ascii="宋体" w:hAnsi="宋体" w:cs="宋体"/>
                <w:color w:val="auto"/>
                <w:kern w:val="0"/>
                <w:sz w:val="21"/>
                <w:szCs w:val="21"/>
                <w:highlight w:val="none"/>
                <w:lang w:val="en-US" w:eastAsia="zh-CN" w:bidi="ar"/>
              </w:rPr>
              <w:t>项目</w:t>
            </w:r>
            <w:r>
              <w:rPr>
                <w:rFonts w:hint="eastAsia" w:ascii="宋体" w:hAnsi="宋体" w:cs="宋体"/>
                <w:color w:val="auto"/>
                <w:kern w:val="0"/>
                <w:sz w:val="21"/>
                <w:szCs w:val="21"/>
                <w:highlight w:val="none"/>
                <w:lang w:bidi="ar"/>
              </w:rPr>
              <w:t>合同</w:t>
            </w:r>
            <w:r>
              <w:rPr>
                <w:rFonts w:hint="eastAsia" w:ascii="宋体" w:hAnsi="宋体" w:cs="宋体"/>
                <w:color w:val="auto"/>
                <w:kern w:val="0"/>
                <w:sz w:val="21"/>
                <w:szCs w:val="21"/>
                <w:highlight w:val="none"/>
                <w:lang w:eastAsia="zh-CN" w:bidi="ar"/>
              </w:rPr>
              <w:t>、</w:t>
            </w:r>
            <w:r>
              <w:rPr>
                <w:rFonts w:hint="eastAsia" w:ascii="宋体" w:hAnsi="宋体" w:cs="宋体"/>
                <w:color w:val="auto"/>
                <w:kern w:val="0"/>
                <w:sz w:val="21"/>
                <w:szCs w:val="21"/>
                <w:highlight w:val="none"/>
                <w:lang w:val="en-US" w:eastAsia="zh-CN" w:bidi="ar"/>
              </w:rPr>
              <w:t>竣工验收证书或报告</w:t>
            </w:r>
            <w:r>
              <w:rPr>
                <w:rFonts w:hint="eastAsia" w:ascii="宋体" w:hAnsi="宋体" w:cs="宋体"/>
                <w:color w:val="auto"/>
                <w:kern w:val="0"/>
                <w:sz w:val="21"/>
                <w:szCs w:val="21"/>
                <w:highlight w:val="none"/>
                <w:lang w:bidi="ar"/>
              </w:rPr>
              <w:t>的扫描件</w:t>
            </w:r>
            <w:r>
              <w:rPr>
                <w:rFonts w:hint="eastAsia" w:ascii="宋体" w:hAnsi="宋体" w:cs="宋体"/>
                <w:color w:val="auto"/>
                <w:kern w:val="0"/>
                <w:sz w:val="21"/>
                <w:szCs w:val="21"/>
                <w:highlight w:val="none"/>
                <w:lang w:eastAsia="zh-CN" w:bidi="ar"/>
              </w:rPr>
              <w:t>，</w:t>
            </w:r>
            <w:r>
              <w:rPr>
                <w:rFonts w:hint="eastAsia" w:ascii="宋体" w:hAnsi="宋体" w:cs="宋体"/>
                <w:color w:val="auto"/>
                <w:kern w:val="0"/>
                <w:sz w:val="21"/>
                <w:szCs w:val="21"/>
                <w:highlight w:val="none"/>
                <w:lang w:bidi="ar"/>
              </w:rPr>
              <w:t>签字、盖章及日期内容须完整</w:t>
            </w:r>
            <w:r>
              <w:rPr>
                <w:rFonts w:hint="eastAsia" w:ascii="宋体" w:hAnsi="宋体" w:cs="宋体"/>
                <w:color w:val="auto"/>
                <w:kern w:val="0"/>
                <w:sz w:val="21"/>
                <w:szCs w:val="21"/>
                <w:highlight w:val="none"/>
                <w:lang w:val="en-US" w:eastAsia="zh-CN" w:bidi="ar"/>
              </w:rPr>
              <w:t>。未</w:t>
            </w:r>
            <w:r>
              <w:rPr>
                <w:rFonts w:hint="eastAsia" w:ascii="宋体" w:hAnsi="宋体" w:cs="宋体"/>
                <w:color w:val="auto"/>
                <w:kern w:val="0"/>
                <w:sz w:val="21"/>
                <w:szCs w:val="21"/>
                <w:highlight w:val="none"/>
                <w:lang w:bidi="ar"/>
              </w:rPr>
              <w:t>按要求提供完整证明材料的，不予得分】</w:t>
            </w:r>
          </w:p>
        </w:tc>
        <w:tc>
          <w:tcPr>
            <w:tcW w:w="985" w:type="dxa"/>
            <w:vAlign w:val="center"/>
          </w:tcPr>
          <w:p w14:paraId="63FD6966">
            <w:pPr>
              <w:snapToGrid w:val="0"/>
              <w:spacing w:line="360" w:lineRule="auto"/>
              <w:jc w:val="center"/>
              <w:rPr>
                <w:rFonts w:hint="eastAsia" w:ascii="宋体" w:hAnsi="宋体" w:eastAsia="宋体" w:cs="宋体"/>
                <w:color w:val="auto"/>
                <w:kern w:val="0"/>
                <w:sz w:val="21"/>
                <w:szCs w:val="21"/>
                <w:highlight w:val="none"/>
                <w:lang w:eastAsia="zh-CN" w:bidi="ar"/>
              </w:rPr>
            </w:pPr>
            <w:r>
              <w:rPr>
                <w:rFonts w:hint="eastAsia" w:ascii="宋体" w:hAnsi="宋体" w:cs="宋体"/>
                <w:color w:val="auto"/>
                <w:kern w:val="0"/>
                <w:sz w:val="21"/>
                <w:szCs w:val="21"/>
                <w:highlight w:val="none"/>
                <w:lang w:val="en-US" w:eastAsia="zh-CN" w:bidi="ar"/>
              </w:rPr>
              <w:t>1.5    （客观）</w:t>
            </w:r>
          </w:p>
        </w:tc>
        <w:tc>
          <w:tcPr>
            <w:tcW w:w="1155" w:type="dxa"/>
            <w:vAlign w:val="center"/>
          </w:tcPr>
          <w:p w14:paraId="31F13E71">
            <w:pPr>
              <w:snapToGrid w:val="0"/>
              <w:spacing w:line="360" w:lineRule="auto"/>
              <w:jc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val="en-US" w:eastAsia="zh-CN" w:bidi="ar"/>
              </w:rPr>
              <w:t>企业</w:t>
            </w:r>
            <w:r>
              <w:rPr>
                <w:rFonts w:hint="eastAsia" w:ascii="宋体" w:hAnsi="宋体" w:cs="宋体"/>
                <w:color w:val="auto"/>
                <w:kern w:val="0"/>
                <w:sz w:val="21"/>
                <w:szCs w:val="21"/>
                <w:highlight w:val="none"/>
                <w:lang w:bidi="ar"/>
              </w:rPr>
              <w:t>业绩</w:t>
            </w:r>
          </w:p>
        </w:tc>
        <w:tc>
          <w:tcPr>
            <w:tcW w:w="1176" w:type="dxa"/>
            <w:vAlign w:val="center"/>
          </w:tcPr>
          <w:p w14:paraId="420A998E">
            <w:pPr>
              <w:snapToGrid w:val="0"/>
              <w:spacing w:line="360" w:lineRule="auto"/>
              <w:jc w:val="center"/>
              <w:rPr>
                <w:rFonts w:hint="eastAsia" w:ascii="宋体" w:hAnsi="宋体" w:cs="宋体"/>
                <w:color w:val="auto"/>
                <w:kern w:val="0"/>
                <w:sz w:val="21"/>
                <w:szCs w:val="21"/>
                <w:highlight w:val="none"/>
                <w:lang w:val="en-US" w:eastAsia="zh-CN" w:bidi="ar"/>
              </w:rPr>
            </w:pPr>
            <w:r>
              <w:rPr>
                <w:rFonts w:hint="eastAsia" w:ascii="宋体" w:hAnsi="宋体" w:cs="宋体"/>
                <w:b w:val="0"/>
                <w:bCs/>
                <w:sz w:val="21"/>
                <w:szCs w:val="21"/>
              </w:rPr>
              <w:t>见</w:t>
            </w:r>
            <w:r>
              <w:rPr>
                <w:rFonts w:hint="eastAsia" w:ascii="宋体" w:hAnsi="宋体" w:cs="宋体"/>
                <w:b w:val="0"/>
                <w:bCs/>
                <w:sz w:val="21"/>
                <w:szCs w:val="21"/>
                <w:lang w:eastAsia="zh-CN"/>
              </w:rPr>
              <w:t>响应</w:t>
            </w:r>
            <w:r>
              <w:rPr>
                <w:rFonts w:hint="eastAsia" w:ascii="宋体" w:hAnsi="宋体" w:cs="宋体"/>
                <w:b w:val="0"/>
                <w:bCs/>
                <w:sz w:val="21"/>
                <w:szCs w:val="21"/>
              </w:rPr>
              <w:t>文件第</w:t>
            </w:r>
            <w:r>
              <w:rPr>
                <w:rFonts w:hint="eastAsia" w:ascii="宋体" w:hAnsi="宋体" w:cs="宋体"/>
                <w:b w:val="0"/>
                <w:bCs/>
                <w:sz w:val="21"/>
                <w:szCs w:val="21"/>
                <w:u w:val="single"/>
              </w:rPr>
              <w:t xml:space="preserve">  </w:t>
            </w:r>
            <w:r>
              <w:rPr>
                <w:rFonts w:hint="eastAsia" w:ascii="宋体" w:hAnsi="宋体" w:cs="宋体"/>
                <w:b w:val="0"/>
                <w:bCs/>
                <w:sz w:val="21"/>
                <w:szCs w:val="21"/>
              </w:rPr>
              <w:t>页</w:t>
            </w:r>
          </w:p>
        </w:tc>
      </w:tr>
      <w:tr w14:paraId="2BFC2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623" w:type="dxa"/>
            <w:vAlign w:val="center"/>
          </w:tcPr>
          <w:p w14:paraId="11609B60">
            <w:pPr>
              <w:spacing w:line="360" w:lineRule="auto"/>
              <w:jc w:val="center"/>
              <w:rPr>
                <w:rFonts w:hint="eastAsia" w:ascii="宋体" w:hAnsi="宋体" w:eastAsia="宋体" w:cs="宋体"/>
                <w:color w:val="auto"/>
                <w:kern w:val="0"/>
                <w:sz w:val="21"/>
                <w:szCs w:val="21"/>
                <w:highlight w:val="none"/>
                <w:lang w:eastAsia="zh-CN" w:bidi="ar"/>
              </w:rPr>
            </w:pPr>
            <w:r>
              <w:rPr>
                <w:rFonts w:hint="eastAsia" w:ascii="宋体" w:hAnsi="宋体" w:cs="宋体"/>
                <w:color w:val="auto"/>
                <w:kern w:val="0"/>
                <w:sz w:val="21"/>
                <w:szCs w:val="21"/>
                <w:highlight w:val="none"/>
                <w:lang w:val="en-US" w:eastAsia="zh-CN" w:bidi="ar"/>
              </w:rPr>
              <w:t>2</w:t>
            </w:r>
          </w:p>
        </w:tc>
        <w:tc>
          <w:tcPr>
            <w:tcW w:w="5757" w:type="dxa"/>
            <w:gridSpan w:val="3"/>
            <w:vAlign w:val="center"/>
          </w:tcPr>
          <w:p w14:paraId="77FCB7ED">
            <w:pPr>
              <w:spacing w:line="360" w:lineRule="auto"/>
              <w:jc w:val="left"/>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拟派项目负责人具</w:t>
            </w:r>
            <w:r>
              <w:rPr>
                <w:rFonts w:hint="eastAsia" w:ascii="宋体" w:hAnsi="宋体" w:cs="宋体"/>
                <w:color w:val="auto"/>
                <w:kern w:val="0"/>
                <w:sz w:val="21"/>
                <w:szCs w:val="21"/>
                <w:highlight w:val="none"/>
                <w:lang w:val="en-US" w:eastAsia="zh-CN" w:bidi="ar"/>
              </w:rPr>
              <w:t>有建筑工程类</w:t>
            </w:r>
            <w:r>
              <w:rPr>
                <w:rFonts w:hint="eastAsia" w:ascii="宋体" w:hAnsi="宋体" w:cs="宋体"/>
                <w:color w:val="auto"/>
                <w:kern w:val="0"/>
                <w:sz w:val="21"/>
                <w:szCs w:val="21"/>
                <w:highlight w:val="none"/>
                <w:lang w:bidi="ar"/>
              </w:rPr>
              <w:t>中级</w:t>
            </w:r>
            <w:r>
              <w:rPr>
                <w:rFonts w:hint="eastAsia" w:ascii="宋体" w:hAnsi="宋体" w:cs="宋体"/>
                <w:color w:val="auto"/>
                <w:kern w:val="0"/>
                <w:sz w:val="21"/>
                <w:szCs w:val="21"/>
                <w:highlight w:val="none"/>
                <w:lang w:val="en-US" w:eastAsia="zh-CN" w:bidi="ar"/>
              </w:rPr>
              <w:t>及以上</w:t>
            </w:r>
            <w:r>
              <w:rPr>
                <w:rFonts w:hint="eastAsia" w:ascii="宋体" w:hAnsi="宋体" w:cs="宋体"/>
                <w:color w:val="auto"/>
                <w:kern w:val="0"/>
                <w:sz w:val="21"/>
                <w:szCs w:val="21"/>
                <w:highlight w:val="none"/>
                <w:lang w:bidi="ar"/>
              </w:rPr>
              <w:t>工程师职称</w:t>
            </w:r>
            <w:r>
              <w:rPr>
                <w:rFonts w:hint="eastAsia" w:ascii="宋体" w:hAnsi="宋体" w:cs="宋体"/>
                <w:color w:val="auto"/>
                <w:kern w:val="0"/>
                <w:sz w:val="21"/>
                <w:szCs w:val="21"/>
                <w:highlight w:val="none"/>
                <w:lang w:val="en-US" w:eastAsia="zh-CN" w:bidi="ar"/>
              </w:rPr>
              <w:t>的得3分。</w:t>
            </w:r>
            <w:r>
              <w:rPr>
                <w:rFonts w:hint="eastAsia" w:ascii="宋体" w:hAnsi="宋体" w:cs="宋体"/>
                <w:color w:val="auto"/>
                <w:kern w:val="0"/>
                <w:sz w:val="21"/>
                <w:szCs w:val="21"/>
                <w:highlight w:val="none"/>
                <w:lang w:bidi="ar"/>
              </w:rPr>
              <w:t>【提供有效职称证书</w:t>
            </w:r>
            <w:r>
              <w:rPr>
                <w:rFonts w:hint="eastAsia" w:ascii="宋体" w:hAnsi="宋体" w:cs="宋体"/>
                <w:color w:val="auto"/>
                <w:kern w:val="0"/>
                <w:sz w:val="21"/>
                <w:szCs w:val="21"/>
                <w:highlight w:val="none"/>
                <w:lang w:val="en-US" w:eastAsia="zh-CN" w:bidi="ar"/>
              </w:rPr>
              <w:t>扫描</w:t>
            </w:r>
            <w:r>
              <w:rPr>
                <w:rFonts w:hint="eastAsia" w:ascii="宋体" w:hAnsi="宋体" w:eastAsia="宋体" w:cs="宋体"/>
                <w:color w:val="auto"/>
                <w:kern w:val="0"/>
                <w:sz w:val="21"/>
                <w:szCs w:val="21"/>
                <w:highlight w:val="none"/>
                <w:lang w:val="en-US" w:eastAsia="zh-CN" w:bidi="ar"/>
              </w:rPr>
              <w:t>件</w:t>
            </w:r>
            <w:r>
              <w:rPr>
                <w:rFonts w:hint="eastAsia" w:ascii="宋体" w:hAnsi="宋体" w:cs="宋体"/>
                <w:color w:val="auto"/>
                <w:kern w:val="0"/>
                <w:sz w:val="21"/>
                <w:szCs w:val="21"/>
                <w:highlight w:val="none"/>
                <w:lang w:bidi="ar"/>
              </w:rPr>
              <w:t>及人员截止投标时间最近3个月任意时间的社保缴纳证明，未提供的不得分】</w:t>
            </w:r>
          </w:p>
        </w:tc>
        <w:tc>
          <w:tcPr>
            <w:tcW w:w="985" w:type="dxa"/>
            <w:vAlign w:val="center"/>
          </w:tcPr>
          <w:p w14:paraId="4B950A80">
            <w:pPr>
              <w:spacing w:line="360" w:lineRule="auto"/>
              <w:jc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3</w:t>
            </w:r>
          </w:p>
          <w:p w14:paraId="52C03F28">
            <w:pPr>
              <w:spacing w:line="360" w:lineRule="auto"/>
              <w:jc w:val="center"/>
              <w:rPr>
                <w:rFonts w:hint="eastAsia" w:ascii="宋体" w:hAnsi="宋体" w:eastAsia="宋体" w:cs="宋体"/>
                <w:color w:val="auto"/>
                <w:kern w:val="0"/>
                <w:sz w:val="21"/>
                <w:szCs w:val="21"/>
                <w:highlight w:val="none"/>
                <w:lang w:eastAsia="zh-CN" w:bidi="ar"/>
              </w:rPr>
            </w:pPr>
            <w:r>
              <w:rPr>
                <w:rFonts w:hint="eastAsia" w:ascii="宋体" w:hAnsi="宋体" w:cs="宋体"/>
                <w:color w:val="auto"/>
                <w:kern w:val="0"/>
                <w:sz w:val="21"/>
                <w:szCs w:val="21"/>
                <w:highlight w:val="none"/>
                <w:lang w:val="en-US" w:eastAsia="zh-CN" w:bidi="ar"/>
              </w:rPr>
              <w:t>（客观）</w:t>
            </w:r>
          </w:p>
        </w:tc>
        <w:tc>
          <w:tcPr>
            <w:tcW w:w="1155" w:type="dxa"/>
            <w:vMerge w:val="restart"/>
            <w:vAlign w:val="center"/>
          </w:tcPr>
          <w:p w14:paraId="08EF0E79">
            <w:pPr>
              <w:snapToGrid w:val="0"/>
              <w:spacing w:line="360" w:lineRule="auto"/>
              <w:jc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项目组人员配置</w:t>
            </w:r>
          </w:p>
        </w:tc>
        <w:tc>
          <w:tcPr>
            <w:tcW w:w="1176" w:type="dxa"/>
            <w:vAlign w:val="center"/>
          </w:tcPr>
          <w:p w14:paraId="575FD7C6">
            <w:pPr>
              <w:snapToGrid w:val="0"/>
              <w:spacing w:line="360" w:lineRule="auto"/>
              <w:jc w:val="center"/>
              <w:rPr>
                <w:rFonts w:hint="eastAsia" w:ascii="宋体" w:hAnsi="宋体" w:cs="宋体"/>
                <w:color w:val="auto"/>
                <w:kern w:val="0"/>
                <w:sz w:val="21"/>
                <w:szCs w:val="21"/>
                <w:highlight w:val="none"/>
                <w:lang w:bidi="ar"/>
              </w:rPr>
            </w:pPr>
            <w:r>
              <w:rPr>
                <w:rFonts w:hint="eastAsia" w:ascii="宋体" w:hAnsi="宋体" w:cs="宋体"/>
                <w:b w:val="0"/>
                <w:bCs/>
                <w:sz w:val="21"/>
                <w:szCs w:val="21"/>
              </w:rPr>
              <w:t>见</w:t>
            </w:r>
            <w:r>
              <w:rPr>
                <w:rFonts w:hint="eastAsia" w:ascii="宋体" w:hAnsi="宋体" w:cs="宋体"/>
                <w:b w:val="0"/>
                <w:bCs/>
                <w:sz w:val="21"/>
                <w:szCs w:val="21"/>
                <w:lang w:eastAsia="zh-CN"/>
              </w:rPr>
              <w:t>响应</w:t>
            </w:r>
            <w:r>
              <w:rPr>
                <w:rFonts w:hint="eastAsia" w:ascii="宋体" w:hAnsi="宋体" w:cs="宋体"/>
                <w:b w:val="0"/>
                <w:bCs/>
                <w:sz w:val="21"/>
                <w:szCs w:val="21"/>
              </w:rPr>
              <w:t>文件第</w:t>
            </w:r>
            <w:r>
              <w:rPr>
                <w:rFonts w:hint="eastAsia" w:ascii="宋体" w:hAnsi="宋体" w:cs="宋体"/>
                <w:b w:val="0"/>
                <w:bCs/>
                <w:sz w:val="21"/>
                <w:szCs w:val="21"/>
                <w:u w:val="single"/>
              </w:rPr>
              <w:t xml:space="preserve">  </w:t>
            </w:r>
            <w:r>
              <w:rPr>
                <w:rFonts w:hint="eastAsia" w:ascii="宋体" w:hAnsi="宋体" w:cs="宋体"/>
                <w:b w:val="0"/>
                <w:bCs/>
                <w:sz w:val="21"/>
                <w:szCs w:val="21"/>
              </w:rPr>
              <w:t>页</w:t>
            </w:r>
          </w:p>
        </w:tc>
      </w:tr>
      <w:tr w14:paraId="17000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623" w:type="dxa"/>
            <w:vAlign w:val="center"/>
          </w:tcPr>
          <w:p w14:paraId="43B58FD8">
            <w:pPr>
              <w:spacing w:line="360" w:lineRule="auto"/>
              <w:jc w:val="center"/>
              <w:rPr>
                <w:rFonts w:hint="eastAsia" w:ascii="宋体" w:hAnsi="宋体" w:eastAsia="宋体" w:cs="宋体"/>
                <w:color w:val="auto"/>
                <w:kern w:val="0"/>
                <w:sz w:val="21"/>
                <w:szCs w:val="21"/>
                <w:highlight w:val="none"/>
                <w:lang w:eastAsia="zh-CN" w:bidi="ar"/>
              </w:rPr>
            </w:pPr>
            <w:r>
              <w:rPr>
                <w:rFonts w:hint="eastAsia" w:ascii="宋体" w:hAnsi="宋体" w:cs="宋体"/>
                <w:color w:val="auto"/>
                <w:kern w:val="0"/>
                <w:sz w:val="21"/>
                <w:szCs w:val="21"/>
                <w:highlight w:val="none"/>
                <w:lang w:val="en-US" w:eastAsia="zh-CN" w:bidi="ar"/>
              </w:rPr>
              <w:t>3</w:t>
            </w:r>
          </w:p>
        </w:tc>
        <w:tc>
          <w:tcPr>
            <w:tcW w:w="5757" w:type="dxa"/>
            <w:gridSpan w:val="3"/>
            <w:vAlign w:val="center"/>
          </w:tcPr>
          <w:p w14:paraId="73FBAA82">
            <w:pPr>
              <w:spacing w:line="360" w:lineRule="auto"/>
              <w:jc w:val="left"/>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拟派</w:t>
            </w:r>
            <w:r>
              <w:rPr>
                <w:rFonts w:hint="eastAsia" w:ascii="宋体" w:hAnsi="宋体" w:cs="宋体"/>
                <w:color w:val="auto"/>
                <w:kern w:val="0"/>
                <w:sz w:val="21"/>
                <w:szCs w:val="21"/>
                <w:highlight w:val="none"/>
                <w:lang w:val="en-US" w:eastAsia="zh-CN" w:bidi="ar"/>
              </w:rPr>
              <w:t>技术</w:t>
            </w:r>
            <w:r>
              <w:rPr>
                <w:rFonts w:hint="eastAsia" w:ascii="宋体" w:hAnsi="宋体" w:cs="宋体"/>
                <w:color w:val="auto"/>
                <w:kern w:val="0"/>
                <w:sz w:val="21"/>
                <w:szCs w:val="21"/>
                <w:highlight w:val="none"/>
                <w:lang w:bidi="ar"/>
              </w:rPr>
              <w:t>负责人具</w:t>
            </w:r>
            <w:r>
              <w:rPr>
                <w:rFonts w:hint="eastAsia" w:ascii="宋体" w:hAnsi="宋体" w:cs="宋体"/>
                <w:color w:val="auto"/>
                <w:kern w:val="0"/>
                <w:sz w:val="21"/>
                <w:szCs w:val="21"/>
                <w:highlight w:val="none"/>
                <w:lang w:val="en-US" w:eastAsia="zh-CN" w:bidi="ar"/>
              </w:rPr>
              <w:t>有建筑工程类</w:t>
            </w:r>
            <w:r>
              <w:rPr>
                <w:rFonts w:hint="eastAsia" w:ascii="宋体" w:hAnsi="宋体" w:cs="宋体"/>
                <w:color w:val="auto"/>
                <w:kern w:val="0"/>
                <w:sz w:val="21"/>
                <w:szCs w:val="21"/>
                <w:highlight w:val="none"/>
                <w:lang w:bidi="ar"/>
              </w:rPr>
              <w:t>中级</w:t>
            </w:r>
            <w:r>
              <w:rPr>
                <w:rFonts w:hint="eastAsia" w:ascii="宋体" w:hAnsi="宋体" w:cs="宋体"/>
                <w:color w:val="auto"/>
                <w:kern w:val="0"/>
                <w:sz w:val="21"/>
                <w:szCs w:val="21"/>
                <w:highlight w:val="none"/>
                <w:lang w:val="en-US" w:eastAsia="zh-CN" w:bidi="ar"/>
              </w:rPr>
              <w:t>及以上</w:t>
            </w:r>
            <w:r>
              <w:rPr>
                <w:rFonts w:hint="eastAsia" w:ascii="宋体" w:hAnsi="宋体" w:cs="宋体"/>
                <w:color w:val="auto"/>
                <w:kern w:val="0"/>
                <w:sz w:val="21"/>
                <w:szCs w:val="21"/>
                <w:highlight w:val="none"/>
                <w:lang w:bidi="ar"/>
              </w:rPr>
              <w:t>工程师职称</w:t>
            </w:r>
            <w:r>
              <w:rPr>
                <w:rFonts w:hint="eastAsia" w:ascii="宋体" w:hAnsi="宋体" w:cs="宋体"/>
                <w:color w:val="auto"/>
                <w:kern w:val="0"/>
                <w:sz w:val="21"/>
                <w:szCs w:val="21"/>
                <w:highlight w:val="none"/>
                <w:lang w:val="en-US" w:eastAsia="zh-CN" w:bidi="ar"/>
              </w:rPr>
              <w:t>的得3分。</w:t>
            </w:r>
            <w:r>
              <w:rPr>
                <w:rFonts w:hint="eastAsia" w:ascii="宋体" w:hAnsi="宋体" w:cs="宋体"/>
                <w:color w:val="auto"/>
                <w:kern w:val="0"/>
                <w:sz w:val="21"/>
                <w:szCs w:val="21"/>
                <w:highlight w:val="none"/>
                <w:lang w:bidi="ar"/>
              </w:rPr>
              <w:t>【提供有效职称证书</w:t>
            </w:r>
            <w:r>
              <w:rPr>
                <w:rFonts w:hint="eastAsia" w:ascii="宋体" w:hAnsi="宋体" w:cs="宋体"/>
                <w:color w:val="auto"/>
                <w:kern w:val="0"/>
                <w:sz w:val="21"/>
                <w:szCs w:val="21"/>
                <w:highlight w:val="none"/>
                <w:lang w:val="en-US" w:eastAsia="zh-CN" w:bidi="ar"/>
              </w:rPr>
              <w:t>扫描</w:t>
            </w:r>
            <w:r>
              <w:rPr>
                <w:rFonts w:hint="eastAsia" w:ascii="宋体" w:hAnsi="宋体" w:eastAsia="宋体" w:cs="宋体"/>
                <w:color w:val="auto"/>
                <w:kern w:val="0"/>
                <w:sz w:val="21"/>
                <w:szCs w:val="21"/>
                <w:highlight w:val="none"/>
                <w:lang w:val="en-US" w:eastAsia="zh-CN" w:bidi="ar"/>
              </w:rPr>
              <w:t>件</w:t>
            </w:r>
            <w:r>
              <w:rPr>
                <w:rFonts w:hint="eastAsia" w:ascii="宋体" w:hAnsi="宋体" w:cs="宋体"/>
                <w:color w:val="auto"/>
                <w:kern w:val="0"/>
                <w:sz w:val="21"/>
                <w:szCs w:val="21"/>
                <w:highlight w:val="none"/>
                <w:lang w:bidi="ar"/>
              </w:rPr>
              <w:t>及人员截止投标时间最近3个月任意时间的社保缴纳证明，未提供的不得分】</w:t>
            </w:r>
          </w:p>
        </w:tc>
        <w:tc>
          <w:tcPr>
            <w:tcW w:w="985" w:type="dxa"/>
            <w:vAlign w:val="center"/>
          </w:tcPr>
          <w:p w14:paraId="76258276">
            <w:pPr>
              <w:spacing w:line="360" w:lineRule="auto"/>
              <w:jc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3</w:t>
            </w:r>
          </w:p>
          <w:p w14:paraId="0671E312">
            <w:pPr>
              <w:spacing w:line="360" w:lineRule="auto"/>
              <w:jc w:val="center"/>
              <w:rPr>
                <w:rFonts w:hint="eastAsia" w:ascii="宋体" w:hAnsi="宋体" w:eastAsia="宋体" w:cs="宋体"/>
                <w:color w:val="auto"/>
                <w:kern w:val="0"/>
                <w:sz w:val="21"/>
                <w:szCs w:val="21"/>
                <w:highlight w:val="none"/>
                <w:lang w:eastAsia="zh-CN" w:bidi="ar"/>
              </w:rPr>
            </w:pPr>
            <w:r>
              <w:rPr>
                <w:rFonts w:hint="eastAsia" w:ascii="宋体" w:hAnsi="宋体" w:cs="宋体"/>
                <w:color w:val="auto"/>
                <w:kern w:val="0"/>
                <w:sz w:val="21"/>
                <w:szCs w:val="21"/>
                <w:highlight w:val="none"/>
                <w:lang w:val="en-US" w:eastAsia="zh-CN" w:bidi="ar"/>
              </w:rPr>
              <w:t>（客观）</w:t>
            </w:r>
          </w:p>
        </w:tc>
        <w:tc>
          <w:tcPr>
            <w:tcW w:w="1155" w:type="dxa"/>
            <w:vMerge w:val="continue"/>
            <w:vAlign w:val="center"/>
          </w:tcPr>
          <w:p w14:paraId="3087386E">
            <w:pPr>
              <w:snapToGrid w:val="0"/>
              <w:spacing w:line="360" w:lineRule="auto"/>
              <w:jc w:val="center"/>
              <w:rPr>
                <w:rFonts w:ascii="宋体" w:hAnsi="宋体" w:cs="宋体"/>
                <w:color w:val="auto"/>
                <w:kern w:val="0"/>
                <w:sz w:val="21"/>
                <w:szCs w:val="21"/>
                <w:highlight w:val="none"/>
                <w:lang w:bidi="ar"/>
              </w:rPr>
            </w:pPr>
          </w:p>
        </w:tc>
        <w:tc>
          <w:tcPr>
            <w:tcW w:w="1176" w:type="dxa"/>
            <w:vAlign w:val="center"/>
          </w:tcPr>
          <w:p w14:paraId="2015FC40">
            <w:pPr>
              <w:snapToGrid w:val="0"/>
              <w:spacing w:line="360" w:lineRule="auto"/>
              <w:jc w:val="center"/>
              <w:rPr>
                <w:rFonts w:ascii="宋体" w:hAnsi="宋体" w:cs="宋体"/>
                <w:color w:val="auto"/>
                <w:kern w:val="0"/>
                <w:sz w:val="21"/>
                <w:szCs w:val="21"/>
                <w:highlight w:val="none"/>
                <w:lang w:bidi="ar"/>
              </w:rPr>
            </w:pPr>
            <w:r>
              <w:rPr>
                <w:rFonts w:hint="eastAsia" w:ascii="宋体" w:hAnsi="宋体" w:cs="宋体"/>
                <w:b w:val="0"/>
                <w:bCs/>
                <w:sz w:val="21"/>
                <w:szCs w:val="21"/>
              </w:rPr>
              <w:t>见</w:t>
            </w:r>
            <w:r>
              <w:rPr>
                <w:rFonts w:hint="eastAsia" w:ascii="宋体" w:hAnsi="宋体" w:cs="宋体"/>
                <w:b w:val="0"/>
                <w:bCs/>
                <w:sz w:val="21"/>
                <w:szCs w:val="21"/>
                <w:lang w:eastAsia="zh-CN"/>
              </w:rPr>
              <w:t>响应</w:t>
            </w:r>
            <w:r>
              <w:rPr>
                <w:rFonts w:hint="eastAsia" w:ascii="宋体" w:hAnsi="宋体" w:cs="宋体"/>
                <w:b w:val="0"/>
                <w:bCs/>
                <w:sz w:val="21"/>
                <w:szCs w:val="21"/>
              </w:rPr>
              <w:t>文件第</w:t>
            </w:r>
            <w:r>
              <w:rPr>
                <w:rFonts w:hint="eastAsia" w:ascii="宋体" w:hAnsi="宋体" w:cs="宋体"/>
                <w:b w:val="0"/>
                <w:bCs/>
                <w:sz w:val="21"/>
                <w:szCs w:val="21"/>
                <w:u w:val="single"/>
              </w:rPr>
              <w:t xml:space="preserve">  </w:t>
            </w:r>
            <w:r>
              <w:rPr>
                <w:rFonts w:hint="eastAsia" w:ascii="宋体" w:hAnsi="宋体" w:cs="宋体"/>
                <w:b w:val="0"/>
                <w:bCs/>
                <w:sz w:val="21"/>
                <w:szCs w:val="21"/>
              </w:rPr>
              <w:t>页</w:t>
            </w:r>
          </w:p>
        </w:tc>
      </w:tr>
      <w:tr w14:paraId="455F3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23" w:type="dxa"/>
            <w:vAlign w:val="center"/>
          </w:tcPr>
          <w:p w14:paraId="2363F35E">
            <w:pPr>
              <w:spacing w:line="360" w:lineRule="auto"/>
              <w:jc w:val="center"/>
              <w:rPr>
                <w:rFonts w:hint="eastAsia" w:ascii="宋体" w:hAnsi="宋体" w:eastAsia="宋体" w:cs="宋体"/>
                <w:color w:val="auto"/>
                <w:kern w:val="0"/>
                <w:sz w:val="21"/>
                <w:szCs w:val="21"/>
                <w:highlight w:val="none"/>
                <w:lang w:eastAsia="zh-CN" w:bidi="ar"/>
              </w:rPr>
            </w:pPr>
            <w:r>
              <w:rPr>
                <w:rFonts w:hint="eastAsia" w:ascii="宋体" w:hAnsi="宋体" w:cs="宋体"/>
                <w:color w:val="auto"/>
                <w:kern w:val="0"/>
                <w:sz w:val="21"/>
                <w:szCs w:val="21"/>
                <w:highlight w:val="none"/>
                <w:lang w:val="en-US" w:eastAsia="zh-CN" w:bidi="ar"/>
              </w:rPr>
              <w:t>4</w:t>
            </w:r>
          </w:p>
        </w:tc>
        <w:tc>
          <w:tcPr>
            <w:tcW w:w="5757" w:type="dxa"/>
            <w:gridSpan w:val="3"/>
            <w:vAlign w:val="center"/>
          </w:tcPr>
          <w:p w14:paraId="684CD40E">
            <w:pPr>
              <w:widowControl/>
              <w:spacing w:line="360" w:lineRule="auto"/>
              <w:jc w:val="left"/>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拟投入本项目的专职安全员具有施工企业全生产管理人员安全生产考核合格证书（三类人员C证）得</w:t>
            </w:r>
            <w:r>
              <w:rPr>
                <w:rFonts w:hint="eastAsia" w:ascii="宋体" w:hAnsi="宋体" w:cs="宋体"/>
                <w:color w:val="auto"/>
                <w:kern w:val="0"/>
                <w:sz w:val="21"/>
                <w:szCs w:val="21"/>
                <w:highlight w:val="none"/>
                <w:lang w:val="en-US" w:eastAsia="zh-CN" w:bidi="ar"/>
              </w:rPr>
              <w:t>2.5</w:t>
            </w:r>
            <w:r>
              <w:rPr>
                <w:rFonts w:hint="eastAsia" w:ascii="宋体" w:hAnsi="宋体" w:cs="宋体"/>
                <w:color w:val="auto"/>
                <w:kern w:val="0"/>
                <w:sz w:val="21"/>
                <w:szCs w:val="21"/>
                <w:highlight w:val="none"/>
                <w:lang w:bidi="ar"/>
              </w:rPr>
              <w:t>分；</w:t>
            </w:r>
          </w:p>
          <w:p w14:paraId="3C3BAFAB">
            <w:pPr>
              <w:widowControl/>
              <w:spacing w:line="360" w:lineRule="auto"/>
              <w:jc w:val="left"/>
              <w:rPr>
                <w:rFonts w:ascii="宋体" w:hAnsi="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【提供有效</w:t>
            </w:r>
            <w:r>
              <w:rPr>
                <w:rFonts w:hint="eastAsia" w:ascii="宋体" w:hAnsi="宋体" w:cs="宋体"/>
                <w:color w:val="auto"/>
                <w:kern w:val="0"/>
                <w:sz w:val="21"/>
                <w:szCs w:val="21"/>
                <w:highlight w:val="none"/>
                <w:lang w:bidi="ar"/>
              </w:rPr>
              <w:t>安全生产考核合格证书（三类人员C证）</w:t>
            </w:r>
            <w:r>
              <w:rPr>
                <w:rFonts w:hint="eastAsia" w:ascii="宋体" w:hAnsi="宋体" w:eastAsia="宋体" w:cs="宋体"/>
                <w:color w:val="auto"/>
                <w:kern w:val="0"/>
                <w:sz w:val="21"/>
                <w:szCs w:val="21"/>
                <w:highlight w:val="none"/>
                <w:lang w:val="en-US" w:eastAsia="zh-CN" w:bidi="ar"/>
              </w:rPr>
              <w:t>扫描件</w:t>
            </w:r>
            <w:r>
              <w:rPr>
                <w:rFonts w:hint="eastAsia" w:ascii="宋体" w:hAnsi="宋体" w:eastAsia="宋体" w:cs="宋体"/>
                <w:color w:val="auto"/>
                <w:kern w:val="0"/>
                <w:sz w:val="21"/>
                <w:szCs w:val="21"/>
                <w:highlight w:val="none"/>
                <w:lang w:bidi="ar"/>
              </w:rPr>
              <w:t>及人员截止投标时间最近3个月任意时间的社保缴纳证明，未提供的不得分】</w:t>
            </w:r>
          </w:p>
        </w:tc>
        <w:tc>
          <w:tcPr>
            <w:tcW w:w="985" w:type="dxa"/>
            <w:vAlign w:val="center"/>
          </w:tcPr>
          <w:p w14:paraId="0772E450">
            <w:pPr>
              <w:spacing w:line="360" w:lineRule="auto"/>
              <w:jc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2.5</w:t>
            </w:r>
          </w:p>
          <w:p w14:paraId="5847A3D1">
            <w:pPr>
              <w:spacing w:line="360" w:lineRule="auto"/>
              <w:jc w:val="center"/>
              <w:rPr>
                <w:rFonts w:hint="eastAsia" w:ascii="宋体" w:hAnsi="宋体" w:eastAsia="宋体" w:cs="宋体"/>
                <w:color w:val="auto"/>
                <w:kern w:val="0"/>
                <w:sz w:val="21"/>
                <w:szCs w:val="21"/>
                <w:highlight w:val="none"/>
                <w:lang w:eastAsia="zh-CN" w:bidi="ar"/>
              </w:rPr>
            </w:pPr>
            <w:r>
              <w:rPr>
                <w:rFonts w:hint="eastAsia" w:ascii="宋体" w:hAnsi="宋体" w:cs="宋体"/>
                <w:color w:val="auto"/>
                <w:kern w:val="0"/>
                <w:sz w:val="21"/>
                <w:szCs w:val="21"/>
                <w:highlight w:val="none"/>
                <w:lang w:val="en-US" w:eastAsia="zh-CN" w:bidi="ar"/>
              </w:rPr>
              <w:t>（客观）</w:t>
            </w:r>
          </w:p>
        </w:tc>
        <w:tc>
          <w:tcPr>
            <w:tcW w:w="1155" w:type="dxa"/>
            <w:vMerge w:val="continue"/>
            <w:vAlign w:val="center"/>
          </w:tcPr>
          <w:p w14:paraId="12EE25C8">
            <w:pPr>
              <w:snapToGrid w:val="0"/>
              <w:spacing w:line="360" w:lineRule="auto"/>
              <w:jc w:val="center"/>
              <w:rPr>
                <w:rFonts w:ascii="宋体" w:hAnsi="宋体" w:cs="宋体"/>
                <w:color w:val="auto"/>
                <w:kern w:val="0"/>
                <w:sz w:val="21"/>
                <w:szCs w:val="21"/>
                <w:highlight w:val="none"/>
                <w:lang w:bidi="ar"/>
              </w:rPr>
            </w:pPr>
          </w:p>
        </w:tc>
        <w:tc>
          <w:tcPr>
            <w:tcW w:w="1176" w:type="dxa"/>
            <w:vAlign w:val="center"/>
          </w:tcPr>
          <w:p w14:paraId="7748A6A4">
            <w:pPr>
              <w:snapToGrid w:val="0"/>
              <w:spacing w:line="360" w:lineRule="auto"/>
              <w:jc w:val="center"/>
              <w:rPr>
                <w:rFonts w:ascii="宋体" w:hAnsi="宋体" w:cs="宋体"/>
                <w:color w:val="auto"/>
                <w:kern w:val="0"/>
                <w:sz w:val="21"/>
                <w:szCs w:val="21"/>
                <w:highlight w:val="none"/>
                <w:lang w:bidi="ar"/>
              </w:rPr>
            </w:pPr>
            <w:r>
              <w:rPr>
                <w:rFonts w:hint="eastAsia" w:ascii="宋体" w:hAnsi="宋体" w:cs="宋体"/>
                <w:b w:val="0"/>
                <w:bCs/>
                <w:sz w:val="21"/>
                <w:szCs w:val="21"/>
              </w:rPr>
              <w:t>见</w:t>
            </w:r>
            <w:r>
              <w:rPr>
                <w:rFonts w:hint="eastAsia" w:ascii="宋体" w:hAnsi="宋体" w:cs="宋体"/>
                <w:b w:val="0"/>
                <w:bCs/>
                <w:sz w:val="21"/>
                <w:szCs w:val="21"/>
                <w:lang w:eastAsia="zh-CN"/>
              </w:rPr>
              <w:t>响应</w:t>
            </w:r>
            <w:r>
              <w:rPr>
                <w:rFonts w:hint="eastAsia" w:ascii="宋体" w:hAnsi="宋体" w:cs="宋体"/>
                <w:b w:val="0"/>
                <w:bCs/>
                <w:sz w:val="21"/>
                <w:szCs w:val="21"/>
              </w:rPr>
              <w:t>文件第</w:t>
            </w:r>
            <w:r>
              <w:rPr>
                <w:rFonts w:hint="eastAsia" w:ascii="宋体" w:hAnsi="宋体" w:cs="宋体"/>
                <w:b w:val="0"/>
                <w:bCs/>
                <w:sz w:val="21"/>
                <w:szCs w:val="21"/>
                <w:u w:val="single"/>
              </w:rPr>
              <w:t xml:space="preserve">  </w:t>
            </w:r>
            <w:r>
              <w:rPr>
                <w:rFonts w:hint="eastAsia" w:ascii="宋体" w:hAnsi="宋体" w:cs="宋体"/>
                <w:b w:val="0"/>
                <w:bCs/>
                <w:sz w:val="21"/>
                <w:szCs w:val="21"/>
              </w:rPr>
              <w:t>页</w:t>
            </w:r>
          </w:p>
        </w:tc>
      </w:tr>
      <w:tr w14:paraId="48404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23" w:type="dxa"/>
            <w:vMerge w:val="restart"/>
            <w:vAlign w:val="center"/>
          </w:tcPr>
          <w:p w14:paraId="677BB571">
            <w:pPr>
              <w:spacing w:line="360" w:lineRule="auto"/>
              <w:jc w:val="center"/>
              <w:rPr>
                <w:rFonts w:hint="eastAsia" w:ascii="宋体" w:hAnsi="宋体" w:eastAsia="宋体" w:cs="宋体"/>
                <w:color w:val="auto"/>
                <w:kern w:val="0"/>
                <w:sz w:val="21"/>
                <w:szCs w:val="21"/>
                <w:highlight w:val="none"/>
                <w:lang w:eastAsia="zh-CN" w:bidi="ar"/>
              </w:rPr>
            </w:pPr>
            <w:r>
              <w:rPr>
                <w:rFonts w:hint="eastAsia" w:ascii="宋体" w:hAnsi="宋体" w:cs="宋体"/>
                <w:color w:val="auto"/>
                <w:kern w:val="0"/>
                <w:sz w:val="21"/>
                <w:szCs w:val="21"/>
                <w:highlight w:val="none"/>
                <w:lang w:val="en-US" w:eastAsia="zh-CN" w:bidi="ar"/>
              </w:rPr>
              <w:t>5</w:t>
            </w:r>
          </w:p>
        </w:tc>
        <w:tc>
          <w:tcPr>
            <w:tcW w:w="1539" w:type="dxa"/>
            <w:gridSpan w:val="2"/>
            <w:vMerge w:val="restart"/>
            <w:vAlign w:val="center"/>
          </w:tcPr>
          <w:p w14:paraId="6533F838">
            <w:pPr>
              <w:spacing w:line="360" w:lineRule="auto"/>
              <w:jc w:val="left"/>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施工方案总体情况评价</w:t>
            </w:r>
          </w:p>
        </w:tc>
        <w:tc>
          <w:tcPr>
            <w:tcW w:w="4218" w:type="dxa"/>
            <w:vAlign w:val="center"/>
          </w:tcPr>
          <w:p w14:paraId="25A0BBB3">
            <w:pPr>
              <w:spacing w:line="360" w:lineRule="auto"/>
              <w:jc w:val="left"/>
              <w:rPr>
                <w:rFonts w:ascii="宋体" w:hAnsi="宋体" w:cs="宋体"/>
                <w:color w:val="0000FF"/>
                <w:kern w:val="0"/>
                <w:sz w:val="21"/>
                <w:szCs w:val="21"/>
                <w:highlight w:val="none"/>
                <w:lang w:bidi="ar"/>
              </w:rPr>
            </w:pPr>
            <w:r>
              <w:rPr>
                <w:rFonts w:hint="eastAsia" w:ascii="宋体" w:hAnsi="宋体" w:cs="宋体"/>
                <w:color w:val="0000FF"/>
                <w:kern w:val="0"/>
                <w:sz w:val="21"/>
                <w:szCs w:val="21"/>
                <w:highlight w:val="none"/>
                <w:lang w:bidi="ar"/>
              </w:rPr>
              <w:t>方案内容全面、合理、条理清晰，涵盖本次工程实施有关的内容，且具有针对性得</w:t>
            </w:r>
            <w:r>
              <w:rPr>
                <w:rFonts w:hint="eastAsia" w:ascii="宋体" w:hAnsi="宋体" w:cs="宋体"/>
                <w:color w:val="0000FF"/>
                <w:kern w:val="0"/>
                <w:sz w:val="21"/>
                <w:szCs w:val="21"/>
                <w:highlight w:val="none"/>
                <w:lang w:val="en-US" w:eastAsia="zh-CN" w:bidi="ar"/>
              </w:rPr>
              <w:t>5</w:t>
            </w:r>
            <w:r>
              <w:rPr>
                <w:rFonts w:hint="eastAsia" w:ascii="宋体" w:hAnsi="宋体" w:cs="宋体"/>
                <w:color w:val="0000FF"/>
                <w:kern w:val="0"/>
                <w:sz w:val="21"/>
                <w:szCs w:val="21"/>
                <w:highlight w:val="none"/>
                <w:lang w:bidi="ar"/>
              </w:rPr>
              <w:t>分，方案内容</w:t>
            </w:r>
            <w:r>
              <w:rPr>
                <w:rFonts w:hint="eastAsia" w:ascii="宋体" w:hAnsi="宋体" w:cs="宋体"/>
                <w:color w:val="0000FF"/>
                <w:kern w:val="0"/>
                <w:sz w:val="21"/>
                <w:szCs w:val="21"/>
                <w:highlight w:val="none"/>
                <w:lang w:eastAsia="zh-CN" w:bidi="ar"/>
              </w:rPr>
              <w:t>基本</w:t>
            </w:r>
            <w:r>
              <w:rPr>
                <w:rFonts w:hint="eastAsia" w:ascii="宋体" w:hAnsi="宋体" w:cs="宋体"/>
                <w:color w:val="0000FF"/>
                <w:kern w:val="0"/>
                <w:sz w:val="21"/>
                <w:szCs w:val="21"/>
                <w:highlight w:val="none"/>
                <w:lang w:bidi="ar"/>
              </w:rPr>
              <w:t>全面合理得</w:t>
            </w:r>
            <w:r>
              <w:rPr>
                <w:rFonts w:hint="eastAsia" w:ascii="宋体" w:hAnsi="宋体" w:cs="宋体"/>
                <w:color w:val="0000FF"/>
                <w:kern w:val="0"/>
                <w:sz w:val="21"/>
                <w:szCs w:val="21"/>
                <w:highlight w:val="none"/>
                <w:lang w:val="en-US" w:eastAsia="zh-CN" w:bidi="ar"/>
              </w:rPr>
              <w:t>4</w:t>
            </w:r>
            <w:r>
              <w:rPr>
                <w:rFonts w:hint="eastAsia" w:ascii="宋体" w:hAnsi="宋体" w:cs="宋体"/>
                <w:color w:val="0000FF"/>
                <w:kern w:val="0"/>
                <w:sz w:val="21"/>
                <w:szCs w:val="21"/>
                <w:highlight w:val="none"/>
                <w:lang w:bidi="ar"/>
              </w:rPr>
              <w:t>分，方案内容基本合理，</w:t>
            </w:r>
            <w:r>
              <w:rPr>
                <w:rFonts w:hint="eastAsia" w:ascii="宋体" w:hAnsi="宋体" w:cs="宋体"/>
                <w:color w:val="0000FF"/>
                <w:kern w:val="0"/>
                <w:sz w:val="21"/>
                <w:szCs w:val="21"/>
                <w:highlight w:val="none"/>
                <w:lang w:eastAsia="zh-CN" w:bidi="ar"/>
              </w:rPr>
              <w:t>一般</w:t>
            </w:r>
            <w:r>
              <w:rPr>
                <w:rFonts w:hint="eastAsia" w:ascii="宋体" w:hAnsi="宋体" w:cs="宋体"/>
                <w:color w:val="0000FF"/>
                <w:kern w:val="0"/>
                <w:sz w:val="21"/>
                <w:szCs w:val="21"/>
                <w:highlight w:val="none"/>
                <w:lang w:bidi="ar"/>
              </w:rPr>
              <w:t>满足采购需求得</w:t>
            </w:r>
            <w:r>
              <w:rPr>
                <w:rFonts w:hint="eastAsia" w:ascii="宋体" w:hAnsi="宋体" w:cs="宋体"/>
                <w:color w:val="0000FF"/>
                <w:kern w:val="0"/>
                <w:sz w:val="21"/>
                <w:szCs w:val="21"/>
                <w:highlight w:val="none"/>
                <w:lang w:val="en-US" w:eastAsia="zh-CN" w:bidi="ar"/>
              </w:rPr>
              <w:t>3</w:t>
            </w:r>
            <w:r>
              <w:rPr>
                <w:rFonts w:hint="eastAsia" w:ascii="宋体" w:hAnsi="宋体" w:cs="宋体"/>
                <w:color w:val="0000FF"/>
                <w:kern w:val="0"/>
                <w:sz w:val="21"/>
                <w:szCs w:val="21"/>
                <w:highlight w:val="none"/>
                <w:lang w:bidi="ar"/>
              </w:rPr>
              <w:t>分，方案内容有提及得</w:t>
            </w:r>
            <w:r>
              <w:rPr>
                <w:rFonts w:hint="eastAsia" w:ascii="宋体" w:hAnsi="宋体" w:cs="宋体"/>
                <w:color w:val="0000FF"/>
                <w:kern w:val="0"/>
                <w:sz w:val="21"/>
                <w:szCs w:val="21"/>
                <w:highlight w:val="none"/>
                <w:lang w:val="en-US" w:eastAsia="zh-CN" w:bidi="ar"/>
              </w:rPr>
              <w:t>2</w:t>
            </w:r>
            <w:r>
              <w:rPr>
                <w:rFonts w:hint="eastAsia" w:ascii="宋体" w:hAnsi="宋体" w:cs="宋体"/>
                <w:color w:val="0000FF"/>
                <w:kern w:val="0"/>
                <w:sz w:val="21"/>
                <w:szCs w:val="21"/>
                <w:highlight w:val="none"/>
                <w:lang w:bidi="ar"/>
              </w:rPr>
              <w:t>分。严重缺失不得分。</w:t>
            </w:r>
          </w:p>
        </w:tc>
        <w:tc>
          <w:tcPr>
            <w:tcW w:w="985" w:type="dxa"/>
            <w:vAlign w:val="center"/>
          </w:tcPr>
          <w:p w14:paraId="5C1FD12B">
            <w:pPr>
              <w:spacing w:line="360" w:lineRule="auto"/>
              <w:jc w:val="center"/>
              <w:rPr>
                <w:rFonts w:hint="eastAsia" w:ascii="宋体" w:hAnsi="宋体" w:cs="宋体"/>
                <w:color w:val="0000FF"/>
                <w:kern w:val="0"/>
                <w:sz w:val="21"/>
                <w:szCs w:val="21"/>
                <w:highlight w:val="none"/>
                <w:lang w:val="en-US" w:eastAsia="zh-CN" w:bidi="ar"/>
              </w:rPr>
            </w:pPr>
            <w:r>
              <w:rPr>
                <w:rFonts w:hint="eastAsia" w:ascii="宋体" w:hAnsi="宋体" w:cs="宋体"/>
                <w:color w:val="0000FF"/>
                <w:kern w:val="0"/>
                <w:sz w:val="21"/>
                <w:szCs w:val="21"/>
                <w:highlight w:val="none"/>
                <w:lang w:val="en-US" w:eastAsia="zh-CN" w:bidi="ar"/>
              </w:rPr>
              <w:t>5</w:t>
            </w:r>
          </w:p>
          <w:p w14:paraId="364F1774">
            <w:pPr>
              <w:spacing w:line="360" w:lineRule="auto"/>
              <w:jc w:val="center"/>
              <w:rPr>
                <w:rFonts w:ascii="宋体" w:hAnsi="宋体" w:cs="宋体"/>
                <w:color w:val="0000FF"/>
                <w:kern w:val="0"/>
                <w:sz w:val="21"/>
                <w:szCs w:val="21"/>
                <w:highlight w:val="none"/>
                <w:lang w:bidi="ar"/>
              </w:rPr>
            </w:pPr>
            <w:r>
              <w:rPr>
                <w:rFonts w:hint="eastAsia" w:ascii="宋体" w:hAnsi="宋体" w:cs="宋体"/>
                <w:color w:val="0000FF"/>
                <w:kern w:val="0"/>
                <w:sz w:val="21"/>
                <w:szCs w:val="21"/>
                <w:highlight w:val="none"/>
                <w:lang w:val="en-US" w:eastAsia="zh-CN" w:bidi="ar"/>
              </w:rPr>
              <w:t>（主观）</w:t>
            </w:r>
          </w:p>
        </w:tc>
        <w:tc>
          <w:tcPr>
            <w:tcW w:w="1155" w:type="dxa"/>
            <w:vAlign w:val="center"/>
          </w:tcPr>
          <w:p w14:paraId="07331684">
            <w:pPr>
              <w:snapToGrid w:val="0"/>
              <w:spacing w:line="360" w:lineRule="auto"/>
              <w:jc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施工方案</w:t>
            </w:r>
          </w:p>
        </w:tc>
        <w:tc>
          <w:tcPr>
            <w:tcW w:w="1176" w:type="dxa"/>
            <w:vAlign w:val="center"/>
          </w:tcPr>
          <w:p w14:paraId="743C60A2">
            <w:pPr>
              <w:snapToGrid w:val="0"/>
              <w:spacing w:line="360" w:lineRule="auto"/>
              <w:jc w:val="center"/>
              <w:rPr>
                <w:rFonts w:hint="eastAsia" w:ascii="宋体" w:hAnsi="宋体" w:cs="宋体"/>
                <w:color w:val="auto"/>
                <w:kern w:val="0"/>
                <w:sz w:val="21"/>
                <w:szCs w:val="21"/>
                <w:highlight w:val="none"/>
                <w:lang w:bidi="ar"/>
              </w:rPr>
            </w:pPr>
            <w:r>
              <w:rPr>
                <w:rFonts w:hint="eastAsia" w:ascii="宋体" w:hAnsi="宋体" w:cs="宋体"/>
                <w:b w:val="0"/>
                <w:bCs/>
                <w:sz w:val="21"/>
                <w:szCs w:val="21"/>
              </w:rPr>
              <w:t>见</w:t>
            </w:r>
            <w:r>
              <w:rPr>
                <w:rFonts w:hint="eastAsia" w:ascii="宋体" w:hAnsi="宋体" w:cs="宋体"/>
                <w:b w:val="0"/>
                <w:bCs/>
                <w:sz w:val="21"/>
                <w:szCs w:val="21"/>
                <w:lang w:eastAsia="zh-CN"/>
              </w:rPr>
              <w:t>响应</w:t>
            </w:r>
            <w:r>
              <w:rPr>
                <w:rFonts w:hint="eastAsia" w:ascii="宋体" w:hAnsi="宋体" w:cs="宋体"/>
                <w:b w:val="0"/>
                <w:bCs/>
                <w:sz w:val="21"/>
                <w:szCs w:val="21"/>
              </w:rPr>
              <w:t>文件第</w:t>
            </w:r>
            <w:r>
              <w:rPr>
                <w:rFonts w:hint="eastAsia" w:ascii="宋体" w:hAnsi="宋体" w:cs="宋体"/>
                <w:b w:val="0"/>
                <w:bCs/>
                <w:sz w:val="21"/>
                <w:szCs w:val="21"/>
                <w:u w:val="single"/>
              </w:rPr>
              <w:t xml:space="preserve">  </w:t>
            </w:r>
            <w:r>
              <w:rPr>
                <w:rFonts w:hint="eastAsia" w:ascii="宋体" w:hAnsi="宋体" w:cs="宋体"/>
                <w:b w:val="0"/>
                <w:bCs/>
                <w:sz w:val="21"/>
                <w:szCs w:val="21"/>
              </w:rPr>
              <w:t>页</w:t>
            </w:r>
          </w:p>
        </w:tc>
      </w:tr>
      <w:tr w14:paraId="02E16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23" w:type="dxa"/>
            <w:vMerge w:val="continue"/>
            <w:vAlign w:val="center"/>
          </w:tcPr>
          <w:p w14:paraId="2EEC9097">
            <w:pPr>
              <w:spacing w:line="360" w:lineRule="auto"/>
              <w:jc w:val="center"/>
              <w:rPr>
                <w:rFonts w:ascii="宋体" w:hAnsi="宋体" w:cs="宋体"/>
                <w:color w:val="auto"/>
                <w:kern w:val="0"/>
                <w:sz w:val="21"/>
                <w:szCs w:val="21"/>
                <w:highlight w:val="none"/>
                <w:lang w:bidi="ar"/>
              </w:rPr>
            </w:pPr>
          </w:p>
        </w:tc>
        <w:tc>
          <w:tcPr>
            <w:tcW w:w="1539" w:type="dxa"/>
            <w:gridSpan w:val="2"/>
            <w:vMerge w:val="continue"/>
            <w:vAlign w:val="center"/>
          </w:tcPr>
          <w:p w14:paraId="307ABEBD">
            <w:pPr>
              <w:spacing w:line="360" w:lineRule="auto"/>
              <w:jc w:val="left"/>
              <w:rPr>
                <w:rFonts w:ascii="宋体" w:hAnsi="宋体" w:cs="宋体"/>
                <w:color w:val="auto"/>
                <w:kern w:val="0"/>
                <w:sz w:val="21"/>
                <w:szCs w:val="21"/>
                <w:highlight w:val="none"/>
                <w:lang w:bidi="ar"/>
              </w:rPr>
            </w:pPr>
          </w:p>
        </w:tc>
        <w:tc>
          <w:tcPr>
            <w:tcW w:w="4218" w:type="dxa"/>
            <w:vAlign w:val="center"/>
          </w:tcPr>
          <w:p w14:paraId="6D6CBC28">
            <w:pPr>
              <w:spacing w:line="360" w:lineRule="auto"/>
              <w:jc w:val="left"/>
              <w:rPr>
                <w:rFonts w:ascii="宋体" w:hAnsi="宋体" w:cs="宋体"/>
                <w:color w:val="0000FF"/>
                <w:kern w:val="0"/>
                <w:sz w:val="21"/>
                <w:szCs w:val="21"/>
                <w:highlight w:val="none"/>
                <w:lang w:bidi="ar"/>
              </w:rPr>
            </w:pPr>
            <w:r>
              <w:rPr>
                <w:rFonts w:hint="eastAsia" w:ascii="宋体" w:hAnsi="宋体" w:cs="宋体"/>
                <w:color w:val="0000FF"/>
                <w:kern w:val="0"/>
                <w:sz w:val="21"/>
                <w:szCs w:val="21"/>
                <w:highlight w:val="none"/>
                <w:lang w:bidi="ar"/>
              </w:rPr>
              <w:t>针对本项目施工环境需要采取的专门的施工技术内容科学合理，针对性强的得</w:t>
            </w:r>
            <w:r>
              <w:rPr>
                <w:rFonts w:hint="eastAsia" w:ascii="宋体" w:hAnsi="宋体" w:cs="宋体"/>
                <w:color w:val="0000FF"/>
                <w:kern w:val="0"/>
                <w:sz w:val="21"/>
                <w:szCs w:val="21"/>
                <w:highlight w:val="none"/>
                <w:lang w:val="en-US" w:eastAsia="zh-CN" w:bidi="ar"/>
              </w:rPr>
              <w:t>5</w:t>
            </w:r>
            <w:r>
              <w:rPr>
                <w:rFonts w:hint="eastAsia" w:ascii="宋体" w:hAnsi="宋体" w:cs="宋体"/>
                <w:color w:val="0000FF"/>
                <w:kern w:val="0"/>
                <w:sz w:val="21"/>
                <w:szCs w:val="21"/>
                <w:highlight w:val="none"/>
                <w:lang w:bidi="ar"/>
              </w:rPr>
              <w:t>分；措施内容基本合理，针对性较强得</w:t>
            </w:r>
            <w:r>
              <w:rPr>
                <w:rFonts w:hint="eastAsia" w:ascii="宋体" w:hAnsi="宋体" w:cs="宋体"/>
                <w:color w:val="0000FF"/>
                <w:kern w:val="0"/>
                <w:sz w:val="21"/>
                <w:szCs w:val="21"/>
                <w:highlight w:val="none"/>
                <w:lang w:val="en-US" w:eastAsia="zh-CN" w:bidi="ar"/>
              </w:rPr>
              <w:t>4</w:t>
            </w:r>
            <w:r>
              <w:rPr>
                <w:rFonts w:hint="eastAsia" w:ascii="宋体" w:hAnsi="宋体" w:cs="宋体"/>
                <w:color w:val="0000FF"/>
                <w:kern w:val="0"/>
                <w:sz w:val="21"/>
                <w:szCs w:val="21"/>
                <w:highlight w:val="none"/>
                <w:lang w:bidi="ar"/>
              </w:rPr>
              <w:t>分；措施内容基本合理得</w:t>
            </w:r>
            <w:r>
              <w:rPr>
                <w:rFonts w:hint="eastAsia" w:ascii="宋体" w:hAnsi="宋体" w:cs="宋体"/>
                <w:color w:val="0000FF"/>
                <w:kern w:val="0"/>
                <w:sz w:val="21"/>
                <w:szCs w:val="21"/>
                <w:highlight w:val="none"/>
                <w:lang w:val="en-US" w:eastAsia="zh-CN" w:bidi="ar"/>
              </w:rPr>
              <w:t>3</w:t>
            </w:r>
            <w:r>
              <w:rPr>
                <w:rFonts w:hint="eastAsia" w:ascii="宋体" w:hAnsi="宋体" w:cs="宋体"/>
                <w:color w:val="0000FF"/>
                <w:kern w:val="0"/>
                <w:sz w:val="21"/>
                <w:szCs w:val="21"/>
                <w:highlight w:val="none"/>
                <w:lang w:bidi="ar"/>
              </w:rPr>
              <w:t>分；措施内容一般，有提及得</w:t>
            </w:r>
            <w:r>
              <w:rPr>
                <w:rFonts w:hint="eastAsia" w:ascii="宋体" w:hAnsi="宋体" w:cs="宋体"/>
                <w:color w:val="0000FF"/>
                <w:kern w:val="0"/>
                <w:sz w:val="21"/>
                <w:szCs w:val="21"/>
                <w:highlight w:val="none"/>
                <w:lang w:val="en-US" w:eastAsia="zh-CN" w:bidi="ar"/>
              </w:rPr>
              <w:t>2</w:t>
            </w:r>
            <w:r>
              <w:rPr>
                <w:rFonts w:hint="eastAsia" w:ascii="宋体" w:hAnsi="宋体" w:cs="宋体"/>
                <w:color w:val="0000FF"/>
                <w:kern w:val="0"/>
                <w:sz w:val="21"/>
                <w:szCs w:val="21"/>
                <w:highlight w:val="none"/>
                <w:lang w:bidi="ar"/>
              </w:rPr>
              <w:t>分。内容缺失严重不得分。</w:t>
            </w:r>
          </w:p>
        </w:tc>
        <w:tc>
          <w:tcPr>
            <w:tcW w:w="985" w:type="dxa"/>
            <w:vAlign w:val="center"/>
          </w:tcPr>
          <w:p w14:paraId="45CAE872">
            <w:pPr>
              <w:spacing w:line="360" w:lineRule="auto"/>
              <w:jc w:val="center"/>
              <w:rPr>
                <w:rFonts w:hint="eastAsia" w:ascii="宋体" w:hAnsi="宋体" w:cs="宋体"/>
                <w:color w:val="0000FF"/>
                <w:kern w:val="0"/>
                <w:sz w:val="21"/>
                <w:szCs w:val="21"/>
                <w:highlight w:val="none"/>
                <w:lang w:val="en-US" w:eastAsia="zh-CN" w:bidi="ar"/>
              </w:rPr>
            </w:pPr>
            <w:r>
              <w:rPr>
                <w:rFonts w:hint="eastAsia" w:ascii="宋体" w:hAnsi="宋体" w:cs="宋体"/>
                <w:color w:val="0000FF"/>
                <w:kern w:val="0"/>
                <w:sz w:val="21"/>
                <w:szCs w:val="21"/>
                <w:highlight w:val="none"/>
                <w:lang w:val="en-US" w:eastAsia="zh-CN" w:bidi="ar"/>
              </w:rPr>
              <w:t>5</w:t>
            </w:r>
          </w:p>
          <w:p w14:paraId="790F2C04">
            <w:pPr>
              <w:spacing w:line="360" w:lineRule="auto"/>
              <w:jc w:val="center"/>
              <w:rPr>
                <w:rFonts w:ascii="宋体" w:hAnsi="宋体" w:cs="宋体"/>
                <w:color w:val="0000FF"/>
                <w:kern w:val="0"/>
                <w:sz w:val="21"/>
                <w:szCs w:val="21"/>
                <w:highlight w:val="none"/>
                <w:lang w:bidi="ar"/>
              </w:rPr>
            </w:pPr>
            <w:r>
              <w:rPr>
                <w:rFonts w:hint="eastAsia" w:ascii="宋体" w:hAnsi="宋体" w:cs="宋体"/>
                <w:color w:val="0000FF"/>
                <w:kern w:val="0"/>
                <w:sz w:val="21"/>
                <w:szCs w:val="21"/>
                <w:highlight w:val="none"/>
                <w:lang w:val="en-US" w:eastAsia="zh-CN" w:bidi="ar"/>
              </w:rPr>
              <w:t>（主观）</w:t>
            </w:r>
          </w:p>
        </w:tc>
        <w:tc>
          <w:tcPr>
            <w:tcW w:w="1155" w:type="dxa"/>
            <w:vAlign w:val="center"/>
          </w:tcPr>
          <w:p w14:paraId="24B5AD47">
            <w:pPr>
              <w:snapToGrid w:val="0"/>
              <w:spacing w:line="360" w:lineRule="auto"/>
              <w:jc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施工技术</w:t>
            </w:r>
          </w:p>
        </w:tc>
        <w:tc>
          <w:tcPr>
            <w:tcW w:w="1176" w:type="dxa"/>
            <w:vAlign w:val="center"/>
          </w:tcPr>
          <w:p w14:paraId="6FF1F293">
            <w:pPr>
              <w:snapToGrid w:val="0"/>
              <w:spacing w:line="360" w:lineRule="auto"/>
              <w:jc w:val="center"/>
              <w:rPr>
                <w:rFonts w:hint="eastAsia" w:ascii="宋体" w:hAnsi="宋体" w:cs="宋体"/>
                <w:color w:val="auto"/>
                <w:kern w:val="0"/>
                <w:sz w:val="21"/>
                <w:szCs w:val="21"/>
                <w:highlight w:val="none"/>
                <w:lang w:bidi="ar"/>
              </w:rPr>
            </w:pPr>
            <w:r>
              <w:rPr>
                <w:rFonts w:hint="eastAsia" w:ascii="宋体" w:hAnsi="宋体" w:cs="宋体"/>
                <w:b w:val="0"/>
                <w:bCs/>
                <w:sz w:val="21"/>
                <w:szCs w:val="21"/>
              </w:rPr>
              <w:t>见</w:t>
            </w:r>
            <w:r>
              <w:rPr>
                <w:rFonts w:hint="eastAsia" w:ascii="宋体" w:hAnsi="宋体" w:cs="宋体"/>
                <w:b w:val="0"/>
                <w:bCs/>
                <w:sz w:val="21"/>
                <w:szCs w:val="21"/>
                <w:lang w:eastAsia="zh-CN"/>
              </w:rPr>
              <w:t>响应</w:t>
            </w:r>
            <w:r>
              <w:rPr>
                <w:rFonts w:hint="eastAsia" w:ascii="宋体" w:hAnsi="宋体" w:cs="宋体"/>
                <w:b w:val="0"/>
                <w:bCs/>
                <w:sz w:val="21"/>
                <w:szCs w:val="21"/>
              </w:rPr>
              <w:t>文件第</w:t>
            </w:r>
            <w:r>
              <w:rPr>
                <w:rFonts w:hint="eastAsia" w:ascii="宋体" w:hAnsi="宋体" w:cs="宋体"/>
                <w:b w:val="0"/>
                <w:bCs/>
                <w:sz w:val="21"/>
                <w:szCs w:val="21"/>
                <w:u w:val="single"/>
              </w:rPr>
              <w:t xml:space="preserve">  </w:t>
            </w:r>
            <w:r>
              <w:rPr>
                <w:rFonts w:hint="eastAsia" w:ascii="宋体" w:hAnsi="宋体" w:cs="宋体"/>
                <w:b w:val="0"/>
                <w:bCs/>
                <w:sz w:val="21"/>
                <w:szCs w:val="21"/>
              </w:rPr>
              <w:t>页</w:t>
            </w:r>
          </w:p>
        </w:tc>
      </w:tr>
      <w:tr w14:paraId="4DD23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23" w:type="dxa"/>
            <w:vMerge w:val="continue"/>
            <w:vAlign w:val="center"/>
          </w:tcPr>
          <w:p w14:paraId="42B7B895">
            <w:pPr>
              <w:spacing w:line="360" w:lineRule="auto"/>
              <w:jc w:val="center"/>
              <w:rPr>
                <w:rFonts w:ascii="宋体" w:hAnsi="宋体" w:cs="宋体"/>
                <w:color w:val="auto"/>
                <w:kern w:val="0"/>
                <w:sz w:val="21"/>
                <w:szCs w:val="21"/>
                <w:highlight w:val="none"/>
                <w:lang w:bidi="ar"/>
              </w:rPr>
            </w:pPr>
          </w:p>
        </w:tc>
        <w:tc>
          <w:tcPr>
            <w:tcW w:w="1539" w:type="dxa"/>
            <w:gridSpan w:val="2"/>
            <w:vMerge w:val="continue"/>
            <w:vAlign w:val="center"/>
          </w:tcPr>
          <w:p w14:paraId="419D842F">
            <w:pPr>
              <w:spacing w:line="360" w:lineRule="auto"/>
              <w:jc w:val="left"/>
              <w:rPr>
                <w:rFonts w:ascii="宋体" w:hAnsi="宋体" w:cs="宋体"/>
                <w:color w:val="auto"/>
                <w:kern w:val="0"/>
                <w:sz w:val="21"/>
                <w:szCs w:val="21"/>
                <w:highlight w:val="none"/>
                <w:lang w:bidi="ar"/>
              </w:rPr>
            </w:pPr>
          </w:p>
        </w:tc>
        <w:tc>
          <w:tcPr>
            <w:tcW w:w="4218" w:type="dxa"/>
            <w:vAlign w:val="center"/>
          </w:tcPr>
          <w:p w14:paraId="0A87F205">
            <w:pPr>
              <w:spacing w:line="360" w:lineRule="auto"/>
              <w:jc w:val="left"/>
              <w:rPr>
                <w:rFonts w:ascii="宋体" w:hAnsi="宋体" w:cs="宋体"/>
                <w:color w:val="0000FF"/>
                <w:kern w:val="0"/>
                <w:sz w:val="21"/>
                <w:szCs w:val="21"/>
                <w:highlight w:val="none"/>
                <w:lang w:bidi="ar"/>
              </w:rPr>
            </w:pPr>
            <w:r>
              <w:rPr>
                <w:rFonts w:hint="eastAsia" w:ascii="宋体" w:hAnsi="宋体" w:cs="宋体"/>
                <w:color w:val="0000FF"/>
                <w:kern w:val="0"/>
                <w:sz w:val="21"/>
                <w:szCs w:val="21"/>
                <w:highlight w:val="none"/>
                <w:lang w:bidi="ar"/>
              </w:rPr>
              <w:t>组织措施内容科学合理，针对性强的得</w:t>
            </w:r>
            <w:r>
              <w:rPr>
                <w:rFonts w:hint="eastAsia" w:ascii="宋体" w:hAnsi="宋体" w:cs="宋体"/>
                <w:color w:val="0000FF"/>
                <w:kern w:val="0"/>
                <w:sz w:val="21"/>
                <w:szCs w:val="21"/>
                <w:highlight w:val="none"/>
                <w:lang w:val="en-US" w:eastAsia="zh-CN" w:bidi="ar"/>
              </w:rPr>
              <w:t>5</w:t>
            </w:r>
            <w:r>
              <w:rPr>
                <w:rFonts w:hint="eastAsia" w:ascii="宋体" w:hAnsi="宋体" w:cs="宋体"/>
                <w:color w:val="0000FF"/>
                <w:kern w:val="0"/>
                <w:sz w:val="21"/>
                <w:szCs w:val="21"/>
                <w:highlight w:val="none"/>
                <w:lang w:bidi="ar"/>
              </w:rPr>
              <w:t>分；措施内容基本合理，针对性较强得</w:t>
            </w:r>
            <w:r>
              <w:rPr>
                <w:rFonts w:hint="eastAsia" w:ascii="宋体" w:hAnsi="宋体" w:cs="宋体"/>
                <w:color w:val="0000FF"/>
                <w:kern w:val="0"/>
                <w:sz w:val="21"/>
                <w:szCs w:val="21"/>
                <w:highlight w:val="none"/>
                <w:lang w:val="en-US" w:eastAsia="zh-CN" w:bidi="ar"/>
              </w:rPr>
              <w:t>4</w:t>
            </w:r>
            <w:r>
              <w:rPr>
                <w:rFonts w:hint="eastAsia" w:ascii="宋体" w:hAnsi="宋体" w:cs="宋体"/>
                <w:color w:val="0000FF"/>
                <w:kern w:val="0"/>
                <w:sz w:val="21"/>
                <w:szCs w:val="21"/>
                <w:highlight w:val="none"/>
                <w:lang w:bidi="ar"/>
              </w:rPr>
              <w:t>分；措施内容基本合理得</w:t>
            </w:r>
            <w:r>
              <w:rPr>
                <w:rFonts w:hint="eastAsia" w:ascii="宋体" w:hAnsi="宋体" w:cs="宋体"/>
                <w:color w:val="0000FF"/>
                <w:kern w:val="0"/>
                <w:sz w:val="21"/>
                <w:szCs w:val="21"/>
                <w:highlight w:val="none"/>
                <w:lang w:val="en-US" w:eastAsia="zh-CN" w:bidi="ar"/>
              </w:rPr>
              <w:t>3</w:t>
            </w:r>
            <w:r>
              <w:rPr>
                <w:rFonts w:hint="eastAsia" w:ascii="宋体" w:hAnsi="宋体" w:cs="宋体"/>
                <w:color w:val="0000FF"/>
                <w:kern w:val="0"/>
                <w:sz w:val="21"/>
                <w:szCs w:val="21"/>
                <w:highlight w:val="none"/>
                <w:lang w:bidi="ar"/>
              </w:rPr>
              <w:t>分；措施内容一般，有提及得</w:t>
            </w:r>
            <w:r>
              <w:rPr>
                <w:rFonts w:hint="eastAsia" w:ascii="宋体" w:hAnsi="宋体" w:cs="宋体"/>
                <w:color w:val="0000FF"/>
                <w:kern w:val="0"/>
                <w:sz w:val="21"/>
                <w:szCs w:val="21"/>
                <w:highlight w:val="none"/>
                <w:lang w:val="en-US" w:eastAsia="zh-CN" w:bidi="ar"/>
              </w:rPr>
              <w:t>2</w:t>
            </w:r>
            <w:r>
              <w:rPr>
                <w:rFonts w:hint="eastAsia" w:ascii="宋体" w:hAnsi="宋体" w:cs="宋体"/>
                <w:color w:val="0000FF"/>
                <w:kern w:val="0"/>
                <w:sz w:val="21"/>
                <w:szCs w:val="21"/>
                <w:highlight w:val="none"/>
                <w:lang w:bidi="ar"/>
              </w:rPr>
              <w:t>分。内容缺失严重不得分。</w:t>
            </w:r>
          </w:p>
        </w:tc>
        <w:tc>
          <w:tcPr>
            <w:tcW w:w="985" w:type="dxa"/>
            <w:vAlign w:val="center"/>
          </w:tcPr>
          <w:p w14:paraId="305FB328">
            <w:pPr>
              <w:spacing w:line="360" w:lineRule="auto"/>
              <w:jc w:val="center"/>
              <w:rPr>
                <w:rFonts w:hint="eastAsia" w:ascii="宋体" w:hAnsi="宋体" w:cs="宋体"/>
                <w:color w:val="0000FF"/>
                <w:kern w:val="0"/>
                <w:sz w:val="21"/>
                <w:szCs w:val="21"/>
                <w:highlight w:val="none"/>
                <w:lang w:val="en-US" w:eastAsia="zh-CN" w:bidi="ar"/>
              </w:rPr>
            </w:pPr>
            <w:r>
              <w:rPr>
                <w:rFonts w:hint="eastAsia" w:ascii="宋体" w:hAnsi="宋体" w:cs="宋体"/>
                <w:color w:val="0000FF"/>
                <w:kern w:val="0"/>
                <w:sz w:val="21"/>
                <w:szCs w:val="21"/>
                <w:highlight w:val="none"/>
                <w:lang w:val="en-US" w:eastAsia="zh-CN" w:bidi="ar"/>
              </w:rPr>
              <w:t>5</w:t>
            </w:r>
          </w:p>
          <w:p w14:paraId="1D84FF04">
            <w:pPr>
              <w:spacing w:line="360" w:lineRule="auto"/>
              <w:jc w:val="center"/>
              <w:rPr>
                <w:rFonts w:ascii="宋体" w:hAnsi="宋体" w:cs="宋体"/>
                <w:color w:val="0000FF"/>
                <w:kern w:val="0"/>
                <w:sz w:val="21"/>
                <w:szCs w:val="21"/>
                <w:highlight w:val="none"/>
                <w:lang w:bidi="ar"/>
              </w:rPr>
            </w:pPr>
            <w:r>
              <w:rPr>
                <w:rFonts w:hint="eastAsia" w:ascii="宋体" w:hAnsi="宋体" w:cs="宋体"/>
                <w:color w:val="0000FF"/>
                <w:kern w:val="0"/>
                <w:sz w:val="21"/>
                <w:szCs w:val="21"/>
                <w:highlight w:val="none"/>
                <w:lang w:val="en-US" w:eastAsia="zh-CN" w:bidi="ar"/>
              </w:rPr>
              <w:t>（主观）</w:t>
            </w:r>
          </w:p>
        </w:tc>
        <w:tc>
          <w:tcPr>
            <w:tcW w:w="1155" w:type="dxa"/>
            <w:vAlign w:val="center"/>
          </w:tcPr>
          <w:p w14:paraId="65E2377E">
            <w:pPr>
              <w:snapToGrid w:val="0"/>
              <w:spacing w:line="360" w:lineRule="auto"/>
              <w:jc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组织措施</w:t>
            </w:r>
          </w:p>
        </w:tc>
        <w:tc>
          <w:tcPr>
            <w:tcW w:w="1176" w:type="dxa"/>
            <w:vAlign w:val="center"/>
          </w:tcPr>
          <w:p w14:paraId="23FF476F">
            <w:pPr>
              <w:snapToGrid w:val="0"/>
              <w:spacing w:line="360" w:lineRule="auto"/>
              <w:jc w:val="center"/>
              <w:rPr>
                <w:rFonts w:hint="eastAsia" w:ascii="宋体" w:hAnsi="宋体" w:cs="宋体"/>
                <w:color w:val="auto"/>
                <w:kern w:val="0"/>
                <w:sz w:val="21"/>
                <w:szCs w:val="21"/>
                <w:highlight w:val="none"/>
                <w:lang w:bidi="ar"/>
              </w:rPr>
            </w:pPr>
            <w:r>
              <w:rPr>
                <w:rFonts w:hint="eastAsia" w:ascii="宋体" w:hAnsi="宋体" w:cs="宋体"/>
                <w:b w:val="0"/>
                <w:bCs/>
                <w:sz w:val="21"/>
                <w:szCs w:val="21"/>
              </w:rPr>
              <w:t>见</w:t>
            </w:r>
            <w:r>
              <w:rPr>
                <w:rFonts w:hint="eastAsia" w:ascii="宋体" w:hAnsi="宋体" w:cs="宋体"/>
                <w:b w:val="0"/>
                <w:bCs/>
                <w:sz w:val="21"/>
                <w:szCs w:val="21"/>
                <w:lang w:eastAsia="zh-CN"/>
              </w:rPr>
              <w:t>响应</w:t>
            </w:r>
            <w:r>
              <w:rPr>
                <w:rFonts w:hint="eastAsia" w:ascii="宋体" w:hAnsi="宋体" w:cs="宋体"/>
                <w:b w:val="0"/>
                <w:bCs/>
                <w:sz w:val="21"/>
                <w:szCs w:val="21"/>
              </w:rPr>
              <w:t>文件第</w:t>
            </w:r>
            <w:r>
              <w:rPr>
                <w:rFonts w:hint="eastAsia" w:ascii="宋体" w:hAnsi="宋体" w:cs="宋体"/>
                <w:b w:val="0"/>
                <w:bCs/>
                <w:sz w:val="21"/>
                <w:szCs w:val="21"/>
                <w:u w:val="single"/>
              </w:rPr>
              <w:t xml:space="preserve">  </w:t>
            </w:r>
            <w:r>
              <w:rPr>
                <w:rFonts w:hint="eastAsia" w:ascii="宋体" w:hAnsi="宋体" w:cs="宋体"/>
                <w:b w:val="0"/>
                <w:bCs/>
                <w:sz w:val="21"/>
                <w:szCs w:val="21"/>
              </w:rPr>
              <w:t>页</w:t>
            </w:r>
          </w:p>
        </w:tc>
      </w:tr>
      <w:tr w14:paraId="12C2C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3" w:type="dxa"/>
            <w:vAlign w:val="center"/>
          </w:tcPr>
          <w:p w14:paraId="3A16F05E">
            <w:pPr>
              <w:spacing w:line="360" w:lineRule="auto"/>
              <w:jc w:val="center"/>
              <w:rPr>
                <w:rFonts w:hint="eastAsia" w:ascii="宋体" w:hAnsi="宋体" w:eastAsia="宋体" w:cs="宋体"/>
                <w:color w:val="auto"/>
                <w:kern w:val="0"/>
                <w:sz w:val="21"/>
                <w:szCs w:val="21"/>
                <w:highlight w:val="none"/>
                <w:lang w:eastAsia="zh-CN" w:bidi="ar"/>
              </w:rPr>
            </w:pPr>
            <w:r>
              <w:rPr>
                <w:rFonts w:hint="eastAsia" w:ascii="宋体" w:hAnsi="宋体" w:cs="宋体"/>
                <w:color w:val="auto"/>
                <w:kern w:val="0"/>
                <w:sz w:val="21"/>
                <w:szCs w:val="21"/>
                <w:highlight w:val="none"/>
                <w:lang w:val="en-US" w:eastAsia="zh-CN" w:bidi="ar"/>
              </w:rPr>
              <w:t>6</w:t>
            </w:r>
          </w:p>
        </w:tc>
        <w:tc>
          <w:tcPr>
            <w:tcW w:w="5757" w:type="dxa"/>
            <w:gridSpan w:val="3"/>
            <w:vAlign w:val="center"/>
          </w:tcPr>
          <w:p w14:paraId="7DE2E512">
            <w:pPr>
              <w:spacing w:line="360" w:lineRule="auto"/>
              <w:jc w:val="left"/>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投标人针对本项目施工重点难点分析到位，针对性强的得</w:t>
            </w:r>
            <w:r>
              <w:rPr>
                <w:rFonts w:hint="eastAsia" w:ascii="宋体" w:hAnsi="宋体" w:cs="宋体"/>
                <w:color w:val="auto"/>
                <w:kern w:val="0"/>
                <w:sz w:val="21"/>
                <w:szCs w:val="21"/>
                <w:highlight w:val="none"/>
                <w:lang w:val="en-US" w:eastAsia="zh-CN" w:bidi="ar"/>
              </w:rPr>
              <w:t>4</w:t>
            </w:r>
            <w:r>
              <w:rPr>
                <w:rFonts w:hint="eastAsia" w:ascii="宋体" w:hAnsi="宋体" w:cs="宋体"/>
                <w:color w:val="auto"/>
                <w:kern w:val="0"/>
                <w:sz w:val="21"/>
                <w:szCs w:val="21"/>
                <w:highlight w:val="none"/>
                <w:lang w:bidi="ar"/>
              </w:rPr>
              <w:t>分，施工重点难度内容分析</w:t>
            </w:r>
            <w:r>
              <w:rPr>
                <w:rFonts w:hint="eastAsia" w:ascii="宋体" w:hAnsi="宋体" w:cs="宋体"/>
                <w:color w:val="auto"/>
                <w:kern w:val="0"/>
                <w:sz w:val="21"/>
                <w:szCs w:val="21"/>
                <w:highlight w:val="none"/>
                <w:lang w:eastAsia="zh-CN" w:bidi="ar"/>
              </w:rPr>
              <w:t>较</w:t>
            </w:r>
            <w:r>
              <w:rPr>
                <w:rFonts w:hint="eastAsia" w:ascii="宋体" w:hAnsi="宋体" w:cs="宋体"/>
                <w:color w:val="auto"/>
                <w:kern w:val="0"/>
                <w:sz w:val="21"/>
                <w:szCs w:val="21"/>
                <w:highlight w:val="none"/>
                <w:lang w:bidi="ar"/>
              </w:rPr>
              <w:t>合理得</w:t>
            </w:r>
            <w:r>
              <w:rPr>
                <w:rFonts w:hint="eastAsia" w:ascii="宋体" w:hAnsi="宋体" w:cs="宋体"/>
                <w:color w:val="auto"/>
                <w:kern w:val="0"/>
                <w:sz w:val="21"/>
                <w:szCs w:val="21"/>
                <w:highlight w:val="none"/>
                <w:lang w:val="en-US" w:eastAsia="zh-CN" w:bidi="ar"/>
              </w:rPr>
              <w:t>3</w:t>
            </w:r>
            <w:r>
              <w:rPr>
                <w:rFonts w:hint="eastAsia" w:ascii="宋体" w:hAnsi="宋体" w:cs="宋体"/>
                <w:color w:val="auto"/>
                <w:kern w:val="0"/>
                <w:sz w:val="21"/>
                <w:szCs w:val="21"/>
                <w:highlight w:val="none"/>
                <w:lang w:bidi="ar"/>
              </w:rPr>
              <w:t>分，施工重点难度内容分析基本合理得</w:t>
            </w:r>
            <w:r>
              <w:rPr>
                <w:rFonts w:hint="eastAsia" w:ascii="宋体" w:hAnsi="宋体" w:cs="宋体"/>
                <w:color w:val="auto"/>
                <w:kern w:val="0"/>
                <w:sz w:val="21"/>
                <w:szCs w:val="21"/>
                <w:highlight w:val="none"/>
                <w:lang w:val="en-US" w:eastAsia="zh-CN" w:bidi="ar"/>
              </w:rPr>
              <w:t>2</w:t>
            </w:r>
            <w:r>
              <w:rPr>
                <w:rFonts w:hint="eastAsia" w:ascii="宋体" w:hAnsi="宋体" w:cs="宋体"/>
                <w:color w:val="auto"/>
                <w:kern w:val="0"/>
                <w:sz w:val="21"/>
                <w:szCs w:val="21"/>
                <w:highlight w:val="none"/>
                <w:lang w:bidi="ar"/>
              </w:rPr>
              <w:t>分，</w:t>
            </w:r>
            <w:r>
              <w:rPr>
                <w:rFonts w:hint="eastAsia" w:ascii="宋体" w:hAnsi="宋体" w:cs="宋体"/>
                <w:color w:val="auto"/>
                <w:kern w:val="0"/>
                <w:sz w:val="21"/>
                <w:szCs w:val="21"/>
                <w:highlight w:val="none"/>
                <w:lang w:eastAsia="zh-CN" w:bidi="ar"/>
              </w:rPr>
              <w:t>内容</w:t>
            </w:r>
            <w:r>
              <w:rPr>
                <w:rFonts w:hint="eastAsia" w:ascii="宋体" w:hAnsi="宋体" w:cs="宋体"/>
                <w:color w:val="auto"/>
                <w:kern w:val="0"/>
                <w:sz w:val="21"/>
                <w:szCs w:val="21"/>
                <w:highlight w:val="none"/>
                <w:lang w:bidi="ar"/>
              </w:rPr>
              <w:t>内容一般有提及得1分</w:t>
            </w:r>
            <w:r>
              <w:rPr>
                <w:rFonts w:hint="eastAsia" w:ascii="宋体" w:hAnsi="宋体" w:cs="宋体"/>
                <w:color w:val="auto"/>
                <w:kern w:val="0"/>
                <w:sz w:val="21"/>
                <w:szCs w:val="21"/>
                <w:highlight w:val="none"/>
                <w:lang w:eastAsia="zh-CN" w:bidi="ar"/>
              </w:rPr>
              <w:t>，</w:t>
            </w:r>
            <w:r>
              <w:rPr>
                <w:rFonts w:hint="eastAsia" w:ascii="宋体" w:hAnsi="宋体" w:cs="宋体"/>
                <w:color w:val="auto"/>
                <w:kern w:val="0"/>
                <w:sz w:val="21"/>
                <w:szCs w:val="21"/>
                <w:highlight w:val="none"/>
                <w:lang w:bidi="ar"/>
              </w:rPr>
              <w:t>内容缺失严重不得分。</w:t>
            </w:r>
          </w:p>
        </w:tc>
        <w:tc>
          <w:tcPr>
            <w:tcW w:w="985" w:type="dxa"/>
            <w:vAlign w:val="center"/>
          </w:tcPr>
          <w:p w14:paraId="4DB715CC">
            <w:pPr>
              <w:spacing w:line="360" w:lineRule="auto"/>
              <w:jc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4</w:t>
            </w:r>
          </w:p>
          <w:p w14:paraId="3E05B687">
            <w:pPr>
              <w:spacing w:line="360" w:lineRule="auto"/>
              <w:jc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val="en-US" w:eastAsia="zh-CN" w:bidi="ar"/>
              </w:rPr>
              <w:t>（主观）</w:t>
            </w:r>
          </w:p>
        </w:tc>
        <w:tc>
          <w:tcPr>
            <w:tcW w:w="1155" w:type="dxa"/>
            <w:vAlign w:val="center"/>
          </w:tcPr>
          <w:p w14:paraId="43EF8B1B">
            <w:pPr>
              <w:snapToGrid w:val="0"/>
              <w:spacing w:line="360" w:lineRule="auto"/>
              <w:jc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施工重点难点分析</w:t>
            </w:r>
          </w:p>
        </w:tc>
        <w:tc>
          <w:tcPr>
            <w:tcW w:w="1176" w:type="dxa"/>
            <w:vAlign w:val="center"/>
          </w:tcPr>
          <w:p w14:paraId="28C12B28">
            <w:pPr>
              <w:snapToGrid w:val="0"/>
              <w:spacing w:line="360" w:lineRule="auto"/>
              <w:jc w:val="center"/>
              <w:rPr>
                <w:rFonts w:hint="eastAsia" w:ascii="宋体" w:hAnsi="宋体" w:cs="宋体"/>
                <w:color w:val="auto"/>
                <w:kern w:val="0"/>
                <w:sz w:val="21"/>
                <w:szCs w:val="21"/>
                <w:highlight w:val="none"/>
                <w:lang w:bidi="ar"/>
              </w:rPr>
            </w:pPr>
            <w:r>
              <w:rPr>
                <w:rFonts w:hint="eastAsia" w:ascii="宋体" w:hAnsi="宋体" w:cs="宋体"/>
                <w:b w:val="0"/>
                <w:bCs/>
                <w:sz w:val="21"/>
                <w:szCs w:val="21"/>
              </w:rPr>
              <w:t>见</w:t>
            </w:r>
            <w:r>
              <w:rPr>
                <w:rFonts w:hint="eastAsia" w:ascii="宋体" w:hAnsi="宋体" w:cs="宋体"/>
                <w:b w:val="0"/>
                <w:bCs/>
                <w:sz w:val="21"/>
                <w:szCs w:val="21"/>
                <w:lang w:eastAsia="zh-CN"/>
              </w:rPr>
              <w:t>响应</w:t>
            </w:r>
            <w:r>
              <w:rPr>
                <w:rFonts w:hint="eastAsia" w:ascii="宋体" w:hAnsi="宋体" w:cs="宋体"/>
                <w:b w:val="0"/>
                <w:bCs/>
                <w:sz w:val="21"/>
                <w:szCs w:val="21"/>
              </w:rPr>
              <w:t>文件第</w:t>
            </w:r>
            <w:r>
              <w:rPr>
                <w:rFonts w:hint="eastAsia" w:ascii="宋体" w:hAnsi="宋体" w:cs="宋体"/>
                <w:b w:val="0"/>
                <w:bCs/>
                <w:sz w:val="21"/>
                <w:szCs w:val="21"/>
                <w:u w:val="single"/>
              </w:rPr>
              <w:t xml:space="preserve">  </w:t>
            </w:r>
            <w:r>
              <w:rPr>
                <w:rFonts w:hint="eastAsia" w:ascii="宋体" w:hAnsi="宋体" w:cs="宋体"/>
                <w:b w:val="0"/>
                <w:bCs/>
                <w:sz w:val="21"/>
                <w:szCs w:val="21"/>
              </w:rPr>
              <w:t>页</w:t>
            </w:r>
          </w:p>
        </w:tc>
      </w:tr>
      <w:tr w14:paraId="0D465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3" w:type="dxa"/>
            <w:vAlign w:val="center"/>
          </w:tcPr>
          <w:p w14:paraId="636B687B">
            <w:pPr>
              <w:spacing w:line="360" w:lineRule="auto"/>
              <w:jc w:val="center"/>
              <w:rPr>
                <w:rFonts w:hint="eastAsia" w:ascii="宋体" w:hAnsi="宋体" w:eastAsia="宋体" w:cs="宋体"/>
                <w:color w:val="auto"/>
                <w:kern w:val="0"/>
                <w:sz w:val="21"/>
                <w:szCs w:val="21"/>
                <w:highlight w:val="none"/>
                <w:lang w:eastAsia="zh-CN" w:bidi="ar"/>
              </w:rPr>
            </w:pPr>
            <w:r>
              <w:rPr>
                <w:rFonts w:hint="eastAsia" w:ascii="宋体" w:hAnsi="宋体" w:cs="宋体"/>
                <w:color w:val="auto"/>
                <w:kern w:val="0"/>
                <w:sz w:val="21"/>
                <w:szCs w:val="21"/>
                <w:highlight w:val="none"/>
                <w:lang w:val="en-US" w:eastAsia="zh-CN" w:bidi="ar"/>
              </w:rPr>
              <w:t>7</w:t>
            </w:r>
          </w:p>
        </w:tc>
        <w:tc>
          <w:tcPr>
            <w:tcW w:w="5757" w:type="dxa"/>
            <w:gridSpan w:val="3"/>
            <w:vAlign w:val="center"/>
          </w:tcPr>
          <w:p w14:paraId="0C90EBE3">
            <w:pPr>
              <w:spacing w:line="360" w:lineRule="auto"/>
              <w:jc w:val="left"/>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投标人针对本项目施工重点难点</w:t>
            </w:r>
            <w:r>
              <w:rPr>
                <w:rFonts w:hint="eastAsia" w:ascii="宋体" w:hAnsi="宋体" w:cs="宋体"/>
                <w:color w:val="auto"/>
                <w:kern w:val="0"/>
                <w:sz w:val="21"/>
                <w:szCs w:val="21"/>
                <w:highlight w:val="none"/>
                <w:lang w:eastAsia="zh-CN" w:bidi="ar"/>
              </w:rPr>
              <w:t>对应</w:t>
            </w:r>
            <w:r>
              <w:rPr>
                <w:rFonts w:hint="eastAsia" w:ascii="宋体" w:hAnsi="宋体" w:cs="宋体"/>
                <w:color w:val="auto"/>
                <w:kern w:val="0"/>
                <w:sz w:val="21"/>
                <w:szCs w:val="21"/>
                <w:highlight w:val="none"/>
                <w:lang w:bidi="ar"/>
              </w:rPr>
              <w:t>措施内容科学合理，针对性强的得4分；措施内容</w:t>
            </w:r>
            <w:r>
              <w:rPr>
                <w:rFonts w:hint="eastAsia" w:ascii="宋体" w:hAnsi="宋体" w:cs="宋体"/>
                <w:color w:val="auto"/>
                <w:kern w:val="0"/>
                <w:sz w:val="21"/>
                <w:szCs w:val="21"/>
                <w:highlight w:val="none"/>
                <w:lang w:eastAsia="zh-CN" w:bidi="ar"/>
              </w:rPr>
              <w:t>较</w:t>
            </w:r>
            <w:r>
              <w:rPr>
                <w:rFonts w:hint="eastAsia" w:ascii="宋体" w:hAnsi="宋体" w:cs="宋体"/>
                <w:color w:val="auto"/>
                <w:kern w:val="0"/>
                <w:sz w:val="21"/>
                <w:szCs w:val="21"/>
                <w:highlight w:val="none"/>
                <w:lang w:bidi="ar"/>
              </w:rPr>
              <w:t>合理，针对性较强得3分；措施内容基本合理得2分；措施内容一般，有提及得1分。内容缺失严重不得分。</w:t>
            </w:r>
          </w:p>
        </w:tc>
        <w:tc>
          <w:tcPr>
            <w:tcW w:w="985" w:type="dxa"/>
            <w:vAlign w:val="center"/>
          </w:tcPr>
          <w:p w14:paraId="673A2E84">
            <w:pPr>
              <w:spacing w:line="360" w:lineRule="auto"/>
              <w:jc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4</w:t>
            </w:r>
          </w:p>
          <w:p w14:paraId="0F1FD275">
            <w:pPr>
              <w:spacing w:line="360" w:lineRule="auto"/>
              <w:jc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val="en-US" w:eastAsia="zh-CN" w:bidi="ar"/>
              </w:rPr>
              <w:t>（主观）</w:t>
            </w:r>
          </w:p>
        </w:tc>
        <w:tc>
          <w:tcPr>
            <w:tcW w:w="1155" w:type="dxa"/>
            <w:vAlign w:val="center"/>
          </w:tcPr>
          <w:p w14:paraId="62796066">
            <w:pPr>
              <w:snapToGrid w:val="0"/>
              <w:spacing w:line="360" w:lineRule="auto"/>
              <w:jc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重点难点</w:t>
            </w:r>
            <w:r>
              <w:rPr>
                <w:rFonts w:hint="eastAsia" w:ascii="宋体" w:hAnsi="宋体" w:cs="宋体"/>
                <w:color w:val="auto"/>
                <w:kern w:val="0"/>
                <w:sz w:val="21"/>
                <w:szCs w:val="21"/>
                <w:highlight w:val="none"/>
                <w:lang w:eastAsia="zh-CN" w:bidi="ar"/>
              </w:rPr>
              <w:t>对应</w:t>
            </w:r>
            <w:r>
              <w:rPr>
                <w:rFonts w:hint="eastAsia" w:ascii="宋体" w:hAnsi="宋体" w:cs="宋体"/>
                <w:color w:val="auto"/>
                <w:kern w:val="0"/>
                <w:sz w:val="21"/>
                <w:szCs w:val="21"/>
                <w:highlight w:val="none"/>
                <w:lang w:bidi="ar"/>
              </w:rPr>
              <w:t>措施</w:t>
            </w:r>
          </w:p>
        </w:tc>
        <w:tc>
          <w:tcPr>
            <w:tcW w:w="1176" w:type="dxa"/>
            <w:vAlign w:val="center"/>
          </w:tcPr>
          <w:p w14:paraId="7FEEC40E">
            <w:pPr>
              <w:snapToGrid w:val="0"/>
              <w:spacing w:line="360" w:lineRule="auto"/>
              <w:jc w:val="center"/>
              <w:rPr>
                <w:rFonts w:hint="eastAsia" w:ascii="宋体" w:hAnsi="宋体" w:cs="宋体"/>
                <w:color w:val="auto"/>
                <w:kern w:val="0"/>
                <w:sz w:val="21"/>
                <w:szCs w:val="21"/>
                <w:highlight w:val="none"/>
                <w:lang w:bidi="ar"/>
              </w:rPr>
            </w:pPr>
            <w:r>
              <w:rPr>
                <w:rFonts w:hint="eastAsia" w:ascii="宋体" w:hAnsi="宋体" w:cs="宋体"/>
                <w:b w:val="0"/>
                <w:bCs/>
                <w:sz w:val="21"/>
                <w:szCs w:val="21"/>
              </w:rPr>
              <w:t>见</w:t>
            </w:r>
            <w:r>
              <w:rPr>
                <w:rFonts w:hint="eastAsia" w:ascii="宋体" w:hAnsi="宋体" w:cs="宋体"/>
                <w:b w:val="0"/>
                <w:bCs/>
                <w:sz w:val="21"/>
                <w:szCs w:val="21"/>
                <w:lang w:eastAsia="zh-CN"/>
              </w:rPr>
              <w:t>响应</w:t>
            </w:r>
            <w:r>
              <w:rPr>
                <w:rFonts w:hint="eastAsia" w:ascii="宋体" w:hAnsi="宋体" w:cs="宋体"/>
                <w:b w:val="0"/>
                <w:bCs/>
                <w:sz w:val="21"/>
                <w:szCs w:val="21"/>
              </w:rPr>
              <w:t>文件第</w:t>
            </w:r>
            <w:r>
              <w:rPr>
                <w:rFonts w:hint="eastAsia" w:ascii="宋体" w:hAnsi="宋体" w:cs="宋体"/>
                <w:b w:val="0"/>
                <w:bCs/>
                <w:sz w:val="21"/>
                <w:szCs w:val="21"/>
                <w:u w:val="single"/>
              </w:rPr>
              <w:t xml:space="preserve">  </w:t>
            </w:r>
            <w:r>
              <w:rPr>
                <w:rFonts w:hint="eastAsia" w:ascii="宋体" w:hAnsi="宋体" w:cs="宋体"/>
                <w:b w:val="0"/>
                <w:bCs/>
                <w:sz w:val="21"/>
                <w:szCs w:val="21"/>
              </w:rPr>
              <w:t>页</w:t>
            </w:r>
          </w:p>
        </w:tc>
      </w:tr>
      <w:tr w14:paraId="7B358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623" w:type="dxa"/>
            <w:vMerge w:val="restart"/>
            <w:vAlign w:val="center"/>
          </w:tcPr>
          <w:p w14:paraId="70ACD4F9">
            <w:pPr>
              <w:spacing w:line="360" w:lineRule="auto"/>
              <w:jc w:val="center"/>
              <w:rPr>
                <w:rFonts w:hint="eastAsia" w:ascii="宋体" w:hAnsi="宋体" w:eastAsia="宋体" w:cs="宋体"/>
                <w:color w:val="auto"/>
                <w:kern w:val="0"/>
                <w:sz w:val="21"/>
                <w:szCs w:val="21"/>
                <w:highlight w:val="none"/>
                <w:lang w:eastAsia="zh-CN" w:bidi="ar"/>
              </w:rPr>
            </w:pPr>
            <w:r>
              <w:rPr>
                <w:rFonts w:hint="eastAsia" w:ascii="宋体" w:hAnsi="宋体" w:cs="宋体"/>
                <w:color w:val="auto"/>
                <w:kern w:val="0"/>
                <w:sz w:val="21"/>
                <w:szCs w:val="21"/>
                <w:highlight w:val="none"/>
                <w:lang w:val="en-US" w:eastAsia="zh-CN" w:bidi="ar"/>
              </w:rPr>
              <w:t>8</w:t>
            </w:r>
          </w:p>
        </w:tc>
        <w:tc>
          <w:tcPr>
            <w:tcW w:w="1472" w:type="dxa"/>
            <w:vMerge w:val="restart"/>
            <w:vAlign w:val="center"/>
          </w:tcPr>
          <w:p w14:paraId="19FA45FF">
            <w:pPr>
              <w:spacing w:line="360" w:lineRule="auto"/>
              <w:jc w:val="left"/>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专项施工方案</w:t>
            </w:r>
          </w:p>
        </w:tc>
        <w:tc>
          <w:tcPr>
            <w:tcW w:w="4285" w:type="dxa"/>
            <w:gridSpan w:val="2"/>
            <w:vAlign w:val="center"/>
          </w:tcPr>
          <w:p w14:paraId="341552A4">
            <w:pPr>
              <w:spacing w:line="360" w:lineRule="auto"/>
              <w:jc w:val="left"/>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施工方案内容科学合理，主要分部施工方法符合项目实际针对性强得4分，方案内容</w:t>
            </w:r>
            <w:r>
              <w:rPr>
                <w:rFonts w:hint="eastAsia" w:ascii="宋体" w:hAnsi="宋体" w:cs="宋体"/>
                <w:color w:val="auto"/>
                <w:kern w:val="0"/>
                <w:sz w:val="21"/>
                <w:szCs w:val="21"/>
                <w:highlight w:val="none"/>
                <w:lang w:eastAsia="zh-CN" w:bidi="ar"/>
              </w:rPr>
              <w:t>较</w:t>
            </w:r>
            <w:r>
              <w:rPr>
                <w:rFonts w:hint="eastAsia" w:ascii="宋体" w:hAnsi="宋体" w:cs="宋体"/>
                <w:color w:val="auto"/>
                <w:kern w:val="0"/>
                <w:sz w:val="21"/>
                <w:szCs w:val="21"/>
                <w:highlight w:val="none"/>
                <w:lang w:bidi="ar"/>
              </w:rPr>
              <w:t>合理得3分，方案内容基本合理，</w:t>
            </w:r>
            <w:r>
              <w:rPr>
                <w:rFonts w:hint="eastAsia" w:ascii="宋体" w:hAnsi="宋体" w:cs="宋体"/>
                <w:color w:val="auto"/>
                <w:kern w:val="0"/>
                <w:sz w:val="21"/>
                <w:szCs w:val="21"/>
                <w:highlight w:val="none"/>
                <w:lang w:eastAsia="zh-CN" w:bidi="ar"/>
              </w:rPr>
              <w:t>基本</w:t>
            </w:r>
            <w:r>
              <w:rPr>
                <w:rFonts w:hint="eastAsia" w:ascii="宋体" w:hAnsi="宋体" w:cs="宋体"/>
                <w:color w:val="auto"/>
                <w:kern w:val="0"/>
                <w:sz w:val="21"/>
                <w:szCs w:val="21"/>
                <w:highlight w:val="none"/>
                <w:lang w:bidi="ar"/>
              </w:rPr>
              <w:t>满足采购需求得2分，方案内容有提及得1分。严重缺失不得分。</w:t>
            </w:r>
          </w:p>
        </w:tc>
        <w:tc>
          <w:tcPr>
            <w:tcW w:w="985" w:type="dxa"/>
            <w:vAlign w:val="center"/>
          </w:tcPr>
          <w:p w14:paraId="1B3FBD40">
            <w:pPr>
              <w:spacing w:line="360" w:lineRule="auto"/>
              <w:jc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4</w:t>
            </w:r>
          </w:p>
          <w:p w14:paraId="31079891">
            <w:pPr>
              <w:spacing w:line="360" w:lineRule="auto"/>
              <w:jc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val="en-US" w:eastAsia="zh-CN" w:bidi="ar"/>
              </w:rPr>
              <w:t>（主观）</w:t>
            </w:r>
          </w:p>
        </w:tc>
        <w:tc>
          <w:tcPr>
            <w:tcW w:w="1155" w:type="dxa"/>
            <w:vAlign w:val="center"/>
          </w:tcPr>
          <w:p w14:paraId="0BBFFE84">
            <w:pPr>
              <w:snapToGrid w:val="0"/>
              <w:spacing w:line="360" w:lineRule="auto"/>
              <w:jc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专项施工方案</w:t>
            </w:r>
          </w:p>
        </w:tc>
        <w:tc>
          <w:tcPr>
            <w:tcW w:w="1176" w:type="dxa"/>
            <w:vAlign w:val="center"/>
          </w:tcPr>
          <w:p w14:paraId="18B6B18C">
            <w:pPr>
              <w:snapToGrid w:val="0"/>
              <w:spacing w:line="360" w:lineRule="auto"/>
              <w:jc w:val="center"/>
              <w:rPr>
                <w:rFonts w:hint="eastAsia" w:ascii="宋体" w:hAnsi="宋体" w:cs="宋体"/>
                <w:color w:val="auto"/>
                <w:kern w:val="0"/>
                <w:sz w:val="21"/>
                <w:szCs w:val="21"/>
                <w:highlight w:val="none"/>
                <w:lang w:bidi="ar"/>
              </w:rPr>
            </w:pPr>
            <w:r>
              <w:rPr>
                <w:rFonts w:hint="eastAsia" w:ascii="宋体" w:hAnsi="宋体" w:cs="宋体"/>
                <w:b w:val="0"/>
                <w:bCs/>
                <w:sz w:val="21"/>
                <w:szCs w:val="21"/>
              </w:rPr>
              <w:t>见</w:t>
            </w:r>
            <w:r>
              <w:rPr>
                <w:rFonts w:hint="eastAsia" w:ascii="宋体" w:hAnsi="宋体" w:cs="宋体"/>
                <w:b w:val="0"/>
                <w:bCs/>
                <w:sz w:val="21"/>
                <w:szCs w:val="21"/>
                <w:lang w:eastAsia="zh-CN"/>
              </w:rPr>
              <w:t>响应</w:t>
            </w:r>
            <w:r>
              <w:rPr>
                <w:rFonts w:hint="eastAsia" w:ascii="宋体" w:hAnsi="宋体" w:cs="宋体"/>
                <w:b w:val="0"/>
                <w:bCs/>
                <w:sz w:val="21"/>
                <w:szCs w:val="21"/>
              </w:rPr>
              <w:t>文件第</w:t>
            </w:r>
            <w:r>
              <w:rPr>
                <w:rFonts w:hint="eastAsia" w:ascii="宋体" w:hAnsi="宋体" w:cs="宋体"/>
                <w:b w:val="0"/>
                <w:bCs/>
                <w:sz w:val="21"/>
                <w:szCs w:val="21"/>
                <w:u w:val="single"/>
              </w:rPr>
              <w:t xml:space="preserve">  </w:t>
            </w:r>
            <w:r>
              <w:rPr>
                <w:rFonts w:hint="eastAsia" w:ascii="宋体" w:hAnsi="宋体" w:cs="宋体"/>
                <w:b w:val="0"/>
                <w:bCs/>
                <w:sz w:val="21"/>
                <w:szCs w:val="21"/>
              </w:rPr>
              <w:t>页</w:t>
            </w:r>
          </w:p>
        </w:tc>
      </w:tr>
      <w:tr w14:paraId="4CCA9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23" w:type="dxa"/>
            <w:vMerge w:val="continue"/>
            <w:vAlign w:val="center"/>
          </w:tcPr>
          <w:p w14:paraId="5950DC62">
            <w:pPr>
              <w:spacing w:line="360" w:lineRule="auto"/>
              <w:jc w:val="center"/>
              <w:rPr>
                <w:rFonts w:ascii="宋体" w:hAnsi="宋体" w:cs="宋体"/>
                <w:color w:val="auto"/>
                <w:kern w:val="0"/>
                <w:sz w:val="21"/>
                <w:szCs w:val="21"/>
                <w:highlight w:val="none"/>
                <w:lang w:bidi="ar"/>
              </w:rPr>
            </w:pPr>
          </w:p>
        </w:tc>
        <w:tc>
          <w:tcPr>
            <w:tcW w:w="1472" w:type="dxa"/>
            <w:vMerge w:val="continue"/>
            <w:vAlign w:val="center"/>
          </w:tcPr>
          <w:p w14:paraId="27E79CA2">
            <w:pPr>
              <w:spacing w:line="360" w:lineRule="auto"/>
              <w:jc w:val="left"/>
              <w:rPr>
                <w:rFonts w:ascii="宋体" w:hAnsi="宋体" w:cs="宋体"/>
                <w:color w:val="auto"/>
                <w:kern w:val="0"/>
                <w:sz w:val="21"/>
                <w:szCs w:val="21"/>
                <w:highlight w:val="none"/>
                <w:lang w:bidi="ar"/>
              </w:rPr>
            </w:pPr>
          </w:p>
        </w:tc>
        <w:tc>
          <w:tcPr>
            <w:tcW w:w="4285" w:type="dxa"/>
            <w:gridSpan w:val="2"/>
            <w:vAlign w:val="center"/>
          </w:tcPr>
          <w:p w14:paraId="7A405834">
            <w:pPr>
              <w:spacing w:line="360" w:lineRule="auto"/>
              <w:jc w:val="left"/>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关键工序、复杂环节的相应技术措施内容科学合理，针对性强的得4分；措施内容</w:t>
            </w:r>
            <w:r>
              <w:rPr>
                <w:rFonts w:hint="eastAsia" w:ascii="宋体" w:hAnsi="宋体" w:cs="宋体"/>
                <w:color w:val="auto"/>
                <w:kern w:val="0"/>
                <w:sz w:val="21"/>
                <w:szCs w:val="21"/>
                <w:highlight w:val="none"/>
                <w:lang w:eastAsia="zh-CN" w:bidi="ar"/>
              </w:rPr>
              <w:t>较</w:t>
            </w:r>
            <w:r>
              <w:rPr>
                <w:rFonts w:hint="eastAsia" w:ascii="宋体" w:hAnsi="宋体" w:cs="宋体"/>
                <w:color w:val="auto"/>
                <w:kern w:val="0"/>
                <w:sz w:val="21"/>
                <w:szCs w:val="21"/>
                <w:highlight w:val="none"/>
                <w:lang w:bidi="ar"/>
              </w:rPr>
              <w:t>合理，针对性较强得3分；措施内容基本合理得2分；措施内容一般，有提及得1分。内容缺失严重不得分。</w:t>
            </w:r>
          </w:p>
        </w:tc>
        <w:tc>
          <w:tcPr>
            <w:tcW w:w="985" w:type="dxa"/>
            <w:vAlign w:val="center"/>
          </w:tcPr>
          <w:p w14:paraId="4253F2F6">
            <w:pPr>
              <w:spacing w:line="360" w:lineRule="auto"/>
              <w:jc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4</w:t>
            </w:r>
          </w:p>
          <w:p w14:paraId="0EB4E3C6">
            <w:pPr>
              <w:spacing w:line="360" w:lineRule="auto"/>
              <w:jc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val="en-US" w:eastAsia="zh-CN" w:bidi="ar"/>
              </w:rPr>
              <w:t>（主观）</w:t>
            </w:r>
          </w:p>
        </w:tc>
        <w:tc>
          <w:tcPr>
            <w:tcW w:w="1155" w:type="dxa"/>
            <w:vAlign w:val="center"/>
          </w:tcPr>
          <w:p w14:paraId="6127934F">
            <w:pPr>
              <w:snapToGrid w:val="0"/>
              <w:spacing w:line="360" w:lineRule="auto"/>
              <w:jc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关键工序、复杂环节的相应技术措施</w:t>
            </w:r>
          </w:p>
        </w:tc>
        <w:tc>
          <w:tcPr>
            <w:tcW w:w="1176" w:type="dxa"/>
            <w:vAlign w:val="center"/>
          </w:tcPr>
          <w:p w14:paraId="31A71D0F">
            <w:pPr>
              <w:snapToGrid w:val="0"/>
              <w:spacing w:line="360" w:lineRule="auto"/>
              <w:jc w:val="center"/>
              <w:rPr>
                <w:rFonts w:hint="eastAsia" w:ascii="宋体" w:hAnsi="宋体" w:cs="宋体"/>
                <w:color w:val="auto"/>
                <w:kern w:val="0"/>
                <w:sz w:val="21"/>
                <w:szCs w:val="21"/>
                <w:highlight w:val="none"/>
                <w:lang w:bidi="ar"/>
              </w:rPr>
            </w:pPr>
            <w:r>
              <w:rPr>
                <w:rFonts w:hint="eastAsia" w:ascii="宋体" w:hAnsi="宋体" w:cs="宋体"/>
                <w:b w:val="0"/>
                <w:bCs/>
                <w:sz w:val="21"/>
                <w:szCs w:val="21"/>
              </w:rPr>
              <w:t>见</w:t>
            </w:r>
            <w:r>
              <w:rPr>
                <w:rFonts w:hint="eastAsia" w:ascii="宋体" w:hAnsi="宋体" w:cs="宋体"/>
                <w:b w:val="0"/>
                <w:bCs/>
                <w:sz w:val="21"/>
                <w:szCs w:val="21"/>
                <w:lang w:eastAsia="zh-CN"/>
              </w:rPr>
              <w:t>响应</w:t>
            </w:r>
            <w:r>
              <w:rPr>
                <w:rFonts w:hint="eastAsia" w:ascii="宋体" w:hAnsi="宋体" w:cs="宋体"/>
                <w:b w:val="0"/>
                <w:bCs/>
                <w:sz w:val="21"/>
                <w:szCs w:val="21"/>
              </w:rPr>
              <w:t>文件第</w:t>
            </w:r>
            <w:r>
              <w:rPr>
                <w:rFonts w:hint="eastAsia" w:ascii="宋体" w:hAnsi="宋体" w:cs="宋体"/>
                <w:b w:val="0"/>
                <w:bCs/>
                <w:sz w:val="21"/>
                <w:szCs w:val="21"/>
                <w:u w:val="single"/>
              </w:rPr>
              <w:t xml:space="preserve">  </w:t>
            </w:r>
            <w:r>
              <w:rPr>
                <w:rFonts w:hint="eastAsia" w:ascii="宋体" w:hAnsi="宋体" w:cs="宋体"/>
                <w:b w:val="0"/>
                <w:bCs/>
                <w:sz w:val="21"/>
                <w:szCs w:val="21"/>
              </w:rPr>
              <w:t>页</w:t>
            </w:r>
          </w:p>
        </w:tc>
      </w:tr>
      <w:tr w14:paraId="1AF04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3" w:type="dxa"/>
            <w:vAlign w:val="center"/>
          </w:tcPr>
          <w:p w14:paraId="3BA81E83">
            <w:pPr>
              <w:spacing w:line="360" w:lineRule="auto"/>
              <w:jc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9</w:t>
            </w:r>
          </w:p>
        </w:tc>
        <w:tc>
          <w:tcPr>
            <w:tcW w:w="5757" w:type="dxa"/>
            <w:gridSpan w:val="3"/>
            <w:vAlign w:val="center"/>
          </w:tcPr>
          <w:p w14:paraId="5E6563BF">
            <w:pPr>
              <w:spacing w:line="360" w:lineRule="auto"/>
              <w:jc w:val="left"/>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施工质量目标明确，质量控制措施科学、合理，且有技术支撑的得</w:t>
            </w:r>
            <w:r>
              <w:rPr>
                <w:rFonts w:hint="eastAsia" w:ascii="宋体" w:hAnsi="宋体" w:cs="宋体"/>
                <w:color w:val="auto"/>
                <w:kern w:val="0"/>
                <w:sz w:val="21"/>
                <w:szCs w:val="21"/>
                <w:highlight w:val="none"/>
                <w:lang w:val="en-US" w:eastAsia="zh-CN" w:bidi="ar"/>
              </w:rPr>
              <w:t>4</w:t>
            </w:r>
            <w:r>
              <w:rPr>
                <w:rFonts w:hint="eastAsia" w:ascii="宋体" w:hAnsi="宋体" w:cs="宋体"/>
                <w:color w:val="auto"/>
                <w:kern w:val="0"/>
                <w:sz w:val="21"/>
                <w:szCs w:val="21"/>
                <w:highlight w:val="none"/>
                <w:lang w:bidi="ar"/>
              </w:rPr>
              <w:t>分，质量措施</w:t>
            </w:r>
            <w:r>
              <w:rPr>
                <w:rFonts w:hint="eastAsia" w:ascii="宋体" w:hAnsi="宋体" w:cs="宋体"/>
                <w:color w:val="auto"/>
                <w:kern w:val="0"/>
                <w:sz w:val="21"/>
                <w:szCs w:val="21"/>
                <w:highlight w:val="none"/>
                <w:lang w:eastAsia="zh-CN" w:bidi="ar"/>
              </w:rPr>
              <w:t>较</w:t>
            </w:r>
            <w:r>
              <w:rPr>
                <w:rFonts w:hint="eastAsia" w:ascii="宋体" w:hAnsi="宋体" w:cs="宋体"/>
                <w:color w:val="auto"/>
                <w:kern w:val="0"/>
                <w:sz w:val="21"/>
                <w:szCs w:val="21"/>
                <w:highlight w:val="none"/>
                <w:lang w:bidi="ar"/>
              </w:rPr>
              <w:t>合理得</w:t>
            </w:r>
            <w:r>
              <w:rPr>
                <w:rFonts w:hint="eastAsia" w:ascii="宋体" w:hAnsi="宋体" w:cs="宋体"/>
                <w:color w:val="auto"/>
                <w:kern w:val="0"/>
                <w:sz w:val="21"/>
                <w:szCs w:val="21"/>
                <w:highlight w:val="none"/>
                <w:lang w:val="en-US" w:eastAsia="zh-CN" w:bidi="ar"/>
              </w:rPr>
              <w:t>3</w:t>
            </w:r>
            <w:r>
              <w:rPr>
                <w:rFonts w:hint="eastAsia" w:ascii="宋体" w:hAnsi="宋体" w:cs="宋体"/>
                <w:color w:val="auto"/>
                <w:kern w:val="0"/>
                <w:sz w:val="21"/>
                <w:szCs w:val="21"/>
                <w:highlight w:val="none"/>
                <w:lang w:bidi="ar"/>
              </w:rPr>
              <w:t>分，质量措施基本合理得</w:t>
            </w:r>
            <w:r>
              <w:rPr>
                <w:rFonts w:hint="eastAsia" w:ascii="宋体" w:hAnsi="宋体" w:cs="宋体"/>
                <w:color w:val="auto"/>
                <w:kern w:val="0"/>
                <w:sz w:val="21"/>
                <w:szCs w:val="21"/>
                <w:highlight w:val="none"/>
                <w:lang w:val="en-US" w:eastAsia="zh-CN" w:bidi="ar"/>
              </w:rPr>
              <w:t>2</w:t>
            </w:r>
            <w:r>
              <w:rPr>
                <w:rFonts w:hint="eastAsia" w:ascii="宋体" w:hAnsi="宋体" w:cs="宋体"/>
                <w:color w:val="auto"/>
                <w:kern w:val="0"/>
                <w:sz w:val="21"/>
                <w:szCs w:val="21"/>
                <w:highlight w:val="none"/>
                <w:lang w:bidi="ar"/>
              </w:rPr>
              <w:t>分</w:t>
            </w:r>
            <w:r>
              <w:rPr>
                <w:rFonts w:hint="eastAsia" w:ascii="宋体" w:hAnsi="宋体" w:cs="宋体"/>
                <w:color w:val="auto"/>
                <w:kern w:val="0"/>
                <w:sz w:val="21"/>
                <w:szCs w:val="21"/>
                <w:highlight w:val="none"/>
                <w:lang w:eastAsia="zh-CN" w:bidi="ar"/>
              </w:rPr>
              <w:t>；</w:t>
            </w:r>
            <w:r>
              <w:rPr>
                <w:rFonts w:hint="eastAsia" w:ascii="宋体" w:hAnsi="宋体" w:cs="宋体"/>
                <w:color w:val="auto"/>
                <w:kern w:val="0"/>
                <w:sz w:val="21"/>
                <w:szCs w:val="21"/>
                <w:highlight w:val="none"/>
                <w:lang w:bidi="ar"/>
              </w:rPr>
              <w:t>质量措施</w:t>
            </w:r>
            <w:r>
              <w:rPr>
                <w:rFonts w:hint="eastAsia" w:ascii="宋体" w:hAnsi="宋体" w:cs="宋体"/>
                <w:color w:val="auto"/>
                <w:kern w:val="0"/>
                <w:sz w:val="21"/>
                <w:szCs w:val="21"/>
                <w:highlight w:val="none"/>
                <w:lang w:eastAsia="zh-CN" w:bidi="ar"/>
              </w:rPr>
              <w:t>一般，有提及</w:t>
            </w:r>
            <w:r>
              <w:rPr>
                <w:rFonts w:hint="eastAsia" w:ascii="宋体" w:hAnsi="宋体" w:cs="宋体"/>
                <w:color w:val="auto"/>
                <w:kern w:val="0"/>
                <w:sz w:val="21"/>
                <w:szCs w:val="21"/>
                <w:highlight w:val="none"/>
                <w:lang w:bidi="ar"/>
              </w:rPr>
              <w:t>得</w:t>
            </w:r>
            <w:r>
              <w:rPr>
                <w:rFonts w:hint="eastAsia" w:ascii="宋体" w:hAnsi="宋体" w:cs="宋体"/>
                <w:color w:val="auto"/>
                <w:kern w:val="0"/>
                <w:sz w:val="21"/>
                <w:szCs w:val="21"/>
                <w:highlight w:val="none"/>
                <w:lang w:val="en-US" w:eastAsia="zh-CN" w:bidi="ar"/>
              </w:rPr>
              <w:t>1</w:t>
            </w:r>
            <w:r>
              <w:rPr>
                <w:rFonts w:hint="eastAsia" w:ascii="宋体" w:hAnsi="宋体" w:cs="宋体"/>
                <w:color w:val="auto"/>
                <w:kern w:val="0"/>
                <w:sz w:val="21"/>
                <w:szCs w:val="21"/>
                <w:highlight w:val="none"/>
                <w:lang w:bidi="ar"/>
              </w:rPr>
              <w:t>分。严重缺失不得分。</w:t>
            </w:r>
          </w:p>
        </w:tc>
        <w:tc>
          <w:tcPr>
            <w:tcW w:w="985" w:type="dxa"/>
            <w:vAlign w:val="center"/>
          </w:tcPr>
          <w:p w14:paraId="26666D2A">
            <w:pPr>
              <w:spacing w:line="360" w:lineRule="auto"/>
              <w:jc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4</w:t>
            </w:r>
          </w:p>
          <w:p w14:paraId="1DF490D5">
            <w:pPr>
              <w:spacing w:line="360" w:lineRule="auto"/>
              <w:jc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val="en-US" w:eastAsia="zh-CN" w:bidi="ar"/>
              </w:rPr>
              <w:t>（主观）</w:t>
            </w:r>
          </w:p>
        </w:tc>
        <w:tc>
          <w:tcPr>
            <w:tcW w:w="1155" w:type="dxa"/>
            <w:vAlign w:val="center"/>
          </w:tcPr>
          <w:p w14:paraId="262C8C8E">
            <w:pPr>
              <w:snapToGrid w:val="0"/>
              <w:spacing w:line="360" w:lineRule="auto"/>
              <w:jc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质量控制措施</w:t>
            </w:r>
          </w:p>
        </w:tc>
        <w:tc>
          <w:tcPr>
            <w:tcW w:w="1176" w:type="dxa"/>
            <w:vAlign w:val="center"/>
          </w:tcPr>
          <w:p w14:paraId="19450249">
            <w:pPr>
              <w:snapToGrid w:val="0"/>
              <w:spacing w:line="360" w:lineRule="auto"/>
              <w:jc w:val="center"/>
              <w:rPr>
                <w:rFonts w:hint="eastAsia" w:ascii="宋体" w:hAnsi="宋体" w:cs="宋体"/>
                <w:color w:val="auto"/>
                <w:kern w:val="0"/>
                <w:sz w:val="21"/>
                <w:szCs w:val="21"/>
                <w:highlight w:val="none"/>
                <w:lang w:bidi="ar"/>
              </w:rPr>
            </w:pPr>
            <w:r>
              <w:rPr>
                <w:rFonts w:hint="eastAsia" w:ascii="宋体" w:hAnsi="宋体" w:cs="宋体"/>
                <w:b w:val="0"/>
                <w:bCs/>
                <w:sz w:val="21"/>
                <w:szCs w:val="21"/>
              </w:rPr>
              <w:t>见</w:t>
            </w:r>
            <w:r>
              <w:rPr>
                <w:rFonts w:hint="eastAsia" w:ascii="宋体" w:hAnsi="宋体" w:cs="宋体"/>
                <w:b w:val="0"/>
                <w:bCs/>
                <w:sz w:val="21"/>
                <w:szCs w:val="21"/>
                <w:lang w:eastAsia="zh-CN"/>
              </w:rPr>
              <w:t>响应</w:t>
            </w:r>
            <w:r>
              <w:rPr>
                <w:rFonts w:hint="eastAsia" w:ascii="宋体" w:hAnsi="宋体" w:cs="宋体"/>
                <w:b w:val="0"/>
                <w:bCs/>
                <w:sz w:val="21"/>
                <w:szCs w:val="21"/>
              </w:rPr>
              <w:t>文件第</w:t>
            </w:r>
            <w:r>
              <w:rPr>
                <w:rFonts w:hint="eastAsia" w:ascii="宋体" w:hAnsi="宋体" w:cs="宋体"/>
                <w:b w:val="0"/>
                <w:bCs/>
                <w:sz w:val="21"/>
                <w:szCs w:val="21"/>
                <w:u w:val="single"/>
              </w:rPr>
              <w:t xml:space="preserve">  </w:t>
            </w:r>
            <w:r>
              <w:rPr>
                <w:rFonts w:hint="eastAsia" w:ascii="宋体" w:hAnsi="宋体" w:cs="宋体"/>
                <w:b w:val="0"/>
                <w:bCs/>
                <w:sz w:val="21"/>
                <w:szCs w:val="21"/>
              </w:rPr>
              <w:t>页</w:t>
            </w:r>
          </w:p>
        </w:tc>
      </w:tr>
      <w:tr w14:paraId="1BF2B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3" w:type="dxa"/>
            <w:vAlign w:val="center"/>
          </w:tcPr>
          <w:p w14:paraId="14210CC0">
            <w:pPr>
              <w:spacing w:line="360" w:lineRule="auto"/>
              <w:jc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10</w:t>
            </w:r>
          </w:p>
        </w:tc>
        <w:tc>
          <w:tcPr>
            <w:tcW w:w="5757" w:type="dxa"/>
            <w:gridSpan w:val="3"/>
            <w:vAlign w:val="center"/>
          </w:tcPr>
          <w:p w14:paraId="00FE2CB1">
            <w:pPr>
              <w:spacing w:line="360" w:lineRule="auto"/>
              <w:jc w:val="left"/>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安全、环保、消防等的保证措施科学、合理、到位的得</w:t>
            </w:r>
            <w:r>
              <w:rPr>
                <w:rFonts w:hint="eastAsia" w:ascii="宋体" w:hAnsi="宋体" w:cs="宋体"/>
                <w:color w:val="auto"/>
                <w:kern w:val="0"/>
                <w:sz w:val="21"/>
                <w:szCs w:val="21"/>
                <w:highlight w:val="none"/>
                <w:lang w:val="en-US" w:eastAsia="zh-CN" w:bidi="ar"/>
              </w:rPr>
              <w:t>4</w:t>
            </w:r>
            <w:r>
              <w:rPr>
                <w:rFonts w:hint="eastAsia" w:ascii="宋体" w:hAnsi="宋体" w:cs="宋体"/>
                <w:color w:val="auto"/>
                <w:kern w:val="0"/>
                <w:sz w:val="21"/>
                <w:szCs w:val="21"/>
                <w:highlight w:val="none"/>
                <w:lang w:bidi="ar"/>
              </w:rPr>
              <w:t>分，措施</w:t>
            </w:r>
            <w:r>
              <w:rPr>
                <w:rFonts w:hint="eastAsia" w:ascii="宋体" w:hAnsi="宋体" w:cs="宋体"/>
                <w:color w:val="auto"/>
                <w:kern w:val="0"/>
                <w:sz w:val="21"/>
                <w:szCs w:val="21"/>
                <w:highlight w:val="none"/>
                <w:lang w:eastAsia="zh-CN" w:bidi="ar"/>
              </w:rPr>
              <w:t>较</w:t>
            </w:r>
            <w:r>
              <w:rPr>
                <w:rFonts w:hint="eastAsia" w:ascii="宋体" w:hAnsi="宋体" w:cs="宋体"/>
                <w:color w:val="auto"/>
                <w:kern w:val="0"/>
                <w:sz w:val="21"/>
                <w:szCs w:val="21"/>
                <w:highlight w:val="none"/>
                <w:lang w:bidi="ar"/>
              </w:rPr>
              <w:t>合理得</w:t>
            </w:r>
            <w:r>
              <w:rPr>
                <w:rFonts w:hint="eastAsia" w:ascii="宋体" w:hAnsi="宋体" w:cs="宋体"/>
                <w:color w:val="auto"/>
                <w:kern w:val="0"/>
                <w:sz w:val="21"/>
                <w:szCs w:val="21"/>
                <w:highlight w:val="none"/>
                <w:lang w:val="en-US" w:eastAsia="zh-CN" w:bidi="ar"/>
              </w:rPr>
              <w:t>3</w:t>
            </w:r>
            <w:r>
              <w:rPr>
                <w:rFonts w:hint="eastAsia" w:ascii="宋体" w:hAnsi="宋体" w:cs="宋体"/>
                <w:color w:val="auto"/>
                <w:kern w:val="0"/>
                <w:sz w:val="21"/>
                <w:szCs w:val="21"/>
                <w:highlight w:val="none"/>
                <w:lang w:bidi="ar"/>
              </w:rPr>
              <w:t>分，措施基本合理得</w:t>
            </w:r>
            <w:r>
              <w:rPr>
                <w:rFonts w:hint="eastAsia" w:ascii="宋体" w:hAnsi="宋体" w:cs="宋体"/>
                <w:color w:val="auto"/>
                <w:kern w:val="0"/>
                <w:sz w:val="21"/>
                <w:szCs w:val="21"/>
                <w:highlight w:val="none"/>
                <w:lang w:val="en-US" w:eastAsia="zh-CN" w:bidi="ar"/>
              </w:rPr>
              <w:t>2</w:t>
            </w:r>
            <w:r>
              <w:rPr>
                <w:rFonts w:hint="eastAsia" w:ascii="宋体" w:hAnsi="宋体" w:cs="宋体"/>
                <w:color w:val="auto"/>
                <w:kern w:val="0"/>
                <w:sz w:val="21"/>
                <w:szCs w:val="21"/>
                <w:highlight w:val="none"/>
                <w:lang w:bidi="ar"/>
              </w:rPr>
              <w:t>分</w:t>
            </w:r>
            <w:r>
              <w:rPr>
                <w:rFonts w:hint="eastAsia" w:ascii="宋体" w:hAnsi="宋体" w:cs="宋体"/>
                <w:color w:val="auto"/>
                <w:kern w:val="0"/>
                <w:sz w:val="21"/>
                <w:szCs w:val="21"/>
                <w:highlight w:val="none"/>
                <w:lang w:eastAsia="zh-CN" w:bidi="ar"/>
              </w:rPr>
              <w:t>，</w:t>
            </w:r>
            <w:r>
              <w:rPr>
                <w:rFonts w:hint="eastAsia" w:ascii="宋体" w:hAnsi="宋体" w:cs="宋体"/>
                <w:color w:val="auto"/>
                <w:kern w:val="0"/>
                <w:sz w:val="21"/>
                <w:szCs w:val="21"/>
                <w:highlight w:val="none"/>
                <w:lang w:bidi="ar"/>
              </w:rPr>
              <w:t>措施</w:t>
            </w:r>
            <w:r>
              <w:rPr>
                <w:rFonts w:hint="eastAsia" w:ascii="宋体" w:hAnsi="宋体" w:cs="宋体"/>
                <w:color w:val="auto"/>
                <w:kern w:val="0"/>
                <w:sz w:val="21"/>
                <w:szCs w:val="21"/>
                <w:highlight w:val="none"/>
                <w:lang w:eastAsia="zh-CN" w:bidi="ar"/>
              </w:rPr>
              <w:t>一般，有提及</w:t>
            </w:r>
            <w:r>
              <w:rPr>
                <w:rFonts w:hint="eastAsia" w:ascii="宋体" w:hAnsi="宋体" w:cs="宋体"/>
                <w:color w:val="auto"/>
                <w:kern w:val="0"/>
                <w:sz w:val="21"/>
                <w:szCs w:val="21"/>
                <w:highlight w:val="none"/>
                <w:lang w:bidi="ar"/>
              </w:rPr>
              <w:t>得</w:t>
            </w:r>
            <w:r>
              <w:rPr>
                <w:rFonts w:hint="eastAsia" w:ascii="宋体" w:hAnsi="宋体" w:cs="宋体"/>
                <w:color w:val="auto"/>
                <w:kern w:val="0"/>
                <w:sz w:val="21"/>
                <w:szCs w:val="21"/>
                <w:highlight w:val="none"/>
                <w:lang w:val="en-US" w:eastAsia="zh-CN" w:bidi="ar"/>
              </w:rPr>
              <w:t>1</w:t>
            </w:r>
            <w:r>
              <w:rPr>
                <w:rFonts w:hint="eastAsia" w:ascii="宋体" w:hAnsi="宋体" w:cs="宋体"/>
                <w:color w:val="auto"/>
                <w:kern w:val="0"/>
                <w:sz w:val="21"/>
                <w:szCs w:val="21"/>
                <w:highlight w:val="none"/>
                <w:lang w:bidi="ar"/>
              </w:rPr>
              <w:t>分。严重缺失不得分。</w:t>
            </w:r>
          </w:p>
        </w:tc>
        <w:tc>
          <w:tcPr>
            <w:tcW w:w="985" w:type="dxa"/>
            <w:vAlign w:val="center"/>
          </w:tcPr>
          <w:p w14:paraId="70DE923E">
            <w:pPr>
              <w:spacing w:line="360" w:lineRule="auto"/>
              <w:jc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4</w:t>
            </w:r>
          </w:p>
          <w:p w14:paraId="6BE8A28A">
            <w:pPr>
              <w:spacing w:line="360" w:lineRule="auto"/>
              <w:jc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val="en-US" w:eastAsia="zh-CN" w:bidi="ar"/>
              </w:rPr>
              <w:t>（主观）</w:t>
            </w:r>
          </w:p>
        </w:tc>
        <w:tc>
          <w:tcPr>
            <w:tcW w:w="1155" w:type="dxa"/>
            <w:vAlign w:val="center"/>
          </w:tcPr>
          <w:p w14:paraId="00881A92">
            <w:pPr>
              <w:snapToGrid w:val="0"/>
              <w:spacing w:line="360" w:lineRule="auto"/>
              <w:jc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安全、环保、消防等的保证措施</w:t>
            </w:r>
          </w:p>
        </w:tc>
        <w:tc>
          <w:tcPr>
            <w:tcW w:w="1176" w:type="dxa"/>
            <w:vAlign w:val="center"/>
          </w:tcPr>
          <w:p w14:paraId="3AF8034D">
            <w:pPr>
              <w:snapToGrid w:val="0"/>
              <w:spacing w:line="360" w:lineRule="auto"/>
              <w:jc w:val="center"/>
              <w:rPr>
                <w:rFonts w:hint="eastAsia" w:ascii="宋体" w:hAnsi="宋体" w:cs="宋体"/>
                <w:color w:val="auto"/>
                <w:kern w:val="0"/>
                <w:sz w:val="21"/>
                <w:szCs w:val="21"/>
                <w:highlight w:val="none"/>
                <w:lang w:bidi="ar"/>
              </w:rPr>
            </w:pPr>
            <w:r>
              <w:rPr>
                <w:rFonts w:hint="eastAsia" w:ascii="宋体" w:hAnsi="宋体" w:cs="宋体"/>
                <w:b w:val="0"/>
                <w:bCs/>
                <w:sz w:val="21"/>
                <w:szCs w:val="21"/>
              </w:rPr>
              <w:t>见</w:t>
            </w:r>
            <w:r>
              <w:rPr>
                <w:rFonts w:hint="eastAsia" w:ascii="宋体" w:hAnsi="宋体" w:cs="宋体"/>
                <w:b w:val="0"/>
                <w:bCs/>
                <w:sz w:val="21"/>
                <w:szCs w:val="21"/>
                <w:lang w:eastAsia="zh-CN"/>
              </w:rPr>
              <w:t>响应</w:t>
            </w:r>
            <w:r>
              <w:rPr>
                <w:rFonts w:hint="eastAsia" w:ascii="宋体" w:hAnsi="宋体" w:cs="宋体"/>
                <w:b w:val="0"/>
                <w:bCs/>
                <w:sz w:val="21"/>
                <w:szCs w:val="21"/>
              </w:rPr>
              <w:t>文件第</w:t>
            </w:r>
            <w:r>
              <w:rPr>
                <w:rFonts w:hint="eastAsia" w:ascii="宋体" w:hAnsi="宋体" w:cs="宋体"/>
                <w:b w:val="0"/>
                <w:bCs/>
                <w:sz w:val="21"/>
                <w:szCs w:val="21"/>
                <w:u w:val="single"/>
              </w:rPr>
              <w:t xml:space="preserve">  </w:t>
            </w:r>
            <w:r>
              <w:rPr>
                <w:rFonts w:hint="eastAsia" w:ascii="宋体" w:hAnsi="宋体" w:cs="宋体"/>
                <w:b w:val="0"/>
                <w:bCs/>
                <w:sz w:val="21"/>
                <w:szCs w:val="21"/>
              </w:rPr>
              <w:t>页</w:t>
            </w:r>
          </w:p>
        </w:tc>
      </w:tr>
      <w:tr w14:paraId="2C58C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3" w:type="dxa"/>
            <w:vAlign w:val="center"/>
          </w:tcPr>
          <w:p w14:paraId="6E63D54B">
            <w:pPr>
              <w:spacing w:line="360" w:lineRule="auto"/>
              <w:jc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11</w:t>
            </w:r>
          </w:p>
        </w:tc>
        <w:tc>
          <w:tcPr>
            <w:tcW w:w="5757" w:type="dxa"/>
            <w:gridSpan w:val="3"/>
            <w:vAlign w:val="center"/>
          </w:tcPr>
          <w:p w14:paraId="3CBD2577">
            <w:pPr>
              <w:spacing w:line="360" w:lineRule="auto"/>
              <w:jc w:val="left"/>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施工机具和检验仪器的投入</w:t>
            </w:r>
            <w:r>
              <w:rPr>
                <w:rFonts w:hint="eastAsia" w:ascii="宋体" w:hAnsi="宋体" w:cs="宋体"/>
                <w:color w:val="auto"/>
                <w:kern w:val="0"/>
                <w:sz w:val="21"/>
                <w:szCs w:val="21"/>
                <w:highlight w:val="none"/>
                <w:lang w:val="en-US" w:eastAsia="zh-CN" w:bidi="ar"/>
              </w:rPr>
              <w:t>满足</w:t>
            </w:r>
            <w:r>
              <w:rPr>
                <w:rFonts w:hint="eastAsia" w:ascii="宋体" w:hAnsi="宋体" w:cs="宋体"/>
                <w:color w:val="auto"/>
                <w:kern w:val="0"/>
                <w:sz w:val="21"/>
                <w:szCs w:val="21"/>
                <w:highlight w:val="none"/>
                <w:lang w:bidi="ar"/>
              </w:rPr>
              <w:t>工程</w:t>
            </w:r>
            <w:r>
              <w:rPr>
                <w:rFonts w:hint="eastAsia" w:ascii="宋体" w:hAnsi="宋体" w:cs="宋体"/>
                <w:color w:val="auto"/>
                <w:kern w:val="0"/>
                <w:sz w:val="21"/>
                <w:szCs w:val="21"/>
                <w:highlight w:val="none"/>
                <w:lang w:val="en-US" w:eastAsia="zh-CN" w:bidi="ar"/>
              </w:rPr>
              <w:t>项目</w:t>
            </w:r>
            <w:r>
              <w:rPr>
                <w:rFonts w:hint="eastAsia" w:ascii="宋体" w:hAnsi="宋体" w:cs="宋体"/>
                <w:color w:val="auto"/>
                <w:kern w:val="0"/>
                <w:sz w:val="21"/>
                <w:szCs w:val="21"/>
                <w:highlight w:val="none"/>
                <w:lang w:bidi="ar"/>
              </w:rPr>
              <w:t>实施的需要，且与项目相适应针对性强得</w:t>
            </w:r>
            <w:r>
              <w:rPr>
                <w:rFonts w:hint="eastAsia" w:ascii="宋体" w:hAnsi="宋体" w:cs="宋体"/>
                <w:color w:val="auto"/>
                <w:kern w:val="0"/>
                <w:sz w:val="21"/>
                <w:szCs w:val="21"/>
                <w:highlight w:val="none"/>
                <w:lang w:val="en-US" w:eastAsia="zh-CN" w:bidi="ar"/>
              </w:rPr>
              <w:t>4</w:t>
            </w:r>
            <w:r>
              <w:rPr>
                <w:rFonts w:hint="eastAsia" w:ascii="宋体" w:hAnsi="宋体" w:cs="宋体"/>
                <w:color w:val="auto"/>
                <w:kern w:val="0"/>
                <w:sz w:val="21"/>
                <w:szCs w:val="21"/>
                <w:highlight w:val="none"/>
                <w:lang w:bidi="ar"/>
              </w:rPr>
              <w:t>分，施工机具和检验仪器的投入满足工程实施需求且针对性</w:t>
            </w:r>
            <w:r>
              <w:rPr>
                <w:rFonts w:hint="eastAsia" w:ascii="宋体" w:hAnsi="宋体" w:cs="宋体"/>
                <w:color w:val="auto"/>
                <w:kern w:val="0"/>
                <w:sz w:val="21"/>
                <w:szCs w:val="21"/>
                <w:highlight w:val="none"/>
                <w:lang w:eastAsia="zh-CN" w:bidi="ar"/>
              </w:rPr>
              <w:t>较</w:t>
            </w:r>
            <w:r>
              <w:rPr>
                <w:rFonts w:hint="eastAsia" w:ascii="宋体" w:hAnsi="宋体" w:cs="宋体"/>
                <w:color w:val="auto"/>
                <w:kern w:val="0"/>
                <w:sz w:val="21"/>
                <w:szCs w:val="21"/>
                <w:highlight w:val="none"/>
                <w:lang w:bidi="ar"/>
              </w:rPr>
              <w:t>强得</w:t>
            </w:r>
            <w:r>
              <w:rPr>
                <w:rFonts w:hint="eastAsia" w:ascii="宋体" w:hAnsi="宋体" w:cs="宋体"/>
                <w:color w:val="auto"/>
                <w:kern w:val="0"/>
                <w:sz w:val="21"/>
                <w:szCs w:val="21"/>
                <w:highlight w:val="none"/>
                <w:lang w:val="en-US" w:eastAsia="zh-CN" w:bidi="ar"/>
              </w:rPr>
              <w:t>3</w:t>
            </w:r>
            <w:r>
              <w:rPr>
                <w:rFonts w:hint="eastAsia" w:ascii="宋体" w:hAnsi="宋体" w:cs="宋体"/>
                <w:color w:val="auto"/>
                <w:kern w:val="0"/>
                <w:sz w:val="21"/>
                <w:szCs w:val="21"/>
                <w:highlight w:val="none"/>
                <w:lang w:bidi="ar"/>
              </w:rPr>
              <w:t>分，施工机具和检验仪器的投入基本满足工程实施需求得</w:t>
            </w:r>
            <w:r>
              <w:rPr>
                <w:rFonts w:hint="eastAsia" w:ascii="宋体" w:hAnsi="宋体" w:cs="宋体"/>
                <w:color w:val="auto"/>
                <w:kern w:val="0"/>
                <w:sz w:val="21"/>
                <w:szCs w:val="21"/>
                <w:highlight w:val="none"/>
                <w:lang w:val="en-US" w:eastAsia="zh-CN" w:bidi="ar"/>
              </w:rPr>
              <w:t>2</w:t>
            </w:r>
            <w:r>
              <w:rPr>
                <w:rFonts w:hint="eastAsia" w:ascii="宋体" w:hAnsi="宋体" w:cs="宋体"/>
                <w:color w:val="auto"/>
                <w:kern w:val="0"/>
                <w:sz w:val="21"/>
                <w:szCs w:val="21"/>
                <w:highlight w:val="none"/>
                <w:lang w:bidi="ar"/>
              </w:rPr>
              <w:t>分</w:t>
            </w:r>
            <w:r>
              <w:rPr>
                <w:rFonts w:hint="eastAsia" w:ascii="宋体" w:hAnsi="宋体" w:cs="宋体"/>
                <w:color w:val="auto"/>
                <w:kern w:val="0"/>
                <w:sz w:val="21"/>
                <w:szCs w:val="21"/>
                <w:highlight w:val="none"/>
                <w:lang w:eastAsia="zh-CN" w:bidi="ar"/>
              </w:rPr>
              <w:t>，内容一般、有提及</w:t>
            </w:r>
            <w:r>
              <w:rPr>
                <w:rFonts w:hint="eastAsia" w:ascii="宋体" w:hAnsi="宋体" w:cs="宋体"/>
                <w:color w:val="auto"/>
                <w:kern w:val="0"/>
                <w:sz w:val="21"/>
                <w:szCs w:val="21"/>
                <w:highlight w:val="none"/>
                <w:lang w:bidi="ar"/>
              </w:rPr>
              <w:t>得</w:t>
            </w:r>
            <w:r>
              <w:rPr>
                <w:rFonts w:hint="eastAsia" w:ascii="宋体" w:hAnsi="宋体" w:cs="宋体"/>
                <w:color w:val="auto"/>
                <w:kern w:val="0"/>
                <w:sz w:val="21"/>
                <w:szCs w:val="21"/>
                <w:highlight w:val="none"/>
                <w:lang w:val="en-US" w:eastAsia="zh-CN" w:bidi="ar"/>
              </w:rPr>
              <w:t>1</w:t>
            </w:r>
            <w:r>
              <w:rPr>
                <w:rFonts w:hint="eastAsia" w:ascii="宋体" w:hAnsi="宋体" w:cs="宋体"/>
                <w:color w:val="auto"/>
                <w:kern w:val="0"/>
                <w:sz w:val="21"/>
                <w:szCs w:val="21"/>
                <w:highlight w:val="none"/>
                <w:lang w:bidi="ar"/>
              </w:rPr>
              <w:t>分。严重缺失不得分。</w:t>
            </w:r>
          </w:p>
        </w:tc>
        <w:tc>
          <w:tcPr>
            <w:tcW w:w="985" w:type="dxa"/>
            <w:vAlign w:val="center"/>
          </w:tcPr>
          <w:p w14:paraId="147ED7EC">
            <w:pPr>
              <w:spacing w:line="360" w:lineRule="auto"/>
              <w:jc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4</w:t>
            </w:r>
          </w:p>
          <w:p w14:paraId="7CE8AA5A">
            <w:pPr>
              <w:spacing w:line="360" w:lineRule="auto"/>
              <w:jc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val="en-US" w:eastAsia="zh-CN" w:bidi="ar"/>
              </w:rPr>
              <w:t>（主观）</w:t>
            </w:r>
          </w:p>
        </w:tc>
        <w:tc>
          <w:tcPr>
            <w:tcW w:w="1155" w:type="dxa"/>
            <w:vAlign w:val="center"/>
          </w:tcPr>
          <w:p w14:paraId="3F1A68AA">
            <w:pPr>
              <w:snapToGrid w:val="0"/>
              <w:spacing w:line="360" w:lineRule="auto"/>
              <w:jc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施工机具和检验仪器</w:t>
            </w:r>
          </w:p>
        </w:tc>
        <w:tc>
          <w:tcPr>
            <w:tcW w:w="1176" w:type="dxa"/>
            <w:vAlign w:val="center"/>
          </w:tcPr>
          <w:p w14:paraId="0A9F1246">
            <w:pPr>
              <w:snapToGrid w:val="0"/>
              <w:spacing w:line="360" w:lineRule="auto"/>
              <w:jc w:val="center"/>
              <w:rPr>
                <w:rFonts w:hint="eastAsia" w:ascii="宋体" w:hAnsi="宋体" w:cs="宋体"/>
                <w:color w:val="auto"/>
                <w:kern w:val="0"/>
                <w:sz w:val="21"/>
                <w:szCs w:val="21"/>
                <w:highlight w:val="none"/>
                <w:lang w:bidi="ar"/>
              </w:rPr>
            </w:pPr>
            <w:r>
              <w:rPr>
                <w:rFonts w:hint="eastAsia" w:ascii="宋体" w:hAnsi="宋体" w:cs="宋体"/>
                <w:b w:val="0"/>
                <w:bCs/>
                <w:sz w:val="21"/>
                <w:szCs w:val="21"/>
              </w:rPr>
              <w:t>见</w:t>
            </w:r>
            <w:r>
              <w:rPr>
                <w:rFonts w:hint="eastAsia" w:ascii="宋体" w:hAnsi="宋体" w:cs="宋体"/>
                <w:b w:val="0"/>
                <w:bCs/>
                <w:sz w:val="21"/>
                <w:szCs w:val="21"/>
                <w:lang w:eastAsia="zh-CN"/>
              </w:rPr>
              <w:t>响应</w:t>
            </w:r>
            <w:r>
              <w:rPr>
                <w:rFonts w:hint="eastAsia" w:ascii="宋体" w:hAnsi="宋体" w:cs="宋体"/>
                <w:b w:val="0"/>
                <w:bCs/>
                <w:sz w:val="21"/>
                <w:szCs w:val="21"/>
              </w:rPr>
              <w:t>文件第</w:t>
            </w:r>
            <w:r>
              <w:rPr>
                <w:rFonts w:hint="eastAsia" w:ascii="宋体" w:hAnsi="宋体" w:cs="宋体"/>
                <w:b w:val="0"/>
                <w:bCs/>
                <w:sz w:val="21"/>
                <w:szCs w:val="21"/>
                <w:u w:val="single"/>
              </w:rPr>
              <w:t xml:space="preserve">  </w:t>
            </w:r>
            <w:r>
              <w:rPr>
                <w:rFonts w:hint="eastAsia" w:ascii="宋体" w:hAnsi="宋体" w:cs="宋体"/>
                <w:b w:val="0"/>
                <w:bCs/>
                <w:sz w:val="21"/>
                <w:szCs w:val="21"/>
              </w:rPr>
              <w:t>页</w:t>
            </w:r>
          </w:p>
        </w:tc>
      </w:tr>
      <w:tr w14:paraId="02AC6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3" w:type="dxa"/>
            <w:vAlign w:val="center"/>
          </w:tcPr>
          <w:p w14:paraId="16E95165">
            <w:pPr>
              <w:spacing w:line="360" w:lineRule="auto"/>
              <w:jc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12</w:t>
            </w:r>
          </w:p>
        </w:tc>
        <w:tc>
          <w:tcPr>
            <w:tcW w:w="5757" w:type="dxa"/>
            <w:gridSpan w:val="3"/>
            <w:vAlign w:val="center"/>
          </w:tcPr>
          <w:p w14:paraId="1659A668">
            <w:pPr>
              <w:spacing w:line="360" w:lineRule="auto"/>
              <w:jc w:val="left"/>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具有详细的</w:t>
            </w:r>
            <w:r>
              <w:rPr>
                <w:rFonts w:hint="eastAsia" w:ascii="宋体" w:hAnsi="宋体" w:cs="宋体"/>
                <w:color w:val="auto"/>
                <w:kern w:val="0"/>
                <w:sz w:val="21"/>
                <w:szCs w:val="21"/>
                <w:highlight w:val="none"/>
                <w:lang w:val="en-US" w:eastAsia="zh-CN" w:bidi="ar"/>
              </w:rPr>
              <w:t>施工</w:t>
            </w:r>
            <w:r>
              <w:rPr>
                <w:rFonts w:hint="eastAsia" w:ascii="宋体" w:hAnsi="宋体" w:cs="宋体"/>
                <w:color w:val="auto"/>
                <w:kern w:val="0"/>
                <w:sz w:val="21"/>
                <w:szCs w:val="21"/>
                <w:highlight w:val="none"/>
                <w:lang w:bidi="ar"/>
              </w:rPr>
              <w:t>计划且计划周密，质量控制</w:t>
            </w:r>
            <w:r>
              <w:rPr>
                <w:rFonts w:hint="eastAsia" w:ascii="宋体" w:hAnsi="宋体" w:cs="宋体"/>
                <w:color w:val="auto"/>
                <w:kern w:val="0"/>
                <w:sz w:val="21"/>
                <w:szCs w:val="21"/>
                <w:highlight w:val="none"/>
                <w:lang w:eastAsia="zh-CN" w:bidi="ar"/>
              </w:rPr>
              <w:t>合理</w:t>
            </w:r>
            <w:r>
              <w:rPr>
                <w:rFonts w:hint="eastAsia" w:ascii="宋体" w:hAnsi="宋体" w:cs="宋体"/>
                <w:color w:val="auto"/>
                <w:kern w:val="0"/>
                <w:sz w:val="21"/>
                <w:szCs w:val="21"/>
                <w:highlight w:val="none"/>
                <w:lang w:bidi="ar"/>
              </w:rPr>
              <w:t>，时间安排合理，满足施工需要，合理得</w:t>
            </w:r>
            <w:r>
              <w:rPr>
                <w:rFonts w:hint="eastAsia" w:ascii="宋体" w:hAnsi="宋体" w:cs="宋体"/>
                <w:color w:val="auto"/>
                <w:kern w:val="0"/>
                <w:sz w:val="21"/>
                <w:szCs w:val="21"/>
                <w:highlight w:val="none"/>
                <w:lang w:val="en-US" w:eastAsia="zh-CN" w:bidi="ar"/>
              </w:rPr>
              <w:t>4</w:t>
            </w:r>
            <w:r>
              <w:rPr>
                <w:rFonts w:hint="eastAsia" w:ascii="宋体" w:hAnsi="宋体" w:cs="宋体"/>
                <w:color w:val="auto"/>
                <w:kern w:val="0"/>
                <w:sz w:val="21"/>
                <w:szCs w:val="21"/>
                <w:highlight w:val="none"/>
                <w:lang w:bidi="ar"/>
              </w:rPr>
              <w:t>分，</w:t>
            </w:r>
            <w:r>
              <w:rPr>
                <w:rFonts w:hint="eastAsia" w:ascii="宋体" w:hAnsi="宋体" w:cs="宋体"/>
                <w:color w:val="auto"/>
                <w:kern w:val="0"/>
                <w:sz w:val="21"/>
                <w:szCs w:val="21"/>
                <w:highlight w:val="none"/>
                <w:lang w:eastAsia="zh-CN" w:bidi="ar"/>
              </w:rPr>
              <w:t>较合理得</w:t>
            </w:r>
            <w:r>
              <w:rPr>
                <w:rFonts w:hint="eastAsia" w:ascii="宋体" w:hAnsi="宋体" w:cs="宋体"/>
                <w:color w:val="auto"/>
                <w:kern w:val="0"/>
                <w:sz w:val="21"/>
                <w:szCs w:val="21"/>
                <w:highlight w:val="none"/>
                <w:lang w:val="en-US" w:eastAsia="zh-CN" w:bidi="ar"/>
              </w:rPr>
              <w:t>3分，</w:t>
            </w:r>
            <w:r>
              <w:rPr>
                <w:rFonts w:hint="eastAsia" w:ascii="宋体" w:hAnsi="宋体" w:cs="宋体"/>
                <w:color w:val="auto"/>
                <w:kern w:val="0"/>
                <w:sz w:val="21"/>
                <w:szCs w:val="21"/>
                <w:highlight w:val="none"/>
                <w:lang w:eastAsia="zh-CN" w:bidi="ar"/>
              </w:rPr>
              <w:t>基本满足要求得</w:t>
            </w:r>
            <w:r>
              <w:rPr>
                <w:rFonts w:hint="eastAsia" w:ascii="宋体" w:hAnsi="宋体" w:cs="宋体"/>
                <w:color w:val="auto"/>
                <w:kern w:val="0"/>
                <w:sz w:val="21"/>
                <w:szCs w:val="21"/>
                <w:highlight w:val="none"/>
                <w:lang w:val="en-US" w:eastAsia="zh-CN" w:bidi="ar"/>
              </w:rPr>
              <w:t>2分，</w:t>
            </w:r>
            <w:r>
              <w:rPr>
                <w:rFonts w:hint="eastAsia" w:ascii="宋体" w:hAnsi="宋体" w:cs="宋体"/>
                <w:color w:val="auto"/>
                <w:kern w:val="0"/>
                <w:sz w:val="21"/>
                <w:szCs w:val="21"/>
                <w:highlight w:val="none"/>
                <w:lang w:bidi="ar"/>
              </w:rPr>
              <w:t>较差的得</w:t>
            </w:r>
            <w:r>
              <w:rPr>
                <w:rFonts w:hint="eastAsia" w:ascii="宋体" w:hAnsi="宋体" w:cs="宋体"/>
                <w:color w:val="auto"/>
                <w:kern w:val="0"/>
                <w:sz w:val="21"/>
                <w:szCs w:val="21"/>
                <w:highlight w:val="none"/>
                <w:lang w:val="en-US" w:eastAsia="zh-CN" w:bidi="ar"/>
              </w:rPr>
              <w:t>1</w:t>
            </w:r>
            <w:r>
              <w:rPr>
                <w:rFonts w:hint="eastAsia" w:ascii="宋体" w:hAnsi="宋体" w:cs="宋体"/>
                <w:color w:val="auto"/>
                <w:kern w:val="0"/>
                <w:sz w:val="21"/>
                <w:szCs w:val="21"/>
                <w:highlight w:val="none"/>
                <w:lang w:bidi="ar"/>
              </w:rPr>
              <w:t>分，未提供材料设备进场计划及施工计划的不得分。</w:t>
            </w:r>
          </w:p>
        </w:tc>
        <w:tc>
          <w:tcPr>
            <w:tcW w:w="985" w:type="dxa"/>
            <w:vAlign w:val="center"/>
          </w:tcPr>
          <w:p w14:paraId="5F07AD93">
            <w:pPr>
              <w:spacing w:line="360" w:lineRule="auto"/>
              <w:jc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val="en-US" w:eastAsia="zh-CN" w:bidi="ar"/>
              </w:rPr>
              <w:t>4    （主观）</w:t>
            </w:r>
          </w:p>
        </w:tc>
        <w:tc>
          <w:tcPr>
            <w:tcW w:w="1155" w:type="dxa"/>
            <w:vAlign w:val="center"/>
          </w:tcPr>
          <w:p w14:paraId="7147B6EF">
            <w:pPr>
              <w:snapToGrid w:val="0"/>
              <w:spacing w:line="360" w:lineRule="auto"/>
              <w:jc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val="en-US" w:eastAsia="zh-CN" w:bidi="ar"/>
              </w:rPr>
              <w:t>施工</w:t>
            </w:r>
            <w:r>
              <w:rPr>
                <w:rFonts w:hint="eastAsia" w:ascii="宋体" w:hAnsi="宋体" w:cs="宋体"/>
                <w:color w:val="auto"/>
                <w:kern w:val="0"/>
                <w:sz w:val="21"/>
                <w:szCs w:val="21"/>
                <w:highlight w:val="none"/>
                <w:lang w:bidi="ar"/>
              </w:rPr>
              <w:t>计划</w:t>
            </w:r>
          </w:p>
        </w:tc>
        <w:tc>
          <w:tcPr>
            <w:tcW w:w="1176" w:type="dxa"/>
            <w:vAlign w:val="center"/>
          </w:tcPr>
          <w:p w14:paraId="43F40D43">
            <w:pPr>
              <w:snapToGrid w:val="0"/>
              <w:spacing w:line="360" w:lineRule="auto"/>
              <w:jc w:val="center"/>
              <w:rPr>
                <w:rFonts w:hint="eastAsia" w:ascii="宋体" w:hAnsi="宋体" w:cs="宋体"/>
                <w:color w:val="auto"/>
                <w:kern w:val="0"/>
                <w:sz w:val="21"/>
                <w:szCs w:val="21"/>
                <w:highlight w:val="none"/>
                <w:lang w:val="en-US" w:eastAsia="zh-CN" w:bidi="ar"/>
              </w:rPr>
            </w:pPr>
            <w:r>
              <w:rPr>
                <w:rFonts w:hint="eastAsia" w:ascii="宋体" w:hAnsi="宋体" w:cs="宋体"/>
                <w:b w:val="0"/>
                <w:bCs/>
                <w:sz w:val="21"/>
                <w:szCs w:val="21"/>
              </w:rPr>
              <w:t>见</w:t>
            </w:r>
            <w:r>
              <w:rPr>
                <w:rFonts w:hint="eastAsia" w:ascii="宋体" w:hAnsi="宋体" w:cs="宋体"/>
                <w:b w:val="0"/>
                <w:bCs/>
                <w:sz w:val="21"/>
                <w:szCs w:val="21"/>
                <w:lang w:eastAsia="zh-CN"/>
              </w:rPr>
              <w:t>响应</w:t>
            </w:r>
            <w:r>
              <w:rPr>
                <w:rFonts w:hint="eastAsia" w:ascii="宋体" w:hAnsi="宋体" w:cs="宋体"/>
                <w:b w:val="0"/>
                <w:bCs/>
                <w:sz w:val="21"/>
                <w:szCs w:val="21"/>
              </w:rPr>
              <w:t>文件第</w:t>
            </w:r>
            <w:r>
              <w:rPr>
                <w:rFonts w:hint="eastAsia" w:ascii="宋体" w:hAnsi="宋体" w:cs="宋体"/>
                <w:b w:val="0"/>
                <w:bCs/>
                <w:sz w:val="21"/>
                <w:szCs w:val="21"/>
                <w:u w:val="single"/>
              </w:rPr>
              <w:t xml:space="preserve">  </w:t>
            </w:r>
            <w:r>
              <w:rPr>
                <w:rFonts w:hint="eastAsia" w:ascii="宋体" w:hAnsi="宋体" w:cs="宋体"/>
                <w:b w:val="0"/>
                <w:bCs/>
                <w:sz w:val="21"/>
                <w:szCs w:val="21"/>
              </w:rPr>
              <w:t>页</w:t>
            </w:r>
          </w:p>
        </w:tc>
      </w:tr>
      <w:tr w14:paraId="21E93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3" w:type="dxa"/>
            <w:vAlign w:val="center"/>
          </w:tcPr>
          <w:p w14:paraId="341BA76E">
            <w:pPr>
              <w:spacing w:line="360" w:lineRule="auto"/>
              <w:jc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13</w:t>
            </w:r>
          </w:p>
        </w:tc>
        <w:tc>
          <w:tcPr>
            <w:tcW w:w="5757" w:type="dxa"/>
            <w:gridSpan w:val="3"/>
            <w:vAlign w:val="center"/>
          </w:tcPr>
          <w:p w14:paraId="27C77F3C">
            <w:pPr>
              <w:spacing w:line="360" w:lineRule="auto"/>
              <w:jc w:val="left"/>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拟选用的</w:t>
            </w:r>
            <w:r>
              <w:rPr>
                <w:rFonts w:hint="eastAsia" w:ascii="宋体" w:hAnsi="宋体" w:eastAsia="宋体" w:cs="宋体"/>
                <w:color w:val="auto"/>
                <w:kern w:val="0"/>
                <w:sz w:val="21"/>
                <w:szCs w:val="21"/>
                <w:highlight w:val="none"/>
                <w:lang w:val="en-US" w:eastAsia="zh-CN" w:bidi="ar"/>
              </w:rPr>
              <w:t>的人造草符合</w:t>
            </w:r>
            <w:r>
              <w:rPr>
                <w:rFonts w:hint="eastAsia" w:ascii="宋体" w:hAnsi="宋体" w:cs="宋体"/>
                <w:color w:val="auto"/>
                <w:kern w:val="0"/>
                <w:sz w:val="21"/>
                <w:szCs w:val="21"/>
                <w:highlight w:val="none"/>
                <w:lang w:val="en-US" w:eastAsia="zh-CN" w:bidi="ar"/>
              </w:rPr>
              <w:t>GB36246-2018《中小学合成材料面层运动场地》标准</w:t>
            </w:r>
            <w:r>
              <w:rPr>
                <w:rFonts w:hint="eastAsia" w:ascii="宋体" w:hAnsi="宋体" w:eastAsia="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val="en-US" w:eastAsia="zh-CN" w:bidi="ar"/>
              </w:rPr>
              <w:t>提供国家认可的第三方检测单位出具的合格检测报告，检测项目必须包含机械性能、耐人工气候老化、有害物质含量，检测结果全部为合格得5分。</w:t>
            </w:r>
          </w:p>
        </w:tc>
        <w:tc>
          <w:tcPr>
            <w:tcW w:w="985" w:type="dxa"/>
            <w:vAlign w:val="center"/>
          </w:tcPr>
          <w:p w14:paraId="301A949A">
            <w:pPr>
              <w:spacing w:line="360" w:lineRule="auto"/>
              <w:jc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5</w:t>
            </w:r>
          </w:p>
          <w:p w14:paraId="634D0CE3">
            <w:pPr>
              <w:spacing w:line="360" w:lineRule="auto"/>
              <w:jc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（客观）</w:t>
            </w:r>
          </w:p>
        </w:tc>
        <w:tc>
          <w:tcPr>
            <w:tcW w:w="1155" w:type="dxa"/>
            <w:vMerge w:val="restart"/>
            <w:vAlign w:val="center"/>
          </w:tcPr>
          <w:p w14:paraId="739F6152">
            <w:pPr>
              <w:snapToGrid w:val="0"/>
              <w:spacing w:line="360" w:lineRule="auto"/>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人造草坪检测报告</w:t>
            </w:r>
          </w:p>
        </w:tc>
        <w:tc>
          <w:tcPr>
            <w:tcW w:w="1176" w:type="dxa"/>
            <w:vAlign w:val="center"/>
          </w:tcPr>
          <w:p w14:paraId="7B760A30">
            <w:pPr>
              <w:snapToGrid w:val="0"/>
              <w:spacing w:line="360" w:lineRule="auto"/>
              <w:jc w:val="center"/>
              <w:rPr>
                <w:rFonts w:hint="eastAsia" w:ascii="宋体" w:hAnsi="宋体" w:eastAsia="宋体" w:cs="宋体"/>
                <w:color w:val="auto"/>
                <w:kern w:val="0"/>
                <w:sz w:val="21"/>
                <w:szCs w:val="21"/>
                <w:highlight w:val="none"/>
                <w:lang w:val="en-US" w:eastAsia="zh-CN" w:bidi="ar"/>
              </w:rPr>
            </w:pPr>
            <w:r>
              <w:rPr>
                <w:rFonts w:hint="eastAsia" w:ascii="宋体" w:hAnsi="宋体" w:cs="宋体"/>
                <w:b w:val="0"/>
                <w:bCs/>
                <w:sz w:val="21"/>
                <w:szCs w:val="21"/>
              </w:rPr>
              <w:t>见</w:t>
            </w:r>
            <w:r>
              <w:rPr>
                <w:rFonts w:hint="eastAsia" w:ascii="宋体" w:hAnsi="宋体" w:cs="宋体"/>
                <w:b w:val="0"/>
                <w:bCs/>
                <w:sz w:val="21"/>
                <w:szCs w:val="21"/>
                <w:lang w:eastAsia="zh-CN"/>
              </w:rPr>
              <w:t>响应</w:t>
            </w:r>
            <w:r>
              <w:rPr>
                <w:rFonts w:hint="eastAsia" w:ascii="宋体" w:hAnsi="宋体" w:cs="宋体"/>
                <w:b w:val="0"/>
                <w:bCs/>
                <w:sz w:val="21"/>
                <w:szCs w:val="21"/>
              </w:rPr>
              <w:t>文件第</w:t>
            </w:r>
            <w:r>
              <w:rPr>
                <w:rFonts w:hint="eastAsia" w:ascii="宋体" w:hAnsi="宋体" w:cs="宋体"/>
                <w:b w:val="0"/>
                <w:bCs/>
                <w:sz w:val="21"/>
                <w:szCs w:val="21"/>
                <w:u w:val="single"/>
              </w:rPr>
              <w:t xml:space="preserve">  </w:t>
            </w:r>
            <w:r>
              <w:rPr>
                <w:rFonts w:hint="eastAsia" w:ascii="宋体" w:hAnsi="宋体" w:cs="宋体"/>
                <w:b w:val="0"/>
                <w:bCs/>
                <w:sz w:val="21"/>
                <w:szCs w:val="21"/>
              </w:rPr>
              <w:t>页</w:t>
            </w:r>
          </w:p>
        </w:tc>
      </w:tr>
      <w:tr w14:paraId="3E966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3" w:type="dxa"/>
            <w:vAlign w:val="center"/>
          </w:tcPr>
          <w:p w14:paraId="0F0429C8">
            <w:pPr>
              <w:spacing w:line="360" w:lineRule="auto"/>
              <w:jc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14</w:t>
            </w:r>
          </w:p>
        </w:tc>
        <w:tc>
          <w:tcPr>
            <w:tcW w:w="5757" w:type="dxa"/>
            <w:gridSpan w:val="3"/>
            <w:vAlign w:val="center"/>
          </w:tcPr>
          <w:p w14:paraId="0AE008E3">
            <w:pPr>
              <w:spacing w:line="360" w:lineRule="auto"/>
              <w:jc w:val="left"/>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拟选用的</w:t>
            </w:r>
            <w:r>
              <w:rPr>
                <w:rFonts w:hint="eastAsia" w:ascii="宋体" w:hAnsi="宋体" w:eastAsia="宋体" w:cs="宋体"/>
                <w:color w:val="auto"/>
                <w:kern w:val="0"/>
                <w:sz w:val="21"/>
                <w:szCs w:val="21"/>
                <w:highlight w:val="none"/>
                <w:lang w:val="en-US" w:eastAsia="zh-CN" w:bidi="ar"/>
              </w:rPr>
              <w:t>的人造草符合GB/T20394-2019《体育用人造草》</w:t>
            </w:r>
            <w:r>
              <w:rPr>
                <w:rFonts w:hint="eastAsia" w:ascii="宋体" w:hAnsi="宋体" w:cs="宋体"/>
                <w:color w:val="auto"/>
                <w:kern w:val="0"/>
                <w:sz w:val="21"/>
                <w:szCs w:val="21"/>
                <w:highlight w:val="none"/>
                <w:lang w:val="en-US" w:eastAsia="zh-CN" w:bidi="ar"/>
              </w:rPr>
              <w:t>标准</w:t>
            </w:r>
            <w:r>
              <w:rPr>
                <w:rFonts w:hint="eastAsia" w:ascii="宋体" w:hAnsi="宋体" w:eastAsia="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val="en-US" w:eastAsia="zh-CN" w:bidi="ar"/>
              </w:rPr>
              <w:t>提供国家认可的第三方检测单位出具的合格检测报告，检测项目必须包含理化性能、可迁移元素最大限量、有害物质释放限量、阻燃性，检测结果全部为合格得5分。</w:t>
            </w:r>
          </w:p>
        </w:tc>
        <w:tc>
          <w:tcPr>
            <w:tcW w:w="985" w:type="dxa"/>
            <w:vAlign w:val="center"/>
          </w:tcPr>
          <w:p w14:paraId="083EF8A0">
            <w:pPr>
              <w:spacing w:line="360" w:lineRule="auto"/>
              <w:jc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5</w:t>
            </w:r>
          </w:p>
          <w:p w14:paraId="38E29ECA">
            <w:pPr>
              <w:spacing w:line="360" w:lineRule="auto"/>
              <w:jc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（客观）</w:t>
            </w:r>
          </w:p>
        </w:tc>
        <w:tc>
          <w:tcPr>
            <w:tcW w:w="1155" w:type="dxa"/>
            <w:vMerge w:val="continue"/>
            <w:vAlign w:val="center"/>
          </w:tcPr>
          <w:p w14:paraId="330267A4">
            <w:pPr>
              <w:snapToGrid w:val="0"/>
              <w:spacing w:line="360" w:lineRule="auto"/>
              <w:jc w:val="center"/>
              <w:rPr>
                <w:rFonts w:hint="eastAsia" w:ascii="宋体" w:hAnsi="宋体" w:eastAsia="宋体" w:cs="宋体"/>
                <w:color w:val="auto"/>
                <w:kern w:val="0"/>
                <w:sz w:val="21"/>
                <w:szCs w:val="21"/>
                <w:highlight w:val="none"/>
                <w:lang w:val="en-US" w:eastAsia="zh-CN" w:bidi="ar"/>
              </w:rPr>
            </w:pPr>
          </w:p>
        </w:tc>
        <w:tc>
          <w:tcPr>
            <w:tcW w:w="1176" w:type="dxa"/>
            <w:vAlign w:val="center"/>
          </w:tcPr>
          <w:p w14:paraId="32E14A01">
            <w:pPr>
              <w:snapToGrid w:val="0"/>
              <w:spacing w:line="360" w:lineRule="auto"/>
              <w:jc w:val="center"/>
              <w:rPr>
                <w:rFonts w:hint="eastAsia" w:ascii="宋体" w:hAnsi="宋体" w:eastAsia="宋体" w:cs="宋体"/>
                <w:color w:val="auto"/>
                <w:kern w:val="0"/>
                <w:sz w:val="21"/>
                <w:szCs w:val="21"/>
                <w:highlight w:val="none"/>
                <w:lang w:val="en-US" w:eastAsia="zh-CN" w:bidi="ar"/>
              </w:rPr>
            </w:pPr>
            <w:r>
              <w:rPr>
                <w:rFonts w:hint="eastAsia" w:ascii="宋体" w:hAnsi="宋体" w:cs="宋体"/>
                <w:b w:val="0"/>
                <w:bCs/>
                <w:sz w:val="21"/>
                <w:szCs w:val="21"/>
              </w:rPr>
              <w:t>见</w:t>
            </w:r>
            <w:r>
              <w:rPr>
                <w:rFonts w:hint="eastAsia" w:ascii="宋体" w:hAnsi="宋体" w:cs="宋体"/>
                <w:b w:val="0"/>
                <w:bCs/>
                <w:sz w:val="21"/>
                <w:szCs w:val="21"/>
                <w:lang w:eastAsia="zh-CN"/>
              </w:rPr>
              <w:t>响应</w:t>
            </w:r>
            <w:r>
              <w:rPr>
                <w:rFonts w:hint="eastAsia" w:ascii="宋体" w:hAnsi="宋体" w:cs="宋体"/>
                <w:b w:val="0"/>
                <w:bCs/>
                <w:sz w:val="21"/>
                <w:szCs w:val="21"/>
              </w:rPr>
              <w:t>文件第</w:t>
            </w:r>
            <w:r>
              <w:rPr>
                <w:rFonts w:hint="eastAsia" w:ascii="宋体" w:hAnsi="宋体" w:cs="宋体"/>
                <w:b w:val="0"/>
                <w:bCs/>
                <w:sz w:val="21"/>
                <w:szCs w:val="21"/>
                <w:u w:val="single"/>
              </w:rPr>
              <w:t xml:space="preserve">  </w:t>
            </w:r>
            <w:r>
              <w:rPr>
                <w:rFonts w:hint="eastAsia" w:ascii="宋体" w:hAnsi="宋体" w:cs="宋体"/>
                <w:b w:val="0"/>
                <w:bCs/>
                <w:sz w:val="21"/>
                <w:szCs w:val="21"/>
              </w:rPr>
              <w:t>页</w:t>
            </w:r>
          </w:p>
        </w:tc>
      </w:tr>
      <w:tr w14:paraId="09069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3" w:type="dxa"/>
            <w:vAlign w:val="center"/>
          </w:tcPr>
          <w:p w14:paraId="6C140D3E">
            <w:pPr>
              <w:spacing w:line="360" w:lineRule="auto"/>
              <w:jc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15</w:t>
            </w:r>
          </w:p>
        </w:tc>
        <w:tc>
          <w:tcPr>
            <w:tcW w:w="5757" w:type="dxa"/>
            <w:gridSpan w:val="3"/>
            <w:vAlign w:val="center"/>
          </w:tcPr>
          <w:p w14:paraId="716B85D8">
            <w:pPr>
              <w:spacing w:line="360" w:lineRule="auto"/>
              <w:jc w:val="left"/>
              <w:rPr>
                <w:rFonts w:hint="eastAsia" w:ascii="宋体" w:hAnsi="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液体材料(胶黏剂）的检测报告，需符合GB36246-2018《中小学合成材料面层运</w:t>
            </w:r>
            <w:r>
              <w:rPr>
                <w:rFonts w:hint="eastAsia" w:ascii="宋体" w:hAnsi="宋体" w:cs="宋体"/>
                <w:color w:val="auto"/>
                <w:kern w:val="0"/>
                <w:sz w:val="21"/>
                <w:szCs w:val="21"/>
                <w:highlight w:val="none"/>
                <w:lang w:val="en-US" w:eastAsia="zh-CN" w:bidi="ar"/>
              </w:rPr>
              <w:t>动场地》标准，提供国家认可的第三方检测单位出具的合格检测报告。</w:t>
            </w:r>
          </w:p>
        </w:tc>
        <w:tc>
          <w:tcPr>
            <w:tcW w:w="985" w:type="dxa"/>
            <w:vAlign w:val="center"/>
          </w:tcPr>
          <w:p w14:paraId="219B40B4">
            <w:pPr>
              <w:spacing w:line="360" w:lineRule="auto"/>
              <w:jc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3</w:t>
            </w:r>
          </w:p>
          <w:p w14:paraId="170DFE3B">
            <w:pPr>
              <w:spacing w:line="360" w:lineRule="auto"/>
              <w:jc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（客观）</w:t>
            </w:r>
          </w:p>
        </w:tc>
        <w:tc>
          <w:tcPr>
            <w:tcW w:w="1155" w:type="dxa"/>
            <w:vAlign w:val="center"/>
          </w:tcPr>
          <w:p w14:paraId="395FCA8E">
            <w:pPr>
              <w:snapToGrid w:val="0"/>
              <w:spacing w:line="360" w:lineRule="auto"/>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液体材料(胶黏剂）检测报告</w:t>
            </w:r>
          </w:p>
        </w:tc>
        <w:tc>
          <w:tcPr>
            <w:tcW w:w="1176" w:type="dxa"/>
            <w:vAlign w:val="center"/>
          </w:tcPr>
          <w:p w14:paraId="23F2E6A0">
            <w:pPr>
              <w:snapToGrid w:val="0"/>
              <w:spacing w:line="360" w:lineRule="auto"/>
              <w:jc w:val="center"/>
              <w:rPr>
                <w:rFonts w:hint="eastAsia" w:ascii="宋体" w:hAnsi="宋体" w:eastAsia="宋体" w:cs="宋体"/>
                <w:color w:val="auto"/>
                <w:kern w:val="0"/>
                <w:sz w:val="21"/>
                <w:szCs w:val="21"/>
                <w:highlight w:val="none"/>
                <w:lang w:val="en-US" w:eastAsia="zh-CN" w:bidi="ar"/>
              </w:rPr>
            </w:pPr>
            <w:r>
              <w:rPr>
                <w:rFonts w:hint="eastAsia" w:ascii="宋体" w:hAnsi="宋体" w:cs="宋体"/>
                <w:b w:val="0"/>
                <w:bCs/>
                <w:sz w:val="21"/>
                <w:szCs w:val="21"/>
              </w:rPr>
              <w:t>见</w:t>
            </w:r>
            <w:r>
              <w:rPr>
                <w:rFonts w:hint="eastAsia" w:ascii="宋体" w:hAnsi="宋体" w:cs="宋体"/>
                <w:b w:val="0"/>
                <w:bCs/>
                <w:sz w:val="21"/>
                <w:szCs w:val="21"/>
                <w:lang w:eastAsia="zh-CN"/>
              </w:rPr>
              <w:t>响应</w:t>
            </w:r>
            <w:r>
              <w:rPr>
                <w:rFonts w:hint="eastAsia" w:ascii="宋体" w:hAnsi="宋体" w:cs="宋体"/>
                <w:b w:val="0"/>
                <w:bCs/>
                <w:sz w:val="21"/>
                <w:szCs w:val="21"/>
              </w:rPr>
              <w:t>文件第</w:t>
            </w:r>
            <w:r>
              <w:rPr>
                <w:rFonts w:hint="eastAsia" w:ascii="宋体" w:hAnsi="宋体" w:cs="宋体"/>
                <w:b w:val="0"/>
                <w:bCs/>
                <w:sz w:val="21"/>
                <w:szCs w:val="21"/>
                <w:u w:val="single"/>
              </w:rPr>
              <w:t xml:space="preserve">  </w:t>
            </w:r>
            <w:r>
              <w:rPr>
                <w:rFonts w:hint="eastAsia" w:ascii="宋体" w:hAnsi="宋体" w:cs="宋体"/>
                <w:b w:val="0"/>
                <w:bCs/>
                <w:sz w:val="21"/>
                <w:szCs w:val="21"/>
              </w:rPr>
              <w:t>页</w:t>
            </w:r>
          </w:p>
        </w:tc>
      </w:tr>
    </w:tbl>
    <w:p w14:paraId="0910C63E">
      <w:pPr>
        <w:pStyle w:val="2"/>
        <w:rPr>
          <w:rFonts w:hint="eastAsia" w:ascii="宋体" w:hAnsi="宋体" w:cs="宋体"/>
          <w:b/>
          <w:color w:val="auto"/>
          <w:sz w:val="24"/>
          <w:highlight w:val="none"/>
        </w:rPr>
      </w:pPr>
    </w:p>
    <w:p w14:paraId="31F0822E">
      <w:pPr>
        <w:pStyle w:val="2"/>
        <w:rPr>
          <w:rFonts w:hint="eastAsia" w:ascii="宋体" w:hAnsi="宋体" w:cs="宋体"/>
          <w:b/>
          <w:color w:val="auto"/>
          <w:sz w:val="24"/>
          <w:highlight w:val="none"/>
        </w:rPr>
      </w:pPr>
    </w:p>
    <w:p w14:paraId="5DBBCC20">
      <w:pPr>
        <w:jc w:val="center"/>
        <w:rPr>
          <w:rFonts w:ascii="宋体" w:hAnsi="宋体" w:cs="宋体"/>
          <w:b/>
          <w:color w:val="auto"/>
          <w:kern w:val="0"/>
          <w:sz w:val="32"/>
          <w:szCs w:val="32"/>
          <w:highlight w:val="none"/>
        </w:rPr>
      </w:pPr>
    </w:p>
    <w:p w14:paraId="6FCD288C">
      <w:pPr>
        <w:jc w:val="center"/>
        <w:rPr>
          <w:rFonts w:ascii="宋体" w:hAnsi="宋体" w:cs="宋体"/>
          <w:b/>
          <w:color w:val="auto"/>
          <w:kern w:val="0"/>
          <w:sz w:val="32"/>
          <w:szCs w:val="32"/>
          <w:highlight w:val="none"/>
        </w:rPr>
      </w:pPr>
    </w:p>
    <w:p w14:paraId="620AA935">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5AEEA26">
      <w:pPr>
        <w:pStyle w:val="2"/>
      </w:pPr>
    </w:p>
    <w:p w14:paraId="0C2125F6">
      <w:pPr>
        <w:numPr>
          <w:ilvl w:val="0"/>
          <w:numId w:val="8"/>
        </w:numPr>
        <w:snapToGrid w:val="0"/>
        <w:ind w:left="0" w:leftChars="0" w:firstLine="0" w:firstLineChars="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商务技术偏离表</w:t>
      </w:r>
    </w:p>
    <w:p w14:paraId="3AC6B1F6">
      <w:pPr>
        <w:pStyle w:val="80"/>
        <w:numPr>
          <w:ilvl w:val="0"/>
          <w:numId w:val="0"/>
        </w:numPr>
        <w:ind w:leftChars="0"/>
        <w:rPr>
          <w:color w:val="auto"/>
          <w:highlight w:val="none"/>
        </w:rPr>
      </w:pP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BC20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E5B3737">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59EC292B">
            <w:pPr>
              <w:jc w:val="center"/>
              <w:rPr>
                <w:rFonts w:ascii="宋体" w:hAnsi="宋体" w:cs="宋体"/>
                <w:b/>
                <w:bCs/>
                <w:color w:val="auto"/>
                <w:sz w:val="24"/>
                <w:highlight w:val="none"/>
              </w:rPr>
            </w:pPr>
            <w:r>
              <w:rPr>
                <w:rFonts w:hint="eastAsia" w:ascii="宋体" w:hAnsi="宋体" w:cs="宋体"/>
                <w:b/>
                <w:bCs/>
                <w:color w:val="auto"/>
                <w:sz w:val="24"/>
                <w:highlight w:val="none"/>
              </w:rPr>
              <w:t>采购文件章节及具体内容</w:t>
            </w:r>
          </w:p>
        </w:tc>
        <w:tc>
          <w:tcPr>
            <w:tcW w:w="3546" w:type="dxa"/>
          </w:tcPr>
          <w:p w14:paraId="64684424">
            <w:pP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14:paraId="2482FBD0">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2764B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4CCC7DC">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7306AA68">
            <w:pPr>
              <w:jc w:val="center"/>
              <w:rPr>
                <w:rFonts w:ascii="宋体" w:hAnsi="宋体" w:cs="宋体"/>
                <w:b/>
                <w:color w:val="auto"/>
                <w:kern w:val="0"/>
                <w:sz w:val="32"/>
                <w:szCs w:val="32"/>
                <w:highlight w:val="none"/>
              </w:rPr>
            </w:pPr>
          </w:p>
        </w:tc>
        <w:tc>
          <w:tcPr>
            <w:tcW w:w="3546" w:type="dxa"/>
          </w:tcPr>
          <w:p w14:paraId="43AC4FC3">
            <w:pPr>
              <w:jc w:val="center"/>
              <w:rPr>
                <w:rFonts w:ascii="宋体" w:hAnsi="宋体" w:cs="宋体"/>
                <w:b/>
                <w:color w:val="auto"/>
                <w:kern w:val="0"/>
                <w:sz w:val="32"/>
                <w:szCs w:val="32"/>
                <w:highlight w:val="none"/>
              </w:rPr>
            </w:pPr>
          </w:p>
        </w:tc>
        <w:tc>
          <w:tcPr>
            <w:tcW w:w="1276" w:type="dxa"/>
          </w:tcPr>
          <w:p w14:paraId="38308799">
            <w:pPr>
              <w:jc w:val="center"/>
              <w:rPr>
                <w:rFonts w:ascii="宋体" w:hAnsi="宋体" w:cs="宋体"/>
                <w:b/>
                <w:color w:val="auto"/>
                <w:kern w:val="0"/>
                <w:sz w:val="32"/>
                <w:szCs w:val="32"/>
                <w:highlight w:val="none"/>
              </w:rPr>
            </w:pPr>
          </w:p>
        </w:tc>
      </w:tr>
      <w:tr w14:paraId="25A1C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F47415C">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637B939D">
            <w:pPr>
              <w:jc w:val="center"/>
              <w:rPr>
                <w:rFonts w:ascii="宋体" w:hAnsi="宋体" w:cs="宋体"/>
                <w:b/>
                <w:color w:val="auto"/>
                <w:kern w:val="0"/>
                <w:sz w:val="32"/>
                <w:szCs w:val="32"/>
                <w:highlight w:val="none"/>
              </w:rPr>
            </w:pPr>
          </w:p>
        </w:tc>
        <w:tc>
          <w:tcPr>
            <w:tcW w:w="3546" w:type="dxa"/>
          </w:tcPr>
          <w:p w14:paraId="3F3995CC">
            <w:pPr>
              <w:jc w:val="center"/>
              <w:rPr>
                <w:rFonts w:ascii="宋体" w:hAnsi="宋体" w:cs="宋体"/>
                <w:b/>
                <w:color w:val="auto"/>
                <w:kern w:val="0"/>
                <w:sz w:val="32"/>
                <w:szCs w:val="32"/>
                <w:highlight w:val="none"/>
              </w:rPr>
            </w:pPr>
          </w:p>
        </w:tc>
        <w:tc>
          <w:tcPr>
            <w:tcW w:w="1276" w:type="dxa"/>
          </w:tcPr>
          <w:p w14:paraId="0F0292FB">
            <w:pPr>
              <w:jc w:val="center"/>
              <w:rPr>
                <w:rFonts w:ascii="宋体" w:hAnsi="宋体" w:cs="宋体"/>
                <w:b/>
                <w:color w:val="auto"/>
                <w:kern w:val="0"/>
                <w:sz w:val="32"/>
                <w:szCs w:val="32"/>
                <w:highlight w:val="none"/>
              </w:rPr>
            </w:pPr>
          </w:p>
        </w:tc>
      </w:tr>
      <w:tr w14:paraId="27D8B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673D802">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4251AB4F">
            <w:pPr>
              <w:jc w:val="center"/>
              <w:rPr>
                <w:rFonts w:ascii="宋体" w:hAnsi="宋体" w:cs="宋体"/>
                <w:b/>
                <w:color w:val="auto"/>
                <w:kern w:val="0"/>
                <w:sz w:val="32"/>
                <w:szCs w:val="32"/>
                <w:highlight w:val="none"/>
              </w:rPr>
            </w:pPr>
          </w:p>
        </w:tc>
        <w:tc>
          <w:tcPr>
            <w:tcW w:w="3546" w:type="dxa"/>
          </w:tcPr>
          <w:p w14:paraId="41C0729C">
            <w:pPr>
              <w:jc w:val="center"/>
              <w:rPr>
                <w:rFonts w:ascii="宋体" w:hAnsi="宋体" w:cs="宋体"/>
                <w:b/>
                <w:color w:val="auto"/>
                <w:kern w:val="0"/>
                <w:sz w:val="32"/>
                <w:szCs w:val="32"/>
                <w:highlight w:val="none"/>
              </w:rPr>
            </w:pPr>
          </w:p>
        </w:tc>
        <w:tc>
          <w:tcPr>
            <w:tcW w:w="1276" w:type="dxa"/>
          </w:tcPr>
          <w:p w14:paraId="107118B3">
            <w:pPr>
              <w:jc w:val="center"/>
              <w:rPr>
                <w:rFonts w:ascii="宋体" w:hAnsi="宋体" w:cs="宋体"/>
                <w:b/>
                <w:color w:val="auto"/>
                <w:kern w:val="0"/>
                <w:sz w:val="32"/>
                <w:szCs w:val="32"/>
                <w:highlight w:val="none"/>
              </w:rPr>
            </w:pPr>
          </w:p>
        </w:tc>
      </w:tr>
    </w:tbl>
    <w:p w14:paraId="7D29A8C6">
      <w:pPr>
        <w:jc w:val="left"/>
        <w:rPr>
          <w:rFonts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供应商保证：除商务技术偏离表列出的偏离外，供应商响应采购文件的全部要求</w:t>
      </w:r>
    </w:p>
    <w:p w14:paraId="075ED939">
      <w:pPr>
        <w:jc w:val="center"/>
        <w:rPr>
          <w:rFonts w:ascii="宋体" w:hAnsi="宋体" w:cs="宋体"/>
          <w:b/>
          <w:color w:val="auto"/>
          <w:kern w:val="0"/>
          <w:sz w:val="32"/>
          <w:szCs w:val="32"/>
          <w:highlight w:val="none"/>
        </w:rPr>
      </w:pPr>
    </w:p>
    <w:p w14:paraId="11571757">
      <w:pPr>
        <w:spacing w:line="360" w:lineRule="auto"/>
        <w:ind w:right="420"/>
        <w:rPr>
          <w:rFonts w:hint="eastAsia" w:ascii="宋体" w:hAnsi="宋体" w:cs="宋体"/>
          <w:sz w:val="24"/>
        </w:rPr>
      </w:pPr>
      <w:r>
        <w:rPr>
          <w:rFonts w:hint="eastAsia" w:ascii="宋体" w:hAnsi="宋体" w:cs="宋体"/>
          <w:sz w:val="24"/>
        </w:rPr>
        <w:t>注：</w:t>
      </w:r>
      <w:r>
        <w:rPr>
          <w:rFonts w:hint="eastAsia" w:ascii="宋体" w:hAnsi="宋体" w:cs="宋体"/>
          <w:sz w:val="24"/>
          <w:lang w:val="en-US" w:eastAsia="zh-CN"/>
        </w:rPr>
        <w:t>1.</w:t>
      </w:r>
      <w:r>
        <w:rPr>
          <w:rFonts w:hint="eastAsia" w:ascii="宋体" w:hAnsi="宋体" w:cs="宋体"/>
          <w:sz w:val="24"/>
        </w:rPr>
        <w:t>按本格式和要求提供。</w:t>
      </w:r>
    </w:p>
    <w:p w14:paraId="2AF678E6">
      <w:pPr>
        <w:pStyle w:val="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2.本表格所反映的偏离情况与“符合性审查资料”、“评标标准相应的商务技术资料”不一致的，以“符合性审查资料”、“评标标准相应的商务技术资料”为准。</w:t>
      </w:r>
    </w:p>
    <w:p w14:paraId="25A82AF3">
      <w:pPr>
        <w:pStyle w:val="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3.投标人须保证：除商务技术偏离表列出的偏离外，投标人响应招标文件的全部非实质性要求。</w:t>
      </w:r>
    </w:p>
    <w:p w14:paraId="4EA723EB">
      <w:pPr>
        <w:spacing w:line="360" w:lineRule="auto"/>
        <w:ind w:right="420"/>
        <w:rPr>
          <w:rFonts w:ascii="宋体" w:hAnsi="宋体" w:cs="宋体"/>
          <w:sz w:val="24"/>
        </w:rPr>
      </w:pPr>
    </w:p>
    <w:p w14:paraId="3A44DA25">
      <w:pPr>
        <w:ind w:firstLine="1911" w:firstLineChars="595"/>
        <w:rPr>
          <w:rFonts w:ascii="宋体" w:hAnsi="宋体" w:cs="宋体"/>
          <w:b/>
          <w:bCs/>
          <w:color w:val="auto"/>
          <w:sz w:val="32"/>
          <w:szCs w:val="32"/>
          <w:highlight w:val="none"/>
        </w:rPr>
        <w:sectPr>
          <w:footerReference r:id="rId13" w:type="first"/>
          <w:footerReference r:id="rId12" w:type="default"/>
          <w:pgSz w:w="11906" w:h="16838"/>
          <w:pgMar w:top="1440" w:right="1080" w:bottom="1440" w:left="1080" w:header="851" w:footer="992" w:gutter="0"/>
          <w:cols w:space="720" w:num="1"/>
          <w:titlePg/>
          <w:docGrid w:linePitch="312" w:charSpace="0"/>
        </w:sectPr>
      </w:pPr>
    </w:p>
    <w:p w14:paraId="18A433CC">
      <w:pPr>
        <w:snapToGrid w:val="0"/>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67FF996">
      <w:pPr>
        <w:snapToGrid w:val="0"/>
        <w:spacing w:line="360" w:lineRule="auto"/>
        <w:rPr>
          <w:rFonts w:ascii="宋体" w:hAnsi="宋体" w:cs="宋体"/>
          <w:color w:val="auto"/>
          <w:sz w:val="24"/>
          <w:highlight w:val="none"/>
        </w:rPr>
      </w:pPr>
    </w:p>
    <w:p w14:paraId="6E0327E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杭州市钱塘区金沙湖实验学校</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浙江省房地产管理咨询有限公司</w:t>
      </w:r>
      <w:r>
        <w:rPr>
          <w:rFonts w:hint="eastAsia" w:ascii="宋体" w:hAnsi="宋体" w:cs="宋体"/>
          <w:color w:val="auto"/>
          <w:kern w:val="0"/>
          <w:sz w:val="24"/>
          <w:highlight w:val="none"/>
          <w:lang w:val="zh-CN"/>
        </w:rPr>
        <w:t>：</w:t>
      </w:r>
    </w:p>
    <w:p w14:paraId="0A2A87D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51FAE66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759480E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405FC82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2979E6E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5ADF75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14:paraId="63C9C71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610230F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57253093">
      <w:pPr>
        <w:autoSpaceDE w:val="0"/>
        <w:autoSpaceDN w:val="0"/>
        <w:spacing w:line="360" w:lineRule="auto"/>
        <w:ind w:left="2"/>
        <w:jc w:val="left"/>
        <w:rPr>
          <w:rFonts w:ascii="宋体" w:hAnsi="宋体" w:cs="宋体"/>
          <w:color w:val="auto"/>
          <w:kern w:val="0"/>
          <w:sz w:val="24"/>
          <w:highlight w:val="none"/>
          <w:lang w:val="zh-CN"/>
        </w:rPr>
      </w:pPr>
    </w:p>
    <w:p w14:paraId="5D5880DB">
      <w:pPr>
        <w:autoSpaceDE w:val="0"/>
        <w:autoSpaceDN w:val="0"/>
        <w:spacing w:line="360" w:lineRule="auto"/>
        <w:ind w:left="2"/>
        <w:jc w:val="left"/>
        <w:rPr>
          <w:rFonts w:ascii="宋体" w:hAnsi="宋体" w:cs="宋体"/>
          <w:color w:val="auto"/>
          <w:kern w:val="0"/>
          <w:sz w:val="24"/>
          <w:highlight w:val="none"/>
          <w:lang w:val="zh-CN"/>
        </w:rPr>
      </w:pPr>
    </w:p>
    <w:p w14:paraId="08EAA53D">
      <w:pPr>
        <w:autoSpaceDE w:val="0"/>
        <w:autoSpaceDN w:val="0"/>
        <w:spacing w:line="360" w:lineRule="auto"/>
        <w:ind w:left="2"/>
        <w:jc w:val="left"/>
        <w:rPr>
          <w:rFonts w:ascii="宋体" w:hAnsi="宋体" w:cs="宋体"/>
          <w:color w:val="auto"/>
          <w:kern w:val="0"/>
          <w:sz w:val="24"/>
          <w:highlight w:val="none"/>
          <w:lang w:val="zh-CN"/>
        </w:rPr>
      </w:pPr>
    </w:p>
    <w:p w14:paraId="55B2583A">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8F3B928">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054B82DA">
      <w:pPr>
        <w:spacing w:line="360" w:lineRule="auto"/>
        <w:jc w:val="center"/>
        <w:rPr>
          <w:rFonts w:ascii="宋体" w:hAnsi="宋体" w:cs="宋体"/>
          <w:b/>
          <w:bCs/>
          <w:color w:val="auto"/>
          <w:sz w:val="24"/>
          <w:highlight w:val="none"/>
        </w:rPr>
      </w:pPr>
    </w:p>
    <w:p w14:paraId="05881EF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2A4FF48">
      <w:pPr>
        <w:spacing w:line="360" w:lineRule="auto"/>
        <w:jc w:val="center"/>
        <w:rPr>
          <w:rFonts w:ascii="宋体" w:hAnsi="宋体" w:cs="宋体"/>
          <w:b/>
          <w:bCs/>
          <w:color w:val="auto"/>
          <w:sz w:val="24"/>
          <w:highlight w:val="none"/>
        </w:rPr>
        <w:sectPr>
          <w:pgSz w:w="11906" w:h="16838"/>
          <w:pgMar w:top="1440" w:right="1080" w:bottom="1440" w:left="1080" w:header="851" w:footer="992" w:gutter="0"/>
          <w:cols w:space="720" w:num="1"/>
          <w:titlePg/>
          <w:docGrid w:linePitch="312" w:charSpace="0"/>
        </w:sectPr>
      </w:pPr>
    </w:p>
    <w:p w14:paraId="23CD29F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7572C07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401800A">
      <w:pPr>
        <w:spacing w:line="360" w:lineRule="auto"/>
        <w:jc w:val="center"/>
        <w:outlineLvl w:val="0"/>
        <w:rPr>
          <w:rFonts w:ascii="宋体" w:hAnsi="宋体" w:cs="宋体"/>
          <w:b/>
          <w:color w:val="auto"/>
          <w:kern w:val="0"/>
          <w:sz w:val="36"/>
          <w:szCs w:val="36"/>
          <w:highlight w:val="none"/>
        </w:rPr>
      </w:pPr>
    </w:p>
    <w:p w14:paraId="23991C3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（1）报价单…………………………………………………………………………（页码）</w:t>
      </w:r>
    </w:p>
    <w:p w14:paraId="7F6F2E04">
      <w:pPr>
        <w:spacing w:line="360" w:lineRule="auto"/>
        <w:rPr>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报价情况说明（如有）</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14C0F56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）已标价工程量清单……………………………………………………………（页码）</w:t>
      </w:r>
    </w:p>
    <w:p w14:paraId="0DEAB8D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）中小企业声明函………………………………………………………………（页码）</w:t>
      </w:r>
    </w:p>
    <w:p w14:paraId="78292EED">
      <w:pPr>
        <w:snapToGrid w:val="0"/>
        <w:spacing w:line="360" w:lineRule="auto"/>
        <w:ind w:right="480"/>
        <w:jc w:val="center"/>
        <w:rPr>
          <w:rFonts w:ascii="宋体" w:hAnsi="宋体" w:cs="宋体"/>
          <w:b/>
          <w:color w:val="auto"/>
          <w:kern w:val="0"/>
          <w:sz w:val="32"/>
          <w:szCs w:val="32"/>
          <w:highlight w:val="none"/>
        </w:rPr>
      </w:pPr>
    </w:p>
    <w:p w14:paraId="5B877113">
      <w:pPr>
        <w:snapToGrid w:val="0"/>
        <w:spacing w:line="360" w:lineRule="auto"/>
        <w:ind w:right="480"/>
        <w:jc w:val="center"/>
        <w:rPr>
          <w:rFonts w:ascii="宋体" w:hAnsi="宋体" w:cs="宋体"/>
          <w:b/>
          <w:color w:val="auto"/>
          <w:kern w:val="0"/>
          <w:sz w:val="32"/>
          <w:szCs w:val="32"/>
          <w:highlight w:val="none"/>
        </w:rPr>
      </w:pPr>
    </w:p>
    <w:p w14:paraId="3FF0107B">
      <w:pPr>
        <w:snapToGrid w:val="0"/>
        <w:spacing w:line="360" w:lineRule="auto"/>
        <w:ind w:right="480"/>
        <w:jc w:val="center"/>
        <w:rPr>
          <w:rFonts w:ascii="宋体" w:hAnsi="宋体" w:cs="宋体"/>
          <w:b/>
          <w:color w:val="auto"/>
          <w:kern w:val="0"/>
          <w:sz w:val="32"/>
          <w:szCs w:val="32"/>
          <w:highlight w:val="none"/>
        </w:rPr>
      </w:pPr>
    </w:p>
    <w:p w14:paraId="09A8027F">
      <w:pPr>
        <w:snapToGrid w:val="0"/>
        <w:spacing w:line="360" w:lineRule="auto"/>
        <w:ind w:right="480"/>
        <w:jc w:val="center"/>
        <w:rPr>
          <w:rFonts w:ascii="宋体" w:hAnsi="宋体" w:cs="宋体"/>
          <w:b/>
          <w:color w:val="auto"/>
          <w:kern w:val="0"/>
          <w:sz w:val="32"/>
          <w:szCs w:val="32"/>
          <w:highlight w:val="none"/>
        </w:rPr>
      </w:pPr>
    </w:p>
    <w:p w14:paraId="30F028B5">
      <w:pPr>
        <w:snapToGrid w:val="0"/>
        <w:spacing w:line="360" w:lineRule="auto"/>
        <w:ind w:right="480"/>
        <w:jc w:val="center"/>
        <w:rPr>
          <w:rFonts w:ascii="宋体" w:hAnsi="宋体" w:cs="宋体"/>
          <w:b/>
          <w:color w:val="auto"/>
          <w:kern w:val="0"/>
          <w:sz w:val="32"/>
          <w:szCs w:val="32"/>
          <w:highlight w:val="none"/>
        </w:rPr>
      </w:pPr>
    </w:p>
    <w:p w14:paraId="3D361638">
      <w:pPr>
        <w:snapToGrid w:val="0"/>
        <w:spacing w:line="360" w:lineRule="auto"/>
        <w:ind w:right="480"/>
        <w:jc w:val="center"/>
        <w:rPr>
          <w:rFonts w:ascii="宋体" w:hAnsi="宋体" w:cs="宋体"/>
          <w:b/>
          <w:color w:val="auto"/>
          <w:kern w:val="0"/>
          <w:sz w:val="32"/>
          <w:szCs w:val="32"/>
          <w:highlight w:val="none"/>
        </w:rPr>
      </w:pPr>
    </w:p>
    <w:p w14:paraId="4F0CB4AA">
      <w:pPr>
        <w:snapToGrid w:val="0"/>
        <w:spacing w:line="360" w:lineRule="auto"/>
        <w:ind w:right="480"/>
        <w:jc w:val="center"/>
        <w:rPr>
          <w:rFonts w:ascii="宋体" w:hAnsi="宋体" w:cs="宋体"/>
          <w:b/>
          <w:color w:val="auto"/>
          <w:kern w:val="0"/>
          <w:sz w:val="32"/>
          <w:szCs w:val="32"/>
          <w:highlight w:val="none"/>
        </w:rPr>
      </w:pPr>
    </w:p>
    <w:p w14:paraId="18A9EDBD">
      <w:pPr>
        <w:snapToGrid w:val="0"/>
        <w:spacing w:line="360" w:lineRule="auto"/>
        <w:ind w:right="480"/>
        <w:jc w:val="center"/>
        <w:rPr>
          <w:rFonts w:ascii="宋体" w:hAnsi="宋体" w:cs="宋体"/>
          <w:b/>
          <w:color w:val="auto"/>
          <w:kern w:val="0"/>
          <w:sz w:val="32"/>
          <w:szCs w:val="32"/>
          <w:highlight w:val="none"/>
        </w:rPr>
      </w:pPr>
    </w:p>
    <w:p w14:paraId="73466EB9">
      <w:pPr>
        <w:snapToGrid w:val="0"/>
        <w:spacing w:line="360" w:lineRule="auto"/>
        <w:ind w:right="480"/>
        <w:jc w:val="center"/>
        <w:rPr>
          <w:rFonts w:ascii="宋体" w:hAnsi="宋体" w:cs="宋体"/>
          <w:b/>
          <w:color w:val="auto"/>
          <w:kern w:val="0"/>
          <w:sz w:val="32"/>
          <w:szCs w:val="32"/>
          <w:highlight w:val="none"/>
        </w:rPr>
      </w:pPr>
    </w:p>
    <w:p w14:paraId="5AE96C1C">
      <w:pPr>
        <w:snapToGrid w:val="0"/>
        <w:spacing w:line="360" w:lineRule="auto"/>
        <w:ind w:right="480"/>
        <w:jc w:val="center"/>
        <w:rPr>
          <w:rFonts w:ascii="宋体" w:hAnsi="宋体" w:cs="宋体"/>
          <w:b/>
          <w:color w:val="auto"/>
          <w:kern w:val="0"/>
          <w:sz w:val="32"/>
          <w:szCs w:val="32"/>
          <w:highlight w:val="none"/>
        </w:rPr>
      </w:pPr>
    </w:p>
    <w:p w14:paraId="79928E31">
      <w:pPr>
        <w:snapToGrid w:val="0"/>
        <w:spacing w:line="360" w:lineRule="auto"/>
        <w:ind w:right="480"/>
        <w:jc w:val="center"/>
        <w:rPr>
          <w:rFonts w:ascii="宋体" w:hAnsi="宋体" w:cs="宋体"/>
          <w:b/>
          <w:color w:val="auto"/>
          <w:kern w:val="0"/>
          <w:sz w:val="32"/>
          <w:szCs w:val="32"/>
          <w:highlight w:val="none"/>
        </w:rPr>
      </w:pPr>
    </w:p>
    <w:p w14:paraId="3F6792BE">
      <w:pPr>
        <w:snapToGrid w:val="0"/>
        <w:spacing w:line="360" w:lineRule="auto"/>
        <w:ind w:right="480"/>
        <w:jc w:val="center"/>
        <w:rPr>
          <w:rFonts w:ascii="宋体" w:hAnsi="宋体" w:cs="宋体"/>
          <w:b/>
          <w:color w:val="auto"/>
          <w:kern w:val="0"/>
          <w:sz w:val="32"/>
          <w:szCs w:val="32"/>
          <w:highlight w:val="none"/>
        </w:rPr>
      </w:pPr>
    </w:p>
    <w:p w14:paraId="7D196F6B">
      <w:pPr>
        <w:snapToGrid w:val="0"/>
        <w:spacing w:line="360" w:lineRule="auto"/>
        <w:ind w:right="480"/>
        <w:jc w:val="center"/>
        <w:rPr>
          <w:rFonts w:ascii="宋体" w:hAnsi="宋体" w:cs="宋体"/>
          <w:b/>
          <w:color w:val="auto"/>
          <w:kern w:val="0"/>
          <w:sz w:val="32"/>
          <w:szCs w:val="32"/>
          <w:highlight w:val="none"/>
        </w:rPr>
      </w:pPr>
    </w:p>
    <w:p w14:paraId="1024288F">
      <w:pPr>
        <w:snapToGrid w:val="0"/>
        <w:spacing w:line="360" w:lineRule="auto"/>
        <w:ind w:right="480"/>
        <w:jc w:val="center"/>
        <w:rPr>
          <w:rFonts w:ascii="宋体" w:hAnsi="宋体" w:cs="宋体"/>
          <w:b/>
          <w:color w:val="auto"/>
          <w:kern w:val="0"/>
          <w:sz w:val="32"/>
          <w:szCs w:val="32"/>
          <w:highlight w:val="none"/>
        </w:rPr>
      </w:pPr>
    </w:p>
    <w:p w14:paraId="223E2E92">
      <w:pPr>
        <w:snapToGrid w:val="0"/>
        <w:spacing w:line="360" w:lineRule="auto"/>
        <w:ind w:right="480"/>
        <w:jc w:val="center"/>
        <w:rPr>
          <w:rFonts w:ascii="宋体" w:hAnsi="宋体" w:cs="宋体"/>
          <w:b/>
          <w:color w:val="auto"/>
          <w:kern w:val="0"/>
          <w:sz w:val="32"/>
          <w:szCs w:val="32"/>
          <w:highlight w:val="none"/>
        </w:rPr>
      </w:pPr>
    </w:p>
    <w:p w14:paraId="28DCA022">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footerReference r:id="rId16" w:type="first"/>
          <w:headerReference r:id="rId14" w:type="default"/>
          <w:footerReference r:id="rId15" w:type="default"/>
          <w:pgSz w:w="11906" w:h="16838"/>
          <w:pgMar w:top="1440" w:right="1080" w:bottom="1440" w:left="1080" w:header="851" w:footer="992" w:gutter="0"/>
          <w:cols w:space="720" w:num="1"/>
          <w:titlePg/>
          <w:docGrid w:linePitch="312" w:charSpace="0"/>
        </w:sectPr>
      </w:pPr>
    </w:p>
    <w:p w14:paraId="2A055674">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一、报价单</w:t>
      </w:r>
    </w:p>
    <w:p w14:paraId="3F2C227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杭州市钱塘区金沙湖实验学校</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浙江省房地产管理咨询有限公司</w:t>
      </w:r>
      <w:r>
        <w:rPr>
          <w:rFonts w:hint="eastAsia" w:ascii="宋体" w:hAnsi="宋体" w:cs="宋体"/>
          <w:color w:val="auto"/>
          <w:kern w:val="0"/>
          <w:sz w:val="24"/>
          <w:highlight w:val="none"/>
          <w:lang w:val="zh-CN"/>
        </w:rPr>
        <w:t>：</w:t>
      </w:r>
    </w:p>
    <w:p w14:paraId="5FD3308E">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按你方采购文件要求，我们，本响应文件签字方，谨此向你方发出要约如下：如你方接受本投标，我方承诺按照如下报价单的价格完成</w:t>
      </w:r>
      <w:r>
        <w:rPr>
          <w:rFonts w:hint="eastAsia" w:ascii="宋体" w:hAnsi="宋体" w:cs="宋体"/>
          <w:color w:val="auto"/>
          <w:sz w:val="24"/>
          <w:highlight w:val="none"/>
          <w:lang w:eastAsia="zh-CN"/>
        </w:rPr>
        <w:t>杭州市钱塘区金沙湖实验学校2025年足球场改造工程</w:t>
      </w:r>
      <w:r>
        <w:rPr>
          <w:rFonts w:hint="eastAsia" w:ascii="宋体" w:hAnsi="宋体" w:cs="宋体"/>
          <w:color w:val="auto"/>
          <w:kern w:val="0"/>
          <w:sz w:val="24"/>
          <w:highlight w:val="none"/>
          <w:lang w:val="zh-CN"/>
        </w:rPr>
        <w:t>【项目编号：</w:t>
      </w:r>
      <w:r>
        <w:rPr>
          <w:rFonts w:hint="eastAsia" w:ascii="宋体" w:hAnsi="宋体" w:cs="宋体"/>
          <w:color w:val="auto"/>
          <w:sz w:val="24"/>
          <w:highlight w:val="none"/>
          <w:lang w:eastAsia="zh-CN"/>
        </w:rPr>
        <w:t xml:space="preserve"> QTCG-CS-2025-038</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1D65F292">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报价单(单位均为人民币元)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14:paraId="2C5BD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14:paraId="3A17828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项目名称</w:t>
            </w:r>
          </w:p>
        </w:tc>
        <w:tc>
          <w:tcPr>
            <w:tcW w:w="1843" w:type="dxa"/>
          </w:tcPr>
          <w:p w14:paraId="624A10C4">
            <w:pPr>
              <w:spacing w:line="360" w:lineRule="auto"/>
              <w:jc w:val="center"/>
              <w:rPr>
                <w:rFonts w:ascii="宋体" w:hAnsi="宋体" w:cs="宋体"/>
                <w:b/>
                <w:color w:val="auto"/>
                <w:sz w:val="24"/>
                <w:highlight w:val="none"/>
              </w:rPr>
            </w:pPr>
          </w:p>
          <w:p w14:paraId="20954D2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施工范围</w:t>
            </w:r>
          </w:p>
        </w:tc>
        <w:tc>
          <w:tcPr>
            <w:tcW w:w="3118" w:type="dxa"/>
            <w:vAlign w:val="center"/>
          </w:tcPr>
          <w:p w14:paraId="5CFA325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施工工期</w:t>
            </w:r>
          </w:p>
        </w:tc>
        <w:tc>
          <w:tcPr>
            <w:tcW w:w="2552" w:type="dxa"/>
            <w:vAlign w:val="center"/>
          </w:tcPr>
          <w:p w14:paraId="0E61BCF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项目经理</w:t>
            </w:r>
          </w:p>
        </w:tc>
        <w:tc>
          <w:tcPr>
            <w:tcW w:w="1984" w:type="dxa"/>
            <w:vAlign w:val="center"/>
          </w:tcPr>
          <w:p w14:paraId="21C6AEF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执业证书信息</w:t>
            </w:r>
          </w:p>
        </w:tc>
        <w:tc>
          <w:tcPr>
            <w:tcW w:w="3119" w:type="dxa"/>
            <w:vAlign w:val="center"/>
          </w:tcPr>
          <w:p w14:paraId="46E7D658">
            <w:pPr>
              <w:spacing w:line="360" w:lineRule="auto"/>
              <w:jc w:val="center"/>
              <w:rPr>
                <w:rFonts w:ascii="宋体" w:hAnsi="宋体" w:cs="宋体"/>
                <w:b/>
                <w:color w:val="auto"/>
                <w:sz w:val="24"/>
                <w:highlight w:val="none"/>
              </w:rPr>
            </w:pPr>
          </w:p>
          <w:p w14:paraId="672A6C4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76E2C733">
            <w:pPr>
              <w:spacing w:line="360" w:lineRule="auto"/>
              <w:jc w:val="center"/>
              <w:rPr>
                <w:rFonts w:ascii="宋体" w:hAnsi="宋体" w:cs="宋体"/>
                <w:b/>
                <w:color w:val="auto"/>
                <w:sz w:val="24"/>
                <w:highlight w:val="none"/>
              </w:rPr>
            </w:pPr>
          </w:p>
        </w:tc>
      </w:tr>
      <w:tr w14:paraId="02797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0AB00611">
            <w:pPr>
              <w:snapToGrid w:val="0"/>
              <w:spacing w:line="360" w:lineRule="auto"/>
              <w:jc w:val="center"/>
              <w:rPr>
                <w:rFonts w:ascii="宋体" w:hAnsi="宋体" w:cs="宋体"/>
                <w:color w:val="auto"/>
                <w:sz w:val="24"/>
                <w:highlight w:val="none"/>
              </w:rPr>
            </w:pPr>
          </w:p>
        </w:tc>
        <w:tc>
          <w:tcPr>
            <w:tcW w:w="1843" w:type="dxa"/>
            <w:vAlign w:val="center"/>
          </w:tcPr>
          <w:p w14:paraId="282541CF">
            <w:pPr>
              <w:snapToGrid w:val="0"/>
              <w:spacing w:line="360" w:lineRule="auto"/>
              <w:jc w:val="center"/>
              <w:rPr>
                <w:rFonts w:ascii="宋体" w:hAnsi="宋体" w:cs="宋体"/>
                <w:color w:val="auto"/>
                <w:sz w:val="24"/>
                <w:highlight w:val="none"/>
              </w:rPr>
            </w:pPr>
          </w:p>
        </w:tc>
        <w:tc>
          <w:tcPr>
            <w:tcW w:w="3118" w:type="dxa"/>
            <w:vAlign w:val="center"/>
          </w:tcPr>
          <w:p w14:paraId="5758E338">
            <w:pPr>
              <w:snapToGrid w:val="0"/>
              <w:spacing w:line="360" w:lineRule="auto"/>
              <w:jc w:val="center"/>
              <w:rPr>
                <w:rFonts w:ascii="宋体" w:hAnsi="宋体" w:cs="宋体"/>
                <w:color w:val="auto"/>
                <w:sz w:val="24"/>
                <w:highlight w:val="none"/>
              </w:rPr>
            </w:pPr>
          </w:p>
        </w:tc>
        <w:tc>
          <w:tcPr>
            <w:tcW w:w="2552" w:type="dxa"/>
            <w:vAlign w:val="center"/>
          </w:tcPr>
          <w:p w14:paraId="649964F8">
            <w:pPr>
              <w:spacing w:line="360" w:lineRule="auto"/>
              <w:jc w:val="center"/>
              <w:rPr>
                <w:rFonts w:ascii="宋体" w:hAnsi="宋体" w:cs="宋体"/>
                <w:color w:val="auto"/>
                <w:sz w:val="24"/>
                <w:highlight w:val="none"/>
              </w:rPr>
            </w:pPr>
          </w:p>
        </w:tc>
        <w:tc>
          <w:tcPr>
            <w:tcW w:w="1984" w:type="dxa"/>
            <w:vAlign w:val="center"/>
          </w:tcPr>
          <w:p w14:paraId="2B7D761C">
            <w:pPr>
              <w:spacing w:line="360" w:lineRule="auto"/>
              <w:jc w:val="center"/>
              <w:rPr>
                <w:rFonts w:ascii="宋体" w:hAnsi="宋体" w:cs="宋体"/>
                <w:color w:val="auto"/>
                <w:sz w:val="24"/>
                <w:highlight w:val="none"/>
              </w:rPr>
            </w:pPr>
          </w:p>
        </w:tc>
        <w:tc>
          <w:tcPr>
            <w:tcW w:w="3119" w:type="dxa"/>
            <w:vAlign w:val="center"/>
          </w:tcPr>
          <w:p w14:paraId="414F9F60">
            <w:pPr>
              <w:spacing w:line="360" w:lineRule="auto"/>
              <w:jc w:val="center"/>
              <w:rPr>
                <w:rFonts w:ascii="宋体" w:hAnsi="宋体" w:cs="宋体"/>
                <w:color w:val="auto"/>
                <w:sz w:val="24"/>
                <w:highlight w:val="none"/>
              </w:rPr>
            </w:pPr>
          </w:p>
        </w:tc>
      </w:tr>
      <w:tr w14:paraId="4D1EE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14:paraId="1B594EF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磋商报价（小写）</w:t>
            </w:r>
          </w:p>
        </w:tc>
        <w:tc>
          <w:tcPr>
            <w:tcW w:w="7655" w:type="dxa"/>
            <w:gridSpan w:val="3"/>
            <w:vAlign w:val="center"/>
          </w:tcPr>
          <w:p w14:paraId="094092DE">
            <w:pPr>
              <w:spacing w:line="360" w:lineRule="auto"/>
              <w:jc w:val="center"/>
              <w:rPr>
                <w:rFonts w:ascii="宋体" w:hAnsi="宋体" w:cs="宋体"/>
                <w:color w:val="auto"/>
                <w:sz w:val="24"/>
                <w:highlight w:val="none"/>
              </w:rPr>
            </w:pPr>
          </w:p>
        </w:tc>
      </w:tr>
      <w:tr w14:paraId="00BFA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14:paraId="5768090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磋商报价（大写）</w:t>
            </w:r>
          </w:p>
        </w:tc>
        <w:tc>
          <w:tcPr>
            <w:tcW w:w="7655" w:type="dxa"/>
            <w:gridSpan w:val="3"/>
            <w:vAlign w:val="center"/>
          </w:tcPr>
          <w:p w14:paraId="141D599A">
            <w:pPr>
              <w:spacing w:line="360" w:lineRule="auto"/>
              <w:jc w:val="center"/>
              <w:rPr>
                <w:rFonts w:ascii="宋体" w:hAnsi="宋体" w:cs="宋体"/>
                <w:color w:val="auto"/>
                <w:sz w:val="24"/>
                <w:highlight w:val="none"/>
              </w:rPr>
            </w:pPr>
          </w:p>
        </w:tc>
      </w:tr>
    </w:tbl>
    <w:p w14:paraId="376FC17C">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690DF7DE">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响应文件含有采购人不能接受的附加条件，响应文件无效</w:t>
      </w:r>
      <w:r>
        <w:rPr>
          <w:rFonts w:hint="eastAsia" w:ascii="宋体" w:hAnsi="宋体" w:cs="宋体"/>
          <w:color w:val="auto"/>
          <w:kern w:val="0"/>
          <w:sz w:val="24"/>
          <w:highlight w:val="none"/>
          <w:lang w:val="zh-CN"/>
        </w:rPr>
        <w:t>。</w:t>
      </w:r>
    </w:p>
    <w:p w14:paraId="3B22E38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w:t>
      </w:r>
      <w:r>
        <w:rPr>
          <w:rFonts w:hint="eastAsia" w:ascii="宋体" w:hAnsi="宋体" w:cs="宋体"/>
          <w:color w:val="auto"/>
          <w:kern w:val="0"/>
          <w:sz w:val="24"/>
          <w:lang w:val="zh-CN"/>
        </w:rPr>
        <w:t>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lang w:val="zh-CN"/>
        </w:rPr>
        <w:t>采购内容未包含在《报价单》名称栏中，供应商不能作出合理解释的，</w:t>
      </w:r>
      <w:r>
        <w:rPr>
          <w:rFonts w:hint="eastAsia" w:ascii="宋体" w:hAnsi="宋体" w:cs="宋体"/>
          <w:b/>
          <w:color w:val="auto"/>
          <w:kern w:val="0"/>
          <w:sz w:val="24"/>
        </w:rPr>
        <w:t>视为</w:t>
      </w:r>
      <w:r>
        <w:rPr>
          <w:rFonts w:hint="eastAsia" w:ascii="宋体" w:hAnsi="宋体" w:cs="宋体"/>
          <w:b/>
          <w:color w:val="auto"/>
          <w:sz w:val="24"/>
        </w:rPr>
        <w:t>响应文件含有采购人不能接受的附加条件的，响应文件无效。</w:t>
      </w:r>
    </w:p>
    <w:p w14:paraId="0067116D">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3、特别提示：采购机构将对项目名称和项目编号，成交供应商名称、地址和成交金额、施工范围、施工工期、项目经理、执业证书信息、品牌（如果有）、规格型号、数量、单价等予以公示。</w:t>
      </w:r>
    </w:p>
    <w:p w14:paraId="1E1CC958">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68A134D6">
      <w:pPr>
        <w:spacing w:line="360" w:lineRule="auto"/>
        <w:ind w:firstLine="482" w:firstLineChars="200"/>
        <w:rPr>
          <w:rFonts w:ascii="宋体" w:hAnsi="宋体" w:cs="宋体"/>
          <w:b/>
          <w:color w:val="auto"/>
          <w:kern w:val="0"/>
          <w:sz w:val="24"/>
          <w:highlight w:val="none"/>
        </w:rPr>
      </w:pPr>
    </w:p>
    <w:p w14:paraId="3DA6CEC1">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036269A2">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40" w:right="1080" w:bottom="1440" w:left="1080" w:header="851" w:footer="992" w:gutter="0"/>
          <w:cols w:space="720" w:num="1"/>
          <w:titlePg/>
          <w:docGrid w:linePitch="312" w:charSpace="0"/>
        </w:sectPr>
      </w:pPr>
    </w:p>
    <w:p w14:paraId="483E6C04">
      <w:pPr>
        <w:pStyle w:val="694"/>
        <w:keepNext w:val="0"/>
        <w:pageBreakBefore/>
        <w:tabs>
          <w:tab w:val="clear" w:pos="720"/>
        </w:tabs>
        <w:snapToGrid w:val="0"/>
        <w:spacing w:before="120" w:after="12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14:paraId="46A41BDD">
      <w:pPr>
        <w:keepNext w:val="0"/>
        <w:pageBreakBefore w:val="0"/>
        <w:snapToGrid w:val="0"/>
        <w:spacing w:before="120" w:after="120"/>
        <w:outlineLvl w:val="9"/>
        <w:rPr>
          <w:rFonts w:hint="eastAsia"/>
          <w:color w:val="auto"/>
          <w:highlight w:val="none"/>
          <w:lang w:val="en-US" w:eastAsia="zh-CN"/>
        </w:rPr>
      </w:pPr>
    </w:p>
    <w:p w14:paraId="10DE882C">
      <w:pPr>
        <w:keepNext w:val="0"/>
        <w:pageBreakBefore w:val="0"/>
        <w:tabs>
          <w:tab w:val="left" w:pos="1313"/>
        </w:tabs>
        <w:snapToGrid w:val="0"/>
        <w:spacing w:before="120" w:after="120"/>
        <w:jc w:val="left"/>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11955609">
      <w:pPr>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br w:type="page"/>
      </w:r>
    </w:p>
    <w:p w14:paraId="751C67BB">
      <w:pPr>
        <w:pStyle w:val="694"/>
        <w:keepNext w:val="0"/>
        <w:pageBreakBefore w:val="0"/>
        <w:tabs>
          <w:tab w:val="clear" w:pos="720"/>
        </w:tabs>
        <w:snapToGrid w:val="0"/>
        <w:spacing w:before="120" w:after="120"/>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lang w:eastAsia="zh-CN"/>
        </w:rPr>
        <w:t>三</w:t>
      </w:r>
      <w:r>
        <w:rPr>
          <w:rFonts w:hint="eastAsia" w:ascii="宋体" w:hAnsi="宋体" w:eastAsia="宋体" w:cs="宋体"/>
          <w:color w:val="auto"/>
          <w:kern w:val="2"/>
          <w:sz w:val="32"/>
          <w:szCs w:val="32"/>
          <w:highlight w:val="none"/>
        </w:rPr>
        <w:t>、已标价工程量清单</w:t>
      </w:r>
    </w:p>
    <w:p w14:paraId="275BEB65">
      <w:pPr>
        <w:ind w:right="420"/>
        <w:rPr>
          <w:rFonts w:ascii="宋体" w:hAnsi="宋体" w:cs="宋体"/>
          <w:color w:val="auto"/>
          <w:sz w:val="24"/>
          <w:highlight w:val="none"/>
        </w:rPr>
      </w:pPr>
      <w:r>
        <w:rPr>
          <w:rFonts w:hint="eastAsia" w:ascii="宋体" w:hAnsi="宋体" w:cs="宋体"/>
          <w:color w:val="auto"/>
          <w:sz w:val="24"/>
          <w:highlight w:val="none"/>
        </w:rPr>
        <w:t xml:space="preserve">注：按采购文件工程量清单编制 </w:t>
      </w:r>
    </w:p>
    <w:p w14:paraId="4BF00DFA">
      <w:pPr>
        <w:pStyle w:val="28"/>
        <w:ind w:firstLine="480"/>
        <w:rPr>
          <w:rFonts w:cs="宋体"/>
          <w:color w:val="auto"/>
          <w:sz w:val="24"/>
          <w:highlight w:val="none"/>
        </w:rPr>
      </w:pPr>
    </w:p>
    <w:p w14:paraId="30700DFA">
      <w:pPr>
        <w:pStyle w:val="28"/>
        <w:ind w:firstLine="420"/>
        <w:rPr>
          <w:rFonts w:cs="宋体"/>
          <w:color w:val="auto"/>
          <w:sz w:val="24"/>
          <w:highlight w:val="none"/>
        </w:rPr>
        <w:sectPr>
          <w:footerReference r:id="rId20" w:type="first"/>
          <w:headerReference r:id="rId17" w:type="default"/>
          <w:footerReference r:id="rId18" w:type="default"/>
          <w:footerReference r:id="rId19" w:type="even"/>
          <w:pgSz w:w="11906" w:h="16838"/>
          <w:pgMar w:top="1440" w:right="1080" w:bottom="1440" w:left="1080" w:header="851" w:footer="992" w:gutter="0"/>
          <w:cols w:space="720" w:num="1"/>
          <w:titlePg/>
          <w:docGrid w:linePitch="312" w:charSpace="0"/>
        </w:sectPr>
      </w:pPr>
    </w:p>
    <w:p w14:paraId="0D1D4559">
      <w:pPr>
        <w:pStyle w:val="694"/>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eastAsia="zh-CN"/>
        </w:rPr>
        <w:t>四</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p>
    <w:p w14:paraId="0C0B314D">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4177B134">
      <w:pPr>
        <w:pStyle w:val="694"/>
        <w:keepNext w:val="0"/>
        <w:pageBreakBefore w:val="0"/>
        <w:tabs>
          <w:tab w:val="clear" w:pos="720"/>
        </w:tabs>
        <w:snapToGrid w:val="0"/>
        <w:spacing w:before="120" w:after="120"/>
        <w:jc w:val="both"/>
        <w:outlineLvl w:val="9"/>
        <w:rPr>
          <w:rFonts w:ascii="宋体" w:hAnsi="宋体" w:eastAsia="宋体" w:cs="宋体"/>
          <w:b w:val="0"/>
          <w:color w:val="auto"/>
          <w:sz w:val="32"/>
          <w:szCs w:val="32"/>
          <w:highlight w:val="non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lang w:eastAsia="zh-CN"/>
        </w:rPr>
        <w:t>杭州市钱塘区金沙湖实验学校2025年足球场改造工程</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建筑业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14:paraId="3346E26A">
      <w:pPr>
        <w:spacing w:line="360" w:lineRule="auto"/>
        <w:ind w:right="420" w:firstLine="3614" w:firstLineChars="1000"/>
        <w:rPr>
          <w:rFonts w:ascii="宋体" w:hAnsi="宋体" w:cs="宋体"/>
          <w:b/>
          <w:color w:val="auto"/>
          <w:kern w:val="0"/>
          <w:sz w:val="36"/>
          <w:szCs w:val="36"/>
          <w:highlight w:val="none"/>
        </w:rPr>
      </w:pPr>
    </w:p>
    <w:p w14:paraId="5DA01AF6">
      <w:pPr>
        <w:spacing w:line="360" w:lineRule="auto"/>
        <w:ind w:right="420" w:firstLine="3614" w:firstLineChars="1000"/>
        <w:rPr>
          <w:rFonts w:ascii="宋体" w:hAnsi="宋体" w:cs="宋体"/>
          <w:b/>
          <w:color w:val="auto"/>
          <w:kern w:val="0"/>
          <w:sz w:val="36"/>
          <w:szCs w:val="36"/>
          <w:highlight w:val="none"/>
        </w:rPr>
      </w:pPr>
    </w:p>
    <w:p w14:paraId="78C8050F">
      <w:pPr>
        <w:spacing w:line="360" w:lineRule="auto"/>
        <w:ind w:right="420" w:firstLine="3614" w:firstLineChars="1000"/>
        <w:rPr>
          <w:rFonts w:ascii="宋体" w:hAnsi="宋体" w:cs="宋体"/>
          <w:b/>
          <w:color w:val="auto"/>
          <w:kern w:val="0"/>
          <w:sz w:val="36"/>
          <w:szCs w:val="36"/>
          <w:highlight w:val="none"/>
        </w:rPr>
      </w:pPr>
    </w:p>
    <w:p w14:paraId="6B948444">
      <w:pPr>
        <w:spacing w:line="360" w:lineRule="auto"/>
        <w:ind w:right="420" w:firstLine="3614" w:firstLineChars="1000"/>
        <w:rPr>
          <w:rFonts w:ascii="宋体" w:hAnsi="宋体" w:cs="宋体"/>
          <w:b/>
          <w:color w:val="auto"/>
          <w:kern w:val="0"/>
          <w:sz w:val="36"/>
          <w:szCs w:val="36"/>
          <w:highlight w:val="none"/>
        </w:rPr>
      </w:pPr>
    </w:p>
    <w:p w14:paraId="4D0C2E6B">
      <w:pPr>
        <w:spacing w:line="360" w:lineRule="auto"/>
        <w:ind w:right="420" w:firstLine="3614" w:firstLineChars="1000"/>
        <w:rPr>
          <w:rFonts w:ascii="宋体" w:hAnsi="宋体" w:cs="宋体"/>
          <w:b/>
          <w:color w:val="auto"/>
          <w:kern w:val="0"/>
          <w:sz w:val="36"/>
          <w:szCs w:val="36"/>
          <w:highlight w:val="none"/>
        </w:rPr>
      </w:pPr>
    </w:p>
    <w:p w14:paraId="1A1A8AB0">
      <w:pPr>
        <w:spacing w:line="360" w:lineRule="auto"/>
        <w:ind w:right="420" w:firstLine="3614" w:firstLineChars="1000"/>
        <w:rPr>
          <w:rFonts w:ascii="宋体" w:hAnsi="宋体" w:cs="宋体"/>
          <w:b/>
          <w:color w:val="auto"/>
          <w:kern w:val="0"/>
          <w:sz w:val="36"/>
          <w:szCs w:val="36"/>
          <w:highlight w:val="none"/>
        </w:rPr>
      </w:pPr>
    </w:p>
    <w:p w14:paraId="4FF3422D">
      <w:pPr>
        <w:spacing w:line="360" w:lineRule="auto"/>
        <w:ind w:right="420" w:firstLine="3614" w:firstLineChars="1000"/>
        <w:rPr>
          <w:rFonts w:ascii="宋体" w:hAnsi="宋体" w:cs="宋体"/>
          <w:b/>
          <w:color w:val="auto"/>
          <w:kern w:val="0"/>
          <w:sz w:val="36"/>
          <w:szCs w:val="36"/>
          <w:highlight w:val="none"/>
        </w:rPr>
      </w:pPr>
    </w:p>
    <w:p w14:paraId="0CCE4E2E">
      <w:pPr>
        <w:spacing w:line="360" w:lineRule="auto"/>
        <w:ind w:right="420" w:firstLine="3614" w:firstLineChars="1000"/>
        <w:rPr>
          <w:rFonts w:ascii="宋体" w:hAnsi="宋体" w:cs="宋体"/>
          <w:b/>
          <w:color w:val="auto"/>
          <w:kern w:val="0"/>
          <w:sz w:val="36"/>
          <w:szCs w:val="36"/>
          <w:highlight w:val="none"/>
        </w:rPr>
      </w:pPr>
    </w:p>
    <w:p w14:paraId="5CB8680D">
      <w:pPr>
        <w:spacing w:line="360" w:lineRule="auto"/>
        <w:ind w:right="420" w:firstLine="3614" w:firstLineChars="1000"/>
        <w:rPr>
          <w:rFonts w:ascii="宋体" w:hAnsi="宋体" w:cs="宋体"/>
          <w:b/>
          <w:color w:val="auto"/>
          <w:kern w:val="0"/>
          <w:sz w:val="36"/>
          <w:szCs w:val="36"/>
          <w:highlight w:val="none"/>
        </w:rPr>
      </w:pPr>
    </w:p>
    <w:p w14:paraId="4A171F58">
      <w:pPr>
        <w:spacing w:line="360" w:lineRule="auto"/>
        <w:ind w:right="420" w:firstLine="3614" w:firstLineChars="1000"/>
        <w:rPr>
          <w:rFonts w:ascii="宋体" w:hAnsi="宋体" w:cs="宋体"/>
          <w:b/>
          <w:color w:val="auto"/>
          <w:kern w:val="0"/>
          <w:sz w:val="36"/>
          <w:szCs w:val="36"/>
          <w:highlight w:val="none"/>
        </w:rPr>
      </w:pPr>
    </w:p>
    <w:p w14:paraId="47BB9216">
      <w:pPr>
        <w:spacing w:line="360" w:lineRule="auto"/>
        <w:ind w:right="420" w:firstLine="3614" w:firstLineChars="1000"/>
        <w:rPr>
          <w:rFonts w:ascii="宋体" w:hAnsi="宋体" w:cs="宋体"/>
          <w:b/>
          <w:color w:val="auto"/>
          <w:kern w:val="0"/>
          <w:sz w:val="36"/>
          <w:szCs w:val="36"/>
          <w:highlight w:val="none"/>
        </w:rPr>
      </w:pPr>
    </w:p>
    <w:p w14:paraId="6C025C0C">
      <w:pPr>
        <w:spacing w:line="360" w:lineRule="auto"/>
        <w:ind w:right="420" w:firstLine="3614" w:firstLineChars="1000"/>
        <w:rPr>
          <w:rFonts w:ascii="宋体" w:hAnsi="宋体" w:cs="宋体"/>
          <w:b/>
          <w:color w:val="auto"/>
          <w:kern w:val="0"/>
          <w:sz w:val="36"/>
          <w:szCs w:val="36"/>
          <w:highlight w:val="none"/>
        </w:rPr>
      </w:pPr>
    </w:p>
    <w:p w14:paraId="6404C51D">
      <w:pPr>
        <w:spacing w:line="360" w:lineRule="auto"/>
        <w:ind w:right="420" w:firstLine="3614" w:firstLineChars="1000"/>
        <w:rPr>
          <w:rFonts w:ascii="宋体" w:hAnsi="宋体" w:cs="宋体"/>
          <w:b/>
          <w:color w:val="auto"/>
          <w:kern w:val="0"/>
          <w:sz w:val="36"/>
          <w:szCs w:val="36"/>
          <w:highlight w:val="none"/>
        </w:rPr>
      </w:pPr>
    </w:p>
    <w:p w14:paraId="36DD2F1A">
      <w:pPr>
        <w:spacing w:line="360" w:lineRule="auto"/>
        <w:ind w:right="420" w:firstLine="3614" w:firstLineChars="1000"/>
        <w:rPr>
          <w:rFonts w:ascii="宋体" w:hAnsi="宋体" w:cs="宋体"/>
          <w:b/>
          <w:color w:val="auto"/>
          <w:kern w:val="0"/>
          <w:sz w:val="36"/>
          <w:szCs w:val="36"/>
          <w:highlight w:val="none"/>
        </w:rPr>
      </w:pPr>
    </w:p>
    <w:p w14:paraId="4563E6D0">
      <w:pPr>
        <w:spacing w:line="360" w:lineRule="auto"/>
        <w:ind w:right="420" w:firstLine="3614" w:firstLineChars="1000"/>
        <w:rPr>
          <w:rFonts w:ascii="宋体" w:hAnsi="宋体" w:cs="宋体"/>
          <w:b/>
          <w:color w:val="auto"/>
          <w:kern w:val="0"/>
          <w:sz w:val="36"/>
          <w:szCs w:val="36"/>
          <w:highlight w:val="none"/>
        </w:rPr>
      </w:pPr>
    </w:p>
    <w:p w14:paraId="51FA627B">
      <w:pPr>
        <w:spacing w:line="240" w:lineRule="auto"/>
        <w:jc w:val="left"/>
        <w:rPr>
          <w:rFonts w:ascii="宋体" w:hAnsi="宋体" w:cs="宋体"/>
          <w:b/>
          <w:color w:val="auto"/>
          <w:sz w:val="32"/>
          <w:szCs w:val="32"/>
          <w:highlight w:val="none"/>
        </w:rPr>
      </w:pPr>
      <w:r>
        <w:rPr>
          <w:rFonts w:hint="eastAsia" w:ascii="宋体" w:hAnsi="宋体" w:cs="宋体"/>
          <w:b/>
          <w:color w:val="auto"/>
          <w:sz w:val="32"/>
          <w:szCs w:val="32"/>
          <w:highlight w:val="none"/>
        </w:rPr>
        <w:br w:type="page"/>
      </w:r>
    </w:p>
    <w:p w14:paraId="3E8BC559">
      <w:pPr>
        <w:spacing w:line="360" w:lineRule="auto"/>
        <w:jc w:val="center"/>
        <w:rPr>
          <w:rFonts w:hint="eastAsia" w:ascii="宋体" w:hAnsi="宋体" w:eastAsia="宋体" w:cs="宋体"/>
          <w:b/>
          <w:color w:val="auto"/>
          <w:szCs w:val="21"/>
          <w:highlight w:val="none"/>
        </w:rPr>
      </w:pPr>
      <w:bookmarkStart w:id="1193" w:name="_Toc465665161"/>
      <w:r>
        <w:rPr>
          <w:rFonts w:hint="eastAsia" w:ascii="宋体" w:hAnsi="宋体" w:eastAsia="宋体" w:cs="宋体"/>
          <w:b/>
          <w:color w:val="auto"/>
          <w:szCs w:val="21"/>
          <w:highlight w:val="none"/>
        </w:rPr>
        <w:t>关于钱塘区政府采购支持中小企业信用融资相关事项通知</w:t>
      </w:r>
    </w:p>
    <w:p w14:paraId="6ED0A9E9">
      <w:pPr>
        <w:spacing w:line="360" w:lineRule="auto"/>
        <w:jc w:val="center"/>
        <w:rPr>
          <w:rFonts w:hint="eastAsia" w:ascii="宋体" w:hAnsi="宋体" w:eastAsia="宋体" w:cs="宋体"/>
          <w:b/>
          <w:color w:val="auto"/>
          <w:szCs w:val="21"/>
          <w:highlight w:val="none"/>
        </w:rPr>
      </w:pPr>
    </w:p>
    <w:p w14:paraId="45516C08">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为支持和促进中小企业发展，进一步发挥政府采购政策功能，根据《杭州市政府采购支持中小企业信用融资管理办法》《关于钱塘新区政府采购支持中小企业信用融资有关事项的通知》，现将相关事项通知如下：</w:t>
      </w:r>
    </w:p>
    <w:p w14:paraId="1716CE89">
      <w:pPr>
        <w:snapToGrid w:val="0"/>
        <w:spacing w:line="360" w:lineRule="auto"/>
        <w:ind w:firstLine="482" w:firstLineChars="200"/>
        <w:jc w:val="left"/>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一、适用对象</w:t>
      </w:r>
    </w:p>
    <w:p w14:paraId="5C74BE6B">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在浙江“政采云”平台注册入库，并取得钱塘区政府采购合同的中小企业供应商。</w:t>
      </w:r>
    </w:p>
    <w:p w14:paraId="5ABF7565">
      <w:pPr>
        <w:snapToGrid w:val="0"/>
        <w:spacing w:line="360" w:lineRule="auto"/>
        <w:ind w:firstLine="482" w:firstLineChars="200"/>
        <w:jc w:val="left"/>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二、相关信息获取方式</w:t>
      </w:r>
    </w:p>
    <w:p w14:paraId="12F7CD84">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请登陆杭州钱塘新区管理委员会官网（http://qt.hangzhou.gov.cn） “公告公示”专栏，查看信用融资政策文件及各相关银行服务方案。</w:t>
      </w:r>
    </w:p>
    <w:p w14:paraId="7FD08CFB">
      <w:pPr>
        <w:snapToGrid w:val="0"/>
        <w:spacing w:line="360" w:lineRule="auto"/>
        <w:ind w:firstLine="482" w:firstLineChars="200"/>
        <w:jc w:val="left"/>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三、申请方式和步骤</w:t>
      </w:r>
    </w:p>
    <w:p w14:paraId="2ECB2CD6">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1、供应商若有融资意向，需先与钱塘区财政局合作的银行对接，办理相关融资前期手续；</w:t>
      </w:r>
    </w:p>
    <w:p w14:paraId="6128851F">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2、中标后，供应商应与采购单位或者采购代理机构及时联系，告知融资需求；</w:t>
      </w:r>
    </w:p>
    <w:p w14:paraId="7E52E7FC">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3、相关合作银行联系并审核供应商及相关中标信息，办理相关融资事宜；</w:t>
      </w:r>
    </w:p>
    <w:p w14:paraId="7162F03D">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zh-CN"/>
        </w:rPr>
        <w:t>、采购单位应及时将信用融资合同提交备案。</w:t>
      </w:r>
    </w:p>
    <w:p w14:paraId="79EE11C8">
      <w:pPr>
        <w:snapToGrid w:val="0"/>
        <w:spacing w:line="360" w:lineRule="auto"/>
        <w:ind w:firstLine="482" w:firstLineChars="200"/>
        <w:jc w:val="left"/>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四、注意事项</w:t>
      </w:r>
    </w:p>
    <w:p w14:paraId="60695325">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请各采购单位和采购代理机构积极支持和配合政府采购信用融资工作，在合同备案环节务必请仔细核对收款银行、账号信息等内容。</w:t>
      </w:r>
    </w:p>
    <w:p w14:paraId="39705F64">
      <w:pPr>
        <w:snapToGrid w:val="0"/>
        <w:spacing w:line="360" w:lineRule="auto"/>
        <w:ind w:firstLine="482" w:firstLineChars="200"/>
        <w:jc w:val="left"/>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五、合作银行及联系方式</w:t>
      </w:r>
    </w:p>
    <w:tbl>
      <w:tblPr>
        <w:tblStyle w:val="63"/>
        <w:tblW w:w="9960" w:type="dxa"/>
        <w:tblInd w:w="0" w:type="dxa"/>
        <w:tblLayout w:type="fixed"/>
        <w:tblCellMar>
          <w:top w:w="0" w:type="dxa"/>
          <w:left w:w="108" w:type="dxa"/>
          <w:bottom w:w="0" w:type="dxa"/>
          <w:right w:w="108" w:type="dxa"/>
        </w:tblCellMar>
      </w:tblPr>
      <w:tblGrid>
        <w:gridCol w:w="1229"/>
        <w:gridCol w:w="3442"/>
        <w:gridCol w:w="1618"/>
        <w:gridCol w:w="3671"/>
      </w:tblGrid>
      <w:tr w14:paraId="144D68A7">
        <w:tblPrEx>
          <w:tblCellMar>
            <w:top w:w="0" w:type="dxa"/>
            <w:left w:w="108" w:type="dxa"/>
            <w:bottom w:w="0" w:type="dxa"/>
            <w:right w:w="108" w:type="dxa"/>
          </w:tblCellMar>
        </w:tblPrEx>
        <w:trPr>
          <w:trHeight w:val="750" w:hRule="atLeast"/>
        </w:trPr>
        <w:tc>
          <w:tcPr>
            <w:tcW w:w="1229" w:type="dxa"/>
            <w:tcBorders>
              <w:top w:val="single" w:color="auto" w:sz="4" w:space="0"/>
              <w:left w:val="single" w:color="auto" w:sz="4" w:space="0"/>
              <w:bottom w:val="single" w:color="auto" w:sz="4" w:space="0"/>
              <w:right w:val="single" w:color="auto" w:sz="4" w:space="0"/>
            </w:tcBorders>
            <w:vAlign w:val="center"/>
          </w:tcPr>
          <w:p w14:paraId="0A8D701C">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3442" w:type="dxa"/>
            <w:tcBorders>
              <w:top w:val="single" w:color="auto" w:sz="4" w:space="0"/>
              <w:left w:val="nil"/>
              <w:bottom w:val="single" w:color="auto" w:sz="4" w:space="0"/>
              <w:right w:val="single" w:color="auto" w:sz="4" w:space="0"/>
            </w:tcBorders>
            <w:vAlign w:val="center"/>
          </w:tcPr>
          <w:p w14:paraId="0D22C364">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银行</w:t>
            </w:r>
          </w:p>
        </w:tc>
        <w:tc>
          <w:tcPr>
            <w:tcW w:w="1618" w:type="dxa"/>
            <w:tcBorders>
              <w:top w:val="single" w:color="auto" w:sz="4" w:space="0"/>
              <w:left w:val="nil"/>
              <w:bottom w:val="single" w:color="auto" w:sz="4" w:space="0"/>
              <w:right w:val="single" w:color="auto" w:sz="4" w:space="0"/>
            </w:tcBorders>
            <w:vAlign w:val="center"/>
          </w:tcPr>
          <w:p w14:paraId="1CD98C84">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联系人</w:t>
            </w:r>
          </w:p>
        </w:tc>
        <w:tc>
          <w:tcPr>
            <w:tcW w:w="3671" w:type="dxa"/>
            <w:tcBorders>
              <w:top w:val="single" w:color="auto" w:sz="4" w:space="0"/>
              <w:left w:val="nil"/>
              <w:bottom w:val="single" w:color="auto" w:sz="4" w:space="0"/>
              <w:right w:val="single" w:color="auto" w:sz="4" w:space="0"/>
            </w:tcBorders>
            <w:vAlign w:val="center"/>
          </w:tcPr>
          <w:p w14:paraId="7470BED3">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电话</w:t>
            </w:r>
          </w:p>
        </w:tc>
      </w:tr>
      <w:tr w14:paraId="3207D57F">
        <w:tblPrEx>
          <w:tblCellMar>
            <w:top w:w="0" w:type="dxa"/>
            <w:left w:w="108" w:type="dxa"/>
            <w:bottom w:w="0" w:type="dxa"/>
            <w:right w:w="108" w:type="dxa"/>
          </w:tblCellMar>
        </w:tblPrEx>
        <w:trPr>
          <w:trHeight w:val="540" w:hRule="atLeast"/>
        </w:trPr>
        <w:tc>
          <w:tcPr>
            <w:tcW w:w="1229" w:type="dxa"/>
            <w:tcBorders>
              <w:top w:val="nil"/>
              <w:left w:val="single" w:color="auto" w:sz="4" w:space="0"/>
              <w:bottom w:val="single" w:color="auto" w:sz="4" w:space="0"/>
              <w:right w:val="single" w:color="auto" w:sz="4" w:space="0"/>
            </w:tcBorders>
            <w:vAlign w:val="center"/>
          </w:tcPr>
          <w:p w14:paraId="4C6530CF">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1</w:t>
            </w:r>
          </w:p>
        </w:tc>
        <w:tc>
          <w:tcPr>
            <w:tcW w:w="3442" w:type="dxa"/>
            <w:tcBorders>
              <w:top w:val="nil"/>
              <w:left w:val="nil"/>
              <w:bottom w:val="single" w:color="auto" w:sz="4" w:space="0"/>
              <w:right w:val="single" w:color="auto" w:sz="4" w:space="0"/>
            </w:tcBorders>
            <w:vAlign w:val="center"/>
          </w:tcPr>
          <w:p w14:paraId="2412F550">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建设银行钱塘支行</w:t>
            </w:r>
          </w:p>
        </w:tc>
        <w:tc>
          <w:tcPr>
            <w:tcW w:w="1618" w:type="dxa"/>
            <w:tcBorders>
              <w:top w:val="nil"/>
              <w:left w:val="nil"/>
              <w:bottom w:val="single" w:color="auto" w:sz="4" w:space="0"/>
              <w:right w:val="single" w:color="auto" w:sz="4" w:space="0"/>
            </w:tcBorders>
            <w:vAlign w:val="center"/>
          </w:tcPr>
          <w:p w14:paraId="541D495F">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张苏航</w:t>
            </w:r>
          </w:p>
        </w:tc>
        <w:tc>
          <w:tcPr>
            <w:tcW w:w="3671" w:type="dxa"/>
            <w:tcBorders>
              <w:top w:val="nil"/>
              <w:left w:val="nil"/>
              <w:bottom w:val="single" w:color="auto" w:sz="4" w:space="0"/>
              <w:right w:val="single" w:color="auto" w:sz="4" w:space="0"/>
            </w:tcBorders>
            <w:vAlign w:val="center"/>
          </w:tcPr>
          <w:p w14:paraId="6D336982">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13065710830</w:t>
            </w:r>
          </w:p>
        </w:tc>
      </w:tr>
      <w:tr w14:paraId="74846AAE">
        <w:tblPrEx>
          <w:tblCellMar>
            <w:top w:w="0" w:type="dxa"/>
            <w:left w:w="108" w:type="dxa"/>
            <w:bottom w:w="0" w:type="dxa"/>
            <w:right w:w="108" w:type="dxa"/>
          </w:tblCellMar>
        </w:tblPrEx>
        <w:trPr>
          <w:trHeight w:val="540" w:hRule="atLeast"/>
        </w:trPr>
        <w:tc>
          <w:tcPr>
            <w:tcW w:w="1229" w:type="dxa"/>
            <w:tcBorders>
              <w:top w:val="nil"/>
              <w:left w:val="single" w:color="auto" w:sz="4" w:space="0"/>
              <w:bottom w:val="single" w:color="auto" w:sz="4" w:space="0"/>
              <w:right w:val="single" w:color="auto" w:sz="4" w:space="0"/>
            </w:tcBorders>
            <w:vAlign w:val="center"/>
          </w:tcPr>
          <w:p w14:paraId="509DBD35">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2</w:t>
            </w:r>
          </w:p>
        </w:tc>
        <w:tc>
          <w:tcPr>
            <w:tcW w:w="3442" w:type="dxa"/>
            <w:tcBorders>
              <w:top w:val="nil"/>
              <w:left w:val="nil"/>
              <w:bottom w:val="single" w:color="auto" w:sz="4" w:space="0"/>
              <w:right w:val="single" w:color="auto" w:sz="4" w:space="0"/>
            </w:tcBorders>
            <w:vAlign w:val="center"/>
          </w:tcPr>
          <w:p w14:paraId="67BA7D87">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中信银行开发支行</w:t>
            </w:r>
          </w:p>
        </w:tc>
        <w:tc>
          <w:tcPr>
            <w:tcW w:w="1618" w:type="dxa"/>
            <w:tcBorders>
              <w:top w:val="nil"/>
              <w:left w:val="nil"/>
              <w:bottom w:val="single" w:color="auto" w:sz="4" w:space="0"/>
              <w:right w:val="single" w:color="auto" w:sz="4" w:space="0"/>
            </w:tcBorders>
            <w:vAlign w:val="center"/>
          </w:tcPr>
          <w:p w14:paraId="071C2D63">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左劼</w:t>
            </w:r>
          </w:p>
        </w:tc>
        <w:tc>
          <w:tcPr>
            <w:tcW w:w="3671" w:type="dxa"/>
            <w:tcBorders>
              <w:top w:val="nil"/>
              <w:left w:val="nil"/>
              <w:bottom w:val="single" w:color="auto" w:sz="4" w:space="0"/>
              <w:right w:val="single" w:color="auto" w:sz="4" w:space="0"/>
            </w:tcBorders>
            <w:vAlign w:val="center"/>
          </w:tcPr>
          <w:p w14:paraId="39B50ED8">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13777889798</w:t>
            </w:r>
          </w:p>
        </w:tc>
      </w:tr>
      <w:tr w14:paraId="7DD63666">
        <w:tblPrEx>
          <w:tblCellMar>
            <w:top w:w="0" w:type="dxa"/>
            <w:left w:w="108" w:type="dxa"/>
            <w:bottom w:w="0" w:type="dxa"/>
            <w:right w:w="108" w:type="dxa"/>
          </w:tblCellMar>
        </w:tblPrEx>
        <w:trPr>
          <w:trHeight w:val="540" w:hRule="atLeast"/>
        </w:trPr>
        <w:tc>
          <w:tcPr>
            <w:tcW w:w="1229" w:type="dxa"/>
            <w:tcBorders>
              <w:top w:val="nil"/>
              <w:left w:val="single" w:color="auto" w:sz="4" w:space="0"/>
              <w:bottom w:val="single" w:color="auto" w:sz="4" w:space="0"/>
              <w:right w:val="single" w:color="auto" w:sz="4" w:space="0"/>
            </w:tcBorders>
            <w:vAlign w:val="center"/>
          </w:tcPr>
          <w:p w14:paraId="2A2D9146">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3</w:t>
            </w:r>
          </w:p>
        </w:tc>
        <w:tc>
          <w:tcPr>
            <w:tcW w:w="3442" w:type="dxa"/>
            <w:tcBorders>
              <w:top w:val="nil"/>
              <w:left w:val="nil"/>
              <w:bottom w:val="single" w:color="auto" w:sz="4" w:space="0"/>
              <w:right w:val="single" w:color="auto" w:sz="4" w:space="0"/>
            </w:tcBorders>
            <w:vAlign w:val="center"/>
          </w:tcPr>
          <w:p w14:paraId="1C2D2B1B">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民生银行下沙支行</w:t>
            </w:r>
          </w:p>
        </w:tc>
        <w:tc>
          <w:tcPr>
            <w:tcW w:w="1618" w:type="dxa"/>
            <w:tcBorders>
              <w:top w:val="nil"/>
              <w:left w:val="nil"/>
              <w:bottom w:val="single" w:color="auto" w:sz="4" w:space="0"/>
              <w:right w:val="single" w:color="auto" w:sz="4" w:space="0"/>
            </w:tcBorders>
            <w:vAlign w:val="center"/>
          </w:tcPr>
          <w:p w14:paraId="09BF332D">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吕刚</w:t>
            </w:r>
          </w:p>
        </w:tc>
        <w:tc>
          <w:tcPr>
            <w:tcW w:w="3671" w:type="dxa"/>
            <w:tcBorders>
              <w:top w:val="nil"/>
              <w:left w:val="nil"/>
              <w:bottom w:val="single" w:color="auto" w:sz="4" w:space="0"/>
              <w:right w:val="single" w:color="auto" w:sz="4" w:space="0"/>
            </w:tcBorders>
            <w:vAlign w:val="center"/>
          </w:tcPr>
          <w:p w14:paraId="1EB116EF">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13906811832</w:t>
            </w:r>
          </w:p>
        </w:tc>
      </w:tr>
      <w:tr w14:paraId="3F89D98D">
        <w:tblPrEx>
          <w:tblCellMar>
            <w:top w:w="0" w:type="dxa"/>
            <w:left w:w="108" w:type="dxa"/>
            <w:bottom w:w="0" w:type="dxa"/>
            <w:right w:w="108" w:type="dxa"/>
          </w:tblCellMar>
        </w:tblPrEx>
        <w:trPr>
          <w:trHeight w:val="540" w:hRule="atLeast"/>
        </w:trPr>
        <w:tc>
          <w:tcPr>
            <w:tcW w:w="1229" w:type="dxa"/>
            <w:tcBorders>
              <w:top w:val="nil"/>
              <w:left w:val="single" w:color="auto" w:sz="4" w:space="0"/>
              <w:bottom w:val="single" w:color="auto" w:sz="4" w:space="0"/>
              <w:right w:val="single" w:color="auto" w:sz="4" w:space="0"/>
            </w:tcBorders>
            <w:vAlign w:val="center"/>
          </w:tcPr>
          <w:p w14:paraId="0D1B1825">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4</w:t>
            </w:r>
          </w:p>
        </w:tc>
        <w:tc>
          <w:tcPr>
            <w:tcW w:w="3442" w:type="dxa"/>
            <w:tcBorders>
              <w:top w:val="nil"/>
              <w:left w:val="nil"/>
              <w:bottom w:val="single" w:color="auto" w:sz="4" w:space="0"/>
              <w:right w:val="single" w:color="auto" w:sz="4" w:space="0"/>
            </w:tcBorders>
            <w:vAlign w:val="center"/>
          </w:tcPr>
          <w:p w14:paraId="42AE2800">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杭州银行钱塘支行</w:t>
            </w:r>
          </w:p>
        </w:tc>
        <w:tc>
          <w:tcPr>
            <w:tcW w:w="1618" w:type="dxa"/>
            <w:tcBorders>
              <w:top w:val="nil"/>
              <w:left w:val="nil"/>
              <w:bottom w:val="single" w:color="auto" w:sz="4" w:space="0"/>
              <w:right w:val="single" w:color="auto" w:sz="4" w:space="0"/>
            </w:tcBorders>
            <w:vAlign w:val="center"/>
          </w:tcPr>
          <w:p w14:paraId="6A2B1036">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费莎</w:t>
            </w:r>
          </w:p>
          <w:p w14:paraId="7E7A8F6D">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严培蓓</w:t>
            </w:r>
          </w:p>
        </w:tc>
        <w:tc>
          <w:tcPr>
            <w:tcW w:w="3671" w:type="dxa"/>
            <w:tcBorders>
              <w:top w:val="nil"/>
              <w:left w:val="nil"/>
              <w:bottom w:val="single" w:color="auto" w:sz="4" w:space="0"/>
              <w:right w:val="single" w:color="auto" w:sz="4" w:space="0"/>
            </w:tcBorders>
            <w:vAlign w:val="center"/>
          </w:tcPr>
          <w:p w14:paraId="25CA30CE">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13388617781</w:t>
            </w:r>
          </w:p>
          <w:p w14:paraId="7D93B91C">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13858023883</w:t>
            </w:r>
          </w:p>
        </w:tc>
      </w:tr>
      <w:tr w14:paraId="7794B7CE">
        <w:tblPrEx>
          <w:tblCellMar>
            <w:top w:w="0" w:type="dxa"/>
            <w:left w:w="108" w:type="dxa"/>
            <w:bottom w:w="0" w:type="dxa"/>
            <w:right w:w="108" w:type="dxa"/>
          </w:tblCellMar>
        </w:tblPrEx>
        <w:trPr>
          <w:trHeight w:val="540" w:hRule="atLeast"/>
        </w:trPr>
        <w:tc>
          <w:tcPr>
            <w:tcW w:w="1229" w:type="dxa"/>
            <w:tcBorders>
              <w:top w:val="nil"/>
              <w:left w:val="single" w:color="auto" w:sz="4" w:space="0"/>
              <w:bottom w:val="single" w:color="auto" w:sz="4" w:space="0"/>
              <w:right w:val="single" w:color="auto" w:sz="4" w:space="0"/>
            </w:tcBorders>
            <w:vAlign w:val="center"/>
          </w:tcPr>
          <w:p w14:paraId="00A3FA0B">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5</w:t>
            </w:r>
          </w:p>
        </w:tc>
        <w:tc>
          <w:tcPr>
            <w:tcW w:w="3442" w:type="dxa"/>
            <w:tcBorders>
              <w:top w:val="nil"/>
              <w:left w:val="nil"/>
              <w:bottom w:val="single" w:color="auto" w:sz="4" w:space="0"/>
              <w:right w:val="single" w:color="auto" w:sz="4" w:space="0"/>
            </w:tcBorders>
            <w:vAlign w:val="center"/>
          </w:tcPr>
          <w:p w14:paraId="65CE8AAB">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兴业银行开发区支行</w:t>
            </w:r>
          </w:p>
        </w:tc>
        <w:tc>
          <w:tcPr>
            <w:tcW w:w="1618" w:type="dxa"/>
            <w:tcBorders>
              <w:top w:val="nil"/>
              <w:left w:val="nil"/>
              <w:bottom w:val="single" w:color="auto" w:sz="4" w:space="0"/>
              <w:right w:val="single" w:color="auto" w:sz="4" w:space="0"/>
            </w:tcBorders>
            <w:vAlign w:val="center"/>
          </w:tcPr>
          <w:p w14:paraId="53E3B923">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丁萍</w:t>
            </w:r>
          </w:p>
        </w:tc>
        <w:tc>
          <w:tcPr>
            <w:tcW w:w="3671" w:type="dxa"/>
            <w:tcBorders>
              <w:top w:val="nil"/>
              <w:left w:val="nil"/>
              <w:bottom w:val="single" w:color="auto" w:sz="4" w:space="0"/>
              <w:right w:val="single" w:color="auto" w:sz="4" w:space="0"/>
            </w:tcBorders>
            <w:vAlign w:val="center"/>
          </w:tcPr>
          <w:p w14:paraId="0F99B999">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13777421564</w:t>
            </w:r>
          </w:p>
        </w:tc>
      </w:tr>
      <w:tr w14:paraId="74FF0674">
        <w:tblPrEx>
          <w:tblCellMar>
            <w:top w:w="0" w:type="dxa"/>
            <w:left w:w="108" w:type="dxa"/>
            <w:bottom w:w="0" w:type="dxa"/>
            <w:right w:w="108" w:type="dxa"/>
          </w:tblCellMar>
        </w:tblPrEx>
        <w:trPr>
          <w:trHeight w:val="540" w:hRule="atLeast"/>
        </w:trPr>
        <w:tc>
          <w:tcPr>
            <w:tcW w:w="1229" w:type="dxa"/>
            <w:tcBorders>
              <w:top w:val="nil"/>
              <w:left w:val="single" w:color="auto" w:sz="4" w:space="0"/>
              <w:bottom w:val="single" w:color="auto" w:sz="4" w:space="0"/>
              <w:right w:val="single" w:color="auto" w:sz="4" w:space="0"/>
            </w:tcBorders>
            <w:vAlign w:val="center"/>
          </w:tcPr>
          <w:p w14:paraId="3D988E21">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6</w:t>
            </w:r>
          </w:p>
        </w:tc>
        <w:tc>
          <w:tcPr>
            <w:tcW w:w="3442" w:type="dxa"/>
            <w:tcBorders>
              <w:top w:val="nil"/>
              <w:left w:val="nil"/>
              <w:bottom w:val="single" w:color="auto" w:sz="4" w:space="0"/>
              <w:right w:val="single" w:color="auto" w:sz="4" w:space="0"/>
            </w:tcBorders>
            <w:vAlign w:val="center"/>
          </w:tcPr>
          <w:p w14:paraId="0072085F">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中国银行钱塘支行</w:t>
            </w:r>
          </w:p>
        </w:tc>
        <w:tc>
          <w:tcPr>
            <w:tcW w:w="1618" w:type="dxa"/>
            <w:tcBorders>
              <w:top w:val="nil"/>
              <w:left w:val="nil"/>
              <w:bottom w:val="single" w:color="auto" w:sz="4" w:space="0"/>
              <w:right w:val="single" w:color="auto" w:sz="4" w:space="0"/>
            </w:tcBorders>
            <w:vAlign w:val="center"/>
          </w:tcPr>
          <w:p w14:paraId="19534606">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沈振华</w:t>
            </w:r>
          </w:p>
        </w:tc>
        <w:tc>
          <w:tcPr>
            <w:tcW w:w="3671" w:type="dxa"/>
            <w:tcBorders>
              <w:top w:val="nil"/>
              <w:left w:val="nil"/>
              <w:bottom w:val="single" w:color="auto" w:sz="4" w:space="0"/>
              <w:right w:val="single" w:color="auto" w:sz="4" w:space="0"/>
            </w:tcBorders>
            <w:vAlign w:val="center"/>
          </w:tcPr>
          <w:p w14:paraId="665D2737">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13957168926</w:t>
            </w:r>
          </w:p>
        </w:tc>
      </w:tr>
      <w:tr w14:paraId="7C6C74A0">
        <w:tblPrEx>
          <w:tblCellMar>
            <w:top w:w="0" w:type="dxa"/>
            <w:left w:w="108" w:type="dxa"/>
            <w:bottom w:w="0" w:type="dxa"/>
            <w:right w:w="108" w:type="dxa"/>
          </w:tblCellMar>
        </w:tblPrEx>
        <w:trPr>
          <w:trHeight w:val="540" w:hRule="atLeast"/>
        </w:trPr>
        <w:tc>
          <w:tcPr>
            <w:tcW w:w="1229" w:type="dxa"/>
            <w:tcBorders>
              <w:top w:val="nil"/>
              <w:left w:val="single" w:color="auto" w:sz="4" w:space="0"/>
              <w:bottom w:val="single" w:color="auto" w:sz="4" w:space="0"/>
              <w:right w:val="single" w:color="auto" w:sz="4" w:space="0"/>
            </w:tcBorders>
            <w:vAlign w:val="center"/>
          </w:tcPr>
          <w:p w14:paraId="6765BABB">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7</w:t>
            </w:r>
          </w:p>
        </w:tc>
        <w:tc>
          <w:tcPr>
            <w:tcW w:w="3442" w:type="dxa"/>
            <w:tcBorders>
              <w:top w:val="nil"/>
              <w:left w:val="nil"/>
              <w:bottom w:val="single" w:color="auto" w:sz="4" w:space="0"/>
              <w:right w:val="single" w:color="auto" w:sz="4" w:space="0"/>
            </w:tcBorders>
            <w:vAlign w:val="center"/>
          </w:tcPr>
          <w:p w14:paraId="2C137C1A">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工商银行开发区支行</w:t>
            </w:r>
          </w:p>
        </w:tc>
        <w:tc>
          <w:tcPr>
            <w:tcW w:w="1618" w:type="dxa"/>
            <w:tcBorders>
              <w:top w:val="nil"/>
              <w:left w:val="nil"/>
              <w:bottom w:val="single" w:color="auto" w:sz="4" w:space="0"/>
              <w:right w:val="single" w:color="auto" w:sz="4" w:space="0"/>
            </w:tcBorders>
            <w:vAlign w:val="center"/>
          </w:tcPr>
          <w:p w14:paraId="3ACBE107">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李燕珍</w:t>
            </w:r>
          </w:p>
        </w:tc>
        <w:tc>
          <w:tcPr>
            <w:tcW w:w="3671" w:type="dxa"/>
            <w:tcBorders>
              <w:top w:val="nil"/>
              <w:left w:val="nil"/>
              <w:bottom w:val="single" w:color="auto" w:sz="4" w:space="0"/>
              <w:right w:val="single" w:color="auto" w:sz="4" w:space="0"/>
            </w:tcBorders>
            <w:vAlign w:val="center"/>
          </w:tcPr>
          <w:p w14:paraId="38EC32BE">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13735710338</w:t>
            </w:r>
          </w:p>
        </w:tc>
      </w:tr>
      <w:tr w14:paraId="0B646F66">
        <w:tblPrEx>
          <w:tblCellMar>
            <w:top w:w="0" w:type="dxa"/>
            <w:left w:w="108" w:type="dxa"/>
            <w:bottom w:w="0" w:type="dxa"/>
            <w:right w:w="108" w:type="dxa"/>
          </w:tblCellMar>
        </w:tblPrEx>
        <w:trPr>
          <w:trHeight w:val="555" w:hRule="atLeast"/>
        </w:trPr>
        <w:tc>
          <w:tcPr>
            <w:tcW w:w="1229" w:type="dxa"/>
            <w:tcBorders>
              <w:top w:val="nil"/>
              <w:left w:val="single" w:color="auto" w:sz="4" w:space="0"/>
              <w:bottom w:val="single" w:color="auto" w:sz="4" w:space="0"/>
              <w:right w:val="single" w:color="auto" w:sz="4" w:space="0"/>
            </w:tcBorders>
            <w:vAlign w:val="center"/>
          </w:tcPr>
          <w:p w14:paraId="49113C4C">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8</w:t>
            </w:r>
          </w:p>
        </w:tc>
        <w:tc>
          <w:tcPr>
            <w:tcW w:w="3442" w:type="dxa"/>
            <w:tcBorders>
              <w:top w:val="nil"/>
              <w:left w:val="nil"/>
              <w:bottom w:val="single" w:color="auto" w:sz="4" w:space="0"/>
              <w:right w:val="single" w:color="auto" w:sz="4" w:space="0"/>
            </w:tcBorders>
            <w:vAlign w:val="center"/>
          </w:tcPr>
          <w:p w14:paraId="107BF30F">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宁波银行开发区支行</w:t>
            </w:r>
          </w:p>
        </w:tc>
        <w:tc>
          <w:tcPr>
            <w:tcW w:w="1618" w:type="dxa"/>
            <w:tcBorders>
              <w:top w:val="nil"/>
              <w:left w:val="nil"/>
              <w:bottom w:val="single" w:color="auto" w:sz="4" w:space="0"/>
              <w:right w:val="single" w:color="auto" w:sz="4" w:space="0"/>
            </w:tcBorders>
            <w:vAlign w:val="center"/>
          </w:tcPr>
          <w:p w14:paraId="41B23323">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贾磊</w:t>
            </w:r>
          </w:p>
        </w:tc>
        <w:tc>
          <w:tcPr>
            <w:tcW w:w="3671" w:type="dxa"/>
            <w:tcBorders>
              <w:top w:val="nil"/>
              <w:left w:val="nil"/>
              <w:bottom w:val="single" w:color="auto" w:sz="4" w:space="0"/>
              <w:right w:val="single" w:color="auto" w:sz="4" w:space="0"/>
            </w:tcBorders>
            <w:vAlign w:val="center"/>
          </w:tcPr>
          <w:p w14:paraId="0AF1BDC8">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13575745232</w:t>
            </w:r>
          </w:p>
        </w:tc>
      </w:tr>
      <w:tr w14:paraId="7D2469EA">
        <w:tblPrEx>
          <w:tblCellMar>
            <w:top w:w="0" w:type="dxa"/>
            <w:left w:w="108" w:type="dxa"/>
            <w:bottom w:w="0" w:type="dxa"/>
            <w:right w:w="108" w:type="dxa"/>
          </w:tblCellMar>
        </w:tblPrEx>
        <w:trPr>
          <w:trHeight w:val="480" w:hRule="atLeast"/>
        </w:trPr>
        <w:tc>
          <w:tcPr>
            <w:tcW w:w="1229" w:type="dxa"/>
            <w:tcBorders>
              <w:top w:val="nil"/>
              <w:left w:val="single" w:color="auto" w:sz="4" w:space="0"/>
              <w:bottom w:val="single" w:color="auto" w:sz="4" w:space="0"/>
              <w:right w:val="single" w:color="auto" w:sz="4" w:space="0"/>
            </w:tcBorders>
            <w:vAlign w:val="center"/>
          </w:tcPr>
          <w:p w14:paraId="25E29799">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9</w:t>
            </w:r>
          </w:p>
        </w:tc>
        <w:tc>
          <w:tcPr>
            <w:tcW w:w="3442" w:type="dxa"/>
            <w:tcBorders>
              <w:top w:val="nil"/>
              <w:left w:val="nil"/>
              <w:bottom w:val="single" w:color="auto" w:sz="4" w:space="0"/>
              <w:right w:val="single" w:color="auto" w:sz="4" w:space="0"/>
            </w:tcBorders>
            <w:vAlign w:val="center"/>
          </w:tcPr>
          <w:p w14:paraId="63810A9F">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杭州联合银行下沙支行</w:t>
            </w:r>
          </w:p>
        </w:tc>
        <w:tc>
          <w:tcPr>
            <w:tcW w:w="1618" w:type="dxa"/>
            <w:tcBorders>
              <w:top w:val="nil"/>
              <w:left w:val="nil"/>
              <w:bottom w:val="single" w:color="auto" w:sz="4" w:space="0"/>
              <w:right w:val="single" w:color="auto" w:sz="4" w:space="0"/>
            </w:tcBorders>
            <w:vAlign w:val="center"/>
          </w:tcPr>
          <w:p w14:paraId="50598128">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王宁</w:t>
            </w:r>
          </w:p>
        </w:tc>
        <w:tc>
          <w:tcPr>
            <w:tcW w:w="3671" w:type="dxa"/>
            <w:tcBorders>
              <w:top w:val="nil"/>
              <w:left w:val="nil"/>
              <w:bottom w:val="single" w:color="auto" w:sz="4" w:space="0"/>
              <w:right w:val="single" w:color="auto" w:sz="4" w:space="0"/>
            </w:tcBorders>
            <w:vAlign w:val="center"/>
          </w:tcPr>
          <w:p w14:paraId="164BB1DA">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18906520030</w:t>
            </w:r>
          </w:p>
        </w:tc>
      </w:tr>
      <w:tr w14:paraId="738A6488">
        <w:tblPrEx>
          <w:tblCellMar>
            <w:top w:w="0" w:type="dxa"/>
            <w:left w:w="108" w:type="dxa"/>
            <w:bottom w:w="0" w:type="dxa"/>
            <w:right w:w="108" w:type="dxa"/>
          </w:tblCellMar>
        </w:tblPrEx>
        <w:trPr>
          <w:trHeight w:val="562" w:hRule="atLeast"/>
        </w:trPr>
        <w:tc>
          <w:tcPr>
            <w:tcW w:w="1229" w:type="dxa"/>
            <w:tcBorders>
              <w:top w:val="nil"/>
              <w:left w:val="single" w:color="auto" w:sz="4" w:space="0"/>
              <w:bottom w:val="single" w:color="auto" w:sz="4" w:space="0"/>
              <w:right w:val="single" w:color="auto" w:sz="4" w:space="0"/>
            </w:tcBorders>
            <w:vAlign w:val="center"/>
          </w:tcPr>
          <w:p w14:paraId="6B52FF4F">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10</w:t>
            </w:r>
          </w:p>
        </w:tc>
        <w:tc>
          <w:tcPr>
            <w:tcW w:w="3442" w:type="dxa"/>
            <w:tcBorders>
              <w:top w:val="nil"/>
              <w:left w:val="nil"/>
              <w:bottom w:val="single" w:color="auto" w:sz="4" w:space="0"/>
              <w:right w:val="single" w:color="auto" w:sz="4" w:space="0"/>
            </w:tcBorders>
            <w:vAlign w:val="center"/>
          </w:tcPr>
          <w:p w14:paraId="65AC8EF1">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农业银行钱塘支行</w:t>
            </w:r>
          </w:p>
        </w:tc>
        <w:tc>
          <w:tcPr>
            <w:tcW w:w="1618" w:type="dxa"/>
            <w:tcBorders>
              <w:top w:val="nil"/>
              <w:left w:val="nil"/>
              <w:bottom w:val="single" w:color="auto" w:sz="4" w:space="0"/>
              <w:right w:val="single" w:color="auto" w:sz="4" w:space="0"/>
            </w:tcBorders>
            <w:vAlign w:val="center"/>
          </w:tcPr>
          <w:p w14:paraId="10DF3F43">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王安东</w:t>
            </w:r>
          </w:p>
          <w:p w14:paraId="279D46B1">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方若愚</w:t>
            </w:r>
          </w:p>
        </w:tc>
        <w:tc>
          <w:tcPr>
            <w:tcW w:w="3671" w:type="dxa"/>
            <w:tcBorders>
              <w:top w:val="nil"/>
              <w:left w:val="nil"/>
              <w:bottom w:val="single" w:color="auto" w:sz="4" w:space="0"/>
              <w:right w:val="single" w:color="auto" w:sz="4" w:space="0"/>
            </w:tcBorders>
            <w:vAlign w:val="center"/>
          </w:tcPr>
          <w:p w14:paraId="1F1F0C54">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15158025713</w:t>
            </w:r>
          </w:p>
          <w:p w14:paraId="5096C4E6">
            <w:pPr>
              <w:widowControl/>
              <w:jc w:val="center"/>
              <w:rPr>
                <w:rFonts w:hint="eastAsia" w:ascii="宋体" w:hAnsi="宋体" w:eastAsia="宋体" w:cs="宋体"/>
                <w:color w:val="auto"/>
                <w:highlight w:val="none"/>
              </w:rPr>
            </w:pPr>
            <w:r>
              <w:rPr>
                <w:rFonts w:hint="eastAsia" w:ascii="宋体" w:hAnsi="宋体" w:eastAsia="宋体" w:cs="宋体"/>
                <w:color w:val="auto"/>
                <w:kern w:val="0"/>
                <w:sz w:val="24"/>
                <w:highlight w:val="none"/>
              </w:rPr>
              <w:t>15067483470</w:t>
            </w:r>
          </w:p>
        </w:tc>
      </w:tr>
      <w:tr w14:paraId="5FC8C3A4">
        <w:tblPrEx>
          <w:tblCellMar>
            <w:top w:w="0" w:type="dxa"/>
            <w:left w:w="108" w:type="dxa"/>
            <w:bottom w:w="0" w:type="dxa"/>
            <w:right w:w="108" w:type="dxa"/>
          </w:tblCellMar>
        </w:tblPrEx>
        <w:trPr>
          <w:trHeight w:val="510" w:hRule="atLeast"/>
        </w:trPr>
        <w:tc>
          <w:tcPr>
            <w:tcW w:w="1229" w:type="dxa"/>
            <w:tcBorders>
              <w:top w:val="single" w:color="auto" w:sz="4" w:space="0"/>
              <w:left w:val="single" w:color="auto" w:sz="4" w:space="0"/>
              <w:bottom w:val="single" w:color="auto" w:sz="4" w:space="0"/>
              <w:right w:val="single" w:color="auto" w:sz="4" w:space="0"/>
            </w:tcBorders>
            <w:vAlign w:val="center"/>
          </w:tcPr>
          <w:p w14:paraId="4D351DFB">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11</w:t>
            </w:r>
          </w:p>
        </w:tc>
        <w:tc>
          <w:tcPr>
            <w:tcW w:w="3442" w:type="dxa"/>
            <w:tcBorders>
              <w:top w:val="single" w:color="auto" w:sz="4" w:space="0"/>
              <w:left w:val="nil"/>
              <w:bottom w:val="single" w:color="auto" w:sz="4" w:space="0"/>
              <w:right w:val="single" w:color="auto" w:sz="4" w:space="0"/>
            </w:tcBorders>
            <w:vAlign w:val="center"/>
          </w:tcPr>
          <w:p w14:paraId="0B2EC628">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浙商银行杭州钱塘支行</w:t>
            </w:r>
          </w:p>
        </w:tc>
        <w:tc>
          <w:tcPr>
            <w:tcW w:w="1618" w:type="dxa"/>
            <w:tcBorders>
              <w:top w:val="single" w:color="auto" w:sz="4" w:space="0"/>
              <w:left w:val="nil"/>
              <w:bottom w:val="single" w:color="auto" w:sz="4" w:space="0"/>
              <w:right w:val="single" w:color="auto" w:sz="4" w:space="0"/>
            </w:tcBorders>
            <w:vAlign w:val="center"/>
          </w:tcPr>
          <w:p w14:paraId="5115D48E">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徐伟刚</w:t>
            </w:r>
          </w:p>
        </w:tc>
        <w:tc>
          <w:tcPr>
            <w:tcW w:w="3671" w:type="dxa"/>
            <w:tcBorders>
              <w:top w:val="single" w:color="auto" w:sz="4" w:space="0"/>
              <w:left w:val="nil"/>
              <w:bottom w:val="single" w:color="auto" w:sz="4" w:space="0"/>
              <w:right w:val="single" w:color="auto" w:sz="4" w:space="0"/>
            </w:tcBorders>
            <w:vAlign w:val="center"/>
          </w:tcPr>
          <w:p w14:paraId="6D205D46">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82921293，18258888258</w:t>
            </w:r>
          </w:p>
        </w:tc>
      </w:tr>
      <w:tr w14:paraId="4B367C81">
        <w:tblPrEx>
          <w:tblCellMar>
            <w:top w:w="0" w:type="dxa"/>
            <w:left w:w="108" w:type="dxa"/>
            <w:bottom w:w="0" w:type="dxa"/>
            <w:right w:w="108" w:type="dxa"/>
          </w:tblCellMar>
        </w:tblPrEx>
        <w:trPr>
          <w:trHeight w:val="510" w:hRule="atLeast"/>
        </w:trPr>
        <w:tc>
          <w:tcPr>
            <w:tcW w:w="1229" w:type="dxa"/>
            <w:tcBorders>
              <w:top w:val="single" w:color="auto" w:sz="4" w:space="0"/>
              <w:left w:val="single" w:color="auto" w:sz="4" w:space="0"/>
              <w:bottom w:val="single" w:color="auto" w:sz="4" w:space="0"/>
              <w:right w:val="single" w:color="auto" w:sz="4" w:space="0"/>
            </w:tcBorders>
            <w:vAlign w:val="center"/>
          </w:tcPr>
          <w:p w14:paraId="0E45F1C3">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12</w:t>
            </w:r>
          </w:p>
        </w:tc>
        <w:tc>
          <w:tcPr>
            <w:tcW w:w="3442" w:type="dxa"/>
            <w:tcBorders>
              <w:top w:val="single" w:color="auto" w:sz="4" w:space="0"/>
              <w:left w:val="nil"/>
              <w:bottom w:val="single" w:color="auto" w:sz="4" w:space="0"/>
              <w:right w:val="single" w:color="auto" w:sz="4" w:space="0"/>
            </w:tcBorders>
            <w:vAlign w:val="center"/>
          </w:tcPr>
          <w:p w14:paraId="3D3929BA">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浦发银行</w:t>
            </w:r>
          </w:p>
        </w:tc>
        <w:tc>
          <w:tcPr>
            <w:tcW w:w="1618" w:type="dxa"/>
            <w:tcBorders>
              <w:top w:val="single" w:color="auto" w:sz="4" w:space="0"/>
              <w:left w:val="nil"/>
              <w:bottom w:val="single" w:color="auto" w:sz="4" w:space="0"/>
              <w:right w:val="single" w:color="auto" w:sz="4" w:space="0"/>
            </w:tcBorders>
            <w:vAlign w:val="center"/>
          </w:tcPr>
          <w:p w14:paraId="34336F62">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林云鹏</w:t>
            </w:r>
          </w:p>
        </w:tc>
        <w:tc>
          <w:tcPr>
            <w:tcW w:w="3671" w:type="dxa"/>
            <w:tcBorders>
              <w:top w:val="single" w:color="auto" w:sz="4" w:space="0"/>
              <w:left w:val="nil"/>
              <w:bottom w:val="single" w:color="auto" w:sz="4" w:space="0"/>
              <w:right w:val="single" w:color="auto" w:sz="4" w:space="0"/>
            </w:tcBorders>
            <w:vAlign w:val="center"/>
          </w:tcPr>
          <w:p w14:paraId="27BD133C">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18805812679</w:t>
            </w:r>
          </w:p>
        </w:tc>
      </w:tr>
    </w:tbl>
    <w:p w14:paraId="376359F9">
      <w:pPr>
        <w:spacing w:line="360" w:lineRule="auto"/>
        <w:ind w:left="5060" w:hanging="5060" w:hangingChars="2100"/>
        <w:rPr>
          <w:rFonts w:hint="eastAsia" w:ascii="宋体" w:hAnsi="宋体" w:eastAsia="宋体" w:cs="宋体"/>
          <w:b/>
          <w:bCs/>
          <w:color w:val="auto"/>
          <w:kern w:val="0"/>
          <w:sz w:val="24"/>
          <w:highlight w:val="none"/>
        </w:rPr>
      </w:pPr>
    </w:p>
    <w:p w14:paraId="5E66476E">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bookmarkEnd w:id="1193"/>
    </w:p>
    <w:p w14:paraId="083B6E74">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1519681F">
      <w:pPr>
        <w:spacing w:line="360" w:lineRule="auto"/>
        <w:jc w:val="center"/>
        <w:rPr>
          <w:rFonts w:ascii="宋体" w:hAnsi="宋体" w:cs="宋体"/>
          <w:b/>
          <w:color w:val="auto"/>
          <w:spacing w:val="6"/>
          <w:sz w:val="32"/>
          <w:szCs w:val="32"/>
          <w:highlight w:val="none"/>
        </w:rPr>
      </w:pPr>
      <w:bookmarkStart w:id="1194" w:name="OLE_LINK14"/>
      <w:bookmarkStart w:id="1195" w:name="OLE_LINK13"/>
      <w:r>
        <w:rPr>
          <w:rFonts w:hint="eastAsia" w:ascii="宋体" w:hAnsi="宋体" w:cs="宋体"/>
          <w:b/>
          <w:color w:val="auto"/>
          <w:spacing w:val="6"/>
          <w:sz w:val="32"/>
          <w:szCs w:val="32"/>
          <w:highlight w:val="none"/>
        </w:rPr>
        <w:t>残疾人福利性单位声明函</w:t>
      </w:r>
    </w:p>
    <w:bookmarkEnd w:id="1194"/>
    <w:bookmarkEnd w:id="1195"/>
    <w:p w14:paraId="1015208E">
      <w:pPr>
        <w:spacing w:line="360" w:lineRule="auto"/>
        <w:rPr>
          <w:rFonts w:ascii="宋体" w:hAnsi="宋体" w:cs="宋体"/>
          <w:b/>
          <w:color w:val="auto"/>
          <w:spacing w:val="6"/>
          <w:sz w:val="30"/>
          <w:szCs w:val="30"/>
          <w:highlight w:val="none"/>
        </w:rPr>
      </w:pPr>
    </w:p>
    <w:p w14:paraId="1E31C9E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62156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341E510">
      <w:pPr>
        <w:spacing w:line="360" w:lineRule="auto"/>
        <w:ind w:firstLine="480" w:firstLineChars="200"/>
        <w:rPr>
          <w:rFonts w:ascii="宋体" w:hAnsi="宋体" w:cs="宋体"/>
          <w:color w:val="auto"/>
          <w:sz w:val="24"/>
          <w:highlight w:val="none"/>
        </w:rPr>
      </w:pPr>
    </w:p>
    <w:p w14:paraId="21B22411">
      <w:pPr>
        <w:spacing w:line="360" w:lineRule="auto"/>
        <w:ind w:firstLine="480" w:firstLineChars="200"/>
        <w:rPr>
          <w:rFonts w:ascii="宋体" w:hAnsi="宋体" w:cs="宋体"/>
          <w:color w:val="auto"/>
          <w:sz w:val="24"/>
          <w:highlight w:val="none"/>
        </w:rPr>
      </w:pPr>
    </w:p>
    <w:p w14:paraId="2F8B4A17">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14:paraId="37995391">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1D25E40">
      <w:pPr>
        <w:spacing w:line="360" w:lineRule="auto"/>
        <w:ind w:firstLine="480" w:firstLineChars="200"/>
        <w:rPr>
          <w:rFonts w:ascii="宋体" w:hAnsi="宋体" w:cs="宋体"/>
          <w:color w:val="auto"/>
          <w:sz w:val="24"/>
          <w:highlight w:val="none"/>
        </w:rPr>
      </w:pPr>
    </w:p>
    <w:p w14:paraId="135C26B9">
      <w:pPr>
        <w:spacing w:line="360" w:lineRule="auto"/>
        <w:ind w:firstLine="420" w:firstLineChars="200"/>
        <w:rPr>
          <w:rFonts w:ascii="宋体" w:hAnsi="宋体" w:cs="宋体"/>
          <w:color w:val="auto"/>
          <w:highlight w:val="none"/>
        </w:rPr>
      </w:pPr>
    </w:p>
    <w:p w14:paraId="3D347D4C">
      <w:pPr>
        <w:spacing w:line="360" w:lineRule="auto"/>
        <w:ind w:firstLine="420" w:firstLineChars="200"/>
        <w:rPr>
          <w:rFonts w:ascii="宋体" w:hAnsi="宋体" w:cs="宋体"/>
          <w:color w:val="auto"/>
          <w:highlight w:val="none"/>
        </w:rPr>
      </w:pPr>
    </w:p>
    <w:p w14:paraId="46315841">
      <w:pPr>
        <w:spacing w:line="360" w:lineRule="auto"/>
        <w:ind w:firstLine="420" w:firstLineChars="200"/>
        <w:rPr>
          <w:rFonts w:ascii="宋体" w:hAnsi="宋体" w:cs="宋体"/>
          <w:color w:val="auto"/>
          <w:highlight w:val="none"/>
        </w:rPr>
      </w:pPr>
    </w:p>
    <w:p w14:paraId="5F7BCB26">
      <w:pPr>
        <w:spacing w:line="360" w:lineRule="auto"/>
        <w:ind w:firstLine="420" w:firstLineChars="200"/>
        <w:rPr>
          <w:rFonts w:ascii="宋体" w:hAnsi="宋体" w:cs="宋体"/>
          <w:color w:val="auto"/>
          <w:highlight w:val="none"/>
        </w:rPr>
      </w:pPr>
    </w:p>
    <w:p w14:paraId="0F974875">
      <w:pPr>
        <w:spacing w:line="360" w:lineRule="auto"/>
        <w:rPr>
          <w:rFonts w:ascii="宋体" w:hAnsi="宋体" w:cs="宋体"/>
          <w:b/>
          <w:color w:val="auto"/>
          <w:sz w:val="24"/>
          <w:highlight w:val="none"/>
        </w:rPr>
      </w:pPr>
    </w:p>
    <w:p w14:paraId="024BF59D">
      <w:pPr>
        <w:spacing w:line="360" w:lineRule="auto"/>
        <w:rPr>
          <w:rFonts w:ascii="宋体" w:hAnsi="宋体" w:cs="宋体"/>
          <w:b/>
          <w:color w:val="auto"/>
          <w:sz w:val="24"/>
          <w:highlight w:val="none"/>
        </w:rPr>
      </w:pPr>
    </w:p>
    <w:p w14:paraId="1ED573FC">
      <w:pPr>
        <w:spacing w:line="360" w:lineRule="auto"/>
        <w:rPr>
          <w:rFonts w:ascii="宋体" w:hAnsi="宋体" w:cs="宋体"/>
          <w:b/>
          <w:color w:val="auto"/>
          <w:sz w:val="24"/>
          <w:highlight w:val="none"/>
        </w:rPr>
      </w:pPr>
    </w:p>
    <w:p w14:paraId="05900CFD">
      <w:pPr>
        <w:spacing w:line="360" w:lineRule="auto"/>
        <w:rPr>
          <w:rFonts w:ascii="宋体" w:hAnsi="宋体" w:cs="宋体"/>
          <w:b/>
          <w:color w:val="auto"/>
          <w:sz w:val="24"/>
          <w:highlight w:val="none"/>
        </w:rPr>
      </w:pPr>
    </w:p>
    <w:p w14:paraId="315CA83C">
      <w:pPr>
        <w:spacing w:line="360" w:lineRule="auto"/>
        <w:rPr>
          <w:rFonts w:ascii="宋体" w:hAnsi="宋体" w:cs="宋体"/>
          <w:b/>
          <w:color w:val="auto"/>
          <w:sz w:val="24"/>
          <w:highlight w:val="none"/>
        </w:rPr>
      </w:pPr>
    </w:p>
    <w:p w14:paraId="36E254B1">
      <w:pPr>
        <w:spacing w:line="360" w:lineRule="auto"/>
        <w:rPr>
          <w:rFonts w:ascii="宋体" w:hAnsi="宋体" w:cs="宋体"/>
          <w:b/>
          <w:color w:val="auto"/>
          <w:sz w:val="24"/>
          <w:highlight w:val="none"/>
        </w:rPr>
      </w:pPr>
    </w:p>
    <w:p w14:paraId="2A03784D">
      <w:pPr>
        <w:spacing w:line="360" w:lineRule="auto"/>
        <w:rPr>
          <w:rFonts w:ascii="宋体" w:hAnsi="宋体" w:cs="宋体"/>
          <w:b/>
          <w:color w:val="auto"/>
          <w:sz w:val="24"/>
          <w:highlight w:val="none"/>
        </w:rPr>
      </w:pPr>
    </w:p>
    <w:p w14:paraId="3274B110">
      <w:pPr>
        <w:spacing w:line="360" w:lineRule="auto"/>
        <w:rPr>
          <w:rFonts w:ascii="宋体" w:hAnsi="宋体" w:cs="宋体"/>
          <w:b/>
          <w:color w:val="auto"/>
          <w:sz w:val="24"/>
          <w:highlight w:val="none"/>
        </w:rPr>
      </w:pPr>
    </w:p>
    <w:p w14:paraId="1CFD3FE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2D34667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0AA06DF">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BF0040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798417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A4A9AC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3E787E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46EF31D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D01A5F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D3B512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653E82D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63214F5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A29604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1436965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3ED0566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09437A3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3AA031F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7B44FAC">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7DD7E49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D86054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E5252B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6B19468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365EA99B">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77CEE4A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7F417A6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332E57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134325C">
      <w:pPr>
        <w:spacing w:line="360" w:lineRule="auto"/>
        <w:jc w:val="center"/>
        <w:rPr>
          <w:rFonts w:ascii="宋体" w:hAnsi="宋体" w:cs="宋体"/>
          <w:b/>
          <w:bCs/>
          <w:color w:val="auto"/>
          <w:sz w:val="24"/>
          <w:highlight w:val="none"/>
        </w:rPr>
      </w:pPr>
    </w:p>
    <w:p w14:paraId="3B726C32">
      <w:pPr>
        <w:spacing w:line="360" w:lineRule="auto"/>
        <w:rPr>
          <w:rFonts w:ascii="宋体" w:hAnsi="宋体" w:cs="宋体"/>
          <w:b/>
          <w:color w:val="auto"/>
          <w:sz w:val="24"/>
          <w:highlight w:val="none"/>
        </w:rPr>
      </w:pPr>
    </w:p>
    <w:p w14:paraId="029BD5B7">
      <w:pPr>
        <w:spacing w:line="360" w:lineRule="auto"/>
        <w:rPr>
          <w:rFonts w:ascii="宋体" w:hAnsi="宋体" w:cs="宋体"/>
          <w:b/>
          <w:color w:val="auto"/>
          <w:sz w:val="24"/>
          <w:highlight w:val="none"/>
        </w:rPr>
      </w:pPr>
    </w:p>
    <w:p w14:paraId="5C48C5CC">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63BB95E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4E3B699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1E199D3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7609C8D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4B9BE61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2806C45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1EAE2B3">
      <w:pPr>
        <w:widowControl/>
        <w:spacing w:line="360" w:lineRule="auto"/>
        <w:ind w:firstLine="600" w:firstLineChars="200"/>
        <w:jc w:val="left"/>
        <w:rPr>
          <w:rFonts w:ascii="宋体" w:hAnsi="宋体" w:cs="宋体"/>
          <w:color w:val="auto"/>
          <w:sz w:val="30"/>
          <w:szCs w:val="30"/>
          <w:highlight w:val="none"/>
        </w:rPr>
      </w:pPr>
    </w:p>
    <w:p w14:paraId="21D0DA70">
      <w:pPr>
        <w:spacing w:line="360" w:lineRule="auto"/>
        <w:jc w:val="center"/>
        <w:rPr>
          <w:rFonts w:ascii="宋体" w:hAnsi="宋体" w:cs="宋体"/>
          <w:b/>
          <w:color w:val="auto"/>
          <w:spacing w:val="6"/>
          <w:sz w:val="32"/>
          <w:szCs w:val="32"/>
          <w:highlight w:val="none"/>
        </w:rPr>
      </w:pPr>
    </w:p>
    <w:p w14:paraId="176EAA01">
      <w:pPr>
        <w:spacing w:line="360" w:lineRule="auto"/>
        <w:jc w:val="center"/>
        <w:rPr>
          <w:rFonts w:ascii="宋体" w:hAnsi="宋体" w:cs="宋体"/>
          <w:b/>
          <w:color w:val="auto"/>
          <w:spacing w:val="6"/>
          <w:sz w:val="32"/>
          <w:szCs w:val="32"/>
          <w:highlight w:val="none"/>
        </w:rPr>
      </w:pPr>
    </w:p>
    <w:p w14:paraId="6B1E8F1E">
      <w:pPr>
        <w:spacing w:line="360" w:lineRule="auto"/>
        <w:jc w:val="center"/>
        <w:rPr>
          <w:rFonts w:ascii="宋体" w:hAnsi="宋体" w:cs="宋体"/>
          <w:b/>
          <w:color w:val="auto"/>
          <w:spacing w:val="6"/>
          <w:sz w:val="32"/>
          <w:szCs w:val="32"/>
          <w:highlight w:val="none"/>
        </w:rPr>
      </w:pPr>
    </w:p>
    <w:p w14:paraId="1941617E">
      <w:pPr>
        <w:spacing w:line="360" w:lineRule="auto"/>
        <w:jc w:val="center"/>
        <w:rPr>
          <w:rFonts w:ascii="宋体" w:hAnsi="宋体" w:cs="宋体"/>
          <w:b/>
          <w:color w:val="auto"/>
          <w:spacing w:val="6"/>
          <w:sz w:val="32"/>
          <w:szCs w:val="32"/>
          <w:highlight w:val="none"/>
        </w:rPr>
      </w:pPr>
    </w:p>
    <w:p w14:paraId="7F0AC4A8">
      <w:pPr>
        <w:spacing w:line="360" w:lineRule="auto"/>
        <w:jc w:val="center"/>
        <w:rPr>
          <w:rFonts w:ascii="宋体" w:hAnsi="宋体" w:cs="宋体"/>
          <w:b/>
          <w:color w:val="auto"/>
          <w:spacing w:val="6"/>
          <w:sz w:val="32"/>
          <w:szCs w:val="32"/>
          <w:highlight w:val="none"/>
        </w:rPr>
      </w:pPr>
    </w:p>
    <w:p w14:paraId="0D66A228">
      <w:pPr>
        <w:spacing w:line="360" w:lineRule="auto"/>
        <w:jc w:val="center"/>
        <w:rPr>
          <w:rFonts w:ascii="宋体" w:hAnsi="宋体" w:cs="宋体"/>
          <w:b/>
          <w:color w:val="auto"/>
          <w:spacing w:val="6"/>
          <w:sz w:val="32"/>
          <w:szCs w:val="32"/>
          <w:highlight w:val="none"/>
        </w:rPr>
      </w:pPr>
    </w:p>
    <w:p w14:paraId="2E75604A">
      <w:pPr>
        <w:spacing w:line="360" w:lineRule="auto"/>
        <w:jc w:val="center"/>
        <w:rPr>
          <w:rFonts w:ascii="宋体" w:hAnsi="宋体" w:cs="宋体"/>
          <w:b/>
          <w:color w:val="auto"/>
          <w:spacing w:val="6"/>
          <w:sz w:val="32"/>
          <w:szCs w:val="32"/>
          <w:highlight w:val="none"/>
        </w:rPr>
      </w:pPr>
    </w:p>
    <w:p w14:paraId="3C477298">
      <w:pPr>
        <w:spacing w:line="360" w:lineRule="auto"/>
        <w:jc w:val="center"/>
        <w:rPr>
          <w:rFonts w:ascii="宋体" w:hAnsi="宋体" w:cs="宋体"/>
          <w:b/>
          <w:color w:val="auto"/>
          <w:spacing w:val="6"/>
          <w:sz w:val="32"/>
          <w:szCs w:val="32"/>
          <w:highlight w:val="none"/>
        </w:rPr>
      </w:pPr>
    </w:p>
    <w:p w14:paraId="2EC072DA">
      <w:pPr>
        <w:spacing w:line="360" w:lineRule="auto"/>
        <w:jc w:val="center"/>
        <w:rPr>
          <w:rFonts w:ascii="宋体" w:hAnsi="宋体" w:cs="宋体"/>
          <w:b/>
          <w:color w:val="auto"/>
          <w:spacing w:val="6"/>
          <w:sz w:val="32"/>
          <w:szCs w:val="32"/>
          <w:highlight w:val="none"/>
        </w:rPr>
      </w:pPr>
    </w:p>
    <w:p w14:paraId="4BAE312C">
      <w:pPr>
        <w:spacing w:line="360" w:lineRule="auto"/>
        <w:jc w:val="center"/>
        <w:rPr>
          <w:rFonts w:ascii="宋体" w:hAnsi="宋体" w:cs="宋体"/>
          <w:b/>
          <w:color w:val="auto"/>
          <w:spacing w:val="6"/>
          <w:sz w:val="32"/>
          <w:szCs w:val="32"/>
          <w:highlight w:val="none"/>
        </w:rPr>
      </w:pPr>
    </w:p>
    <w:p w14:paraId="314E1A7C">
      <w:pPr>
        <w:spacing w:line="360" w:lineRule="auto"/>
        <w:jc w:val="center"/>
        <w:rPr>
          <w:rFonts w:ascii="宋体" w:hAnsi="宋体" w:cs="宋体"/>
          <w:b/>
          <w:color w:val="auto"/>
          <w:spacing w:val="6"/>
          <w:sz w:val="32"/>
          <w:szCs w:val="32"/>
          <w:highlight w:val="none"/>
        </w:rPr>
      </w:pPr>
    </w:p>
    <w:p w14:paraId="4907C1F0">
      <w:pPr>
        <w:spacing w:line="360" w:lineRule="auto"/>
        <w:jc w:val="center"/>
        <w:rPr>
          <w:rFonts w:ascii="宋体" w:hAnsi="宋体" w:cs="宋体"/>
          <w:b/>
          <w:color w:val="auto"/>
          <w:spacing w:val="6"/>
          <w:sz w:val="32"/>
          <w:szCs w:val="32"/>
          <w:highlight w:val="none"/>
        </w:rPr>
      </w:pPr>
    </w:p>
    <w:p w14:paraId="5113811D">
      <w:pPr>
        <w:spacing w:line="360" w:lineRule="auto"/>
        <w:jc w:val="left"/>
        <w:rPr>
          <w:rFonts w:ascii="宋体" w:hAnsi="宋体" w:cs="宋体"/>
          <w:b/>
          <w:color w:val="auto"/>
          <w:spacing w:val="6"/>
          <w:sz w:val="32"/>
          <w:szCs w:val="32"/>
          <w:highlight w:val="none"/>
        </w:rPr>
      </w:pPr>
    </w:p>
    <w:p w14:paraId="6C88E979">
      <w:pPr>
        <w:spacing w:line="360" w:lineRule="auto"/>
        <w:jc w:val="left"/>
        <w:rPr>
          <w:rFonts w:ascii="宋体" w:hAnsi="宋体" w:cs="宋体"/>
          <w:b/>
          <w:color w:val="auto"/>
          <w:spacing w:val="6"/>
          <w:sz w:val="32"/>
          <w:szCs w:val="32"/>
          <w:highlight w:val="none"/>
        </w:rPr>
      </w:pPr>
    </w:p>
    <w:p w14:paraId="0807A55C">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628F98DC">
      <w:pPr>
        <w:spacing w:line="360" w:lineRule="auto"/>
        <w:jc w:val="center"/>
        <w:rPr>
          <w:rFonts w:ascii="宋体" w:hAnsi="宋体" w:cs="宋体"/>
          <w:b/>
          <w:color w:val="auto"/>
          <w:sz w:val="24"/>
          <w:highlight w:val="none"/>
        </w:rPr>
      </w:pPr>
    </w:p>
    <w:p w14:paraId="5017CF7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585187C3">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5A3EC031">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F7EDA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AF0BBEA">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2E61F12">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0F78834">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2FE7643">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256784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6BEE00">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B8F7B1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DA50835">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64CAE2EB">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5D10A0B">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DB8EFEA">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772C46A">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055AD39">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3936E071">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4CD4AAF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BA78280">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AFFC950">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5566C15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A10B57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4EF451B">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49CC527E">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13EE12D0">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49D3EBE">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E0537BF">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0829A3C3">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36C8C8C8">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01902A0B">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BE69AC6">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676117B">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F612032">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324093B2">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28A7E2C">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5EABE0D">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274E81A">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305CE07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5C874A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D0787BE">
      <w:pPr>
        <w:spacing w:line="360" w:lineRule="auto"/>
        <w:rPr>
          <w:rFonts w:ascii="宋体" w:hAnsi="宋体" w:cs="宋体"/>
          <w:b/>
          <w:color w:val="auto"/>
          <w:sz w:val="24"/>
          <w:highlight w:val="none"/>
        </w:rPr>
      </w:pPr>
    </w:p>
    <w:p w14:paraId="0E5F9AE1">
      <w:pPr>
        <w:spacing w:line="360" w:lineRule="auto"/>
        <w:rPr>
          <w:rFonts w:ascii="宋体" w:hAnsi="宋体" w:cs="宋体"/>
          <w:b/>
          <w:color w:val="auto"/>
          <w:sz w:val="24"/>
          <w:highlight w:val="none"/>
        </w:rPr>
      </w:pPr>
    </w:p>
    <w:p w14:paraId="01AF0863">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6A3580F">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3D51075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44A5BBF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5D828ED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70AD6CA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2373693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78145CC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BA7283B">
      <w:pPr>
        <w:spacing w:line="360" w:lineRule="auto"/>
        <w:rPr>
          <w:rFonts w:ascii="宋体" w:hAnsi="宋体" w:cs="宋体"/>
          <w:b/>
          <w:color w:val="auto"/>
          <w:sz w:val="24"/>
          <w:highlight w:val="none"/>
        </w:rPr>
      </w:pPr>
    </w:p>
    <w:p w14:paraId="02CAD30F">
      <w:pPr>
        <w:autoSpaceDE w:val="0"/>
        <w:autoSpaceDN w:val="0"/>
        <w:jc w:val="center"/>
        <w:rPr>
          <w:rFonts w:ascii="宋体" w:hAnsi="宋体" w:cs="宋体"/>
          <w:b/>
          <w:color w:val="auto"/>
          <w:spacing w:val="6"/>
          <w:sz w:val="32"/>
          <w:szCs w:val="32"/>
          <w:highlight w:val="none"/>
        </w:rPr>
      </w:pPr>
    </w:p>
    <w:p w14:paraId="24420134">
      <w:pPr>
        <w:pStyle w:val="82"/>
        <w:rPr>
          <w:color w:val="auto"/>
          <w:highlight w:val="none"/>
        </w:rPr>
      </w:pPr>
    </w:p>
    <w:p w14:paraId="056FFB0C">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28D694BA">
      <w:pPr>
        <w:spacing w:line="360" w:lineRule="auto"/>
        <w:rPr>
          <w:rFonts w:ascii="宋体" w:hAnsi="宋体" w:cs="宋体"/>
          <w:color w:val="auto"/>
          <w:sz w:val="24"/>
          <w:highlight w:val="none"/>
          <w:u w:val="single"/>
        </w:rPr>
      </w:pPr>
    </w:p>
    <w:p w14:paraId="7A916389">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u w:val="single"/>
          <w:lang w:eastAsia="zh-CN"/>
        </w:rPr>
        <w:t>杭州市钱塘区金沙湖实验学校</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浙江省房地产管理咨询有限公司</w:t>
      </w:r>
    </w:p>
    <w:p w14:paraId="4087EB50">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杭州市钱塘区金沙湖实验学校2025年足球场改造工程</w:t>
      </w:r>
      <w:r>
        <w:rPr>
          <w:rFonts w:hint="eastAsia" w:ascii="宋体" w:hAnsi="宋体" w:cs="宋体"/>
          <w:color w:val="auto"/>
          <w:sz w:val="24"/>
          <w:highlight w:val="none"/>
        </w:rPr>
        <w:t>项目【项目编号：</w:t>
      </w:r>
      <w:r>
        <w:rPr>
          <w:rFonts w:hint="eastAsia" w:ascii="宋体" w:hAnsi="宋体" w:cs="宋体"/>
          <w:color w:val="auto"/>
          <w:sz w:val="24"/>
          <w:highlight w:val="none"/>
          <w:lang w:eastAsia="zh-CN"/>
        </w:rPr>
        <w:t xml:space="preserve"> QTCG-CS-2025-038</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1174D8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5C91431F">
      <w:pPr>
        <w:spacing w:line="360" w:lineRule="auto"/>
        <w:ind w:firstLine="494"/>
        <w:rPr>
          <w:rFonts w:ascii="宋体" w:hAnsi="宋体" w:cs="宋体"/>
          <w:color w:val="auto"/>
          <w:sz w:val="24"/>
          <w:highlight w:val="none"/>
        </w:rPr>
      </w:pPr>
    </w:p>
    <w:p w14:paraId="29282221">
      <w:pPr>
        <w:spacing w:line="360" w:lineRule="auto"/>
        <w:ind w:firstLine="494"/>
        <w:rPr>
          <w:rFonts w:ascii="宋体" w:hAnsi="宋体" w:cs="宋体"/>
          <w:color w:val="auto"/>
          <w:sz w:val="24"/>
          <w:highlight w:val="none"/>
        </w:rPr>
      </w:pPr>
    </w:p>
    <w:p w14:paraId="59995F20">
      <w:pPr>
        <w:spacing w:line="360" w:lineRule="auto"/>
        <w:ind w:firstLine="494"/>
        <w:rPr>
          <w:rFonts w:ascii="宋体" w:hAnsi="宋体" w:cs="宋体"/>
          <w:color w:val="auto"/>
          <w:sz w:val="24"/>
          <w:highlight w:val="none"/>
        </w:rPr>
      </w:pPr>
    </w:p>
    <w:p w14:paraId="61B63F71">
      <w:pPr>
        <w:spacing w:line="360" w:lineRule="auto"/>
        <w:ind w:firstLine="494"/>
        <w:rPr>
          <w:rFonts w:ascii="宋体" w:hAnsi="宋体" w:cs="宋体"/>
          <w:color w:val="auto"/>
          <w:sz w:val="24"/>
          <w:highlight w:val="none"/>
        </w:rPr>
      </w:pPr>
    </w:p>
    <w:p w14:paraId="387AEF4D">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（法定名称章）：</w:t>
      </w:r>
    </w:p>
    <w:p w14:paraId="173BA9D7">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13BFB6C">
      <w:pPr>
        <w:rPr>
          <w:rFonts w:ascii="宋体" w:hAnsi="宋体" w:cs="宋体"/>
          <w:color w:val="auto"/>
          <w:sz w:val="24"/>
          <w:highlight w:val="none"/>
        </w:rPr>
      </w:pPr>
      <w:r>
        <w:rPr>
          <w:rFonts w:hint="eastAsia" w:ascii="宋体" w:hAnsi="宋体" w:cs="宋体"/>
          <w:b/>
          <w:bCs/>
          <w:color w:val="auto"/>
          <w:sz w:val="24"/>
          <w:highlight w:val="none"/>
        </w:rPr>
        <w:t>附：</w:t>
      </w:r>
    </w:p>
    <w:p w14:paraId="55F0330A">
      <w:pPr>
        <w:spacing w:line="360" w:lineRule="auto"/>
        <w:rPr>
          <w:rFonts w:ascii="宋体" w:hAnsi="宋体" w:cs="宋体"/>
          <w:bCs/>
          <w:color w:val="auto"/>
          <w:sz w:val="24"/>
          <w:highlight w:val="none"/>
        </w:rPr>
      </w:pPr>
      <w:r>
        <w:rPr>
          <w:rFonts w:hint="default" w:ascii="宋体" w:hAnsi="宋体" w:cs="宋体"/>
          <w:b/>
          <w:bCs/>
          <w:color w:val="auto"/>
          <w:sz w:val="24"/>
          <w:highlight w:val="none"/>
          <w:lang w:val="en-U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default" w:ascii="宋体" w:hAnsi="宋体" w:cs="宋体"/>
          <w:b/>
          <w:bCs/>
          <w:color w:val="auto"/>
          <w:sz w:val="24"/>
          <w:highlight w:val="none"/>
          <w:lang w:val="en-U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lang w:val="en-US" w:eastAsia="zh-CN"/>
        </w:rPr>
        <w:t>供应商</w:t>
      </w:r>
      <w:r>
        <w:rPr>
          <w:rFonts w:hint="eastAsia" w:ascii="宋体" w:hAnsi="宋体" w:cs="宋体"/>
          <w:color w:val="auto"/>
          <w:sz w:val="24"/>
          <w:highlight w:val="none"/>
        </w:rPr>
        <w:t xml:space="preserve">法定名称章（印模）                </w:t>
      </w: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“XX专用章”（印模）</w:t>
      </w:r>
    </w:p>
    <w:p w14:paraId="3240DA47">
      <w:pPr>
        <w:autoSpaceDE w:val="0"/>
        <w:autoSpaceDN w:val="0"/>
        <w:jc w:val="center"/>
        <w:rPr>
          <w:rFonts w:ascii="宋体" w:hAnsi="宋体" w:cs="宋体"/>
          <w:b/>
          <w:color w:val="auto"/>
          <w:spacing w:val="6"/>
          <w:sz w:val="32"/>
          <w:szCs w:val="32"/>
          <w:highlight w:val="none"/>
        </w:rPr>
      </w:pPr>
    </w:p>
    <w:p w14:paraId="4113D412">
      <w:pPr>
        <w:autoSpaceDE w:val="0"/>
        <w:autoSpaceDN w:val="0"/>
        <w:jc w:val="center"/>
        <w:rPr>
          <w:rFonts w:ascii="宋体" w:hAnsi="宋体" w:cs="宋体"/>
          <w:b/>
          <w:color w:val="auto"/>
          <w:spacing w:val="6"/>
          <w:sz w:val="32"/>
          <w:szCs w:val="32"/>
          <w:highlight w:val="none"/>
        </w:rPr>
      </w:pPr>
    </w:p>
    <w:p w14:paraId="585B195B">
      <w:pPr>
        <w:autoSpaceDE w:val="0"/>
        <w:autoSpaceDN w:val="0"/>
        <w:jc w:val="center"/>
        <w:rPr>
          <w:rFonts w:ascii="宋体" w:hAnsi="宋体" w:cs="宋体"/>
          <w:b/>
          <w:color w:val="auto"/>
          <w:spacing w:val="6"/>
          <w:sz w:val="32"/>
          <w:szCs w:val="32"/>
          <w:highlight w:val="none"/>
        </w:rPr>
      </w:pPr>
    </w:p>
    <w:p w14:paraId="79F810A9">
      <w:pPr>
        <w:autoSpaceDE w:val="0"/>
        <w:autoSpaceDN w:val="0"/>
        <w:jc w:val="center"/>
        <w:rPr>
          <w:rFonts w:ascii="宋体" w:hAnsi="宋体" w:cs="宋体"/>
          <w:b/>
          <w:color w:val="auto"/>
          <w:spacing w:val="6"/>
          <w:sz w:val="32"/>
          <w:szCs w:val="32"/>
          <w:highlight w:val="none"/>
        </w:rPr>
      </w:pPr>
    </w:p>
    <w:p w14:paraId="677303C5">
      <w:pPr>
        <w:autoSpaceDE w:val="0"/>
        <w:autoSpaceDN w:val="0"/>
        <w:jc w:val="center"/>
        <w:rPr>
          <w:rFonts w:ascii="宋体" w:hAnsi="宋体" w:cs="宋体"/>
          <w:b/>
          <w:color w:val="auto"/>
          <w:spacing w:val="6"/>
          <w:sz w:val="32"/>
          <w:szCs w:val="32"/>
          <w:highlight w:val="none"/>
        </w:rPr>
      </w:pPr>
    </w:p>
    <w:p w14:paraId="578412EE">
      <w:pPr>
        <w:autoSpaceDE w:val="0"/>
        <w:autoSpaceDN w:val="0"/>
        <w:jc w:val="center"/>
        <w:rPr>
          <w:rFonts w:ascii="宋体" w:hAnsi="宋体" w:cs="宋体"/>
          <w:b/>
          <w:color w:val="auto"/>
          <w:spacing w:val="6"/>
          <w:sz w:val="32"/>
          <w:szCs w:val="32"/>
          <w:highlight w:val="none"/>
        </w:rPr>
      </w:pPr>
    </w:p>
    <w:p w14:paraId="34321D0F">
      <w:pPr>
        <w:autoSpaceDE w:val="0"/>
        <w:autoSpaceDN w:val="0"/>
        <w:jc w:val="center"/>
        <w:rPr>
          <w:rFonts w:ascii="宋体" w:hAnsi="宋体" w:cs="宋体"/>
          <w:b/>
          <w:color w:val="auto"/>
          <w:spacing w:val="6"/>
          <w:sz w:val="32"/>
          <w:szCs w:val="32"/>
          <w:highlight w:val="none"/>
        </w:rPr>
      </w:pPr>
    </w:p>
    <w:p w14:paraId="3E388646">
      <w:pPr>
        <w:autoSpaceDE w:val="0"/>
        <w:autoSpaceDN w:val="0"/>
        <w:jc w:val="center"/>
        <w:rPr>
          <w:rFonts w:ascii="宋体" w:hAnsi="宋体" w:cs="宋体"/>
          <w:b/>
          <w:color w:val="auto"/>
          <w:spacing w:val="6"/>
          <w:sz w:val="32"/>
          <w:szCs w:val="32"/>
          <w:highlight w:val="none"/>
        </w:rPr>
      </w:pPr>
    </w:p>
    <w:p w14:paraId="64D683A0">
      <w:pPr>
        <w:autoSpaceDE w:val="0"/>
        <w:autoSpaceDN w:val="0"/>
        <w:jc w:val="center"/>
        <w:rPr>
          <w:rFonts w:ascii="宋体" w:hAnsi="宋体" w:cs="宋体"/>
          <w:b/>
          <w:color w:val="auto"/>
          <w:spacing w:val="6"/>
          <w:sz w:val="32"/>
          <w:szCs w:val="32"/>
          <w:highlight w:val="none"/>
        </w:rPr>
      </w:pPr>
    </w:p>
    <w:p w14:paraId="3F3D3B89">
      <w:pPr>
        <w:autoSpaceDE w:val="0"/>
        <w:autoSpaceDN w:val="0"/>
        <w:jc w:val="center"/>
        <w:rPr>
          <w:rFonts w:ascii="宋体" w:hAnsi="宋体" w:cs="宋体"/>
          <w:b/>
          <w:color w:val="auto"/>
          <w:spacing w:val="6"/>
          <w:sz w:val="32"/>
          <w:szCs w:val="32"/>
          <w:highlight w:val="none"/>
        </w:rPr>
      </w:pPr>
    </w:p>
    <w:p w14:paraId="1DF79A25">
      <w:pPr>
        <w:autoSpaceDE w:val="0"/>
        <w:autoSpaceDN w:val="0"/>
        <w:jc w:val="center"/>
        <w:rPr>
          <w:rFonts w:ascii="宋体" w:hAnsi="宋体" w:cs="宋体"/>
          <w:b/>
          <w:color w:val="auto"/>
          <w:spacing w:val="6"/>
          <w:sz w:val="32"/>
          <w:szCs w:val="32"/>
          <w:highlight w:val="none"/>
        </w:rPr>
      </w:pPr>
    </w:p>
    <w:p w14:paraId="39FC4E60">
      <w:pPr>
        <w:autoSpaceDE w:val="0"/>
        <w:autoSpaceDN w:val="0"/>
        <w:jc w:val="center"/>
        <w:rPr>
          <w:rFonts w:ascii="宋体" w:hAnsi="宋体" w:cs="宋体"/>
          <w:b/>
          <w:color w:val="auto"/>
          <w:spacing w:val="6"/>
          <w:sz w:val="32"/>
          <w:szCs w:val="32"/>
          <w:highlight w:val="none"/>
        </w:rPr>
      </w:pPr>
    </w:p>
    <w:p w14:paraId="0B0C9043">
      <w:pPr>
        <w:autoSpaceDE w:val="0"/>
        <w:autoSpaceDN w:val="0"/>
        <w:jc w:val="center"/>
        <w:rPr>
          <w:rFonts w:ascii="宋体" w:hAnsi="宋体" w:cs="宋体"/>
          <w:b/>
          <w:color w:val="auto"/>
          <w:spacing w:val="6"/>
          <w:sz w:val="32"/>
          <w:szCs w:val="32"/>
          <w:highlight w:val="none"/>
        </w:rPr>
      </w:pPr>
    </w:p>
    <w:p w14:paraId="6AFB2ACD">
      <w:pPr>
        <w:autoSpaceDE w:val="0"/>
        <w:autoSpaceDN w:val="0"/>
        <w:jc w:val="center"/>
        <w:rPr>
          <w:rFonts w:ascii="宋体" w:hAnsi="宋体" w:cs="宋体"/>
          <w:b/>
          <w:color w:val="auto"/>
          <w:spacing w:val="6"/>
          <w:sz w:val="32"/>
          <w:szCs w:val="32"/>
          <w:highlight w:val="none"/>
        </w:rPr>
      </w:pPr>
    </w:p>
    <w:p w14:paraId="5C987B3F">
      <w:pPr>
        <w:autoSpaceDE w:val="0"/>
        <w:autoSpaceDN w:val="0"/>
        <w:jc w:val="center"/>
        <w:rPr>
          <w:rFonts w:ascii="宋体" w:hAnsi="宋体" w:cs="宋体"/>
          <w:b/>
          <w:color w:val="auto"/>
          <w:spacing w:val="6"/>
          <w:sz w:val="32"/>
          <w:szCs w:val="32"/>
          <w:highlight w:val="none"/>
        </w:rPr>
      </w:pPr>
    </w:p>
    <w:p w14:paraId="1A76DBDE">
      <w:pPr>
        <w:autoSpaceDE w:val="0"/>
        <w:autoSpaceDN w:val="0"/>
        <w:jc w:val="center"/>
        <w:rPr>
          <w:rFonts w:ascii="宋体" w:hAnsi="宋体" w:cs="宋体"/>
          <w:b/>
          <w:color w:val="auto"/>
          <w:spacing w:val="6"/>
          <w:sz w:val="32"/>
          <w:szCs w:val="32"/>
          <w:highlight w:val="none"/>
        </w:rPr>
      </w:pPr>
    </w:p>
    <w:p w14:paraId="09998C71">
      <w:pPr>
        <w:autoSpaceDE w:val="0"/>
        <w:autoSpaceDN w:val="0"/>
        <w:jc w:val="center"/>
        <w:rPr>
          <w:rFonts w:ascii="宋体" w:hAnsi="宋体" w:cs="宋体"/>
          <w:b/>
          <w:color w:val="auto"/>
          <w:spacing w:val="6"/>
          <w:sz w:val="32"/>
          <w:szCs w:val="32"/>
          <w:highlight w:val="none"/>
        </w:rPr>
      </w:pPr>
    </w:p>
    <w:p w14:paraId="7BF83043">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6378E40C">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（以联合体形式参与的，提供联合协议；本项目不接受联合体或者供应商不以联合体形式参与的，则不需要提供）</w:t>
      </w:r>
    </w:p>
    <w:p w14:paraId="0D4ADD2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杭州市钱塘区金沙湖实验学校2025年足球场改造工程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 xml:space="preserve"> QTCG-CS-2025-038</w:t>
      </w:r>
      <w:r>
        <w:rPr>
          <w:rFonts w:hint="eastAsia" w:ascii="宋体" w:hAnsi="宋体" w:cs="宋体"/>
          <w:color w:val="auto"/>
          <w:sz w:val="24"/>
          <w:highlight w:val="none"/>
        </w:rPr>
        <w:t>】</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zh-CN"/>
        </w:rPr>
        <w:t xml:space="preserve">。 </w:t>
      </w:r>
    </w:p>
    <w:p w14:paraId="3EBF3E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9C3612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授权代表根据采购文件规定及</w:t>
      </w:r>
      <w:r>
        <w:rPr>
          <w:rFonts w:hint="eastAsia" w:ascii="宋体" w:hAnsi="宋体" w:cs="宋体"/>
          <w:color w:val="auto"/>
          <w:kern w:val="0"/>
          <w:sz w:val="24"/>
          <w:highlight w:val="none"/>
          <w:lang w:val="en-US" w:eastAsia="zh-CN"/>
        </w:rPr>
        <w:t>响应内容</w:t>
      </w:r>
      <w:r>
        <w:rPr>
          <w:rFonts w:hint="eastAsia" w:ascii="宋体" w:hAnsi="宋体" w:cs="宋体"/>
          <w:color w:val="auto"/>
          <w:kern w:val="0"/>
          <w:sz w:val="24"/>
          <w:highlight w:val="none"/>
          <w:lang w:val="zh-CN"/>
        </w:rPr>
        <w:t>而对采购人、采购机构所作的任何合法承诺，包括书面澄清及相应等均对联合投标各方产生约束力。</w:t>
      </w:r>
    </w:p>
    <w:p w14:paraId="6739B88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zh-CN"/>
        </w:rPr>
        <w:t>中，分工如下：</w:t>
      </w:r>
    </w:p>
    <w:p w14:paraId="04709A4C">
      <w:pPr>
        <w:snapToGrid w:val="0"/>
        <w:spacing w:line="360" w:lineRule="auto"/>
        <w:ind w:firstLine="576"/>
        <w:rPr>
          <w:rFonts w:ascii="宋体" w:hAnsi="宋体" w:cs="宋体"/>
          <w:color w:val="auto"/>
          <w:kern w:val="0"/>
          <w:sz w:val="24"/>
          <w:highlight w:val="none"/>
          <w:lang w:val="zh-CN"/>
        </w:rPr>
      </w:pPr>
      <w:bookmarkStart w:id="1196"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666510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A2E0C4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1196"/>
    <w:p w14:paraId="6AC71D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5572E2E">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提供的全部工程由小微企业承建，其合同份额占到合同总金额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（未预留份额专门面向中小企业采购的的采购项目，以及预留份额中的非预留部分采购包，接受联合体</w:t>
      </w:r>
      <w:r>
        <w:rPr>
          <w:rFonts w:hint="eastAsia" w:ascii="宋体" w:hAnsi="宋体" w:cs="宋体"/>
          <w:b/>
          <w:color w:val="auto"/>
          <w:kern w:val="0"/>
          <w:sz w:val="24"/>
          <w:highlight w:val="none"/>
          <w:lang w:val="en-US" w:eastAsia="zh-CN"/>
        </w:rPr>
        <w:t>磋商</w:t>
      </w:r>
      <w:r>
        <w:rPr>
          <w:rFonts w:hint="eastAsia" w:ascii="宋体" w:hAnsi="宋体" w:cs="宋体"/>
          <w:b/>
          <w:color w:val="auto"/>
          <w:kern w:val="0"/>
          <w:sz w:val="24"/>
          <w:highlight w:val="none"/>
          <w:lang w:val="zh-CN"/>
        </w:rPr>
        <w:t>的，联合协议约定小微企业的合同份额占到合同总金额30%以上的，对联合体报价给予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E08543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6382DC0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五、如果成交，</w:t>
      </w:r>
      <w:r>
        <w:rPr>
          <w:rFonts w:hint="eastAsia" w:ascii="宋体" w:hAnsi="宋体" w:cs="宋体"/>
          <w:color w:val="auto"/>
          <w:sz w:val="24"/>
          <w:highlight w:val="none"/>
        </w:rPr>
        <w:t>联合体各成员方共同与采购人签订合同，并就采购合同约定的事项对采购人承担连带责任。</w:t>
      </w:r>
    </w:p>
    <w:p w14:paraId="2D0DCE3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zh-CN"/>
        </w:rPr>
        <w:t>的其他事宜：</w:t>
      </w:r>
    </w:p>
    <w:p w14:paraId="34FC092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3E7EED3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AADC43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55098BF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5B8CE72">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95D3E7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2BB6309">
      <w:pP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14:paraId="71BC94C6">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5F4011AE">
      <w:pPr>
        <w:pageBreakBefore w:val="0"/>
        <w:widowControl/>
        <w:kinsoku/>
        <w:wordWrap/>
        <w:overflowPunct/>
        <w:topLinePunct w:val="0"/>
        <w:autoSpaceDE/>
        <w:autoSpaceDN/>
        <w:bidi w:val="0"/>
        <w:spacing w:line="312" w:lineRule="auto"/>
        <w:ind w:firstLine="120" w:firstLineChars="50"/>
        <w:jc w:val="left"/>
        <w:textAlignment w:val="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cs="宋体"/>
          <w:color w:val="auto"/>
          <w:sz w:val="24"/>
          <w:highlight w:val="none"/>
        </w:rPr>
        <w:t>）</w:t>
      </w:r>
    </w:p>
    <w:p w14:paraId="77FE5FA9">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杭州市钱塘区金沙湖实验学校2025年足球场改造工程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 xml:space="preserve"> QTCG-CS-2025-038</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的成交供应商，将依法采取分包方式履行合同。</w:t>
      </w: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3D622F43">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FF29EE2">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A14E12C">
      <w:pPr>
        <w:pStyle w:val="4"/>
        <w:pageBreakBefore w:val="0"/>
        <w:kinsoku/>
        <w:wordWrap/>
        <w:overflowPunct/>
        <w:topLinePunct w:val="0"/>
        <w:autoSpaceDE/>
        <w:autoSpaceDN/>
        <w:bidi w:val="0"/>
        <w:spacing w:line="312" w:lineRule="auto"/>
        <w:ind w:left="664" w:leftChars="316" w:firstLine="229" w:firstLineChars="95"/>
        <w:textAlignment w:val="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19CC7651">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013B4976">
      <w:pPr>
        <w:pageBreakBefore w:val="0"/>
        <w:kinsoku/>
        <w:wordWrap/>
        <w:overflowPunct/>
        <w:topLinePunct w:val="0"/>
        <w:autoSpaceDE/>
        <w:autoSpaceDN/>
        <w:bidi w:val="0"/>
        <w:snapToGrid w:val="0"/>
        <w:spacing w:line="312" w:lineRule="auto"/>
        <w:ind w:firstLine="576"/>
        <w:textAlignment w:val="auto"/>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……）提供的工程全部由小微企业承建，</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80A51A7">
      <w:pPr>
        <w:pageBreakBefore w:val="0"/>
        <w:kinsoku/>
        <w:wordWrap/>
        <w:overflowPunct/>
        <w:topLinePunct w:val="0"/>
        <w:autoSpaceDE/>
        <w:autoSpaceDN/>
        <w:bidi w:val="0"/>
        <w:spacing w:line="312" w:lineRule="auto"/>
        <w:ind w:firstLine="480" w:firstLineChars="200"/>
        <w:textAlignment w:val="auto"/>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1197"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要求合同分包形式参加的项目或采购包，供应商按采购文件第一部分竞争性磋商公告申请人的资格要求中规定的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1197"/>
    </w:p>
    <w:p w14:paraId="4392C8F4">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A673A79">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highlight w:val="none"/>
          <w:u w:val="single"/>
        </w:rPr>
      </w:pPr>
      <w:r>
        <w:rPr>
          <w:rFonts w:hint="eastAsia" w:ascii="宋体" w:hAnsi="宋体" w:cs="宋体"/>
          <w:color w:val="auto"/>
          <w:highlight w:val="none"/>
          <w:u w:val="single"/>
        </w:rPr>
        <w:t xml:space="preserve">                                                                                  </w:t>
      </w:r>
    </w:p>
    <w:p w14:paraId="2C95986B">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DEBF750">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A3FD451">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1D920E85">
      <w:pPr>
        <w:pageBreakBefore w:val="0"/>
        <w:kinsoku/>
        <w:wordWrap/>
        <w:overflowPunct/>
        <w:topLinePunct w:val="0"/>
        <w:autoSpaceDE/>
        <w:autoSpaceDN/>
        <w:bidi w:val="0"/>
        <w:snapToGrid w:val="0"/>
        <w:spacing w:line="312" w:lineRule="auto"/>
        <w:ind w:left="573" w:leftChars="273"/>
        <w:textAlignment w:val="auto"/>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7A367A6">
      <w:pPr>
        <w:pageBreakBefore w:val="0"/>
        <w:kinsoku/>
        <w:wordWrap/>
        <w:overflowPunct/>
        <w:topLinePunct w:val="0"/>
        <w:autoSpaceDE/>
        <w:autoSpaceDN/>
        <w:bidi w:val="0"/>
        <w:snapToGrid w:val="0"/>
        <w:spacing w:line="312" w:lineRule="auto"/>
        <w:ind w:left="573" w:leftChars="273"/>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AB733D8">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D7F3068">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5FA50D7B">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B7B6F4E">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14:paraId="7BFE1BD8">
      <w:pPr>
        <w:snapToGrid w:val="0"/>
        <w:spacing w:line="360" w:lineRule="auto"/>
        <w:ind w:firstLine="5640" w:firstLineChars="23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14:paraId="13957574">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FA773B9">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776213A">
      <w:pPr>
        <w:autoSpaceDE w:val="0"/>
        <w:autoSpaceDN w:val="0"/>
        <w:jc w:val="center"/>
        <w:rPr>
          <w:rFonts w:ascii="宋体" w:hAnsi="宋体" w:cs="宋体"/>
          <w:b/>
          <w:color w:val="auto"/>
          <w:spacing w:val="6"/>
          <w:sz w:val="32"/>
          <w:szCs w:val="32"/>
          <w:highlight w:val="none"/>
        </w:rPr>
      </w:pPr>
    </w:p>
    <w:p w14:paraId="3CEBAC36">
      <w:pP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14:paraId="67611254">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7</w:t>
      </w:r>
      <w:r>
        <w:rPr>
          <w:rFonts w:hint="eastAsia" w:ascii="宋体" w:hAnsi="宋体" w:cs="宋体"/>
          <w:b/>
          <w:color w:val="auto"/>
          <w:spacing w:val="6"/>
          <w:sz w:val="32"/>
          <w:szCs w:val="32"/>
          <w:highlight w:val="none"/>
        </w:rPr>
        <w:t>：</w:t>
      </w:r>
      <w:r>
        <w:rPr>
          <w:rFonts w:hint="eastAsia" w:ascii="宋体" w:hAnsi="宋体" w:cs="宋体"/>
          <w:b/>
          <w:color w:val="auto"/>
          <w:sz w:val="32"/>
          <w:szCs w:val="32"/>
          <w:highlight w:val="none"/>
        </w:rPr>
        <w:t>中小企业声明函</w:t>
      </w:r>
    </w:p>
    <w:p w14:paraId="261756AB">
      <w:pPr>
        <w:spacing w:line="360" w:lineRule="auto"/>
        <w:jc w:val="center"/>
        <w:rPr>
          <w:rFonts w:ascii="宋体" w:hAnsi="宋体" w:cs="宋体"/>
          <w:color w:val="auto"/>
          <w:sz w:val="24"/>
          <w:highlight w:val="none"/>
          <w:u w:val="single"/>
        </w:rPr>
      </w:pPr>
    </w:p>
    <w:p w14:paraId="2E1E8F00">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中小企业声明函（工程）</w:t>
      </w:r>
    </w:p>
    <w:p w14:paraId="6D18E2A5">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杭州市钱塘区金沙湖实验学校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杭州市钱塘区金沙湖实验学校2025年足球场改造工程</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B6F85F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lang w:eastAsia="zh-CN"/>
        </w:rPr>
        <w:t>杭州市钱塘区金沙湖实验学校2025年足球场改造工程</w:t>
      </w:r>
      <w:r>
        <w:rPr>
          <w:rFonts w:hint="eastAsia" w:ascii="宋体" w:hAnsi="宋体" w:cs="宋体"/>
          <w:color w:val="auto"/>
          <w:sz w:val="24"/>
          <w:highlight w:val="none"/>
        </w:rPr>
        <w:t>，属于</w:t>
      </w:r>
      <w:r>
        <w:rPr>
          <w:rFonts w:hint="eastAsia" w:ascii="宋体" w:hAnsi="宋体" w:cs="宋体"/>
          <w:color w:val="auto"/>
          <w:sz w:val="24"/>
          <w:highlight w:val="none"/>
          <w:u w:val="single"/>
          <w:lang w:eastAsia="zh-CN"/>
        </w:rPr>
        <w:t>建筑业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207CD4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01A3471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774364F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64829A0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3AF8DC8">
      <w:pPr>
        <w:spacing w:line="360" w:lineRule="auto"/>
        <w:ind w:firstLine="480" w:firstLineChars="200"/>
        <w:rPr>
          <w:rFonts w:ascii="宋体" w:hAnsi="宋体" w:cs="宋体"/>
          <w:color w:val="auto"/>
          <w:sz w:val="24"/>
          <w:highlight w:val="none"/>
        </w:rPr>
      </w:pPr>
    </w:p>
    <w:p w14:paraId="08480A76">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789EB238">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20C5365">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14:paraId="40B8E042">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685823EB">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仿宋_GB2312"/>
          <w:b/>
          <w:bCs w:val="0"/>
          <w:kern w:val="2"/>
          <w:sz w:val="24"/>
          <w:szCs w:val="24"/>
          <w:highlight w:val="none"/>
          <w:woUserID w:val="1"/>
        </w:rPr>
      </w:pPr>
      <w:r>
        <w:rPr>
          <w:rFonts w:hint="eastAsia" w:ascii="宋体" w:hAnsi="宋体" w:eastAsia="宋体" w:cs="宋体"/>
          <w:kern w:val="2"/>
          <w:sz w:val="24"/>
          <w:szCs w:val="24"/>
          <w:highlight w:val="none"/>
          <w:lang w:val="en-US" w:eastAsia="zh-CN" w:bidi="ar"/>
          <w:woUserID w:val="1"/>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23AD23D4">
      <w:pPr>
        <w:spacing w:line="360" w:lineRule="auto"/>
        <w:jc w:val="center"/>
        <w:rPr>
          <w:rFonts w:ascii="宋体" w:hAnsi="宋体" w:cs="宋体"/>
          <w:b/>
          <w:color w:val="auto"/>
          <w:sz w:val="32"/>
          <w:szCs w:val="32"/>
          <w:highlight w:val="none"/>
        </w:rPr>
      </w:pPr>
    </w:p>
    <w:p w14:paraId="27C56C8B">
      <w:pPr>
        <w:spacing w:line="360" w:lineRule="auto"/>
        <w:jc w:val="center"/>
        <w:rPr>
          <w:rFonts w:ascii="宋体" w:hAnsi="宋体" w:cs="宋体"/>
          <w:b/>
          <w:color w:val="auto"/>
          <w:sz w:val="32"/>
          <w:szCs w:val="32"/>
          <w:highlight w:val="none"/>
        </w:rPr>
      </w:pPr>
    </w:p>
    <w:p w14:paraId="6B4B46C3">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附件8：工程量清单（另附）</w:t>
      </w:r>
    </w:p>
    <w:p w14:paraId="666AFC11">
      <w:pPr>
        <w:spacing w:line="360" w:lineRule="auto"/>
        <w:rPr>
          <w:rFonts w:ascii="宋体" w:hAnsi="宋体" w:cs="宋体"/>
          <w:b/>
          <w:color w:val="auto"/>
          <w:spacing w:val="6"/>
          <w:sz w:val="32"/>
          <w:szCs w:val="32"/>
          <w:highlight w:val="none"/>
        </w:rPr>
      </w:pPr>
    </w:p>
    <w:p w14:paraId="5DDD856B">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附件9：图纸（另附）</w:t>
      </w:r>
    </w:p>
    <w:p w14:paraId="6CA53576">
      <w:pPr>
        <w:pStyle w:val="27"/>
        <w:rPr>
          <w:color w:val="auto"/>
          <w:highlight w:val="none"/>
        </w:rPr>
        <w:sectPr>
          <w:pgSz w:w="11906" w:h="16838"/>
          <w:pgMar w:top="1440" w:right="1080" w:bottom="1440" w:left="1080" w:header="851" w:footer="992" w:gutter="0"/>
          <w:cols w:space="720" w:num="1"/>
          <w:titlePg/>
          <w:docGrid w:linePitch="312" w:charSpace="0"/>
        </w:sectPr>
      </w:pPr>
    </w:p>
    <w:p w14:paraId="7E51085E">
      <w:pPr>
        <w:rPr>
          <w:color w:val="auto"/>
          <w:highlight w:val="none"/>
        </w:rPr>
      </w:pPr>
      <w:r>
        <w:rPr>
          <w:rFonts w:hint="eastAsia" w:ascii="仿宋" w:hAnsi="仿宋" w:eastAsia="仿宋" w:cs="仿宋"/>
          <w:color w:val="auto"/>
          <w:highlight w:val="none"/>
        </w:rPr>
        <w:drawing>
          <wp:inline distT="0" distB="0" distL="114300" distR="114300">
            <wp:extent cx="9091295" cy="5498465"/>
            <wp:effectExtent l="0" t="0" r="1460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2"/>
                    <a:stretch>
                      <a:fillRect/>
                    </a:stretch>
                  </pic:blipFill>
                  <pic:spPr>
                    <a:xfrm>
                      <a:off x="0" y="0"/>
                      <a:ext cx="9091295" cy="5498465"/>
                    </a:xfrm>
                    <a:prstGeom prst="rect">
                      <a:avLst/>
                    </a:prstGeom>
                    <a:noFill/>
                    <a:ln>
                      <a:noFill/>
                    </a:ln>
                  </pic:spPr>
                </pic:pic>
              </a:graphicData>
            </a:graphic>
          </wp:inline>
        </w:drawing>
      </w:r>
    </w:p>
    <w:sectPr>
      <w:pgSz w:w="16838" w:h="11906" w:orient="landscape"/>
      <w:pgMar w:top="1080" w:right="1440" w:bottom="1080" w:left="144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modern"/>
    <w:pitch w:val="default"/>
    <w:sig w:usb0="E00006FF" w:usb1="420024FF" w:usb2="02000000" w:usb3="00000000" w:csb0="2000019F" w:csb1="00000000"/>
  </w:font>
  <w:font w:name="微软雅黑">
    <w:panose1 w:val="020B0503020204020204"/>
    <w:charset w:val="86"/>
    <w:family w:val="decorative"/>
    <w:pitch w:val="default"/>
    <w:sig w:usb0="80000287" w:usb1="2ACF3C50" w:usb2="00000016" w:usb3="00000000" w:csb0="0004001F" w:csb1="00000000"/>
  </w:font>
  <w:font w:name="隶书">
    <w:panose1 w:val="02010509060101010101"/>
    <w:charset w:val="86"/>
    <w:family w:val="swiss"/>
    <w:pitch w:val="default"/>
    <w:sig w:usb0="00000001" w:usb1="080E0000" w:usb2="00000000" w:usb3="00000000" w:csb0="00040000" w:csb1="00000000"/>
  </w:font>
  <w:font w:name="楷体_GB2312">
    <w:altName w:val="楷体"/>
    <w:panose1 w:val="00000000000000000000"/>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decorative"/>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decorative"/>
    <w:pitch w:val="default"/>
    <w:sig w:usb0="E1002EFF" w:usb1="C000605B" w:usb2="00000029" w:usb3="00000000" w:csb0="200101FF" w:csb1="20280000"/>
  </w:font>
  <w:font w:name="MS Sans Serif">
    <w:altName w:val="Segoe Print"/>
    <w:panose1 w:val="00000000000000000000"/>
    <w:charset w:val="00"/>
    <w:family w:val="decorative"/>
    <w:pitch w:val="default"/>
    <w:sig w:usb0="00000000" w:usb1="00000000" w:usb2="00000000" w:usb3="00000000" w:csb0="00000001" w:csb1="00000000"/>
  </w:font>
  <w:font w:name="Lucida Sans">
    <w:panose1 w:val="020B0602030504020204"/>
    <w:charset w:val="00"/>
    <w:family w:val="decorative"/>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decorative"/>
    <w:pitch w:val="default"/>
    <w:sig w:usb0="A00006FF" w:usb1="4000205B" w:usb2="00000010" w:usb3="00000000" w:csb0="2000019F" w:csb1="00000000"/>
  </w:font>
  <w:font w:name="ˎ̥">
    <w:altName w:val="微软雅黑"/>
    <w:panose1 w:val="00000000000000000000"/>
    <w:charset w:val="00"/>
    <w:family w:val="modern"/>
    <w:pitch w:val="default"/>
    <w:sig w:usb0="00000000" w:usb1="00000000" w:usb2="00000000" w:usb3="00000000" w:csb0="00040001" w:csb1="00000000"/>
  </w:font>
  <w:font w:name="幼圆">
    <w:panose1 w:val="02010509060101010101"/>
    <w:charset w:val="86"/>
    <w:family w:val="swiss"/>
    <w:pitch w:val="default"/>
    <w:sig w:usb0="00000001" w:usb1="080E0000" w:usb2="00000000" w:usb3="00000000" w:csb0="00040000" w:csb1="00000000"/>
  </w:font>
  <w:font w:name="Arial Narrow">
    <w:panose1 w:val="020B0606020202030204"/>
    <w:charset w:val="00"/>
    <w:family w:val="decorative"/>
    <w:pitch w:val="default"/>
    <w:sig w:usb0="00000287" w:usb1="00000800" w:usb2="00000000" w:usb3="00000000" w:csb0="2000009F" w:csb1="DFD70000"/>
  </w:font>
  <w:font w:name="FHLHE E+ Futura Bk">
    <w:altName w:val="宋体"/>
    <w:panose1 w:val="00000000000000000000"/>
    <w:charset w:val="86"/>
    <w:family w:val="decorative"/>
    <w:pitch w:val="default"/>
    <w:sig w:usb0="00000000" w:usb1="00000000" w:usb2="00000010" w:usb3="00000000" w:csb0="00040000" w:csb1="00000000"/>
  </w:font>
  <w:font w:name="Arial (W1)">
    <w:altName w:val="Arial"/>
    <w:panose1 w:val="00000000000000000000"/>
    <w:charset w:val="00"/>
    <w:family w:val="decorative"/>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0000000000000000000"/>
    <w:charset w:val="00"/>
    <w:family w:val="decorative"/>
    <w:pitch w:val="default"/>
    <w:sig w:usb0="00000000" w:usb1="00000000" w:usb2="00000000" w:usb3="00000000" w:csb0="00000000" w:csb1="00000000"/>
  </w:font>
  <w:font w:name="Cumberland">
    <w:altName w:val="微软雅黑"/>
    <w:panose1 w:val="00000000000000000000"/>
    <w:charset w:val="00"/>
    <w:family w:val="swiss"/>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decorative"/>
    <w:pitch w:val="default"/>
    <w:sig w:usb0="00000000" w:usb1="00000000" w:usb2="00000000" w:usb3="00000000" w:csb0="000001FB" w:csb1="00000000"/>
  </w:font>
  <w:font w:name="Segoe UI">
    <w:panose1 w:val="020B0502040204020203"/>
    <w:charset w:val="00"/>
    <w:family w:val="decorative"/>
    <w:pitch w:val="default"/>
    <w:sig w:usb0="E4002EFF" w:usb1="C000E47F" w:usb2="00000009" w:usb3="00000000" w:csb0="200001FF" w:csb1="00000000"/>
  </w:font>
  <w:font w:name="Latha">
    <w:altName w:val="Segoe Print"/>
    <w:panose1 w:val="020B0604020202020204"/>
    <w:charset w:val="00"/>
    <w:family w:val="decorative"/>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swiss"/>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decorative"/>
    <w:pitch w:val="default"/>
    <w:sig w:usb0="00000287" w:usb1="00000000" w:usb2="00000000" w:usb3="00000000" w:csb0="2000009F" w:csb1="DFD70000"/>
  </w:font>
  <w:font w:name="Aldine401 BT">
    <w:altName w:val="Segoe Print"/>
    <w:panose1 w:val="00000000000000000000"/>
    <w:charset w:val="00"/>
    <w:family w:val="modern"/>
    <w:pitch w:val="default"/>
    <w:sig w:usb0="00000000" w:usb1="00000000" w:usb2="00000000" w:usb3="00000000" w:csb0="00000011" w:csb1="00000000"/>
  </w:font>
  <w:font w:name=".PingFang SC">
    <w:altName w:val="宋体"/>
    <w:panose1 w:val="02020603050405020304"/>
    <w:charset w:val="86"/>
    <w:family w:val="swiss"/>
    <w:pitch w:val="default"/>
    <w:sig w:usb0="00000000" w:usb1="00000000" w:usb2="00000000" w:usb3="00000000" w:csb0="00000000" w:csb1="00000000"/>
  </w:font>
  <w:font w:name="MS Gothic">
    <w:panose1 w:val="020B0609070205080204"/>
    <w:charset w:val="80"/>
    <w:family w:val="swiss"/>
    <w:pitch w:val="default"/>
    <w:sig w:usb0="E00002FF" w:usb1="6AC7FDFB" w:usb2="08000012" w:usb3="00000000" w:csb0="4002009F" w:csb1="DFD70000"/>
  </w:font>
  <w:font w:name="Wingdings 2">
    <w:panose1 w:val="05020102010507070707"/>
    <w:charset w:val="00"/>
    <w:family w:val="auto"/>
    <w:pitch w:val="default"/>
    <w:sig w:usb0="00000000" w:usb1="00000000" w:usb2="00000000" w:usb3="00000000" w:csb0="8000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1EB69">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4ED45">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3C407">
    <w:pPr>
      <w:pStyle w:val="43"/>
      <w:framePr w:wrap="around" w:vAnchor="text" w:hAnchor="margin" w:xAlign="right" w:y="1"/>
      <w:rPr>
        <w:rStyle w:val="73"/>
      </w:rPr>
    </w:pPr>
    <w:r>
      <w:fldChar w:fldCharType="begin"/>
    </w:r>
    <w:r>
      <w:rPr>
        <w:rStyle w:val="73"/>
      </w:rPr>
      <w:instrText xml:space="preserve">PAGE  </w:instrText>
    </w:r>
    <w:r>
      <w:fldChar w:fldCharType="end"/>
    </w:r>
  </w:p>
  <w:p w14:paraId="2A670040">
    <w:pPr>
      <w:pStyle w:val="43"/>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33F7A">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bookmarkStart w:id="1198" w:name="_Toc91899912"/>
    <w:bookmarkStart w:id="1199" w:name="_Toc131845147"/>
    <w:bookmarkStart w:id="1200" w:name="_Toc164085800"/>
    <w:bookmarkStart w:id="1201" w:name="_Toc36110187"/>
    <w:r>
      <w:rPr>
        <w:rFonts w:hint="eastAsia" w:ascii="仿宋_GB2312" w:eastAsia="仿宋_GB2312"/>
        <w:kern w:val="0"/>
        <w:szCs w:val="21"/>
      </w:rPr>
      <w:t xml:space="preserve"> 页</w:t>
    </w:r>
    <w:bookmarkEnd w:id="1198"/>
    <w:bookmarkEnd w:id="1199"/>
    <w:bookmarkEnd w:id="1200"/>
    <w:bookmarkEnd w:id="120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78DB8">
    <w:pPr>
      <w:pStyle w:val="43"/>
      <w:framePr w:wrap="around" w:vAnchor="text" w:hAnchor="margin" w:xAlign="right" w:y="1"/>
      <w:rPr>
        <w:rStyle w:val="73"/>
      </w:rPr>
    </w:pPr>
    <w:r>
      <w:fldChar w:fldCharType="begin"/>
    </w:r>
    <w:r>
      <w:rPr>
        <w:rStyle w:val="73"/>
      </w:rPr>
      <w:instrText xml:space="preserve">PAGE  </w:instrText>
    </w:r>
    <w:r>
      <w:fldChar w:fldCharType="end"/>
    </w:r>
  </w:p>
  <w:p w14:paraId="0F16F020">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724AC">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35581">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171BBC56">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AA838">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57B59C2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B4450">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535C7DE">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CCE57">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2FBCFE07">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F4C40">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14809616">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6B6C3">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37E93FF3">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40D6B">
    <w:pPr>
      <w:pStyle w:val="44"/>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7D1FF">
    <w:pPr>
      <w:pStyle w:val="44"/>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0C7FB">
    <w:pPr>
      <w:pStyle w:val="4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C29DB">
    <w:pPr>
      <w:pStyle w:val="44"/>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9F784">
    <w:pPr>
      <w:pStyle w:val="44"/>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F4101">
    <w:pPr>
      <w:pStyle w:val="44"/>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EnclosedCircleChinese"/>
      <w:suff w:val="nothing"/>
      <w:lvlText w:val="%1　"/>
      <w:lvlJc w:val="left"/>
      <w:pPr>
        <w:ind w:left="0" w:firstLine="400"/>
      </w:pPr>
      <w:rPr>
        <w:rFonts w:hint="eastAsia" w:ascii="宋体" w:hAnsi="宋体" w:eastAsia="宋体" w:cs="宋体"/>
      </w:rPr>
    </w:lvl>
  </w:abstractNum>
  <w:abstractNum w:abstractNumId="1">
    <w:nsid w:val="00000002"/>
    <w:multiLevelType w:val="singleLevel"/>
    <w:tmpl w:val="00000002"/>
    <w:lvl w:ilvl="0" w:tentative="0">
      <w:start w:val="1"/>
      <w:numFmt w:val="decimalEnclosedCircleChinese"/>
      <w:suff w:val="nothing"/>
      <w:lvlText w:val="%1　"/>
      <w:lvlJc w:val="left"/>
      <w:pPr>
        <w:ind w:left="26" w:firstLine="400"/>
      </w:pPr>
      <w:rPr>
        <w:rFonts w:hint="eastAsia" w:ascii="宋体" w:hAnsi="宋体" w:eastAsia="宋体" w:cs="宋体"/>
        <w:lang w:val="en-US"/>
      </w:rPr>
    </w:lvl>
  </w:abstractNum>
  <w:abstractNum w:abstractNumId="2">
    <w:nsid w:val="00000004"/>
    <w:multiLevelType w:val="multilevel"/>
    <w:tmpl w:val="00000004"/>
    <w:lvl w:ilvl="0" w:tentative="0">
      <w:start w:val="1"/>
      <w:numFmt w:val="decimal"/>
      <w:suff w:val="nothing"/>
      <w:lvlText w:val="（%1）"/>
      <w:lvlJc w:val="left"/>
      <w:pPr>
        <w:ind w:left="840" w:hanging="420"/>
      </w:pPr>
      <w:rPr>
        <w:rFonts w:hint="default"/>
        <w:b w:val="0"/>
        <w:bCs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00000006"/>
    <w:multiLevelType w:val="singleLevel"/>
    <w:tmpl w:val="00000006"/>
    <w:lvl w:ilvl="0" w:tentative="0">
      <w:start w:val="1"/>
      <w:numFmt w:val="decimal"/>
      <w:suff w:val="nothing"/>
      <w:lvlText w:val="（%1）"/>
      <w:lvlJc w:val="left"/>
      <w:pPr>
        <w:tabs>
          <w:tab w:val="left" w:pos="0"/>
        </w:tabs>
        <w:ind w:left="420"/>
      </w:pPr>
      <w:rPr>
        <w:rFonts w:hint="default"/>
      </w:rPr>
    </w:lvl>
  </w:abstractNum>
  <w:abstractNum w:abstractNumId="4">
    <w:nsid w:val="00000007"/>
    <w:multiLevelType w:val="singleLevel"/>
    <w:tmpl w:val="00000007"/>
    <w:lvl w:ilvl="0" w:tentative="0">
      <w:start w:val="1"/>
      <w:numFmt w:val="decimalEnclosedCircleChinese"/>
      <w:suff w:val="nothing"/>
      <w:lvlText w:val="%1　"/>
      <w:lvlJc w:val="left"/>
      <w:pPr>
        <w:ind w:left="0" w:firstLine="400"/>
      </w:pPr>
      <w:rPr>
        <w:rFonts w:hint="eastAsia" w:ascii="宋体" w:hAnsi="宋体" w:eastAsia="宋体" w:cs="宋体"/>
      </w:rPr>
    </w:lvl>
  </w:abstractNum>
  <w:abstractNum w:abstractNumId="5">
    <w:nsid w:val="0053208E"/>
    <w:multiLevelType w:val="singleLevel"/>
    <w:tmpl w:val="0053208E"/>
    <w:lvl w:ilvl="0" w:tentative="0">
      <w:start w:val="1"/>
      <w:numFmt w:val="decimal"/>
      <w:suff w:val="nothing"/>
      <w:lvlText w:val="（%1）"/>
      <w:lvlJc w:val="left"/>
      <w:pPr>
        <w:tabs>
          <w:tab w:val="left" w:pos="0"/>
        </w:tabs>
        <w:ind w:left="420"/>
      </w:pPr>
      <w:rPr>
        <w:rFonts w:hint="default"/>
      </w:rPr>
    </w:lvl>
  </w:abstractNum>
  <w:abstractNum w:abstractNumId="6">
    <w:nsid w:val="14D79456"/>
    <w:multiLevelType w:val="singleLevel"/>
    <w:tmpl w:val="14D79456"/>
    <w:lvl w:ilvl="0" w:tentative="0">
      <w:start w:val="5"/>
      <w:numFmt w:val="chineseCounting"/>
      <w:suff w:val="nothing"/>
      <w:lvlText w:val="%1、"/>
      <w:lvlJc w:val="left"/>
      <w:rPr>
        <w:rFonts w:hint="eastAsia"/>
      </w:rPr>
    </w:lvl>
  </w:abstractNum>
  <w:abstractNum w:abstractNumId="7">
    <w:nsid w:val="7FD61FA2"/>
    <w:multiLevelType w:val="singleLevel"/>
    <w:tmpl w:val="7FD61FA2"/>
    <w:lvl w:ilvl="0" w:tentative="0">
      <w:start w:val="14"/>
      <w:numFmt w:val="chineseCounting"/>
      <w:suff w:val="nothing"/>
      <w:lvlText w:val="%1、"/>
      <w:lvlJc w:val="left"/>
      <w:rPr>
        <w:rFonts w:hint="eastAsia"/>
      </w:rPr>
    </w:lvl>
  </w:abstractNum>
  <w:num w:numId="1">
    <w:abstractNumId w:val="5"/>
  </w:num>
  <w:num w:numId="2">
    <w:abstractNumId w:val="4"/>
  </w:num>
  <w:num w:numId="3">
    <w:abstractNumId w:val="0"/>
  </w:num>
  <w:num w:numId="4">
    <w:abstractNumId w:val="3"/>
  </w:num>
  <w:num w:numId="5">
    <w:abstractNumId w:val="2"/>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doNotDisplayPageBoundaries w:val="1"/>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QzYWNiM2M3YzcxOWI0Y2U1YzgzMzUzMjA1YmFiN2QifQ=="/>
    <w:docVar w:name="KSO_WPS_MARK_KEY" w:val="92c410df-794e-49a1-804b-7547f6c0d46a"/>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2FE0"/>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A14"/>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3C4"/>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0F92"/>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253ED"/>
    <w:rsid w:val="011F6449"/>
    <w:rsid w:val="01236AFB"/>
    <w:rsid w:val="012F41F1"/>
    <w:rsid w:val="01301C55"/>
    <w:rsid w:val="01426AE8"/>
    <w:rsid w:val="018B55A4"/>
    <w:rsid w:val="018F0382"/>
    <w:rsid w:val="019F7441"/>
    <w:rsid w:val="01B37585"/>
    <w:rsid w:val="01D55165"/>
    <w:rsid w:val="01DF6BF8"/>
    <w:rsid w:val="01EC2C57"/>
    <w:rsid w:val="01F61EF2"/>
    <w:rsid w:val="0210580B"/>
    <w:rsid w:val="024975C9"/>
    <w:rsid w:val="02503846"/>
    <w:rsid w:val="025F0711"/>
    <w:rsid w:val="026B2E25"/>
    <w:rsid w:val="02824D4D"/>
    <w:rsid w:val="02A76D3E"/>
    <w:rsid w:val="02DC4B10"/>
    <w:rsid w:val="02DD76CE"/>
    <w:rsid w:val="02EF1D5D"/>
    <w:rsid w:val="02F36323"/>
    <w:rsid w:val="02F5619C"/>
    <w:rsid w:val="030806B1"/>
    <w:rsid w:val="0326446A"/>
    <w:rsid w:val="032D5555"/>
    <w:rsid w:val="034443F1"/>
    <w:rsid w:val="034D095E"/>
    <w:rsid w:val="036634D2"/>
    <w:rsid w:val="03807CD1"/>
    <w:rsid w:val="03A04148"/>
    <w:rsid w:val="03BE185C"/>
    <w:rsid w:val="03D177E1"/>
    <w:rsid w:val="03DD35E4"/>
    <w:rsid w:val="03E67D83"/>
    <w:rsid w:val="04076900"/>
    <w:rsid w:val="041A5A3B"/>
    <w:rsid w:val="042311BA"/>
    <w:rsid w:val="042B157A"/>
    <w:rsid w:val="04333FF8"/>
    <w:rsid w:val="048F763B"/>
    <w:rsid w:val="04904D42"/>
    <w:rsid w:val="049F330E"/>
    <w:rsid w:val="04AA775C"/>
    <w:rsid w:val="04AF1889"/>
    <w:rsid w:val="04C64E6C"/>
    <w:rsid w:val="04CB3BFD"/>
    <w:rsid w:val="04F66F48"/>
    <w:rsid w:val="05251E14"/>
    <w:rsid w:val="0526590B"/>
    <w:rsid w:val="05576E9F"/>
    <w:rsid w:val="058645FB"/>
    <w:rsid w:val="059565ED"/>
    <w:rsid w:val="059A29F4"/>
    <w:rsid w:val="05A16594"/>
    <w:rsid w:val="05A7762D"/>
    <w:rsid w:val="05CF5717"/>
    <w:rsid w:val="05F51BB7"/>
    <w:rsid w:val="060E5941"/>
    <w:rsid w:val="06110FAF"/>
    <w:rsid w:val="061E21DC"/>
    <w:rsid w:val="06267284"/>
    <w:rsid w:val="06314567"/>
    <w:rsid w:val="06493522"/>
    <w:rsid w:val="06493CA7"/>
    <w:rsid w:val="065A6178"/>
    <w:rsid w:val="066F1CF3"/>
    <w:rsid w:val="066F6E3E"/>
    <w:rsid w:val="0671740D"/>
    <w:rsid w:val="06760E07"/>
    <w:rsid w:val="06930BB8"/>
    <w:rsid w:val="06DB3BD0"/>
    <w:rsid w:val="06F31702"/>
    <w:rsid w:val="06F3181D"/>
    <w:rsid w:val="07245D42"/>
    <w:rsid w:val="07264C62"/>
    <w:rsid w:val="07666493"/>
    <w:rsid w:val="07676900"/>
    <w:rsid w:val="076E6C10"/>
    <w:rsid w:val="0779354C"/>
    <w:rsid w:val="07811D40"/>
    <w:rsid w:val="0797664C"/>
    <w:rsid w:val="07CC279A"/>
    <w:rsid w:val="07D17DB0"/>
    <w:rsid w:val="07D97EA1"/>
    <w:rsid w:val="07F83335"/>
    <w:rsid w:val="08061376"/>
    <w:rsid w:val="081E0B1B"/>
    <w:rsid w:val="0825634E"/>
    <w:rsid w:val="082C3238"/>
    <w:rsid w:val="08452D77"/>
    <w:rsid w:val="084762C4"/>
    <w:rsid w:val="085966AD"/>
    <w:rsid w:val="086401F8"/>
    <w:rsid w:val="08751CAA"/>
    <w:rsid w:val="08760957"/>
    <w:rsid w:val="087E4C40"/>
    <w:rsid w:val="08A871D0"/>
    <w:rsid w:val="08D66AD6"/>
    <w:rsid w:val="08DA33A3"/>
    <w:rsid w:val="08E80F13"/>
    <w:rsid w:val="09043664"/>
    <w:rsid w:val="09163F38"/>
    <w:rsid w:val="092148A7"/>
    <w:rsid w:val="092403B3"/>
    <w:rsid w:val="09335624"/>
    <w:rsid w:val="093D0A5E"/>
    <w:rsid w:val="0944690F"/>
    <w:rsid w:val="09535675"/>
    <w:rsid w:val="095F057D"/>
    <w:rsid w:val="09642282"/>
    <w:rsid w:val="09733572"/>
    <w:rsid w:val="09767D1F"/>
    <w:rsid w:val="09772C16"/>
    <w:rsid w:val="098353B5"/>
    <w:rsid w:val="09A92330"/>
    <w:rsid w:val="09B06B87"/>
    <w:rsid w:val="09C13146"/>
    <w:rsid w:val="09E04166"/>
    <w:rsid w:val="09FB497B"/>
    <w:rsid w:val="0A075AEF"/>
    <w:rsid w:val="0A1C0718"/>
    <w:rsid w:val="0A3E7710"/>
    <w:rsid w:val="0A454A85"/>
    <w:rsid w:val="0A550002"/>
    <w:rsid w:val="0A5B7E63"/>
    <w:rsid w:val="0A617F01"/>
    <w:rsid w:val="0A6C6ACB"/>
    <w:rsid w:val="0A6D4AE7"/>
    <w:rsid w:val="0A703465"/>
    <w:rsid w:val="0A742C74"/>
    <w:rsid w:val="0A927580"/>
    <w:rsid w:val="0AA374A5"/>
    <w:rsid w:val="0AAB7649"/>
    <w:rsid w:val="0ABC5606"/>
    <w:rsid w:val="0AD100C7"/>
    <w:rsid w:val="0AD7498C"/>
    <w:rsid w:val="0ADE1079"/>
    <w:rsid w:val="0B30404E"/>
    <w:rsid w:val="0B4C6C14"/>
    <w:rsid w:val="0B547599"/>
    <w:rsid w:val="0B631A88"/>
    <w:rsid w:val="0B646F99"/>
    <w:rsid w:val="0B683D45"/>
    <w:rsid w:val="0B7A075E"/>
    <w:rsid w:val="0B7F3F11"/>
    <w:rsid w:val="0B884417"/>
    <w:rsid w:val="0B8F5464"/>
    <w:rsid w:val="0BAA5E29"/>
    <w:rsid w:val="0BC07081"/>
    <w:rsid w:val="0BD51E39"/>
    <w:rsid w:val="0BD53BE7"/>
    <w:rsid w:val="0BF6188C"/>
    <w:rsid w:val="0BF73C91"/>
    <w:rsid w:val="0C170175"/>
    <w:rsid w:val="0C511DE5"/>
    <w:rsid w:val="0C5505BD"/>
    <w:rsid w:val="0C571A41"/>
    <w:rsid w:val="0C5C1171"/>
    <w:rsid w:val="0C5E1CBC"/>
    <w:rsid w:val="0C615B50"/>
    <w:rsid w:val="0C62257A"/>
    <w:rsid w:val="0C8445DA"/>
    <w:rsid w:val="0C87121B"/>
    <w:rsid w:val="0C966D79"/>
    <w:rsid w:val="0CC007F7"/>
    <w:rsid w:val="0CC617AC"/>
    <w:rsid w:val="0CE618DF"/>
    <w:rsid w:val="0CED1359"/>
    <w:rsid w:val="0CF63E15"/>
    <w:rsid w:val="0CFE707A"/>
    <w:rsid w:val="0D063BDA"/>
    <w:rsid w:val="0D08375F"/>
    <w:rsid w:val="0D184CFB"/>
    <w:rsid w:val="0D2B473A"/>
    <w:rsid w:val="0D477310"/>
    <w:rsid w:val="0D4A7419"/>
    <w:rsid w:val="0D6C5618"/>
    <w:rsid w:val="0D821571"/>
    <w:rsid w:val="0D827401"/>
    <w:rsid w:val="0D84094E"/>
    <w:rsid w:val="0D892CAF"/>
    <w:rsid w:val="0D8A00E9"/>
    <w:rsid w:val="0D8B6C53"/>
    <w:rsid w:val="0D8D589E"/>
    <w:rsid w:val="0D9642F0"/>
    <w:rsid w:val="0DA01C73"/>
    <w:rsid w:val="0DD63300"/>
    <w:rsid w:val="0DF50604"/>
    <w:rsid w:val="0DF702FE"/>
    <w:rsid w:val="0DF84EDC"/>
    <w:rsid w:val="0E060E51"/>
    <w:rsid w:val="0E243D07"/>
    <w:rsid w:val="0E5604B2"/>
    <w:rsid w:val="0E6D5D79"/>
    <w:rsid w:val="0E925DBF"/>
    <w:rsid w:val="0E9D0089"/>
    <w:rsid w:val="0EA3277B"/>
    <w:rsid w:val="0EB22DDA"/>
    <w:rsid w:val="0EB803EE"/>
    <w:rsid w:val="0EF94D4B"/>
    <w:rsid w:val="0EFE6317"/>
    <w:rsid w:val="0F072309"/>
    <w:rsid w:val="0F137227"/>
    <w:rsid w:val="0F4958DC"/>
    <w:rsid w:val="0F4C27CC"/>
    <w:rsid w:val="0F515DF7"/>
    <w:rsid w:val="0F596BA8"/>
    <w:rsid w:val="0F6248D2"/>
    <w:rsid w:val="0F693536"/>
    <w:rsid w:val="0F7B0511"/>
    <w:rsid w:val="0F7B76D9"/>
    <w:rsid w:val="0F7E4C87"/>
    <w:rsid w:val="0F816ACD"/>
    <w:rsid w:val="0F92120F"/>
    <w:rsid w:val="0F9832DB"/>
    <w:rsid w:val="0FBF3FD2"/>
    <w:rsid w:val="0FBF7FF3"/>
    <w:rsid w:val="0FF26B15"/>
    <w:rsid w:val="0FF46D31"/>
    <w:rsid w:val="10176DD9"/>
    <w:rsid w:val="1034443E"/>
    <w:rsid w:val="1053014D"/>
    <w:rsid w:val="10646583"/>
    <w:rsid w:val="10707EFD"/>
    <w:rsid w:val="107D4B15"/>
    <w:rsid w:val="108A3C80"/>
    <w:rsid w:val="10C26171"/>
    <w:rsid w:val="10CD30DE"/>
    <w:rsid w:val="10D34984"/>
    <w:rsid w:val="10D6121D"/>
    <w:rsid w:val="10E82390"/>
    <w:rsid w:val="10E943BC"/>
    <w:rsid w:val="10F33360"/>
    <w:rsid w:val="10FC16EA"/>
    <w:rsid w:val="110F1D40"/>
    <w:rsid w:val="111D38D7"/>
    <w:rsid w:val="11266F33"/>
    <w:rsid w:val="11292A0B"/>
    <w:rsid w:val="11430EC2"/>
    <w:rsid w:val="11553800"/>
    <w:rsid w:val="118963A1"/>
    <w:rsid w:val="11AE585A"/>
    <w:rsid w:val="11BE0EFC"/>
    <w:rsid w:val="11C6522A"/>
    <w:rsid w:val="11E104CC"/>
    <w:rsid w:val="11E20309"/>
    <w:rsid w:val="12203238"/>
    <w:rsid w:val="12255233"/>
    <w:rsid w:val="12271454"/>
    <w:rsid w:val="124B083D"/>
    <w:rsid w:val="12530213"/>
    <w:rsid w:val="127723A9"/>
    <w:rsid w:val="12862074"/>
    <w:rsid w:val="12883966"/>
    <w:rsid w:val="128D49C3"/>
    <w:rsid w:val="129E45B4"/>
    <w:rsid w:val="12D81596"/>
    <w:rsid w:val="13072A44"/>
    <w:rsid w:val="13542B43"/>
    <w:rsid w:val="135F4BE2"/>
    <w:rsid w:val="13806C8C"/>
    <w:rsid w:val="139B1A0A"/>
    <w:rsid w:val="139D25C7"/>
    <w:rsid w:val="13B16CE7"/>
    <w:rsid w:val="13B54A2A"/>
    <w:rsid w:val="13BF3CE4"/>
    <w:rsid w:val="13F37300"/>
    <w:rsid w:val="13F445A5"/>
    <w:rsid w:val="14072DAB"/>
    <w:rsid w:val="141008D8"/>
    <w:rsid w:val="14125FE6"/>
    <w:rsid w:val="146D271E"/>
    <w:rsid w:val="14982588"/>
    <w:rsid w:val="149A5AD9"/>
    <w:rsid w:val="149E54BE"/>
    <w:rsid w:val="14A7619D"/>
    <w:rsid w:val="14B4083D"/>
    <w:rsid w:val="14EC10AF"/>
    <w:rsid w:val="150536C3"/>
    <w:rsid w:val="150C1963"/>
    <w:rsid w:val="151447A0"/>
    <w:rsid w:val="152B4878"/>
    <w:rsid w:val="15342D09"/>
    <w:rsid w:val="1546224D"/>
    <w:rsid w:val="154A6454"/>
    <w:rsid w:val="155471F6"/>
    <w:rsid w:val="15762120"/>
    <w:rsid w:val="158C1DA8"/>
    <w:rsid w:val="15A947E5"/>
    <w:rsid w:val="15B842D3"/>
    <w:rsid w:val="15DB3250"/>
    <w:rsid w:val="16353C00"/>
    <w:rsid w:val="168D3A3C"/>
    <w:rsid w:val="16A8729C"/>
    <w:rsid w:val="16AA30D4"/>
    <w:rsid w:val="16B33777"/>
    <w:rsid w:val="16BC70A7"/>
    <w:rsid w:val="16C6339E"/>
    <w:rsid w:val="16CB5E37"/>
    <w:rsid w:val="16D301F3"/>
    <w:rsid w:val="16EB25B6"/>
    <w:rsid w:val="17011D34"/>
    <w:rsid w:val="171A2386"/>
    <w:rsid w:val="172F2D79"/>
    <w:rsid w:val="17380012"/>
    <w:rsid w:val="17557BEF"/>
    <w:rsid w:val="17604F1B"/>
    <w:rsid w:val="177B1AE6"/>
    <w:rsid w:val="177D585E"/>
    <w:rsid w:val="1782031A"/>
    <w:rsid w:val="17D349C1"/>
    <w:rsid w:val="180A2E6A"/>
    <w:rsid w:val="1830729E"/>
    <w:rsid w:val="185A70B9"/>
    <w:rsid w:val="1870062C"/>
    <w:rsid w:val="187A7D80"/>
    <w:rsid w:val="18817102"/>
    <w:rsid w:val="18830A15"/>
    <w:rsid w:val="18852B28"/>
    <w:rsid w:val="188B5321"/>
    <w:rsid w:val="18CA565E"/>
    <w:rsid w:val="18CE3E98"/>
    <w:rsid w:val="18E65685"/>
    <w:rsid w:val="18F55FDC"/>
    <w:rsid w:val="1986007D"/>
    <w:rsid w:val="19932372"/>
    <w:rsid w:val="199930AE"/>
    <w:rsid w:val="19A20DD5"/>
    <w:rsid w:val="19AE03F1"/>
    <w:rsid w:val="19D76D7C"/>
    <w:rsid w:val="1A071A03"/>
    <w:rsid w:val="1A1F16AE"/>
    <w:rsid w:val="1A3B5C77"/>
    <w:rsid w:val="1A6F5CF5"/>
    <w:rsid w:val="1A712403"/>
    <w:rsid w:val="1A984BAD"/>
    <w:rsid w:val="1AB8220E"/>
    <w:rsid w:val="1AC13229"/>
    <w:rsid w:val="1AC35E60"/>
    <w:rsid w:val="1AE4166C"/>
    <w:rsid w:val="1AF06CFB"/>
    <w:rsid w:val="1AF11B8D"/>
    <w:rsid w:val="1B11359C"/>
    <w:rsid w:val="1B1D4C62"/>
    <w:rsid w:val="1B272E92"/>
    <w:rsid w:val="1B2A271F"/>
    <w:rsid w:val="1B3C6D99"/>
    <w:rsid w:val="1B3F1E98"/>
    <w:rsid w:val="1B4C0363"/>
    <w:rsid w:val="1B4F4E1D"/>
    <w:rsid w:val="1B530544"/>
    <w:rsid w:val="1B6E16CC"/>
    <w:rsid w:val="1B713184"/>
    <w:rsid w:val="1BA209CF"/>
    <w:rsid w:val="1BB4777D"/>
    <w:rsid w:val="1BD75AB8"/>
    <w:rsid w:val="1BDC2BFF"/>
    <w:rsid w:val="1BFB1448"/>
    <w:rsid w:val="1C0459C2"/>
    <w:rsid w:val="1C1B3B4A"/>
    <w:rsid w:val="1C5C42B0"/>
    <w:rsid w:val="1C7725CD"/>
    <w:rsid w:val="1C88086E"/>
    <w:rsid w:val="1C985EC0"/>
    <w:rsid w:val="1C9B1AA4"/>
    <w:rsid w:val="1D266CE1"/>
    <w:rsid w:val="1D275FCD"/>
    <w:rsid w:val="1D342403"/>
    <w:rsid w:val="1D3963AF"/>
    <w:rsid w:val="1D3D0FE5"/>
    <w:rsid w:val="1D5105C1"/>
    <w:rsid w:val="1D54148D"/>
    <w:rsid w:val="1D570A82"/>
    <w:rsid w:val="1D6A673C"/>
    <w:rsid w:val="1D7B69ED"/>
    <w:rsid w:val="1D905BC0"/>
    <w:rsid w:val="1D9247AE"/>
    <w:rsid w:val="1DB567EC"/>
    <w:rsid w:val="1DC146E5"/>
    <w:rsid w:val="1DF4775D"/>
    <w:rsid w:val="1DF51A98"/>
    <w:rsid w:val="1E0839A8"/>
    <w:rsid w:val="1E322B1A"/>
    <w:rsid w:val="1E3D060F"/>
    <w:rsid w:val="1E3F7D2E"/>
    <w:rsid w:val="1E4134E4"/>
    <w:rsid w:val="1E4F64CB"/>
    <w:rsid w:val="1E5062B3"/>
    <w:rsid w:val="1E523514"/>
    <w:rsid w:val="1E714A66"/>
    <w:rsid w:val="1E722324"/>
    <w:rsid w:val="1E802593"/>
    <w:rsid w:val="1E8A6AB3"/>
    <w:rsid w:val="1E8B6156"/>
    <w:rsid w:val="1E995070"/>
    <w:rsid w:val="1EA27958"/>
    <w:rsid w:val="1EA703CC"/>
    <w:rsid w:val="1EB7330C"/>
    <w:rsid w:val="1F071EB1"/>
    <w:rsid w:val="1F0A0FF3"/>
    <w:rsid w:val="1F1349C8"/>
    <w:rsid w:val="1F3B41CE"/>
    <w:rsid w:val="1F3D3B25"/>
    <w:rsid w:val="1F470500"/>
    <w:rsid w:val="1F5771FF"/>
    <w:rsid w:val="1F69785E"/>
    <w:rsid w:val="1F904124"/>
    <w:rsid w:val="1FD41CBC"/>
    <w:rsid w:val="1FE868A9"/>
    <w:rsid w:val="20034907"/>
    <w:rsid w:val="20106F09"/>
    <w:rsid w:val="20121CB2"/>
    <w:rsid w:val="20173E4B"/>
    <w:rsid w:val="202076CF"/>
    <w:rsid w:val="204A7214"/>
    <w:rsid w:val="204C276E"/>
    <w:rsid w:val="204E48BC"/>
    <w:rsid w:val="208921B3"/>
    <w:rsid w:val="20973DEB"/>
    <w:rsid w:val="20B26522"/>
    <w:rsid w:val="20B44310"/>
    <w:rsid w:val="211116EB"/>
    <w:rsid w:val="216133FC"/>
    <w:rsid w:val="21985EFA"/>
    <w:rsid w:val="21AE1E97"/>
    <w:rsid w:val="21CC6C28"/>
    <w:rsid w:val="21CE282C"/>
    <w:rsid w:val="21D56769"/>
    <w:rsid w:val="21DF0E1D"/>
    <w:rsid w:val="21E52EF3"/>
    <w:rsid w:val="21FB5D7B"/>
    <w:rsid w:val="22015E94"/>
    <w:rsid w:val="220A4192"/>
    <w:rsid w:val="220B1C3D"/>
    <w:rsid w:val="220C15E8"/>
    <w:rsid w:val="221A365E"/>
    <w:rsid w:val="221D1D20"/>
    <w:rsid w:val="22334A87"/>
    <w:rsid w:val="22456F79"/>
    <w:rsid w:val="227171AF"/>
    <w:rsid w:val="227B6E3E"/>
    <w:rsid w:val="2295531E"/>
    <w:rsid w:val="22BE6801"/>
    <w:rsid w:val="22D327D6"/>
    <w:rsid w:val="22F32E79"/>
    <w:rsid w:val="22F8735A"/>
    <w:rsid w:val="233500BF"/>
    <w:rsid w:val="233712A1"/>
    <w:rsid w:val="23377FF7"/>
    <w:rsid w:val="23452FA8"/>
    <w:rsid w:val="234848A5"/>
    <w:rsid w:val="236B425F"/>
    <w:rsid w:val="23836192"/>
    <w:rsid w:val="23901F29"/>
    <w:rsid w:val="239C0061"/>
    <w:rsid w:val="23B908A4"/>
    <w:rsid w:val="23DE179B"/>
    <w:rsid w:val="23E95BEF"/>
    <w:rsid w:val="23FD0064"/>
    <w:rsid w:val="24532A74"/>
    <w:rsid w:val="245375B0"/>
    <w:rsid w:val="24642C0A"/>
    <w:rsid w:val="24760426"/>
    <w:rsid w:val="24A51F50"/>
    <w:rsid w:val="24B22173"/>
    <w:rsid w:val="24B95AD9"/>
    <w:rsid w:val="24BE24DA"/>
    <w:rsid w:val="24C94AE6"/>
    <w:rsid w:val="24CF5825"/>
    <w:rsid w:val="24D663E6"/>
    <w:rsid w:val="24D77F2B"/>
    <w:rsid w:val="24D804D4"/>
    <w:rsid w:val="25042435"/>
    <w:rsid w:val="258B00E2"/>
    <w:rsid w:val="258C4EA7"/>
    <w:rsid w:val="25A917A6"/>
    <w:rsid w:val="25AB0E64"/>
    <w:rsid w:val="25AD693C"/>
    <w:rsid w:val="25BE27CC"/>
    <w:rsid w:val="25C87603"/>
    <w:rsid w:val="25F74A5C"/>
    <w:rsid w:val="260D36F0"/>
    <w:rsid w:val="2628662C"/>
    <w:rsid w:val="262D45DE"/>
    <w:rsid w:val="26524268"/>
    <w:rsid w:val="267776DE"/>
    <w:rsid w:val="26871DC8"/>
    <w:rsid w:val="26A53EF9"/>
    <w:rsid w:val="26A94201"/>
    <w:rsid w:val="26AC274F"/>
    <w:rsid w:val="26D14BAB"/>
    <w:rsid w:val="26DB7EA6"/>
    <w:rsid w:val="26E42C82"/>
    <w:rsid w:val="27044A29"/>
    <w:rsid w:val="27054F28"/>
    <w:rsid w:val="271D34C8"/>
    <w:rsid w:val="273D46C2"/>
    <w:rsid w:val="276142BF"/>
    <w:rsid w:val="276736FF"/>
    <w:rsid w:val="27675BE3"/>
    <w:rsid w:val="276E51C4"/>
    <w:rsid w:val="27783712"/>
    <w:rsid w:val="27907362"/>
    <w:rsid w:val="27B81E42"/>
    <w:rsid w:val="27BA5D13"/>
    <w:rsid w:val="27E5753E"/>
    <w:rsid w:val="281A3657"/>
    <w:rsid w:val="28333E1D"/>
    <w:rsid w:val="28454BD6"/>
    <w:rsid w:val="28455253"/>
    <w:rsid w:val="28551971"/>
    <w:rsid w:val="285B1C53"/>
    <w:rsid w:val="286F78A7"/>
    <w:rsid w:val="289F7086"/>
    <w:rsid w:val="28AF7842"/>
    <w:rsid w:val="28C32028"/>
    <w:rsid w:val="28CA2242"/>
    <w:rsid w:val="28CC490F"/>
    <w:rsid w:val="28DE40AA"/>
    <w:rsid w:val="28EC7A64"/>
    <w:rsid w:val="28EF668C"/>
    <w:rsid w:val="29345E77"/>
    <w:rsid w:val="294C65AD"/>
    <w:rsid w:val="295201CD"/>
    <w:rsid w:val="29620769"/>
    <w:rsid w:val="296E2B85"/>
    <w:rsid w:val="29791BFE"/>
    <w:rsid w:val="29806583"/>
    <w:rsid w:val="298B3C4C"/>
    <w:rsid w:val="29B24C09"/>
    <w:rsid w:val="29B33421"/>
    <w:rsid w:val="29C54E43"/>
    <w:rsid w:val="29F26D24"/>
    <w:rsid w:val="29F97C59"/>
    <w:rsid w:val="2A15033F"/>
    <w:rsid w:val="2A1662C1"/>
    <w:rsid w:val="2A1C7367"/>
    <w:rsid w:val="2A2815FA"/>
    <w:rsid w:val="2A28268F"/>
    <w:rsid w:val="2A310451"/>
    <w:rsid w:val="2A35353C"/>
    <w:rsid w:val="2A4144C9"/>
    <w:rsid w:val="2A6D6092"/>
    <w:rsid w:val="2A7D76B4"/>
    <w:rsid w:val="2A7E571E"/>
    <w:rsid w:val="2A9A4101"/>
    <w:rsid w:val="2AE50C92"/>
    <w:rsid w:val="2AE52B6B"/>
    <w:rsid w:val="2AFC349E"/>
    <w:rsid w:val="2B2A7653"/>
    <w:rsid w:val="2B437463"/>
    <w:rsid w:val="2B7807EE"/>
    <w:rsid w:val="2B910285"/>
    <w:rsid w:val="2B9D103D"/>
    <w:rsid w:val="2BA50BF7"/>
    <w:rsid w:val="2BA967CA"/>
    <w:rsid w:val="2BBF00EC"/>
    <w:rsid w:val="2BC37CFD"/>
    <w:rsid w:val="2BCD6736"/>
    <w:rsid w:val="2BD5237F"/>
    <w:rsid w:val="2BDD24F6"/>
    <w:rsid w:val="2BE46963"/>
    <w:rsid w:val="2BE536CE"/>
    <w:rsid w:val="2BE758D9"/>
    <w:rsid w:val="2BE77953"/>
    <w:rsid w:val="2C09049E"/>
    <w:rsid w:val="2C0A653C"/>
    <w:rsid w:val="2C191F85"/>
    <w:rsid w:val="2C5129BE"/>
    <w:rsid w:val="2C57136D"/>
    <w:rsid w:val="2C7B2FE8"/>
    <w:rsid w:val="2C8358CD"/>
    <w:rsid w:val="2CE82D6F"/>
    <w:rsid w:val="2D034FA6"/>
    <w:rsid w:val="2D0B7C88"/>
    <w:rsid w:val="2D1556A6"/>
    <w:rsid w:val="2D1E0AF2"/>
    <w:rsid w:val="2D343236"/>
    <w:rsid w:val="2D683A0A"/>
    <w:rsid w:val="2D850B71"/>
    <w:rsid w:val="2D9054C8"/>
    <w:rsid w:val="2DC5658B"/>
    <w:rsid w:val="2DD15014"/>
    <w:rsid w:val="2DEB6954"/>
    <w:rsid w:val="2DED0E87"/>
    <w:rsid w:val="2DF72DE4"/>
    <w:rsid w:val="2E0220AF"/>
    <w:rsid w:val="2E220883"/>
    <w:rsid w:val="2E2C5491"/>
    <w:rsid w:val="2E382745"/>
    <w:rsid w:val="2E45579B"/>
    <w:rsid w:val="2E496F7F"/>
    <w:rsid w:val="2E4B082A"/>
    <w:rsid w:val="2E5D4E86"/>
    <w:rsid w:val="2E5D790B"/>
    <w:rsid w:val="2E926CEC"/>
    <w:rsid w:val="2E9A3C18"/>
    <w:rsid w:val="2E9C43C4"/>
    <w:rsid w:val="2EB77450"/>
    <w:rsid w:val="2EBB0FEE"/>
    <w:rsid w:val="2EC63002"/>
    <w:rsid w:val="2F0A6B38"/>
    <w:rsid w:val="2F843483"/>
    <w:rsid w:val="2F8F5CD7"/>
    <w:rsid w:val="2F946CCB"/>
    <w:rsid w:val="2FCF11CB"/>
    <w:rsid w:val="2FD25781"/>
    <w:rsid w:val="2FDA5341"/>
    <w:rsid w:val="2FDC745C"/>
    <w:rsid w:val="2FE22DAD"/>
    <w:rsid w:val="2FFD7934"/>
    <w:rsid w:val="30323F26"/>
    <w:rsid w:val="30474D99"/>
    <w:rsid w:val="306453B6"/>
    <w:rsid w:val="30733ACD"/>
    <w:rsid w:val="308C3862"/>
    <w:rsid w:val="309379D8"/>
    <w:rsid w:val="309C0037"/>
    <w:rsid w:val="30A270F7"/>
    <w:rsid w:val="30AD3B19"/>
    <w:rsid w:val="30DF1478"/>
    <w:rsid w:val="30E266E3"/>
    <w:rsid w:val="30EC586F"/>
    <w:rsid w:val="31043373"/>
    <w:rsid w:val="3117675C"/>
    <w:rsid w:val="314D5E4A"/>
    <w:rsid w:val="315F792B"/>
    <w:rsid w:val="319C6071"/>
    <w:rsid w:val="31AC537E"/>
    <w:rsid w:val="31E3679B"/>
    <w:rsid w:val="31E732FD"/>
    <w:rsid w:val="32462F60"/>
    <w:rsid w:val="32517576"/>
    <w:rsid w:val="328B4E7C"/>
    <w:rsid w:val="32A2229A"/>
    <w:rsid w:val="32BE5C2C"/>
    <w:rsid w:val="32D63C1D"/>
    <w:rsid w:val="32FB6478"/>
    <w:rsid w:val="32FC6F40"/>
    <w:rsid w:val="33092F71"/>
    <w:rsid w:val="332410BB"/>
    <w:rsid w:val="33254336"/>
    <w:rsid w:val="33263B3F"/>
    <w:rsid w:val="33286205"/>
    <w:rsid w:val="336963EB"/>
    <w:rsid w:val="33816EEB"/>
    <w:rsid w:val="33A855B9"/>
    <w:rsid w:val="33B65F28"/>
    <w:rsid w:val="33C87A09"/>
    <w:rsid w:val="33D072F4"/>
    <w:rsid w:val="33EB55CD"/>
    <w:rsid w:val="33EC4C02"/>
    <w:rsid w:val="33F37E8B"/>
    <w:rsid w:val="340D2360"/>
    <w:rsid w:val="3410665D"/>
    <w:rsid w:val="34211214"/>
    <w:rsid w:val="342E63AB"/>
    <w:rsid w:val="345E7FB1"/>
    <w:rsid w:val="345F4318"/>
    <w:rsid w:val="34943763"/>
    <w:rsid w:val="34950E68"/>
    <w:rsid w:val="34986E94"/>
    <w:rsid w:val="34AF62C9"/>
    <w:rsid w:val="34B73B25"/>
    <w:rsid w:val="34CB4388"/>
    <w:rsid w:val="34EC3BCC"/>
    <w:rsid w:val="34FA6E12"/>
    <w:rsid w:val="350466DA"/>
    <w:rsid w:val="351053DE"/>
    <w:rsid w:val="352670DE"/>
    <w:rsid w:val="3533663A"/>
    <w:rsid w:val="354D7158"/>
    <w:rsid w:val="35531BEF"/>
    <w:rsid w:val="355E3D62"/>
    <w:rsid w:val="358D5588"/>
    <w:rsid w:val="35911E96"/>
    <w:rsid w:val="35A0047C"/>
    <w:rsid w:val="35EE5A12"/>
    <w:rsid w:val="363A3B40"/>
    <w:rsid w:val="365302AE"/>
    <w:rsid w:val="36607A0A"/>
    <w:rsid w:val="366E227C"/>
    <w:rsid w:val="366F2E0D"/>
    <w:rsid w:val="367B6A5C"/>
    <w:rsid w:val="36A74ADA"/>
    <w:rsid w:val="36AD60D5"/>
    <w:rsid w:val="36B224F9"/>
    <w:rsid w:val="36D05F99"/>
    <w:rsid w:val="36EC0CC9"/>
    <w:rsid w:val="36FA2CD3"/>
    <w:rsid w:val="37046FAB"/>
    <w:rsid w:val="373D2A5F"/>
    <w:rsid w:val="373F410B"/>
    <w:rsid w:val="3799224D"/>
    <w:rsid w:val="37C91FA2"/>
    <w:rsid w:val="37DA5F5D"/>
    <w:rsid w:val="37EE7094"/>
    <w:rsid w:val="38296C89"/>
    <w:rsid w:val="383002EB"/>
    <w:rsid w:val="38404012"/>
    <w:rsid w:val="38586797"/>
    <w:rsid w:val="38965DC0"/>
    <w:rsid w:val="38BC0149"/>
    <w:rsid w:val="38BE13DB"/>
    <w:rsid w:val="38D87D1C"/>
    <w:rsid w:val="38F550F2"/>
    <w:rsid w:val="3914549F"/>
    <w:rsid w:val="39525B10"/>
    <w:rsid w:val="39636459"/>
    <w:rsid w:val="396B7F6C"/>
    <w:rsid w:val="39736E9C"/>
    <w:rsid w:val="397F0B6A"/>
    <w:rsid w:val="398203AB"/>
    <w:rsid w:val="399A77E0"/>
    <w:rsid w:val="39B417A9"/>
    <w:rsid w:val="39C46EC5"/>
    <w:rsid w:val="39CC2AF9"/>
    <w:rsid w:val="39EE7A9E"/>
    <w:rsid w:val="39FC5695"/>
    <w:rsid w:val="3A006D8E"/>
    <w:rsid w:val="3A0C49AF"/>
    <w:rsid w:val="3A204F94"/>
    <w:rsid w:val="3A292B5E"/>
    <w:rsid w:val="3A3651E5"/>
    <w:rsid w:val="3A744481"/>
    <w:rsid w:val="3A8C7BEF"/>
    <w:rsid w:val="3A906246"/>
    <w:rsid w:val="3A946897"/>
    <w:rsid w:val="3AA30888"/>
    <w:rsid w:val="3ABE0DDE"/>
    <w:rsid w:val="3AD33C5B"/>
    <w:rsid w:val="3B225C51"/>
    <w:rsid w:val="3B2349B7"/>
    <w:rsid w:val="3B263F55"/>
    <w:rsid w:val="3B395B33"/>
    <w:rsid w:val="3B435B69"/>
    <w:rsid w:val="3B616CFF"/>
    <w:rsid w:val="3B6259F6"/>
    <w:rsid w:val="3B6572FA"/>
    <w:rsid w:val="3B6C15C2"/>
    <w:rsid w:val="3B976654"/>
    <w:rsid w:val="3BC01EFC"/>
    <w:rsid w:val="3BC0486E"/>
    <w:rsid w:val="3BCA786A"/>
    <w:rsid w:val="3BD31E2F"/>
    <w:rsid w:val="3BD621EB"/>
    <w:rsid w:val="3BF15831"/>
    <w:rsid w:val="3C105946"/>
    <w:rsid w:val="3C1934F8"/>
    <w:rsid w:val="3C1C4D96"/>
    <w:rsid w:val="3C3417FB"/>
    <w:rsid w:val="3C471448"/>
    <w:rsid w:val="3C5F759A"/>
    <w:rsid w:val="3C6C525A"/>
    <w:rsid w:val="3C824F12"/>
    <w:rsid w:val="3C942B7F"/>
    <w:rsid w:val="3CB90837"/>
    <w:rsid w:val="3CC01BC6"/>
    <w:rsid w:val="3CCE23CB"/>
    <w:rsid w:val="3CCF4271"/>
    <w:rsid w:val="3CD17D17"/>
    <w:rsid w:val="3D003C82"/>
    <w:rsid w:val="3D08531B"/>
    <w:rsid w:val="3D130038"/>
    <w:rsid w:val="3D3C7F39"/>
    <w:rsid w:val="3D436353"/>
    <w:rsid w:val="3D440F09"/>
    <w:rsid w:val="3D4504A0"/>
    <w:rsid w:val="3D4E0799"/>
    <w:rsid w:val="3D8734BB"/>
    <w:rsid w:val="3D9A11D4"/>
    <w:rsid w:val="3D9B6799"/>
    <w:rsid w:val="3DA16D89"/>
    <w:rsid w:val="3DA364BE"/>
    <w:rsid w:val="3DB75A1D"/>
    <w:rsid w:val="3DBF1E7D"/>
    <w:rsid w:val="3DE041CB"/>
    <w:rsid w:val="3DF34F93"/>
    <w:rsid w:val="3E0D48F6"/>
    <w:rsid w:val="3E1868B4"/>
    <w:rsid w:val="3E377251"/>
    <w:rsid w:val="3E42664B"/>
    <w:rsid w:val="3E5A7334"/>
    <w:rsid w:val="3E7570D2"/>
    <w:rsid w:val="3E7B105E"/>
    <w:rsid w:val="3E7B5D6B"/>
    <w:rsid w:val="3E8375FD"/>
    <w:rsid w:val="3E843E66"/>
    <w:rsid w:val="3E8F51FE"/>
    <w:rsid w:val="3E926F87"/>
    <w:rsid w:val="3E9A59DE"/>
    <w:rsid w:val="3EAF4836"/>
    <w:rsid w:val="3EC33DFA"/>
    <w:rsid w:val="3F060E16"/>
    <w:rsid w:val="3F1D1096"/>
    <w:rsid w:val="3F2F0234"/>
    <w:rsid w:val="3F5B40F4"/>
    <w:rsid w:val="3F6363FE"/>
    <w:rsid w:val="3F6C6C42"/>
    <w:rsid w:val="3F756B8F"/>
    <w:rsid w:val="3F7D0E0C"/>
    <w:rsid w:val="3F7D11F8"/>
    <w:rsid w:val="3F95482B"/>
    <w:rsid w:val="3FFA644F"/>
    <w:rsid w:val="4019356B"/>
    <w:rsid w:val="40592157"/>
    <w:rsid w:val="406423BE"/>
    <w:rsid w:val="4065070C"/>
    <w:rsid w:val="406E1CAE"/>
    <w:rsid w:val="408E004E"/>
    <w:rsid w:val="409C131D"/>
    <w:rsid w:val="40A0133A"/>
    <w:rsid w:val="40A47108"/>
    <w:rsid w:val="40C31A53"/>
    <w:rsid w:val="40DA7863"/>
    <w:rsid w:val="40EF21F3"/>
    <w:rsid w:val="40FE44B6"/>
    <w:rsid w:val="40FF545D"/>
    <w:rsid w:val="410067C8"/>
    <w:rsid w:val="4116094A"/>
    <w:rsid w:val="416176D3"/>
    <w:rsid w:val="418036D2"/>
    <w:rsid w:val="418F0D2A"/>
    <w:rsid w:val="419439FA"/>
    <w:rsid w:val="41B36150"/>
    <w:rsid w:val="41D01505"/>
    <w:rsid w:val="41E81277"/>
    <w:rsid w:val="41F733F4"/>
    <w:rsid w:val="42034730"/>
    <w:rsid w:val="42357F60"/>
    <w:rsid w:val="42474939"/>
    <w:rsid w:val="424C3C57"/>
    <w:rsid w:val="42613FF3"/>
    <w:rsid w:val="42660D96"/>
    <w:rsid w:val="428667D2"/>
    <w:rsid w:val="42921365"/>
    <w:rsid w:val="42923776"/>
    <w:rsid w:val="42CD1CE0"/>
    <w:rsid w:val="42CD5957"/>
    <w:rsid w:val="42D27F5D"/>
    <w:rsid w:val="42E1381E"/>
    <w:rsid w:val="42ED6459"/>
    <w:rsid w:val="42FE58DD"/>
    <w:rsid w:val="43174B3D"/>
    <w:rsid w:val="434B790E"/>
    <w:rsid w:val="43525542"/>
    <w:rsid w:val="4360274F"/>
    <w:rsid w:val="43760F19"/>
    <w:rsid w:val="43864FE1"/>
    <w:rsid w:val="439148A0"/>
    <w:rsid w:val="43977AB6"/>
    <w:rsid w:val="43A3342B"/>
    <w:rsid w:val="43BE6733"/>
    <w:rsid w:val="43C77C27"/>
    <w:rsid w:val="43DE09EE"/>
    <w:rsid w:val="43F004D8"/>
    <w:rsid w:val="44002FAD"/>
    <w:rsid w:val="441C37AA"/>
    <w:rsid w:val="443D1D4E"/>
    <w:rsid w:val="449101DD"/>
    <w:rsid w:val="4499769B"/>
    <w:rsid w:val="44AC3A83"/>
    <w:rsid w:val="44DC1567"/>
    <w:rsid w:val="44DE1391"/>
    <w:rsid w:val="44DE22C0"/>
    <w:rsid w:val="44E4429C"/>
    <w:rsid w:val="451B225C"/>
    <w:rsid w:val="452410C9"/>
    <w:rsid w:val="45317DFB"/>
    <w:rsid w:val="453749EF"/>
    <w:rsid w:val="45533A0C"/>
    <w:rsid w:val="45606E50"/>
    <w:rsid w:val="4562592A"/>
    <w:rsid w:val="456D3CE4"/>
    <w:rsid w:val="4579042C"/>
    <w:rsid w:val="457F0571"/>
    <w:rsid w:val="45851176"/>
    <w:rsid w:val="45912351"/>
    <w:rsid w:val="45C55BC2"/>
    <w:rsid w:val="45C63B94"/>
    <w:rsid w:val="460E7DA5"/>
    <w:rsid w:val="46422483"/>
    <w:rsid w:val="4659254A"/>
    <w:rsid w:val="465B0637"/>
    <w:rsid w:val="465E3F0D"/>
    <w:rsid w:val="466A16E6"/>
    <w:rsid w:val="466E09AE"/>
    <w:rsid w:val="46731A57"/>
    <w:rsid w:val="46893F2B"/>
    <w:rsid w:val="46C444E6"/>
    <w:rsid w:val="46C4686E"/>
    <w:rsid w:val="46DA3F91"/>
    <w:rsid w:val="47086643"/>
    <w:rsid w:val="471D6915"/>
    <w:rsid w:val="475451BB"/>
    <w:rsid w:val="475B6938"/>
    <w:rsid w:val="477B778F"/>
    <w:rsid w:val="478203EC"/>
    <w:rsid w:val="4788459A"/>
    <w:rsid w:val="47B025FA"/>
    <w:rsid w:val="47CA1B4A"/>
    <w:rsid w:val="4809698F"/>
    <w:rsid w:val="4811697D"/>
    <w:rsid w:val="48516FB5"/>
    <w:rsid w:val="487A3E25"/>
    <w:rsid w:val="488B5503"/>
    <w:rsid w:val="48937E21"/>
    <w:rsid w:val="489A0361"/>
    <w:rsid w:val="48B94FF3"/>
    <w:rsid w:val="48E37AAB"/>
    <w:rsid w:val="48EE3617"/>
    <w:rsid w:val="48FB1816"/>
    <w:rsid w:val="48FC21D7"/>
    <w:rsid w:val="48FD4B4C"/>
    <w:rsid w:val="4901555D"/>
    <w:rsid w:val="490A68E0"/>
    <w:rsid w:val="491055FE"/>
    <w:rsid w:val="491237A9"/>
    <w:rsid w:val="4956128D"/>
    <w:rsid w:val="495F5B3E"/>
    <w:rsid w:val="496F77D7"/>
    <w:rsid w:val="49724248"/>
    <w:rsid w:val="497654FD"/>
    <w:rsid w:val="497D0896"/>
    <w:rsid w:val="49B616A7"/>
    <w:rsid w:val="49B64211"/>
    <w:rsid w:val="49D41AAC"/>
    <w:rsid w:val="49F6167F"/>
    <w:rsid w:val="4A064FA0"/>
    <w:rsid w:val="4A16615C"/>
    <w:rsid w:val="4A3E412A"/>
    <w:rsid w:val="4A4424D7"/>
    <w:rsid w:val="4A4534F8"/>
    <w:rsid w:val="4A626435"/>
    <w:rsid w:val="4A942560"/>
    <w:rsid w:val="4AB82D0F"/>
    <w:rsid w:val="4AEB7664"/>
    <w:rsid w:val="4AF47CE8"/>
    <w:rsid w:val="4AFD7C19"/>
    <w:rsid w:val="4B01452B"/>
    <w:rsid w:val="4B0567D1"/>
    <w:rsid w:val="4B236AAE"/>
    <w:rsid w:val="4B2F799D"/>
    <w:rsid w:val="4B4B72D8"/>
    <w:rsid w:val="4B5001E7"/>
    <w:rsid w:val="4B5A6554"/>
    <w:rsid w:val="4B707271"/>
    <w:rsid w:val="4B721FAC"/>
    <w:rsid w:val="4B7763FA"/>
    <w:rsid w:val="4B9739F7"/>
    <w:rsid w:val="4BEE2503"/>
    <w:rsid w:val="4BEF76EC"/>
    <w:rsid w:val="4BF727EA"/>
    <w:rsid w:val="4BFE1DC3"/>
    <w:rsid w:val="4C1B4BA7"/>
    <w:rsid w:val="4C2125A3"/>
    <w:rsid w:val="4C245A30"/>
    <w:rsid w:val="4C2B503E"/>
    <w:rsid w:val="4C387642"/>
    <w:rsid w:val="4C985EAF"/>
    <w:rsid w:val="4CA9658D"/>
    <w:rsid w:val="4CB6685F"/>
    <w:rsid w:val="4CC367FE"/>
    <w:rsid w:val="4CD805F1"/>
    <w:rsid w:val="4D077F3C"/>
    <w:rsid w:val="4D123355"/>
    <w:rsid w:val="4D2A3B31"/>
    <w:rsid w:val="4D2C26AC"/>
    <w:rsid w:val="4D312C52"/>
    <w:rsid w:val="4D4E28D6"/>
    <w:rsid w:val="4D5812E8"/>
    <w:rsid w:val="4D8214B5"/>
    <w:rsid w:val="4D862070"/>
    <w:rsid w:val="4D881E5D"/>
    <w:rsid w:val="4D905305"/>
    <w:rsid w:val="4D964A72"/>
    <w:rsid w:val="4D9C1254"/>
    <w:rsid w:val="4D9E5B15"/>
    <w:rsid w:val="4DC915A1"/>
    <w:rsid w:val="4DC91F90"/>
    <w:rsid w:val="4E127DA7"/>
    <w:rsid w:val="4E602AF5"/>
    <w:rsid w:val="4E793892"/>
    <w:rsid w:val="4E800872"/>
    <w:rsid w:val="4E870795"/>
    <w:rsid w:val="4E8746E7"/>
    <w:rsid w:val="4EAD497E"/>
    <w:rsid w:val="4EC569ED"/>
    <w:rsid w:val="4ED50EA1"/>
    <w:rsid w:val="4EEC050C"/>
    <w:rsid w:val="4F005E52"/>
    <w:rsid w:val="4F104EC3"/>
    <w:rsid w:val="4F1662AD"/>
    <w:rsid w:val="4F47354A"/>
    <w:rsid w:val="4F911C54"/>
    <w:rsid w:val="4F933B78"/>
    <w:rsid w:val="4FE625E0"/>
    <w:rsid w:val="5021480F"/>
    <w:rsid w:val="505C301C"/>
    <w:rsid w:val="50646C06"/>
    <w:rsid w:val="5073375E"/>
    <w:rsid w:val="50883755"/>
    <w:rsid w:val="508B51D0"/>
    <w:rsid w:val="50962ECB"/>
    <w:rsid w:val="50A42E38"/>
    <w:rsid w:val="50A4577F"/>
    <w:rsid w:val="50AC11E4"/>
    <w:rsid w:val="50B73D1F"/>
    <w:rsid w:val="50BD5BC9"/>
    <w:rsid w:val="50C11EEE"/>
    <w:rsid w:val="50CD5521"/>
    <w:rsid w:val="50E97CFC"/>
    <w:rsid w:val="50FA4028"/>
    <w:rsid w:val="510D65B7"/>
    <w:rsid w:val="511157AB"/>
    <w:rsid w:val="51165E00"/>
    <w:rsid w:val="51295EAD"/>
    <w:rsid w:val="51297903"/>
    <w:rsid w:val="512C5624"/>
    <w:rsid w:val="51321947"/>
    <w:rsid w:val="5142540C"/>
    <w:rsid w:val="514E605D"/>
    <w:rsid w:val="516369D5"/>
    <w:rsid w:val="51677464"/>
    <w:rsid w:val="51730B5D"/>
    <w:rsid w:val="517D5C03"/>
    <w:rsid w:val="517D6662"/>
    <w:rsid w:val="5185160D"/>
    <w:rsid w:val="51863957"/>
    <w:rsid w:val="518832C8"/>
    <w:rsid w:val="51915487"/>
    <w:rsid w:val="519D3C50"/>
    <w:rsid w:val="51A0432A"/>
    <w:rsid w:val="51A40D74"/>
    <w:rsid w:val="51A833F7"/>
    <w:rsid w:val="51A86090"/>
    <w:rsid w:val="51B30C38"/>
    <w:rsid w:val="51B7396D"/>
    <w:rsid w:val="51B82A14"/>
    <w:rsid w:val="51BD627C"/>
    <w:rsid w:val="51BF580D"/>
    <w:rsid w:val="51FE3848"/>
    <w:rsid w:val="5212481A"/>
    <w:rsid w:val="522E4CC3"/>
    <w:rsid w:val="5244713B"/>
    <w:rsid w:val="525C20F3"/>
    <w:rsid w:val="52615633"/>
    <w:rsid w:val="5267535B"/>
    <w:rsid w:val="526F4DE4"/>
    <w:rsid w:val="52790F03"/>
    <w:rsid w:val="52977FD4"/>
    <w:rsid w:val="52A25790"/>
    <w:rsid w:val="52A96B6F"/>
    <w:rsid w:val="52B45975"/>
    <w:rsid w:val="52B4767F"/>
    <w:rsid w:val="52B7716F"/>
    <w:rsid w:val="52D94AA4"/>
    <w:rsid w:val="52EA3A62"/>
    <w:rsid w:val="52F50BB8"/>
    <w:rsid w:val="52F73A09"/>
    <w:rsid w:val="52FE7ED2"/>
    <w:rsid w:val="53097272"/>
    <w:rsid w:val="531E6161"/>
    <w:rsid w:val="533E2B0B"/>
    <w:rsid w:val="534C1537"/>
    <w:rsid w:val="53544462"/>
    <w:rsid w:val="5385101B"/>
    <w:rsid w:val="53933A15"/>
    <w:rsid w:val="5397158E"/>
    <w:rsid w:val="53AB5AC3"/>
    <w:rsid w:val="53B12890"/>
    <w:rsid w:val="54013861"/>
    <w:rsid w:val="540A4CC2"/>
    <w:rsid w:val="54161C73"/>
    <w:rsid w:val="543C5B7E"/>
    <w:rsid w:val="54487265"/>
    <w:rsid w:val="544D6070"/>
    <w:rsid w:val="54605E1E"/>
    <w:rsid w:val="54B3506A"/>
    <w:rsid w:val="54BD4105"/>
    <w:rsid w:val="54CA0D16"/>
    <w:rsid w:val="54DA0EF3"/>
    <w:rsid w:val="54DD4057"/>
    <w:rsid w:val="54E7490F"/>
    <w:rsid w:val="55065838"/>
    <w:rsid w:val="550764A4"/>
    <w:rsid w:val="550B2BF6"/>
    <w:rsid w:val="550C37A2"/>
    <w:rsid w:val="551F76C9"/>
    <w:rsid w:val="55214EB5"/>
    <w:rsid w:val="552A4A91"/>
    <w:rsid w:val="55364EFD"/>
    <w:rsid w:val="55544A33"/>
    <w:rsid w:val="55582E57"/>
    <w:rsid w:val="555D4828"/>
    <w:rsid w:val="556B350B"/>
    <w:rsid w:val="557A4C8B"/>
    <w:rsid w:val="55886615"/>
    <w:rsid w:val="558931E1"/>
    <w:rsid w:val="55923347"/>
    <w:rsid w:val="55925180"/>
    <w:rsid w:val="55983B1B"/>
    <w:rsid w:val="55A734CB"/>
    <w:rsid w:val="55A8376B"/>
    <w:rsid w:val="55C0052D"/>
    <w:rsid w:val="55CD4B49"/>
    <w:rsid w:val="55DC29B6"/>
    <w:rsid w:val="55DD4241"/>
    <w:rsid w:val="5608544B"/>
    <w:rsid w:val="564451BE"/>
    <w:rsid w:val="56556BF5"/>
    <w:rsid w:val="565937A3"/>
    <w:rsid w:val="566B6D1E"/>
    <w:rsid w:val="56900687"/>
    <w:rsid w:val="56C105BC"/>
    <w:rsid w:val="56D81F6E"/>
    <w:rsid w:val="57032A2C"/>
    <w:rsid w:val="570F5219"/>
    <w:rsid w:val="572E78E5"/>
    <w:rsid w:val="572F51E9"/>
    <w:rsid w:val="57565535"/>
    <w:rsid w:val="575A6B72"/>
    <w:rsid w:val="575D12B5"/>
    <w:rsid w:val="57610A87"/>
    <w:rsid w:val="577214FD"/>
    <w:rsid w:val="57742CBE"/>
    <w:rsid w:val="577B1140"/>
    <w:rsid w:val="577B7F21"/>
    <w:rsid w:val="577F181B"/>
    <w:rsid w:val="57921984"/>
    <w:rsid w:val="579737F0"/>
    <w:rsid w:val="579E26AC"/>
    <w:rsid w:val="57AB7B30"/>
    <w:rsid w:val="57AF5251"/>
    <w:rsid w:val="57B26373"/>
    <w:rsid w:val="57B63F04"/>
    <w:rsid w:val="57CD20C2"/>
    <w:rsid w:val="57CF6D09"/>
    <w:rsid w:val="57D675AB"/>
    <w:rsid w:val="57D95FDD"/>
    <w:rsid w:val="57DB56AE"/>
    <w:rsid w:val="57F8095F"/>
    <w:rsid w:val="582D55DD"/>
    <w:rsid w:val="5835390E"/>
    <w:rsid w:val="585C1DFE"/>
    <w:rsid w:val="58917D2F"/>
    <w:rsid w:val="5894085C"/>
    <w:rsid w:val="58AE4F0C"/>
    <w:rsid w:val="58B2640F"/>
    <w:rsid w:val="58B85899"/>
    <w:rsid w:val="58E363A9"/>
    <w:rsid w:val="58E6255C"/>
    <w:rsid w:val="59010851"/>
    <w:rsid w:val="595E1678"/>
    <w:rsid w:val="596D5BD4"/>
    <w:rsid w:val="597D4C6F"/>
    <w:rsid w:val="597E3DD8"/>
    <w:rsid w:val="599C23EA"/>
    <w:rsid w:val="599F0A2F"/>
    <w:rsid w:val="59AA5338"/>
    <w:rsid w:val="59B84D79"/>
    <w:rsid w:val="59E545C2"/>
    <w:rsid w:val="59F80043"/>
    <w:rsid w:val="5A09252F"/>
    <w:rsid w:val="5A0B2778"/>
    <w:rsid w:val="5A2A7C7B"/>
    <w:rsid w:val="5A3E2560"/>
    <w:rsid w:val="5A5D3B6E"/>
    <w:rsid w:val="5A637A76"/>
    <w:rsid w:val="5A6D33BA"/>
    <w:rsid w:val="5A767D30"/>
    <w:rsid w:val="5A792B1F"/>
    <w:rsid w:val="5A874767"/>
    <w:rsid w:val="5AA53ED3"/>
    <w:rsid w:val="5AA85BE2"/>
    <w:rsid w:val="5AAD6F28"/>
    <w:rsid w:val="5AB20948"/>
    <w:rsid w:val="5ABD7AE8"/>
    <w:rsid w:val="5ABE2749"/>
    <w:rsid w:val="5AD63A24"/>
    <w:rsid w:val="5AE51A4D"/>
    <w:rsid w:val="5AEE022E"/>
    <w:rsid w:val="5AF23586"/>
    <w:rsid w:val="5B0637C0"/>
    <w:rsid w:val="5B2E1A1D"/>
    <w:rsid w:val="5B463948"/>
    <w:rsid w:val="5B50627E"/>
    <w:rsid w:val="5B5A4B3C"/>
    <w:rsid w:val="5B843A1C"/>
    <w:rsid w:val="5B873E3F"/>
    <w:rsid w:val="5BB14242"/>
    <w:rsid w:val="5BB65DFC"/>
    <w:rsid w:val="5BED59B0"/>
    <w:rsid w:val="5C02690E"/>
    <w:rsid w:val="5C196DA7"/>
    <w:rsid w:val="5C2A048C"/>
    <w:rsid w:val="5C4D2220"/>
    <w:rsid w:val="5C5D3D2F"/>
    <w:rsid w:val="5C80234E"/>
    <w:rsid w:val="5C8A680C"/>
    <w:rsid w:val="5C9E132E"/>
    <w:rsid w:val="5CC46711"/>
    <w:rsid w:val="5D0A3484"/>
    <w:rsid w:val="5D0C4701"/>
    <w:rsid w:val="5D0F0395"/>
    <w:rsid w:val="5D221076"/>
    <w:rsid w:val="5D397964"/>
    <w:rsid w:val="5D5A391C"/>
    <w:rsid w:val="5D5E5A9E"/>
    <w:rsid w:val="5D5F10C0"/>
    <w:rsid w:val="5D790E2F"/>
    <w:rsid w:val="5D891B7B"/>
    <w:rsid w:val="5DAD38EE"/>
    <w:rsid w:val="5DFE7762"/>
    <w:rsid w:val="5E006862"/>
    <w:rsid w:val="5E0207B9"/>
    <w:rsid w:val="5E1834A1"/>
    <w:rsid w:val="5E1A28CC"/>
    <w:rsid w:val="5E261785"/>
    <w:rsid w:val="5E3E2A04"/>
    <w:rsid w:val="5E4A7017"/>
    <w:rsid w:val="5E552BBA"/>
    <w:rsid w:val="5E5D506F"/>
    <w:rsid w:val="5E611C10"/>
    <w:rsid w:val="5E7A0F3F"/>
    <w:rsid w:val="5EAA7669"/>
    <w:rsid w:val="5EB97DCB"/>
    <w:rsid w:val="5EFC7377"/>
    <w:rsid w:val="5F010FD3"/>
    <w:rsid w:val="5F06174D"/>
    <w:rsid w:val="5F223BC2"/>
    <w:rsid w:val="5F3A3602"/>
    <w:rsid w:val="5F453A54"/>
    <w:rsid w:val="5F45733B"/>
    <w:rsid w:val="5F4B4EC7"/>
    <w:rsid w:val="5F6277C6"/>
    <w:rsid w:val="5F635BF1"/>
    <w:rsid w:val="5F697D26"/>
    <w:rsid w:val="5F6D0B1D"/>
    <w:rsid w:val="5F8D0B82"/>
    <w:rsid w:val="5FA47678"/>
    <w:rsid w:val="5FCC5339"/>
    <w:rsid w:val="5FDB506F"/>
    <w:rsid w:val="5FE34A5B"/>
    <w:rsid w:val="5FFE1E36"/>
    <w:rsid w:val="60232584"/>
    <w:rsid w:val="605F7CA3"/>
    <w:rsid w:val="60633324"/>
    <w:rsid w:val="6065645C"/>
    <w:rsid w:val="6068521B"/>
    <w:rsid w:val="607330CE"/>
    <w:rsid w:val="60803F35"/>
    <w:rsid w:val="60825176"/>
    <w:rsid w:val="609D1752"/>
    <w:rsid w:val="609F2AC4"/>
    <w:rsid w:val="60D20A0C"/>
    <w:rsid w:val="60E509C5"/>
    <w:rsid w:val="60FA2EE8"/>
    <w:rsid w:val="61054A27"/>
    <w:rsid w:val="610A52BC"/>
    <w:rsid w:val="610D059B"/>
    <w:rsid w:val="611D2366"/>
    <w:rsid w:val="61223D68"/>
    <w:rsid w:val="6125059E"/>
    <w:rsid w:val="61421856"/>
    <w:rsid w:val="61427FED"/>
    <w:rsid w:val="615227C4"/>
    <w:rsid w:val="61654E3F"/>
    <w:rsid w:val="6182292A"/>
    <w:rsid w:val="619D5782"/>
    <w:rsid w:val="619F7F92"/>
    <w:rsid w:val="61BD067B"/>
    <w:rsid w:val="61CB5846"/>
    <w:rsid w:val="61D218D0"/>
    <w:rsid w:val="61D246F2"/>
    <w:rsid w:val="61D37271"/>
    <w:rsid w:val="61E466C4"/>
    <w:rsid w:val="61ED3E04"/>
    <w:rsid w:val="61F94C26"/>
    <w:rsid w:val="61FE6C86"/>
    <w:rsid w:val="62000E56"/>
    <w:rsid w:val="62002009"/>
    <w:rsid w:val="621243C2"/>
    <w:rsid w:val="62210161"/>
    <w:rsid w:val="622C3B9E"/>
    <w:rsid w:val="6249514D"/>
    <w:rsid w:val="624F1172"/>
    <w:rsid w:val="624F3E49"/>
    <w:rsid w:val="62632286"/>
    <w:rsid w:val="626D1570"/>
    <w:rsid w:val="62885958"/>
    <w:rsid w:val="62B31701"/>
    <w:rsid w:val="62B85820"/>
    <w:rsid w:val="62E06D1C"/>
    <w:rsid w:val="62F40B65"/>
    <w:rsid w:val="62FC2CFE"/>
    <w:rsid w:val="62FD1D28"/>
    <w:rsid w:val="63024505"/>
    <w:rsid w:val="630C0804"/>
    <w:rsid w:val="6318774C"/>
    <w:rsid w:val="635600A5"/>
    <w:rsid w:val="635B1DB5"/>
    <w:rsid w:val="63711FED"/>
    <w:rsid w:val="63880DDC"/>
    <w:rsid w:val="638D750D"/>
    <w:rsid w:val="63AC6CC0"/>
    <w:rsid w:val="63AD0737"/>
    <w:rsid w:val="63AD2842"/>
    <w:rsid w:val="63FC06B4"/>
    <w:rsid w:val="64055776"/>
    <w:rsid w:val="6410335F"/>
    <w:rsid w:val="641F5B67"/>
    <w:rsid w:val="64240056"/>
    <w:rsid w:val="643E143A"/>
    <w:rsid w:val="64491666"/>
    <w:rsid w:val="64852BFC"/>
    <w:rsid w:val="648B6EEF"/>
    <w:rsid w:val="64AE68E3"/>
    <w:rsid w:val="64C158BF"/>
    <w:rsid w:val="64CE2EAA"/>
    <w:rsid w:val="64E81443"/>
    <w:rsid w:val="653C3090"/>
    <w:rsid w:val="654146F0"/>
    <w:rsid w:val="65854376"/>
    <w:rsid w:val="658767BE"/>
    <w:rsid w:val="65892531"/>
    <w:rsid w:val="65D525D1"/>
    <w:rsid w:val="65E004CA"/>
    <w:rsid w:val="65E10333"/>
    <w:rsid w:val="66187ACD"/>
    <w:rsid w:val="66195831"/>
    <w:rsid w:val="662E75B1"/>
    <w:rsid w:val="66342C2E"/>
    <w:rsid w:val="663E784C"/>
    <w:rsid w:val="664A2A65"/>
    <w:rsid w:val="66636F9A"/>
    <w:rsid w:val="668B6A45"/>
    <w:rsid w:val="66AA4EE5"/>
    <w:rsid w:val="66AB21C3"/>
    <w:rsid w:val="66C57C55"/>
    <w:rsid w:val="66DB1226"/>
    <w:rsid w:val="66E14363"/>
    <w:rsid w:val="66F978FF"/>
    <w:rsid w:val="67112C4A"/>
    <w:rsid w:val="672F3F24"/>
    <w:rsid w:val="673E055F"/>
    <w:rsid w:val="674443CC"/>
    <w:rsid w:val="67551CE3"/>
    <w:rsid w:val="67843DCC"/>
    <w:rsid w:val="67A22552"/>
    <w:rsid w:val="67B22DCC"/>
    <w:rsid w:val="67BE71AA"/>
    <w:rsid w:val="67CF7323"/>
    <w:rsid w:val="67D90273"/>
    <w:rsid w:val="67DE5875"/>
    <w:rsid w:val="67E55852"/>
    <w:rsid w:val="67EB1AB4"/>
    <w:rsid w:val="67F00D02"/>
    <w:rsid w:val="67F9782B"/>
    <w:rsid w:val="67FA1285"/>
    <w:rsid w:val="683D34AF"/>
    <w:rsid w:val="68476448"/>
    <w:rsid w:val="68551F4F"/>
    <w:rsid w:val="685C4125"/>
    <w:rsid w:val="687C10C9"/>
    <w:rsid w:val="68840C16"/>
    <w:rsid w:val="68876EFB"/>
    <w:rsid w:val="68884654"/>
    <w:rsid w:val="688D598D"/>
    <w:rsid w:val="689F444F"/>
    <w:rsid w:val="68A624A0"/>
    <w:rsid w:val="68B96DBB"/>
    <w:rsid w:val="68CA2805"/>
    <w:rsid w:val="68E937A3"/>
    <w:rsid w:val="68F17EB2"/>
    <w:rsid w:val="68FB149A"/>
    <w:rsid w:val="6912439F"/>
    <w:rsid w:val="69295F35"/>
    <w:rsid w:val="693C63AF"/>
    <w:rsid w:val="693E15D3"/>
    <w:rsid w:val="69427553"/>
    <w:rsid w:val="69496B26"/>
    <w:rsid w:val="69627681"/>
    <w:rsid w:val="697510D0"/>
    <w:rsid w:val="6977531D"/>
    <w:rsid w:val="69AA611C"/>
    <w:rsid w:val="69CC2BFF"/>
    <w:rsid w:val="69FD55B8"/>
    <w:rsid w:val="6A0B1C62"/>
    <w:rsid w:val="6A1C386D"/>
    <w:rsid w:val="6A2406C8"/>
    <w:rsid w:val="6A4946F9"/>
    <w:rsid w:val="6A7D43A3"/>
    <w:rsid w:val="6A7E25F5"/>
    <w:rsid w:val="6A857679"/>
    <w:rsid w:val="6A86139C"/>
    <w:rsid w:val="6A9516EC"/>
    <w:rsid w:val="6A9A1ADF"/>
    <w:rsid w:val="6ABC7372"/>
    <w:rsid w:val="6ADE0BD1"/>
    <w:rsid w:val="6AE81378"/>
    <w:rsid w:val="6AE96859"/>
    <w:rsid w:val="6AF8536B"/>
    <w:rsid w:val="6B147746"/>
    <w:rsid w:val="6B24787C"/>
    <w:rsid w:val="6B546B21"/>
    <w:rsid w:val="6B573233"/>
    <w:rsid w:val="6B5B6274"/>
    <w:rsid w:val="6B755B27"/>
    <w:rsid w:val="6B935D53"/>
    <w:rsid w:val="6BAD2EF3"/>
    <w:rsid w:val="6BB0686D"/>
    <w:rsid w:val="6BBD0EFB"/>
    <w:rsid w:val="6BEF4116"/>
    <w:rsid w:val="6C196F71"/>
    <w:rsid w:val="6C226FCB"/>
    <w:rsid w:val="6C31226F"/>
    <w:rsid w:val="6C517EC7"/>
    <w:rsid w:val="6C552F0B"/>
    <w:rsid w:val="6C783074"/>
    <w:rsid w:val="6C8C67B7"/>
    <w:rsid w:val="6C9D744C"/>
    <w:rsid w:val="6CEC67F2"/>
    <w:rsid w:val="6D167928"/>
    <w:rsid w:val="6D26299B"/>
    <w:rsid w:val="6D4772EC"/>
    <w:rsid w:val="6D87733D"/>
    <w:rsid w:val="6D9078AF"/>
    <w:rsid w:val="6DAA3FEF"/>
    <w:rsid w:val="6DC0172B"/>
    <w:rsid w:val="6DCB690C"/>
    <w:rsid w:val="6DD41A5B"/>
    <w:rsid w:val="6DE56617"/>
    <w:rsid w:val="6DED00D0"/>
    <w:rsid w:val="6DF43C2E"/>
    <w:rsid w:val="6DF51CA3"/>
    <w:rsid w:val="6DFF3A4C"/>
    <w:rsid w:val="6E0830F2"/>
    <w:rsid w:val="6E107E3E"/>
    <w:rsid w:val="6E331948"/>
    <w:rsid w:val="6E3631E6"/>
    <w:rsid w:val="6E645FA5"/>
    <w:rsid w:val="6E8335BD"/>
    <w:rsid w:val="6E895767"/>
    <w:rsid w:val="6E8E12EF"/>
    <w:rsid w:val="6E972936"/>
    <w:rsid w:val="6E9A79E9"/>
    <w:rsid w:val="6EBA5112"/>
    <w:rsid w:val="6EC277E4"/>
    <w:rsid w:val="6ED446C5"/>
    <w:rsid w:val="6EDC5B3C"/>
    <w:rsid w:val="6F265009"/>
    <w:rsid w:val="6F2A7D94"/>
    <w:rsid w:val="6F4162E7"/>
    <w:rsid w:val="6F493A81"/>
    <w:rsid w:val="6F615F3F"/>
    <w:rsid w:val="6F8331F1"/>
    <w:rsid w:val="6FA86604"/>
    <w:rsid w:val="6FAE1A09"/>
    <w:rsid w:val="6FD75BF8"/>
    <w:rsid w:val="7014337E"/>
    <w:rsid w:val="701E76F2"/>
    <w:rsid w:val="70230F84"/>
    <w:rsid w:val="703717DF"/>
    <w:rsid w:val="70425E72"/>
    <w:rsid w:val="706510B7"/>
    <w:rsid w:val="707723D0"/>
    <w:rsid w:val="70B334A8"/>
    <w:rsid w:val="70BC118D"/>
    <w:rsid w:val="70F5661B"/>
    <w:rsid w:val="70F97B3E"/>
    <w:rsid w:val="71020631"/>
    <w:rsid w:val="710226DE"/>
    <w:rsid w:val="712463B0"/>
    <w:rsid w:val="71360107"/>
    <w:rsid w:val="713B688E"/>
    <w:rsid w:val="7148279F"/>
    <w:rsid w:val="71A375BB"/>
    <w:rsid w:val="71CE0425"/>
    <w:rsid w:val="71D43752"/>
    <w:rsid w:val="71E7506F"/>
    <w:rsid w:val="71F1796A"/>
    <w:rsid w:val="71FB63D5"/>
    <w:rsid w:val="72133F6A"/>
    <w:rsid w:val="72150831"/>
    <w:rsid w:val="72154626"/>
    <w:rsid w:val="721C7F6D"/>
    <w:rsid w:val="72262B5D"/>
    <w:rsid w:val="72283FF7"/>
    <w:rsid w:val="722E7212"/>
    <w:rsid w:val="723A0474"/>
    <w:rsid w:val="724A6E80"/>
    <w:rsid w:val="725923E4"/>
    <w:rsid w:val="72821B04"/>
    <w:rsid w:val="72864BF7"/>
    <w:rsid w:val="729023FC"/>
    <w:rsid w:val="72A03324"/>
    <w:rsid w:val="72A56499"/>
    <w:rsid w:val="72DC4B43"/>
    <w:rsid w:val="73005444"/>
    <w:rsid w:val="7315161C"/>
    <w:rsid w:val="73411922"/>
    <w:rsid w:val="739369E5"/>
    <w:rsid w:val="73A429A0"/>
    <w:rsid w:val="73A77042"/>
    <w:rsid w:val="73B250BD"/>
    <w:rsid w:val="73C0646E"/>
    <w:rsid w:val="73C453B0"/>
    <w:rsid w:val="742222F5"/>
    <w:rsid w:val="74420908"/>
    <w:rsid w:val="74476126"/>
    <w:rsid w:val="745E12B7"/>
    <w:rsid w:val="74706664"/>
    <w:rsid w:val="747F3682"/>
    <w:rsid w:val="749C4185"/>
    <w:rsid w:val="74CE0A2B"/>
    <w:rsid w:val="75067759"/>
    <w:rsid w:val="751B3A58"/>
    <w:rsid w:val="752E6DCD"/>
    <w:rsid w:val="7551380D"/>
    <w:rsid w:val="75600BE5"/>
    <w:rsid w:val="7564475C"/>
    <w:rsid w:val="75805DAD"/>
    <w:rsid w:val="7583797F"/>
    <w:rsid w:val="759E3B4B"/>
    <w:rsid w:val="75B17224"/>
    <w:rsid w:val="75D20F1D"/>
    <w:rsid w:val="75DA2C18"/>
    <w:rsid w:val="75EA456C"/>
    <w:rsid w:val="75EC17F0"/>
    <w:rsid w:val="75F54412"/>
    <w:rsid w:val="75FA1A63"/>
    <w:rsid w:val="76127132"/>
    <w:rsid w:val="761D08E0"/>
    <w:rsid w:val="765D347C"/>
    <w:rsid w:val="76826699"/>
    <w:rsid w:val="76C87133"/>
    <w:rsid w:val="76CD08D5"/>
    <w:rsid w:val="76DB4B92"/>
    <w:rsid w:val="76E01F41"/>
    <w:rsid w:val="77052AA4"/>
    <w:rsid w:val="770C35E3"/>
    <w:rsid w:val="771334D2"/>
    <w:rsid w:val="77136511"/>
    <w:rsid w:val="77272DD5"/>
    <w:rsid w:val="77302EC9"/>
    <w:rsid w:val="773109EF"/>
    <w:rsid w:val="77340A39"/>
    <w:rsid w:val="77351FD0"/>
    <w:rsid w:val="77472422"/>
    <w:rsid w:val="77617D97"/>
    <w:rsid w:val="777141A8"/>
    <w:rsid w:val="777F31F2"/>
    <w:rsid w:val="7785446F"/>
    <w:rsid w:val="779F3BAA"/>
    <w:rsid w:val="77D1700D"/>
    <w:rsid w:val="77EC04CC"/>
    <w:rsid w:val="77F71C38"/>
    <w:rsid w:val="77FB436F"/>
    <w:rsid w:val="78232A2D"/>
    <w:rsid w:val="78704689"/>
    <w:rsid w:val="78775729"/>
    <w:rsid w:val="7883019C"/>
    <w:rsid w:val="78A42DB0"/>
    <w:rsid w:val="78A551F0"/>
    <w:rsid w:val="78A656AB"/>
    <w:rsid w:val="78B2245C"/>
    <w:rsid w:val="78E172CC"/>
    <w:rsid w:val="78EA1D1F"/>
    <w:rsid w:val="78F80721"/>
    <w:rsid w:val="78FA1BAC"/>
    <w:rsid w:val="79036DC3"/>
    <w:rsid w:val="7904172F"/>
    <w:rsid w:val="790F7E27"/>
    <w:rsid w:val="791B3704"/>
    <w:rsid w:val="792A231A"/>
    <w:rsid w:val="79314269"/>
    <w:rsid w:val="79316829"/>
    <w:rsid w:val="797E66A9"/>
    <w:rsid w:val="798518A4"/>
    <w:rsid w:val="799D3347"/>
    <w:rsid w:val="79A97383"/>
    <w:rsid w:val="79BD1032"/>
    <w:rsid w:val="79E27E8B"/>
    <w:rsid w:val="79F850CE"/>
    <w:rsid w:val="79FD443C"/>
    <w:rsid w:val="7A1D1975"/>
    <w:rsid w:val="7A3E5150"/>
    <w:rsid w:val="7A4670D6"/>
    <w:rsid w:val="7A534B63"/>
    <w:rsid w:val="7A560E98"/>
    <w:rsid w:val="7A615382"/>
    <w:rsid w:val="7A67303B"/>
    <w:rsid w:val="7AAB1D04"/>
    <w:rsid w:val="7ABA4368"/>
    <w:rsid w:val="7AD05746"/>
    <w:rsid w:val="7AE65922"/>
    <w:rsid w:val="7B0E1E12"/>
    <w:rsid w:val="7B257FFD"/>
    <w:rsid w:val="7B343476"/>
    <w:rsid w:val="7B4E6013"/>
    <w:rsid w:val="7B5A2978"/>
    <w:rsid w:val="7B5A7E4C"/>
    <w:rsid w:val="7B667AF9"/>
    <w:rsid w:val="7B7468F8"/>
    <w:rsid w:val="7BEE0103"/>
    <w:rsid w:val="7C0171AF"/>
    <w:rsid w:val="7C046174"/>
    <w:rsid w:val="7C0A0FE4"/>
    <w:rsid w:val="7C254906"/>
    <w:rsid w:val="7C281CA5"/>
    <w:rsid w:val="7C2823C0"/>
    <w:rsid w:val="7C3B0FE1"/>
    <w:rsid w:val="7C590818"/>
    <w:rsid w:val="7C61195D"/>
    <w:rsid w:val="7C661E25"/>
    <w:rsid w:val="7C745605"/>
    <w:rsid w:val="7C7C10F6"/>
    <w:rsid w:val="7C853BEA"/>
    <w:rsid w:val="7C881368"/>
    <w:rsid w:val="7CBA5840"/>
    <w:rsid w:val="7CD60D99"/>
    <w:rsid w:val="7CE27788"/>
    <w:rsid w:val="7CEE0329"/>
    <w:rsid w:val="7D0C32F1"/>
    <w:rsid w:val="7D0F408D"/>
    <w:rsid w:val="7D465B99"/>
    <w:rsid w:val="7D491C6C"/>
    <w:rsid w:val="7D4E2E80"/>
    <w:rsid w:val="7D5429C0"/>
    <w:rsid w:val="7D5C7354"/>
    <w:rsid w:val="7D6E474B"/>
    <w:rsid w:val="7D6E6D43"/>
    <w:rsid w:val="7D883F06"/>
    <w:rsid w:val="7DB57A34"/>
    <w:rsid w:val="7DC35DEC"/>
    <w:rsid w:val="7DE60973"/>
    <w:rsid w:val="7DEF0916"/>
    <w:rsid w:val="7DF804B8"/>
    <w:rsid w:val="7E1E5218"/>
    <w:rsid w:val="7E2F58A0"/>
    <w:rsid w:val="7E454A5A"/>
    <w:rsid w:val="7E490D14"/>
    <w:rsid w:val="7E5D031B"/>
    <w:rsid w:val="7E5D6E0E"/>
    <w:rsid w:val="7E6C679B"/>
    <w:rsid w:val="7E9A4E1F"/>
    <w:rsid w:val="7EA7723A"/>
    <w:rsid w:val="7EF56FBB"/>
    <w:rsid w:val="7F0768EB"/>
    <w:rsid w:val="7F143BEC"/>
    <w:rsid w:val="7F253F27"/>
    <w:rsid w:val="7F715AF2"/>
    <w:rsid w:val="7F7B47F9"/>
    <w:rsid w:val="7F886E69"/>
    <w:rsid w:val="7F8A1B91"/>
    <w:rsid w:val="7FB21DE9"/>
    <w:rsid w:val="7FC55D23"/>
    <w:rsid w:val="7FCB5F7C"/>
    <w:rsid w:val="7FFD5B9C"/>
    <w:rsid w:val="BB7FA927"/>
    <w:rsid w:val="BE4BDA3C"/>
    <w:rsid w:val="F5FFD31F"/>
    <w:rsid w:val="FF4F5B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link w:val="284"/>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9"/>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4"/>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autoRedefine/>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195"/>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1"/>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4"/>
    <w:autoRedefine/>
    <w:qFormat/>
    <w:uiPriority w:val="0"/>
    <w:pPr>
      <w:shd w:val="clear" w:color="auto" w:fill="000080"/>
    </w:pPr>
  </w:style>
  <w:style w:type="paragraph" w:styleId="20">
    <w:name w:val="annotation text"/>
    <w:basedOn w:val="1"/>
    <w:link w:val="345"/>
    <w:autoRedefine/>
    <w:qFormat/>
    <w:uiPriority w:val="99"/>
    <w:pPr>
      <w:jc w:val="left"/>
    </w:pPr>
  </w:style>
  <w:style w:type="paragraph" w:styleId="21">
    <w:name w:val="Salutation"/>
    <w:basedOn w:val="1"/>
    <w:next w:val="1"/>
    <w:link w:val="299"/>
    <w:autoRedefine/>
    <w:qFormat/>
    <w:uiPriority w:val="0"/>
    <w:rPr>
      <w:rFonts w:ascii="仿宋_GB2312" w:eastAsia="仿宋_GB2312"/>
      <w:sz w:val="28"/>
      <w:szCs w:val="20"/>
    </w:rPr>
  </w:style>
  <w:style w:type="paragraph" w:styleId="22">
    <w:name w:val="Body Text 3"/>
    <w:basedOn w:val="1"/>
    <w:link w:val="331"/>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1"/>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22"/>
    <w:autoRedefine/>
    <w:qFormat/>
    <w:uiPriority w:val="0"/>
    <w:pPr>
      <w:ind w:firstLine="420"/>
    </w:pPr>
    <w:rPr>
      <w:rFonts w:hAnsi="Calibri" w:cs="Times New Roman"/>
      <w:snapToGrid/>
      <w:szCs w:val="20"/>
    </w:rPr>
  </w:style>
  <w:style w:type="paragraph" w:styleId="26">
    <w:name w:val="toc 6"/>
    <w:basedOn w:val="1"/>
    <w:next w:val="1"/>
    <w:autoRedefine/>
    <w:qFormat/>
    <w:uiPriority w:val="0"/>
    <w:pPr>
      <w:ind w:left="2100" w:leftChars="1000"/>
    </w:pPr>
  </w:style>
  <w:style w:type="paragraph" w:styleId="27">
    <w:name w:val="Body Text Indent"/>
    <w:basedOn w:val="1"/>
    <w:next w:val="28"/>
    <w:link w:val="266"/>
    <w:autoRedefine/>
    <w:qFormat/>
    <w:uiPriority w:val="0"/>
    <w:pPr>
      <w:spacing w:line="480" w:lineRule="exact"/>
      <w:ind w:firstLine="480" w:firstLineChars="200"/>
    </w:pPr>
    <w:rPr>
      <w:rFonts w:ascii="宋体" w:hAnsi="宋体"/>
      <w:sz w:val="24"/>
    </w:rPr>
  </w:style>
  <w:style w:type="paragraph" w:styleId="28">
    <w:name w:val="Body Text First Indent 2"/>
    <w:basedOn w:val="27"/>
    <w:link w:val="123"/>
    <w:autoRedefine/>
    <w:qFormat/>
    <w:uiPriority w:val="0"/>
    <w:pPr>
      <w:adjustRightInd/>
      <w:spacing w:after="120" w:line="240" w:lineRule="auto"/>
      <w:ind w:left="420" w:leftChars="200" w:firstLine="210"/>
    </w:pPr>
    <w:rPr>
      <w:sz w:val="21"/>
    </w:rPr>
  </w:style>
  <w:style w:type="paragraph" w:styleId="29">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autoRedefine/>
    <w:qFormat/>
    <w:uiPriority w:val="0"/>
    <w:pPr>
      <w:adjustRightInd/>
      <w:spacing w:line="360" w:lineRule="auto"/>
      <w:ind w:left="100" w:leftChars="200" w:hanging="200" w:hangingChars="200"/>
    </w:pPr>
    <w:rPr>
      <w:rFonts w:eastAsia="微软雅黑"/>
    </w:rPr>
  </w:style>
  <w:style w:type="paragraph" w:styleId="31">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21"/>
    <w:autoRedefine/>
    <w:qFormat/>
    <w:uiPriority w:val="0"/>
    <w:pPr>
      <w:widowControl/>
      <w:adjustRightInd/>
      <w:ind w:firstLine="200" w:firstLineChars="200"/>
      <w:jc w:val="left"/>
    </w:pPr>
    <w:rPr>
      <w:rFonts w:ascii="宋体" w:hAnsi="宋体"/>
      <w:i/>
      <w:iCs/>
      <w:kern w:val="0"/>
      <w:sz w:val="24"/>
    </w:rPr>
  </w:style>
  <w:style w:type="paragraph" w:styleId="34">
    <w:name w:val="toc 5"/>
    <w:basedOn w:val="1"/>
    <w:next w:val="1"/>
    <w:autoRedefine/>
    <w:qFormat/>
    <w:uiPriority w:val="0"/>
    <w:pPr>
      <w:ind w:left="1680" w:leftChars="800"/>
    </w:pPr>
  </w:style>
  <w:style w:type="paragraph" w:styleId="35">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next w:val="1"/>
    <w:link w:val="127"/>
    <w:autoRedefine/>
    <w:qFormat/>
    <w:uiPriority w:val="0"/>
    <w:rPr>
      <w:rFonts w:ascii="宋体" w:hAnsi="Courier New" w:cs="Arial"/>
      <w:snapToGrid w:val="0"/>
      <w:szCs w:val="21"/>
    </w:rPr>
  </w:style>
  <w:style w:type="paragraph" w:styleId="37">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autoRedefine/>
    <w:qFormat/>
    <w:uiPriority w:val="0"/>
    <w:pPr>
      <w:ind w:left="2940" w:leftChars="1400"/>
    </w:pPr>
  </w:style>
  <w:style w:type="paragraph" w:styleId="39">
    <w:name w:val="Date"/>
    <w:basedOn w:val="1"/>
    <w:next w:val="1"/>
    <w:link w:val="183"/>
    <w:autoRedefine/>
    <w:qFormat/>
    <w:uiPriority w:val="0"/>
    <w:pPr>
      <w:ind w:left="100" w:leftChars="2500"/>
    </w:pPr>
    <w:rPr>
      <w:rFonts w:ascii="宋体"/>
      <w:sz w:val="24"/>
      <w:szCs w:val="21"/>
      <w:lang w:val="zh-CN"/>
    </w:rPr>
  </w:style>
  <w:style w:type="paragraph" w:styleId="40">
    <w:name w:val="Body Text Indent 2"/>
    <w:basedOn w:val="1"/>
    <w:link w:val="309"/>
    <w:autoRedefine/>
    <w:qFormat/>
    <w:uiPriority w:val="0"/>
    <w:pPr>
      <w:spacing w:line="360" w:lineRule="auto"/>
      <w:ind w:firstLine="601"/>
      <w:textAlignment w:val="baseline"/>
    </w:pPr>
    <w:rPr>
      <w:rFonts w:ascii="宋体"/>
      <w:kern w:val="0"/>
      <w:sz w:val="28"/>
      <w:szCs w:val="20"/>
    </w:rPr>
  </w:style>
  <w:style w:type="paragraph" w:styleId="41">
    <w:name w:val="endnote text"/>
    <w:basedOn w:val="1"/>
    <w:link w:val="933"/>
    <w:autoRedefine/>
    <w:qFormat/>
    <w:uiPriority w:val="0"/>
    <w:rPr>
      <w:lang w:val="zh-CN"/>
    </w:rPr>
  </w:style>
  <w:style w:type="paragraph" w:styleId="42">
    <w:name w:val="Balloon Text"/>
    <w:basedOn w:val="1"/>
    <w:link w:val="190"/>
    <w:autoRedefine/>
    <w:qFormat/>
    <w:uiPriority w:val="0"/>
    <w:rPr>
      <w:sz w:val="18"/>
      <w:szCs w:val="18"/>
    </w:rPr>
  </w:style>
  <w:style w:type="paragraph" w:styleId="43">
    <w:name w:val="footer"/>
    <w:basedOn w:val="1"/>
    <w:link w:val="384"/>
    <w:autoRedefine/>
    <w:qFormat/>
    <w:uiPriority w:val="99"/>
    <w:pPr>
      <w:tabs>
        <w:tab w:val="center" w:pos="4153"/>
        <w:tab w:val="right" w:pos="8306"/>
      </w:tabs>
      <w:snapToGrid w:val="0"/>
      <w:jc w:val="left"/>
    </w:pPr>
    <w:rPr>
      <w:sz w:val="18"/>
      <w:szCs w:val="18"/>
    </w:rPr>
  </w:style>
  <w:style w:type="paragraph" w:styleId="44">
    <w:name w:val="header"/>
    <w:basedOn w:val="1"/>
    <w:link w:val="393"/>
    <w:autoRedefine/>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6"/>
    <w:autoRedefine/>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autoRedefine/>
    <w:qFormat/>
    <w:uiPriority w:val="0"/>
  </w:style>
  <w:style w:type="paragraph" w:styleId="47">
    <w:name w:val="toc 4"/>
    <w:basedOn w:val="1"/>
    <w:next w:val="1"/>
    <w:autoRedefine/>
    <w:qFormat/>
    <w:uiPriority w:val="0"/>
    <w:pPr>
      <w:ind w:left="1260" w:leftChars="600"/>
    </w:pPr>
  </w:style>
  <w:style w:type="paragraph" w:styleId="48">
    <w:name w:val="index heading"/>
    <w:basedOn w:val="1"/>
    <w:next w:val="49"/>
    <w:autoRedefine/>
    <w:qFormat/>
    <w:uiPriority w:val="0"/>
    <w:pPr>
      <w:adjustRightInd/>
      <w:ind w:firstLine="200" w:firstLineChars="200"/>
    </w:pPr>
  </w:style>
  <w:style w:type="paragraph" w:styleId="49">
    <w:name w:val="index 1"/>
    <w:basedOn w:val="1"/>
    <w:next w:val="1"/>
    <w:autoRedefine/>
    <w:qFormat/>
    <w:uiPriority w:val="0"/>
    <w:pPr>
      <w:adjustRightInd/>
      <w:spacing w:line="360" w:lineRule="auto"/>
      <w:ind w:firstLine="200" w:firstLineChars="200"/>
      <w:jc w:val="center"/>
    </w:pPr>
    <w:rPr>
      <w:sz w:val="24"/>
      <w:szCs w:val="20"/>
    </w:rPr>
  </w:style>
  <w:style w:type="paragraph" w:styleId="50">
    <w:name w:val="Subtitle"/>
    <w:link w:val="135"/>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autoRedefine/>
    <w:qFormat/>
    <w:uiPriority w:val="0"/>
    <w:pPr>
      <w:tabs>
        <w:tab w:val="left" w:pos="902"/>
      </w:tabs>
      <w:adjustRightInd/>
      <w:spacing w:line="400" w:lineRule="exact"/>
      <w:ind w:left="902" w:hanging="420"/>
    </w:pPr>
    <w:rPr>
      <w:sz w:val="24"/>
      <w:szCs w:val="20"/>
    </w:rPr>
  </w:style>
  <w:style w:type="paragraph" w:styleId="52">
    <w:name w:val="List"/>
    <w:basedOn w:val="1"/>
    <w:autoRedefine/>
    <w:qFormat/>
    <w:uiPriority w:val="0"/>
    <w:pPr>
      <w:ind w:left="200" w:hanging="200" w:hangingChars="200"/>
    </w:pPr>
  </w:style>
  <w:style w:type="paragraph" w:styleId="53">
    <w:name w:val="footnote text"/>
    <w:basedOn w:val="16"/>
    <w:link w:val="311"/>
    <w:autoRedefine/>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376"/>
    <w:autoRedefine/>
    <w:qFormat/>
    <w:uiPriority w:val="0"/>
    <w:pPr>
      <w:spacing w:line="360" w:lineRule="auto"/>
      <w:ind w:firstLine="420"/>
    </w:pPr>
    <w:rPr>
      <w:sz w:val="24"/>
      <w:szCs w:val="20"/>
    </w:rPr>
  </w:style>
  <w:style w:type="paragraph" w:styleId="56">
    <w:name w:val="toc 2"/>
    <w:basedOn w:val="1"/>
    <w:next w:val="1"/>
    <w:autoRedefine/>
    <w:qFormat/>
    <w:uiPriority w:val="0"/>
    <w:pPr>
      <w:ind w:left="420" w:leftChars="200"/>
    </w:pPr>
  </w:style>
  <w:style w:type="paragraph" w:styleId="57">
    <w:name w:val="toc 9"/>
    <w:basedOn w:val="1"/>
    <w:next w:val="1"/>
    <w:autoRedefine/>
    <w:qFormat/>
    <w:uiPriority w:val="0"/>
    <w:pPr>
      <w:ind w:left="3360" w:leftChars="1600"/>
    </w:pPr>
  </w:style>
  <w:style w:type="paragraph" w:styleId="58">
    <w:name w:val="Body Text 2"/>
    <w:basedOn w:val="1"/>
    <w:link w:val="303"/>
    <w:autoRedefine/>
    <w:qFormat/>
    <w:uiPriority w:val="0"/>
    <w:pPr>
      <w:spacing w:after="120" w:line="480" w:lineRule="auto"/>
    </w:pPr>
  </w:style>
  <w:style w:type="paragraph" w:styleId="59">
    <w:name w:val="HTML Preformatted"/>
    <w:basedOn w:val="1"/>
    <w:link w:val="30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7"/>
    <w:autoRedefine/>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98"/>
    <w:autoRedefine/>
    <w:qFormat/>
    <w:uiPriority w:val="0"/>
    <w:rPr>
      <w:b/>
      <w:bCs/>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正文空2字"/>
    <w:basedOn w:val="81"/>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autoRedefine/>
    <w:qFormat/>
    <w:uiPriority w:val="99"/>
    <w:rPr>
      <w:rFonts w:ascii="Calibri" w:hAnsi="Calibri" w:eastAsia="仿宋_GB2312" w:cs="Calibri"/>
      <w:kern w:val="2"/>
      <w:sz w:val="32"/>
      <w:szCs w:val="32"/>
      <w:lang w:val="en-US" w:eastAsia="zh-CN" w:bidi="ar-SA"/>
    </w:rPr>
  </w:style>
  <w:style w:type="paragraph" w:customStyle="1" w:styleId="82">
    <w:name w:val="Normal Indent1"/>
    <w:basedOn w:val="1"/>
    <w:autoRedefine/>
    <w:qFormat/>
    <w:uiPriority w:val="0"/>
    <w:pPr>
      <w:ind w:firstLine="420" w:firstLineChars="200"/>
    </w:pPr>
  </w:style>
  <w:style w:type="paragraph" w:customStyle="1" w:styleId="83">
    <w:name w:val="Default"/>
    <w:link w:val="23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84">
    <w:name w:val="表格非标题文字 Char"/>
    <w:link w:val="85"/>
    <w:autoRedefine/>
    <w:qFormat/>
    <w:uiPriority w:val="0"/>
    <w:rPr>
      <w:rFonts w:ascii="Futura Bk" w:hAnsi="Futura Bk"/>
      <w:kern w:val="2"/>
      <w:sz w:val="18"/>
      <w:szCs w:val="21"/>
      <w:lang w:val="en-US" w:eastAsia="zh-CN" w:bidi="ar-SA"/>
    </w:rPr>
  </w:style>
  <w:style w:type="paragraph" w:customStyle="1" w:styleId="85">
    <w:name w:val="表格非标题文字"/>
    <w:link w:val="84"/>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autoRedefine/>
    <w:qFormat/>
    <w:locked/>
    <w:uiPriority w:val="0"/>
    <w:rPr>
      <w:rFonts w:ascii="宋体" w:hAnsi="宋体"/>
      <w:sz w:val="24"/>
    </w:rPr>
  </w:style>
  <w:style w:type="paragraph" w:customStyle="1" w:styleId="87">
    <w:name w:val="*正文"/>
    <w:basedOn w:val="1"/>
    <w:link w:val="86"/>
    <w:autoRedefine/>
    <w:qFormat/>
    <w:uiPriority w:val="0"/>
    <w:pPr>
      <w:snapToGrid w:val="0"/>
      <w:spacing w:line="360" w:lineRule="auto"/>
      <w:ind w:firstLine="482"/>
      <w:jc w:val="left"/>
    </w:pPr>
    <w:rPr>
      <w:rFonts w:ascii="宋体" w:hAnsi="宋体"/>
      <w:kern w:val="0"/>
      <w:sz w:val="24"/>
      <w:szCs w:val="20"/>
    </w:rPr>
  </w:style>
  <w:style w:type="character" w:customStyle="1" w:styleId="88">
    <w:name w:val="Char Char71"/>
    <w:autoRedefine/>
    <w:semiHidden/>
    <w:qFormat/>
    <w:uiPriority w:val="0"/>
    <w:rPr>
      <w:rFonts w:eastAsia="宋体"/>
      <w:kern w:val="2"/>
      <w:sz w:val="21"/>
      <w:szCs w:val="24"/>
      <w:lang w:val="en-US" w:eastAsia="zh-CN" w:bidi="ar-SA"/>
    </w:rPr>
  </w:style>
  <w:style w:type="character" w:customStyle="1" w:styleId="89">
    <w:name w:val="Char Char6"/>
    <w:autoRedefine/>
    <w:qFormat/>
    <w:uiPriority w:val="0"/>
    <w:rPr>
      <w:rFonts w:eastAsia="宋体"/>
      <w:kern w:val="2"/>
      <w:sz w:val="21"/>
      <w:szCs w:val="24"/>
      <w:lang w:val="en-US" w:eastAsia="zh-CN" w:bidi="ar-SA"/>
    </w:rPr>
  </w:style>
  <w:style w:type="character" w:customStyle="1" w:styleId="90">
    <w:name w:val="正文缩进 Char"/>
    <w:autoRedefine/>
    <w:qFormat/>
    <w:uiPriority w:val="0"/>
    <w:rPr>
      <w:rFonts w:eastAsia="宋体"/>
      <w:kern w:val="2"/>
      <w:sz w:val="21"/>
      <w:lang w:val="en-US" w:eastAsia="zh-CN"/>
    </w:rPr>
  </w:style>
  <w:style w:type="character" w:customStyle="1" w:styleId="91">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2">
    <w:name w:val="Char Char28"/>
    <w:autoRedefine/>
    <w:qFormat/>
    <w:uiPriority w:val="6"/>
    <w:rPr>
      <w:rFonts w:ascii="仿宋_GB2312" w:hAnsi="仿宋_GB2312" w:eastAsia="仿宋_GB2312"/>
      <w:kern w:val="1"/>
      <w:sz w:val="28"/>
    </w:rPr>
  </w:style>
  <w:style w:type="character" w:customStyle="1" w:styleId="93">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autoRedefine/>
    <w:qFormat/>
    <w:uiPriority w:val="6"/>
    <w:rPr>
      <w:rFonts w:ascii="Times New Roman" w:hAnsi="Times New Roman" w:eastAsia="黑体" w:cs="Times New Roman"/>
      <w:b/>
      <w:kern w:val="0"/>
      <w:sz w:val="24"/>
      <w:szCs w:val="24"/>
    </w:rPr>
  </w:style>
  <w:style w:type="character" w:customStyle="1" w:styleId="95">
    <w:name w:val="U_正文 Char"/>
    <w:link w:val="96"/>
    <w:autoRedefine/>
    <w:qFormat/>
    <w:uiPriority w:val="0"/>
    <w:rPr>
      <w:sz w:val="24"/>
      <w:szCs w:val="24"/>
    </w:rPr>
  </w:style>
  <w:style w:type="paragraph" w:customStyle="1" w:styleId="96">
    <w:name w:val="U_正文"/>
    <w:basedOn w:val="1"/>
    <w:link w:val="95"/>
    <w:autoRedefine/>
    <w:qFormat/>
    <w:uiPriority w:val="0"/>
    <w:pPr>
      <w:adjustRightInd/>
      <w:spacing w:beforeLines="20" w:afterLines="20" w:line="300" w:lineRule="auto"/>
      <w:ind w:firstLine="200" w:firstLineChars="200"/>
    </w:pPr>
    <w:rPr>
      <w:kern w:val="0"/>
      <w:sz w:val="24"/>
    </w:rPr>
  </w:style>
  <w:style w:type="character" w:customStyle="1" w:styleId="97">
    <w:name w:val="HTML 地址 Char1"/>
    <w:autoRedefine/>
    <w:qFormat/>
    <w:uiPriority w:val="0"/>
    <w:rPr>
      <w:rFonts w:ascii="Times New Roman" w:hAnsi="Times New Roman" w:eastAsia="宋体" w:cs="Times New Roman"/>
      <w:i/>
      <w:iCs/>
      <w:szCs w:val="24"/>
    </w:rPr>
  </w:style>
  <w:style w:type="character" w:customStyle="1" w:styleId="98">
    <w:name w:val="批注主题 字符"/>
    <w:link w:val="62"/>
    <w:autoRedefine/>
    <w:qFormat/>
    <w:uiPriority w:val="0"/>
    <w:rPr>
      <w:b/>
      <w:bCs/>
      <w:kern w:val="2"/>
      <w:sz w:val="21"/>
      <w:szCs w:val="24"/>
    </w:rPr>
  </w:style>
  <w:style w:type="character" w:customStyle="1" w:styleId="99">
    <w:name w:val="Char Char51"/>
    <w:autoRedefine/>
    <w:qFormat/>
    <w:uiPriority w:val="0"/>
    <w:rPr>
      <w:rFonts w:ascii="宋体" w:hAnsi="Courier New" w:eastAsia="宋体"/>
      <w:kern w:val="2"/>
      <w:sz w:val="21"/>
      <w:lang w:val="en-US" w:eastAsia="zh-CN"/>
    </w:rPr>
  </w:style>
  <w:style w:type="character" w:customStyle="1" w:styleId="100">
    <w:name w:val="表正文 Char"/>
    <w:autoRedefine/>
    <w:qFormat/>
    <w:uiPriority w:val="0"/>
    <w:rPr>
      <w:rFonts w:ascii="宋体" w:eastAsia="宋体"/>
      <w:snapToGrid w:val="0"/>
      <w:color w:val="000000"/>
      <w:kern w:val="28"/>
      <w:sz w:val="28"/>
      <w:lang w:val="en-US" w:eastAsia="zh-CN" w:bidi="ar-SA"/>
    </w:rPr>
  </w:style>
  <w:style w:type="character" w:customStyle="1" w:styleId="101">
    <w:name w:val="Char Char34"/>
    <w:autoRedefine/>
    <w:qFormat/>
    <w:uiPriority w:val="6"/>
    <w:rPr>
      <w:b/>
      <w:kern w:val="1"/>
      <w:sz w:val="28"/>
      <w:szCs w:val="28"/>
    </w:rPr>
  </w:style>
  <w:style w:type="character" w:customStyle="1" w:styleId="102">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autoRedefine/>
    <w:qFormat/>
    <w:uiPriority w:val="0"/>
    <w:rPr>
      <w:rFonts w:ascii="宋体" w:hAnsi="宋体" w:eastAsia="宋体"/>
      <w:kern w:val="2"/>
      <w:sz w:val="24"/>
      <w:lang w:bidi="ar-SA"/>
    </w:rPr>
  </w:style>
  <w:style w:type="paragraph" w:customStyle="1" w:styleId="104">
    <w:name w:val="哈哈正文"/>
    <w:basedOn w:val="1"/>
    <w:link w:val="103"/>
    <w:autoRedefine/>
    <w:qFormat/>
    <w:uiPriority w:val="0"/>
    <w:pPr>
      <w:adjustRightInd/>
      <w:spacing w:line="360" w:lineRule="auto"/>
      <w:ind w:firstLine="200" w:firstLineChars="200"/>
    </w:pPr>
    <w:rPr>
      <w:rFonts w:ascii="宋体" w:hAnsi="宋体"/>
      <w:sz w:val="24"/>
      <w:szCs w:val="20"/>
    </w:rPr>
  </w:style>
  <w:style w:type="character" w:customStyle="1" w:styleId="105">
    <w:name w:val="未处理的提及1"/>
    <w:autoRedefine/>
    <w:qFormat/>
    <w:uiPriority w:val="0"/>
    <w:rPr>
      <w:color w:val="808080"/>
      <w:shd w:val="clear" w:color="auto" w:fill="E6E6E6"/>
    </w:rPr>
  </w:style>
  <w:style w:type="character" w:customStyle="1" w:styleId="106">
    <w:name w:val="txt"/>
    <w:autoRedefine/>
    <w:qFormat/>
    <w:uiPriority w:val="0"/>
    <w:rPr>
      <w:rFonts w:ascii="仿宋_GB2312" w:eastAsia="微软雅黑"/>
      <w:b/>
      <w:kern w:val="2"/>
      <w:sz w:val="32"/>
      <w:szCs w:val="32"/>
      <w:lang w:val="en-US" w:eastAsia="zh-CN" w:bidi="ar-SA"/>
    </w:rPr>
  </w:style>
  <w:style w:type="character" w:customStyle="1" w:styleId="10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8">
    <w:name w:val="Char Char32"/>
    <w:autoRedefine/>
    <w:qFormat/>
    <w:uiPriority w:val="6"/>
    <w:rPr>
      <w:b/>
      <w:kern w:val="1"/>
      <w:sz w:val="24"/>
      <w:szCs w:val="24"/>
    </w:rPr>
  </w:style>
  <w:style w:type="character" w:customStyle="1" w:styleId="109">
    <w:name w:val="PI Char1"/>
    <w:autoRedefine/>
    <w:qFormat/>
    <w:uiPriority w:val="0"/>
    <w:rPr>
      <w:rFonts w:ascii="宋体" w:hAnsi="宋体"/>
      <w:kern w:val="2"/>
      <w:sz w:val="24"/>
      <w:szCs w:val="24"/>
    </w:rPr>
  </w:style>
  <w:style w:type="character" w:customStyle="1" w:styleId="110">
    <w:name w:val="tw4winTerm"/>
    <w:autoRedefine/>
    <w:qFormat/>
    <w:uiPriority w:val="0"/>
    <w:rPr>
      <w:color w:val="0000FF"/>
    </w:rPr>
  </w:style>
  <w:style w:type="character" w:customStyle="1" w:styleId="111">
    <w:name w:val="Footer Char"/>
    <w:autoRedefine/>
    <w:qFormat/>
    <w:locked/>
    <w:uiPriority w:val="0"/>
    <w:rPr>
      <w:rFonts w:eastAsia="宋体"/>
      <w:kern w:val="2"/>
      <w:sz w:val="18"/>
      <w:lang w:val="en-US" w:eastAsia="zh-CN" w:bidi="ar-SA"/>
    </w:rPr>
  </w:style>
  <w:style w:type="character" w:customStyle="1" w:styleId="112">
    <w:name w:val="普通文字 Char Char1"/>
    <w:autoRedefine/>
    <w:qFormat/>
    <w:uiPriority w:val="0"/>
    <w:rPr>
      <w:rFonts w:ascii="宋体" w:hAnsi="Courier New"/>
      <w:kern w:val="2"/>
      <w:sz w:val="21"/>
    </w:rPr>
  </w:style>
  <w:style w:type="character" w:customStyle="1" w:styleId="113">
    <w:name w:val="Char Char101"/>
    <w:autoRedefine/>
    <w:qFormat/>
    <w:uiPriority w:val="6"/>
    <w:rPr>
      <w:rFonts w:ascii="宋体" w:hAnsi="宋体"/>
      <w:kern w:val="2"/>
      <w:sz w:val="21"/>
      <w:szCs w:val="24"/>
      <w:lang w:val="en-US" w:eastAsia="zh-CN"/>
    </w:rPr>
  </w:style>
  <w:style w:type="character" w:customStyle="1" w:styleId="114">
    <w:name w:val="标题 4 Char"/>
    <w:autoRedefine/>
    <w:qFormat/>
    <w:uiPriority w:val="0"/>
    <w:rPr>
      <w:rFonts w:ascii="Arial" w:hAnsi="Arial" w:eastAsia="黑体"/>
      <w:b/>
      <w:kern w:val="2"/>
      <w:sz w:val="28"/>
    </w:rPr>
  </w:style>
  <w:style w:type="character" w:customStyle="1" w:styleId="115">
    <w:name w:val="链接"/>
    <w:autoRedefine/>
    <w:qFormat/>
    <w:uiPriority w:val="0"/>
    <w:rPr>
      <w:color w:val="0000FF"/>
      <w:sz w:val="21"/>
      <w:szCs w:val="21"/>
      <w:u w:val="single"/>
    </w:rPr>
  </w:style>
  <w:style w:type="character" w:customStyle="1" w:styleId="116">
    <w:name w:val="h4 Char"/>
    <w:autoRedefine/>
    <w:qFormat/>
    <w:uiPriority w:val="0"/>
    <w:rPr>
      <w:rFonts w:ascii="Arial" w:hAnsi="Arial" w:eastAsia="黑体"/>
      <w:b/>
      <w:bCs/>
      <w:kern w:val="2"/>
      <w:sz w:val="28"/>
      <w:szCs w:val="28"/>
      <w:lang w:val="zh-CN" w:eastAsia="zh-CN" w:bidi="ar-SA"/>
    </w:rPr>
  </w:style>
  <w:style w:type="character" w:customStyle="1" w:styleId="117">
    <w:name w:val="5正文 Char"/>
    <w:link w:val="118"/>
    <w:autoRedefine/>
    <w:qFormat/>
    <w:uiPriority w:val="0"/>
    <w:rPr>
      <w:rFonts w:ascii="仿宋_GB2312" w:hAnsi="微软雅黑" w:eastAsia="仿宋_GB2312"/>
      <w:sz w:val="28"/>
      <w:szCs w:val="21"/>
    </w:rPr>
  </w:style>
  <w:style w:type="paragraph" w:customStyle="1" w:styleId="118">
    <w:name w:val="5正文"/>
    <w:basedOn w:val="1"/>
    <w:link w:val="117"/>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autoRedefine/>
    <w:qFormat/>
    <w:uiPriority w:val="9"/>
    <w:rPr>
      <w:b/>
      <w:bCs/>
      <w:kern w:val="2"/>
      <w:sz w:val="32"/>
      <w:szCs w:val="32"/>
    </w:rPr>
  </w:style>
  <w:style w:type="character" w:customStyle="1" w:styleId="120">
    <w:name w:val="样式6 Char"/>
    <w:autoRedefine/>
    <w:qFormat/>
    <w:uiPriority w:val="0"/>
    <w:rPr>
      <w:rFonts w:ascii="仿宋_GB2312" w:hAnsi="宋体" w:eastAsia="仿宋_GB2312"/>
      <w:b/>
      <w:bCs/>
      <w:kern w:val="2"/>
      <w:sz w:val="24"/>
      <w:szCs w:val="24"/>
      <w:lang w:val="en-US" w:eastAsia="zh-CN" w:bidi="ar-SA"/>
    </w:rPr>
  </w:style>
  <w:style w:type="character" w:customStyle="1" w:styleId="121">
    <w:name w:val="Char Char14"/>
    <w:autoRedefine/>
    <w:qFormat/>
    <w:uiPriority w:val="6"/>
    <w:rPr>
      <w:rFonts w:ascii="黑体" w:hAnsi="黑体" w:eastAsia="黑体"/>
    </w:rPr>
  </w:style>
  <w:style w:type="character" w:customStyle="1" w:styleId="122">
    <w:name w:val="Heading 2 Hidden Char"/>
    <w:autoRedefine/>
    <w:qFormat/>
    <w:uiPriority w:val="0"/>
    <w:rPr>
      <w:rFonts w:ascii="仿宋_GB2312" w:eastAsia="仿宋_GB2312"/>
      <w:b/>
      <w:bCs/>
      <w:kern w:val="2"/>
      <w:sz w:val="24"/>
      <w:szCs w:val="24"/>
      <w:lang w:val="zh-CN" w:eastAsia="zh-CN" w:bidi="ar-SA"/>
    </w:rPr>
  </w:style>
  <w:style w:type="character" w:customStyle="1" w:styleId="123">
    <w:name w:val="正文文本首行缩进 2 字符"/>
    <w:link w:val="28"/>
    <w:autoRedefine/>
    <w:qFormat/>
    <w:uiPriority w:val="0"/>
    <w:rPr>
      <w:rFonts w:ascii="宋体" w:hAnsi="宋体"/>
      <w:kern w:val="2"/>
      <w:sz w:val="21"/>
      <w:szCs w:val="24"/>
    </w:rPr>
  </w:style>
  <w:style w:type="character" w:customStyle="1" w:styleId="124">
    <w:name w:val="font11"/>
    <w:autoRedefine/>
    <w:qFormat/>
    <w:uiPriority w:val="0"/>
    <w:rPr>
      <w:rFonts w:hint="default" w:ascii="Times New Roman" w:hAnsi="Times New Roman" w:cs="Times New Roman"/>
      <w:color w:val="000000"/>
      <w:sz w:val="22"/>
      <w:szCs w:val="22"/>
      <w:u w:val="none"/>
    </w:rPr>
  </w:style>
  <w:style w:type="character" w:customStyle="1" w:styleId="125">
    <w:name w:val="表正文 Char1"/>
    <w:autoRedefine/>
    <w:qFormat/>
    <w:uiPriority w:val="0"/>
    <w:rPr>
      <w:rFonts w:ascii="宋体" w:eastAsia="宋体"/>
      <w:snapToGrid w:val="0"/>
      <w:color w:val="000000"/>
      <w:kern w:val="28"/>
      <w:sz w:val="28"/>
    </w:rPr>
  </w:style>
  <w:style w:type="character" w:customStyle="1" w:styleId="126">
    <w:name w:val="blue1"/>
    <w:basedOn w:val="70"/>
    <w:autoRedefine/>
    <w:qFormat/>
    <w:uiPriority w:val="0"/>
    <w:rPr>
      <w:rFonts w:ascii="Arial" w:hAnsi="Arial" w:eastAsia="黑体" w:cs="Arial"/>
      <w:snapToGrid w:val="0"/>
      <w:kern w:val="0"/>
      <w:szCs w:val="21"/>
    </w:rPr>
  </w:style>
  <w:style w:type="character" w:customStyle="1" w:styleId="127">
    <w:name w:val="纯文本 字符1"/>
    <w:link w:val="36"/>
    <w:autoRedefine/>
    <w:qFormat/>
    <w:uiPriority w:val="0"/>
    <w:rPr>
      <w:rFonts w:ascii="宋体" w:hAnsi="Courier New" w:eastAsia="宋体" w:cs="Arial"/>
      <w:snapToGrid w:val="0"/>
      <w:kern w:val="2"/>
      <w:sz w:val="21"/>
      <w:szCs w:val="21"/>
      <w:lang w:val="en-US" w:eastAsia="zh-CN" w:bidi="ar-SA"/>
    </w:rPr>
  </w:style>
  <w:style w:type="character" w:customStyle="1" w:styleId="128">
    <w:name w:val="标书1 Char"/>
    <w:autoRedefine/>
    <w:qFormat/>
    <w:uiPriority w:val="0"/>
    <w:rPr>
      <w:rFonts w:eastAsia="宋体"/>
      <w:b/>
      <w:bCs/>
      <w:kern w:val="44"/>
      <w:sz w:val="44"/>
      <w:szCs w:val="44"/>
      <w:lang w:val="en-US" w:eastAsia="zh-CN" w:bidi="ar-SA"/>
    </w:rPr>
  </w:style>
  <w:style w:type="character" w:customStyle="1" w:styleId="129">
    <w:name w:val="样式5 Char"/>
    <w:autoRedefine/>
    <w:qFormat/>
    <w:uiPriority w:val="0"/>
    <w:rPr>
      <w:rFonts w:ascii="仿宋_GB2312" w:hAnsi="仿宋" w:eastAsia="仿宋_GB2312"/>
      <w:kern w:val="2"/>
      <w:sz w:val="24"/>
      <w:szCs w:val="24"/>
    </w:rPr>
  </w:style>
  <w:style w:type="character" w:customStyle="1" w:styleId="130">
    <w:name w:val="样式4 Char"/>
    <w:autoRedefine/>
    <w:qFormat/>
    <w:uiPriority w:val="0"/>
    <w:rPr>
      <w:rFonts w:ascii="仿宋_GB2312" w:hAnsi="仿宋" w:eastAsia="仿宋_GB2312"/>
      <w:b/>
      <w:kern w:val="2"/>
      <w:sz w:val="32"/>
      <w:szCs w:val="32"/>
      <w:lang w:bidi="ar-SA"/>
    </w:rPr>
  </w:style>
  <w:style w:type="character" w:customStyle="1" w:styleId="131">
    <w:name w:val="插图说明 Char"/>
    <w:autoRedefine/>
    <w:qFormat/>
    <w:uiPriority w:val="0"/>
    <w:rPr>
      <w:rFonts w:eastAsia="黑体"/>
      <w:sz w:val="24"/>
      <w:lang w:val="en-US" w:eastAsia="zh-CN"/>
    </w:rPr>
  </w:style>
  <w:style w:type="character" w:customStyle="1" w:styleId="132">
    <w:name w:val="正文2 Char Char"/>
    <w:link w:val="133"/>
    <w:autoRedefine/>
    <w:qFormat/>
    <w:uiPriority w:val="0"/>
    <w:rPr>
      <w:rFonts w:eastAsia="宋体"/>
      <w:kern w:val="2"/>
      <w:sz w:val="24"/>
      <w:lang w:val="en-US" w:eastAsia="zh-CN" w:bidi="ar-SA"/>
    </w:rPr>
  </w:style>
  <w:style w:type="paragraph" w:customStyle="1" w:styleId="133">
    <w:name w:val="正文2"/>
    <w:basedOn w:val="1"/>
    <w:link w:val="132"/>
    <w:autoRedefine/>
    <w:qFormat/>
    <w:uiPriority w:val="0"/>
    <w:pPr>
      <w:spacing w:before="156" w:line="360" w:lineRule="auto"/>
      <w:ind w:firstLine="510" w:firstLineChars="200"/>
    </w:pPr>
    <w:rPr>
      <w:sz w:val="24"/>
      <w:szCs w:val="20"/>
    </w:rPr>
  </w:style>
  <w:style w:type="character" w:customStyle="1" w:styleId="134">
    <w:name w:val="Char Char24"/>
    <w:autoRedefine/>
    <w:qFormat/>
    <w:uiPriority w:val="6"/>
    <w:rPr>
      <w:kern w:val="1"/>
      <w:sz w:val="21"/>
    </w:rPr>
  </w:style>
  <w:style w:type="character" w:customStyle="1" w:styleId="135">
    <w:name w:val="副标题 字符"/>
    <w:link w:val="50"/>
    <w:autoRedefine/>
    <w:qFormat/>
    <w:uiPriority w:val="0"/>
    <w:rPr>
      <w:rFonts w:ascii="Arial" w:hAnsi="Arial" w:eastAsia="隶书"/>
      <w:b/>
      <w:bCs/>
      <w:kern w:val="28"/>
      <w:sz w:val="44"/>
      <w:szCs w:val="32"/>
      <w:lang w:val="en-US" w:eastAsia="zh-CN" w:bidi="ar-SA"/>
    </w:rPr>
  </w:style>
  <w:style w:type="character" w:customStyle="1" w:styleId="136">
    <w:name w:val="普通文字 Char1 Char"/>
    <w:autoRedefine/>
    <w:qFormat/>
    <w:uiPriority w:val="0"/>
    <w:rPr>
      <w:rFonts w:ascii="宋体" w:hAnsi="Courier New" w:eastAsia="宋体"/>
      <w:kern w:val="2"/>
      <w:sz w:val="21"/>
      <w:szCs w:val="24"/>
      <w:lang w:val="en-US" w:eastAsia="zh-CN" w:bidi="ar-SA"/>
    </w:rPr>
  </w:style>
  <w:style w:type="character" w:customStyle="1" w:styleId="137">
    <w:name w:val="h3 Char1"/>
    <w:autoRedefine/>
    <w:qFormat/>
    <w:uiPriority w:val="0"/>
    <w:rPr>
      <w:rFonts w:eastAsia="宋体"/>
      <w:b/>
      <w:bCs/>
      <w:kern w:val="2"/>
      <w:sz w:val="32"/>
      <w:szCs w:val="32"/>
      <w:lang w:bidi="ar-SA"/>
    </w:rPr>
  </w:style>
  <w:style w:type="character" w:customStyle="1" w:styleId="138">
    <w:name w:val="标题 Char1"/>
    <w:autoRedefine/>
    <w:qFormat/>
    <w:uiPriority w:val="0"/>
    <w:rPr>
      <w:rFonts w:ascii="Cambria" w:hAnsi="Cambria" w:eastAsia="宋体" w:cs="Times New Roman"/>
      <w:b/>
      <w:bCs/>
      <w:sz w:val="32"/>
      <w:szCs w:val="32"/>
      <w:lang w:bidi="ar-SA"/>
    </w:rPr>
  </w:style>
  <w:style w:type="character" w:customStyle="1" w:styleId="139">
    <w:name w:val="gf正文1 Char"/>
    <w:autoRedefine/>
    <w:qFormat/>
    <w:uiPriority w:val="0"/>
    <w:rPr>
      <w:rFonts w:ascii="宋体" w:hAnsi="宋体" w:eastAsia="宋体" w:cs="宋体"/>
      <w:kern w:val="2"/>
      <w:sz w:val="24"/>
      <w:szCs w:val="24"/>
      <w:lang w:val="en-US" w:eastAsia="zh-CN" w:bidi="ar-SA"/>
    </w:rPr>
  </w:style>
  <w:style w:type="character" w:customStyle="1" w:styleId="140">
    <w:name w:val="正文文本缩进 Char1"/>
    <w:autoRedefine/>
    <w:qFormat/>
    <w:uiPriority w:val="0"/>
    <w:rPr>
      <w:rFonts w:ascii="Calibri" w:hAnsi="Calibri"/>
      <w:sz w:val="28"/>
    </w:rPr>
  </w:style>
  <w:style w:type="character" w:customStyle="1" w:styleId="141">
    <w:name w:val="No Spacing Char"/>
    <w:link w:val="142"/>
    <w:autoRedefine/>
    <w:qFormat/>
    <w:uiPriority w:val="1"/>
    <w:rPr>
      <w:sz w:val="22"/>
      <w:szCs w:val="22"/>
      <w:lang w:val="en-US" w:eastAsia="zh-CN" w:bidi="ar-SA"/>
    </w:rPr>
  </w:style>
  <w:style w:type="paragraph" w:customStyle="1" w:styleId="142">
    <w:name w:val="无间隔1"/>
    <w:link w:val="141"/>
    <w:autoRedefine/>
    <w:qFormat/>
    <w:uiPriority w:val="1"/>
    <w:rPr>
      <w:rFonts w:ascii="Times New Roman" w:hAnsi="Times New Roman" w:eastAsia="宋体" w:cs="Times New Roman"/>
      <w:sz w:val="22"/>
      <w:szCs w:val="22"/>
      <w:lang w:val="en-US" w:eastAsia="zh-CN" w:bidi="ar-SA"/>
    </w:rPr>
  </w:style>
  <w:style w:type="character" w:customStyle="1" w:styleId="143">
    <w:name w:val="样式7 Char"/>
    <w:autoRedefine/>
    <w:qFormat/>
    <w:uiPriority w:val="0"/>
    <w:rPr>
      <w:rFonts w:ascii="仿宋_GB2312" w:hAnsi="仿宋" w:eastAsia="仿宋_GB2312"/>
      <w:b/>
      <w:kern w:val="2"/>
      <w:sz w:val="24"/>
      <w:szCs w:val="24"/>
    </w:rPr>
  </w:style>
  <w:style w:type="character" w:customStyle="1" w:styleId="144">
    <w:name w:val="font12gray1"/>
    <w:autoRedefine/>
    <w:qFormat/>
    <w:uiPriority w:val="0"/>
    <w:rPr>
      <w:rFonts w:ascii="仿宋_GB2312" w:eastAsia="微软雅黑"/>
      <w:b/>
      <w:spacing w:val="300"/>
      <w:kern w:val="2"/>
      <w:sz w:val="18"/>
      <w:szCs w:val="18"/>
      <w:lang w:val="en-US" w:eastAsia="zh-CN" w:bidi="ar-SA"/>
    </w:rPr>
  </w:style>
  <w:style w:type="character" w:customStyle="1" w:styleId="145">
    <w:name w:val="Char Char7"/>
    <w:autoRedefine/>
    <w:semiHidden/>
    <w:qFormat/>
    <w:uiPriority w:val="0"/>
    <w:rPr>
      <w:rFonts w:eastAsia="宋体"/>
      <w:kern w:val="2"/>
      <w:sz w:val="21"/>
      <w:szCs w:val="24"/>
      <w:lang w:val="en-US" w:eastAsia="zh-CN" w:bidi="ar-SA"/>
    </w:rPr>
  </w:style>
  <w:style w:type="character" w:customStyle="1" w:styleId="146">
    <w:name w:val="表名 Char"/>
    <w:autoRedefine/>
    <w:qFormat/>
    <w:uiPriority w:val="0"/>
    <w:rPr>
      <w:rFonts w:eastAsia="宋体"/>
      <w:b/>
      <w:bCs/>
      <w:kern w:val="2"/>
      <w:sz w:val="24"/>
      <w:szCs w:val="24"/>
      <w:lang w:val="en-US" w:eastAsia="zh-CN" w:bidi="ar-SA"/>
    </w:rPr>
  </w:style>
  <w:style w:type="character" w:customStyle="1" w:styleId="147">
    <w:name w:val="Document Map Char"/>
    <w:autoRedefine/>
    <w:qFormat/>
    <w:locked/>
    <w:uiPriority w:val="0"/>
    <w:rPr>
      <w:rFonts w:eastAsia="宋体"/>
      <w:kern w:val="2"/>
      <w:sz w:val="21"/>
      <w:szCs w:val="24"/>
      <w:lang w:val="en-US" w:eastAsia="zh-CN" w:bidi="ar-SA"/>
    </w:rPr>
  </w:style>
  <w:style w:type="character" w:customStyle="1" w:styleId="148">
    <w:name w:val="font41"/>
    <w:autoRedefine/>
    <w:qFormat/>
    <w:uiPriority w:val="0"/>
    <w:rPr>
      <w:rFonts w:hint="eastAsia" w:ascii="仿宋_GB2312" w:eastAsia="仿宋_GB2312" w:cs="仿宋_GB2312"/>
      <w:color w:val="000000"/>
      <w:sz w:val="22"/>
      <w:szCs w:val="22"/>
      <w:u w:val="none"/>
    </w:rPr>
  </w:style>
  <w:style w:type="character" w:customStyle="1" w:styleId="149">
    <w:name w:val="标题 6 字符"/>
    <w:link w:val="8"/>
    <w:autoRedefine/>
    <w:qFormat/>
    <w:uiPriority w:val="0"/>
    <w:rPr>
      <w:rFonts w:ascii="Arial" w:hAnsi="Arial" w:eastAsia="黑体"/>
      <w:b/>
      <w:bCs/>
      <w:kern w:val="2"/>
      <w:sz w:val="24"/>
      <w:szCs w:val="24"/>
    </w:rPr>
  </w:style>
  <w:style w:type="character" w:customStyle="1" w:styleId="150">
    <w:name w:val="纯文本 Char_0"/>
    <w:link w:val="151"/>
    <w:autoRedefine/>
    <w:qFormat/>
    <w:uiPriority w:val="0"/>
    <w:rPr>
      <w:rFonts w:ascii="宋体" w:hAnsi="Courier New"/>
      <w:kern w:val="2"/>
      <w:sz w:val="21"/>
      <w:szCs w:val="21"/>
      <w:lang w:val="en-US" w:eastAsia="zh-CN"/>
    </w:rPr>
  </w:style>
  <w:style w:type="paragraph" w:customStyle="1" w:styleId="151">
    <w:name w:val="纯文本_0_0"/>
    <w:basedOn w:val="152"/>
    <w:link w:val="150"/>
    <w:autoRedefine/>
    <w:qFormat/>
    <w:uiPriority w:val="0"/>
    <w:rPr>
      <w:rFonts w:ascii="宋体" w:hAnsi="Courier New"/>
      <w:szCs w:val="21"/>
    </w:rPr>
  </w:style>
  <w:style w:type="paragraph" w:customStyle="1" w:styleId="15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autoRedefine/>
    <w:qFormat/>
    <w:locked/>
    <w:uiPriority w:val="0"/>
    <w:rPr>
      <w:rFonts w:eastAsia="宋体"/>
      <w:kern w:val="2"/>
      <w:sz w:val="18"/>
      <w:szCs w:val="18"/>
      <w:lang w:val="en-US" w:eastAsia="zh-CN" w:bidi="ar-SA"/>
    </w:rPr>
  </w:style>
  <w:style w:type="character" w:customStyle="1" w:styleId="154">
    <w:name w:val="正文 项目2 Char"/>
    <w:basedOn w:val="155"/>
    <w:autoRedefine/>
    <w:qFormat/>
    <w:uiPriority w:val="0"/>
    <w:rPr>
      <w:rFonts w:ascii="仿宋_GB2312" w:hAnsi="仿宋_GB2312" w:eastAsia="仿宋_GB2312"/>
      <w:kern w:val="2"/>
      <w:sz w:val="24"/>
      <w:lang w:bidi="ar-SA"/>
    </w:rPr>
  </w:style>
  <w:style w:type="character" w:customStyle="1" w:styleId="155">
    <w:name w:val="正文 项目 Char"/>
    <w:autoRedefine/>
    <w:qFormat/>
    <w:uiPriority w:val="0"/>
    <w:rPr>
      <w:rFonts w:ascii="仿宋_GB2312" w:hAnsi="仿宋_GB2312" w:eastAsia="仿宋_GB2312"/>
      <w:kern w:val="2"/>
      <w:sz w:val="24"/>
      <w:lang w:bidi="ar-SA"/>
    </w:rPr>
  </w:style>
  <w:style w:type="character" w:customStyle="1" w:styleId="156">
    <w:name w:val="h Char Char1"/>
    <w:autoRedefine/>
    <w:qFormat/>
    <w:uiPriority w:val="0"/>
    <w:rPr>
      <w:rFonts w:eastAsia="宋体"/>
      <w:kern w:val="2"/>
      <w:sz w:val="18"/>
      <w:szCs w:val="18"/>
      <w:lang w:val="en-US" w:eastAsia="zh-CN" w:bidi="ar-SA"/>
    </w:rPr>
  </w:style>
  <w:style w:type="character" w:customStyle="1" w:styleId="157">
    <w:name w:val="Char Char27"/>
    <w:autoRedefine/>
    <w:qFormat/>
    <w:uiPriority w:val="6"/>
    <w:rPr>
      <w:rFonts w:ascii="宋体" w:hAnsi="宋体" w:eastAsia="宋体"/>
      <w:color w:val="000000"/>
      <w:kern w:val="1"/>
      <w:sz w:val="28"/>
      <w:lang w:val="en-US" w:eastAsia="zh-CN" w:bidi="ar-SA"/>
    </w:rPr>
  </w:style>
  <w:style w:type="character" w:customStyle="1" w:styleId="158">
    <w:name w:val="px14"/>
    <w:autoRedefine/>
    <w:qFormat/>
    <w:uiPriority w:val="0"/>
    <w:rPr>
      <w:rFonts w:ascii="仿宋_GB2312" w:eastAsia="微软雅黑" w:cs="Times New Roman"/>
      <w:b/>
      <w:kern w:val="2"/>
      <w:sz w:val="32"/>
      <w:szCs w:val="32"/>
      <w:lang w:val="en-US" w:eastAsia="zh-CN" w:bidi="ar-SA"/>
    </w:rPr>
  </w:style>
  <w:style w:type="character" w:customStyle="1" w:styleId="159">
    <w:name w:val="HTML 预设格式 Char1"/>
    <w:autoRedefine/>
    <w:qFormat/>
    <w:uiPriority w:val="0"/>
    <w:rPr>
      <w:rFonts w:ascii="Courier New" w:hAnsi="Courier New" w:eastAsia="宋体" w:cs="Courier New"/>
      <w:sz w:val="20"/>
      <w:szCs w:val="20"/>
    </w:rPr>
  </w:style>
  <w:style w:type="character" w:customStyle="1" w:styleId="160">
    <w:name w:val="普通文字 Char1"/>
    <w:autoRedefine/>
    <w:qFormat/>
    <w:uiPriority w:val="0"/>
    <w:rPr>
      <w:rFonts w:ascii="宋体" w:hAnsi="Courier New" w:eastAsia="宋体"/>
      <w:kern w:val="2"/>
      <w:sz w:val="21"/>
      <w:lang w:val="en-US" w:eastAsia="zh-CN"/>
    </w:rPr>
  </w:style>
  <w:style w:type="character" w:customStyle="1" w:styleId="161">
    <w:name w:val="hei16b1"/>
    <w:autoRedefine/>
    <w:qFormat/>
    <w:uiPriority w:val="0"/>
    <w:rPr>
      <w:rFonts w:hint="default" w:ascii="Arial" w:hAnsi="Arial" w:cs="Arial"/>
      <w:b/>
      <w:bCs/>
      <w:color w:val="000000"/>
      <w:sz w:val="24"/>
      <w:szCs w:val="24"/>
    </w:rPr>
  </w:style>
  <w:style w:type="character" w:customStyle="1" w:styleId="162">
    <w:name w:val="正文（绿盟科技） Char"/>
    <w:link w:val="163"/>
    <w:autoRedefine/>
    <w:qFormat/>
    <w:uiPriority w:val="0"/>
    <w:rPr>
      <w:rFonts w:ascii="Arial" w:hAnsi="Arial"/>
      <w:sz w:val="21"/>
      <w:szCs w:val="21"/>
    </w:rPr>
  </w:style>
  <w:style w:type="paragraph" w:customStyle="1" w:styleId="163">
    <w:name w:val="正文（绿盟科技）"/>
    <w:link w:val="162"/>
    <w:autoRedefine/>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autoRedefine/>
    <w:qFormat/>
    <w:uiPriority w:val="6"/>
    <w:rPr>
      <w:rFonts w:ascii="宋体" w:hAnsi="宋体"/>
      <w:i/>
      <w:sz w:val="24"/>
      <w:szCs w:val="24"/>
    </w:rPr>
  </w:style>
  <w:style w:type="character" w:customStyle="1" w:styleId="165">
    <w:name w:val="页脚 Char"/>
    <w:autoRedefine/>
    <w:qFormat/>
    <w:uiPriority w:val="0"/>
    <w:rPr>
      <w:rFonts w:eastAsia="仿宋_GB2312"/>
      <w:kern w:val="2"/>
      <w:sz w:val="18"/>
      <w:lang w:val="en-US" w:eastAsia="zh-CN"/>
    </w:rPr>
  </w:style>
  <w:style w:type="character" w:customStyle="1" w:styleId="166">
    <w:name w:val="批注主题 Char"/>
    <w:autoRedefine/>
    <w:qFormat/>
    <w:uiPriority w:val="0"/>
    <w:rPr>
      <w:rFonts w:eastAsia="宋体"/>
      <w:b/>
      <w:bCs/>
      <w:kern w:val="2"/>
      <w:sz w:val="21"/>
      <w:szCs w:val="24"/>
      <w:lang w:val="en-US" w:eastAsia="zh-CN" w:bidi="ar-SA"/>
    </w:rPr>
  </w:style>
  <w:style w:type="character" w:customStyle="1" w:styleId="167">
    <w:name w:val="Comment Text Char"/>
    <w:autoRedefine/>
    <w:qFormat/>
    <w:locked/>
    <w:uiPriority w:val="0"/>
    <w:rPr>
      <w:rFonts w:ascii="宋体" w:hAnsi="宋体" w:eastAsia="宋体"/>
      <w:kern w:val="2"/>
      <w:sz w:val="24"/>
      <w:lang w:val="en-US" w:eastAsia="zh-CN" w:bidi="ar-SA"/>
    </w:rPr>
  </w:style>
  <w:style w:type="character" w:customStyle="1" w:styleId="168">
    <w:name w:val="标题 2 字符"/>
    <w:autoRedefine/>
    <w:qFormat/>
    <w:uiPriority w:val="1"/>
    <w:rPr>
      <w:rFonts w:ascii="仿宋_GB2312" w:hAnsi="Times New Roman" w:eastAsia="仿宋_GB2312" w:cs="Times New Roman"/>
      <w:b/>
      <w:kern w:val="2"/>
      <w:sz w:val="24"/>
      <w:lang w:val="zh-CN"/>
    </w:rPr>
  </w:style>
  <w:style w:type="character" w:customStyle="1" w:styleId="169">
    <w:name w:val="Char Char72"/>
    <w:autoRedefine/>
    <w:qFormat/>
    <w:uiPriority w:val="0"/>
    <w:rPr>
      <w:rFonts w:eastAsia="宋体"/>
      <w:kern w:val="2"/>
      <w:sz w:val="21"/>
      <w:szCs w:val="24"/>
      <w:lang w:val="en-US" w:eastAsia="zh-CN" w:bidi="ar-SA"/>
    </w:rPr>
  </w:style>
  <w:style w:type="character" w:customStyle="1" w:styleId="170">
    <w:name w:val="正文文本缩进 Char2"/>
    <w:autoRedefine/>
    <w:qFormat/>
    <w:uiPriority w:val="0"/>
    <w:rPr>
      <w:rFonts w:ascii="Times New Roman" w:hAnsi="Times New Roman" w:eastAsia="宋体" w:cs="Times New Roman"/>
      <w:snapToGrid w:val="0"/>
      <w:kern w:val="0"/>
      <w:szCs w:val="24"/>
    </w:rPr>
  </w:style>
  <w:style w:type="character" w:customStyle="1" w:styleId="171">
    <w:name w:val="样式2 Char"/>
    <w:autoRedefine/>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autoRedefine/>
    <w:qFormat/>
    <w:uiPriority w:val="0"/>
    <w:rPr>
      <w:sz w:val="32"/>
    </w:rPr>
  </w:style>
  <w:style w:type="paragraph" w:customStyle="1" w:styleId="173">
    <w:name w:val="表格名称"/>
    <w:basedOn w:val="4"/>
    <w:link w:val="172"/>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autoRedefine/>
    <w:qFormat/>
    <w:uiPriority w:val="0"/>
    <w:rPr>
      <w:rFonts w:eastAsia="宋体"/>
      <w:b/>
      <w:sz w:val="24"/>
      <w:lang w:val="en-GB" w:eastAsia="zh-CN" w:bidi="ar-SA"/>
    </w:rPr>
  </w:style>
  <w:style w:type="character" w:customStyle="1" w:styleId="175">
    <w:name w:val="c7 style3"/>
    <w:autoRedefine/>
    <w:qFormat/>
    <w:uiPriority w:val="0"/>
  </w:style>
  <w:style w:type="character" w:customStyle="1" w:styleId="176">
    <w:name w:val="正文文本 3 Char1"/>
    <w:autoRedefine/>
    <w:semiHidden/>
    <w:qFormat/>
    <w:uiPriority w:val="99"/>
    <w:rPr>
      <w:rFonts w:ascii="Times New Roman" w:hAnsi="Times New Roman" w:eastAsia="宋体" w:cs="Times New Roman"/>
      <w:sz w:val="16"/>
      <w:szCs w:val="16"/>
    </w:rPr>
  </w:style>
  <w:style w:type="character" w:customStyle="1" w:styleId="177">
    <w:name w:val="tw4winInternal"/>
    <w:autoRedefine/>
    <w:qFormat/>
    <w:uiPriority w:val="0"/>
    <w:rPr>
      <w:rFonts w:ascii="Courier New" w:hAnsi="Courier New" w:cs="Courier New"/>
      <w:color w:val="FF0000"/>
      <w:lang w:val="en-US" w:eastAsia="zh-CN"/>
    </w:rPr>
  </w:style>
  <w:style w:type="character" w:customStyle="1" w:styleId="178">
    <w:name w:val="Char Char10"/>
    <w:autoRedefine/>
    <w:semiHidden/>
    <w:qFormat/>
    <w:uiPriority w:val="0"/>
    <w:rPr>
      <w:rFonts w:ascii="宋体" w:hAnsi="宋体"/>
      <w:kern w:val="2"/>
      <w:sz w:val="21"/>
      <w:szCs w:val="24"/>
      <w:lang w:val="en-US" w:eastAsia="zh-CN"/>
    </w:rPr>
  </w:style>
  <w:style w:type="character" w:customStyle="1" w:styleId="179">
    <w:name w:val="shadow11"/>
    <w:autoRedefine/>
    <w:qFormat/>
    <w:uiPriority w:val="0"/>
    <w:rPr>
      <w:color w:val="000000"/>
      <w:sz w:val="21"/>
    </w:rPr>
  </w:style>
  <w:style w:type="character" w:customStyle="1" w:styleId="180">
    <w:name w:val="正文非缩进 Char3"/>
    <w:autoRedefine/>
    <w:qFormat/>
    <w:uiPriority w:val="0"/>
    <w:rPr>
      <w:rFonts w:ascii="宋体" w:eastAsia="宋体"/>
      <w:snapToGrid w:val="0"/>
      <w:color w:val="000000"/>
      <w:kern w:val="28"/>
      <w:sz w:val="28"/>
      <w:lang w:val="en-US" w:eastAsia="zh-CN" w:bidi="ar-SA"/>
    </w:rPr>
  </w:style>
  <w:style w:type="character" w:customStyle="1" w:styleId="181">
    <w:name w:val="Char Char"/>
    <w:autoRedefine/>
    <w:qFormat/>
    <w:uiPriority w:val="0"/>
    <w:rPr>
      <w:rFonts w:ascii="宋体" w:hAnsi="Courier New" w:eastAsia="宋体"/>
      <w:kern w:val="2"/>
      <w:sz w:val="21"/>
      <w:lang w:val="en-US" w:eastAsia="zh-CN" w:bidi="ar-SA"/>
    </w:rPr>
  </w:style>
  <w:style w:type="character" w:customStyle="1" w:styleId="182">
    <w:name w:val="签名 Char1"/>
    <w:autoRedefine/>
    <w:qFormat/>
    <w:uiPriority w:val="0"/>
    <w:rPr>
      <w:rFonts w:ascii="Times New Roman" w:hAnsi="Times New Roman" w:eastAsia="宋体" w:cs="Times New Roman"/>
      <w:szCs w:val="24"/>
    </w:rPr>
  </w:style>
  <w:style w:type="character" w:customStyle="1" w:styleId="183">
    <w:name w:val="日期 字符"/>
    <w:link w:val="39"/>
    <w:autoRedefine/>
    <w:qFormat/>
    <w:uiPriority w:val="0"/>
    <w:rPr>
      <w:rFonts w:ascii="宋体"/>
      <w:kern w:val="2"/>
      <w:sz w:val="24"/>
      <w:szCs w:val="21"/>
      <w:lang w:val="zh-CN"/>
    </w:rPr>
  </w:style>
  <w:style w:type="character" w:customStyle="1" w:styleId="184">
    <w:name w:val="标题 9 字符"/>
    <w:link w:val="11"/>
    <w:autoRedefine/>
    <w:qFormat/>
    <w:uiPriority w:val="0"/>
    <w:rPr>
      <w:rFonts w:ascii="Arial" w:hAnsi="Arial" w:eastAsia="黑体"/>
      <w:kern w:val="2"/>
      <w:sz w:val="21"/>
      <w:szCs w:val="21"/>
    </w:rPr>
  </w:style>
  <w:style w:type="character" w:customStyle="1" w:styleId="185">
    <w:name w:val="Char Char18"/>
    <w:autoRedefine/>
    <w:qFormat/>
    <w:uiPriority w:val="6"/>
    <w:rPr>
      <w:rFonts w:ascii="宋体" w:hAnsi="宋体"/>
      <w:sz w:val="28"/>
    </w:rPr>
  </w:style>
  <w:style w:type="character" w:customStyle="1" w:styleId="186">
    <w:name w:val="批注文字 Char"/>
    <w:autoRedefine/>
    <w:qFormat/>
    <w:uiPriority w:val="99"/>
    <w:rPr>
      <w:kern w:val="2"/>
      <w:sz w:val="21"/>
      <w:szCs w:val="24"/>
    </w:rPr>
  </w:style>
  <w:style w:type="character" w:customStyle="1" w:styleId="187">
    <w:name w:val="Char Char22"/>
    <w:autoRedefine/>
    <w:qFormat/>
    <w:uiPriority w:val="6"/>
    <w:rPr>
      <w:rFonts w:ascii="宋体" w:hAnsi="宋体"/>
      <w:kern w:val="1"/>
      <w:sz w:val="24"/>
      <w:szCs w:val="24"/>
    </w:rPr>
  </w:style>
  <w:style w:type="character" w:customStyle="1" w:styleId="188">
    <w:name w:val="pt141"/>
    <w:autoRedefine/>
    <w:qFormat/>
    <w:uiPriority w:val="0"/>
    <w:rPr>
      <w:color w:val="330066"/>
      <w:sz w:val="22"/>
      <w:szCs w:val="22"/>
    </w:rPr>
  </w:style>
  <w:style w:type="character" w:customStyle="1" w:styleId="189">
    <w:name w:val="正文文本缩进 2 Char1"/>
    <w:autoRedefine/>
    <w:semiHidden/>
    <w:qFormat/>
    <w:uiPriority w:val="99"/>
    <w:rPr>
      <w:rFonts w:ascii="Times New Roman" w:hAnsi="Times New Roman" w:eastAsia="宋体" w:cs="Times New Roman"/>
      <w:szCs w:val="24"/>
    </w:rPr>
  </w:style>
  <w:style w:type="character" w:customStyle="1" w:styleId="190">
    <w:name w:val="批注框文本 字符1"/>
    <w:link w:val="42"/>
    <w:autoRedefine/>
    <w:qFormat/>
    <w:uiPriority w:val="0"/>
    <w:rPr>
      <w:kern w:val="2"/>
      <w:sz w:val="18"/>
      <w:szCs w:val="18"/>
    </w:rPr>
  </w:style>
  <w:style w:type="character" w:customStyle="1" w:styleId="191">
    <w:name w:val="Char Char611"/>
    <w:autoRedefine/>
    <w:qFormat/>
    <w:uiPriority w:val="0"/>
    <w:rPr>
      <w:rFonts w:eastAsia="宋体"/>
      <w:kern w:val="2"/>
      <w:sz w:val="21"/>
      <w:szCs w:val="24"/>
      <w:lang w:val="en-US" w:eastAsia="zh-CN" w:bidi="ar-SA"/>
    </w:rPr>
  </w:style>
  <w:style w:type="character" w:customStyle="1" w:styleId="192">
    <w:name w:val="highlight1"/>
    <w:autoRedefine/>
    <w:qFormat/>
    <w:uiPriority w:val="0"/>
    <w:rPr>
      <w:rFonts w:ascii="仿宋_GB2312" w:eastAsia="微软雅黑"/>
      <w:b/>
      <w:kern w:val="2"/>
      <w:sz w:val="23"/>
      <w:szCs w:val="23"/>
      <w:lang w:val="en-US" w:eastAsia="zh-CN" w:bidi="ar-SA"/>
    </w:rPr>
  </w:style>
  <w:style w:type="character" w:customStyle="1" w:styleId="193">
    <w:name w:val="my正文 Char"/>
    <w:link w:val="194"/>
    <w:autoRedefine/>
    <w:qFormat/>
    <w:locked/>
    <w:uiPriority w:val="0"/>
    <w:rPr>
      <w:rFonts w:ascii="Tahoma" w:hAnsi="Tahoma"/>
      <w:sz w:val="24"/>
      <w:szCs w:val="24"/>
    </w:rPr>
  </w:style>
  <w:style w:type="paragraph" w:customStyle="1" w:styleId="194">
    <w:name w:val="my正文"/>
    <w:basedOn w:val="1"/>
    <w:link w:val="193"/>
    <w:autoRedefine/>
    <w:qFormat/>
    <w:uiPriority w:val="0"/>
    <w:pPr>
      <w:adjustRightInd/>
      <w:spacing w:line="360" w:lineRule="auto"/>
      <w:ind w:firstLine="480" w:firstLineChars="200"/>
    </w:pPr>
    <w:rPr>
      <w:rFonts w:ascii="Tahoma" w:hAnsi="Tahoma"/>
      <w:kern w:val="0"/>
      <w:sz w:val="24"/>
    </w:rPr>
  </w:style>
  <w:style w:type="character" w:customStyle="1" w:styleId="195">
    <w:name w:val="正文缩进 字符2"/>
    <w:link w:val="16"/>
    <w:autoRedefine/>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autoRedefine/>
    <w:qFormat/>
    <w:uiPriority w:val="0"/>
    <w:rPr>
      <w:color w:val="0000FF"/>
      <w:sz w:val="21"/>
    </w:rPr>
  </w:style>
  <w:style w:type="character" w:customStyle="1" w:styleId="197">
    <w:name w:val="页眉 Char"/>
    <w:autoRedefine/>
    <w:qFormat/>
    <w:uiPriority w:val="0"/>
    <w:rPr>
      <w:rFonts w:eastAsia="仿宋_GB2312"/>
      <w:kern w:val="2"/>
      <w:sz w:val="18"/>
      <w:lang w:val="en-US" w:eastAsia="zh-CN"/>
    </w:rPr>
  </w:style>
  <w:style w:type="character" w:customStyle="1" w:styleId="198">
    <w:name w:val="FA正文 Char Char"/>
    <w:autoRedefine/>
    <w:qFormat/>
    <w:uiPriority w:val="0"/>
    <w:rPr>
      <w:rFonts w:hAnsi="宋体"/>
      <w:kern w:val="2"/>
      <w:sz w:val="24"/>
      <w:lang w:bidi="ar-SA"/>
    </w:rPr>
  </w:style>
  <w:style w:type="character" w:customStyle="1" w:styleId="199">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autoRedefine/>
    <w:qFormat/>
    <w:uiPriority w:val="0"/>
    <w:rPr>
      <w:rFonts w:ascii="宋体" w:hAnsi="宋体"/>
      <w:b/>
      <w:bCs/>
      <w:snapToGrid/>
      <w:sz w:val="28"/>
    </w:rPr>
  </w:style>
  <w:style w:type="paragraph" w:customStyle="1" w:styleId="201">
    <w:name w:val="3级"/>
    <w:basedOn w:val="202"/>
    <w:link w:val="200"/>
    <w:autoRedefine/>
    <w:qFormat/>
    <w:uiPriority w:val="0"/>
    <w:pPr>
      <w:ind w:left="0" w:right="466" w:firstLine="288"/>
    </w:pPr>
    <w:rPr>
      <w:rFonts w:hAnsi="宋体"/>
      <w:snapToGrid/>
    </w:rPr>
  </w:style>
  <w:style w:type="paragraph" w:customStyle="1" w:styleId="202">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autoRedefine/>
    <w:qFormat/>
    <w:uiPriority w:val="0"/>
    <w:rPr>
      <w:rFonts w:ascii="仿宋_GB2312" w:eastAsia="微软雅黑"/>
      <w:b/>
      <w:kern w:val="2"/>
      <w:sz w:val="32"/>
      <w:szCs w:val="32"/>
      <w:lang w:val="en-US" w:eastAsia="zh-CN" w:bidi="ar-SA"/>
    </w:rPr>
  </w:style>
  <w:style w:type="character" w:customStyle="1" w:styleId="204">
    <w:name w:val="文档结构图 字符"/>
    <w:link w:val="19"/>
    <w:autoRedefine/>
    <w:qFormat/>
    <w:uiPriority w:val="0"/>
    <w:rPr>
      <w:kern w:val="2"/>
      <w:sz w:val="21"/>
      <w:szCs w:val="24"/>
      <w:shd w:val="clear" w:color="auto" w:fill="000080"/>
    </w:rPr>
  </w:style>
  <w:style w:type="character" w:customStyle="1" w:styleId="205">
    <w:name w:val="H6 Char"/>
    <w:autoRedefine/>
    <w:qFormat/>
    <w:uiPriority w:val="0"/>
    <w:rPr>
      <w:rFonts w:ascii="Arial" w:hAnsi="Arial" w:eastAsia="黑体"/>
      <w:b/>
      <w:bCs/>
      <w:kern w:val="2"/>
      <w:sz w:val="24"/>
      <w:szCs w:val="24"/>
    </w:rPr>
  </w:style>
  <w:style w:type="character" w:customStyle="1" w:styleId="206">
    <w:name w:val="Char Char91"/>
    <w:autoRedefine/>
    <w:qFormat/>
    <w:uiPriority w:val="0"/>
    <w:rPr>
      <w:rFonts w:eastAsia="宋体"/>
      <w:kern w:val="2"/>
      <w:sz w:val="18"/>
      <w:szCs w:val="18"/>
      <w:lang w:val="en-US" w:eastAsia="zh-CN" w:bidi="ar-SA"/>
    </w:rPr>
  </w:style>
  <w:style w:type="character" w:customStyle="1" w:styleId="207">
    <w:name w:val="副标题 Char1"/>
    <w:autoRedefine/>
    <w:qFormat/>
    <w:uiPriority w:val="0"/>
    <w:rPr>
      <w:rFonts w:ascii="Cambria" w:hAnsi="Cambria" w:eastAsia="宋体" w:cs="Times New Roman"/>
      <w:b/>
      <w:bCs/>
      <w:snapToGrid w:val="0"/>
      <w:kern w:val="28"/>
      <w:sz w:val="32"/>
      <w:szCs w:val="32"/>
    </w:rPr>
  </w:style>
  <w:style w:type="character" w:customStyle="1" w:styleId="208">
    <w:name w:val="font61"/>
    <w:autoRedefine/>
    <w:qFormat/>
    <w:uiPriority w:val="0"/>
    <w:rPr>
      <w:rFonts w:hint="eastAsia" w:ascii="仿宋" w:hAnsi="仿宋" w:eastAsia="仿宋" w:cs="仿宋"/>
      <w:color w:val="000000"/>
      <w:sz w:val="20"/>
      <w:szCs w:val="20"/>
      <w:u w:val="none"/>
    </w:rPr>
  </w:style>
  <w:style w:type="character" w:customStyle="1" w:styleId="209">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autoRedefine/>
    <w:qFormat/>
    <w:uiPriority w:val="0"/>
    <w:rPr>
      <w:rFonts w:eastAsia="宋体"/>
      <w:b/>
      <w:bCs/>
      <w:kern w:val="2"/>
      <w:sz w:val="21"/>
      <w:szCs w:val="24"/>
      <w:lang w:val="en-US" w:eastAsia="zh-CN" w:bidi="ar-SA"/>
    </w:rPr>
  </w:style>
  <w:style w:type="character" w:customStyle="1" w:styleId="211">
    <w:name w:val="标题 2 Char"/>
    <w:autoRedefine/>
    <w:qFormat/>
    <w:uiPriority w:val="0"/>
    <w:rPr>
      <w:rFonts w:ascii="Arial" w:hAnsi="Arial" w:eastAsia="黑体"/>
      <w:b/>
      <w:kern w:val="2"/>
      <w:sz w:val="32"/>
      <w:lang w:val="en-US" w:eastAsia="zh-CN"/>
    </w:rPr>
  </w:style>
  <w:style w:type="character" w:customStyle="1" w:styleId="212">
    <w:name w:val="maywed421"/>
    <w:autoRedefine/>
    <w:qFormat/>
    <w:uiPriority w:val="0"/>
    <w:rPr>
      <w:color w:val="366FB6"/>
      <w:u w:val="none"/>
    </w:rPr>
  </w:style>
  <w:style w:type="character" w:customStyle="1" w:styleId="213">
    <w:name w:val="正文文本缩进 Char"/>
    <w:autoRedefine/>
    <w:qFormat/>
    <w:uiPriority w:val="0"/>
    <w:rPr>
      <w:rFonts w:ascii="宋体" w:hAnsi="宋体"/>
      <w:kern w:val="2"/>
      <w:sz w:val="24"/>
      <w:szCs w:val="24"/>
    </w:rPr>
  </w:style>
  <w:style w:type="character" w:customStyle="1" w:styleId="214">
    <w:name w:val="Char Char102"/>
    <w:autoRedefine/>
    <w:semiHidden/>
    <w:qFormat/>
    <w:uiPriority w:val="0"/>
    <w:rPr>
      <w:rFonts w:ascii="宋体" w:hAnsi="宋体"/>
      <w:kern w:val="2"/>
      <w:sz w:val="21"/>
      <w:szCs w:val="24"/>
      <w:lang w:val="en-US" w:eastAsia="zh-CN"/>
    </w:rPr>
  </w:style>
  <w:style w:type="character" w:customStyle="1" w:styleId="215">
    <w:name w:val="页眉 Char1"/>
    <w:autoRedefine/>
    <w:qFormat/>
    <w:uiPriority w:val="0"/>
    <w:rPr>
      <w:rFonts w:eastAsia="宋体"/>
      <w:kern w:val="2"/>
      <w:sz w:val="18"/>
      <w:szCs w:val="18"/>
      <w:lang w:val="en-US" w:eastAsia="zh-CN" w:bidi="ar-SA"/>
    </w:rPr>
  </w:style>
  <w:style w:type="character" w:customStyle="1" w:styleId="216">
    <w:name w:val="md"/>
    <w:basedOn w:val="70"/>
    <w:autoRedefine/>
    <w:qFormat/>
    <w:uiPriority w:val="0"/>
    <w:rPr>
      <w:rFonts w:ascii="Arial" w:hAnsi="Arial" w:eastAsia="黑体" w:cs="Arial"/>
      <w:snapToGrid w:val="0"/>
      <w:kern w:val="0"/>
      <w:szCs w:val="21"/>
    </w:rPr>
  </w:style>
  <w:style w:type="character" w:customStyle="1" w:styleId="217">
    <w:name w:val="big1"/>
    <w:autoRedefine/>
    <w:qFormat/>
    <w:uiPriority w:val="0"/>
    <w:rPr>
      <w:rFonts w:hint="eastAsia" w:ascii="宋体" w:hAnsi="宋体" w:eastAsia="宋体"/>
      <w:color w:val="333333"/>
      <w:sz w:val="22"/>
      <w:szCs w:val="22"/>
    </w:rPr>
  </w:style>
  <w:style w:type="character" w:customStyle="1" w:styleId="218">
    <w:name w:val="Char Char311"/>
    <w:autoRedefine/>
    <w:qFormat/>
    <w:uiPriority w:val="0"/>
    <w:rPr>
      <w:rFonts w:eastAsia="宋体"/>
      <w:kern w:val="2"/>
      <w:sz w:val="21"/>
      <w:szCs w:val="24"/>
      <w:lang w:val="en-US" w:eastAsia="zh-CN" w:bidi="ar-SA"/>
    </w:rPr>
  </w:style>
  <w:style w:type="character" w:customStyle="1" w:styleId="219">
    <w:name w:val="Char Char81"/>
    <w:autoRedefine/>
    <w:qFormat/>
    <w:uiPriority w:val="6"/>
    <w:rPr>
      <w:rFonts w:eastAsia="宋体"/>
      <w:b/>
      <w:sz w:val="24"/>
      <w:lang w:val="en-GB" w:eastAsia="zh-CN"/>
    </w:rPr>
  </w:style>
  <w:style w:type="character" w:customStyle="1" w:styleId="220">
    <w:name w:val="样式3 Char"/>
    <w:basedOn w:val="171"/>
    <w:autoRedefine/>
    <w:qFormat/>
    <w:uiPriority w:val="0"/>
    <w:rPr>
      <w:rFonts w:ascii="仿宋_GB2312" w:hAnsi="仿宋" w:eastAsia="仿宋_GB2312" w:cs="仿宋_GB2312"/>
      <w:sz w:val="32"/>
      <w:szCs w:val="30"/>
      <w:lang w:val="zh-CN"/>
    </w:rPr>
  </w:style>
  <w:style w:type="character" w:customStyle="1" w:styleId="221">
    <w:name w:val="HTML 地址 字符"/>
    <w:link w:val="33"/>
    <w:autoRedefine/>
    <w:qFormat/>
    <w:uiPriority w:val="0"/>
    <w:rPr>
      <w:rFonts w:ascii="宋体" w:hAnsi="宋体"/>
      <w:i/>
      <w:iCs/>
      <w:sz w:val="24"/>
      <w:szCs w:val="24"/>
    </w:rPr>
  </w:style>
  <w:style w:type="character" w:customStyle="1" w:styleId="222">
    <w:name w:val="正文首行缩进 2 Char1"/>
    <w:autoRedefine/>
    <w:qFormat/>
    <w:uiPriority w:val="0"/>
    <w:rPr>
      <w:rFonts w:ascii="Times New Roman" w:hAnsi="Times New Roman" w:eastAsia="宋体" w:cs="Times New Roman"/>
      <w:kern w:val="2"/>
      <w:sz w:val="24"/>
      <w:szCs w:val="24"/>
    </w:rPr>
  </w:style>
  <w:style w:type="character" w:customStyle="1" w:styleId="223">
    <w:name w:val="副标题 Char2"/>
    <w:autoRedefine/>
    <w:qFormat/>
    <w:uiPriority w:val="0"/>
    <w:rPr>
      <w:rFonts w:ascii="Cambria" w:hAnsi="Cambria" w:eastAsia="宋体" w:cs="Times New Roman"/>
      <w:b/>
      <w:bCs/>
      <w:snapToGrid w:val="0"/>
      <w:kern w:val="28"/>
      <w:sz w:val="32"/>
      <w:szCs w:val="32"/>
    </w:rPr>
  </w:style>
  <w:style w:type="character" w:customStyle="1" w:styleId="224">
    <w:name w:val="标题4-dyf Char"/>
    <w:link w:val="225"/>
    <w:autoRedefine/>
    <w:qFormat/>
    <w:uiPriority w:val="0"/>
    <w:rPr>
      <w:rFonts w:ascii="Cambria" w:hAnsi="Cambria"/>
      <w:b/>
      <w:bCs/>
      <w:color w:val="000000"/>
      <w:kern w:val="2"/>
      <w:sz w:val="21"/>
      <w:szCs w:val="21"/>
    </w:rPr>
  </w:style>
  <w:style w:type="paragraph" w:customStyle="1" w:styleId="225">
    <w:name w:val="标题4-dyf"/>
    <w:basedOn w:val="6"/>
    <w:link w:val="224"/>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autoRedefine/>
    <w:qFormat/>
    <w:uiPriority w:val="0"/>
    <w:rPr>
      <w:rFonts w:ascii="宋体" w:hAnsi="宋体" w:eastAsia="宋体"/>
      <w:color w:val="333333"/>
      <w:sz w:val="21"/>
      <w:szCs w:val="21"/>
      <w:u w:val="none"/>
    </w:rPr>
  </w:style>
  <w:style w:type="character" w:customStyle="1" w:styleId="227">
    <w:name w:val="冯 Char"/>
    <w:link w:val="228"/>
    <w:autoRedefine/>
    <w:qFormat/>
    <w:uiPriority w:val="0"/>
    <w:rPr>
      <w:rFonts w:ascii="宋体" w:hAnsi="宋体"/>
      <w:color w:val="000000"/>
      <w:sz w:val="24"/>
      <w:szCs w:val="24"/>
    </w:rPr>
  </w:style>
  <w:style w:type="paragraph" w:customStyle="1" w:styleId="228">
    <w:name w:val="冯"/>
    <w:basedOn w:val="1"/>
    <w:link w:val="227"/>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autoRedefine/>
    <w:qFormat/>
    <w:locked/>
    <w:uiPriority w:val="0"/>
    <w:rPr>
      <w:rFonts w:eastAsia="宋体"/>
      <w:kern w:val="2"/>
      <w:sz w:val="18"/>
      <w:szCs w:val="18"/>
      <w:lang w:val="en-US" w:eastAsia="zh-CN" w:bidi="ar-SA"/>
    </w:rPr>
  </w:style>
  <w:style w:type="character" w:customStyle="1" w:styleId="230">
    <w:name w:val="Char Char12"/>
    <w:autoRedefine/>
    <w:qFormat/>
    <w:uiPriority w:val="0"/>
    <w:rPr>
      <w:rFonts w:ascii="仿宋_GB2312" w:eastAsia="仿宋_GB2312"/>
      <w:b/>
      <w:bCs/>
      <w:kern w:val="2"/>
      <w:sz w:val="24"/>
      <w:szCs w:val="24"/>
      <w:lang w:val="zh-CN" w:eastAsia="zh-CN" w:bidi="ar-SA"/>
    </w:rPr>
  </w:style>
  <w:style w:type="character" w:customStyle="1" w:styleId="231">
    <w:name w:val="题注 字符"/>
    <w:link w:val="17"/>
    <w:autoRedefine/>
    <w:qFormat/>
    <w:uiPriority w:val="0"/>
    <w:rPr>
      <w:b/>
      <w:kern w:val="2"/>
      <w:sz w:val="28"/>
    </w:rPr>
  </w:style>
  <w:style w:type="character" w:customStyle="1" w:styleId="232">
    <w:name w:val="普通文字 Char3"/>
    <w:autoRedefine/>
    <w:qFormat/>
    <w:uiPriority w:val="0"/>
    <w:rPr>
      <w:rFonts w:ascii="宋体" w:hAnsi="Courier New" w:eastAsia="宋体"/>
      <w:kern w:val="2"/>
      <w:sz w:val="21"/>
      <w:lang w:val="en-US" w:eastAsia="zh-CN" w:bidi="ar-SA"/>
    </w:rPr>
  </w:style>
  <w:style w:type="character" w:customStyle="1" w:styleId="233">
    <w:name w:val="公文正文 Char"/>
    <w:autoRedefine/>
    <w:qFormat/>
    <w:uiPriority w:val="0"/>
    <w:rPr>
      <w:rFonts w:ascii="仿宋_GB2312" w:eastAsia="仿宋_GB2312"/>
      <w:kern w:val="2"/>
      <w:sz w:val="24"/>
      <w:szCs w:val="24"/>
      <w:lang w:val="en-US" w:eastAsia="zh-CN" w:bidi="ar-SA"/>
    </w:rPr>
  </w:style>
  <w:style w:type="character" w:customStyle="1" w:styleId="234">
    <w:name w:val="正文首行缩进 Char Char Char Char Char"/>
    <w:autoRedefine/>
    <w:qFormat/>
    <w:uiPriority w:val="0"/>
    <w:rPr>
      <w:rFonts w:ascii="宋体"/>
      <w:kern w:val="2"/>
      <w:sz w:val="24"/>
      <w:lang w:val="zh-CN"/>
    </w:rPr>
  </w:style>
  <w:style w:type="character" w:customStyle="1" w:styleId="235">
    <w:name w:val="PI Char"/>
    <w:autoRedefine/>
    <w:qFormat/>
    <w:uiPriority w:val="0"/>
    <w:rPr>
      <w:rFonts w:ascii="宋体" w:hAnsi="宋体" w:eastAsia="宋体"/>
      <w:kern w:val="2"/>
      <w:sz w:val="24"/>
      <w:szCs w:val="24"/>
      <w:lang w:val="en-US" w:eastAsia="zh-CN" w:bidi="ar-SA"/>
    </w:rPr>
  </w:style>
  <w:style w:type="character" w:customStyle="1" w:styleId="236">
    <w:name w:val="Default Char"/>
    <w:link w:val="83"/>
    <w:autoRedefine/>
    <w:qFormat/>
    <w:uiPriority w:val="0"/>
    <w:rPr>
      <w:rFonts w:ascii="仿宋_GB2312" w:eastAsia="仿宋_GB2312" w:cs="仿宋_GB2312"/>
      <w:color w:val="000000"/>
      <w:sz w:val="24"/>
      <w:szCs w:val="24"/>
      <w:lang w:val="en-US" w:eastAsia="zh-CN" w:bidi="ar-SA"/>
    </w:rPr>
  </w:style>
  <w:style w:type="character" w:customStyle="1" w:styleId="237">
    <w:name w:val="style91"/>
    <w:autoRedefine/>
    <w:qFormat/>
    <w:uiPriority w:val="0"/>
    <w:rPr>
      <w:color w:val="333333"/>
    </w:rPr>
  </w:style>
  <w:style w:type="character" w:customStyle="1" w:styleId="238">
    <w:name w:val="列出段落 Char2"/>
    <w:autoRedefine/>
    <w:qFormat/>
    <w:uiPriority w:val="34"/>
    <w:rPr>
      <w:rFonts w:ascii="Calibri" w:hAnsi="Calibri"/>
      <w:kern w:val="2"/>
      <w:sz w:val="28"/>
    </w:rPr>
  </w:style>
  <w:style w:type="character" w:customStyle="1" w:styleId="239">
    <w:name w:val="mdeck"/>
    <w:autoRedefine/>
    <w:qFormat/>
    <w:uiPriority w:val="0"/>
    <w:rPr>
      <w:rFonts w:ascii="仿宋_GB2312" w:eastAsia="微软雅黑"/>
      <w:b/>
      <w:kern w:val="2"/>
      <w:sz w:val="32"/>
      <w:szCs w:val="32"/>
      <w:lang w:val="en-US" w:eastAsia="zh-CN" w:bidi="ar-SA"/>
    </w:rPr>
  </w:style>
  <w:style w:type="character" w:customStyle="1" w:styleId="240">
    <w:name w:val="unnamed11"/>
    <w:autoRedefine/>
    <w:qFormat/>
    <w:uiPriority w:val="0"/>
    <w:rPr>
      <w:sz w:val="20"/>
      <w:szCs w:val="20"/>
    </w:rPr>
  </w:style>
  <w:style w:type="character" w:customStyle="1" w:styleId="241">
    <w:name w:val="正文文本 Char2"/>
    <w:autoRedefine/>
    <w:semiHidden/>
    <w:qFormat/>
    <w:uiPriority w:val="99"/>
    <w:rPr>
      <w:rFonts w:ascii="Times New Roman" w:hAnsi="Times New Roman" w:eastAsia="宋体" w:cs="Times New Roman"/>
      <w:snapToGrid w:val="0"/>
      <w:kern w:val="0"/>
      <w:szCs w:val="24"/>
    </w:rPr>
  </w:style>
  <w:style w:type="character" w:customStyle="1" w:styleId="242">
    <w:name w:val="标书正文格式 Char"/>
    <w:autoRedefine/>
    <w:qFormat/>
    <w:uiPriority w:val="0"/>
    <w:rPr>
      <w:rFonts w:eastAsia="楷体_GB2312"/>
      <w:kern w:val="2"/>
      <w:sz w:val="24"/>
      <w:szCs w:val="24"/>
      <w:lang w:bidi="ar-SA"/>
    </w:rPr>
  </w:style>
  <w:style w:type="character" w:customStyle="1" w:styleId="243">
    <w:name w:val="Char Char11"/>
    <w:autoRedefine/>
    <w:qFormat/>
    <w:locked/>
    <w:uiPriority w:val="0"/>
    <w:rPr>
      <w:rFonts w:ascii="宋体" w:hAnsi="宋体" w:eastAsia="宋体"/>
      <w:b/>
      <w:kern w:val="2"/>
      <w:sz w:val="24"/>
      <w:szCs w:val="24"/>
      <w:lang w:val="en-US" w:eastAsia="zh-CN" w:bidi="ar-SA"/>
    </w:rPr>
  </w:style>
  <w:style w:type="character" w:customStyle="1" w:styleId="244">
    <w:name w:val="ca-131"/>
    <w:autoRedefine/>
    <w:qFormat/>
    <w:uiPriority w:val="0"/>
    <w:rPr>
      <w:rFonts w:hint="eastAsia" w:ascii="仿宋_GB2312" w:eastAsia="仿宋_GB2312"/>
      <w:b/>
      <w:bCs/>
      <w:color w:val="000000"/>
      <w:spacing w:val="-20"/>
      <w:sz w:val="24"/>
      <w:szCs w:val="24"/>
    </w:rPr>
  </w:style>
  <w:style w:type="character" w:customStyle="1" w:styleId="245">
    <w:name w:val="tw4winMark"/>
    <w:autoRedefine/>
    <w:qFormat/>
    <w:uiPriority w:val="0"/>
    <w:rPr>
      <w:rFonts w:ascii="Courier New" w:hAnsi="Courier New" w:cs="Courier New"/>
      <w:vanish/>
      <w:color w:val="800080"/>
      <w:sz w:val="24"/>
      <w:szCs w:val="24"/>
      <w:vertAlign w:val="subscript"/>
    </w:rPr>
  </w:style>
  <w:style w:type="character" w:customStyle="1" w:styleId="246">
    <w:name w:val="正文样式 Char"/>
    <w:link w:val="247"/>
    <w:autoRedefine/>
    <w:qFormat/>
    <w:uiPriority w:val="0"/>
    <w:rPr>
      <w:rFonts w:ascii="Calibri" w:hAnsi="Calibri"/>
      <w:sz w:val="24"/>
      <w:szCs w:val="24"/>
    </w:rPr>
  </w:style>
  <w:style w:type="paragraph" w:customStyle="1" w:styleId="247">
    <w:name w:val="正文样式"/>
    <w:basedOn w:val="1"/>
    <w:link w:val="246"/>
    <w:autoRedefine/>
    <w:qFormat/>
    <w:uiPriority w:val="0"/>
    <w:pPr>
      <w:adjustRightInd/>
      <w:spacing w:line="360" w:lineRule="auto"/>
      <w:ind w:firstLine="480" w:firstLineChars="200"/>
    </w:pPr>
    <w:rPr>
      <w:kern w:val="0"/>
      <w:sz w:val="24"/>
    </w:rPr>
  </w:style>
  <w:style w:type="character" w:customStyle="1" w:styleId="248">
    <w:name w:val="表正文 Char3"/>
    <w:autoRedefine/>
    <w:qFormat/>
    <w:uiPriority w:val="0"/>
    <w:rPr>
      <w:rFonts w:eastAsia="宋体"/>
    </w:rPr>
  </w:style>
  <w:style w:type="character" w:customStyle="1" w:styleId="249">
    <w:name w:val="H5 Char"/>
    <w:autoRedefine/>
    <w:qFormat/>
    <w:uiPriority w:val="0"/>
    <w:rPr>
      <w:b/>
      <w:bCs/>
      <w:kern w:val="2"/>
      <w:sz w:val="28"/>
      <w:szCs w:val="28"/>
    </w:rPr>
  </w:style>
  <w:style w:type="character" w:customStyle="1" w:styleId="250">
    <w:name w:val="Char Char3"/>
    <w:autoRedefine/>
    <w:qFormat/>
    <w:uiPriority w:val="0"/>
    <w:rPr>
      <w:rFonts w:eastAsia="宋体"/>
      <w:kern w:val="2"/>
      <w:sz w:val="21"/>
      <w:szCs w:val="24"/>
      <w:lang w:val="en-US" w:eastAsia="zh-CN" w:bidi="ar-SA"/>
    </w:rPr>
  </w:style>
  <w:style w:type="character" w:customStyle="1" w:styleId="251">
    <w:name w:val="正文 编号 Char"/>
    <w:autoRedefine/>
    <w:qFormat/>
    <w:uiPriority w:val="0"/>
    <w:rPr>
      <w:rFonts w:ascii="仿宋_GB2312" w:hAnsi="仿宋_GB2312" w:eastAsia="仿宋_GB2312"/>
      <w:kern w:val="2"/>
      <w:sz w:val="24"/>
      <w:lang w:bidi="ar-SA"/>
    </w:rPr>
  </w:style>
  <w:style w:type="character" w:customStyle="1" w:styleId="252">
    <w:name w:val="question-title2"/>
    <w:autoRedefine/>
    <w:qFormat/>
    <w:uiPriority w:val="6"/>
    <w:rPr>
      <w:rFonts w:ascii="Arial" w:hAnsi="Arial" w:eastAsia="黑体" w:cs="Arial"/>
      <w:snapToGrid w:val="0"/>
      <w:kern w:val="0"/>
      <w:szCs w:val="21"/>
    </w:rPr>
  </w:style>
  <w:style w:type="character" w:customStyle="1" w:styleId="253">
    <w:name w:val="gf正文1 Char Char"/>
    <w:link w:val="254"/>
    <w:autoRedefine/>
    <w:qFormat/>
    <w:uiPriority w:val="0"/>
    <w:rPr>
      <w:rFonts w:ascii="宋体" w:hAnsi="宋体" w:cs="宋体"/>
      <w:kern w:val="2"/>
      <w:sz w:val="24"/>
      <w:szCs w:val="24"/>
    </w:rPr>
  </w:style>
  <w:style w:type="paragraph" w:customStyle="1" w:styleId="254">
    <w:name w:val="gf正文1"/>
    <w:basedOn w:val="1"/>
    <w:link w:val="253"/>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autoRedefine/>
    <w:qFormat/>
    <w:uiPriority w:val="6"/>
    <w:rPr>
      <w:rFonts w:ascii="宋体" w:hAnsi="宋体"/>
      <w:kern w:val="1"/>
      <w:sz w:val="21"/>
    </w:rPr>
  </w:style>
  <w:style w:type="character" w:customStyle="1" w:styleId="256">
    <w:name w:val="正文缩进 Char3"/>
    <w:autoRedefine/>
    <w:qFormat/>
    <w:uiPriority w:val="0"/>
    <w:rPr>
      <w:rFonts w:ascii="宋体" w:eastAsia="宋体"/>
      <w:snapToGrid w:val="0"/>
      <w:color w:val="000000"/>
      <w:kern w:val="28"/>
      <w:sz w:val="28"/>
      <w:lang w:val="en-US" w:eastAsia="zh-CN" w:bidi="ar-SA"/>
    </w:rPr>
  </w:style>
  <w:style w:type="character" w:customStyle="1" w:styleId="257">
    <w:name w:val="列出段落 Char1"/>
    <w:link w:val="258"/>
    <w:autoRedefine/>
    <w:qFormat/>
    <w:uiPriority w:val="0"/>
    <w:rPr>
      <w:rFonts w:ascii="Calibri" w:hAnsi="Calibri"/>
      <w:sz w:val="24"/>
      <w:lang w:eastAsia="en-US"/>
    </w:rPr>
  </w:style>
  <w:style w:type="paragraph" w:customStyle="1" w:styleId="258">
    <w:name w:val="列表1"/>
    <w:basedOn w:val="1"/>
    <w:next w:val="259"/>
    <w:link w:val="257"/>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0">
    <w:name w:val="Char Char8"/>
    <w:autoRedefine/>
    <w:qFormat/>
    <w:uiPriority w:val="0"/>
    <w:rPr>
      <w:rFonts w:eastAsia="宋体"/>
      <w:b/>
      <w:sz w:val="24"/>
      <w:lang w:val="en-GB" w:eastAsia="zh-CN"/>
    </w:rPr>
  </w:style>
  <w:style w:type="character" w:customStyle="1" w:styleId="261">
    <w:name w:val="Normal Indent Char Char"/>
    <w:autoRedefine/>
    <w:qFormat/>
    <w:uiPriority w:val="0"/>
    <w:rPr>
      <w:rFonts w:eastAsia="宋体"/>
      <w:kern w:val="2"/>
      <w:sz w:val="21"/>
      <w:lang w:val="en-US" w:eastAsia="zh-CN" w:bidi="ar-SA"/>
    </w:rPr>
  </w:style>
  <w:style w:type="character" w:customStyle="1" w:styleId="262">
    <w:name w:val="列表段落 字符"/>
    <w:autoRedefine/>
    <w:qFormat/>
    <w:uiPriority w:val="99"/>
  </w:style>
  <w:style w:type="character" w:customStyle="1" w:styleId="263">
    <w:name w:val="Ò³Ã¼ Char Char1"/>
    <w:autoRedefine/>
    <w:qFormat/>
    <w:uiPriority w:val="0"/>
    <w:rPr>
      <w:rFonts w:eastAsia="宋体"/>
      <w:kern w:val="2"/>
      <w:sz w:val="18"/>
      <w:szCs w:val="18"/>
      <w:lang w:val="en-US" w:eastAsia="zh-CN" w:bidi="ar-SA"/>
    </w:rPr>
  </w:style>
  <w:style w:type="character" w:customStyle="1" w:styleId="264">
    <w:name w:val="方案正文 Char"/>
    <w:autoRedefine/>
    <w:qFormat/>
    <w:uiPriority w:val="0"/>
    <w:rPr>
      <w:rFonts w:ascii="仿宋_GB2312" w:eastAsia="仿宋_GB2312"/>
      <w:b/>
      <w:color w:val="000000"/>
      <w:kern w:val="2"/>
      <w:sz w:val="24"/>
      <w:lang w:val="en-US" w:eastAsia="zh-CN" w:bidi="ar-SA"/>
    </w:rPr>
  </w:style>
  <w:style w:type="character" w:customStyle="1" w:styleId="265">
    <w:name w:val="Char Char30"/>
    <w:autoRedefine/>
    <w:qFormat/>
    <w:uiPriority w:val="6"/>
    <w:rPr>
      <w:rFonts w:ascii="Arial" w:hAnsi="Arial" w:eastAsia="黑体"/>
      <w:kern w:val="1"/>
      <w:sz w:val="21"/>
      <w:szCs w:val="21"/>
    </w:rPr>
  </w:style>
  <w:style w:type="character" w:customStyle="1" w:styleId="266">
    <w:name w:val="正文文本缩进 字符1"/>
    <w:link w:val="27"/>
    <w:autoRedefine/>
    <w:qFormat/>
    <w:uiPriority w:val="0"/>
    <w:rPr>
      <w:rFonts w:ascii="宋体" w:hAnsi="宋体"/>
      <w:kern w:val="2"/>
      <w:sz w:val="24"/>
      <w:szCs w:val="24"/>
    </w:rPr>
  </w:style>
  <w:style w:type="character" w:customStyle="1" w:styleId="267">
    <w:name w:val="font01"/>
    <w:autoRedefine/>
    <w:qFormat/>
    <w:uiPriority w:val="0"/>
    <w:rPr>
      <w:rFonts w:hint="eastAsia" w:ascii="微软雅黑" w:hAnsi="微软雅黑" w:eastAsia="微软雅黑" w:cs="微软雅黑"/>
      <w:color w:val="000000"/>
      <w:sz w:val="20"/>
      <w:szCs w:val="20"/>
      <w:u w:val="none"/>
    </w:rPr>
  </w:style>
  <w:style w:type="character" w:customStyle="1" w:styleId="268">
    <w:name w:val="Char Char20"/>
    <w:autoRedefine/>
    <w:qFormat/>
    <w:uiPriority w:val="6"/>
    <w:rPr>
      <w:kern w:val="1"/>
      <w:sz w:val="24"/>
    </w:rPr>
  </w:style>
  <w:style w:type="character" w:customStyle="1" w:styleId="269">
    <w:name w:val="tw4winExternal"/>
    <w:autoRedefine/>
    <w:qFormat/>
    <w:uiPriority w:val="0"/>
    <w:rPr>
      <w:rFonts w:ascii="Courier New" w:hAnsi="Courier New" w:cs="Courier New"/>
      <w:color w:val="808080"/>
      <w:lang w:val="en-US" w:eastAsia="zh-CN"/>
    </w:rPr>
  </w:style>
  <w:style w:type="character" w:customStyle="1" w:styleId="270">
    <w:name w:val="标题 4 Char1"/>
    <w:autoRedefine/>
    <w:qFormat/>
    <w:uiPriority w:val="9"/>
    <w:rPr>
      <w:rFonts w:ascii="Cambria" w:hAnsi="Cambria" w:eastAsia="宋体" w:cs="Times New Roman"/>
      <w:b/>
      <w:bCs/>
      <w:kern w:val="2"/>
      <w:sz w:val="28"/>
      <w:szCs w:val="28"/>
    </w:rPr>
  </w:style>
  <w:style w:type="character" w:customStyle="1" w:styleId="271">
    <w:name w:val="批注文字 Char2"/>
    <w:autoRedefine/>
    <w:qFormat/>
    <w:uiPriority w:val="99"/>
    <w:rPr>
      <w:rFonts w:ascii="Times New Roman" w:hAnsi="Times New Roman" w:eastAsia="宋体" w:cs="Times New Roman"/>
      <w:snapToGrid w:val="0"/>
      <w:kern w:val="0"/>
      <w:szCs w:val="24"/>
    </w:rPr>
  </w:style>
  <w:style w:type="character" w:customStyle="1" w:styleId="272">
    <w:name w:val="正文文本 2 Char"/>
    <w:autoRedefine/>
    <w:qFormat/>
    <w:uiPriority w:val="0"/>
    <w:rPr>
      <w:rFonts w:eastAsia="宋体"/>
      <w:kern w:val="2"/>
      <w:sz w:val="21"/>
      <w:szCs w:val="24"/>
      <w:lang w:val="en-US" w:eastAsia="zh-CN" w:bidi="ar-SA"/>
    </w:rPr>
  </w:style>
  <w:style w:type="character" w:customStyle="1" w:styleId="273">
    <w:name w:val="Ò³Ã¼ Char Char"/>
    <w:autoRedefine/>
    <w:qFormat/>
    <w:uiPriority w:val="0"/>
    <w:rPr>
      <w:rFonts w:eastAsia="宋体"/>
      <w:kern w:val="2"/>
      <w:sz w:val="18"/>
      <w:lang w:val="en-US" w:eastAsia="zh-CN" w:bidi="ar-SA"/>
    </w:rPr>
  </w:style>
  <w:style w:type="character" w:customStyle="1" w:styleId="274">
    <w:name w:val="message1"/>
    <w:autoRedefine/>
    <w:qFormat/>
    <w:uiPriority w:val="0"/>
    <w:rPr>
      <w:rFonts w:hint="default" w:ascii="Tahoma" w:hAnsi="Tahoma" w:cs="Tahoma"/>
      <w:sz w:val="18"/>
      <w:szCs w:val="18"/>
    </w:rPr>
  </w:style>
  <w:style w:type="character" w:customStyle="1" w:styleId="275">
    <w:name w:val="Char Char23"/>
    <w:autoRedefine/>
    <w:qFormat/>
    <w:uiPriority w:val="6"/>
    <w:rPr>
      <w:color w:val="0000FF"/>
      <w:sz w:val="21"/>
    </w:rPr>
  </w:style>
  <w:style w:type="character" w:customStyle="1" w:styleId="276">
    <w:name w:val="批注框文本 字符"/>
    <w:autoRedefine/>
    <w:qFormat/>
    <w:uiPriority w:val="0"/>
    <w:rPr>
      <w:rFonts w:ascii="Arial" w:hAnsi="Arial" w:eastAsia="黑体" w:cs="Arial"/>
      <w:snapToGrid w:val="0"/>
      <w:kern w:val="0"/>
      <w:sz w:val="18"/>
      <w:szCs w:val="18"/>
    </w:rPr>
  </w:style>
  <w:style w:type="character" w:customStyle="1" w:styleId="277">
    <w:name w:val="纯文本 Char2"/>
    <w:autoRedefine/>
    <w:semiHidden/>
    <w:qFormat/>
    <w:uiPriority w:val="99"/>
    <w:rPr>
      <w:rFonts w:ascii="宋体" w:hAnsi="Courier New" w:eastAsia="宋体" w:cs="Courier New"/>
    </w:rPr>
  </w:style>
  <w:style w:type="character" w:customStyle="1" w:styleId="278">
    <w:name w:val="Char Char25"/>
    <w:autoRedefine/>
    <w:qFormat/>
    <w:uiPriority w:val="6"/>
    <w:rPr>
      <w:rFonts w:ascii="宋体" w:hAnsi="宋体"/>
      <w:kern w:val="1"/>
      <w:sz w:val="24"/>
      <w:lang w:val="zh-CN"/>
    </w:rPr>
  </w:style>
  <w:style w:type="character" w:customStyle="1" w:styleId="279">
    <w:name w:val="Char Char411"/>
    <w:autoRedefine/>
    <w:qFormat/>
    <w:uiPriority w:val="0"/>
    <w:rPr>
      <w:rFonts w:eastAsia="宋体"/>
      <w:b/>
      <w:sz w:val="24"/>
      <w:lang w:val="en-GB" w:eastAsia="zh-CN" w:bidi="ar-SA"/>
    </w:rPr>
  </w:style>
  <w:style w:type="character" w:customStyle="1" w:styleId="280">
    <w:name w:val="Heading 7 Char"/>
    <w:autoRedefine/>
    <w:qFormat/>
    <w:locked/>
    <w:uiPriority w:val="0"/>
    <w:rPr>
      <w:rFonts w:ascii="宋体" w:hAnsi="宋体" w:eastAsia="宋体"/>
      <w:b/>
      <w:bCs/>
      <w:kern w:val="2"/>
      <w:sz w:val="24"/>
      <w:szCs w:val="24"/>
      <w:lang w:val="en-US" w:eastAsia="zh-CN" w:bidi="ar-SA"/>
    </w:rPr>
  </w:style>
  <w:style w:type="character" w:customStyle="1" w:styleId="281">
    <w:name w:val="此正文 Char"/>
    <w:link w:val="282"/>
    <w:autoRedefine/>
    <w:qFormat/>
    <w:uiPriority w:val="0"/>
    <w:rPr>
      <w:kern w:val="2"/>
      <w:sz w:val="24"/>
      <w:szCs w:val="24"/>
    </w:rPr>
  </w:style>
  <w:style w:type="paragraph" w:customStyle="1" w:styleId="282">
    <w:name w:val="此正文"/>
    <w:basedOn w:val="1"/>
    <w:link w:val="281"/>
    <w:autoRedefine/>
    <w:qFormat/>
    <w:uiPriority w:val="0"/>
    <w:pPr>
      <w:adjustRightInd/>
      <w:spacing w:line="360" w:lineRule="auto"/>
      <w:ind w:firstLine="200" w:firstLineChars="200"/>
    </w:pPr>
    <w:rPr>
      <w:sz w:val="24"/>
    </w:rPr>
  </w:style>
  <w:style w:type="character" w:customStyle="1" w:styleId="283">
    <w:name w:val="Char Char2"/>
    <w:autoRedefine/>
    <w:qFormat/>
    <w:uiPriority w:val="0"/>
    <w:rPr>
      <w:rFonts w:eastAsia="宋体"/>
      <w:b/>
      <w:bCs/>
      <w:kern w:val="2"/>
      <w:sz w:val="21"/>
      <w:szCs w:val="24"/>
      <w:lang w:val="en-US" w:eastAsia="zh-CN" w:bidi="ar-SA"/>
    </w:rPr>
  </w:style>
  <w:style w:type="character" w:customStyle="1" w:styleId="284">
    <w:name w:val="标题 1 字符1"/>
    <w:link w:val="3"/>
    <w:autoRedefine/>
    <w:qFormat/>
    <w:uiPriority w:val="9"/>
    <w:rPr>
      <w:b/>
      <w:bCs/>
      <w:kern w:val="44"/>
      <w:sz w:val="44"/>
      <w:szCs w:val="44"/>
    </w:rPr>
  </w:style>
  <w:style w:type="character" w:customStyle="1" w:styleId="285">
    <w:name w:val="Footer-Even Char1"/>
    <w:autoRedefine/>
    <w:qFormat/>
    <w:uiPriority w:val="0"/>
    <w:rPr>
      <w:rFonts w:eastAsia="宋体"/>
      <w:kern w:val="2"/>
      <w:sz w:val="18"/>
      <w:szCs w:val="18"/>
      <w:lang w:val="en-US" w:eastAsia="zh-CN" w:bidi="ar-SA"/>
    </w:rPr>
  </w:style>
  <w:style w:type="character" w:customStyle="1" w:styleId="286">
    <w:name w:val="Char Char29"/>
    <w:autoRedefine/>
    <w:qFormat/>
    <w:uiPriority w:val="6"/>
    <w:rPr>
      <w:rFonts w:ascii="Arial" w:hAnsi="Arial" w:eastAsia="微软雅黑"/>
      <w:b/>
      <w:kern w:val="1"/>
      <w:sz w:val="44"/>
      <w:szCs w:val="32"/>
      <w:lang w:val="en-US" w:eastAsia="zh-CN" w:bidi="ar-SA"/>
    </w:rPr>
  </w:style>
  <w:style w:type="character" w:customStyle="1" w:styleId="287">
    <w:name w:val="标题 字符"/>
    <w:link w:val="61"/>
    <w:autoRedefine/>
    <w:qFormat/>
    <w:uiPriority w:val="10"/>
    <w:rPr>
      <w:b/>
      <w:sz w:val="24"/>
      <w:lang w:val="en-GB"/>
    </w:rPr>
  </w:style>
  <w:style w:type="character" w:customStyle="1" w:styleId="288">
    <w:name w:val="font81"/>
    <w:autoRedefine/>
    <w:qFormat/>
    <w:uiPriority w:val="0"/>
    <w:rPr>
      <w:rFonts w:ascii="微软雅黑" w:hAnsi="微软雅黑" w:eastAsia="微软雅黑" w:cs="微软雅黑"/>
      <w:color w:val="000000"/>
      <w:sz w:val="20"/>
      <w:szCs w:val="20"/>
      <w:u w:val="none"/>
    </w:rPr>
  </w:style>
  <w:style w:type="character" w:customStyle="1" w:styleId="289">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0">
    <w:name w:val="t21"/>
    <w:autoRedefine/>
    <w:qFormat/>
    <w:uiPriority w:val="0"/>
    <w:rPr>
      <w:rFonts w:ascii="仿宋_GB2312" w:eastAsia="微软雅黑"/>
      <w:b/>
      <w:kern w:val="2"/>
      <w:sz w:val="23"/>
      <w:szCs w:val="23"/>
      <w:lang w:val="en-US" w:eastAsia="zh-CN" w:bidi="ar-SA"/>
    </w:rPr>
  </w:style>
  <w:style w:type="character" w:customStyle="1" w:styleId="291">
    <w:name w:val="样式8 Char"/>
    <w:autoRedefine/>
    <w:qFormat/>
    <w:uiPriority w:val="0"/>
    <w:rPr>
      <w:rFonts w:ascii="仿宋_GB2312" w:hAnsi="宋体" w:eastAsia="仿宋_GB2312"/>
      <w:b/>
      <w:bCs/>
      <w:kern w:val="2"/>
      <w:sz w:val="24"/>
      <w:szCs w:val="24"/>
    </w:rPr>
  </w:style>
  <w:style w:type="character" w:customStyle="1" w:styleId="292">
    <w:name w:val="表格 Char Char"/>
    <w:autoRedefine/>
    <w:qFormat/>
    <w:uiPriority w:val="0"/>
    <w:rPr>
      <w:rFonts w:ascii="宋体" w:hAnsi="宋体" w:eastAsia="宋体"/>
      <w:lang w:bidi="ar-SA"/>
    </w:rPr>
  </w:style>
  <w:style w:type="character" w:customStyle="1" w:styleId="293">
    <w:name w:val="正文文本 字符1"/>
    <w:autoRedefine/>
    <w:qFormat/>
    <w:uiPriority w:val="0"/>
    <w:rPr>
      <w:rFonts w:ascii="Calibri" w:hAnsi="Calibri" w:eastAsia="黑体" w:cs="Arial"/>
      <w:snapToGrid w:val="0"/>
      <w:kern w:val="2"/>
      <w:sz w:val="28"/>
      <w:szCs w:val="21"/>
    </w:rPr>
  </w:style>
  <w:style w:type="character" w:customStyle="1" w:styleId="294">
    <w:name w:val="标题 5 字符"/>
    <w:link w:val="7"/>
    <w:autoRedefine/>
    <w:qFormat/>
    <w:uiPriority w:val="9"/>
    <w:rPr>
      <w:b/>
      <w:bCs/>
      <w:kern w:val="2"/>
      <w:sz w:val="28"/>
      <w:szCs w:val="28"/>
    </w:rPr>
  </w:style>
  <w:style w:type="character" w:customStyle="1" w:styleId="295">
    <w:name w:val="标题 6 Char1"/>
    <w:autoRedefine/>
    <w:qFormat/>
    <w:uiPriority w:val="0"/>
    <w:rPr>
      <w:rFonts w:ascii="Arial" w:hAnsi="Arial" w:eastAsia="黑体" w:cs="Times New Roman"/>
      <w:b/>
      <w:sz w:val="24"/>
      <w:szCs w:val="20"/>
      <w:lang w:bidi="ar-SA"/>
    </w:rPr>
  </w:style>
  <w:style w:type="character" w:customStyle="1" w:styleId="296">
    <w:name w:val="带编号样式 Char"/>
    <w:autoRedefine/>
    <w:qFormat/>
    <w:uiPriority w:val="0"/>
    <w:rPr>
      <w:rFonts w:ascii="仿宋_GB2312" w:eastAsia="仿宋_GB2312"/>
      <w:color w:val="000000"/>
      <w:sz w:val="24"/>
      <w:lang w:bidi="ar-SA"/>
    </w:rPr>
  </w:style>
  <w:style w:type="character" w:customStyle="1" w:styleId="297">
    <w:name w:val="unnamed31"/>
    <w:autoRedefine/>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autoRedefine/>
    <w:qFormat/>
    <w:uiPriority w:val="0"/>
    <w:rPr>
      <w:rFonts w:ascii="宋体" w:eastAsia="宋体"/>
      <w:kern w:val="2"/>
      <w:sz w:val="24"/>
      <w:szCs w:val="24"/>
      <w:lang w:val="zh-CN" w:bidi="ar-SA"/>
    </w:rPr>
  </w:style>
  <w:style w:type="character" w:customStyle="1" w:styleId="299">
    <w:name w:val="称呼 字符"/>
    <w:link w:val="21"/>
    <w:autoRedefine/>
    <w:qFormat/>
    <w:uiPriority w:val="0"/>
    <w:rPr>
      <w:rFonts w:ascii="仿宋_GB2312" w:eastAsia="仿宋_GB2312"/>
      <w:kern w:val="2"/>
      <w:sz w:val="28"/>
    </w:rPr>
  </w:style>
  <w:style w:type="character" w:customStyle="1" w:styleId="300">
    <w:name w:val="文本正文 Char Char"/>
    <w:autoRedefine/>
    <w:qFormat/>
    <w:locked/>
    <w:uiPriority w:val="0"/>
    <w:rPr>
      <w:sz w:val="24"/>
      <w:lang w:bidi="ar-SA"/>
    </w:rPr>
  </w:style>
  <w:style w:type="character" w:customStyle="1" w:styleId="301">
    <w:name w:val="正文缩进 字符"/>
    <w:autoRedefine/>
    <w:qFormat/>
    <w:uiPriority w:val="0"/>
    <w:rPr>
      <w:rFonts w:ascii="宋体" w:eastAsia="宋体"/>
      <w:snapToGrid w:val="0"/>
      <w:color w:val="000000"/>
      <w:kern w:val="28"/>
      <w:sz w:val="28"/>
      <w:lang w:val="en-US" w:eastAsia="zh-CN" w:bidi="ar-SA"/>
    </w:rPr>
  </w:style>
  <w:style w:type="character" w:customStyle="1" w:styleId="302">
    <w:name w:val="HTML 预设格式 字符"/>
    <w:link w:val="59"/>
    <w:autoRedefine/>
    <w:qFormat/>
    <w:uiPriority w:val="0"/>
    <w:rPr>
      <w:rFonts w:ascii="黑体" w:hAnsi="Courier New" w:eastAsia="黑体"/>
    </w:rPr>
  </w:style>
  <w:style w:type="character" w:customStyle="1" w:styleId="303">
    <w:name w:val="正文文本 2 字符1"/>
    <w:link w:val="58"/>
    <w:autoRedefine/>
    <w:qFormat/>
    <w:uiPriority w:val="0"/>
    <w:rPr>
      <w:kern w:val="2"/>
      <w:sz w:val="21"/>
      <w:szCs w:val="24"/>
    </w:rPr>
  </w:style>
  <w:style w:type="character" w:customStyle="1" w:styleId="304">
    <w:name w:val="样式 样式 标题 4h4H4Fab-4T5Ref Heading 1rh1Heading sqlsect 1.2.3.... +... Char"/>
    <w:link w:val="305"/>
    <w:autoRedefine/>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autoRedefine/>
    <w:qFormat/>
    <w:uiPriority w:val="0"/>
    <w:pPr>
      <w:tabs>
        <w:tab w:val="left" w:pos="2356"/>
      </w:tabs>
    </w:pPr>
  </w:style>
  <w:style w:type="paragraph" w:customStyle="1" w:styleId="306">
    <w:name w:val="样式 标题 4h4H4Fab-4T5Ref Heading 1rh1Heading sqlsect 1.2.3...."/>
    <w:basedOn w:val="6"/>
    <w:link w:val="414"/>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autoRedefine/>
    <w:qFormat/>
    <w:uiPriority w:val="0"/>
    <w:rPr>
      <w:rFonts w:ascii="宋体" w:eastAsia="宋体"/>
      <w:snapToGrid w:val="0"/>
      <w:color w:val="000000"/>
      <w:kern w:val="28"/>
      <w:sz w:val="28"/>
      <w:lang w:val="en-US" w:eastAsia="zh-CN" w:bidi="ar-SA"/>
    </w:rPr>
  </w:style>
  <w:style w:type="character" w:customStyle="1" w:styleId="308">
    <w:name w:val="标题 7 字符"/>
    <w:link w:val="9"/>
    <w:autoRedefine/>
    <w:qFormat/>
    <w:uiPriority w:val="0"/>
    <w:rPr>
      <w:b/>
      <w:bCs/>
      <w:kern w:val="2"/>
      <w:sz w:val="24"/>
      <w:szCs w:val="24"/>
    </w:rPr>
  </w:style>
  <w:style w:type="character" w:customStyle="1" w:styleId="309">
    <w:name w:val="正文文本缩进 2 字符"/>
    <w:link w:val="40"/>
    <w:autoRedefine/>
    <w:qFormat/>
    <w:uiPriority w:val="0"/>
    <w:rPr>
      <w:rFonts w:ascii="宋体"/>
      <w:sz w:val="28"/>
    </w:rPr>
  </w:style>
  <w:style w:type="character" w:customStyle="1" w:styleId="310">
    <w:name w:val="Char Char5"/>
    <w:autoRedefine/>
    <w:qFormat/>
    <w:uiPriority w:val="0"/>
    <w:rPr>
      <w:rFonts w:ascii="宋体" w:hAnsi="Courier New" w:eastAsia="宋体"/>
      <w:kern w:val="2"/>
      <w:sz w:val="21"/>
      <w:lang w:val="en-US" w:eastAsia="zh-CN"/>
    </w:rPr>
  </w:style>
  <w:style w:type="character" w:customStyle="1" w:styleId="311">
    <w:name w:val="脚注文本 字符"/>
    <w:link w:val="53"/>
    <w:autoRedefine/>
    <w:qFormat/>
    <w:uiPriority w:val="0"/>
    <w:rPr>
      <w:color w:val="0000FF"/>
      <w:sz w:val="21"/>
    </w:rPr>
  </w:style>
  <w:style w:type="character" w:customStyle="1" w:styleId="312">
    <w:name w:val="称呼 Char1"/>
    <w:autoRedefine/>
    <w:qFormat/>
    <w:uiPriority w:val="0"/>
    <w:rPr>
      <w:rFonts w:ascii="Times New Roman" w:hAnsi="Times New Roman" w:eastAsia="宋体" w:cs="Times New Roman"/>
      <w:szCs w:val="24"/>
    </w:rPr>
  </w:style>
  <w:style w:type="character" w:customStyle="1" w:styleId="313">
    <w:name w:val="正文1 Char"/>
    <w:autoRedefine/>
    <w:qFormat/>
    <w:uiPriority w:val="0"/>
    <w:rPr>
      <w:rFonts w:ascii="宋体" w:eastAsia="宋体"/>
      <w:snapToGrid w:val="0"/>
      <w:color w:val="000000"/>
      <w:kern w:val="28"/>
      <w:sz w:val="28"/>
      <w:lang w:val="en-US" w:eastAsia="zh-CN" w:bidi="ar-SA"/>
    </w:rPr>
  </w:style>
  <w:style w:type="character" w:customStyle="1" w:styleId="314">
    <w:name w:val="正文缩进 Char1"/>
    <w:autoRedefine/>
    <w:qFormat/>
    <w:uiPriority w:val="0"/>
    <w:rPr>
      <w:rFonts w:ascii="宋体" w:eastAsia="宋体"/>
      <w:snapToGrid w:val="0"/>
      <w:color w:val="000000"/>
      <w:kern w:val="28"/>
      <w:sz w:val="28"/>
      <w:lang w:val="en-US" w:eastAsia="zh-CN" w:bidi="ar-SA"/>
    </w:rPr>
  </w:style>
  <w:style w:type="character" w:customStyle="1" w:styleId="315">
    <w:name w:val="font21"/>
    <w:autoRedefine/>
    <w:qFormat/>
    <w:uiPriority w:val="0"/>
    <w:rPr>
      <w:rFonts w:hint="eastAsia" w:ascii="宋体" w:hAnsi="宋体" w:eastAsia="宋体"/>
      <w:kern w:val="2"/>
      <w:sz w:val="28"/>
      <w:szCs w:val="28"/>
      <w:lang w:val="en-US" w:eastAsia="zh-CN" w:bidi="ar-SA"/>
    </w:rPr>
  </w:style>
  <w:style w:type="character" w:customStyle="1" w:styleId="316">
    <w:name w:val="Char Char26"/>
    <w:autoRedefine/>
    <w:qFormat/>
    <w:uiPriority w:val="6"/>
    <w:rPr>
      <w:kern w:val="1"/>
      <w:sz w:val="21"/>
      <w:szCs w:val="24"/>
    </w:rPr>
  </w:style>
  <w:style w:type="character" w:customStyle="1" w:styleId="317">
    <w:name w:val="Item List Char"/>
    <w:link w:val="318"/>
    <w:autoRedefine/>
    <w:qFormat/>
    <w:uiPriority w:val="0"/>
    <w:rPr>
      <w:rFonts w:ascii="Arial"/>
      <w:bCs/>
      <w:sz w:val="21"/>
      <w:szCs w:val="21"/>
      <w:lang w:val="en-US" w:eastAsia="zh-CN" w:bidi="ar-SA"/>
    </w:rPr>
  </w:style>
  <w:style w:type="paragraph" w:customStyle="1" w:styleId="318">
    <w:name w:val="Item List"/>
    <w:link w:val="31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autoRedefine/>
    <w:qFormat/>
    <w:uiPriority w:val="0"/>
    <w:rPr>
      <w:rFonts w:ascii="Times New Roman" w:hAnsi="Times New Roman" w:eastAsia="宋体" w:cs="Times New Roman"/>
      <w:sz w:val="18"/>
      <w:szCs w:val="18"/>
    </w:rPr>
  </w:style>
  <w:style w:type="character" w:customStyle="1" w:styleId="320">
    <w:name w:val="纯文本 Char1"/>
    <w:link w:val="321"/>
    <w:autoRedefine/>
    <w:qFormat/>
    <w:uiPriority w:val="0"/>
    <w:rPr>
      <w:rFonts w:ascii="宋体" w:hAnsi="Courier New"/>
    </w:rPr>
  </w:style>
  <w:style w:type="paragraph" w:customStyle="1" w:styleId="321">
    <w:name w:val="纯文本1"/>
    <w:basedOn w:val="1"/>
    <w:link w:val="320"/>
    <w:autoRedefine/>
    <w:qFormat/>
    <w:uiPriority w:val="0"/>
    <w:pPr>
      <w:adjustRightInd/>
    </w:pPr>
    <w:rPr>
      <w:rFonts w:ascii="宋体" w:hAnsi="Courier New"/>
      <w:kern w:val="0"/>
      <w:sz w:val="20"/>
      <w:szCs w:val="20"/>
    </w:rPr>
  </w:style>
  <w:style w:type="character" w:customStyle="1" w:styleId="322">
    <w:name w:val="正文文本首行缩进 字符"/>
    <w:link w:val="25"/>
    <w:autoRedefine/>
    <w:qFormat/>
    <w:uiPriority w:val="0"/>
    <w:rPr>
      <w:rFonts w:ascii="宋体"/>
      <w:kern w:val="2"/>
      <w:sz w:val="24"/>
      <w:lang w:val="zh-CN"/>
    </w:rPr>
  </w:style>
  <w:style w:type="character" w:customStyle="1" w:styleId="323">
    <w:name w:val="h3 Char"/>
    <w:autoRedefine/>
    <w:qFormat/>
    <w:uiPriority w:val="0"/>
    <w:rPr>
      <w:rFonts w:eastAsia="宋体"/>
      <w:b/>
      <w:kern w:val="2"/>
      <w:sz w:val="32"/>
      <w:lang w:val="en-US" w:eastAsia="zh-CN" w:bidi="ar-SA"/>
    </w:rPr>
  </w:style>
  <w:style w:type="character" w:customStyle="1" w:styleId="324">
    <w:name w:val="dandyren_title1"/>
    <w:autoRedefine/>
    <w:qFormat/>
    <w:uiPriority w:val="0"/>
    <w:rPr>
      <w:b/>
      <w:bCs/>
      <w:color w:val="FF6633"/>
      <w:sz w:val="18"/>
      <w:szCs w:val="18"/>
    </w:rPr>
  </w:style>
  <w:style w:type="character" w:customStyle="1" w:styleId="325">
    <w:name w:val="Char Char31"/>
    <w:autoRedefine/>
    <w:qFormat/>
    <w:uiPriority w:val="6"/>
    <w:rPr>
      <w:rFonts w:ascii="Arial" w:hAnsi="Arial" w:eastAsia="黑体"/>
      <w:kern w:val="1"/>
      <w:sz w:val="24"/>
      <w:szCs w:val="24"/>
    </w:rPr>
  </w:style>
  <w:style w:type="character" w:customStyle="1" w:styleId="326">
    <w:name w:val="h Char1"/>
    <w:autoRedefine/>
    <w:qFormat/>
    <w:uiPriority w:val="0"/>
    <w:rPr>
      <w:sz w:val="18"/>
      <w:szCs w:val="18"/>
    </w:rPr>
  </w:style>
  <w:style w:type="character" w:customStyle="1" w:styleId="327">
    <w:name w:val="solutionfonts"/>
    <w:autoRedefine/>
    <w:qFormat/>
    <w:uiPriority w:val="0"/>
  </w:style>
  <w:style w:type="character" w:customStyle="1" w:styleId="328">
    <w:name w:val="标题 4 字符1"/>
    <w:link w:val="6"/>
    <w:autoRedefine/>
    <w:qFormat/>
    <w:uiPriority w:val="9"/>
    <w:rPr>
      <w:rFonts w:ascii="Arial" w:hAnsi="Arial" w:eastAsia="黑体"/>
      <w:b/>
      <w:bCs/>
      <w:kern w:val="2"/>
      <w:sz w:val="28"/>
      <w:szCs w:val="28"/>
      <w:lang w:val="zh-CN"/>
    </w:rPr>
  </w:style>
  <w:style w:type="character" w:customStyle="1" w:styleId="329">
    <w:name w:val="首行缩进 Char"/>
    <w:autoRedefine/>
    <w:qFormat/>
    <w:uiPriority w:val="0"/>
    <w:rPr>
      <w:rFonts w:ascii="宋体" w:eastAsia="宋体"/>
      <w:kern w:val="2"/>
      <w:sz w:val="24"/>
      <w:lang w:val="en-US" w:eastAsia="zh-CN" w:bidi="ar-SA"/>
    </w:rPr>
  </w:style>
  <w:style w:type="character" w:customStyle="1" w:styleId="330">
    <w:name w:val="Char Char52"/>
    <w:autoRedefine/>
    <w:qFormat/>
    <w:uiPriority w:val="0"/>
    <w:rPr>
      <w:rFonts w:ascii="宋体" w:hAnsi="Courier New" w:eastAsia="宋体"/>
      <w:kern w:val="2"/>
      <w:sz w:val="21"/>
      <w:lang w:val="en-US" w:eastAsia="zh-CN"/>
    </w:rPr>
  </w:style>
  <w:style w:type="character" w:customStyle="1" w:styleId="331">
    <w:name w:val="正文文本 3 字符"/>
    <w:link w:val="22"/>
    <w:autoRedefine/>
    <w:qFormat/>
    <w:uiPriority w:val="0"/>
    <w:rPr>
      <w:kern w:val="2"/>
      <w:sz w:val="21"/>
    </w:rPr>
  </w:style>
  <w:style w:type="character" w:customStyle="1" w:styleId="332">
    <w:name w:val="font31"/>
    <w:autoRedefine/>
    <w:qFormat/>
    <w:uiPriority w:val="0"/>
    <w:rPr>
      <w:rFonts w:hint="eastAsia" w:ascii="仿宋" w:hAnsi="仿宋" w:eastAsia="仿宋" w:cs="仿宋"/>
      <w:color w:val="000000"/>
      <w:sz w:val="20"/>
      <w:szCs w:val="20"/>
      <w:u w:val="none"/>
    </w:rPr>
  </w:style>
  <w:style w:type="character" w:customStyle="1" w:styleId="333">
    <w:name w:val="正文说明 Char"/>
    <w:link w:val="334"/>
    <w:autoRedefine/>
    <w:qFormat/>
    <w:uiPriority w:val="0"/>
    <w:rPr>
      <w:sz w:val="24"/>
      <w:szCs w:val="24"/>
    </w:rPr>
  </w:style>
  <w:style w:type="paragraph" w:customStyle="1" w:styleId="334">
    <w:name w:val="正文说明"/>
    <w:basedOn w:val="1"/>
    <w:link w:val="333"/>
    <w:autoRedefine/>
    <w:qFormat/>
    <w:uiPriority w:val="0"/>
    <w:pPr>
      <w:adjustRightInd/>
      <w:spacing w:line="360" w:lineRule="auto"/>
    </w:pPr>
    <w:rPr>
      <w:kern w:val="0"/>
      <w:sz w:val="24"/>
    </w:rPr>
  </w:style>
  <w:style w:type="character" w:customStyle="1" w:styleId="335">
    <w:name w:val="脚注文本 Char1"/>
    <w:autoRedefine/>
    <w:qFormat/>
    <w:uiPriority w:val="0"/>
    <w:rPr>
      <w:rFonts w:ascii="Times New Roman" w:hAnsi="Times New Roman" w:eastAsia="宋体" w:cs="Times New Roman"/>
      <w:sz w:val="18"/>
      <w:szCs w:val="18"/>
    </w:rPr>
  </w:style>
  <w:style w:type="character" w:customStyle="1" w:styleId="336">
    <w:name w:val="Char Char1211"/>
    <w:autoRedefine/>
    <w:qFormat/>
    <w:uiPriority w:val="0"/>
    <w:rPr>
      <w:rFonts w:ascii="仿宋_GB2312" w:eastAsia="仿宋_GB2312"/>
      <w:b/>
      <w:bCs/>
      <w:kern w:val="2"/>
      <w:sz w:val="24"/>
      <w:szCs w:val="24"/>
      <w:lang w:val="zh-CN" w:eastAsia="zh-CN" w:bidi="ar-SA"/>
    </w:rPr>
  </w:style>
  <w:style w:type="character" w:customStyle="1" w:styleId="337">
    <w:name w:val="标题 Char"/>
    <w:autoRedefine/>
    <w:qFormat/>
    <w:uiPriority w:val="0"/>
    <w:rPr>
      <w:rFonts w:eastAsia="宋体"/>
      <w:b/>
      <w:sz w:val="24"/>
      <w:lang w:val="en-GB" w:eastAsia="zh-CN" w:bidi="ar-SA"/>
    </w:rPr>
  </w:style>
  <w:style w:type="character" w:customStyle="1" w:styleId="338">
    <w:name w:val="Char Char35"/>
    <w:autoRedefine/>
    <w:qFormat/>
    <w:uiPriority w:val="6"/>
    <w:rPr>
      <w:rFonts w:ascii="Arial" w:hAnsi="Arial" w:eastAsia="黑体"/>
      <w:b/>
      <w:kern w:val="1"/>
      <w:sz w:val="28"/>
      <w:szCs w:val="28"/>
      <w:lang w:val="zh-CN"/>
    </w:rPr>
  </w:style>
  <w:style w:type="character" w:customStyle="1" w:styleId="339">
    <w:name w:val="纯文本 Char Char Char"/>
    <w:autoRedefine/>
    <w:qFormat/>
    <w:uiPriority w:val="0"/>
    <w:rPr>
      <w:rFonts w:ascii="宋体" w:hAnsi="Courier New" w:eastAsia="宋体"/>
      <w:kern w:val="2"/>
      <w:sz w:val="21"/>
      <w:lang w:val="en-US" w:eastAsia="zh-CN" w:bidi="ar-SA"/>
    </w:rPr>
  </w:style>
  <w:style w:type="character" w:customStyle="1" w:styleId="340">
    <w:name w:val="Table Text Char"/>
    <w:link w:val="341"/>
    <w:autoRedefine/>
    <w:qFormat/>
    <w:uiPriority w:val="0"/>
    <w:rPr>
      <w:sz w:val="24"/>
      <w:szCs w:val="24"/>
    </w:rPr>
  </w:style>
  <w:style w:type="paragraph" w:customStyle="1" w:styleId="341">
    <w:name w:val="Table Text"/>
    <w:basedOn w:val="1"/>
    <w:link w:val="340"/>
    <w:autoRedefine/>
    <w:qFormat/>
    <w:uiPriority w:val="0"/>
    <w:pPr>
      <w:widowControl/>
      <w:spacing w:before="60" w:after="60"/>
      <w:jc w:val="left"/>
    </w:pPr>
    <w:rPr>
      <w:kern w:val="0"/>
      <w:sz w:val="24"/>
    </w:rPr>
  </w:style>
  <w:style w:type="character" w:customStyle="1" w:styleId="342">
    <w:name w:val="正文1 Char1"/>
    <w:autoRedefine/>
    <w:qFormat/>
    <w:uiPriority w:val="0"/>
    <w:rPr>
      <w:rFonts w:ascii="仿宋_GB2312" w:hAnsi="Courier New" w:eastAsia="仿宋_GB2312"/>
      <w:kern w:val="28"/>
      <w:sz w:val="24"/>
      <w:szCs w:val="24"/>
      <w:lang w:val="en-US" w:eastAsia="zh-CN"/>
    </w:rPr>
  </w:style>
  <w:style w:type="character" w:customStyle="1" w:styleId="343">
    <w:name w:val="页脚 Char1"/>
    <w:autoRedefine/>
    <w:qFormat/>
    <w:uiPriority w:val="0"/>
    <w:rPr>
      <w:rFonts w:eastAsia="宋体"/>
      <w:kern w:val="2"/>
      <w:sz w:val="18"/>
      <w:szCs w:val="18"/>
      <w:lang w:val="en-US" w:eastAsia="zh-CN" w:bidi="ar-SA"/>
    </w:rPr>
  </w:style>
  <w:style w:type="character" w:customStyle="1" w:styleId="344">
    <w:name w:val="Bold"/>
    <w:autoRedefine/>
    <w:qFormat/>
    <w:uiPriority w:val="0"/>
    <w:rPr>
      <w:rFonts w:ascii="Arial" w:hAnsi="Arial" w:eastAsia="黑体" w:cs="Times New Roman"/>
      <w:b/>
      <w:kern w:val="2"/>
      <w:sz w:val="32"/>
      <w:szCs w:val="32"/>
      <w:lang w:val="en-US" w:eastAsia="zh-CN" w:bidi="ar-SA"/>
    </w:rPr>
  </w:style>
  <w:style w:type="character" w:customStyle="1" w:styleId="345">
    <w:name w:val="批注文字 字符1"/>
    <w:link w:val="20"/>
    <w:autoRedefine/>
    <w:qFormat/>
    <w:uiPriority w:val="0"/>
    <w:rPr>
      <w:kern w:val="2"/>
      <w:sz w:val="21"/>
      <w:szCs w:val="24"/>
    </w:rPr>
  </w:style>
  <w:style w:type="character" w:customStyle="1" w:styleId="346">
    <w:name w:val="签名 字符"/>
    <w:link w:val="45"/>
    <w:autoRedefine/>
    <w:qFormat/>
    <w:uiPriority w:val="0"/>
    <w:rPr>
      <w:rFonts w:eastAsia="仿宋_GB2312"/>
      <w:sz w:val="24"/>
    </w:rPr>
  </w:style>
  <w:style w:type="character" w:customStyle="1" w:styleId="347">
    <w:name w:val="hui3"/>
    <w:autoRedefine/>
    <w:qFormat/>
    <w:uiPriority w:val="0"/>
    <w:rPr>
      <w:color w:val="333333"/>
    </w:rPr>
  </w:style>
  <w:style w:type="character" w:customStyle="1" w:styleId="348">
    <w:name w:val="Char Char17"/>
    <w:autoRedefine/>
    <w:qFormat/>
    <w:uiPriority w:val="6"/>
    <w:rPr>
      <w:rFonts w:eastAsia="仿宋_GB2312"/>
      <w:sz w:val="24"/>
    </w:rPr>
  </w:style>
  <w:style w:type="character" w:customStyle="1" w:styleId="349">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0">
    <w:name w:val="Char Char37"/>
    <w:autoRedefine/>
    <w:qFormat/>
    <w:uiPriority w:val="6"/>
    <w:rPr>
      <w:b/>
      <w:kern w:val="1"/>
      <w:sz w:val="44"/>
      <w:szCs w:val="44"/>
    </w:rPr>
  </w:style>
  <w:style w:type="character" w:customStyle="1" w:styleId="351">
    <w:name w:val="列出段落 Char"/>
    <w:autoRedefine/>
    <w:qFormat/>
    <w:uiPriority w:val="0"/>
    <w:rPr>
      <w:rFonts w:eastAsia="楷体_GB2312" w:cs="Lucida Sans"/>
      <w:kern w:val="2"/>
      <w:sz w:val="24"/>
      <w:szCs w:val="24"/>
      <w:lang w:val="en-US" w:eastAsia="zh-CN" w:bidi="ar-SA"/>
    </w:rPr>
  </w:style>
  <w:style w:type="character" w:customStyle="1" w:styleId="352">
    <w:name w:val="正文文本缩进 3 Char1"/>
    <w:autoRedefine/>
    <w:semiHidden/>
    <w:qFormat/>
    <w:uiPriority w:val="99"/>
    <w:rPr>
      <w:rFonts w:ascii="Times New Roman" w:hAnsi="Times New Roman" w:eastAsia="宋体" w:cs="Times New Roman"/>
      <w:sz w:val="16"/>
      <w:szCs w:val="16"/>
    </w:rPr>
  </w:style>
  <w:style w:type="character" w:customStyle="1" w:styleId="353">
    <w:name w:val="公文正文 Char Char"/>
    <w:link w:val="354"/>
    <w:autoRedefine/>
    <w:qFormat/>
    <w:uiPriority w:val="0"/>
    <w:rPr>
      <w:rFonts w:ascii="仿宋_GB2312" w:eastAsia="仿宋_GB2312"/>
      <w:kern w:val="2"/>
      <w:sz w:val="24"/>
      <w:szCs w:val="24"/>
    </w:rPr>
  </w:style>
  <w:style w:type="paragraph" w:customStyle="1" w:styleId="354">
    <w:name w:val="公文正文"/>
    <w:basedOn w:val="1"/>
    <w:link w:val="353"/>
    <w:autoRedefine/>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autoRedefine/>
    <w:qFormat/>
    <w:uiPriority w:val="0"/>
    <w:rPr>
      <w:rFonts w:eastAsia="宋体"/>
      <w:sz w:val="24"/>
      <w:szCs w:val="24"/>
      <w:lang w:val="en-US" w:eastAsia="zh-CN" w:bidi="ar-SA"/>
    </w:rPr>
  </w:style>
  <w:style w:type="character" w:customStyle="1" w:styleId="356">
    <w:name w:val="标题 1 Char Char"/>
    <w:autoRedefine/>
    <w:qFormat/>
    <w:uiPriority w:val="0"/>
    <w:rPr>
      <w:rFonts w:hint="eastAsia" w:ascii="宋体" w:hAnsi="宋体" w:eastAsia="宋体"/>
      <w:b/>
      <w:spacing w:val="-2"/>
      <w:sz w:val="24"/>
      <w:lang w:val="en-US" w:eastAsia="zh-CN" w:bidi="ar-SA"/>
    </w:rPr>
  </w:style>
  <w:style w:type="character" w:customStyle="1" w:styleId="357">
    <w:name w:val="正文（缩进2汉字） Char"/>
    <w:link w:val="358"/>
    <w:autoRedefine/>
    <w:qFormat/>
    <w:uiPriority w:val="0"/>
    <w:rPr>
      <w:rFonts w:ascii="宋体"/>
    </w:rPr>
  </w:style>
  <w:style w:type="paragraph" w:customStyle="1" w:styleId="358">
    <w:name w:val="正文（缩进2汉字）"/>
    <w:basedOn w:val="1"/>
    <w:link w:val="35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10"/>
    <w:autoRedefine/>
    <w:qFormat/>
    <w:uiPriority w:val="0"/>
    <w:rPr>
      <w:rFonts w:ascii="Arial" w:hAnsi="Arial" w:eastAsia="黑体"/>
      <w:kern w:val="2"/>
      <w:sz w:val="24"/>
      <w:szCs w:val="24"/>
    </w:rPr>
  </w:style>
  <w:style w:type="character" w:customStyle="1" w:styleId="360">
    <w:name w:val="标书表格字体格式 Char"/>
    <w:autoRedefine/>
    <w:qFormat/>
    <w:uiPriority w:val="0"/>
    <w:rPr>
      <w:kern w:val="2"/>
      <w:sz w:val="21"/>
      <w:szCs w:val="24"/>
      <w:lang w:bidi="ar-SA"/>
    </w:rPr>
  </w:style>
  <w:style w:type="character" w:customStyle="1" w:styleId="361">
    <w:name w:val="tw4winError"/>
    <w:autoRedefine/>
    <w:qFormat/>
    <w:uiPriority w:val="0"/>
    <w:rPr>
      <w:rFonts w:ascii="Courier New" w:hAnsi="Courier New" w:cs="Courier New"/>
      <w:color w:val="00FF00"/>
      <w:sz w:val="40"/>
      <w:szCs w:val="40"/>
    </w:rPr>
  </w:style>
  <w:style w:type="character" w:customStyle="1" w:styleId="362">
    <w:name w:val="Body Text(ch) Char Char"/>
    <w:autoRedefine/>
    <w:qFormat/>
    <w:uiPriority w:val="0"/>
    <w:rPr>
      <w:rFonts w:ascii="宋体"/>
      <w:kern w:val="2"/>
      <w:sz w:val="24"/>
      <w:szCs w:val="21"/>
      <w:lang w:val="zh-CN"/>
    </w:rPr>
  </w:style>
  <w:style w:type="character" w:customStyle="1" w:styleId="363">
    <w:name w:val="正文首行缩进两字 Char"/>
    <w:autoRedefine/>
    <w:qFormat/>
    <w:uiPriority w:val="0"/>
    <w:rPr>
      <w:sz w:val="24"/>
      <w:szCs w:val="24"/>
      <w:lang w:val="en-US" w:eastAsia="zh-CN" w:bidi="ar-SA"/>
    </w:rPr>
  </w:style>
  <w:style w:type="character" w:customStyle="1" w:styleId="364">
    <w:name w:val="正文文本 Char"/>
    <w:autoRedefine/>
    <w:qFormat/>
    <w:uiPriority w:val="0"/>
    <w:rPr>
      <w:rFonts w:eastAsia="宋体"/>
      <w:kern w:val="2"/>
      <w:sz w:val="24"/>
      <w:szCs w:val="24"/>
      <w:lang w:val="en-US" w:eastAsia="zh-CN" w:bidi="ar-SA"/>
    </w:rPr>
  </w:style>
  <w:style w:type="character" w:customStyle="1" w:styleId="365">
    <w:name w:val="文档结构图 字符1"/>
    <w:autoRedefine/>
    <w:qFormat/>
    <w:uiPriority w:val="0"/>
    <w:rPr>
      <w:rFonts w:ascii="宋体" w:hAnsi="Calibri" w:eastAsia="黑体" w:cs="Arial"/>
      <w:snapToGrid w:val="0"/>
      <w:kern w:val="2"/>
      <w:sz w:val="18"/>
      <w:szCs w:val="18"/>
    </w:rPr>
  </w:style>
  <w:style w:type="character" w:customStyle="1" w:styleId="366">
    <w:name w:val="content"/>
    <w:autoRedefine/>
    <w:qFormat/>
    <w:uiPriority w:val="0"/>
  </w:style>
  <w:style w:type="character" w:customStyle="1" w:styleId="367">
    <w:name w:val="tw4winPopup"/>
    <w:autoRedefine/>
    <w:qFormat/>
    <w:uiPriority w:val="0"/>
    <w:rPr>
      <w:rFonts w:ascii="Courier New" w:hAnsi="Courier New" w:cs="Courier New"/>
      <w:color w:val="008000"/>
      <w:lang w:val="en-US" w:eastAsia="zh-CN"/>
    </w:rPr>
  </w:style>
  <w:style w:type="character" w:customStyle="1" w:styleId="368">
    <w:name w:val="param-name"/>
    <w:autoRedefine/>
    <w:qFormat/>
    <w:uiPriority w:val="99"/>
    <w:rPr>
      <w:rFonts w:ascii="Arial" w:hAnsi="Arial" w:eastAsia="黑体" w:cs="Arial"/>
      <w:snapToGrid w:val="0"/>
      <w:kern w:val="0"/>
      <w:szCs w:val="21"/>
    </w:rPr>
  </w:style>
  <w:style w:type="character" w:customStyle="1" w:styleId="369">
    <w:name w:val="标准正文格式 Char"/>
    <w:autoRedefine/>
    <w:qFormat/>
    <w:uiPriority w:val="0"/>
    <w:rPr>
      <w:rFonts w:ascii="宋体" w:eastAsia="仿宋_GB2312" w:cs="宋体"/>
      <w:color w:val="000000"/>
      <w:sz w:val="24"/>
      <w:lang w:val="en-US" w:eastAsia="zh-CN" w:bidi="ar-SA"/>
    </w:rPr>
  </w:style>
  <w:style w:type="character" w:customStyle="1" w:styleId="370">
    <w:name w:val="Char Char212"/>
    <w:autoRedefine/>
    <w:qFormat/>
    <w:uiPriority w:val="0"/>
    <w:rPr>
      <w:rFonts w:eastAsia="宋体"/>
      <w:b/>
      <w:bCs/>
      <w:kern w:val="2"/>
      <w:sz w:val="21"/>
      <w:szCs w:val="24"/>
      <w:lang w:val="en-US" w:eastAsia="zh-CN" w:bidi="ar-SA"/>
    </w:rPr>
  </w:style>
  <w:style w:type="character" w:customStyle="1" w:styleId="371">
    <w:name w:val="文档结构图 Char"/>
    <w:autoRedefine/>
    <w:qFormat/>
    <w:uiPriority w:val="0"/>
    <w:rPr>
      <w:rFonts w:eastAsia="宋体"/>
      <w:kern w:val="2"/>
      <w:sz w:val="21"/>
      <w:szCs w:val="24"/>
      <w:lang w:val="en-US" w:eastAsia="zh-CN" w:bidi="ar-SA"/>
    </w:rPr>
  </w:style>
  <w:style w:type="character" w:customStyle="1" w:styleId="372">
    <w:name w:val="zbggmain style9"/>
    <w:autoRedefine/>
    <w:qFormat/>
    <w:uiPriority w:val="0"/>
  </w:style>
  <w:style w:type="character" w:customStyle="1" w:styleId="373">
    <w:name w:val="Char Char16"/>
    <w:autoRedefine/>
    <w:qFormat/>
    <w:uiPriority w:val="6"/>
    <w:rPr>
      <w:kern w:val="1"/>
      <w:sz w:val="18"/>
      <w:szCs w:val="18"/>
    </w:rPr>
  </w:style>
  <w:style w:type="character" w:customStyle="1" w:styleId="374">
    <w:name w:val="font51"/>
    <w:autoRedefine/>
    <w:qFormat/>
    <w:uiPriority w:val="0"/>
    <w:rPr>
      <w:rFonts w:hint="eastAsia" w:ascii="仿宋" w:hAnsi="仿宋" w:eastAsia="仿宋" w:cs="仿宋"/>
      <w:color w:val="000000"/>
      <w:sz w:val="20"/>
      <w:szCs w:val="20"/>
      <w:u w:val="none"/>
    </w:rPr>
  </w:style>
  <w:style w:type="character" w:customStyle="1" w:styleId="375">
    <w:name w:val="Char Char82"/>
    <w:autoRedefine/>
    <w:qFormat/>
    <w:uiPriority w:val="0"/>
    <w:rPr>
      <w:rFonts w:eastAsia="宋体"/>
      <w:b/>
      <w:sz w:val="24"/>
      <w:lang w:val="en-GB" w:eastAsia="zh-CN"/>
    </w:rPr>
  </w:style>
  <w:style w:type="character" w:customStyle="1" w:styleId="376">
    <w:name w:val="正文文本缩进 3 字符"/>
    <w:link w:val="55"/>
    <w:autoRedefine/>
    <w:qFormat/>
    <w:uiPriority w:val="0"/>
    <w:rPr>
      <w:kern w:val="2"/>
      <w:sz w:val="24"/>
    </w:rPr>
  </w:style>
  <w:style w:type="character" w:customStyle="1" w:styleId="377">
    <w:name w:val="日期 Char1"/>
    <w:autoRedefine/>
    <w:semiHidden/>
    <w:qFormat/>
    <w:uiPriority w:val="99"/>
    <w:rPr>
      <w:rFonts w:ascii="Times New Roman" w:hAnsi="Times New Roman" w:eastAsia="宋体" w:cs="Times New Roman"/>
      <w:szCs w:val="24"/>
    </w:rPr>
  </w:style>
  <w:style w:type="character" w:customStyle="1" w:styleId="378">
    <w:name w:val="页眉 字符"/>
    <w:autoRedefine/>
    <w:qFormat/>
    <w:uiPriority w:val="99"/>
    <w:rPr>
      <w:kern w:val="2"/>
      <w:sz w:val="18"/>
      <w:szCs w:val="18"/>
    </w:rPr>
  </w:style>
  <w:style w:type="character" w:customStyle="1" w:styleId="379">
    <w:name w:val="Char Char33"/>
    <w:autoRedefine/>
    <w:qFormat/>
    <w:uiPriority w:val="6"/>
    <w:rPr>
      <w:rFonts w:ascii="Arial" w:hAnsi="Arial" w:eastAsia="黑体"/>
      <w:b/>
      <w:kern w:val="1"/>
      <w:sz w:val="24"/>
      <w:szCs w:val="24"/>
    </w:rPr>
  </w:style>
  <w:style w:type="character" w:customStyle="1" w:styleId="380">
    <w:name w:val="b11_01b Char"/>
    <w:link w:val="381"/>
    <w:autoRedefine/>
    <w:qFormat/>
    <w:uiPriority w:val="0"/>
    <w:rPr>
      <w:rFonts w:ascii="Verdana" w:hAnsi="Verdana"/>
      <w:b/>
      <w:bCs/>
      <w:color w:val="4A82CA"/>
      <w:sz w:val="17"/>
      <w:szCs w:val="17"/>
    </w:rPr>
  </w:style>
  <w:style w:type="paragraph" w:customStyle="1" w:styleId="381">
    <w:name w:val="b11_01b"/>
    <w:basedOn w:val="1"/>
    <w:next w:val="1"/>
    <w:link w:val="38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autoRedefine/>
    <w:qFormat/>
    <w:uiPriority w:val="6"/>
    <w:rPr>
      <w:rFonts w:ascii="仿宋_GB2312" w:eastAsia="仿宋_GB2312"/>
      <w:b/>
      <w:bCs/>
      <w:kern w:val="2"/>
      <w:sz w:val="24"/>
      <w:szCs w:val="24"/>
      <w:lang w:val="zh-CN" w:eastAsia="zh-CN" w:bidi="ar-SA"/>
    </w:rPr>
  </w:style>
  <w:style w:type="character" w:customStyle="1" w:styleId="383">
    <w:name w:val="Footer-Even Char"/>
    <w:autoRedefine/>
    <w:qFormat/>
    <w:uiPriority w:val="0"/>
    <w:rPr>
      <w:rFonts w:eastAsia="宋体"/>
      <w:kern w:val="2"/>
      <w:sz w:val="18"/>
      <w:lang w:val="en-US" w:eastAsia="zh-CN" w:bidi="ar-SA"/>
    </w:rPr>
  </w:style>
  <w:style w:type="character" w:customStyle="1" w:styleId="384">
    <w:name w:val="页脚 字符2"/>
    <w:link w:val="43"/>
    <w:autoRedefine/>
    <w:qFormat/>
    <w:locked/>
    <w:uiPriority w:val="99"/>
    <w:rPr>
      <w:kern w:val="2"/>
      <w:sz w:val="18"/>
      <w:szCs w:val="18"/>
    </w:rPr>
  </w:style>
  <w:style w:type="character" w:customStyle="1" w:styleId="385">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6">
    <w:name w:val="Char Char61"/>
    <w:autoRedefine/>
    <w:qFormat/>
    <w:uiPriority w:val="6"/>
    <w:rPr>
      <w:rFonts w:eastAsia="宋体"/>
      <w:kern w:val="2"/>
      <w:sz w:val="21"/>
      <w:szCs w:val="24"/>
      <w:lang w:val="en-US" w:eastAsia="zh-CN" w:bidi="ar-SA"/>
    </w:rPr>
  </w:style>
  <w:style w:type="character" w:customStyle="1" w:styleId="387">
    <w:name w:val="正文文字缩进 2 Char Char"/>
    <w:autoRedefine/>
    <w:qFormat/>
    <w:uiPriority w:val="0"/>
    <w:rPr>
      <w:rFonts w:ascii="宋体"/>
      <w:sz w:val="28"/>
    </w:rPr>
  </w:style>
  <w:style w:type="character" w:customStyle="1" w:styleId="388">
    <w:name w:val="f141"/>
    <w:autoRedefine/>
    <w:qFormat/>
    <w:uiPriority w:val="0"/>
    <w:rPr>
      <w:rFonts w:ascii="Tahoma" w:hAnsi="Tahoma" w:eastAsia="宋体"/>
      <w:b/>
      <w:kern w:val="2"/>
      <w:sz w:val="21"/>
      <w:szCs w:val="21"/>
      <w:lang w:val="en-US" w:eastAsia="zh-CN" w:bidi="ar-SA"/>
    </w:rPr>
  </w:style>
  <w:style w:type="character" w:customStyle="1" w:styleId="389">
    <w:name w:val="段落 Char Char"/>
    <w:link w:val="390"/>
    <w:autoRedefine/>
    <w:qFormat/>
    <w:uiPriority w:val="0"/>
    <w:rPr>
      <w:rFonts w:ascii="宋体" w:hAnsi="宋体"/>
      <w:sz w:val="24"/>
    </w:rPr>
  </w:style>
  <w:style w:type="paragraph" w:customStyle="1" w:styleId="390">
    <w:name w:val="段落"/>
    <w:basedOn w:val="1"/>
    <w:link w:val="389"/>
    <w:autoRedefine/>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autoRedefine/>
    <w:qFormat/>
    <w:uiPriority w:val="0"/>
    <w:rPr>
      <w:rFonts w:eastAsia="宋体"/>
      <w:b/>
      <w:bCs/>
      <w:kern w:val="2"/>
      <w:sz w:val="32"/>
      <w:szCs w:val="32"/>
      <w:lang w:val="en-US" w:eastAsia="zh-CN" w:bidi="ar-SA"/>
    </w:rPr>
  </w:style>
  <w:style w:type="character" w:customStyle="1" w:styleId="392">
    <w:name w:val="apple-converted-space"/>
    <w:autoRedefine/>
    <w:qFormat/>
    <w:uiPriority w:val="0"/>
  </w:style>
  <w:style w:type="character" w:customStyle="1" w:styleId="393">
    <w:name w:val="页眉 字符2"/>
    <w:link w:val="44"/>
    <w:autoRedefine/>
    <w:qFormat/>
    <w:uiPriority w:val="99"/>
    <w:rPr>
      <w:kern w:val="2"/>
      <w:sz w:val="18"/>
      <w:szCs w:val="18"/>
    </w:rPr>
  </w:style>
  <w:style w:type="character" w:customStyle="1" w:styleId="394">
    <w:name w:val="Char Char9"/>
    <w:autoRedefine/>
    <w:qFormat/>
    <w:uiPriority w:val="0"/>
    <w:rPr>
      <w:rFonts w:eastAsia="宋体"/>
      <w:kern w:val="2"/>
      <w:sz w:val="18"/>
      <w:szCs w:val="18"/>
      <w:lang w:val="en-US" w:eastAsia="zh-CN" w:bidi="ar-SA"/>
    </w:rPr>
  </w:style>
  <w:style w:type="character" w:customStyle="1" w:styleId="395">
    <w:name w:val="Char Char41"/>
    <w:autoRedefine/>
    <w:qFormat/>
    <w:uiPriority w:val="0"/>
    <w:rPr>
      <w:rFonts w:eastAsia="宋体"/>
      <w:b/>
      <w:sz w:val="24"/>
      <w:lang w:val="en-GB" w:eastAsia="zh-CN" w:bidi="ar-SA"/>
    </w:rPr>
  </w:style>
  <w:style w:type="character" w:customStyle="1" w:styleId="396">
    <w:name w:val="large1"/>
    <w:autoRedefine/>
    <w:qFormat/>
    <w:uiPriority w:val="0"/>
    <w:rPr>
      <w:rFonts w:hint="eastAsia" w:ascii="宋体" w:hAnsi="宋体" w:eastAsia="宋体"/>
      <w:sz w:val="21"/>
      <w:szCs w:val="21"/>
    </w:rPr>
  </w:style>
  <w:style w:type="character" w:customStyle="1" w:styleId="397">
    <w:name w:val="正文段 Char"/>
    <w:link w:val="398"/>
    <w:autoRedefine/>
    <w:qFormat/>
    <w:uiPriority w:val="0"/>
    <w:rPr>
      <w:sz w:val="24"/>
    </w:rPr>
  </w:style>
  <w:style w:type="paragraph" w:customStyle="1" w:styleId="398">
    <w:name w:val="正文段"/>
    <w:basedOn w:val="1"/>
    <w:link w:val="397"/>
    <w:autoRedefine/>
    <w:qFormat/>
    <w:uiPriority w:val="0"/>
    <w:pPr>
      <w:widowControl/>
      <w:snapToGrid w:val="0"/>
      <w:spacing w:after="156" w:afterLines="50"/>
      <w:ind w:firstLine="200" w:firstLineChars="200"/>
    </w:pPr>
    <w:rPr>
      <w:kern w:val="0"/>
      <w:sz w:val="24"/>
      <w:szCs w:val="20"/>
    </w:rPr>
  </w:style>
  <w:style w:type="character" w:customStyle="1" w:styleId="399">
    <w:name w:val="Char Char13"/>
    <w:autoRedefine/>
    <w:qFormat/>
    <w:uiPriority w:val="6"/>
    <w:rPr>
      <w:rFonts w:ascii="宋体" w:hAnsi="宋体"/>
      <w:kern w:val="1"/>
      <w:sz w:val="21"/>
      <w:szCs w:val="24"/>
    </w:rPr>
  </w:style>
  <w:style w:type="character" w:customStyle="1" w:styleId="400">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autoRedefine/>
    <w:qFormat/>
    <w:uiPriority w:val="0"/>
    <w:rPr>
      <w:rFonts w:ascii="宋体" w:hAnsi="宋体"/>
      <w:kern w:val="2"/>
      <w:sz w:val="24"/>
      <w:szCs w:val="22"/>
    </w:rPr>
  </w:style>
  <w:style w:type="paragraph" w:customStyle="1" w:styleId="402">
    <w:name w:val="冯广丽"/>
    <w:basedOn w:val="1"/>
    <w:link w:val="401"/>
    <w:autoRedefine/>
    <w:qFormat/>
    <w:uiPriority w:val="0"/>
    <w:pPr>
      <w:adjustRightInd/>
      <w:spacing w:line="360" w:lineRule="auto"/>
      <w:ind w:firstLine="480" w:firstLineChars="200"/>
    </w:pPr>
    <w:rPr>
      <w:rFonts w:ascii="宋体" w:hAnsi="宋体"/>
      <w:sz w:val="24"/>
      <w:szCs w:val="22"/>
    </w:rPr>
  </w:style>
  <w:style w:type="character" w:customStyle="1" w:styleId="403">
    <w:name w:val="批注文字 字符"/>
    <w:autoRedefine/>
    <w:qFormat/>
    <w:uiPriority w:val="0"/>
    <w:rPr>
      <w:rFonts w:ascii="Arial" w:hAnsi="Arial" w:eastAsia="黑体" w:cs="Arial"/>
      <w:snapToGrid w:val="0"/>
      <w:kern w:val="0"/>
      <w:szCs w:val="21"/>
    </w:rPr>
  </w:style>
  <w:style w:type="character" w:customStyle="1" w:styleId="404">
    <w:name w:val="Char Char161"/>
    <w:autoRedefine/>
    <w:qFormat/>
    <w:uiPriority w:val="0"/>
    <w:rPr>
      <w:rFonts w:eastAsia="宋体"/>
      <w:b/>
      <w:kern w:val="2"/>
      <w:sz w:val="32"/>
      <w:lang w:val="en-US" w:eastAsia="zh-CN"/>
    </w:rPr>
  </w:style>
  <w:style w:type="character" w:customStyle="1" w:styleId="405">
    <w:name w:val="javascript"/>
    <w:autoRedefine/>
    <w:qFormat/>
    <w:uiPriority w:val="0"/>
  </w:style>
  <w:style w:type="character" w:customStyle="1" w:styleId="406">
    <w:name w:val="图名 Char"/>
    <w:autoRedefine/>
    <w:qFormat/>
    <w:uiPriority w:val="0"/>
    <w:rPr>
      <w:rFonts w:ascii="Arial" w:hAnsi="Arial" w:eastAsia="黑体"/>
      <w:kern w:val="2"/>
      <w:sz w:val="24"/>
      <w:szCs w:val="24"/>
      <w:lang w:val="en-US" w:eastAsia="zh-CN" w:bidi="ar-SA"/>
    </w:rPr>
  </w:style>
  <w:style w:type="character" w:customStyle="1" w:styleId="407">
    <w:name w:val="Used by Word for text of Help footnotes Char Char"/>
    <w:autoRedefine/>
    <w:qFormat/>
    <w:uiPriority w:val="0"/>
    <w:rPr>
      <w:rFonts w:ascii="Times New Roman" w:hAnsi="Times New Roman" w:eastAsia="宋体" w:cs="Times New Roman"/>
      <w:sz w:val="20"/>
      <w:szCs w:val="20"/>
    </w:rPr>
  </w:style>
  <w:style w:type="character" w:customStyle="1" w:styleId="408">
    <w:name w:val="编号，小四 Char"/>
    <w:link w:val="409"/>
    <w:autoRedefine/>
    <w:qFormat/>
    <w:uiPriority w:val="0"/>
    <w:rPr>
      <w:rFonts w:ascii="Arial" w:hAnsi="Arial"/>
      <w:sz w:val="24"/>
    </w:rPr>
  </w:style>
  <w:style w:type="paragraph" w:customStyle="1" w:styleId="409">
    <w:name w:val="编号，小四"/>
    <w:basedOn w:val="1"/>
    <w:link w:val="408"/>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autoRedefine/>
    <w:qFormat/>
    <w:uiPriority w:val="99"/>
    <w:rPr>
      <w:rFonts w:ascii="宋体" w:eastAsia="宋体" w:cs="宋体"/>
      <w:color w:val="000000"/>
      <w:sz w:val="14"/>
      <w:szCs w:val="14"/>
    </w:rPr>
  </w:style>
  <w:style w:type="character" w:customStyle="1" w:styleId="411">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2">
    <w:name w:val="未用 Char"/>
    <w:autoRedefine/>
    <w:qFormat/>
    <w:uiPriority w:val="0"/>
    <w:rPr>
      <w:rFonts w:ascii="Arial" w:hAnsi="Arial" w:eastAsia="黑体"/>
      <w:kern w:val="2"/>
      <w:sz w:val="21"/>
      <w:szCs w:val="21"/>
      <w:lang w:val="en-US" w:eastAsia="zh-CN" w:bidi="ar-SA"/>
    </w:rPr>
  </w:style>
  <w:style w:type="character" w:customStyle="1" w:styleId="413">
    <w:name w:val="myp1111"/>
    <w:autoRedefine/>
    <w:qFormat/>
    <w:uiPriority w:val="0"/>
    <w:rPr>
      <w:rFonts w:hint="default" w:ascii="ˎ̥" w:hAnsi="ˎ̥"/>
      <w:color w:val="000000"/>
      <w:sz w:val="20"/>
      <w:szCs w:val="20"/>
      <w:u w:val="none"/>
    </w:rPr>
  </w:style>
  <w:style w:type="character" w:customStyle="1" w:styleId="414">
    <w:name w:val="样式 标题 4h4H4Fab-4T5Ref Heading 1rh1Heading sqlsect 1.2.3.... Char"/>
    <w:link w:val="306"/>
    <w:autoRedefine/>
    <w:qFormat/>
    <w:uiPriority w:val="0"/>
    <w:rPr>
      <w:rFonts w:ascii="微软雅黑" w:hAnsi="微软雅黑" w:eastAsia="微软雅黑"/>
      <w:b/>
      <w:bCs/>
      <w:kern w:val="2"/>
      <w:sz w:val="24"/>
      <w:szCs w:val="28"/>
    </w:rPr>
  </w:style>
  <w:style w:type="character" w:customStyle="1" w:styleId="415">
    <w:name w:val="h Char Char"/>
    <w:autoRedefine/>
    <w:qFormat/>
    <w:uiPriority w:val="0"/>
    <w:rPr>
      <w:rFonts w:eastAsia="宋体"/>
      <w:kern w:val="2"/>
      <w:sz w:val="18"/>
      <w:lang w:val="en-US" w:eastAsia="zh-CN" w:bidi="ar-SA"/>
    </w:rPr>
  </w:style>
  <w:style w:type="character" w:customStyle="1" w:styleId="416">
    <w:name w:val="仿宋正文 Char"/>
    <w:link w:val="417"/>
    <w:autoRedefine/>
    <w:qFormat/>
    <w:uiPriority w:val="0"/>
    <w:rPr>
      <w:rFonts w:ascii="仿宋_GB2312" w:eastAsia="仿宋_GB2312"/>
      <w:kern w:val="2"/>
      <w:sz w:val="24"/>
      <w:lang w:val="en-US" w:eastAsia="zh-CN" w:bidi="ar-SA"/>
    </w:rPr>
  </w:style>
  <w:style w:type="paragraph" w:customStyle="1" w:styleId="417">
    <w:name w:val="仿宋正文"/>
    <w:basedOn w:val="1"/>
    <w:link w:val="416"/>
    <w:autoRedefine/>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autoRedefine/>
    <w:qFormat/>
    <w:uiPriority w:val="0"/>
    <w:rPr>
      <w:rFonts w:ascii="宋体" w:eastAsia="宋体"/>
      <w:kern w:val="2"/>
      <w:sz w:val="24"/>
      <w:lang w:val="zh-CN" w:bidi="ar-SA"/>
    </w:rPr>
  </w:style>
  <w:style w:type="character" w:customStyle="1" w:styleId="419">
    <w:name w:val="样式 宋体"/>
    <w:autoRedefine/>
    <w:qFormat/>
    <w:uiPriority w:val="0"/>
    <w:rPr>
      <w:rFonts w:ascii="宋体" w:hAnsi="宋体"/>
      <w:sz w:val="24"/>
    </w:rPr>
  </w:style>
  <w:style w:type="character" w:customStyle="1" w:styleId="420">
    <w:name w:val="tw4winJump"/>
    <w:autoRedefine/>
    <w:qFormat/>
    <w:uiPriority w:val="0"/>
    <w:rPr>
      <w:rFonts w:ascii="Courier New" w:hAnsi="Courier New" w:cs="Courier New"/>
      <w:color w:val="008080"/>
      <w:lang w:val="en-US" w:eastAsia="zh-CN"/>
    </w:rPr>
  </w:style>
  <w:style w:type="character" w:customStyle="1" w:styleId="421">
    <w:name w:val="标题 1 字符"/>
    <w:autoRedefine/>
    <w:qFormat/>
    <w:uiPriority w:val="9"/>
    <w:rPr>
      <w:rFonts w:ascii="Arial" w:hAnsi="Arial" w:eastAsia="黑体" w:cs="Arial"/>
      <w:b/>
      <w:bCs/>
      <w:snapToGrid w:val="0"/>
      <w:kern w:val="44"/>
      <w:sz w:val="44"/>
      <w:szCs w:val="44"/>
    </w:rPr>
  </w:style>
  <w:style w:type="character" w:customStyle="1" w:styleId="422">
    <w:name w:val="style36"/>
    <w:basedOn w:val="70"/>
    <w:autoRedefine/>
    <w:qFormat/>
    <w:uiPriority w:val="0"/>
    <w:rPr>
      <w:rFonts w:ascii="Arial" w:hAnsi="Arial" w:eastAsia="黑体" w:cs="Arial"/>
      <w:snapToGrid w:val="0"/>
      <w:kern w:val="0"/>
      <w:szCs w:val="21"/>
    </w:rPr>
  </w:style>
  <w:style w:type="character" w:customStyle="1" w:styleId="423">
    <w:name w:val="pt9"/>
    <w:autoRedefine/>
    <w:qFormat/>
    <w:uiPriority w:val="0"/>
    <w:rPr>
      <w:rFonts w:ascii="仿宋_GB2312" w:eastAsia="微软雅黑"/>
      <w:b/>
      <w:kern w:val="2"/>
      <w:sz w:val="32"/>
      <w:szCs w:val="32"/>
      <w:lang w:val="en-US" w:eastAsia="zh-CN" w:bidi="ar-SA"/>
    </w:rPr>
  </w:style>
  <w:style w:type="character" w:customStyle="1" w:styleId="424">
    <w:name w:val="DO_NOT_TRANSLATE"/>
    <w:autoRedefine/>
    <w:qFormat/>
    <w:uiPriority w:val="0"/>
    <w:rPr>
      <w:rFonts w:ascii="Courier New" w:hAnsi="Courier New" w:cs="Courier New"/>
      <w:color w:val="800000"/>
      <w:lang w:val="en-US" w:eastAsia="zh-CN"/>
    </w:rPr>
  </w:style>
  <w:style w:type="character" w:customStyle="1" w:styleId="425">
    <w:name w:val="标书1 Char1"/>
    <w:autoRedefine/>
    <w:qFormat/>
    <w:uiPriority w:val="0"/>
    <w:rPr>
      <w:rFonts w:eastAsia="宋体"/>
      <w:b/>
      <w:bCs/>
      <w:kern w:val="44"/>
      <w:sz w:val="44"/>
      <w:szCs w:val="44"/>
      <w:lang w:val="en-US" w:eastAsia="zh-CN" w:bidi="ar-SA"/>
    </w:rPr>
  </w:style>
  <w:style w:type="character" w:customStyle="1" w:styleId="426">
    <w:name w:val="页脚 字符"/>
    <w:autoRedefine/>
    <w:qFormat/>
    <w:uiPriority w:val="99"/>
    <w:rPr>
      <w:kern w:val="2"/>
      <w:sz w:val="18"/>
      <w:szCs w:val="18"/>
    </w:rPr>
  </w:style>
  <w:style w:type="character" w:customStyle="1" w:styleId="427">
    <w:name w:val="正文2 Char"/>
    <w:autoRedefine/>
    <w:qFormat/>
    <w:uiPriority w:val="0"/>
    <w:rPr>
      <w:rFonts w:eastAsia="宋体"/>
      <w:kern w:val="2"/>
      <w:sz w:val="24"/>
      <w:lang w:val="en-US" w:eastAsia="zh-CN" w:bidi="ar-SA"/>
    </w:rPr>
  </w:style>
  <w:style w:type="character" w:customStyle="1" w:styleId="428">
    <w:name w:val="Char Char21"/>
    <w:autoRedefine/>
    <w:qFormat/>
    <w:uiPriority w:val="6"/>
    <w:rPr>
      <w:rFonts w:ascii="宋体" w:hAnsi="宋体"/>
      <w:kern w:val="1"/>
      <w:sz w:val="24"/>
      <w:szCs w:val="21"/>
      <w:lang w:val="zh-CN"/>
    </w:rPr>
  </w:style>
  <w:style w:type="character" w:customStyle="1" w:styleId="429">
    <w:name w:val="样式 正文缩进 + 首行缩进:  2 字符 Char Char"/>
    <w:link w:val="430"/>
    <w:autoRedefine/>
    <w:qFormat/>
    <w:uiPriority w:val="0"/>
    <w:rPr>
      <w:rFonts w:cs="宋体"/>
      <w:kern w:val="2"/>
      <w:sz w:val="24"/>
    </w:rPr>
  </w:style>
  <w:style w:type="paragraph" w:customStyle="1" w:styleId="430">
    <w:name w:val="样式 正文缩进 + 首行缩进:  2 字符"/>
    <w:basedOn w:val="16"/>
    <w:link w:val="429"/>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24"/>
    <w:autoRedefine/>
    <w:qFormat/>
    <w:uiPriority w:val="0"/>
    <w:rPr>
      <w:rFonts w:ascii="宋体" w:hAnsi="Arial" w:eastAsia="宋体" w:cs="Arial"/>
      <w:snapToGrid w:val="0"/>
      <w:kern w:val="2"/>
      <w:sz w:val="24"/>
      <w:szCs w:val="21"/>
      <w:lang w:val="zh-CN" w:eastAsia="zh-CN" w:bidi="ar-SA"/>
    </w:rPr>
  </w:style>
  <w:style w:type="character" w:customStyle="1" w:styleId="432">
    <w:name w:val="gray6"/>
    <w:basedOn w:val="70"/>
    <w:autoRedefine/>
    <w:qFormat/>
    <w:uiPriority w:val="0"/>
    <w:rPr>
      <w:rFonts w:ascii="Arial" w:hAnsi="Arial" w:eastAsia="黑体" w:cs="Arial"/>
      <w:snapToGrid w:val="0"/>
      <w:kern w:val="0"/>
      <w:szCs w:val="21"/>
    </w:rPr>
  </w:style>
  <w:style w:type="character" w:customStyle="1" w:styleId="433">
    <w:name w:val="hui"/>
    <w:basedOn w:val="70"/>
    <w:autoRedefine/>
    <w:qFormat/>
    <w:uiPriority w:val="0"/>
    <w:rPr>
      <w:rFonts w:ascii="Arial" w:hAnsi="Arial" w:eastAsia="黑体" w:cs="Arial"/>
      <w:snapToGrid w:val="0"/>
      <w:kern w:val="0"/>
      <w:szCs w:val="21"/>
    </w:rPr>
  </w:style>
  <w:style w:type="character" w:customStyle="1" w:styleId="434">
    <w:name w:val="哈哈正文 Char Char"/>
    <w:autoRedefine/>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7"/>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autoRedefine/>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autoRedefine/>
    <w:qFormat/>
    <w:uiPriority w:val="0"/>
    <w:pPr>
      <w:spacing w:before="120" w:line="360" w:lineRule="auto"/>
      <w:ind w:firstLine="567"/>
    </w:pPr>
    <w:rPr>
      <w:rFonts w:ascii="Arial" w:hAnsi="Arial"/>
      <w:sz w:val="20"/>
      <w:szCs w:val="20"/>
    </w:rPr>
  </w:style>
  <w:style w:type="paragraph" w:customStyle="1" w:styleId="44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autoRedefine/>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autoRedefine/>
    <w:qFormat/>
    <w:uiPriority w:val="0"/>
    <w:pPr>
      <w:adjustRightInd/>
      <w:ind w:firstLine="200" w:firstLineChars="200"/>
    </w:pPr>
    <w:rPr>
      <w:rFonts w:ascii="Tahoma" w:hAnsi="Tahoma"/>
      <w:sz w:val="24"/>
      <w:szCs w:val="20"/>
    </w:rPr>
  </w:style>
  <w:style w:type="paragraph" w:customStyle="1" w:styleId="454">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autoRedefine/>
    <w:qFormat/>
    <w:uiPriority w:val="0"/>
    <w:pPr>
      <w:tabs>
        <w:tab w:val="left" w:pos="360"/>
      </w:tabs>
    </w:pPr>
    <w:rPr>
      <w:sz w:val="24"/>
      <w:szCs w:val="20"/>
    </w:rPr>
  </w:style>
  <w:style w:type="paragraph" w:customStyle="1" w:styleId="457">
    <w:name w:val="Char Char11 Char Char Char"/>
    <w:basedOn w:val="1"/>
    <w:autoRedefine/>
    <w:qFormat/>
    <w:uiPriority w:val="0"/>
    <w:pPr>
      <w:spacing w:line="360" w:lineRule="auto"/>
    </w:pPr>
    <w:rPr>
      <w:szCs w:val="20"/>
    </w:rPr>
  </w:style>
  <w:style w:type="paragraph" w:customStyle="1" w:styleId="458">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autoRedefine/>
    <w:qFormat/>
    <w:uiPriority w:val="0"/>
    <w:pPr>
      <w:tabs>
        <w:tab w:val="left" w:pos="2790"/>
        <w:tab w:val="left" w:pos="4230"/>
      </w:tabs>
      <w:spacing w:before="312" w:beforeLines="100"/>
      <w:jc w:val="left"/>
    </w:pPr>
  </w:style>
  <w:style w:type="paragraph" w:customStyle="1" w:styleId="461">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autoRedefine/>
    <w:qFormat/>
    <w:uiPriority w:val="0"/>
    <w:pPr>
      <w:tabs>
        <w:tab w:val="left" w:pos="840"/>
      </w:tabs>
      <w:ind w:left="840" w:hanging="420"/>
    </w:pPr>
    <w:rPr>
      <w:rFonts w:ascii="Tahoma" w:hAnsi="Tahoma"/>
      <w:sz w:val="24"/>
    </w:rPr>
  </w:style>
  <w:style w:type="paragraph" w:customStyle="1" w:styleId="463">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autoRedefine/>
    <w:qFormat/>
    <w:uiPriority w:val="0"/>
    <w:pPr>
      <w:adjustRightInd/>
      <w:spacing w:before="156" w:line="360" w:lineRule="auto"/>
      <w:ind w:firstLine="510" w:firstLineChars="200"/>
    </w:pPr>
    <w:rPr>
      <w:sz w:val="24"/>
      <w:szCs w:val="20"/>
    </w:rPr>
  </w:style>
  <w:style w:type="paragraph" w:customStyle="1" w:styleId="467">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autoRedefine/>
    <w:qFormat/>
    <w:uiPriority w:val="0"/>
    <w:rPr>
      <w:rFonts w:ascii="仿宋_GB2312" w:eastAsia="仿宋_GB2312"/>
      <w:b/>
      <w:sz w:val="32"/>
      <w:szCs w:val="32"/>
    </w:rPr>
  </w:style>
  <w:style w:type="paragraph" w:customStyle="1" w:styleId="47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2">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3">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autoRedefine/>
    <w:qFormat/>
    <w:uiPriority w:val="0"/>
    <w:pPr>
      <w:keepNext/>
      <w:tabs>
        <w:tab w:val="left" w:pos="360"/>
      </w:tabs>
      <w:spacing w:before="0" w:after="0"/>
      <w:outlineLvl w:val="5"/>
    </w:pPr>
  </w:style>
  <w:style w:type="paragraph" w:customStyle="1" w:styleId="475">
    <w:name w:val="5级标题"/>
    <w:basedOn w:val="476"/>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8">
    <w:name w:val="Char2 Char Char"/>
    <w:basedOn w:val="1"/>
    <w:autoRedefine/>
    <w:qFormat/>
    <w:uiPriority w:val="0"/>
    <w:pPr>
      <w:adjustRightInd/>
    </w:pPr>
    <w:rPr>
      <w:rFonts w:ascii="Tahoma" w:hAnsi="Tahoma"/>
      <w:sz w:val="24"/>
      <w:szCs w:val="20"/>
    </w:rPr>
  </w:style>
  <w:style w:type="paragraph" w:customStyle="1" w:styleId="479">
    <w:name w:val="_Style 11"/>
    <w:basedOn w:val="1"/>
    <w:autoRedefine/>
    <w:qFormat/>
    <w:uiPriority w:val="34"/>
    <w:pPr>
      <w:adjustRightInd/>
      <w:ind w:firstLine="420" w:firstLineChars="200"/>
    </w:pPr>
    <w:rPr>
      <w:rFonts w:eastAsia="仿宋_GB2312"/>
      <w:sz w:val="28"/>
    </w:rPr>
  </w:style>
  <w:style w:type="paragraph" w:customStyle="1" w:styleId="480">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autoRedefine/>
    <w:qFormat/>
    <w:uiPriority w:val="0"/>
    <w:rPr>
      <w:rFonts w:ascii="Tahoma" w:hAnsi="Tahoma"/>
      <w:sz w:val="24"/>
      <w:szCs w:val="20"/>
    </w:rPr>
  </w:style>
  <w:style w:type="paragraph" w:customStyle="1" w:styleId="482">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3">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No Spacing"/>
    <w:basedOn w:val="1"/>
    <w:link w:val="934"/>
    <w:autoRedefine/>
    <w:qFormat/>
    <w:uiPriority w:val="99"/>
    <w:rPr>
      <w:szCs w:val="22"/>
    </w:rPr>
  </w:style>
  <w:style w:type="paragraph" w:customStyle="1" w:styleId="485">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autoRedefine/>
    <w:qFormat/>
    <w:uiPriority w:val="6"/>
    <w:rPr>
      <w:rFonts w:ascii="Tahoma" w:hAnsi="Tahoma" w:cs="仿宋_GB2312"/>
      <w:sz w:val="24"/>
      <w:szCs w:val="20"/>
    </w:rPr>
  </w:style>
  <w:style w:type="paragraph" w:customStyle="1" w:styleId="487">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autoRedefine/>
    <w:qFormat/>
    <w:uiPriority w:val="0"/>
    <w:pPr>
      <w:tabs>
        <w:tab w:val="left" w:pos="1260"/>
      </w:tabs>
      <w:ind w:left="1260" w:hanging="420"/>
    </w:pPr>
    <w:rPr>
      <w:rFonts w:ascii="Arial" w:hAnsi="Arial" w:eastAsia="黑体"/>
      <w:lang w:val="en-US"/>
    </w:rPr>
  </w:style>
  <w:style w:type="paragraph" w:customStyle="1" w:styleId="491">
    <w:name w:val="五级无标题条"/>
    <w:basedOn w:val="1"/>
    <w:autoRedefine/>
    <w:qFormat/>
    <w:uiPriority w:val="0"/>
    <w:pPr>
      <w:adjustRightInd/>
    </w:pPr>
  </w:style>
  <w:style w:type="paragraph" w:customStyle="1" w:styleId="492">
    <w:name w:val="Char5"/>
    <w:basedOn w:val="1"/>
    <w:autoRedefine/>
    <w:qFormat/>
    <w:uiPriority w:val="0"/>
    <w:rPr>
      <w:rFonts w:ascii="仿宋_GB2312" w:eastAsia="仿宋_GB2312"/>
      <w:b/>
      <w:sz w:val="32"/>
      <w:szCs w:val="32"/>
    </w:rPr>
  </w:style>
  <w:style w:type="paragraph" w:customStyle="1" w:styleId="493">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autoRedefine/>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autoRedefine/>
    <w:qFormat/>
    <w:uiPriority w:val="0"/>
    <w:rPr>
      <w:rFonts w:ascii="仿宋_GB2312" w:eastAsia="仿宋_GB2312"/>
      <w:b/>
      <w:sz w:val="32"/>
      <w:szCs w:val="32"/>
    </w:rPr>
  </w:style>
  <w:style w:type="paragraph" w:customStyle="1" w:styleId="497">
    <w:name w:val="数字标题3"/>
    <w:basedOn w:val="5"/>
    <w:next w:val="1"/>
    <w:autoRedefine/>
    <w:qFormat/>
    <w:uiPriority w:val="0"/>
    <w:pPr>
      <w:spacing w:line="240" w:lineRule="auto"/>
    </w:pPr>
    <w:rPr>
      <w:sz w:val="28"/>
      <w:szCs w:val="28"/>
    </w:rPr>
  </w:style>
  <w:style w:type="paragraph" w:customStyle="1" w:styleId="498">
    <w:name w:val="FA正文"/>
    <w:basedOn w:val="1"/>
    <w:autoRedefine/>
    <w:qFormat/>
    <w:uiPriority w:val="0"/>
    <w:pPr>
      <w:spacing w:line="360" w:lineRule="auto"/>
      <w:ind w:firstLine="480" w:firstLineChars="200"/>
    </w:pPr>
    <w:rPr>
      <w:rFonts w:hAnsi="宋体"/>
      <w:sz w:val="24"/>
      <w:szCs w:val="20"/>
    </w:rPr>
  </w:style>
  <w:style w:type="paragraph" w:customStyle="1" w:styleId="499">
    <w:name w:val="MM Topic 5"/>
    <w:basedOn w:val="7"/>
    <w:autoRedefine/>
    <w:qFormat/>
    <w:uiPriority w:val="0"/>
    <w:pPr>
      <w:tabs>
        <w:tab w:val="left" w:pos="2520"/>
      </w:tabs>
      <w:adjustRightInd/>
      <w:ind w:left="2520" w:hanging="420"/>
    </w:pPr>
  </w:style>
  <w:style w:type="paragraph" w:customStyle="1" w:styleId="500">
    <w:name w:val="Char Char Char Char Char Char Char Char Char Char1"/>
    <w:basedOn w:val="1"/>
    <w:autoRedefine/>
    <w:qFormat/>
    <w:uiPriority w:val="0"/>
    <w:rPr>
      <w:rFonts w:ascii="仿宋_GB2312" w:eastAsia="仿宋_GB2312"/>
      <w:b/>
      <w:sz w:val="32"/>
      <w:szCs w:val="32"/>
    </w:rPr>
  </w:style>
  <w:style w:type="paragraph" w:customStyle="1" w:styleId="50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autoRedefine/>
    <w:qFormat/>
    <w:uiPriority w:val="0"/>
    <w:rPr>
      <w:rFonts w:ascii="仿宋_GB2312" w:eastAsia="仿宋_GB2312"/>
      <w:b/>
      <w:sz w:val="32"/>
      <w:szCs w:val="32"/>
    </w:rPr>
  </w:style>
  <w:style w:type="paragraph" w:customStyle="1" w:styleId="504">
    <w:name w:val="Char2 Char Char Char1"/>
    <w:basedOn w:val="1"/>
    <w:autoRedefine/>
    <w:qFormat/>
    <w:uiPriority w:val="6"/>
    <w:rPr>
      <w:rFonts w:ascii="仿宋_GB2312" w:eastAsia="仿宋_GB2312"/>
      <w:b/>
      <w:sz w:val="32"/>
      <w:szCs w:val="32"/>
    </w:rPr>
  </w:style>
  <w:style w:type="paragraph" w:customStyle="1" w:styleId="505">
    <w:name w:val="默认段落样式"/>
    <w:basedOn w:val="133"/>
    <w:autoRedefine/>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5"/>
    <w:autoRedefine/>
    <w:qFormat/>
    <w:uiPriority w:val="0"/>
    <w:pPr>
      <w:tabs>
        <w:tab w:val="left" w:pos="1680"/>
      </w:tabs>
      <w:adjustRightInd/>
      <w:ind w:left="1680" w:hanging="420"/>
    </w:pPr>
  </w:style>
  <w:style w:type="paragraph" w:customStyle="1" w:styleId="509">
    <w:name w:val="标准小四"/>
    <w:basedOn w:val="1"/>
    <w:autoRedefine/>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autoRedefine/>
    <w:qFormat/>
    <w:uiPriority w:val="0"/>
    <w:pPr>
      <w:adjustRightInd/>
      <w:snapToGrid w:val="0"/>
      <w:spacing w:line="300" w:lineRule="auto"/>
    </w:pPr>
    <w:rPr>
      <w:rFonts w:eastAsia="仿宋"/>
      <w:szCs w:val="21"/>
    </w:rPr>
  </w:style>
  <w:style w:type="paragraph" w:customStyle="1" w:styleId="51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autoRedefine/>
    <w:qFormat/>
    <w:uiPriority w:val="6"/>
    <w:pPr>
      <w:adjustRightInd/>
    </w:pPr>
    <w:rPr>
      <w:rFonts w:ascii="Tahoma" w:hAnsi="Tahoma"/>
      <w:sz w:val="24"/>
      <w:szCs w:val="20"/>
    </w:rPr>
  </w:style>
  <w:style w:type="paragraph" w:customStyle="1" w:styleId="514">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6"/>
    <w:autoRedefine/>
    <w:qFormat/>
    <w:uiPriority w:val="0"/>
    <w:pPr>
      <w:adjustRightInd/>
      <w:ind w:firstLine="200" w:firstLineChars="200"/>
    </w:pPr>
    <w:rPr>
      <w:rFonts w:ascii="Arial" w:hAnsi="Arial"/>
      <w:spacing w:val="-5"/>
      <w:kern w:val="0"/>
      <w:sz w:val="24"/>
      <w:szCs w:val="20"/>
    </w:rPr>
  </w:style>
  <w:style w:type="paragraph" w:customStyle="1" w:styleId="517">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1">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autoRedefine/>
    <w:qFormat/>
    <w:uiPriority w:val="0"/>
    <w:pPr>
      <w:adjustRightInd/>
      <w:ind w:firstLine="420" w:firstLineChars="200"/>
    </w:pPr>
    <w:rPr>
      <w:rFonts w:eastAsia="仿宋_GB2312"/>
      <w:sz w:val="28"/>
    </w:rPr>
  </w:style>
  <w:style w:type="paragraph" w:customStyle="1" w:styleId="52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5"/>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autoRedefine/>
    <w:qFormat/>
    <w:uiPriority w:val="0"/>
    <w:pPr>
      <w:adjustRightInd/>
      <w:ind w:firstLine="200" w:firstLineChars="200"/>
      <w:jc w:val="right"/>
    </w:pPr>
  </w:style>
  <w:style w:type="paragraph" w:customStyle="1" w:styleId="526">
    <w:name w:val="Char Char11 Char Char Char Char Char Char Char Char Char"/>
    <w:basedOn w:val="1"/>
    <w:autoRedefine/>
    <w:qFormat/>
    <w:uiPriority w:val="0"/>
    <w:pPr>
      <w:spacing w:line="360" w:lineRule="auto"/>
    </w:pPr>
    <w:rPr>
      <w:szCs w:val="20"/>
    </w:rPr>
  </w:style>
  <w:style w:type="paragraph" w:customStyle="1" w:styleId="527">
    <w:name w:val="正文1.25"/>
    <w:basedOn w:val="1"/>
    <w:autoRedefine/>
    <w:qFormat/>
    <w:uiPriority w:val="0"/>
    <w:pPr>
      <w:adjustRightInd/>
      <w:spacing w:line="300" w:lineRule="auto"/>
      <w:ind w:firstLine="480" w:firstLineChars="200"/>
    </w:pPr>
    <w:rPr>
      <w:sz w:val="24"/>
      <w:szCs w:val="20"/>
    </w:rPr>
  </w:style>
  <w:style w:type="paragraph" w:customStyle="1" w:styleId="528">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autoRedefine/>
    <w:qFormat/>
    <w:uiPriority w:val="6"/>
    <w:rPr>
      <w:rFonts w:ascii="仿宋_GB2312" w:eastAsia="仿宋_GB2312"/>
      <w:b/>
      <w:sz w:val="32"/>
      <w:szCs w:val="20"/>
    </w:rPr>
  </w:style>
  <w:style w:type="paragraph" w:customStyle="1" w:styleId="532">
    <w:name w:val="列出段落2"/>
    <w:basedOn w:val="1"/>
    <w:autoRedefine/>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autoRedefine/>
    <w:qFormat/>
    <w:uiPriority w:val="0"/>
    <w:rPr>
      <w:rFonts w:eastAsia="仿宋_GB2312"/>
      <w:sz w:val="28"/>
      <w:szCs w:val="20"/>
    </w:rPr>
  </w:style>
  <w:style w:type="paragraph" w:customStyle="1" w:styleId="534">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autoRedefine/>
    <w:qFormat/>
    <w:uiPriority w:val="0"/>
    <w:pPr>
      <w:widowControl/>
      <w:jc w:val="left"/>
    </w:pPr>
    <w:rPr>
      <w:rFonts w:cs="宋体"/>
      <w:sz w:val="24"/>
      <w:szCs w:val="20"/>
    </w:rPr>
  </w:style>
  <w:style w:type="paragraph" w:customStyle="1" w:styleId="536">
    <w:name w:val="彩色列表 - 强调文字颜色 11"/>
    <w:basedOn w:val="1"/>
    <w:autoRedefine/>
    <w:qFormat/>
    <w:uiPriority w:val="0"/>
    <w:pPr>
      <w:adjustRightInd/>
      <w:ind w:firstLine="420" w:firstLineChars="200"/>
    </w:pPr>
    <w:rPr>
      <w:rFonts w:ascii="Calibri" w:hAnsi="Calibri"/>
      <w:szCs w:val="22"/>
    </w:rPr>
  </w:style>
  <w:style w:type="paragraph" w:customStyle="1" w:styleId="537">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autoRedefine/>
    <w:qFormat/>
    <w:uiPriority w:val="6"/>
    <w:rPr>
      <w:szCs w:val="20"/>
    </w:rPr>
  </w:style>
  <w:style w:type="paragraph" w:customStyle="1" w:styleId="54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83"/>
    <w:next w:val="83"/>
    <w:autoRedefine/>
    <w:qFormat/>
    <w:uiPriority w:val="0"/>
    <w:pPr>
      <w:spacing w:after="68"/>
    </w:pPr>
    <w:rPr>
      <w:rFonts w:ascii="FHLHE E+ Futura Bk" w:eastAsia="FHLHE E+ Futura Bk" w:cs="Times New Roman"/>
      <w:color w:val="auto"/>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83"/>
    <w:next w:val="83"/>
    <w:autoRedefine/>
    <w:qFormat/>
    <w:uiPriority w:val="0"/>
    <w:rPr>
      <w:rFonts w:ascii="宋体" w:eastAsia="宋体" w:cs="Times New Roman"/>
      <w:color w:val="auto"/>
    </w:rPr>
  </w:style>
  <w:style w:type="paragraph" w:customStyle="1" w:styleId="551">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autoRedefine/>
    <w:qFormat/>
    <w:uiPriority w:val="0"/>
    <w:rPr>
      <w:rFonts w:ascii="仿宋_GB2312" w:eastAsia="仿宋_GB2312"/>
      <w:b/>
      <w:sz w:val="32"/>
      <w:szCs w:val="32"/>
    </w:rPr>
  </w:style>
  <w:style w:type="paragraph" w:customStyle="1" w:styleId="553">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autoRedefine/>
    <w:qFormat/>
    <w:uiPriority w:val="0"/>
    <w:pPr>
      <w:spacing w:line="360" w:lineRule="auto"/>
    </w:pPr>
    <w:rPr>
      <w:szCs w:val="20"/>
    </w:rPr>
  </w:style>
  <w:style w:type="paragraph" w:customStyle="1" w:styleId="556">
    <w:name w:val="Char"/>
    <w:basedOn w:val="1"/>
    <w:autoRedefine/>
    <w:qFormat/>
    <w:uiPriority w:val="0"/>
    <w:rPr>
      <w:rFonts w:ascii="仿宋_GB2312" w:eastAsia="仿宋_GB2312"/>
      <w:b/>
      <w:sz w:val="32"/>
      <w:szCs w:val="32"/>
    </w:rPr>
  </w:style>
  <w:style w:type="paragraph" w:customStyle="1" w:styleId="55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autoRedefine/>
    <w:qFormat/>
    <w:uiPriority w:val="0"/>
    <w:rPr>
      <w:szCs w:val="20"/>
    </w:rPr>
  </w:style>
  <w:style w:type="paragraph" w:customStyle="1" w:styleId="560">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autoRedefine/>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5">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6">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7"/>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autoRedefine/>
    <w:qFormat/>
    <w:uiPriority w:val="0"/>
    <w:rPr>
      <w:szCs w:val="20"/>
    </w:rPr>
  </w:style>
  <w:style w:type="paragraph" w:customStyle="1" w:styleId="58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autoRedefine/>
    <w:qFormat/>
    <w:uiPriority w:val="0"/>
    <w:rPr>
      <w:rFonts w:ascii="Tahoma" w:hAnsi="Tahoma"/>
      <w:sz w:val="24"/>
      <w:szCs w:val="20"/>
    </w:rPr>
  </w:style>
  <w:style w:type="paragraph" w:customStyle="1" w:styleId="585">
    <w:name w:val="标题五"/>
    <w:basedOn w:val="1"/>
    <w:autoRedefine/>
    <w:qFormat/>
    <w:uiPriority w:val="0"/>
    <w:pPr>
      <w:adjustRightInd/>
      <w:spacing w:before="156" w:beforeLines="50" w:line="360" w:lineRule="auto"/>
    </w:pPr>
    <w:rPr>
      <w:b/>
      <w:sz w:val="24"/>
    </w:rPr>
  </w:style>
  <w:style w:type="paragraph" w:customStyle="1" w:styleId="586">
    <w:name w:val="Char Char1101"/>
    <w:basedOn w:val="1"/>
    <w:autoRedefine/>
    <w:qFormat/>
    <w:uiPriority w:val="0"/>
    <w:pPr>
      <w:spacing w:line="360" w:lineRule="auto"/>
    </w:pPr>
    <w:rPr>
      <w:rFonts w:ascii="Tahoma" w:hAnsi="Tahoma"/>
      <w:sz w:val="24"/>
      <w:szCs w:val="20"/>
    </w:rPr>
  </w:style>
  <w:style w:type="paragraph" w:customStyle="1" w:styleId="587">
    <w:name w:val="Char Char Char Char Char Char Char Char1"/>
    <w:basedOn w:val="1"/>
    <w:autoRedefine/>
    <w:qFormat/>
    <w:uiPriority w:val="0"/>
    <w:pPr>
      <w:tabs>
        <w:tab w:val="left" w:pos="360"/>
      </w:tabs>
    </w:pPr>
    <w:rPr>
      <w:sz w:val="24"/>
      <w:szCs w:val="20"/>
    </w:rPr>
  </w:style>
  <w:style w:type="paragraph" w:customStyle="1" w:styleId="588">
    <w:name w:val="Char Char Char 字元 字元"/>
    <w:basedOn w:val="1"/>
    <w:autoRedefine/>
    <w:qFormat/>
    <w:uiPriority w:val="0"/>
    <w:pPr>
      <w:adjustRightInd/>
      <w:spacing w:line="360" w:lineRule="auto"/>
      <w:ind w:firstLine="200" w:firstLineChars="200"/>
    </w:pPr>
    <w:rPr>
      <w:szCs w:val="20"/>
    </w:rPr>
  </w:style>
  <w:style w:type="paragraph" w:customStyle="1" w:styleId="58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autoRedefine/>
    <w:qFormat/>
    <w:uiPriority w:val="0"/>
    <w:rPr>
      <w:rFonts w:ascii="仿宋_GB2312" w:eastAsia="仿宋_GB2312"/>
      <w:b/>
      <w:sz w:val="32"/>
      <w:szCs w:val="32"/>
    </w:rPr>
  </w:style>
  <w:style w:type="paragraph" w:customStyle="1" w:styleId="59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6"/>
    <w:autoRedefine/>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autoRedefine/>
    <w:qFormat/>
    <w:uiPriority w:val="0"/>
    <w:pPr>
      <w:adjustRightInd/>
    </w:pPr>
    <w:rPr>
      <w:sz w:val="18"/>
      <w:szCs w:val="20"/>
    </w:rPr>
  </w:style>
  <w:style w:type="paragraph" w:customStyle="1" w:styleId="596">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7"/>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autoRedefine/>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8"/>
    <w:autoRedefine/>
    <w:qFormat/>
    <w:uiPriority w:val="0"/>
    <w:pPr>
      <w:snapToGrid w:val="0"/>
      <w:spacing w:line="360" w:lineRule="auto"/>
    </w:pPr>
    <w:rPr>
      <w:rFonts w:ascii="宋体"/>
      <w:b/>
      <w:sz w:val="24"/>
      <w:szCs w:val="20"/>
    </w:rPr>
  </w:style>
  <w:style w:type="paragraph" w:customStyle="1" w:styleId="606">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autoRedefine/>
    <w:qFormat/>
    <w:uiPriority w:val="7"/>
    <w:pPr>
      <w:adjustRightInd/>
    </w:pPr>
    <w:rPr>
      <w:rFonts w:ascii="宋体" w:hAnsi="Courier New"/>
    </w:rPr>
  </w:style>
  <w:style w:type="paragraph" w:customStyle="1" w:styleId="609">
    <w:name w:val="Char3"/>
    <w:basedOn w:val="1"/>
    <w:autoRedefine/>
    <w:qFormat/>
    <w:uiPriority w:val="0"/>
    <w:pPr>
      <w:adjustRightInd/>
    </w:pPr>
    <w:rPr>
      <w:rFonts w:ascii="仿宋_GB2312" w:eastAsia="仿宋_GB2312"/>
      <w:b/>
      <w:sz w:val="32"/>
      <w:szCs w:val="32"/>
    </w:rPr>
  </w:style>
  <w:style w:type="paragraph" w:customStyle="1" w:styleId="61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autoRedefine/>
    <w:qFormat/>
    <w:uiPriority w:val="0"/>
    <w:pPr>
      <w:widowControl/>
      <w:adjustRightInd/>
      <w:spacing w:after="160" w:line="240" w:lineRule="exact"/>
      <w:jc w:val="left"/>
    </w:pPr>
    <w:rPr>
      <w:szCs w:val="20"/>
    </w:rPr>
  </w:style>
  <w:style w:type="paragraph" w:customStyle="1" w:styleId="618">
    <w:name w:val="表格标题2"/>
    <w:basedOn w:val="619"/>
    <w:autoRedefine/>
    <w:qFormat/>
    <w:uiPriority w:val="0"/>
    <w:rPr>
      <w:b/>
    </w:rPr>
  </w:style>
  <w:style w:type="paragraph" w:customStyle="1" w:styleId="619">
    <w:name w:val="表格内文"/>
    <w:basedOn w:val="1"/>
    <w:autoRedefine/>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autoRedefine/>
    <w:qFormat/>
    <w:uiPriority w:val="0"/>
    <w:rPr>
      <w:rFonts w:ascii="仿宋_GB2312" w:eastAsia="仿宋_GB2312"/>
      <w:b/>
      <w:sz w:val="32"/>
      <w:szCs w:val="32"/>
    </w:rPr>
  </w:style>
  <w:style w:type="paragraph" w:customStyle="1" w:styleId="621">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autoRedefine/>
    <w:qFormat/>
    <w:uiPriority w:val="0"/>
    <w:pPr>
      <w:spacing w:line="360" w:lineRule="auto"/>
    </w:pPr>
    <w:rPr>
      <w:szCs w:val="20"/>
    </w:rPr>
  </w:style>
  <w:style w:type="paragraph" w:customStyle="1" w:styleId="624">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6">
    <w:name w:val="MM Topic 1"/>
    <w:basedOn w:val="3"/>
    <w:autoRedefine/>
    <w:qFormat/>
    <w:uiPriority w:val="0"/>
    <w:pPr>
      <w:tabs>
        <w:tab w:val="left" w:pos="840"/>
      </w:tabs>
      <w:adjustRightInd/>
      <w:ind w:left="840" w:hanging="420"/>
    </w:pPr>
  </w:style>
  <w:style w:type="paragraph" w:customStyle="1" w:styleId="627">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autoRedefine/>
    <w:qFormat/>
    <w:uiPriority w:val="0"/>
    <w:pPr>
      <w:spacing w:line="360" w:lineRule="auto"/>
      <w:ind w:firstLine="200" w:firstLineChars="200"/>
    </w:pPr>
    <w:rPr>
      <w:kern w:val="0"/>
      <w:sz w:val="24"/>
      <w:szCs w:val="20"/>
    </w:rPr>
  </w:style>
  <w:style w:type="paragraph" w:customStyle="1" w:styleId="629">
    <w:name w:val="表格"/>
    <w:basedOn w:val="1"/>
    <w:autoRedefine/>
    <w:qFormat/>
    <w:uiPriority w:val="0"/>
    <w:pPr>
      <w:snapToGrid w:val="0"/>
      <w:ind w:firstLine="42" w:firstLineChars="21"/>
    </w:pPr>
    <w:rPr>
      <w:rFonts w:ascii="宋体" w:hAnsi="宋体"/>
      <w:kern w:val="0"/>
      <w:sz w:val="20"/>
      <w:szCs w:val="20"/>
    </w:rPr>
  </w:style>
  <w:style w:type="paragraph" w:customStyle="1" w:styleId="630">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2"/>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autoRedefine/>
    <w:qFormat/>
    <w:uiPriority w:val="0"/>
    <w:pPr>
      <w:adjustRightInd/>
      <w:spacing w:line="300" w:lineRule="auto"/>
      <w:jc w:val="center"/>
    </w:pPr>
  </w:style>
  <w:style w:type="paragraph" w:customStyle="1" w:styleId="635">
    <w:name w:val="_Style 6"/>
    <w:basedOn w:val="1"/>
    <w:autoRedefine/>
    <w:qFormat/>
    <w:uiPriority w:val="34"/>
    <w:pPr>
      <w:adjustRightInd/>
      <w:ind w:firstLine="420" w:firstLineChars="200"/>
    </w:pPr>
    <w:rPr>
      <w:rFonts w:eastAsia="仿宋_GB2312"/>
      <w:sz w:val="28"/>
    </w:rPr>
  </w:style>
  <w:style w:type="paragraph" w:customStyle="1" w:styleId="636">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autoRedefine/>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autoRedefine/>
    <w:qFormat/>
    <w:uiPriority w:val="0"/>
    <w:rPr>
      <w:rFonts w:ascii="仿宋_GB2312" w:eastAsia="仿宋_GB2312"/>
      <w:b/>
      <w:sz w:val="32"/>
      <w:szCs w:val="20"/>
    </w:rPr>
  </w:style>
  <w:style w:type="paragraph" w:customStyle="1" w:styleId="646">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autoRedefine/>
    <w:qFormat/>
    <w:uiPriority w:val="0"/>
    <w:pPr>
      <w:adjustRightInd/>
      <w:ind w:firstLine="200" w:firstLineChars="200"/>
    </w:pPr>
    <w:rPr>
      <w:rFonts w:ascii="Tahoma" w:hAnsi="Tahoma"/>
      <w:sz w:val="24"/>
      <w:szCs w:val="20"/>
    </w:rPr>
  </w:style>
  <w:style w:type="paragraph" w:customStyle="1" w:styleId="648">
    <w:name w:val="a1"/>
    <w:basedOn w:val="1"/>
    <w:autoRedefine/>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autoRedefine/>
    <w:qFormat/>
    <w:uiPriority w:val="0"/>
    <w:pPr>
      <w:spacing w:after="156" w:afterLines="50"/>
      <w:jc w:val="left"/>
      <w:outlineLvl w:val="3"/>
    </w:pPr>
    <w:rPr>
      <w:sz w:val="24"/>
      <w:szCs w:val="24"/>
    </w:rPr>
  </w:style>
  <w:style w:type="paragraph" w:customStyle="1" w:styleId="65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autoRedefine/>
    <w:qFormat/>
    <w:uiPriority w:val="0"/>
    <w:pPr>
      <w:adjustRightInd/>
    </w:pPr>
    <w:rPr>
      <w:rFonts w:ascii="Tahoma" w:hAnsi="Tahoma"/>
      <w:sz w:val="24"/>
      <w:szCs w:val="20"/>
    </w:rPr>
  </w:style>
  <w:style w:type="paragraph" w:customStyle="1" w:styleId="655">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autoRedefine/>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autoRedefine/>
    <w:qFormat/>
    <w:uiPriority w:val="0"/>
    <w:pPr>
      <w:tabs>
        <w:tab w:val="left" w:pos="1260"/>
        <w:tab w:val="left" w:pos="1680"/>
        <w:tab w:val="left" w:pos="2100"/>
      </w:tabs>
      <w:ind w:left="0"/>
      <w:outlineLvl w:val="3"/>
    </w:pPr>
  </w:style>
  <w:style w:type="paragraph" w:customStyle="1" w:styleId="658">
    <w:name w:val="一级条标题"/>
    <w:basedOn w:val="659"/>
    <w:next w:val="641"/>
    <w:autoRedefine/>
    <w:qFormat/>
    <w:uiPriority w:val="0"/>
    <w:pPr>
      <w:tabs>
        <w:tab w:val="left" w:pos="1260"/>
        <w:tab w:val="left" w:pos="1680"/>
      </w:tabs>
      <w:spacing w:before="0" w:beforeLines="0" w:after="0" w:afterLines="0"/>
      <w:ind w:left="1680"/>
      <w:outlineLvl w:val="2"/>
    </w:pPr>
  </w:style>
  <w:style w:type="paragraph" w:customStyle="1" w:styleId="659">
    <w:name w:val="章标题"/>
    <w:next w:val="641"/>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autoRedefine/>
    <w:qFormat/>
    <w:uiPriority w:val="0"/>
    <w:pPr>
      <w:tabs>
        <w:tab w:val="left" w:pos="840"/>
      </w:tabs>
      <w:spacing w:after="0"/>
      <w:ind w:left="900"/>
    </w:pPr>
  </w:style>
  <w:style w:type="paragraph" w:customStyle="1" w:styleId="66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autoRedefine/>
    <w:qFormat/>
    <w:uiPriority w:val="6"/>
    <w:pPr>
      <w:widowControl/>
      <w:adjustRightInd/>
      <w:ind w:left="720" w:hanging="720"/>
    </w:pPr>
    <w:rPr>
      <w:color w:val="000000"/>
      <w:kern w:val="0"/>
      <w:sz w:val="24"/>
      <w:szCs w:val="20"/>
      <w:lang w:val="en-GB"/>
    </w:rPr>
  </w:style>
  <w:style w:type="paragraph" w:customStyle="1" w:styleId="669">
    <w:name w:val="表1"/>
    <w:basedOn w:val="1"/>
    <w:autoRedefine/>
    <w:qFormat/>
    <w:uiPriority w:val="0"/>
    <w:pPr>
      <w:tabs>
        <w:tab w:val="left" w:pos="703"/>
      </w:tabs>
      <w:adjustRightInd/>
      <w:spacing w:line="360" w:lineRule="auto"/>
      <w:ind w:left="703"/>
      <w:jc w:val="center"/>
    </w:pPr>
  </w:style>
  <w:style w:type="paragraph" w:customStyle="1" w:styleId="670">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autoRedefine/>
    <w:qFormat/>
    <w:uiPriority w:val="0"/>
    <w:pPr>
      <w:jc w:val="left"/>
      <w:outlineLvl w:val="1"/>
    </w:pPr>
    <w:rPr>
      <w:rFonts w:ascii="Times New Roman" w:hAnsi="Times New Roman" w:eastAsia="仿宋"/>
      <w:sz w:val="30"/>
    </w:rPr>
  </w:style>
  <w:style w:type="paragraph" w:customStyle="1" w:styleId="674">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autoRedefine/>
    <w:qFormat/>
    <w:uiPriority w:val="0"/>
    <w:pPr>
      <w:tabs>
        <w:tab w:val="left" w:pos="840"/>
      </w:tabs>
      <w:adjustRightInd/>
      <w:ind w:left="840" w:hanging="420"/>
    </w:pPr>
  </w:style>
  <w:style w:type="paragraph" w:customStyle="1" w:styleId="68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autoRedefine/>
    <w:qFormat/>
    <w:uiPriority w:val="0"/>
    <w:pPr>
      <w:tabs>
        <w:tab w:val="left" w:pos="2100"/>
      </w:tabs>
      <w:adjustRightInd/>
      <w:ind w:left="2100" w:hanging="420"/>
    </w:pPr>
    <w:rPr>
      <w:lang w:val="en-US"/>
    </w:rPr>
  </w:style>
  <w:style w:type="paragraph" w:customStyle="1" w:styleId="688">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autoRedefine/>
    <w:qFormat/>
    <w:uiPriority w:val="6"/>
    <w:pPr>
      <w:spacing w:line="360" w:lineRule="auto"/>
    </w:pPr>
    <w:rPr>
      <w:szCs w:val="20"/>
    </w:rPr>
  </w:style>
  <w:style w:type="paragraph" w:customStyle="1" w:styleId="691">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autoRedefine/>
    <w:qFormat/>
    <w:uiPriority w:val="0"/>
    <w:pPr>
      <w:adjustRightInd/>
      <w:spacing w:line="360" w:lineRule="auto"/>
      <w:jc w:val="center"/>
    </w:pPr>
    <w:rPr>
      <w:sz w:val="24"/>
    </w:rPr>
  </w:style>
  <w:style w:type="paragraph" w:customStyle="1" w:styleId="701">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autoRedefine/>
    <w:qFormat/>
    <w:uiPriority w:val="6"/>
    <w:rPr>
      <w:rFonts w:ascii="仿宋_GB2312" w:eastAsia="仿宋_GB2312"/>
      <w:b/>
      <w:sz w:val="32"/>
      <w:szCs w:val="32"/>
    </w:rPr>
  </w:style>
  <w:style w:type="paragraph" w:customStyle="1" w:styleId="703">
    <w:name w:val="正文缩进1"/>
    <w:basedOn w:val="1"/>
    <w:next w:val="27"/>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autoRedefine/>
    <w:qFormat/>
    <w:uiPriority w:val="0"/>
    <w:pPr>
      <w:widowControl/>
      <w:adjustRightInd/>
      <w:spacing w:after="160" w:line="240" w:lineRule="exact"/>
      <w:jc w:val="left"/>
    </w:pPr>
    <w:rPr>
      <w:szCs w:val="20"/>
    </w:rPr>
  </w:style>
  <w:style w:type="paragraph" w:customStyle="1" w:styleId="706">
    <w:name w:val="Char Char1121"/>
    <w:basedOn w:val="1"/>
    <w:autoRedefine/>
    <w:qFormat/>
    <w:uiPriority w:val="0"/>
    <w:pPr>
      <w:spacing w:line="360" w:lineRule="auto"/>
    </w:pPr>
    <w:rPr>
      <w:szCs w:val="20"/>
    </w:rPr>
  </w:style>
  <w:style w:type="paragraph" w:customStyle="1" w:styleId="70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autoRedefine/>
    <w:qFormat/>
    <w:uiPriority w:val="0"/>
    <w:rPr>
      <w:rFonts w:ascii="Times New Roman" w:hAnsi="Times New Roman" w:eastAsia="宋体" w:cs="Times New Roman"/>
      <w:lang w:val="en-US" w:eastAsia="en-US" w:bidi="ar-SA"/>
    </w:rPr>
  </w:style>
  <w:style w:type="paragraph" w:customStyle="1" w:styleId="710">
    <w:name w:val="带编号样式"/>
    <w:basedOn w:val="628"/>
    <w:autoRedefine/>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4">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autoRedefine/>
    <w:qFormat/>
    <w:uiPriority w:val="0"/>
    <w:pPr>
      <w:spacing w:line="240" w:lineRule="atLeast"/>
      <w:ind w:left="420" w:firstLine="420"/>
    </w:pPr>
    <w:rPr>
      <w:sz w:val="24"/>
    </w:rPr>
  </w:style>
  <w:style w:type="paragraph" w:customStyle="1" w:styleId="717">
    <w:name w:val="WW-正文文字缩进 2"/>
    <w:basedOn w:val="1"/>
    <w:autoRedefine/>
    <w:qFormat/>
    <w:uiPriority w:val="0"/>
    <w:pPr>
      <w:suppressAutoHyphens/>
      <w:adjustRightInd/>
      <w:ind w:firstLine="420"/>
    </w:pPr>
    <w:rPr>
      <w:kern w:val="1"/>
      <w:szCs w:val="20"/>
    </w:rPr>
  </w:style>
  <w:style w:type="paragraph" w:customStyle="1" w:styleId="718">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autoRedefine/>
    <w:qFormat/>
    <w:uiPriority w:val="0"/>
    <w:pPr>
      <w:adjustRightInd/>
      <w:spacing w:line="400" w:lineRule="exact"/>
      <w:ind w:firstLine="200" w:firstLineChars="200"/>
    </w:pPr>
    <w:rPr>
      <w:rFonts w:ascii="Arial" w:hAnsi="Arial"/>
    </w:rPr>
  </w:style>
  <w:style w:type="paragraph" w:customStyle="1" w:styleId="721">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40"/>
    <w:autoRedefine/>
    <w:qFormat/>
    <w:uiPriority w:val="0"/>
    <w:pPr>
      <w:spacing w:after="120" w:line="480" w:lineRule="auto"/>
      <w:ind w:left="420" w:leftChars="200"/>
    </w:pPr>
    <w:rPr>
      <w:sz w:val="24"/>
      <w:szCs w:val="20"/>
    </w:rPr>
  </w:style>
  <w:style w:type="paragraph" w:customStyle="1" w:styleId="72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autoRedefine/>
    <w:qFormat/>
    <w:uiPriority w:val="0"/>
    <w:rPr>
      <w:rFonts w:ascii="仿宋_GB2312" w:eastAsia="仿宋_GB2312"/>
      <w:b/>
      <w:sz w:val="32"/>
      <w:szCs w:val="20"/>
    </w:rPr>
  </w:style>
  <w:style w:type="paragraph" w:customStyle="1" w:styleId="733">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autoRedefine/>
    <w:qFormat/>
    <w:uiPriority w:val="0"/>
    <w:rPr>
      <w:rFonts w:ascii="仿宋_GB2312" w:eastAsia="仿宋_GB2312"/>
      <w:b/>
      <w:sz w:val="32"/>
      <w:szCs w:val="32"/>
    </w:rPr>
  </w:style>
  <w:style w:type="paragraph" w:customStyle="1" w:styleId="737">
    <w:name w:val="Char3 Char Char Char1"/>
    <w:basedOn w:val="1"/>
    <w:autoRedefine/>
    <w:qFormat/>
    <w:uiPriority w:val="6"/>
    <w:pPr>
      <w:widowControl/>
      <w:adjustRightInd/>
      <w:spacing w:after="160" w:line="240" w:lineRule="exact"/>
      <w:jc w:val="left"/>
    </w:pPr>
    <w:rPr>
      <w:szCs w:val="20"/>
    </w:rPr>
  </w:style>
  <w:style w:type="paragraph" w:customStyle="1" w:styleId="738">
    <w:name w:val="Char1 Char Char Char21"/>
    <w:basedOn w:val="1"/>
    <w:autoRedefine/>
    <w:qFormat/>
    <w:uiPriority w:val="0"/>
    <w:rPr>
      <w:rFonts w:ascii="Tahoma" w:hAnsi="Tahoma"/>
      <w:sz w:val="24"/>
      <w:szCs w:val="20"/>
    </w:rPr>
  </w:style>
  <w:style w:type="paragraph" w:customStyle="1" w:styleId="739">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autoRedefine/>
    <w:qFormat/>
    <w:uiPriority w:val="0"/>
    <w:pPr>
      <w:spacing w:line="360" w:lineRule="auto"/>
      <w:ind w:firstLine="200" w:firstLineChars="200"/>
    </w:pPr>
    <w:rPr>
      <w:sz w:val="24"/>
    </w:rPr>
  </w:style>
  <w:style w:type="paragraph" w:customStyle="1" w:styleId="74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autoRedefine/>
    <w:qFormat/>
    <w:uiPriority w:val="0"/>
    <w:pPr>
      <w:adjustRightInd/>
      <w:ind w:firstLine="200" w:firstLineChars="200"/>
    </w:pPr>
    <w:rPr>
      <w:rFonts w:ascii="Tahoma" w:hAnsi="Tahoma"/>
      <w:sz w:val="24"/>
      <w:szCs w:val="20"/>
    </w:rPr>
  </w:style>
  <w:style w:type="paragraph" w:customStyle="1" w:styleId="747">
    <w:name w:val="_标题2"/>
    <w:basedOn w:val="714"/>
    <w:next w:val="714"/>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autoRedefine/>
    <w:qFormat/>
    <w:uiPriority w:val="0"/>
    <w:pPr>
      <w:adjustRightInd/>
      <w:spacing w:line="360" w:lineRule="auto"/>
    </w:pPr>
    <w:rPr>
      <w:rFonts w:ascii="宋体" w:hAnsi="宋体"/>
      <w:szCs w:val="20"/>
    </w:rPr>
  </w:style>
  <w:style w:type="paragraph" w:customStyle="1" w:styleId="753">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autoRedefine/>
    <w:qFormat/>
    <w:uiPriority w:val="0"/>
    <w:pPr>
      <w:adjustRightInd/>
    </w:pPr>
    <w:rPr>
      <w:rFonts w:ascii="Tahoma" w:hAnsi="Tahoma"/>
      <w:sz w:val="24"/>
    </w:rPr>
  </w:style>
  <w:style w:type="paragraph" w:customStyle="1" w:styleId="755">
    <w:name w:val="Char Char Char Char11"/>
    <w:basedOn w:val="1"/>
    <w:autoRedefine/>
    <w:qFormat/>
    <w:uiPriority w:val="0"/>
    <w:rPr>
      <w:rFonts w:ascii="Tahoma" w:hAnsi="Tahoma"/>
      <w:sz w:val="24"/>
      <w:szCs w:val="20"/>
    </w:rPr>
  </w:style>
  <w:style w:type="paragraph" w:customStyle="1" w:styleId="75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autoRedefine/>
    <w:qFormat/>
    <w:uiPriority w:val="0"/>
    <w:rPr>
      <w:rFonts w:ascii="Tahoma" w:hAnsi="Tahoma"/>
      <w:sz w:val="24"/>
      <w:szCs w:val="20"/>
    </w:rPr>
  </w:style>
  <w:style w:type="paragraph" w:customStyle="1" w:styleId="758">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autoRedefine/>
    <w:qFormat/>
    <w:uiPriority w:val="0"/>
    <w:pPr>
      <w:adjustRightInd/>
    </w:pPr>
    <w:rPr>
      <w:szCs w:val="20"/>
    </w:rPr>
  </w:style>
  <w:style w:type="paragraph" w:customStyle="1" w:styleId="76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autoRedefine/>
    <w:qFormat/>
    <w:uiPriority w:val="34"/>
    <w:pPr>
      <w:adjustRightInd/>
      <w:ind w:firstLine="420" w:firstLineChars="200"/>
    </w:pPr>
    <w:rPr>
      <w:rFonts w:eastAsia="仿宋_GB2312"/>
      <w:sz w:val="28"/>
    </w:rPr>
  </w:style>
  <w:style w:type="paragraph" w:customStyle="1" w:styleId="763">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autoRedefine/>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autoRedefine/>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71">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autoRedefine/>
    <w:qFormat/>
    <w:uiPriority w:val="0"/>
    <w:rPr>
      <w:rFonts w:ascii="宋体" w:hAnsi="Times New Roman" w:eastAsia="宋体" w:cs="Times New Roman"/>
      <w:kern w:val="2"/>
      <w:lang w:val="en-US" w:eastAsia="zh-CN" w:bidi="ar-SA"/>
    </w:rPr>
  </w:style>
  <w:style w:type="paragraph" w:customStyle="1" w:styleId="773">
    <w:name w:val="MM Title"/>
    <w:basedOn w:val="61"/>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autoRedefine/>
    <w:qFormat/>
    <w:uiPriority w:val="0"/>
    <w:pPr>
      <w:tabs>
        <w:tab w:val="left" w:pos="360"/>
      </w:tabs>
    </w:pPr>
    <w:rPr>
      <w:sz w:val="24"/>
      <w:szCs w:val="20"/>
    </w:rPr>
  </w:style>
  <w:style w:type="paragraph" w:customStyle="1" w:styleId="777">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7"/>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autoRedefine/>
    <w:qFormat/>
    <w:uiPriority w:val="0"/>
    <w:pPr>
      <w:widowControl/>
      <w:adjustRightInd/>
    </w:pPr>
    <w:rPr>
      <w:kern w:val="0"/>
      <w:szCs w:val="21"/>
    </w:rPr>
  </w:style>
  <w:style w:type="paragraph" w:customStyle="1" w:styleId="786">
    <w:name w:val="Char6"/>
    <w:basedOn w:val="1"/>
    <w:autoRedefine/>
    <w:qFormat/>
    <w:uiPriority w:val="0"/>
    <w:rPr>
      <w:rFonts w:ascii="仿宋_GB2312" w:eastAsia="仿宋_GB2312"/>
      <w:b/>
      <w:sz w:val="32"/>
      <w:szCs w:val="32"/>
    </w:rPr>
  </w:style>
  <w:style w:type="paragraph" w:customStyle="1" w:styleId="787">
    <w:name w:val="Char111"/>
    <w:basedOn w:val="1"/>
    <w:autoRedefine/>
    <w:qFormat/>
    <w:uiPriority w:val="0"/>
    <w:rPr>
      <w:rFonts w:ascii="仿宋_GB2312" w:eastAsia="仿宋_GB2312"/>
      <w:b/>
      <w:sz w:val="32"/>
      <w:szCs w:val="32"/>
    </w:rPr>
  </w:style>
  <w:style w:type="paragraph" w:customStyle="1" w:styleId="788">
    <w:name w:val="标题3"/>
    <w:basedOn w:val="5"/>
    <w:next w:val="55"/>
    <w:autoRedefine/>
    <w:qFormat/>
    <w:uiPriority w:val="0"/>
    <w:pPr>
      <w:tabs>
        <w:tab w:val="clear" w:pos="900"/>
      </w:tabs>
      <w:spacing w:after="0" w:line="360" w:lineRule="auto"/>
    </w:pPr>
    <w:rPr>
      <w:rFonts w:ascii="仿宋" w:hAnsi="仿宋" w:eastAsia="仿宋" w:cs="仿宋"/>
    </w:rPr>
  </w:style>
  <w:style w:type="paragraph" w:customStyle="1" w:styleId="789">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autoRedefine/>
    <w:qFormat/>
    <w:uiPriority w:val="0"/>
    <w:pPr>
      <w:adjustRightInd/>
      <w:ind w:firstLine="200" w:firstLineChars="200"/>
    </w:pPr>
    <w:rPr>
      <w:rFonts w:ascii="Tahoma" w:hAnsi="Tahoma"/>
      <w:sz w:val="24"/>
      <w:szCs w:val="20"/>
    </w:rPr>
  </w:style>
  <w:style w:type="paragraph" w:customStyle="1" w:styleId="792">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autoRedefine/>
    <w:qFormat/>
    <w:uiPriority w:val="0"/>
    <w:rPr>
      <w:rFonts w:ascii="仿宋_GB2312" w:eastAsia="仿宋_GB2312"/>
      <w:b/>
      <w:sz w:val="32"/>
      <w:szCs w:val="32"/>
    </w:rPr>
  </w:style>
  <w:style w:type="paragraph" w:customStyle="1" w:styleId="795">
    <w:name w:val="五级条标题"/>
    <w:basedOn w:val="796"/>
    <w:next w:val="641"/>
    <w:autoRedefine/>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autoRedefine/>
    <w:qFormat/>
    <w:uiPriority w:val="0"/>
    <w:pPr>
      <w:tabs>
        <w:tab w:val="left" w:pos="2940"/>
        <w:tab w:val="clear" w:pos="2520"/>
      </w:tabs>
      <w:ind w:left="2940"/>
      <w:outlineLvl w:val="5"/>
    </w:pPr>
  </w:style>
  <w:style w:type="paragraph" w:customStyle="1" w:styleId="797">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autoRedefine/>
    <w:qFormat/>
    <w:uiPriority w:val="0"/>
    <w:rPr>
      <w:rFonts w:ascii="仿宋_GB2312" w:eastAsia="仿宋_GB2312"/>
      <w:b/>
      <w:sz w:val="32"/>
      <w:szCs w:val="32"/>
    </w:rPr>
  </w:style>
  <w:style w:type="paragraph" w:customStyle="1" w:styleId="799">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autoRedefine/>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3">
    <w:name w:val="单元格左对齐"/>
    <w:basedOn w:val="1"/>
    <w:autoRedefine/>
    <w:qFormat/>
    <w:uiPriority w:val="0"/>
    <w:pPr>
      <w:adjustRightInd/>
      <w:spacing w:line="360" w:lineRule="auto"/>
    </w:pPr>
    <w:rPr>
      <w:sz w:val="24"/>
    </w:rPr>
  </w:style>
  <w:style w:type="paragraph" w:customStyle="1" w:styleId="804">
    <w:name w:val="正文主体"/>
    <w:basedOn w:val="625"/>
    <w:autoRedefine/>
    <w:qFormat/>
    <w:uiPriority w:val="0"/>
  </w:style>
  <w:style w:type="paragraph" w:customStyle="1" w:styleId="80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autoRedefine/>
    <w:qFormat/>
    <w:uiPriority w:val="0"/>
    <w:pPr>
      <w:adjustRightInd/>
      <w:spacing w:line="360" w:lineRule="auto"/>
      <w:ind w:firstLine="480" w:firstLineChars="200"/>
    </w:pPr>
    <w:rPr>
      <w:sz w:val="24"/>
      <w:szCs w:val="20"/>
    </w:rPr>
  </w:style>
  <w:style w:type="paragraph" w:customStyle="1" w:styleId="809">
    <w:name w:val="P1"/>
    <w:basedOn w:val="1"/>
    <w:autoRedefine/>
    <w:qFormat/>
    <w:uiPriority w:val="0"/>
    <w:pPr>
      <w:adjustRightInd/>
      <w:spacing w:line="288" w:lineRule="auto"/>
      <w:ind w:firstLine="425" w:firstLineChars="200"/>
    </w:pPr>
  </w:style>
  <w:style w:type="paragraph" w:customStyle="1" w:styleId="810">
    <w:name w:val="列表内容"/>
    <w:basedOn w:val="1"/>
    <w:next w:val="1"/>
    <w:autoRedefine/>
    <w:qFormat/>
    <w:uiPriority w:val="0"/>
    <w:pPr>
      <w:widowControl/>
      <w:tabs>
        <w:tab w:val="left" w:pos="840"/>
      </w:tabs>
      <w:ind w:left="840" w:hanging="420"/>
      <w:jc w:val="left"/>
    </w:pPr>
    <w:rPr>
      <w:kern w:val="0"/>
      <w:sz w:val="18"/>
    </w:rPr>
  </w:style>
  <w:style w:type="paragraph" w:customStyle="1" w:styleId="811">
    <w:name w:val="Char Char11 Char Char Char1"/>
    <w:basedOn w:val="1"/>
    <w:autoRedefine/>
    <w:qFormat/>
    <w:uiPriority w:val="6"/>
    <w:pPr>
      <w:spacing w:line="360" w:lineRule="auto"/>
    </w:pPr>
    <w:rPr>
      <w:szCs w:val="20"/>
    </w:rPr>
  </w:style>
  <w:style w:type="paragraph" w:customStyle="1" w:styleId="81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3">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autoRedefine/>
    <w:qFormat/>
    <w:uiPriority w:val="0"/>
    <w:pPr>
      <w:spacing w:line="360" w:lineRule="auto"/>
    </w:pPr>
    <w:rPr>
      <w:szCs w:val="20"/>
    </w:rPr>
  </w:style>
  <w:style w:type="paragraph" w:customStyle="1" w:styleId="81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autoRedefine/>
    <w:qFormat/>
    <w:uiPriority w:val="0"/>
    <w:rPr>
      <w:rFonts w:ascii="仿宋_GB2312" w:eastAsia="仿宋_GB2312"/>
      <w:b/>
      <w:sz w:val="32"/>
      <w:szCs w:val="32"/>
    </w:rPr>
  </w:style>
  <w:style w:type="paragraph" w:customStyle="1" w:styleId="821">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4">
    <w:name w:val="Char Char4 Char Char"/>
    <w:basedOn w:val="1"/>
    <w:autoRedefine/>
    <w:qFormat/>
    <w:uiPriority w:val="0"/>
    <w:pPr>
      <w:widowControl/>
      <w:adjustRightInd/>
      <w:spacing w:after="160" w:line="240" w:lineRule="exact"/>
      <w:jc w:val="left"/>
    </w:pPr>
  </w:style>
  <w:style w:type="paragraph" w:customStyle="1" w:styleId="825">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autoRedefine/>
    <w:qFormat/>
    <w:uiPriority w:val="0"/>
    <w:pPr>
      <w:spacing w:line="360" w:lineRule="auto"/>
    </w:pPr>
    <w:rPr>
      <w:szCs w:val="20"/>
    </w:rPr>
  </w:style>
  <w:style w:type="paragraph" w:customStyle="1" w:styleId="827">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autoRedefine/>
    <w:qFormat/>
    <w:uiPriority w:val="0"/>
    <w:pPr>
      <w:adjustRightInd/>
      <w:ind w:firstLine="200" w:firstLineChars="200"/>
    </w:pPr>
    <w:rPr>
      <w:rFonts w:ascii="Tahoma" w:hAnsi="Tahoma"/>
      <w:sz w:val="24"/>
      <w:szCs w:val="20"/>
    </w:rPr>
  </w:style>
  <w:style w:type="paragraph" w:customStyle="1" w:styleId="834">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autoRedefine/>
    <w:qFormat/>
    <w:uiPriority w:val="0"/>
    <w:pPr>
      <w:tabs>
        <w:tab w:val="left" w:pos="0"/>
      </w:tabs>
      <w:ind w:left="900" w:firstLine="0" w:firstLineChars="0"/>
    </w:pPr>
  </w:style>
  <w:style w:type="paragraph" w:customStyle="1" w:styleId="837">
    <w:name w:val="Bulleted List"/>
    <w:basedOn w:val="1"/>
    <w:autoRedefine/>
    <w:qFormat/>
    <w:uiPriority w:val="0"/>
    <w:pPr>
      <w:tabs>
        <w:tab w:val="left" w:pos="1260"/>
      </w:tabs>
      <w:adjustRightInd/>
      <w:ind w:left="1260" w:hanging="420"/>
    </w:pPr>
  </w:style>
  <w:style w:type="paragraph" w:customStyle="1" w:styleId="838">
    <w:name w:val="样式 正文文本缩进 2 + 仿宋_GB2312 黑色 行距: 1.5 倍行距"/>
    <w:basedOn w:val="40"/>
    <w:autoRedefine/>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autoRedefine/>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autoRedefine/>
    <w:qFormat/>
    <w:uiPriority w:val="0"/>
    <w:rPr>
      <w:rFonts w:ascii="Tahoma" w:hAnsi="Tahoma" w:cs="仿宋_GB2312"/>
      <w:sz w:val="24"/>
      <w:szCs w:val="20"/>
    </w:rPr>
  </w:style>
  <w:style w:type="paragraph" w:customStyle="1" w:styleId="841">
    <w:name w:val="正文1"/>
    <w:basedOn w:val="35"/>
    <w:autoRedefine/>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7"/>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autoRedefine/>
    <w:qFormat/>
    <w:uiPriority w:val="0"/>
    <w:rPr>
      <w:rFonts w:ascii="仿宋_GB2312" w:eastAsia="仿宋_GB2312"/>
      <w:b/>
      <w:sz w:val="32"/>
      <w:szCs w:val="20"/>
    </w:rPr>
  </w:style>
  <w:style w:type="paragraph" w:customStyle="1" w:styleId="846">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autoRedefine/>
    <w:qFormat/>
    <w:uiPriority w:val="0"/>
    <w:rPr>
      <w:rFonts w:ascii="仿宋_GB2312" w:eastAsia="仿宋_GB2312"/>
      <w:b/>
      <w:sz w:val="32"/>
      <w:szCs w:val="20"/>
    </w:rPr>
  </w:style>
  <w:style w:type="paragraph" w:customStyle="1" w:styleId="848">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0">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5">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autoRedefine/>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9">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autoRedefine/>
    <w:qFormat/>
    <w:uiPriority w:val="0"/>
    <w:pPr>
      <w:widowControl/>
      <w:spacing w:after="160" w:line="240" w:lineRule="exact"/>
      <w:jc w:val="left"/>
    </w:pPr>
    <w:rPr>
      <w:rFonts w:eastAsia="仿宋_GB2312"/>
      <w:sz w:val="28"/>
    </w:rPr>
  </w:style>
  <w:style w:type="paragraph" w:customStyle="1" w:styleId="862">
    <w:name w:val="Char21"/>
    <w:basedOn w:val="1"/>
    <w:autoRedefine/>
    <w:qFormat/>
    <w:uiPriority w:val="0"/>
    <w:pPr>
      <w:adjustRightInd/>
      <w:ind w:firstLine="200" w:firstLineChars="200"/>
    </w:pPr>
    <w:rPr>
      <w:rFonts w:ascii="仿宋_GB2312" w:eastAsia="仿宋_GB2312"/>
      <w:b/>
      <w:sz w:val="32"/>
      <w:szCs w:val="32"/>
    </w:rPr>
  </w:style>
  <w:style w:type="paragraph" w:customStyle="1" w:styleId="863">
    <w:name w:val="列表段落1"/>
    <w:basedOn w:val="1"/>
    <w:autoRedefine/>
    <w:qFormat/>
    <w:uiPriority w:val="34"/>
    <w:pPr>
      <w:adjustRightInd/>
      <w:ind w:right="238" w:firstLine="420"/>
    </w:pPr>
    <w:rPr>
      <w:rFonts w:ascii="Calibri" w:hAnsi="Calibri"/>
      <w:sz w:val="24"/>
    </w:rPr>
  </w:style>
  <w:style w:type="paragraph" w:customStyle="1" w:styleId="864">
    <w:name w:val="Char Char110"/>
    <w:basedOn w:val="1"/>
    <w:autoRedefine/>
    <w:qFormat/>
    <w:uiPriority w:val="6"/>
    <w:pPr>
      <w:spacing w:line="360" w:lineRule="auto"/>
    </w:pPr>
    <w:rPr>
      <w:rFonts w:ascii="Tahoma" w:hAnsi="Tahoma"/>
      <w:sz w:val="24"/>
      <w:szCs w:val="20"/>
    </w:rPr>
  </w:style>
  <w:style w:type="paragraph" w:customStyle="1" w:styleId="865">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7">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autoRedefine/>
    <w:qFormat/>
    <w:uiPriority w:val="0"/>
    <w:rPr>
      <w:rFonts w:ascii="Tahoma" w:hAnsi="Tahoma" w:cs="仿宋_GB2312"/>
      <w:sz w:val="24"/>
      <w:szCs w:val="20"/>
    </w:rPr>
  </w:style>
  <w:style w:type="paragraph" w:customStyle="1" w:styleId="870">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4">
    <w:name w:val="_Style 12"/>
    <w:basedOn w:val="19"/>
    <w:autoRedefine/>
    <w:qFormat/>
    <w:uiPriority w:val="0"/>
    <w:pPr>
      <w:snapToGrid w:val="0"/>
      <w:spacing w:line="360" w:lineRule="auto"/>
    </w:pPr>
  </w:style>
  <w:style w:type="paragraph" w:customStyle="1" w:styleId="875">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autoRedefine/>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autoRedefine/>
    <w:qFormat/>
    <w:uiPriority w:val="0"/>
    <w:pPr>
      <w:outlineLvl w:val="2"/>
    </w:pPr>
  </w:style>
  <w:style w:type="paragraph" w:customStyle="1" w:styleId="882">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autoRedefine/>
    <w:qFormat/>
    <w:uiPriority w:val="0"/>
    <w:pPr>
      <w:adjustRightInd/>
      <w:ind w:firstLine="200" w:firstLineChars="200"/>
    </w:pPr>
    <w:rPr>
      <w:rFonts w:ascii="Tahoma" w:hAnsi="Tahoma"/>
      <w:sz w:val="24"/>
      <w:szCs w:val="20"/>
    </w:rPr>
  </w:style>
  <w:style w:type="paragraph" w:customStyle="1" w:styleId="884">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5">
    <w:name w:val="MM Empty"/>
    <w:basedOn w:val="1"/>
    <w:autoRedefine/>
    <w:qFormat/>
    <w:uiPriority w:val="0"/>
    <w:pPr>
      <w:adjustRightInd/>
    </w:pPr>
  </w:style>
  <w:style w:type="paragraph" w:customStyle="1" w:styleId="886">
    <w:name w:val="Char24"/>
    <w:basedOn w:val="1"/>
    <w:autoRedefine/>
    <w:qFormat/>
    <w:uiPriority w:val="0"/>
    <w:rPr>
      <w:rFonts w:ascii="仿宋_GB2312" w:eastAsia="仿宋_GB2312"/>
      <w:b/>
      <w:sz w:val="32"/>
      <w:szCs w:val="32"/>
    </w:rPr>
  </w:style>
  <w:style w:type="paragraph" w:customStyle="1" w:styleId="887">
    <w:name w:val="正文箭头"/>
    <w:basedOn w:val="539"/>
    <w:autoRedefine/>
    <w:qFormat/>
    <w:uiPriority w:val="0"/>
  </w:style>
  <w:style w:type="paragraph" w:customStyle="1" w:styleId="888">
    <w:name w:val="U_编号2"/>
    <w:basedOn w:val="1"/>
    <w:autoRedefine/>
    <w:qFormat/>
    <w:uiPriority w:val="0"/>
    <w:pPr>
      <w:tabs>
        <w:tab w:val="left" w:pos="785"/>
      </w:tabs>
      <w:adjustRightInd/>
      <w:spacing w:beforeLines="10" w:afterLines="10" w:line="300" w:lineRule="auto"/>
    </w:pPr>
    <w:rPr>
      <w:sz w:val="24"/>
    </w:rPr>
  </w:style>
  <w:style w:type="paragraph" w:customStyle="1" w:styleId="889">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autoRedefine/>
    <w:qFormat/>
    <w:uiPriority w:val="34"/>
    <w:pPr>
      <w:adjustRightInd/>
      <w:ind w:firstLine="420" w:firstLineChars="200"/>
    </w:pPr>
    <w:rPr>
      <w:rFonts w:eastAsia="仿宋_GB2312"/>
      <w:sz w:val="28"/>
    </w:rPr>
  </w:style>
  <w:style w:type="paragraph" w:customStyle="1" w:styleId="894">
    <w:name w:val="表格 内容"/>
    <w:basedOn w:val="730"/>
    <w:autoRedefine/>
    <w:qFormat/>
    <w:uiPriority w:val="0"/>
    <w:rPr>
      <w:b w:val="0"/>
      <w:sz w:val="20"/>
    </w:rPr>
  </w:style>
  <w:style w:type="paragraph" w:customStyle="1" w:styleId="895">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autoRedefine/>
    <w:qFormat/>
    <w:uiPriority w:val="0"/>
    <w:pPr>
      <w:tabs>
        <w:tab w:val="left" w:pos="1080"/>
      </w:tabs>
      <w:ind w:left="1080" w:hanging="1080"/>
    </w:pPr>
  </w:style>
  <w:style w:type="paragraph" w:customStyle="1" w:styleId="898">
    <w:name w:val="数字标题1"/>
    <w:basedOn w:val="3"/>
    <w:next w:val="1"/>
    <w:autoRedefine/>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0">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autoRedefine/>
    <w:qFormat/>
    <w:uiPriority w:val="0"/>
    <w:pPr>
      <w:widowControl/>
    </w:pPr>
    <w:rPr>
      <w:kern w:val="0"/>
      <w:sz w:val="24"/>
      <w:szCs w:val="20"/>
    </w:rPr>
  </w:style>
  <w:style w:type="paragraph" w:customStyle="1" w:styleId="906">
    <w:name w:val="Char Char113"/>
    <w:basedOn w:val="1"/>
    <w:autoRedefine/>
    <w:qFormat/>
    <w:uiPriority w:val="0"/>
    <w:pPr>
      <w:widowControl/>
      <w:spacing w:after="160" w:line="240" w:lineRule="exact"/>
      <w:jc w:val="left"/>
    </w:pPr>
    <w:rPr>
      <w:rFonts w:eastAsia="仿宋_GB2312"/>
      <w:sz w:val="28"/>
    </w:rPr>
  </w:style>
  <w:style w:type="paragraph" w:customStyle="1" w:styleId="907">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autoRedefine/>
    <w:qFormat/>
    <w:uiPriority w:val="34"/>
    <w:pPr>
      <w:adjustRightInd/>
      <w:ind w:firstLine="420" w:firstLineChars="200"/>
    </w:pPr>
    <w:rPr>
      <w:rFonts w:eastAsia="仿宋_GB2312"/>
      <w:sz w:val="28"/>
    </w:rPr>
  </w:style>
  <w:style w:type="paragraph" w:customStyle="1" w:styleId="909">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autoRedefine/>
    <w:qFormat/>
    <w:uiPriority w:val="6"/>
    <w:pPr>
      <w:widowControl/>
      <w:spacing w:after="160" w:line="240" w:lineRule="exact"/>
      <w:jc w:val="left"/>
    </w:pPr>
    <w:rPr>
      <w:rFonts w:eastAsia="仿宋_GB2312"/>
      <w:sz w:val="28"/>
    </w:rPr>
  </w:style>
  <w:style w:type="paragraph" w:customStyle="1" w:styleId="915">
    <w:name w:val="正文 图"/>
    <w:basedOn w:val="444"/>
    <w:autoRedefine/>
    <w:qFormat/>
    <w:uiPriority w:val="0"/>
    <w:pPr>
      <w:adjustRightInd/>
      <w:spacing w:before="0"/>
      <w:ind w:firstLine="0"/>
      <w:jc w:val="center"/>
    </w:pPr>
    <w:rPr>
      <w:rFonts w:ascii="微软雅黑" w:hAnsi="微软雅黑"/>
    </w:rPr>
  </w:style>
  <w:style w:type="paragraph" w:customStyle="1" w:styleId="916">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autoRedefine/>
    <w:qFormat/>
    <w:uiPriority w:val="0"/>
    <w:pPr>
      <w:ind w:left="0"/>
    </w:pPr>
  </w:style>
  <w:style w:type="paragraph" w:customStyle="1" w:styleId="919">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autoRedefine/>
    <w:qFormat/>
    <w:uiPriority w:val="0"/>
    <w:pPr>
      <w:adjustRightInd/>
      <w:spacing w:line="360" w:lineRule="auto"/>
      <w:ind w:firstLine="480"/>
    </w:pPr>
    <w:rPr>
      <w:sz w:val="24"/>
    </w:rPr>
  </w:style>
  <w:style w:type="table" w:customStyle="1" w:styleId="922">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autoRedefine/>
    <w:qFormat/>
    <w:uiPriority w:val="34"/>
    <w:pPr>
      <w:ind w:firstLine="420" w:firstLineChars="200"/>
    </w:pPr>
  </w:style>
  <w:style w:type="character" w:customStyle="1" w:styleId="929">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autoRedefine/>
    <w:qFormat/>
    <w:uiPriority w:val="0"/>
    <w:rPr>
      <w:rFonts w:ascii="宋体" w:eastAsia="宋体"/>
      <w:snapToGrid w:val="0"/>
      <w:color w:val="000000"/>
      <w:kern w:val="28"/>
      <w:sz w:val="28"/>
      <w:lang w:val="en-US" w:eastAsia="zh-CN" w:bidi="ar-SA"/>
    </w:rPr>
  </w:style>
  <w:style w:type="character" w:customStyle="1" w:styleId="931">
    <w:name w:val="页脚 字符1"/>
    <w:autoRedefine/>
    <w:qFormat/>
    <w:locked/>
    <w:uiPriority w:val="99"/>
    <w:rPr>
      <w:kern w:val="2"/>
      <w:sz w:val="18"/>
      <w:szCs w:val="18"/>
    </w:rPr>
  </w:style>
  <w:style w:type="character" w:customStyle="1" w:styleId="932">
    <w:name w:val="页眉 字符1"/>
    <w:autoRedefine/>
    <w:qFormat/>
    <w:uiPriority w:val="99"/>
    <w:rPr>
      <w:kern w:val="2"/>
      <w:sz w:val="18"/>
      <w:szCs w:val="18"/>
    </w:rPr>
  </w:style>
  <w:style w:type="character" w:customStyle="1" w:styleId="933">
    <w:name w:val="尾注文本 字符"/>
    <w:link w:val="41"/>
    <w:autoRedefine/>
    <w:qFormat/>
    <w:uiPriority w:val="0"/>
    <w:rPr>
      <w:kern w:val="2"/>
      <w:sz w:val="21"/>
      <w:szCs w:val="24"/>
      <w:lang w:val="zh-CN"/>
    </w:rPr>
  </w:style>
  <w:style w:type="character" w:customStyle="1" w:styleId="934">
    <w:name w:val="无间隔 字符"/>
    <w:link w:val="484"/>
    <w:autoRedefine/>
    <w:qFormat/>
    <w:uiPriority w:val="99"/>
    <w:rPr>
      <w:kern w:val="2"/>
      <w:sz w:val="21"/>
      <w:szCs w:val="22"/>
    </w:rPr>
  </w:style>
  <w:style w:type="character" w:customStyle="1" w:styleId="935">
    <w:name w:val="标准文本 Char Char"/>
    <w:link w:val="936"/>
    <w:autoRedefine/>
    <w:qFormat/>
    <w:uiPriority w:val="0"/>
    <w:rPr>
      <w:rFonts w:cs="宋体"/>
      <w:kern w:val="2"/>
      <w:sz w:val="24"/>
    </w:rPr>
  </w:style>
  <w:style w:type="paragraph" w:customStyle="1" w:styleId="936">
    <w:name w:val="标准文本"/>
    <w:basedOn w:val="1"/>
    <w:link w:val="935"/>
    <w:autoRedefine/>
    <w:qFormat/>
    <w:uiPriority w:val="0"/>
    <w:pPr>
      <w:adjustRightInd/>
      <w:spacing w:line="360" w:lineRule="auto"/>
      <w:ind w:firstLine="480" w:firstLineChars="200"/>
    </w:pPr>
    <w:rPr>
      <w:rFonts w:cs="宋体"/>
      <w:sz w:val="24"/>
      <w:szCs w:val="20"/>
    </w:rPr>
  </w:style>
  <w:style w:type="character" w:customStyle="1" w:styleId="937">
    <w:name w:val="Char Char213"/>
    <w:autoRedefine/>
    <w:qFormat/>
    <w:uiPriority w:val="0"/>
    <w:rPr>
      <w:rFonts w:eastAsia="Century Gothic"/>
      <w:b/>
      <w:bCs/>
      <w:kern w:val="44"/>
      <w:sz w:val="32"/>
      <w:szCs w:val="44"/>
      <w:lang w:val="en-US" w:eastAsia="zh-CN" w:bidi="ar-SA"/>
    </w:rPr>
  </w:style>
  <w:style w:type="character" w:customStyle="1" w:styleId="938">
    <w:name w:val="apple-style-span"/>
    <w:autoRedefine/>
    <w:qFormat/>
    <w:uiPriority w:val="0"/>
    <w:rPr>
      <w:rFonts w:ascii="Arial" w:hAnsi="Arial" w:eastAsia="黑体" w:cs="Arial"/>
      <w:snapToGrid w:val="0"/>
      <w:kern w:val="0"/>
      <w:szCs w:val="21"/>
    </w:rPr>
  </w:style>
  <w:style w:type="character" w:customStyle="1" w:styleId="939">
    <w:name w:val="15"/>
    <w:autoRedefine/>
    <w:qFormat/>
    <w:uiPriority w:val="0"/>
    <w:rPr>
      <w:rFonts w:hint="default" w:ascii="Calibri" w:hAnsi="Calibri"/>
      <w:color w:val="0000FF"/>
      <w:u w:val="single"/>
    </w:rPr>
  </w:style>
  <w:style w:type="character" w:customStyle="1" w:styleId="940">
    <w:name w:val="16"/>
    <w:autoRedefine/>
    <w:qFormat/>
    <w:uiPriority w:val="0"/>
    <w:rPr>
      <w:rFonts w:hint="eastAsia" w:ascii="宋体" w:hAnsi="宋体" w:eastAsia="宋体"/>
      <w:color w:val="000000"/>
      <w:sz w:val="20"/>
      <w:szCs w:val="20"/>
    </w:rPr>
  </w:style>
  <w:style w:type="character" w:customStyle="1" w:styleId="941">
    <w:name w:val="edui-unclickable"/>
    <w:autoRedefine/>
    <w:qFormat/>
    <w:uiPriority w:val="0"/>
    <w:rPr>
      <w:color w:val="808080"/>
    </w:rPr>
  </w:style>
  <w:style w:type="character" w:customStyle="1" w:styleId="942">
    <w:name w:val="tpc_content1"/>
    <w:autoRedefine/>
    <w:qFormat/>
    <w:uiPriority w:val="0"/>
    <w:rPr>
      <w:sz w:val="20"/>
      <w:szCs w:val="20"/>
    </w:rPr>
  </w:style>
  <w:style w:type="character" w:customStyle="1" w:styleId="943">
    <w:name w:val="正文文本缩进 字符"/>
    <w:autoRedefine/>
    <w:qFormat/>
    <w:uiPriority w:val="0"/>
    <w:rPr>
      <w:rFonts w:ascii="Century Gothic" w:hAnsi="Century Gothic" w:eastAsia="Century Gothic"/>
      <w:kern w:val="2"/>
      <w:sz w:val="24"/>
      <w:lang w:val="en-US" w:eastAsia="zh-CN" w:bidi="ar-SA"/>
    </w:rPr>
  </w:style>
  <w:style w:type="character" w:customStyle="1" w:styleId="944">
    <w:name w:val="正文文本 2 字符"/>
    <w:autoRedefine/>
    <w:qFormat/>
    <w:uiPriority w:val="0"/>
    <w:rPr>
      <w:rFonts w:ascii="Arial" w:hAnsi="Arial" w:eastAsia="宋体"/>
      <w:kern w:val="2"/>
      <w:sz w:val="24"/>
      <w:szCs w:val="24"/>
      <w:lang w:val="en-US" w:eastAsia="zh-CN" w:bidi="ar-SA"/>
    </w:rPr>
  </w:style>
  <w:style w:type="character" w:customStyle="1" w:styleId="945">
    <w:name w:val="edui-clickable2"/>
    <w:autoRedefine/>
    <w:qFormat/>
    <w:uiPriority w:val="0"/>
    <w:rPr>
      <w:color w:val="0000FF"/>
      <w:u w:val="single"/>
    </w:rPr>
  </w:style>
  <w:style w:type="character" w:customStyle="1" w:styleId="946">
    <w:name w:val="style1"/>
    <w:autoRedefine/>
    <w:qFormat/>
    <w:uiPriority w:val="0"/>
    <w:rPr>
      <w:rFonts w:ascii="Arial" w:hAnsi="Arial" w:eastAsia="黑体" w:cs="Arial"/>
      <w:snapToGrid w:val="0"/>
      <w:kern w:val="0"/>
      <w:szCs w:val="21"/>
    </w:rPr>
  </w:style>
  <w:style w:type="character" w:customStyle="1" w:styleId="947">
    <w:name w:val="zbggtop11 style5"/>
    <w:autoRedefine/>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9">
    <w:name w:val="bulletintext1"/>
    <w:autoRedefine/>
    <w:qFormat/>
    <w:uiPriority w:val="0"/>
    <w:rPr>
      <w:color w:val="000000"/>
      <w:sz w:val="18"/>
    </w:rPr>
  </w:style>
  <w:style w:type="paragraph" w:customStyle="1" w:styleId="950">
    <w:name w:val="_Style 947"/>
    <w:basedOn w:val="1"/>
    <w:next w:val="259"/>
    <w:autoRedefine/>
    <w:qFormat/>
    <w:uiPriority w:val="34"/>
    <w:pPr>
      <w:adjustRightInd/>
      <w:ind w:firstLine="420" w:firstLineChars="200"/>
    </w:pPr>
  </w:style>
  <w:style w:type="paragraph" w:customStyle="1" w:styleId="951">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3">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7">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autoRedefine/>
    <w:qFormat/>
    <w:uiPriority w:val="0"/>
    <w:pPr>
      <w:adjustRightInd/>
      <w:jc w:val="left"/>
    </w:pPr>
    <w:rPr>
      <w:rFonts w:ascii="Calibri" w:hAnsi="Calibri"/>
      <w:kern w:val="0"/>
      <w:sz w:val="22"/>
      <w:szCs w:val="22"/>
      <w:lang w:eastAsia="en-US"/>
    </w:rPr>
  </w:style>
  <w:style w:type="paragraph" w:customStyle="1" w:styleId="959">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autoRedefine/>
    <w:qFormat/>
    <w:uiPriority w:val="0"/>
    <w:rPr>
      <w:color w:val="000000"/>
      <w:shd w:val="clear" w:color="auto" w:fill="EFD200"/>
    </w:rPr>
  </w:style>
  <w:style w:type="character" w:customStyle="1" w:styleId="963">
    <w:name w:val="font71"/>
    <w:autoRedefine/>
    <w:qFormat/>
    <w:uiPriority w:val="0"/>
    <w:rPr>
      <w:rFonts w:hint="eastAsia" w:ascii="宋体" w:hAnsi="宋体" w:eastAsia="宋体" w:cs="宋体"/>
      <w:color w:val="000000"/>
      <w:sz w:val="22"/>
      <w:szCs w:val="22"/>
      <w:u w:val="none"/>
    </w:rPr>
  </w:style>
  <w:style w:type="character" w:customStyle="1" w:styleId="964">
    <w:name w:val="font91"/>
    <w:autoRedefine/>
    <w:qFormat/>
    <w:uiPriority w:val="0"/>
    <w:rPr>
      <w:rFonts w:hint="eastAsia" w:ascii="仿宋" w:hAnsi="仿宋" w:eastAsia="仿宋" w:cs="仿宋"/>
      <w:color w:val="000000"/>
      <w:sz w:val="22"/>
      <w:szCs w:val="22"/>
      <w:u w:val="none"/>
    </w:rPr>
  </w:style>
  <w:style w:type="paragraph" w:customStyle="1" w:styleId="965">
    <w:name w:val="样式 标题 2 + Times New Roman 四号 非加粗 段前: 5 磅 段后: 0 磅 行距: 固定值 20..."/>
    <w:basedOn w:val="4"/>
    <w:autoRedefine/>
    <w:qFormat/>
    <w:uiPriority w:val="0"/>
    <w:pPr>
      <w:tabs>
        <w:tab w:val="left" w:pos="1080"/>
        <w:tab w:val="clear" w:pos="432"/>
      </w:tabs>
      <w:spacing w:before="100" w:line="400" w:lineRule="exact"/>
      <w:ind w:left="432" w:hanging="432"/>
    </w:pPr>
    <w:rPr>
      <w:rFonts w:ascii="Times New Roman" w:hAnsi="Times New Roman" w:eastAsia="黑体" w:cs="宋体"/>
      <w:b w:val="0"/>
      <w:sz w:val="28"/>
      <w:szCs w:val="20"/>
    </w:rPr>
  </w:style>
  <w:style w:type="paragraph" w:customStyle="1" w:styleId="966">
    <w:name w:val="p16"/>
    <w:basedOn w:val="1"/>
    <w:autoRedefine/>
    <w:qFormat/>
    <w:uiPriority w:val="0"/>
    <w:pPr>
      <w:widowControl/>
      <w:spacing w:before="100" w:after="100"/>
      <w:jc w:val="left"/>
    </w:pPr>
    <w:rPr>
      <w:rFonts w:ascii="宋体" w:hAnsi="宋体" w:cs="宋体"/>
      <w:color w:val="000000"/>
      <w:kern w:val="0"/>
      <w:sz w:val="24"/>
    </w:rPr>
  </w:style>
  <w:style w:type="paragraph" w:customStyle="1" w:styleId="967">
    <w:name w:val="Revision"/>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8">
    <w:name w:val="first-child"/>
    <w:basedOn w:val="70"/>
    <w:autoRedefine/>
    <w:qFormat/>
    <w:uiPriority w:val="0"/>
  </w:style>
  <w:style w:type="character" w:customStyle="1" w:styleId="969">
    <w:name w:val="hover7"/>
    <w:basedOn w:val="70"/>
    <w:autoRedefine/>
    <w:qFormat/>
    <w:uiPriority w:val="0"/>
    <w:rPr>
      <w:shd w:val="clear" w:fill="F3F3F3"/>
    </w:rPr>
  </w:style>
  <w:style w:type="character" w:customStyle="1" w:styleId="970">
    <w:name w:val="hover8"/>
    <w:basedOn w:val="70"/>
    <w:autoRedefine/>
    <w:qFormat/>
    <w:uiPriority w:val="0"/>
    <w:rPr>
      <w:sz w:val="11"/>
      <w:szCs w:val="11"/>
    </w:rPr>
  </w:style>
  <w:style w:type="character" w:customStyle="1" w:styleId="971">
    <w:name w:val="layui-layer-tabnow"/>
    <w:basedOn w:val="70"/>
    <w:autoRedefine/>
    <w:qFormat/>
    <w:uiPriority w:val="0"/>
    <w:rPr>
      <w:bdr w:val="single" w:color="CCCCCC" w:sz="4" w:space="0"/>
      <w:shd w:val="clear" w:fill="FFFFFF"/>
    </w:rPr>
  </w:style>
  <w:style w:type="paragraph" w:customStyle="1" w:styleId="972">
    <w:name w:val="List Paragraph_41d0cc91-dce1-4733-b767-3adef058dad0"/>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106</Pages>
  <Words>16053</Words>
  <Characters>17250</Characters>
  <Lines>407</Lines>
  <Paragraphs>114</Paragraphs>
  <TotalTime>42</TotalTime>
  <ScaleCrop>false</ScaleCrop>
  <LinksUpToDate>false</LinksUpToDate>
  <CharactersWithSpaces>17584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2022-05-07T15:35:00Z</dcterms:created>
  <dc:creator>玥</dc:creator>
  <cp:lastModifiedBy>Hhhmm77</cp:lastModifiedBy>
  <cp:lastPrinted>2024-06-27T06:17:00Z</cp:lastPrinted>
  <dcterms:modified xsi:type="dcterms:W3CDTF">2025-07-16T08:38:50Z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743515C4F583491CACBFE3992FCE6E2F_13</vt:lpwstr>
  </property>
  <property fmtid="{D5CDD505-2E9C-101B-9397-08002B2CF9AE}" pid="5" name="commondata">
    <vt:lpwstr>eyJoZGlkIjoiNGNlMmFkMDQ1NDY0ZmRiM2Q0NjY4NTFjN2IwMTllYjMifQ==</vt:lpwstr>
  </property>
  <property fmtid="{D5CDD505-2E9C-101B-9397-08002B2CF9AE}" pid="6" name="KSOTemplateDocerSaveRecord">
    <vt:lpwstr>eyJoZGlkIjoiMTMxMGNkYTJhN2NkODc0MzYwZWZhYmI0Y2E4ZDVlOGEiLCJ1c2VySWQiOiIxMTUxODI5MjE3In0=</vt:lpwstr>
  </property>
</Properties>
</file>