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绍兴文理学院附属医院网络设备、排队叫号系统及机房相关设备维保项目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TYJZ2023</w:t>
      </w:r>
    </w:p>
    <w:tbl>
      <w:tblPr>
        <w:tblStyle w:val="43"/>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绍兴文理学院</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二○二三年</w:t>
            </w:r>
            <w:r>
              <w:rPr>
                <w:rFonts w:hint="eastAsia" w:ascii="仿宋" w:hAnsi="仿宋" w:eastAsia="仿宋" w:cs="仿宋"/>
                <w:color w:val="auto"/>
                <w:sz w:val="28"/>
                <w:szCs w:val="28"/>
                <w:highlight w:val="none"/>
                <w:lang w:eastAsia="zh-CN"/>
              </w:rPr>
              <w:t>八</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556" w:hRule="atLeast"/>
        </w:trPr>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绍兴文理学院附属医院网络设备、排队叫号系统及机房相关设备维保项目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获取招标文件，并于2023年月日 09:00（北京时间）前递交投标文件。</w:t>
                  </w:r>
                </w:p>
              </w:tc>
            </w:tr>
          </w:tbl>
          <w:p>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TYJZ2023</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绍兴文理学院附属医院网络设备、排队叫号系统及机房相关设备维保项目</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450000</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450000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网络设备、排队叫号系统及机房相关设备维保项目</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450000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w:t>
            </w:r>
            <w:r>
              <w:rPr>
                <w:rFonts w:hint="eastAsia" w:ascii="仿宋" w:hAnsi="仿宋" w:eastAsia="仿宋" w:cs="仿宋"/>
                <w:color w:val="auto"/>
                <w:szCs w:val="24"/>
                <w:highlight w:val="none"/>
                <w:lang w:eastAsia="zh-CN"/>
              </w:rPr>
              <w:t>否</w:t>
            </w:r>
            <w:r>
              <w:rPr>
                <w:rFonts w:hint="eastAsia" w:ascii="仿宋" w:hAnsi="仿宋" w:eastAsia="仿宋" w:cs="仿宋"/>
                <w:color w:val="auto"/>
                <w:szCs w:val="24"/>
                <w:highlight w:val="none"/>
              </w:rPr>
              <w:t>）接受联合体投标。</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71"/>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售价（元）：</w:t>
            </w:r>
            <w:r>
              <w:rPr>
                <w:rFonts w:hint="eastAsia" w:ascii="仿宋" w:hAnsi="仿宋" w:eastAsia="仿宋" w:cs="仿宋"/>
                <w:color w:val="auto"/>
                <w:kern w:val="0"/>
                <w:sz w:val="24"/>
                <w:highlight w:val="none"/>
                <w:lang w:val="en-US" w:eastAsia="zh-CN"/>
              </w:rPr>
              <w:t>免费</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提交投标文件截止时间：2023年月日 09:00（北京时间）</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绍兴市越城区朝皇路58号正大综合楼601泰宇咨询会议室</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开标时间：2023年月日 09:00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绍兴市越城区朝皇路58号正大综合楼601会议室（泰宇咨询）</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绍兴文理学院附属医院</w:t>
            </w:r>
            <w:r>
              <w:rPr>
                <w:rFonts w:hint="eastAsia" w:ascii="仿宋" w:hAnsi="仿宋" w:eastAsia="仿宋" w:cs="仿宋"/>
                <w:color w:val="auto"/>
                <w:kern w:val="0"/>
                <w:sz w:val="24"/>
                <w:highlight w:val="none"/>
              </w:rPr>
              <w:t xml:space="preserve">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地址：绍兴市越城区中兴南路999号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项目联系人（询问）：徐洁</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w:t>
            </w:r>
            <w:r>
              <w:rPr>
                <w:rFonts w:hint="eastAsia" w:ascii="仿宋" w:hAnsi="仿宋" w:eastAsia="仿宋" w:cs="仿宋"/>
                <w:color w:val="auto"/>
                <w:highlight w:val="none"/>
              </w:rPr>
              <w:t>0575-88293115</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质疑联系人：董老师</w:t>
            </w:r>
          </w:p>
          <w:p>
            <w:pPr>
              <w:widowControl/>
              <w:snapToGrid w:val="0"/>
              <w:spacing w:line="440" w:lineRule="exact"/>
              <w:ind w:firstLine="480" w:firstLineChars="20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 xml:space="preserve">质疑联系方式：0575-88293999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3.监督管理部门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rPr>
              <w:t>绍兴文理学院</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rPr>
              <w:t>绍兴市越城区环城西路508号</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rPr>
              <w:t>聂老师</w:t>
            </w:r>
            <w:r>
              <w:rPr>
                <w:rFonts w:hint="eastAsia" w:ascii="仿宋" w:hAnsi="仿宋" w:eastAsia="仿宋" w:cs="仿宋"/>
                <w:color w:val="auto"/>
                <w:szCs w:val="24"/>
                <w:highlight w:val="none"/>
              </w:rPr>
              <w:t xml:space="preserve">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w:t>
            </w:r>
            <w:r>
              <w:rPr>
                <w:rFonts w:hint="eastAsia" w:ascii="仿宋" w:hAnsi="仿宋" w:eastAsia="仿宋" w:cs="仿宋"/>
                <w:color w:val="auto"/>
                <w:szCs w:val="24"/>
                <w:highlight w:val="none"/>
              </w:rPr>
              <w:t>0575-88342889</w:t>
            </w:r>
            <w:r>
              <w:rPr>
                <w:rFonts w:hint="eastAsia" w:ascii="仿宋" w:hAnsi="仿宋" w:eastAsia="仿宋" w:cs="仿宋"/>
                <w:color w:val="auto"/>
                <w:szCs w:val="24"/>
                <w:highlight w:val="none"/>
              </w:rPr>
              <w:t xml:space="preserve">       </w:t>
            </w:r>
          </w:p>
        </w:tc>
      </w:tr>
      <w:tr>
        <w:tblPrEx>
          <w:tblCellMar>
            <w:top w:w="0" w:type="dxa"/>
            <w:left w:w="0" w:type="dxa"/>
            <w:bottom w:w="0" w:type="dxa"/>
            <w:right w:w="0" w:type="dxa"/>
          </w:tblCellMar>
        </w:tblPrEx>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numPr>
                <w:ilvl w:val="0"/>
                <w:numId w:val="7"/>
              </w:num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软件和信息技术服务业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hint="eastAsia" w:ascii="仿宋" w:hAnsi="仿宋" w:eastAsia="仿宋" w:cs="仿宋"/>
                <w:color w:val="auto"/>
                <w:sz w:val="24"/>
                <w:highlight w:val="none"/>
              </w:rPr>
            </w:pPr>
          </w:p>
        </w:tc>
        <w:tc>
          <w:tcPr>
            <w:tcW w:w="8370" w:type="dxa"/>
            <w:gridSpan w:val="2"/>
            <w:vAlign w:val="center"/>
          </w:tcPr>
          <w:p>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（1）以中标通知中确定的中标总金额作为代理服务费的计算基数，具体比例参照《国家计委关于印发&lt;招标代理服务收费管理暂行办法&gt;的通知》（计价格[2002]1980号）规定的标准的20%进行收费。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绍兴文理学院附属医院</w:t>
      </w:r>
      <w:r>
        <w:rPr>
          <w:rFonts w:hint="eastAsia" w:ascii="仿宋" w:hAnsi="仿宋" w:eastAsia="仿宋" w:cs="仿宋"/>
          <w:color w:val="auto"/>
          <w:sz w:val="24"/>
          <w:highlight w:val="none"/>
        </w:rPr>
        <w:t>（合同中的甲方）。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2.1.4“监督单位”系指采购法定</w:t>
      </w:r>
      <w:bookmarkStart w:id="168" w:name="_GoBack"/>
      <w:bookmarkEnd w:id="168"/>
      <w:r>
        <w:rPr>
          <w:rFonts w:hint="eastAsia" w:ascii="仿宋" w:hAnsi="仿宋" w:eastAsia="仿宋" w:cs="仿宋"/>
          <w:color w:val="auto"/>
          <w:sz w:val="24"/>
          <w:highlight w:val="none"/>
        </w:rPr>
        <w:t>义监督管理部门，即绍兴</w:t>
      </w:r>
      <w:r>
        <w:rPr>
          <w:rFonts w:hint="eastAsia" w:ascii="仿宋" w:hAnsi="仿宋" w:eastAsia="仿宋" w:cs="仿宋"/>
          <w:color w:val="auto"/>
          <w:sz w:val="24"/>
          <w:highlight w:val="none"/>
          <w:lang w:eastAsia="zh-CN"/>
        </w:rPr>
        <w:t>文理学院</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8"/>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5"/>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3"/>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2998"/>
      <w:bookmarkEnd w:id="2"/>
      <w:bookmarkStart w:id="3" w:name="_Hlt68073093"/>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5"/>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5"/>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bookmarkStart w:id="4" w:name="_Toc84325929"/>
      <w:bookmarkStart w:id="5" w:name="_Toc81372776"/>
      <w:bookmarkStart w:id="6" w:name="_Toc81372953"/>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pPr>
        <w:pStyle w:val="15"/>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pacing w:line="360" w:lineRule="auto"/>
        <w:ind w:firstLine="482" w:firstLineChars="200"/>
        <w:outlineLvl w:val="0"/>
        <w:rPr>
          <w:rFonts w:hint="eastAsia" w:ascii="仿宋" w:hAnsi="仿宋" w:eastAsia="仿宋" w:cs="仿宋"/>
          <w:b/>
          <w:bCs/>
          <w:color w:val="auto"/>
          <w:sz w:val="21"/>
          <w:szCs w:val="21"/>
          <w:highlight w:val="none"/>
        </w:rPr>
      </w:pPr>
      <w:bookmarkStart w:id="7" w:name="_Toc84325981"/>
      <w:bookmarkStart w:id="8" w:name="_Toc81372787"/>
      <w:bookmarkStart w:id="9" w:name="_Toc81372964"/>
      <w:bookmarkStart w:id="10" w:name="_Toc80157775"/>
      <w:r>
        <w:rPr>
          <w:rFonts w:hint="eastAsia" w:ascii="仿宋" w:hAnsi="仿宋" w:eastAsia="仿宋" w:cs="仿宋"/>
          <w:b/>
          <w:bCs/>
          <w:color w:val="auto"/>
          <w:sz w:val="24"/>
          <w:szCs w:val="24"/>
          <w:highlight w:val="none"/>
          <w:bdr w:val="single" w:color="auto" w:sz="4" w:space="0"/>
        </w:rPr>
        <w:t>01标</w:t>
      </w:r>
      <w:r>
        <w:rPr>
          <w:rFonts w:hint="eastAsia" w:ascii="仿宋" w:hAnsi="仿宋" w:eastAsia="仿宋" w:cs="仿宋"/>
          <w:b/>
          <w:color w:val="auto"/>
          <w:sz w:val="24"/>
          <w:szCs w:val="24"/>
          <w:highlight w:val="none"/>
          <w:lang w:val="en-US" w:eastAsia="zh-CN"/>
        </w:rPr>
        <w:t>网络设备、排队叫号系统及机房相关设备维保项目</w:t>
      </w:r>
      <w:r>
        <w:rPr>
          <w:rFonts w:hint="eastAsia" w:ascii="仿宋" w:hAnsi="仿宋" w:eastAsia="仿宋" w:cs="仿宋"/>
          <w:b/>
          <w:color w:val="auto"/>
          <w:sz w:val="24"/>
          <w:szCs w:val="24"/>
          <w:highlight w:val="none"/>
          <w:lang w:eastAsia="zh-CN"/>
        </w:rPr>
        <w:t>，预算：</w:t>
      </w:r>
      <w:r>
        <w:rPr>
          <w:rFonts w:hint="eastAsia" w:ascii="仿宋" w:hAnsi="仿宋" w:eastAsia="仿宋" w:cs="仿宋"/>
          <w:b/>
          <w:color w:val="auto"/>
          <w:sz w:val="24"/>
          <w:szCs w:val="24"/>
          <w:highlight w:val="none"/>
          <w:lang w:val="en-US" w:eastAsia="zh-CN"/>
        </w:rPr>
        <w:t>450000元。</w:t>
      </w:r>
    </w:p>
    <w:p>
      <w:pPr>
        <w:widowControl/>
        <w:spacing w:line="360" w:lineRule="auto"/>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1.项目概况</w:t>
      </w:r>
    </w:p>
    <w:p>
      <w:pPr>
        <w:pStyle w:val="114"/>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绍兴文理学院附属医院分为中心院区和昌安院区，两院区中心院区投入使用至今，原施工单位已结束质保期内维修、维护，而医院机房信息化系统设备在24小时不间断运行，需要长期稳定、及时、专业的维护和突发事件的处理，才能更好的保障医疗系统的运行，为保障医疗业务正常开展，对过保设备需引入第三方专业单位来维护相关系统设备。</w:t>
      </w:r>
    </w:p>
    <w:p>
      <w:pPr>
        <w:widowControl/>
        <w:spacing w:line="360" w:lineRule="auto"/>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2、维保设备清单</w:t>
      </w:r>
    </w:p>
    <w:p>
      <w:pPr>
        <w:widowControl/>
        <w:spacing w:line="360" w:lineRule="auto"/>
        <w:jc w:val="left"/>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rPr>
        <w:t>（一）中心院区维保设备清单</w:t>
      </w:r>
    </w:p>
    <w:tbl>
      <w:tblPr>
        <w:tblStyle w:val="43"/>
        <w:tblW w:w="5448" w:type="pct"/>
        <w:jc w:val="center"/>
        <w:tblLayout w:type="fixed"/>
        <w:tblCellMar>
          <w:top w:w="0" w:type="dxa"/>
          <w:left w:w="108" w:type="dxa"/>
          <w:bottom w:w="0" w:type="dxa"/>
          <w:right w:w="108" w:type="dxa"/>
        </w:tblCellMar>
      </w:tblPr>
      <w:tblGrid>
        <w:gridCol w:w="790"/>
        <w:gridCol w:w="3093"/>
        <w:gridCol w:w="1172"/>
        <w:gridCol w:w="3462"/>
        <w:gridCol w:w="801"/>
        <w:gridCol w:w="800"/>
      </w:tblGrid>
      <w:tr>
        <w:tblPrEx>
          <w:tblCellMar>
            <w:top w:w="0" w:type="dxa"/>
            <w:left w:w="108" w:type="dxa"/>
            <w:bottom w:w="0" w:type="dxa"/>
            <w:right w:w="108" w:type="dxa"/>
          </w:tblCellMar>
        </w:tblPrEx>
        <w:trPr>
          <w:trHeight w:val="454" w:hRule="atLeast"/>
          <w:tblHeader/>
          <w:jc w:val="center"/>
        </w:trPr>
        <w:tc>
          <w:tcPr>
            <w:tcW w:w="390"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序号</w:t>
            </w:r>
          </w:p>
        </w:tc>
        <w:tc>
          <w:tcPr>
            <w:tcW w:w="1527" w:type="pct"/>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项目名称</w:t>
            </w:r>
          </w:p>
        </w:tc>
        <w:tc>
          <w:tcPr>
            <w:tcW w:w="579" w:type="pct"/>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品牌</w:t>
            </w:r>
          </w:p>
        </w:tc>
        <w:tc>
          <w:tcPr>
            <w:tcW w:w="1709" w:type="pct"/>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型号</w:t>
            </w:r>
          </w:p>
        </w:tc>
        <w:tc>
          <w:tcPr>
            <w:tcW w:w="396" w:type="pct"/>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单位</w:t>
            </w:r>
          </w:p>
        </w:tc>
        <w:tc>
          <w:tcPr>
            <w:tcW w:w="395" w:type="pct"/>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数量</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一</w:t>
            </w:r>
            <w:r>
              <w:rPr>
                <w:rStyle w:val="272"/>
                <w:rFonts w:hint="eastAsia" w:ascii="仿宋" w:hAnsi="仿宋" w:eastAsia="仿宋" w:cs="仿宋"/>
                <w:color w:val="auto"/>
                <w:highlight w:val="none"/>
                <w:lang w:bidi="ar"/>
              </w:rPr>
              <w:t>.</w:t>
            </w:r>
            <w:r>
              <w:rPr>
                <w:rStyle w:val="271"/>
                <w:rFonts w:hint="eastAsia" w:ascii="仿宋" w:hAnsi="仿宋" w:eastAsia="仿宋" w:cs="仿宋"/>
                <w:color w:val="auto"/>
                <w:highlight w:val="none"/>
                <w:lang w:bidi="ar"/>
              </w:rPr>
              <w:t>计算机网络系统（内外网）</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b/>
                <w:bCs/>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b/>
                <w:bCs/>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b/>
                <w:bCs/>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24</w:t>
            </w:r>
            <w:r>
              <w:rPr>
                <w:rStyle w:val="303"/>
                <w:rFonts w:hint="eastAsia" w:ascii="仿宋" w:hAnsi="仿宋" w:eastAsia="仿宋" w:cs="仿宋"/>
                <w:color w:val="auto"/>
                <w:highlight w:val="none"/>
                <w:lang w:bidi="ar"/>
              </w:rPr>
              <w:t>口万兆上行交换机</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华三</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LS-5130-28TP-EI</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27</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24</w:t>
            </w:r>
            <w:r>
              <w:rPr>
                <w:rStyle w:val="303"/>
                <w:rFonts w:hint="eastAsia" w:ascii="仿宋" w:hAnsi="仿宋" w:eastAsia="仿宋" w:cs="仿宋"/>
                <w:color w:val="auto"/>
                <w:highlight w:val="none"/>
                <w:lang w:bidi="ar"/>
              </w:rPr>
              <w:t>口万兆</w:t>
            </w:r>
            <w:r>
              <w:rPr>
                <w:rStyle w:val="304"/>
                <w:rFonts w:hint="eastAsia" w:ascii="仿宋" w:hAnsi="仿宋" w:eastAsia="仿宋" w:cs="仿宋"/>
                <w:color w:val="auto"/>
                <w:highlight w:val="none"/>
                <w:lang w:bidi="ar"/>
              </w:rPr>
              <w:t>PoE</w:t>
            </w:r>
            <w:r>
              <w:rPr>
                <w:rStyle w:val="303"/>
                <w:rFonts w:hint="eastAsia" w:ascii="仿宋" w:hAnsi="仿宋" w:eastAsia="仿宋" w:cs="仿宋"/>
                <w:color w:val="auto"/>
                <w:highlight w:val="none"/>
                <w:lang w:bidi="ar"/>
              </w:rPr>
              <w:t>上行交换机</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华三</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LS-5130-28S-PWR-EI</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34</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48</w:t>
            </w:r>
            <w:r>
              <w:rPr>
                <w:rStyle w:val="303"/>
                <w:rFonts w:hint="eastAsia" w:ascii="仿宋" w:hAnsi="仿宋" w:eastAsia="仿宋" w:cs="仿宋"/>
                <w:color w:val="auto"/>
                <w:highlight w:val="none"/>
                <w:lang w:bidi="ar"/>
              </w:rPr>
              <w:t>口万兆上行交换机</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华三</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LS-5130-52TP-EI</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59</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24</w:t>
            </w:r>
            <w:r>
              <w:rPr>
                <w:rStyle w:val="303"/>
                <w:rFonts w:hint="eastAsia" w:ascii="仿宋" w:hAnsi="仿宋" w:eastAsia="仿宋" w:cs="仿宋"/>
                <w:color w:val="auto"/>
                <w:highlight w:val="none"/>
                <w:lang w:bidi="ar"/>
              </w:rPr>
              <w:t>口万兆上行交换机</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锐捷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RG-S2910-24GT4XS-E</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13</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48</w:t>
            </w:r>
            <w:r>
              <w:rPr>
                <w:rStyle w:val="303"/>
                <w:rFonts w:hint="eastAsia" w:ascii="仿宋" w:hAnsi="仿宋" w:eastAsia="仿宋" w:cs="仿宋"/>
                <w:color w:val="auto"/>
                <w:highlight w:val="none"/>
                <w:lang w:bidi="ar"/>
              </w:rPr>
              <w:t>口万兆上行交换机</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锐捷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RG-S2910-48GT4XS-E</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16</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6</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无线控制器</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华三</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LSUM1WCMX20RT</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7</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24</w:t>
            </w:r>
            <w:r>
              <w:rPr>
                <w:rStyle w:val="303"/>
                <w:rFonts w:hint="eastAsia" w:ascii="仿宋" w:hAnsi="仿宋" w:eastAsia="仿宋" w:cs="仿宋"/>
                <w:color w:val="auto"/>
                <w:highlight w:val="none"/>
                <w:lang w:bidi="ar"/>
              </w:rPr>
              <w:t>口万兆上行交换机</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22</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8</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管理软件硬件平台</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华三</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单机框刀片服务器、刀片网络模块、刀片存储、</w:t>
            </w:r>
            <w:r>
              <w:rPr>
                <w:rStyle w:val="304"/>
                <w:rFonts w:hint="eastAsia" w:ascii="仿宋" w:hAnsi="仿宋" w:eastAsia="仿宋" w:cs="仿宋"/>
                <w:color w:val="auto"/>
                <w:highlight w:val="none"/>
                <w:lang w:bidi="ar"/>
              </w:rPr>
              <w:t>X86</w:t>
            </w:r>
            <w:r>
              <w:rPr>
                <w:rStyle w:val="303"/>
                <w:rFonts w:hint="eastAsia" w:ascii="仿宋" w:hAnsi="仿宋" w:eastAsia="仿宋" w:cs="仿宋"/>
                <w:color w:val="auto"/>
                <w:highlight w:val="none"/>
                <w:lang w:bidi="ar"/>
              </w:rPr>
              <w:t>服务器虚拟化软件、存储虚拟化软件、云管理平台等组件</w:t>
            </w:r>
            <w:r>
              <w:rPr>
                <w:rStyle w:val="304"/>
                <w:rFonts w:hint="eastAsia" w:ascii="仿宋" w:hAnsi="仿宋" w:eastAsia="仿宋" w:cs="仿宋"/>
                <w:color w:val="auto"/>
                <w:highlight w:val="none"/>
                <w:lang w:bidi="ar"/>
              </w:rPr>
              <w:t>.</w:t>
            </w:r>
            <w:r>
              <w:rPr>
                <w:rStyle w:val="303"/>
                <w:rFonts w:hint="eastAsia" w:ascii="仿宋" w:hAnsi="仿宋" w:eastAsia="仿宋" w:cs="仿宋"/>
                <w:color w:val="auto"/>
                <w:highlight w:val="none"/>
                <w:lang w:bidi="ar"/>
              </w:rPr>
              <w:t>刀片存储支持</w:t>
            </w:r>
            <w:r>
              <w:rPr>
                <w:rStyle w:val="304"/>
                <w:rFonts w:hint="eastAsia" w:ascii="仿宋" w:hAnsi="仿宋" w:eastAsia="仿宋" w:cs="仿宋"/>
                <w:color w:val="auto"/>
                <w:highlight w:val="none"/>
                <w:lang w:bidi="ar"/>
              </w:rPr>
              <w:t>12</w:t>
            </w:r>
            <w:r>
              <w:rPr>
                <w:rStyle w:val="303"/>
                <w:rFonts w:hint="eastAsia" w:ascii="仿宋" w:hAnsi="仿宋" w:eastAsia="仿宋" w:cs="仿宋"/>
                <w:color w:val="auto"/>
                <w:highlight w:val="none"/>
                <w:lang w:bidi="ar"/>
              </w:rPr>
              <w:t>个硬盘槽位。</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二</w:t>
            </w:r>
            <w:r>
              <w:rPr>
                <w:rStyle w:val="272"/>
                <w:rFonts w:hint="eastAsia" w:ascii="仿宋" w:hAnsi="仿宋" w:eastAsia="仿宋" w:cs="仿宋"/>
                <w:color w:val="auto"/>
                <w:highlight w:val="none"/>
                <w:lang w:bidi="ar"/>
              </w:rPr>
              <w:t>.</w:t>
            </w:r>
            <w:r>
              <w:rPr>
                <w:rStyle w:val="271"/>
                <w:rFonts w:hint="eastAsia" w:ascii="仿宋" w:hAnsi="仿宋" w:eastAsia="仿宋" w:cs="仿宋"/>
                <w:color w:val="auto"/>
                <w:highlight w:val="none"/>
                <w:lang w:bidi="ar"/>
              </w:rPr>
              <w:t>排队叫号显示系统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显示设备</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洲明</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定制</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193</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LED</w:t>
            </w:r>
            <w:r>
              <w:rPr>
                <w:rStyle w:val="303"/>
                <w:rFonts w:hint="eastAsia" w:ascii="仿宋" w:hAnsi="仿宋" w:eastAsia="仿宋" w:cs="仿宋"/>
                <w:color w:val="auto"/>
                <w:highlight w:val="none"/>
                <w:lang w:bidi="ar"/>
              </w:rPr>
              <w:t>屏</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奥彩</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定制</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7</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显示屏同步控制系统</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奥彩</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定制</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7</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控制设备</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国产</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I7</w:t>
            </w:r>
            <w:r>
              <w:rPr>
                <w:rStyle w:val="303"/>
                <w:rFonts w:hint="eastAsia" w:ascii="仿宋" w:hAnsi="仿宋" w:eastAsia="仿宋" w:cs="仿宋"/>
                <w:color w:val="auto"/>
                <w:highlight w:val="none"/>
                <w:lang w:bidi="ar"/>
              </w:rPr>
              <w:t>，</w:t>
            </w:r>
            <w:r>
              <w:rPr>
                <w:rStyle w:val="304"/>
                <w:rFonts w:hint="eastAsia" w:ascii="仿宋" w:hAnsi="仿宋" w:eastAsia="仿宋" w:cs="仿宋"/>
                <w:color w:val="auto"/>
                <w:highlight w:val="none"/>
                <w:lang w:bidi="ar"/>
              </w:rPr>
              <w:t>500G</w:t>
            </w:r>
            <w:r>
              <w:rPr>
                <w:rStyle w:val="303"/>
                <w:rFonts w:hint="eastAsia" w:ascii="仿宋" w:hAnsi="仿宋" w:eastAsia="仿宋" w:cs="仿宋"/>
                <w:color w:val="auto"/>
                <w:highlight w:val="none"/>
                <w:lang w:bidi="ar"/>
              </w:rPr>
              <w:t>硬盘、</w:t>
            </w:r>
            <w:r>
              <w:rPr>
                <w:rStyle w:val="304"/>
                <w:rFonts w:hint="eastAsia" w:ascii="仿宋" w:hAnsi="仿宋" w:eastAsia="仿宋" w:cs="仿宋"/>
                <w:color w:val="auto"/>
                <w:highlight w:val="none"/>
                <w:lang w:bidi="ar"/>
              </w:rPr>
              <w:t>2G</w:t>
            </w:r>
            <w:r>
              <w:rPr>
                <w:rStyle w:val="303"/>
                <w:rFonts w:hint="eastAsia" w:ascii="仿宋" w:hAnsi="仿宋" w:eastAsia="仿宋" w:cs="仿宋"/>
                <w:color w:val="auto"/>
                <w:highlight w:val="none"/>
                <w:lang w:bidi="ar"/>
              </w:rPr>
              <w:t>内存、独显、</w:t>
            </w:r>
            <w:r>
              <w:rPr>
                <w:rStyle w:val="304"/>
                <w:rFonts w:hint="eastAsia" w:ascii="仿宋" w:hAnsi="仿宋" w:eastAsia="仿宋" w:cs="仿宋"/>
                <w:color w:val="auto"/>
                <w:highlight w:val="none"/>
                <w:lang w:bidi="ar"/>
              </w:rPr>
              <w:t>19</w:t>
            </w:r>
            <w:r>
              <w:rPr>
                <w:rStyle w:val="303"/>
                <w:rFonts w:hint="eastAsia" w:ascii="仿宋" w:hAnsi="仿宋" w:eastAsia="仿宋" w:cs="仿宋"/>
                <w:color w:val="auto"/>
                <w:highlight w:val="none"/>
                <w:lang w:bidi="ar"/>
              </w:rPr>
              <w:t>寸显示器</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三</w:t>
            </w:r>
            <w:r>
              <w:rPr>
                <w:rStyle w:val="272"/>
                <w:rFonts w:hint="eastAsia" w:ascii="仿宋" w:hAnsi="仿宋" w:eastAsia="仿宋" w:cs="仿宋"/>
                <w:color w:val="auto"/>
                <w:highlight w:val="none"/>
                <w:lang w:bidi="ar"/>
              </w:rPr>
              <w:t>.</w:t>
            </w:r>
            <w:r>
              <w:rPr>
                <w:rStyle w:val="271"/>
                <w:rFonts w:hint="eastAsia" w:ascii="仿宋" w:hAnsi="仿宋" w:eastAsia="仿宋" w:cs="仿宋"/>
                <w:color w:val="auto"/>
                <w:highlight w:val="none"/>
                <w:lang w:bidi="ar"/>
              </w:rPr>
              <w:t>数据中心机房</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机房供配电部分</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Ups</w:t>
            </w:r>
            <w:r>
              <w:rPr>
                <w:rStyle w:val="303"/>
                <w:rFonts w:hint="eastAsia" w:ascii="仿宋" w:hAnsi="仿宋" w:eastAsia="仿宋" w:cs="仿宋"/>
                <w:color w:val="auto"/>
                <w:highlight w:val="none"/>
                <w:lang w:bidi="ar"/>
              </w:rPr>
              <w:t>主机</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维基</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MPS200-L120</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蓄电池</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维基</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12V100AH</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节</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64</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精密空调</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精密空调</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伊米康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SDA121U</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精密空调</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伊米康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SCA502DE</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机房设备管控系统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网络服务器</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力登</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Rantion DKX3-132</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机柜冷池系统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1</w:t>
            </w:r>
            <w:r>
              <w:rPr>
                <w:rStyle w:val="271"/>
                <w:rFonts w:hint="eastAsia" w:ascii="仿宋" w:hAnsi="仿宋" w:eastAsia="仿宋" w:cs="仿宋"/>
                <w:color w:val="auto"/>
                <w:highlight w:val="none"/>
                <w:lang w:bidi="ar"/>
              </w:rPr>
              <w:t>）智能化管理系统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显示设备</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智廷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定制</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22</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消防联动系统</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智廷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定制</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微环境监测系统</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智廷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定制</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智能控制设备</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智廷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定制</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2</w:t>
            </w:r>
            <w:r>
              <w:rPr>
                <w:rStyle w:val="271"/>
                <w:rFonts w:hint="eastAsia" w:ascii="仿宋" w:hAnsi="仿宋" w:eastAsia="仿宋" w:cs="仿宋"/>
                <w:color w:val="auto"/>
                <w:highlight w:val="none"/>
                <w:lang w:bidi="ar"/>
              </w:rPr>
              <w:t>）出入口控制设备</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监控摄像设备</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海康威视</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DS-2CD2T20D-I3</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控制显示系统</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智廷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定制</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3</w:t>
            </w:r>
            <w:r>
              <w:rPr>
                <w:rStyle w:val="271"/>
                <w:rFonts w:hint="eastAsia" w:ascii="仿宋" w:hAnsi="仿宋" w:eastAsia="仿宋" w:cs="仿宋"/>
                <w:color w:val="auto"/>
                <w:highlight w:val="none"/>
                <w:lang w:bidi="ar"/>
              </w:rPr>
              <w:t>）配电</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精密列头柜</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智廷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定制</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PDU</w:t>
            </w:r>
            <w:r>
              <w:rPr>
                <w:rStyle w:val="303"/>
                <w:rFonts w:hint="eastAsia" w:ascii="仿宋" w:hAnsi="仿宋" w:eastAsia="仿宋" w:cs="仿宋"/>
                <w:color w:val="auto"/>
                <w:highlight w:val="none"/>
                <w:lang w:bidi="ar"/>
              </w:rPr>
              <w:t>机柜用</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智廷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定制</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40</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动力环境监控系统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1</w:t>
            </w:r>
            <w:r>
              <w:rPr>
                <w:rStyle w:val="271"/>
                <w:rFonts w:hint="eastAsia" w:ascii="仿宋" w:hAnsi="仿宋" w:eastAsia="仿宋" w:cs="仿宋"/>
                <w:color w:val="auto"/>
                <w:highlight w:val="none"/>
                <w:lang w:bidi="ar"/>
              </w:rPr>
              <w:t>）供配电系统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模块</w:t>
            </w:r>
            <w:r>
              <w:rPr>
                <w:rStyle w:val="304"/>
                <w:rFonts w:hint="eastAsia" w:ascii="仿宋" w:hAnsi="仿宋" w:eastAsia="仿宋" w:cs="仿宋"/>
                <w:color w:val="auto"/>
                <w:highlight w:val="none"/>
                <w:lang w:bidi="ar"/>
              </w:rPr>
              <w:t>(</w:t>
            </w:r>
            <w:r>
              <w:rPr>
                <w:rStyle w:val="303"/>
                <w:rFonts w:hint="eastAsia" w:ascii="仿宋" w:hAnsi="仿宋" w:eastAsia="仿宋" w:cs="仿宋"/>
                <w:color w:val="auto"/>
                <w:highlight w:val="none"/>
                <w:lang w:bidi="ar"/>
              </w:rPr>
              <w:t>模块箱）</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D86</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CowinV4.8-PD</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2</w:t>
            </w:r>
            <w:r>
              <w:rPr>
                <w:rStyle w:val="271"/>
                <w:rFonts w:hint="eastAsia" w:ascii="仿宋" w:hAnsi="仿宋" w:eastAsia="仿宋" w:cs="仿宋"/>
                <w:color w:val="auto"/>
                <w:highlight w:val="none"/>
                <w:lang w:bidi="ar"/>
              </w:rPr>
              <w:t>）</w:t>
            </w:r>
            <w:r>
              <w:rPr>
                <w:rStyle w:val="272"/>
                <w:rFonts w:hint="eastAsia" w:ascii="仿宋" w:hAnsi="仿宋" w:eastAsia="仿宋" w:cs="仿宋"/>
                <w:color w:val="auto"/>
                <w:highlight w:val="none"/>
                <w:lang w:bidi="ar"/>
              </w:rPr>
              <w:t>UPS</w:t>
            </w:r>
            <w:r>
              <w:rPr>
                <w:rStyle w:val="271"/>
                <w:rFonts w:hint="eastAsia" w:ascii="仿宋" w:hAnsi="仿宋" w:eastAsia="仿宋" w:cs="仿宋"/>
                <w:color w:val="auto"/>
                <w:highlight w:val="none"/>
                <w:lang w:bidi="ar"/>
              </w:rPr>
              <w:t>监控系统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模块</w:t>
            </w:r>
            <w:r>
              <w:rPr>
                <w:rStyle w:val="304"/>
                <w:rFonts w:hint="eastAsia" w:ascii="仿宋" w:hAnsi="仿宋" w:eastAsia="仿宋" w:cs="仿宋"/>
                <w:color w:val="auto"/>
                <w:highlight w:val="none"/>
                <w:lang w:bidi="ar"/>
              </w:rPr>
              <w:t>(</w:t>
            </w:r>
            <w:r>
              <w:rPr>
                <w:rStyle w:val="303"/>
                <w:rFonts w:hint="eastAsia" w:ascii="仿宋" w:hAnsi="仿宋" w:eastAsia="仿宋" w:cs="仿宋"/>
                <w:color w:val="auto"/>
                <w:highlight w:val="none"/>
                <w:lang w:bidi="ar"/>
              </w:rPr>
              <w:t>模块箱）</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Cowin-RS</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CowinV4.8-UPS</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3</w:t>
            </w:r>
            <w:r>
              <w:rPr>
                <w:rStyle w:val="271"/>
                <w:rFonts w:hint="eastAsia" w:ascii="仿宋" w:hAnsi="仿宋" w:eastAsia="仿宋" w:cs="仿宋"/>
                <w:color w:val="auto"/>
                <w:highlight w:val="none"/>
                <w:lang w:bidi="ar"/>
              </w:rPr>
              <w:t>）智能配电柜监控系统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CowinV4.8-PD</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4</w:t>
            </w:r>
            <w:r>
              <w:rPr>
                <w:rStyle w:val="271"/>
                <w:rFonts w:hint="eastAsia" w:ascii="仿宋" w:hAnsi="仿宋" w:eastAsia="仿宋" w:cs="仿宋"/>
                <w:color w:val="auto"/>
                <w:highlight w:val="none"/>
                <w:lang w:bidi="ar"/>
              </w:rPr>
              <w:t>）精密空调监控系统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模块</w:t>
            </w:r>
            <w:r>
              <w:rPr>
                <w:rStyle w:val="304"/>
                <w:rFonts w:hint="eastAsia" w:ascii="仿宋" w:hAnsi="仿宋" w:eastAsia="仿宋" w:cs="仿宋"/>
                <w:color w:val="auto"/>
                <w:highlight w:val="none"/>
                <w:lang w:bidi="ar"/>
              </w:rPr>
              <w:t>(</w:t>
            </w:r>
            <w:r>
              <w:rPr>
                <w:rStyle w:val="303"/>
                <w:rFonts w:hint="eastAsia" w:ascii="仿宋" w:hAnsi="仿宋" w:eastAsia="仿宋" w:cs="仿宋"/>
                <w:color w:val="auto"/>
                <w:highlight w:val="none"/>
                <w:lang w:bidi="ar"/>
              </w:rPr>
              <w:t>模块箱）</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Cowin-RS</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CowinV4.8-PD</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5</w:t>
            </w:r>
            <w:r>
              <w:rPr>
                <w:rStyle w:val="271"/>
                <w:rFonts w:hint="eastAsia" w:ascii="仿宋" w:hAnsi="仿宋" w:eastAsia="仿宋" w:cs="仿宋"/>
                <w:color w:val="auto"/>
                <w:highlight w:val="none"/>
                <w:lang w:bidi="ar"/>
              </w:rPr>
              <w:t>）温湿度监控系统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智能温湿度传感器</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Cowin-TH</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CowinV4.8-TH</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6</w:t>
            </w:r>
            <w:r>
              <w:rPr>
                <w:rStyle w:val="271"/>
                <w:rFonts w:hint="eastAsia" w:ascii="仿宋" w:hAnsi="仿宋" w:eastAsia="仿宋" w:cs="仿宋"/>
                <w:color w:val="auto"/>
                <w:highlight w:val="none"/>
                <w:lang w:bidi="ar"/>
              </w:rPr>
              <w:t>）机房漏水检测系统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模块</w:t>
            </w:r>
            <w:r>
              <w:rPr>
                <w:rStyle w:val="304"/>
                <w:rFonts w:hint="eastAsia" w:ascii="仿宋" w:hAnsi="仿宋" w:eastAsia="仿宋" w:cs="仿宋"/>
                <w:color w:val="auto"/>
                <w:highlight w:val="none"/>
                <w:lang w:bidi="ar"/>
              </w:rPr>
              <w:t>(</w:t>
            </w:r>
            <w:r>
              <w:rPr>
                <w:rStyle w:val="303"/>
                <w:rFonts w:hint="eastAsia" w:ascii="仿宋" w:hAnsi="仿宋" w:eastAsia="仿宋" w:cs="仿宋"/>
                <w:color w:val="auto"/>
                <w:highlight w:val="none"/>
                <w:lang w:bidi="ar"/>
              </w:rPr>
              <w:t>模块箱）</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Cowin-WLD</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r>
              <w:rPr>
                <w:rStyle w:val="303"/>
                <w:rFonts w:hint="eastAsia" w:ascii="仿宋" w:hAnsi="仿宋" w:eastAsia="仿宋" w:cs="仿宋"/>
                <w:color w:val="auto"/>
                <w:highlight w:val="none"/>
                <w:lang w:bidi="ar"/>
              </w:rPr>
              <w:t>米测漏感应线</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Co-15M-PC</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根</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漏水安装附件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定制</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CowinV4.8-LEAK</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7</w:t>
            </w:r>
            <w:r>
              <w:rPr>
                <w:rStyle w:val="271"/>
                <w:rFonts w:hint="eastAsia" w:ascii="仿宋" w:hAnsi="仿宋" w:eastAsia="仿宋" w:cs="仿宋"/>
                <w:color w:val="auto"/>
                <w:highlight w:val="none"/>
                <w:lang w:bidi="ar"/>
              </w:rPr>
              <w:t>）消防系统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模块</w:t>
            </w:r>
            <w:r>
              <w:rPr>
                <w:rStyle w:val="304"/>
                <w:rFonts w:hint="eastAsia" w:ascii="仿宋" w:hAnsi="仿宋" w:eastAsia="仿宋" w:cs="仿宋"/>
                <w:color w:val="auto"/>
                <w:highlight w:val="none"/>
                <w:lang w:bidi="ar"/>
              </w:rPr>
              <w:t>(</w:t>
            </w:r>
            <w:r>
              <w:rPr>
                <w:rStyle w:val="303"/>
                <w:rFonts w:hint="eastAsia" w:ascii="仿宋" w:hAnsi="仿宋" w:eastAsia="仿宋" w:cs="仿宋"/>
                <w:color w:val="auto"/>
                <w:highlight w:val="none"/>
                <w:lang w:bidi="ar"/>
              </w:rPr>
              <w:t>模块箱）</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Cowin-XF</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CowinV4.8-PD</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8</w:t>
            </w:r>
            <w:r>
              <w:rPr>
                <w:rStyle w:val="271"/>
                <w:rFonts w:hint="eastAsia" w:ascii="仿宋" w:hAnsi="仿宋" w:eastAsia="仿宋" w:cs="仿宋"/>
                <w:color w:val="auto"/>
                <w:highlight w:val="none"/>
                <w:lang w:bidi="ar"/>
              </w:rPr>
              <w:t>）本地监控中心平台</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视频控制设备</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IEI</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RACK-360</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集中监控平台组态软件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电话语音模块</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CowinV-TEL</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短信报警软件模块</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CowinV-SMS</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16</w:t>
            </w:r>
            <w:r>
              <w:rPr>
                <w:rStyle w:val="303"/>
                <w:rFonts w:hint="eastAsia" w:ascii="仿宋" w:hAnsi="仿宋" w:eastAsia="仿宋" w:cs="仿宋"/>
                <w:color w:val="auto"/>
                <w:highlight w:val="none"/>
                <w:lang w:bidi="ar"/>
              </w:rPr>
              <w:t>口串口服务器</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MOXA</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Nport(16)</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6</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数字量输入输出模块</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I7063D</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7</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远程</w:t>
            </w:r>
            <w:r>
              <w:rPr>
                <w:rStyle w:val="304"/>
                <w:rFonts w:hint="eastAsia" w:ascii="仿宋" w:hAnsi="仿宋" w:eastAsia="仿宋" w:cs="仿宋"/>
                <w:color w:val="auto"/>
                <w:highlight w:val="none"/>
                <w:lang w:bidi="ar"/>
              </w:rPr>
              <w:t>IE</w:t>
            </w:r>
            <w:r>
              <w:rPr>
                <w:rStyle w:val="303"/>
                <w:rFonts w:hint="eastAsia" w:ascii="仿宋" w:hAnsi="仿宋" w:eastAsia="仿宋" w:cs="仿宋"/>
                <w:color w:val="auto"/>
                <w:highlight w:val="none"/>
                <w:lang w:bidi="ar"/>
              </w:rPr>
              <w:t>浏览功能</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CowinV4.8-VEB</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8</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报表管理模块</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CowinV4.8-BB</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9</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界面报警软件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CowinV4.8-JM</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多媒体语音报警系统</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Cowin-Mult</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四</w:t>
            </w:r>
            <w:r>
              <w:rPr>
                <w:rStyle w:val="272"/>
                <w:rFonts w:hint="eastAsia" w:ascii="仿宋" w:hAnsi="仿宋" w:eastAsia="仿宋" w:cs="仿宋"/>
                <w:color w:val="auto"/>
                <w:highlight w:val="none"/>
                <w:lang w:bidi="ar"/>
              </w:rPr>
              <w:t>.</w:t>
            </w:r>
            <w:r>
              <w:rPr>
                <w:rStyle w:val="271"/>
                <w:rFonts w:hint="eastAsia" w:ascii="仿宋" w:hAnsi="仿宋" w:eastAsia="仿宋" w:cs="仿宋"/>
                <w:color w:val="auto"/>
                <w:highlight w:val="none"/>
                <w:lang w:bidi="ar"/>
              </w:rPr>
              <w:t>冗余机房</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UPS</w:t>
            </w:r>
            <w:r>
              <w:rPr>
                <w:rStyle w:val="271"/>
                <w:rFonts w:hint="eastAsia" w:ascii="仿宋" w:hAnsi="仿宋" w:eastAsia="仿宋" w:cs="仿宋"/>
                <w:color w:val="auto"/>
                <w:highlight w:val="none"/>
                <w:lang w:bidi="ar"/>
              </w:rPr>
              <w:t>不间断电源系统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UPS</w:t>
            </w:r>
            <w:r>
              <w:rPr>
                <w:rStyle w:val="303"/>
                <w:rFonts w:hint="eastAsia" w:ascii="仿宋" w:hAnsi="仿宋" w:eastAsia="仿宋" w:cs="仿宋"/>
                <w:color w:val="auto"/>
                <w:highlight w:val="none"/>
                <w:lang w:bidi="ar"/>
              </w:rPr>
              <w:t>主机</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科士达</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30kva</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电池</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灯塔</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12v 100ah</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节</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32</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16A PDU</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国产</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8</w:t>
            </w:r>
            <w:r>
              <w:rPr>
                <w:rStyle w:val="303"/>
                <w:rFonts w:hint="eastAsia" w:ascii="仿宋" w:hAnsi="仿宋" w:eastAsia="仿宋" w:cs="仿宋"/>
                <w:color w:val="auto"/>
                <w:highlight w:val="none"/>
                <w:lang w:bidi="ar"/>
              </w:rPr>
              <w:t>口</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6</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10A PDU</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国产</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12</w:t>
            </w:r>
            <w:r>
              <w:rPr>
                <w:rStyle w:val="303"/>
                <w:rFonts w:hint="eastAsia" w:ascii="仿宋" w:hAnsi="仿宋" w:eastAsia="仿宋" w:cs="仿宋"/>
                <w:color w:val="auto"/>
                <w:highlight w:val="none"/>
                <w:lang w:bidi="ar"/>
              </w:rPr>
              <w:t>口</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6</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精密空调系统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空调器</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依米康</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SCA121U</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精密空调滤网更换</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国产</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每季度一次</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次</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精密空调加湿器、管道、室外机等清洗</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国产</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每季度一次</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次</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动力环境监控系统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1</w:t>
            </w:r>
            <w:r>
              <w:rPr>
                <w:rStyle w:val="271"/>
                <w:rFonts w:hint="eastAsia" w:ascii="仿宋" w:hAnsi="仿宋" w:eastAsia="仿宋" w:cs="仿宋"/>
                <w:color w:val="auto"/>
                <w:highlight w:val="none"/>
                <w:lang w:bidi="ar"/>
              </w:rPr>
              <w:t>）供配电系统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模块</w:t>
            </w:r>
            <w:r>
              <w:rPr>
                <w:rStyle w:val="304"/>
                <w:rFonts w:hint="eastAsia" w:ascii="仿宋" w:hAnsi="仿宋" w:eastAsia="仿宋" w:cs="仿宋"/>
                <w:color w:val="auto"/>
                <w:highlight w:val="none"/>
                <w:lang w:bidi="ar"/>
              </w:rPr>
              <w:t>(</w:t>
            </w:r>
            <w:r>
              <w:rPr>
                <w:rStyle w:val="303"/>
                <w:rFonts w:hint="eastAsia" w:ascii="仿宋" w:hAnsi="仿宋" w:eastAsia="仿宋" w:cs="仿宋"/>
                <w:color w:val="auto"/>
                <w:highlight w:val="none"/>
                <w:lang w:bidi="ar"/>
              </w:rPr>
              <w:t>模块箱）</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D86</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CowinV4.8-PD</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2</w:t>
            </w:r>
            <w:r>
              <w:rPr>
                <w:rStyle w:val="271"/>
                <w:rFonts w:hint="eastAsia" w:ascii="仿宋" w:hAnsi="仿宋" w:eastAsia="仿宋" w:cs="仿宋"/>
                <w:color w:val="auto"/>
                <w:highlight w:val="none"/>
                <w:lang w:bidi="ar"/>
              </w:rPr>
              <w:t>）</w:t>
            </w:r>
            <w:r>
              <w:rPr>
                <w:rStyle w:val="272"/>
                <w:rFonts w:hint="eastAsia" w:ascii="仿宋" w:hAnsi="仿宋" w:eastAsia="仿宋" w:cs="仿宋"/>
                <w:color w:val="auto"/>
                <w:highlight w:val="none"/>
                <w:lang w:bidi="ar"/>
              </w:rPr>
              <w:t>UPS</w:t>
            </w:r>
            <w:r>
              <w:rPr>
                <w:rStyle w:val="271"/>
                <w:rFonts w:hint="eastAsia" w:ascii="仿宋" w:hAnsi="仿宋" w:eastAsia="仿宋" w:cs="仿宋"/>
                <w:color w:val="auto"/>
                <w:highlight w:val="none"/>
                <w:lang w:bidi="ar"/>
              </w:rPr>
              <w:t>监控系统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模块</w:t>
            </w:r>
            <w:r>
              <w:rPr>
                <w:rStyle w:val="304"/>
                <w:rFonts w:hint="eastAsia" w:ascii="仿宋" w:hAnsi="仿宋" w:eastAsia="仿宋" w:cs="仿宋"/>
                <w:color w:val="auto"/>
                <w:highlight w:val="none"/>
                <w:lang w:bidi="ar"/>
              </w:rPr>
              <w:t>(</w:t>
            </w:r>
            <w:r>
              <w:rPr>
                <w:rStyle w:val="303"/>
                <w:rFonts w:hint="eastAsia" w:ascii="仿宋" w:hAnsi="仿宋" w:eastAsia="仿宋" w:cs="仿宋"/>
                <w:color w:val="auto"/>
                <w:highlight w:val="none"/>
                <w:lang w:bidi="ar"/>
              </w:rPr>
              <w:t>模块箱）</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Cowin-RS</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CowinV4.8-UPS</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3</w:t>
            </w:r>
            <w:r>
              <w:rPr>
                <w:rStyle w:val="271"/>
                <w:rFonts w:hint="eastAsia" w:ascii="仿宋" w:hAnsi="仿宋" w:eastAsia="仿宋" w:cs="仿宋"/>
                <w:color w:val="auto"/>
                <w:highlight w:val="none"/>
                <w:lang w:bidi="ar"/>
              </w:rPr>
              <w:t>）精密空调监控系统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模块</w:t>
            </w:r>
            <w:r>
              <w:rPr>
                <w:rStyle w:val="304"/>
                <w:rFonts w:hint="eastAsia" w:ascii="仿宋" w:hAnsi="仿宋" w:eastAsia="仿宋" w:cs="仿宋"/>
                <w:color w:val="auto"/>
                <w:highlight w:val="none"/>
                <w:lang w:bidi="ar"/>
              </w:rPr>
              <w:t>(</w:t>
            </w:r>
            <w:r>
              <w:rPr>
                <w:rStyle w:val="303"/>
                <w:rFonts w:hint="eastAsia" w:ascii="仿宋" w:hAnsi="仿宋" w:eastAsia="仿宋" w:cs="仿宋"/>
                <w:color w:val="auto"/>
                <w:highlight w:val="none"/>
                <w:lang w:bidi="ar"/>
              </w:rPr>
              <w:t>模块箱）</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Cowin-RS</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4</w:t>
            </w:r>
            <w:r>
              <w:rPr>
                <w:rStyle w:val="271"/>
                <w:rFonts w:hint="eastAsia" w:ascii="仿宋" w:hAnsi="仿宋" w:eastAsia="仿宋" w:cs="仿宋"/>
                <w:color w:val="auto"/>
                <w:highlight w:val="none"/>
                <w:lang w:bidi="ar"/>
              </w:rPr>
              <w:t>）温湿度监控系统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智能温湿度传感器</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Cowin-TH</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CowinV4.8-TH</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5</w:t>
            </w:r>
            <w:r>
              <w:rPr>
                <w:rStyle w:val="271"/>
                <w:rFonts w:hint="eastAsia" w:ascii="仿宋" w:hAnsi="仿宋" w:eastAsia="仿宋" w:cs="仿宋"/>
                <w:color w:val="auto"/>
                <w:highlight w:val="none"/>
                <w:lang w:bidi="ar"/>
              </w:rPr>
              <w:t>）机房漏水检测系统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模块</w:t>
            </w:r>
            <w:r>
              <w:rPr>
                <w:rStyle w:val="304"/>
                <w:rFonts w:hint="eastAsia" w:ascii="仿宋" w:hAnsi="仿宋" w:eastAsia="仿宋" w:cs="仿宋"/>
                <w:color w:val="auto"/>
                <w:highlight w:val="none"/>
                <w:lang w:bidi="ar"/>
              </w:rPr>
              <w:t>(</w:t>
            </w:r>
            <w:r>
              <w:rPr>
                <w:rStyle w:val="303"/>
                <w:rFonts w:hint="eastAsia" w:ascii="仿宋" w:hAnsi="仿宋" w:eastAsia="仿宋" w:cs="仿宋"/>
                <w:color w:val="auto"/>
                <w:highlight w:val="none"/>
                <w:lang w:bidi="ar"/>
              </w:rPr>
              <w:t>模块箱）</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Cowin-WLD</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r>
              <w:rPr>
                <w:rStyle w:val="303"/>
                <w:rFonts w:hint="eastAsia" w:ascii="仿宋" w:hAnsi="仿宋" w:eastAsia="仿宋" w:cs="仿宋"/>
                <w:color w:val="auto"/>
                <w:highlight w:val="none"/>
                <w:lang w:bidi="ar"/>
              </w:rPr>
              <w:t>米测漏感应线</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Co-15M-PC</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根</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漏水安装附件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CowinV4.8-LEAK</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6</w:t>
            </w:r>
            <w:r>
              <w:rPr>
                <w:rStyle w:val="271"/>
                <w:rFonts w:hint="eastAsia" w:ascii="仿宋" w:hAnsi="仿宋" w:eastAsia="仿宋" w:cs="仿宋"/>
                <w:color w:val="auto"/>
                <w:highlight w:val="none"/>
                <w:lang w:bidi="ar"/>
              </w:rPr>
              <w:t>）消防系统</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模块</w:t>
            </w:r>
            <w:r>
              <w:rPr>
                <w:rStyle w:val="304"/>
                <w:rFonts w:hint="eastAsia" w:ascii="仿宋" w:hAnsi="仿宋" w:eastAsia="仿宋" w:cs="仿宋"/>
                <w:color w:val="auto"/>
                <w:highlight w:val="none"/>
                <w:lang w:bidi="ar"/>
              </w:rPr>
              <w:t>(</w:t>
            </w:r>
            <w:r>
              <w:rPr>
                <w:rStyle w:val="303"/>
                <w:rFonts w:hint="eastAsia" w:ascii="仿宋" w:hAnsi="仿宋" w:eastAsia="仿宋" w:cs="仿宋"/>
                <w:color w:val="auto"/>
                <w:highlight w:val="none"/>
                <w:lang w:bidi="ar"/>
              </w:rPr>
              <w:t>模块箱）</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Cowin-RD</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信息流监控平台软件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CowinV4.8-XF</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1917" w:type="pct"/>
            <w:gridSpan w:val="2"/>
            <w:tcBorders>
              <w:top w:val="nil"/>
              <w:left w:val="single" w:color="auto" w:sz="4" w:space="0"/>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7</w:t>
            </w:r>
            <w:r>
              <w:rPr>
                <w:rStyle w:val="271"/>
                <w:rFonts w:hint="eastAsia" w:ascii="仿宋" w:hAnsi="仿宋" w:eastAsia="仿宋" w:cs="仿宋"/>
                <w:color w:val="auto"/>
                <w:highlight w:val="none"/>
                <w:lang w:bidi="ar"/>
              </w:rPr>
              <w:t>）本地监控中心平台</w:t>
            </w:r>
          </w:p>
        </w:tc>
        <w:tc>
          <w:tcPr>
            <w:tcW w:w="579" w:type="pct"/>
            <w:tcBorders>
              <w:top w:val="nil"/>
              <w:left w:val="nil"/>
              <w:bottom w:val="single" w:color="auto" w:sz="4" w:space="0"/>
              <w:right w:val="single" w:color="auto" w:sz="4" w:space="0"/>
            </w:tcBorders>
            <w:noWrap/>
            <w:vAlign w:val="center"/>
          </w:tcPr>
          <w:p>
            <w:pPr>
              <w:widowControl/>
              <w:jc w:val="left"/>
              <w:textAlignment w:val="center"/>
              <w:rPr>
                <w:rFonts w:hint="eastAsia" w:ascii="仿宋" w:hAnsi="仿宋" w:eastAsia="仿宋" w:cs="仿宋"/>
                <w:b/>
                <w:bCs/>
                <w:color w:val="auto"/>
                <w:sz w:val="24"/>
                <w:highlight w:val="none"/>
              </w:rPr>
            </w:pP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视频控制设备</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RACK-360</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台</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集中监控平台组态软件</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Cowin V4.8</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串口服务器</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Nport</w:t>
            </w:r>
            <w:r>
              <w:rPr>
                <w:rStyle w:val="303"/>
                <w:rFonts w:hint="eastAsia" w:ascii="仿宋" w:hAnsi="仿宋" w:eastAsia="仿宋" w:cs="仿宋"/>
                <w:color w:val="auto"/>
                <w:highlight w:val="none"/>
                <w:lang w:bidi="ar"/>
              </w:rPr>
              <w:t>（</w:t>
            </w:r>
            <w:r>
              <w:rPr>
                <w:rStyle w:val="304"/>
                <w:rFonts w:hint="eastAsia" w:ascii="仿宋" w:hAnsi="仿宋" w:eastAsia="仿宋" w:cs="仿宋"/>
                <w:color w:val="auto"/>
                <w:highlight w:val="none"/>
                <w:lang w:bidi="ar"/>
              </w:rPr>
              <w:t>8</w:t>
            </w:r>
            <w:r>
              <w:rPr>
                <w:rStyle w:val="303"/>
                <w:rFonts w:hint="eastAsia" w:ascii="仿宋" w:hAnsi="仿宋" w:eastAsia="仿宋" w:cs="仿宋"/>
                <w:color w:val="auto"/>
                <w:highlight w:val="none"/>
                <w:lang w:bidi="ar"/>
              </w:rPr>
              <w:t>）</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r>
        <w:tblPrEx>
          <w:tblCellMar>
            <w:top w:w="0" w:type="dxa"/>
            <w:left w:w="108" w:type="dxa"/>
            <w:bottom w:w="0" w:type="dxa"/>
            <w:right w:w="108" w:type="dxa"/>
          </w:tblCellMar>
        </w:tblPrEx>
        <w:trPr>
          <w:trHeight w:val="454" w:hRule="atLeast"/>
          <w:jc w:val="center"/>
        </w:trPr>
        <w:tc>
          <w:tcPr>
            <w:tcW w:w="390" w:type="pct"/>
            <w:tcBorders>
              <w:top w:val="nil"/>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527"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数字量输入输出模块</w:t>
            </w:r>
          </w:p>
        </w:tc>
        <w:tc>
          <w:tcPr>
            <w:tcW w:w="57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卓佑</w:t>
            </w:r>
          </w:p>
        </w:tc>
        <w:tc>
          <w:tcPr>
            <w:tcW w:w="1709"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I-7063D</w:t>
            </w:r>
          </w:p>
        </w:tc>
        <w:tc>
          <w:tcPr>
            <w:tcW w:w="396"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395" w:type="pct"/>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r>
    </w:tbl>
    <w:p>
      <w:pPr>
        <w:widowControl/>
        <w:spacing w:line="360" w:lineRule="auto"/>
        <w:jc w:val="left"/>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（二）昌安院区维保设备清单</w:t>
      </w:r>
    </w:p>
    <w:tbl>
      <w:tblPr>
        <w:tblStyle w:val="43"/>
        <w:tblW w:w="9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840"/>
        <w:gridCol w:w="1130"/>
        <w:gridCol w:w="3175"/>
        <w:gridCol w:w="737"/>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序号</w:t>
            </w:r>
          </w:p>
        </w:tc>
        <w:tc>
          <w:tcPr>
            <w:tcW w:w="2840" w:type="dxa"/>
            <w:noWrap/>
            <w:vAlign w:val="center"/>
          </w:tcPr>
          <w:p>
            <w:pPr>
              <w:widowControl/>
              <w:jc w:val="center"/>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项目名称</w:t>
            </w:r>
          </w:p>
        </w:tc>
        <w:tc>
          <w:tcPr>
            <w:tcW w:w="1130" w:type="dxa"/>
            <w:noWrap/>
            <w:vAlign w:val="center"/>
          </w:tcPr>
          <w:p>
            <w:pPr>
              <w:widowControl/>
              <w:jc w:val="center"/>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品牌</w:t>
            </w:r>
          </w:p>
        </w:tc>
        <w:tc>
          <w:tcPr>
            <w:tcW w:w="3175" w:type="dxa"/>
            <w:noWrap/>
            <w:vAlign w:val="center"/>
          </w:tcPr>
          <w:p>
            <w:pPr>
              <w:widowControl/>
              <w:jc w:val="center"/>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型号</w:t>
            </w:r>
          </w:p>
        </w:tc>
        <w:tc>
          <w:tcPr>
            <w:tcW w:w="737" w:type="dxa"/>
            <w:noWrap/>
            <w:vAlign w:val="center"/>
          </w:tcPr>
          <w:p>
            <w:pPr>
              <w:widowControl/>
              <w:jc w:val="center"/>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单位</w:t>
            </w:r>
          </w:p>
        </w:tc>
        <w:tc>
          <w:tcPr>
            <w:tcW w:w="737" w:type="dxa"/>
            <w:noWrap/>
            <w:vAlign w:val="center"/>
          </w:tcPr>
          <w:p>
            <w:pPr>
              <w:widowControl/>
              <w:jc w:val="center"/>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55" w:type="dxa"/>
            <w:gridSpan w:val="2"/>
            <w:noWrap/>
            <w:vAlign w:val="center"/>
          </w:tcPr>
          <w:p>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b/>
                <w:bCs/>
                <w:color w:val="auto"/>
                <w:kern w:val="0"/>
                <w:sz w:val="24"/>
                <w:highlight w:val="none"/>
                <w:lang w:bidi="ar"/>
              </w:rPr>
              <w:t>一.网络设备（不含设备网）</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3楼机房内接入交换机-1</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华为</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S2700-26TP-Si-AC</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3楼机房内接入交换机-2</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FAST</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FS24D</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3楼机房内接入交换机-3</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NETGEAR</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JFS524</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3楼机房内接入交换机-4</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华为</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S2700-26TP-Si-AC</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3楼机房内接入交换机-5</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华为</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S1724G</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6</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1楼消控室接入交换机-1</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华为</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S1724G</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7</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1楼消控室接入交换机-2</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华为</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S2700</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8</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1楼门诊康复部交换机-1</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华为</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S5720S-28P-LI-AC</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3楼接入层接入交换机</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华为</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S1724G</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10</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5楼接入层接入交换机-1</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华为</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S1724G</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11</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7楼楼层交换机-1</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华为</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S2700</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55" w:type="dxa"/>
            <w:gridSpan w:val="2"/>
            <w:noWrap/>
            <w:vAlign w:val="center"/>
          </w:tcPr>
          <w:p>
            <w:pPr>
              <w:widowControl/>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二.中心机房</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55" w:type="dxa"/>
            <w:gridSpan w:val="2"/>
            <w:noWrap/>
            <w:vAlign w:val="center"/>
          </w:tcPr>
          <w:p>
            <w:pPr>
              <w:widowControl/>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机房供配电部分</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UPS主机</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科士达</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YDC3330H</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蓄电池</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灯塔</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12V100AH</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节</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UPS主机</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山特</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CASTLE 10KS</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套</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蓄电池</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灯塔</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12V100AH</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节</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精密配电柜</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国产</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定制</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套</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6</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PDU机柜用</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图腾</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 xml:space="preserve"> 8口  16A</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个</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7</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工业连接器</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国产</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16A</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个</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55" w:type="dxa"/>
            <w:gridSpan w:val="2"/>
            <w:noWrap/>
            <w:vAlign w:val="center"/>
          </w:tcPr>
          <w:p>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b/>
                <w:bCs/>
                <w:color w:val="auto"/>
                <w:kern w:val="0"/>
                <w:sz w:val="24"/>
                <w:highlight w:val="none"/>
                <w:lang w:bidi="ar"/>
              </w:rPr>
              <w:t>空调</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精密空调</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伊米康</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SCA362UES</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5P空调</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大金</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FNCQ205</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55" w:type="dxa"/>
            <w:gridSpan w:val="2"/>
            <w:noWrap/>
            <w:vAlign w:val="center"/>
          </w:tcPr>
          <w:p>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b/>
                <w:bCs/>
                <w:color w:val="auto"/>
                <w:kern w:val="0"/>
                <w:sz w:val="24"/>
                <w:highlight w:val="none"/>
                <w:lang w:bidi="ar"/>
              </w:rPr>
              <w:t>机房设备管控系统</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KVM</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力登</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Rantion DKX3-132</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套</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KVM</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ATEN</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CL-5716</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套</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55" w:type="dxa"/>
            <w:gridSpan w:val="2"/>
            <w:noWrap/>
            <w:vAlign w:val="center"/>
          </w:tcPr>
          <w:p>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b/>
                <w:bCs/>
                <w:color w:val="auto"/>
                <w:kern w:val="0"/>
                <w:sz w:val="24"/>
                <w:highlight w:val="none"/>
                <w:lang w:bidi="ar"/>
              </w:rPr>
              <w:t>环境监控系统</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门禁电源</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海康威视</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DS-K7M-AW50/12V5A</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只</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指纹读卡器</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海康威视</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DS-K1201MF</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开门按钮</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海康威视</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EB29</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只</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摄像机</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海康威视</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DS-2CD7A47</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只</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温湿度仪</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斯必得</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SPD-HT485</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只</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6</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烟感</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斯必得</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SM30</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只</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7</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环境检测终端</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斯必得</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SPD-200GSM</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8</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环境检测485转TCP/IP转换器</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斯必得</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SPD-HT485</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录像机</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海康威视</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DS-7608N-K2</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10</w:t>
            </w:r>
          </w:p>
        </w:tc>
        <w:tc>
          <w:tcPr>
            <w:tcW w:w="284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硬盘</w:t>
            </w:r>
          </w:p>
        </w:tc>
        <w:tc>
          <w:tcPr>
            <w:tcW w:w="1130"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希捷</w:t>
            </w:r>
          </w:p>
        </w:tc>
        <w:tc>
          <w:tcPr>
            <w:tcW w:w="3175"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3T</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块</w:t>
            </w:r>
          </w:p>
        </w:tc>
        <w:tc>
          <w:tcPr>
            <w:tcW w:w="737" w:type="dxa"/>
            <w:noWrap/>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r>
    </w:tbl>
    <w:p>
      <w:pPr>
        <w:pStyle w:val="114"/>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注：1、由于历经维修、更换、改造，部分设备、数量存在跟上述不一致，以现场存在的设备为准。</w:t>
      </w:r>
    </w:p>
    <w:p>
      <w:pPr>
        <w:widowControl/>
        <w:spacing w:line="360" w:lineRule="auto"/>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3、项目维保内容</w:t>
      </w:r>
    </w:p>
    <w:p>
      <w:pPr>
        <w:widowControl/>
        <w:snapToGrid w:val="0"/>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（1）中心院区数据中心机房：</w:t>
      </w:r>
      <w:r>
        <w:rPr>
          <w:rFonts w:hint="eastAsia" w:ascii="仿宋" w:hAnsi="仿宋" w:eastAsia="仿宋" w:cs="仿宋"/>
          <w:color w:val="auto"/>
          <w:kern w:val="0"/>
          <w:sz w:val="24"/>
          <w:highlight w:val="none"/>
        </w:rPr>
        <w:t>配电系统、UPS不间断电源系统（电池本次更换）、精密空调系统、机柜冷池系统、门禁系统、动力环境监控系统等。</w:t>
      </w:r>
    </w:p>
    <w:p>
      <w:pPr>
        <w:widowControl/>
        <w:snapToGrid w:val="0"/>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（2）中心院区冗余机房：</w:t>
      </w:r>
      <w:r>
        <w:rPr>
          <w:rFonts w:hint="eastAsia" w:ascii="仿宋" w:hAnsi="仿宋" w:eastAsia="仿宋" w:cs="仿宋"/>
          <w:color w:val="auto"/>
          <w:kern w:val="0"/>
          <w:sz w:val="24"/>
          <w:highlight w:val="none"/>
        </w:rPr>
        <w:t>配电系统、UPS不间断电源系统（电池本次更换）、精密空调系统、气体灭火系统、门禁系统、动力环境监控系统等。</w:t>
      </w:r>
    </w:p>
    <w:p>
      <w:pPr>
        <w:widowControl/>
        <w:snapToGrid w:val="0"/>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（3）昌安院区中心机房：</w:t>
      </w:r>
      <w:r>
        <w:rPr>
          <w:rFonts w:hint="eastAsia" w:ascii="仿宋" w:hAnsi="仿宋" w:eastAsia="仿宋" w:cs="仿宋"/>
          <w:color w:val="auto"/>
          <w:kern w:val="0"/>
          <w:sz w:val="24"/>
          <w:highlight w:val="none"/>
        </w:rPr>
        <w:t>配电系统、UPS不间断电源系统、精密空调系统、门禁系统、动力环境监控系统等。</w:t>
      </w:r>
    </w:p>
    <w:p>
      <w:pPr>
        <w:pStyle w:val="114"/>
        <w:spacing w:line="360" w:lineRule="auto"/>
        <w:ind w:firstLine="482" w:firstLineChars="200"/>
        <w:rPr>
          <w:rFonts w:hint="eastAsia" w:ascii="仿宋" w:hAnsi="仿宋" w:eastAsia="仿宋" w:cs="仿宋"/>
          <w:color w:val="auto"/>
          <w:highlight w:val="none"/>
          <w:lang w:val="zh-CN"/>
        </w:rPr>
      </w:pPr>
      <w:r>
        <w:rPr>
          <w:rFonts w:hint="eastAsia" w:ascii="仿宋" w:hAnsi="仿宋" w:eastAsia="仿宋" w:cs="仿宋"/>
          <w:b/>
          <w:bCs/>
          <w:color w:val="auto"/>
          <w:highlight w:val="none"/>
        </w:rPr>
        <w:t>（4）中心院区和昌安院区计算机网络系统（内外网）。</w:t>
      </w:r>
    </w:p>
    <w:p>
      <w:pPr>
        <w:pStyle w:val="114"/>
        <w:spacing w:line="360" w:lineRule="auto"/>
        <w:ind w:firstLine="482" w:firstLineChars="200"/>
        <w:rPr>
          <w:rFonts w:hint="eastAsia" w:ascii="仿宋" w:hAnsi="仿宋" w:eastAsia="仿宋" w:cs="仿宋"/>
          <w:color w:val="auto"/>
          <w:highlight w:val="none"/>
          <w:lang w:val="zh-CN"/>
        </w:rPr>
      </w:pPr>
      <w:r>
        <w:rPr>
          <w:rFonts w:hint="eastAsia" w:ascii="仿宋" w:hAnsi="仿宋" w:eastAsia="仿宋" w:cs="仿宋"/>
          <w:b/>
          <w:bCs/>
          <w:color w:val="auto"/>
          <w:highlight w:val="none"/>
        </w:rPr>
        <w:t>（5）中心院区排队叫号显示系统。</w:t>
      </w:r>
    </w:p>
    <w:p>
      <w:pPr>
        <w:widowControl/>
        <w:spacing w:line="360" w:lineRule="auto"/>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4、具体维护要求</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rPr>
        <w:t>（1）巡检及保养等服务。</w:t>
      </w:r>
      <w:r>
        <w:rPr>
          <w:rFonts w:hint="eastAsia" w:ascii="仿宋" w:hAnsi="仿宋" w:eastAsia="仿宋" w:cs="仿宋"/>
          <w:color w:val="auto"/>
          <w:kern w:val="0"/>
          <w:sz w:val="24"/>
          <w:highlight w:val="none"/>
        </w:rPr>
        <w:t>对服务内容提供巡检、保养、维护、检测等服务，其中巡检服务每月度不少于1次并提供书面巡检服务报告。</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rPr>
        <w:t>（2）突发事件应急响应。</w:t>
      </w:r>
      <w:r>
        <w:rPr>
          <w:rFonts w:hint="eastAsia" w:ascii="仿宋" w:hAnsi="仿宋" w:eastAsia="仿宋" w:cs="仿宋"/>
          <w:color w:val="auto"/>
          <w:kern w:val="0"/>
          <w:sz w:val="24"/>
          <w:highlight w:val="none"/>
        </w:rPr>
        <w:t>对各类突发事件提供应急处理、故障排除等服务（其中紧急事件需提供1小时应急响应，一般问题4小时解决）。</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rPr>
        <w:t>（3）配件维修及更换服务。</w:t>
      </w:r>
      <w:r>
        <w:rPr>
          <w:rFonts w:hint="eastAsia" w:ascii="仿宋" w:hAnsi="仿宋" w:eastAsia="仿宋" w:cs="仿宋"/>
          <w:color w:val="auto"/>
          <w:kern w:val="0"/>
          <w:sz w:val="24"/>
          <w:highlight w:val="none"/>
        </w:rPr>
        <w:t>服务期内对日常巡检及突发事件中发现的问题提供配件维修及更换服务，对于重大突发事件4小时内无法解决问题的，需在24小时内提供备品备件。</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rPr>
        <w:t>（4）机房线路整理服务。</w:t>
      </w:r>
      <w:r>
        <w:rPr>
          <w:rFonts w:hint="eastAsia" w:ascii="仿宋" w:hAnsi="仿宋" w:eastAsia="仿宋" w:cs="仿宋"/>
          <w:color w:val="auto"/>
          <w:kern w:val="0"/>
          <w:sz w:val="24"/>
          <w:highlight w:val="none"/>
        </w:rPr>
        <w:t>服务期内根据用户方要求做好机房内各类线路（包括网线、光纤、电源线等）的整理，全年不少于2次。</w:t>
      </w:r>
    </w:p>
    <w:p>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（5）机房完善建议服务。</w:t>
      </w:r>
      <w:r>
        <w:rPr>
          <w:rFonts w:hint="eastAsia" w:ascii="仿宋" w:hAnsi="仿宋" w:eastAsia="仿宋" w:cs="仿宋"/>
          <w:color w:val="auto"/>
          <w:kern w:val="0"/>
          <w:sz w:val="24"/>
          <w:highlight w:val="none"/>
        </w:rPr>
        <w:t>服务期内需协助用户制订机房完善方案（如用电、制冷等），全年提供不少于1次方案。</w:t>
      </w:r>
    </w:p>
    <w:p>
      <w:pPr>
        <w:pStyle w:val="114"/>
        <w:spacing w:line="360" w:lineRule="auto"/>
        <w:ind w:firstLine="482" w:firstLineChars="200"/>
        <w:rPr>
          <w:rFonts w:hint="eastAsia" w:ascii="仿宋" w:hAnsi="仿宋" w:eastAsia="仿宋" w:cs="仿宋"/>
          <w:color w:val="auto"/>
          <w:highlight w:val="none"/>
        </w:rPr>
      </w:pPr>
      <w:r>
        <w:rPr>
          <w:rFonts w:hint="eastAsia" w:ascii="仿宋" w:hAnsi="仿宋" w:eastAsia="仿宋" w:cs="仿宋"/>
          <w:b/>
          <w:bCs/>
          <w:color w:val="auto"/>
          <w:highlight w:val="none"/>
        </w:rPr>
        <w:t>（6）重大事件保障服务。</w:t>
      </w:r>
      <w:r>
        <w:rPr>
          <w:rFonts w:hint="eastAsia" w:ascii="仿宋" w:hAnsi="仿宋" w:eastAsia="仿宋" w:cs="仿宋"/>
          <w:color w:val="auto"/>
          <w:highlight w:val="none"/>
        </w:rPr>
        <w:t>遇医院重大事件时需安排专业技术人员进行保驾护航工作。</w:t>
      </w:r>
    </w:p>
    <w:p>
      <w:pPr>
        <w:spacing w:line="288" w:lineRule="auto"/>
        <w:ind w:firstLine="482" w:firstLineChars="200"/>
        <w:outlineLvl w:val="0"/>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rPr>
        <w:t>（7）</w:t>
      </w:r>
      <w:r>
        <w:rPr>
          <w:rFonts w:hint="eastAsia" w:ascii="仿宋" w:hAnsi="仿宋" w:eastAsia="仿宋" w:cs="仿宋"/>
          <w:b/>
          <w:color w:val="auto"/>
          <w:sz w:val="24"/>
          <w:highlight w:val="none"/>
        </w:rPr>
        <w:t>要求中标方根据招标方要求，在指定时间内分别对四楼数据中心机房和一楼灾备机房的UPS电池（含电池线）进行整体免费更换，蓄电池总组装数量为96节，中标后需提供蓄电池原厂3年质保函,</w:t>
      </w:r>
      <w:r>
        <w:rPr>
          <w:rFonts w:hint="eastAsia" w:ascii="仿宋" w:hAnsi="仿宋" w:eastAsia="仿宋" w:cs="仿宋"/>
          <w:b/>
          <w:color w:val="auto"/>
          <w:sz w:val="24"/>
          <w:highlight w:val="none"/>
        </w:rPr>
        <w:t>按照医院报废处置流程做好相关报废工作</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蓄电池要求如下：</w:t>
      </w:r>
    </w:p>
    <w:tbl>
      <w:tblPr>
        <w:tblStyle w:val="44"/>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★规格：12V100AH，阀控式密封免维护铅酸蓄电池，重量不低于32.5kg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1.单体电池额定电压：12V；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2.单体电池浮充电压：13.5-13.7V；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3.单体电池均衡充电电压：13.8-14.1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4.当蓄电池运行温度在-20--+50℃条件下，其性能指标应满足正常使用要求；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 ▲蓄电池设计浮充寿命≥12年，提供厂家产品规格书；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6.蓄电池间接线板、终端接头应选择导电性能优良的材料，并具有防腐措施。蓄电池槽、盖、安全阀，极柱封口剂等材料应具有阻燃性；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7. ▲蓄电池必须采用高强度的ABS阻燃外壳，材质必须达到V0级并提供第三方检测报告；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8.蓄电池采用全密封防泄漏结构，外壳无变形、裂纹及污迹，上盖及端子无损伤，正常工作时无酸雾逸出；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9.蓄电池极性正确，正负极及端子有明显标志，便于连接；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10. ▲单体电池开路电压均衡性应满足一组蓄电池中任意两个电池的端电压差不超过20mV，电池进入浮充状态24h后，电池压差不超过50mV,电池进行10h率容量放电，电池压差不超过160mV，提供第三方检测报告；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11. ▲蓄电池使用期间安全阀应自动开启闭合，开阀压力应在10KPa-25KPa范围内，闭阀压力应在10KPa-20KPa范围，提供第三方检测报告；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12.蓄电池在大电流放电后，极柱不应熔断，其外观不得出现异常；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13.蓄电池具有很强的耐过充能力和过充寿命，大电流连续充电16小时外形无明显变形及渗液；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14.蓄电池在-30-65℃时封口剂应无裂纹及溢流；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15.制造厂家提供的蓄电池内阻值，应与实测的蓄电池内阻值一致；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 ▲蓄电池组应按9烈度抗震性能考虑设备的设计能承受并保持结构的完整性，提供相关证书；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17.蓄电池间连接采用软连接线缆，外观无裸露端子；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18. ▲蓄电池密封反应效率不低于97.8%,提供第三方检测报告；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19.同组蓄电池10H率容量试验时，最大实际容量与最小实际容量差值≤1.5%；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20.蓄电池内阻应≤8mΩ；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21. ▲低温敏感性：达到额定容量值的蓄电池，经完全充电后，在25℃±5℃环境中，以I10电流放电至终止电压，蓄电池不经再充电置于－18℃±2℃的低温室（箱）中静置72h，再在室温下开路静置24h，在25℃±5℃环境中以Uflo电压（限流0.2C10）连续充电168h。蓄电池进行10h率容量试验，此时测得的容量修正值应≥0.96C10。外观应无破裂、过度膨胀及槽、盖分离现象。请提供第三方检测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22.蓄电池按1h率电流放电，在同一铁架内相邻两只电池极柱根部测量的电池之间的标配1h率连接条压降≤5.5mV。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23. ▲推荐品牌：灯塔（卧龙电气）、西恩迪C&amp;D、沈阳松下。</w:t>
            </w:r>
          </w:p>
        </w:tc>
      </w:tr>
    </w:tbl>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
        <w:rPr>
          <w:rFonts w:hint="eastAsia" w:ascii="仿宋" w:hAnsi="仿宋" w:eastAsia="仿宋" w:cs="仿宋"/>
          <w:color w:val="auto"/>
          <w:highlight w:val="none"/>
        </w:rPr>
      </w:pPr>
    </w:p>
    <w:p>
      <w:pPr>
        <w:pStyle w:val="7"/>
        <w:rPr>
          <w:rFonts w:hint="eastAsia" w:ascii="仿宋" w:hAnsi="仿宋" w:eastAsia="仿宋" w:cs="仿宋"/>
          <w:color w:val="auto"/>
          <w:highlight w:val="none"/>
        </w:rPr>
      </w:pPr>
    </w:p>
    <w:p>
      <w:pPr>
        <w:pStyle w:val="7"/>
        <w:ind w:firstLine="562"/>
        <w:jc w:val="center"/>
        <w:rPr>
          <w:rFonts w:hint="eastAsia" w:ascii="仿宋" w:hAnsi="仿宋" w:eastAsia="仿宋" w:cs="仿宋"/>
          <w:b/>
          <w:color w:val="auto"/>
          <w:sz w:val="28"/>
          <w:highlight w:val="none"/>
        </w:rPr>
      </w:pPr>
      <w:r>
        <w:rPr>
          <w:rFonts w:hint="eastAsia" w:ascii="仿宋" w:hAnsi="仿宋" w:eastAsia="仿宋" w:cs="仿宋"/>
          <w:b/>
          <w:color w:val="auto"/>
          <w:sz w:val="28"/>
          <w:highlight w:val="none"/>
        </w:rPr>
        <w:t>第一部分  合同书</w:t>
      </w:r>
    </w:p>
    <w:p>
      <w:pPr>
        <w:pStyle w:val="7"/>
        <w:rPr>
          <w:rFonts w:hint="eastAsia" w:ascii="仿宋" w:hAnsi="仿宋" w:eastAsia="仿宋" w:cs="仿宋"/>
          <w:color w:val="auto"/>
          <w:highlight w:val="none"/>
        </w:rPr>
      </w:pPr>
    </w:p>
    <w:p>
      <w:pPr>
        <w:pStyle w:val="7"/>
        <w:rPr>
          <w:rFonts w:hint="eastAsia" w:ascii="仿宋" w:hAnsi="仿宋" w:eastAsia="仿宋" w:cs="仿宋"/>
          <w:color w:val="auto"/>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283"/>
        <w:spacing w:before="120" w:line="22" w:lineRule="atLeast"/>
        <w:rPr>
          <w:rFonts w:hint="eastAsia" w:ascii="仿宋" w:hAnsi="仿宋" w:eastAsia="仿宋" w:cs="仿宋"/>
          <w:color w:val="auto"/>
          <w:szCs w:val="24"/>
          <w:highlight w:val="none"/>
        </w:rPr>
      </w:pPr>
    </w:p>
    <w:p>
      <w:pPr>
        <w:pStyle w:val="283"/>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11" w:name="_Toc2232"/>
      <w:bookmarkStart w:id="12" w:name="_Toc3029"/>
      <w:bookmarkStart w:id="13" w:name="_Toc24059"/>
      <w:r>
        <w:rPr>
          <w:rFonts w:hint="eastAsia" w:ascii="仿宋" w:hAnsi="仿宋" w:eastAsia="仿宋" w:cs="仿宋"/>
          <w:b/>
          <w:color w:val="auto"/>
          <w:sz w:val="24"/>
          <w:highlight w:val="none"/>
        </w:rPr>
        <w:t>1.1 合同组成部分</w:t>
      </w:r>
      <w:bookmarkEnd w:id="11"/>
      <w:bookmarkEnd w:id="12"/>
      <w:bookmarkEnd w:id="1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14" w:name="_Toc21295"/>
      <w:bookmarkStart w:id="15" w:name="_Toc24300"/>
      <w:bookmarkStart w:id="16" w:name="_Toc27126"/>
      <w:r>
        <w:rPr>
          <w:rFonts w:hint="eastAsia" w:ascii="仿宋" w:hAnsi="仿宋" w:eastAsia="仿宋" w:cs="仿宋"/>
          <w:b/>
          <w:color w:val="auto"/>
          <w:sz w:val="24"/>
          <w:highlight w:val="none"/>
        </w:rPr>
        <w:t xml:space="preserve">1.2 </w:t>
      </w:r>
      <w:bookmarkEnd w:id="14"/>
      <w:bookmarkEnd w:id="15"/>
      <w:bookmarkEnd w:id="16"/>
      <w:r>
        <w:rPr>
          <w:rFonts w:hint="eastAsia" w:ascii="仿宋" w:hAnsi="仿宋" w:eastAsia="仿宋" w:cs="仿宋"/>
          <w:b/>
          <w:color w:val="auto"/>
          <w:sz w:val="24"/>
          <w:highlight w:val="none"/>
        </w:rPr>
        <w:t>服务</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服务名称：；</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服务期限和内容：；</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服务提供地点及方式：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7" w:name="_Toc21551"/>
      <w:bookmarkStart w:id="18" w:name="_Toc23292"/>
      <w:bookmarkStart w:id="19" w:name="_Toc21631"/>
      <w:r>
        <w:rPr>
          <w:rFonts w:hint="eastAsia" w:ascii="仿宋" w:hAnsi="仿宋" w:eastAsia="仿宋" w:cs="仿宋"/>
          <w:b/>
          <w:color w:val="auto"/>
          <w:sz w:val="24"/>
          <w:highlight w:val="none"/>
        </w:rPr>
        <w:t>1.3 价款</w:t>
      </w:r>
      <w:bookmarkEnd w:id="17"/>
      <w:bookmarkEnd w:id="18"/>
      <w:bookmarkEnd w:id="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本合同总价为：￥元（大写：元人民币）。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bl>
    <w:p>
      <w:pPr>
        <w:spacing w:line="440" w:lineRule="exact"/>
        <w:ind w:firstLine="482" w:firstLineChars="200"/>
        <w:outlineLvl w:val="0"/>
        <w:rPr>
          <w:rFonts w:hint="eastAsia" w:ascii="仿宋" w:hAnsi="仿宋" w:eastAsia="仿宋" w:cs="仿宋"/>
          <w:b/>
          <w:color w:val="auto"/>
          <w:sz w:val="24"/>
          <w:highlight w:val="none"/>
        </w:rPr>
      </w:pPr>
      <w:bookmarkStart w:id="20" w:name="_Toc10340"/>
      <w:bookmarkStart w:id="21" w:name="_Toc22618"/>
      <w:bookmarkStart w:id="22" w:name="_Toc1814"/>
      <w:bookmarkStart w:id="23" w:name="_Toc19304"/>
      <w:bookmarkStart w:id="24" w:name="_Toc2846"/>
      <w:bookmarkStart w:id="25" w:name="_Toc32071"/>
      <w:r>
        <w:rPr>
          <w:rFonts w:hint="eastAsia" w:ascii="仿宋" w:hAnsi="仿宋" w:eastAsia="仿宋" w:cs="仿宋"/>
          <w:b/>
          <w:color w:val="auto"/>
          <w:sz w:val="24"/>
          <w:highlight w:val="none"/>
        </w:rPr>
        <w:t>1.4 付款</w:t>
      </w:r>
      <w:bookmarkEnd w:id="20"/>
      <w:bookmarkEnd w:id="21"/>
      <w:bookmarkEnd w:id="22"/>
      <w:r>
        <w:rPr>
          <w:rFonts w:hint="eastAsia" w:ascii="仿宋" w:hAnsi="仿宋" w:eastAsia="仿宋" w:cs="仿宋"/>
          <w:b/>
          <w:color w:val="auto"/>
          <w:sz w:val="24"/>
          <w:highlight w:val="none"/>
        </w:rPr>
        <w:t>方式、时间和条件</w:t>
      </w:r>
    </w:p>
    <w:p>
      <w:pPr>
        <w:pStyle w:val="285"/>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23"/>
      <w:bookmarkEnd w:id="24"/>
      <w:bookmarkEnd w:id="25"/>
      <w:bookmarkStart w:id="26" w:name="_Toc19554"/>
      <w:bookmarkStart w:id="27" w:name="_Toc27250"/>
      <w:bookmarkStart w:id="28" w:name="_Toc21423"/>
      <w:r>
        <w:rPr>
          <w:rFonts w:hint="eastAsia" w:ascii="仿宋" w:hAnsi="仿宋" w:eastAsia="仿宋" w:cs="仿宋"/>
          <w:b/>
          <w:color w:val="auto"/>
          <w:sz w:val="24"/>
          <w:highlight w:val="none"/>
        </w:rPr>
        <w:t>违约责任</w:t>
      </w:r>
      <w:bookmarkEnd w:id="26"/>
      <w:bookmarkEnd w:id="27"/>
      <w:bookmarkEnd w:id="2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1.5.7违约责任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29" w:name="_Toc16021"/>
      <w:bookmarkStart w:id="30" w:name="_Toc28375"/>
      <w:bookmarkStart w:id="31" w:name="_Toc15583"/>
      <w:r>
        <w:rPr>
          <w:rFonts w:hint="eastAsia" w:ascii="仿宋" w:hAnsi="仿宋" w:eastAsia="仿宋" w:cs="仿宋"/>
          <w:b/>
          <w:color w:val="auto"/>
          <w:sz w:val="24"/>
          <w:highlight w:val="none"/>
        </w:rPr>
        <w:t>1.6合同争议的解决</w:t>
      </w:r>
      <w:bookmarkEnd w:id="29"/>
      <w:bookmarkEnd w:id="30"/>
      <w:bookmarkEnd w:id="31"/>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32" w:name="_Toc7245"/>
      <w:bookmarkStart w:id="33" w:name="_Toc15322"/>
      <w:bookmarkStart w:id="34" w:name="_Toc11173"/>
      <w:r>
        <w:rPr>
          <w:rFonts w:hint="eastAsia" w:ascii="仿宋" w:hAnsi="仿宋" w:eastAsia="仿宋" w:cs="仿宋"/>
          <w:b/>
          <w:color w:val="auto"/>
          <w:sz w:val="24"/>
          <w:highlight w:val="none"/>
        </w:rPr>
        <w:t>1.7合同生效</w:t>
      </w:r>
      <w:bookmarkEnd w:id="32"/>
      <w:bookmarkEnd w:id="33"/>
      <w:bookmarkEnd w:id="34"/>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pPr>
        <w:autoSpaceDE w:val="0"/>
        <w:autoSpaceDN w:val="0"/>
        <w:spacing w:line="560" w:lineRule="exact"/>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p>
    <w:p>
      <w:pPr>
        <w:pStyle w:val="284"/>
        <w:pageBreakBefore/>
        <w:spacing w:line="560" w:lineRule="exact"/>
        <w:ind w:firstLine="723"/>
        <w:jc w:val="center"/>
        <w:rPr>
          <w:rFonts w:hint="eastAsia" w:ascii="仿宋" w:hAnsi="仿宋" w:eastAsia="仿宋" w:cs="仿宋"/>
          <w:b/>
          <w:color w:val="auto"/>
          <w:sz w:val="36"/>
          <w:szCs w:val="36"/>
          <w:highlight w:val="none"/>
        </w:rPr>
      </w:pPr>
      <w:bookmarkStart w:id="35" w:name="_Toc331685783"/>
      <w:r>
        <w:rPr>
          <w:rFonts w:hint="eastAsia" w:ascii="仿宋" w:hAnsi="仿宋" w:eastAsia="仿宋" w:cs="仿宋"/>
          <w:b/>
          <w:color w:val="auto"/>
          <w:sz w:val="36"/>
          <w:szCs w:val="36"/>
          <w:highlight w:val="none"/>
        </w:rPr>
        <w:t>第二部分合同一般条款</w:t>
      </w:r>
      <w:bookmarkEnd w:id="35"/>
    </w:p>
    <w:p>
      <w:pPr>
        <w:spacing w:line="560" w:lineRule="exact"/>
        <w:ind w:firstLine="482" w:firstLineChars="200"/>
        <w:outlineLvl w:val="0"/>
        <w:rPr>
          <w:rFonts w:hint="eastAsia" w:ascii="仿宋" w:hAnsi="仿宋" w:eastAsia="仿宋" w:cs="仿宋"/>
          <w:b/>
          <w:color w:val="auto"/>
          <w:sz w:val="24"/>
          <w:highlight w:val="none"/>
        </w:rPr>
      </w:pPr>
      <w:bookmarkStart w:id="36" w:name="_Ref467379205"/>
      <w:bookmarkStart w:id="37" w:name="_Toc259093669"/>
      <w:bookmarkStart w:id="38" w:name="_Ref467379109"/>
      <w:bookmarkStart w:id="39" w:name="_Toc487900349"/>
      <w:bookmarkStart w:id="40" w:name="_Ref467379094"/>
      <w:bookmarkStart w:id="41" w:name="_Ref467379225"/>
      <w:bookmarkStart w:id="42" w:name="_Toc16917"/>
      <w:bookmarkStart w:id="43" w:name="_Ref467378404"/>
      <w:bookmarkStart w:id="44" w:name="_Toc19614"/>
      <w:bookmarkStart w:id="45" w:name="_Ref467379195"/>
      <w:bookmarkStart w:id="46" w:name="_Toc279701240"/>
      <w:bookmarkStart w:id="47" w:name="_Ref467379214"/>
      <w:bookmarkStart w:id="48" w:name="_Ref467378499"/>
      <w:bookmarkStart w:id="49" w:name="_Ref467378463"/>
      <w:bookmarkStart w:id="50" w:name="_Ref467379101"/>
      <w:bookmarkStart w:id="51" w:name="_Toc28763"/>
      <w:r>
        <w:rPr>
          <w:rFonts w:hint="eastAsia" w:ascii="仿宋" w:hAnsi="仿宋" w:eastAsia="仿宋" w:cs="仿宋"/>
          <w:b/>
          <w:color w:val="auto"/>
          <w:sz w:val="24"/>
          <w:highlight w:val="none"/>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2" w:name="_Ref467378840"/>
      <w:r>
        <w:rPr>
          <w:rFonts w:hint="eastAsia" w:ascii="仿宋" w:hAnsi="仿宋" w:eastAsia="仿宋" w:cs="仿宋"/>
          <w:color w:val="auto"/>
          <w:sz w:val="24"/>
          <w:highlight w:val="none"/>
        </w:rPr>
        <w:t>2.1.4 “甲方”系指与中标供应商签署合同的采购人</w:t>
      </w:r>
      <w:bookmarkEnd w:id="52"/>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3" w:name="_Ref467379400"/>
      <w:r>
        <w:rPr>
          <w:rFonts w:hint="eastAsia" w:ascii="仿宋" w:hAnsi="仿宋" w:eastAsia="仿宋" w:cs="仿宋"/>
          <w:color w:val="auto"/>
          <w:sz w:val="24"/>
          <w:highlight w:val="none"/>
        </w:rPr>
        <w:t>2.1.5 “乙方”系指根据合同约定交付货物的中标供应商</w:t>
      </w:r>
      <w:bookmarkEnd w:id="5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4" w:name="_Ref467379436"/>
      <w:r>
        <w:rPr>
          <w:rFonts w:hint="eastAsia" w:ascii="仿宋" w:hAnsi="仿宋" w:eastAsia="仿宋" w:cs="仿宋"/>
          <w:color w:val="auto"/>
          <w:sz w:val="24"/>
          <w:highlight w:val="none"/>
        </w:rPr>
        <w:t>2.1.6 “现场”系指合同约定货物将要运至或者安装的地点。</w:t>
      </w:r>
      <w:bookmarkEnd w:id="54"/>
    </w:p>
    <w:p>
      <w:pPr>
        <w:spacing w:line="560" w:lineRule="exact"/>
        <w:ind w:firstLine="482" w:firstLineChars="200"/>
        <w:outlineLvl w:val="0"/>
        <w:rPr>
          <w:rFonts w:hint="eastAsia" w:ascii="仿宋" w:hAnsi="仿宋" w:eastAsia="仿宋" w:cs="仿宋"/>
          <w:b/>
          <w:color w:val="auto"/>
          <w:sz w:val="24"/>
          <w:highlight w:val="none"/>
        </w:rPr>
      </w:pPr>
      <w:bookmarkStart w:id="55" w:name="_Toc27635"/>
      <w:bookmarkStart w:id="56" w:name="_Toc32504"/>
      <w:bookmarkStart w:id="57" w:name="_Toc487900350"/>
      <w:bookmarkStart w:id="58" w:name="_Toc279701241"/>
      <w:bookmarkStart w:id="59" w:name="_Toc259093670"/>
      <w:bookmarkStart w:id="60" w:name="_Toc13336"/>
      <w:r>
        <w:rPr>
          <w:rFonts w:hint="eastAsia" w:ascii="仿宋" w:hAnsi="仿宋" w:eastAsia="仿宋" w:cs="仿宋"/>
          <w:b/>
          <w:color w:val="auto"/>
          <w:sz w:val="24"/>
          <w:highlight w:val="none"/>
        </w:rPr>
        <w:t>2.2 技术规范</w:t>
      </w:r>
      <w:bookmarkEnd w:id="55"/>
      <w:bookmarkEnd w:id="56"/>
      <w:bookmarkEnd w:id="57"/>
      <w:bookmarkEnd w:id="58"/>
      <w:bookmarkEnd w:id="59"/>
      <w:bookmarkEnd w:id="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1" w:name="_Toc279701242"/>
      <w:bookmarkStart w:id="62" w:name="_Toc9829"/>
      <w:bookmarkStart w:id="63" w:name="_Toc27853"/>
      <w:bookmarkStart w:id="64" w:name="_Toc259093671"/>
      <w:bookmarkStart w:id="65" w:name="_Toc487900351"/>
      <w:bookmarkStart w:id="66" w:name="_Toc31634"/>
      <w:r>
        <w:rPr>
          <w:rFonts w:hint="eastAsia" w:ascii="仿宋" w:hAnsi="仿宋" w:eastAsia="仿宋" w:cs="仿宋"/>
          <w:b/>
          <w:color w:val="auto"/>
          <w:sz w:val="24"/>
          <w:highlight w:val="none"/>
        </w:rPr>
        <w:t>2.3 知识产权</w:t>
      </w:r>
      <w:bookmarkEnd w:id="61"/>
      <w:bookmarkEnd w:id="62"/>
      <w:bookmarkEnd w:id="63"/>
      <w:bookmarkEnd w:id="64"/>
      <w:bookmarkEnd w:id="65"/>
      <w:bookmarkEnd w:id="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67" w:name="_Toc11932"/>
      <w:bookmarkStart w:id="68" w:name="_Toc29149"/>
      <w:bookmarkStart w:id="69" w:name="_Toc4194"/>
      <w:r>
        <w:rPr>
          <w:rFonts w:hint="eastAsia" w:ascii="仿宋" w:hAnsi="仿宋" w:eastAsia="仿宋" w:cs="仿宋"/>
          <w:b/>
          <w:color w:val="auto"/>
          <w:sz w:val="24"/>
          <w:highlight w:val="none"/>
        </w:rPr>
        <w:t>2.4 包装和装运</w:t>
      </w:r>
      <w:bookmarkEnd w:id="67"/>
      <w:bookmarkEnd w:id="68"/>
      <w:bookmarkEnd w:id="6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0" w:name="_Ref467378591"/>
      <w:bookmarkStart w:id="71" w:name="_Toc259093674"/>
      <w:bookmarkStart w:id="72" w:name="_Ref467379536"/>
      <w:bookmarkStart w:id="73" w:name="_Ref467379542"/>
      <w:bookmarkStart w:id="74" w:name="_Toc487900354"/>
      <w:bookmarkStart w:id="75" w:name="_Toc279701245"/>
      <w:bookmarkStart w:id="76" w:name="_Ref467379527"/>
      <w:bookmarkStart w:id="77" w:name="_Ref467378541"/>
      <w:bookmarkStart w:id="78" w:name="_Toc26182"/>
      <w:bookmarkStart w:id="79" w:name="_Toc30272"/>
      <w:bookmarkStart w:id="80" w:name="_Toc19074"/>
      <w:r>
        <w:rPr>
          <w:rFonts w:hint="eastAsia" w:ascii="仿宋" w:hAnsi="仿宋" w:eastAsia="仿宋" w:cs="仿宋"/>
          <w:b/>
          <w:color w:val="auto"/>
          <w:sz w:val="24"/>
          <w:highlight w:val="none"/>
        </w:rPr>
        <w:t>2.</w:t>
      </w:r>
      <w:bookmarkEnd w:id="70"/>
      <w:bookmarkEnd w:id="71"/>
      <w:bookmarkEnd w:id="72"/>
      <w:bookmarkEnd w:id="73"/>
      <w:bookmarkEnd w:id="74"/>
      <w:bookmarkEnd w:id="75"/>
      <w:bookmarkEnd w:id="76"/>
      <w:bookmarkEnd w:id="77"/>
      <w:r>
        <w:rPr>
          <w:rFonts w:hint="eastAsia" w:ascii="仿宋" w:hAnsi="仿宋" w:eastAsia="仿宋" w:cs="仿宋"/>
          <w:b/>
          <w:color w:val="auto"/>
          <w:sz w:val="24"/>
          <w:highlight w:val="none"/>
        </w:rPr>
        <w:t>5 履约检查和问题反馈</w:t>
      </w:r>
      <w:bookmarkEnd w:id="78"/>
      <w:bookmarkEnd w:id="79"/>
      <w:bookmarkEnd w:id="80"/>
    </w:p>
    <w:p>
      <w:pPr>
        <w:spacing w:line="560" w:lineRule="exact"/>
        <w:ind w:firstLine="480" w:firstLineChars="200"/>
        <w:rPr>
          <w:rFonts w:hint="eastAsia" w:ascii="仿宋" w:hAnsi="仿宋" w:eastAsia="仿宋" w:cs="仿宋"/>
          <w:color w:val="auto"/>
          <w:sz w:val="24"/>
          <w:highlight w:val="none"/>
        </w:rPr>
      </w:pPr>
      <w:bookmarkStart w:id="81" w:name="_Ref467379657"/>
      <w:r>
        <w:rPr>
          <w:rFonts w:hint="eastAsia" w:ascii="仿宋" w:hAnsi="仿宋" w:eastAsia="仿宋" w:cs="仿宋"/>
          <w:color w:val="auto"/>
          <w:sz w:val="24"/>
          <w:highlight w:val="none"/>
        </w:rPr>
        <w:t>2.5.1</w:t>
      </w:r>
      <w:bookmarkEnd w:id="81"/>
      <w:bookmarkStart w:id="82" w:name="_Toc186431854"/>
      <w:bookmarkStart w:id="83" w:name="_Ref467379793"/>
      <w:bookmarkStart w:id="84" w:name="_Ref467379807"/>
      <w:bookmarkStart w:id="85" w:name="_Toc279701247"/>
      <w:bookmarkStart w:id="86" w:name="_Toc487900357"/>
      <w:bookmarkStart w:id="87"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2"/>
      <w:bookmarkStart w:id="88" w:name="_Toc186431855"/>
      <w:r>
        <w:rPr>
          <w:rFonts w:hint="eastAsia" w:ascii="仿宋" w:hAnsi="仿宋" w:eastAsia="仿宋" w:cs="仿宋"/>
          <w:color w:val="auto"/>
          <w:sz w:val="24"/>
          <w:highlight w:val="none"/>
        </w:rPr>
        <w:t>。</w:t>
      </w:r>
    </w:p>
    <w:bookmarkEnd w:id="83"/>
    <w:bookmarkEnd w:id="84"/>
    <w:bookmarkEnd w:id="85"/>
    <w:bookmarkEnd w:id="86"/>
    <w:bookmarkEnd w:id="87"/>
    <w:bookmarkEnd w:id="88"/>
    <w:p>
      <w:pPr>
        <w:spacing w:line="560" w:lineRule="exact"/>
        <w:ind w:firstLine="482" w:firstLineChars="200"/>
        <w:outlineLvl w:val="0"/>
        <w:rPr>
          <w:rFonts w:hint="eastAsia" w:ascii="仿宋" w:hAnsi="仿宋" w:eastAsia="仿宋" w:cs="仿宋"/>
          <w:b/>
          <w:color w:val="auto"/>
          <w:sz w:val="24"/>
          <w:highlight w:val="none"/>
        </w:rPr>
      </w:pPr>
      <w:bookmarkStart w:id="89" w:name="_Ref467379852"/>
      <w:bookmarkStart w:id="90" w:name="_Ref467379863"/>
      <w:bookmarkStart w:id="91" w:name="_Ref467379923"/>
      <w:bookmarkStart w:id="92" w:name="_Toc259093677"/>
      <w:bookmarkStart w:id="93" w:name="_Toc487900358"/>
      <w:bookmarkStart w:id="94" w:name="_Toc279701248"/>
      <w:bookmarkStart w:id="95" w:name="_Toc3225"/>
      <w:bookmarkStart w:id="96" w:name="_Toc774"/>
      <w:bookmarkStart w:id="97" w:name="_Toc16110"/>
      <w:r>
        <w:rPr>
          <w:rFonts w:hint="eastAsia" w:ascii="仿宋" w:hAnsi="仿宋" w:eastAsia="仿宋" w:cs="仿宋"/>
          <w:b/>
          <w:color w:val="auto"/>
          <w:sz w:val="24"/>
          <w:highlight w:val="none"/>
        </w:rPr>
        <w:t>2.6 技术资料</w:t>
      </w:r>
      <w:bookmarkEnd w:id="89"/>
      <w:bookmarkEnd w:id="90"/>
      <w:bookmarkEnd w:id="91"/>
      <w:bookmarkEnd w:id="92"/>
      <w:bookmarkEnd w:id="93"/>
      <w:bookmarkEnd w:id="94"/>
      <w:r>
        <w:rPr>
          <w:rFonts w:hint="eastAsia" w:ascii="仿宋" w:hAnsi="仿宋" w:eastAsia="仿宋" w:cs="仿宋"/>
          <w:b/>
          <w:color w:val="auto"/>
          <w:sz w:val="24"/>
          <w:highlight w:val="none"/>
        </w:rPr>
        <w:t>和保密义务</w:t>
      </w:r>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98" w:name="_Toc7860"/>
      <w:r>
        <w:rPr>
          <w:rFonts w:hint="eastAsia" w:ascii="仿宋" w:hAnsi="仿宋" w:eastAsia="仿宋" w:cs="仿宋"/>
          <w:b/>
          <w:color w:val="auto"/>
          <w:sz w:val="24"/>
          <w:highlight w:val="none"/>
        </w:rPr>
        <w:t>2.7 质量保证</w:t>
      </w:r>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99" w:name="_Toc17244"/>
      <w:bookmarkStart w:id="100" w:name="_Toc259093681"/>
      <w:bookmarkStart w:id="101" w:name="_Toc487900362"/>
      <w:bookmarkStart w:id="102" w:name="_Toc279701252"/>
      <w:r>
        <w:rPr>
          <w:rFonts w:hint="eastAsia" w:ascii="仿宋" w:hAnsi="仿宋" w:eastAsia="仿宋" w:cs="仿宋"/>
          <w:b/>
          <w:color w:val="auto"/>
          <w:sz w:val="24"/>
          <w:highlight w:val="none"/>
        </w:rPr>
        <w:t>2.8 货物的风险负担</w:t>
      </w:r>
      <w:bookmarkEnd w:id="99"/>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3" w:name="_Toc14055"/>
      <w:r>
        <w:rPr>
          <w:rFonts w:hint="eastAsia" w:ascii="仿宋" w:hAnsi="仿宋" w:eastAsia="仿宋" w:cs="仿宋"/>
          <w:b/>
          <w:color w:val="auto"/>
          <w:sz w:val="24"/>
          <w:highlight w:val="none"/>
        </w:rPr>
        <w:t>2.9 延迟交货</w:t>
      </w:r>
      <w:bookmarkEnd w:id="100"/>
      <w:bookmarkEnd w:id="101"/>
      <w:bookmarkEnd w:id="102"/>
      <w:bookmarkEnd w:id="1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4" w:name="_Toc7502"/>
      <w:bookmarkStart w:id="105" w:name="_Toc279701254"/>
      <w:bookmarkStart w:id="106" w:name="_Ref467378121"/>
      <w:bookmarkStart w:id="107" w:name="_Toc259093683"/>
      <w:bookmarkStart w:id="108" w:name="_Toc487900364"/>
      <w:r>
        <w:rPr>
          <w:rFonts w:hint="eastAsia" w:ascii="仿宋" w:hAnsi="仿宋" w:eastAsia="仿宋" w:cs="仿宋"/>
          <w:b/>
          <w:color w:val="auto"/>
          <w:sz w:val="24"/>
          <w:highlight w:val="none"/>
        </w:rPr>
        <w:t>2.10 合同变更</w:t>
      </w:r>
      <w:bookmarkEnd w:id="10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9" w:name="_Toc279701259"/>
      <w:bookmarkStart w:id="110" w:name="_Toc259093688"/>
      <w:bookmarkStart w:id="111" w:name="_Toc487900369"/>
    </w:p>
    <w:p>
      <w:pPr>
        <w:spacing w:line="560" w:lineRule="exact"/>
        <w:ind w:firstLine="482" w:firstLineChars="200"/>
        <w:outlineLvl w:val="0"/>
        <w:rPr>
          <w:rFonts w:hint="eastAsia" w:ascii="仿宋" w:hAnsi="仿宋" w:eastAsia="仿宋" w:cs="仿宋"/>
          <w:b/>
          <w:color w:val="auto"/>
          <w:sz w:val="24"/>
          <w:highlight w:val="none"/>
        </w:rPr>
      </w:pPr>
      <w:bookmarkStart w:id="112" w:name="_Toc10366"/>
      <w:bookmarkStart w:id="113" w:name="_Toc15237"/>
      <w:bookmarkStart w:id="114" w:name="_Toc22955"/>
      <w:r>
        <w:rPr>
          <w:rFonts w:hint="eastAsia" w:ascii="仿宋" w:hAnsi="仿宋" w:eastAsia="仿宋" w:cs="仿宋"/>
          <w:b/>
          <w:color w:val="auto"/>
          <w:sz w:val="24"/>
          <w:highlight w:val="none"/>
        </w:rPr>
        <w:t>2.11 合同转让</w:t>
      </w:r>
      <w:bookmarkEnd w:id="109"/>
      <w:bookmarkEnd w:id="110"/>
      <w:bookmarkEnd w:id="111"/>
      <w:r>
        <w:rPr>
          <w:rFonts w:hint="eastAsia" w:ascii="仿宋" w:hAnsi="仿宋" w:eastAsia="仿宋" w:cs="仿宋"/>
          <w:b/>
          <w:color w:val="auto"/>
          <w:sz w:val="24"/>
          <w:highlight w:val="none"/>
        </w:rPr>
        <w:t>和分包</w:t>
      </w:r>
      <w:bookmarkEnd w:id="112"/>
      <w:bookmarkEnd w:id="113"/>
      <w:bookmarkEnd w:id="114"/>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15" w:name="_Toc13566"/>
      <w:bookmarkStart w:id="116" w:name="_Toc14066"/>
      <w:bookmarkStart w:id="117" w:name="_Toc16508"/>
      <w:r>
        <w:rPr>
          <w:rFonts w:hint="eastAsia" w:ascii="仿宋" w:hAnsi="仿宋" w:eastAsia="仿宋" w:cs="仿宋"/>
          <w:b/>
          <w:color w:val="auto"/>
          <w:sz w:val="24"/>
          <w:highlight w:val="none"/>
        </w:rPr>
        <w:t>2.12 不可抗力</w:t>
      </w:r>
      <w:bookmarkEnd w:id="115"/>
      <w:bookmarkEnd w:id="116"/>
      <w:bookmarkEnd w:id="11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18" w:name="_Toc279701255"/>
      <w:bookmarkStart w:id="119" w:name="_Toc6969"/>
      <w:bookmarkStart w:id="120" w:name="_Toc487900365"/>
      <w:bookmarkStart w:id="121" w:name="_Toc30676"/>
      <w:bookmarkStart w:id="122" w:name="_Toc259093684"/>
      <w:bookmarkStart w:id="123" w:name="_Toc689"/>
      <w:r>
        <w:rPr>
          <w:rFonts w:hint="eastAsia" w:ascii="仿宋" w:hAnsi="仿宋" w:eastAsia="仿宋" w:cs="仿宋"/>
          <w:b/>
          <w:color w:val="auto"/>
          <w:sz w:val="24"/>
          <w:highlight w:val="none"/>
        </w:rPr>
        <w:t>2.13 税费</w:t>
      </w:r>
      <w:bookmarkEnd w:id="118"/>
      <w:bookmarkEnd w:id="119"/>
      <w:bookmarkEnd w:id="120"/>
      <w:bookmarkEnd w:id="121"/>
      <w:bookmarkEnd w:id="122"/>
      <w:bookmarkEnd w:id="12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4" w:name="_Toc259093687"/>
      <w:bookmarkStart w:id="125" w:name="_Toc279701258"/>
      <w:bookmarkStart w:id="126" w:name="_Toc8298"/>
      <w:bookmarkStart w:id="127" w:name="_Toc487900368"/>
      <w:bookmarkStart w:id="128" w:name="_Toc7102"/>
      <w:bookmarkStart w:id="129" w:name="_Toc16959"/>
      <w:r>
        <w:rPr>
          <w:rFonts w:hint="eastAsia" w:ascii="仿宋" w:hAnsi="仿宋" w:eastAsia="仿宋" w:cs="仿宋"/>
          <w:b/>
          <w:color w:val="auto"/>
          <w:sz w:val="24"/>
          <w:highlight w:val="none"/>
        </w:rPr>
        <w:t>2.14乙方破产</w:t>
      </w:r>
      <w:bookmarkEnd w:id="124"/>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29333"/>
      <w:bookmarkStart w:id="131" w:name="_Toc15387"/>
      <w:bookmarkStart w:id="132" w:name="_Toc6134"/>
      <w:r>
        <w:rPr>
          <w:rFonts w:hint="eastAsia" w:ascii="仿宋" w:hAnsi="仿宋" w:eastAsia="仿宋" w:cs="仿宋"/>
          <w:b/>
          <w:color w:val="auto"/>
          <w:sz w:val="24"/>
          <w:highlight w:val="none"/>
        </w:rPr>
        <w:t>2.15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125"/>
      <w:bookmarkStart w:id="134" w:name="_Toc6596"/>
      <w:bookmarkStart w:id="135" w:name="_Toc14563"/>
      <w:r>
        <w:rPr>
          <w:rFonts w:hint="eastAsia" w:ascii="仿宋" w:hAnsi="仿宋" w:eastAsia="仿宋" w:cs="仿宋"/>
          <w:b/>
          <w:color w:val="auto"/>
          <w:sz w:val="24"/>
          <w:highlight w:val="none"/>
        </w:rPr>
        <w:t>2.16检验和验收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5"/>
    <w:bookmarkEnd w:id="106"/>
    <w:bookmarkEnd w:id="107"/>
    <w:bookmarkEnd w:id="108"/>
    <w:p>
      <w:pPr>
        <w:spacing w:line="560" w:lineRule="exact"/>
        <w:ind w:firstLine="482" w:firstLineChars="200"/>
        <w:outlineLvl w:val="0"/>
        <w:rPr>
          <w:rFonts w:hint="eastAsia" w:ascii="仿宋" w:hAnsi="仿宋" w:eastAsia="仿宋" w:cs="仿宋"/>
          <w:b/>
          <w:color w:val="auto"/>
          <w:sz w:val="24"/>
          <w:highlight w:val="none"/>
        </w:rPr>
      </w:pPr>
      <w:bookmarkStart w:id="136" w:name="_Toc259093690"/>
      <w:bookmarkStart w:id="137" w:name="_Toc279701261"/>
      <w:bookmarkStart w:id="138" w:name="_Toc487900371"/>
      <w:bookmarkStart w:id="139" w:name="_Toc11284"/>
      <w:bookmarkStart w:id="140" w:name="_Toc19604"/>
      <w:bookmarkStart w:id="141" w:name="_Toc25182"/>
      <w:r>
        <w:rPr>
          <w:rFonts w:hint="eastAsia" w:ascii="仿宋" w:hAnsi="仿宋" w:eastAsia="仿宋" w:cs="仿宋"/>
          <w:b/>
          <w:color w:val="auto"/>
          <w:sz w:val="24"/>
          <w:highlight w:val="none"/>
        </w:rPr>
        <w:t>2.17 通知</w:t>
      </w:r>
      <w:bookmarkEnd w:id="136"/>
      <w:bookmarkEnd w:id="137"/>
      <w:bookmarkEnd w:id="138"/>
      <w:r>
        <w:rPr>
          <w:rFonts w:hint="eastAsia" w:ascii="仿宋" w:hAnsi="仿宋" w:eastAsia="仿宋" w:cs="仿宋"/>
          <w:b/>
          <w:color w:val="auto"/>
          <w:sz w:val="24"/>
          <w:highlight w:val="none"/>
        </w:rPr>
        <w:t>和送达</w:t>
      </w:r>
      <w:bookmarkEnd w:id="139"/>
      <w:bookmarkEnd w:id="140"/>
      <w:bookmarkEnd w:id="141"/>
    </w:p>
    <w:p>
      <w:pPr>
        <w:spacing w:line="560" w:lineRule="exact"/>
        <w:ind w:firstLine="480" w:firstLineChars="200"/>
        <w:rPr>
          <w:rFonts w:hint="eastAsia" w:ascii="仿宋" w:hAnsi="仿宋" w:eastAsia="仿宋" w:cs="仿宋"/>
          <w:color w:val="auto"/>
          <w:sz w:val="24"/>
          <w:highlight w:val="none"/>
        </w:rPr>
      </w:pPr>
      <w:bookmarkStart w:id="142" w:name="_Toc6698"/>
      <w:bookmarkStart w:id="143" w:name="_Toc3135"/>
      <w:bookmarkStart w:id="144" w:name="_Toc259093691"/>
      <w:bookmarkStart w:id="145" w:name="_Toc487900372"/>
      <w:bookmarkStart w:id="146" w:name="_Toc27970126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2"/>
      <w:bookmarkEnd w:id="143"/>
    </w:p>
    <w:p>
      <w:pPr>
        <w:spacing w:line="560" w:lineRule="exact"/>
        <w:ind w:firstLine="480" w:firstLineChars="200"/>
        <w:rPr>
          <w:rFonts w:hint="eastAsia" w:ascii="仿宋" w:hAnsi="仿宋" w:eastAsia="仿宋" w:cs="仿宋"/>
          <w:color w:val="auto"/>
          <w:sz w:val="24"/>
          <w:highlight w:val="none"/>
        </w:rPr>
      </w:pPr>
      <w:bookmarkStart w:id="147" w:name="_Toc23294"/>
      <w:bookmarkStart w:id="148"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pPr>
        <w:spacing w:line="560" w:lineRule="exact"/>
        <w:ind w:firstLine="482" w:firstLineChars="200"/>
        <w:outlineLvl w:val="0"/>
        <w:rPr>
          <w:rFonts w:hint="eastAsia" w:ascii="仿宋" w:hAnsi="仿宋" w:eastAsia="仿宋" w:cs="仿宋"/>
          <w:b/>
          <w:color w:val="auto"/>
          <w:sz w:val="24"/>
          <w:highlight w:val="none"/>
        </w:rPr>
      </w:pPr>
      <w:bookmarkStart w:id="149" w:name="_Toc30599"/>
      <w:bookmarkStart w:id="150" w:name="_Toc18540"/>
      <w:bookmarkStart w:id="151" w:name="_Toc4355"/>
      <w:r>
        <w:rPr>
          <w:rFonts w:hint="eastAsia" w:ascii="仿宋" w:hAnsi="仿宋" w:eastAsia="仿宋" w:cs="仿宋"/>
          <w:b/>
          <w:color w:val="auto"/>
          <w:sz w:val="24"/>
          <w:highlight w:val="none"/>
        </w:rPr>
        <w:t>2.18 计量单位</w:t>
      </w:r>
      <w:bookmarkEnd w:id="144"/>
      <w:bookmarkEnd w:id="145"/>
      <w:bookmarkEnd w:id="146"/>
      <w:bookmarkEnd w:id="149"/>
      <w:bookmarkEnd w:id="150"/>
      <w:bookmarkEnd w:id="1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2" w:name="_Toc18567"/>
      <w:bookmarkStart w:id="153" w:name="_Toc12773"/>
      <w:bookmarkStart w:id="154" w:name="_Toc279701263"/>
      <w:bookmarkStart w:id="155" w:name="_Toc259093692"/>
      <w:bookmarkStart w:id="156" w:name="_Toc10330"/>
      <w:bookmarkStart w:id="157" w:name="_Toc48790037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8" w:name="_Toc259093693"/>
      <w:bookmarkStart w:id="159" w:name="_Toc12004"/>
      <w:bookmarkStart w:id="160" w:name="_Toc279701264"/>
      <w:bookmarkStart w:id="161" w:name="_Toc3148"/>
      <w:bookmarkStart w:id="162" w:name="_Toc16673"/>
      <w:bookmarkStart w:id="163" w:name="_Toc487900374"/>
      <w:r>
        <w:rPr>
          <w:rFonts w:hint="eastAsia" w:ascii="仿宋" w:hAnsi="仿宋" w:eastAsia="仿宋" w:cs="仿宋"/>
          <w:b/>
          <w:color w:val="auto"/>
          <w:sz w:val="24"/>
          <w:highlight w:val="none"/>
        </w:rPr>
        <w:t>2.20 履约保证金</w:t>
      </w:r>
      <w:bookmarkEnd w:id="158"/>
      <w:bookmarkEnd w:id="159"/>
      <w:bookmarkEnd w:id="160"/>
      <w:bookmarkEnd w:id="161"/>
      <w:bookmarkEnd w:id="162"/>
    </w:p>
    <w:p>
      <w:pPr>
        <w:pStyle w:val="285"/>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3"/>
    <w:p>
      <w:pPr>
        <w:spacing w:line="560" w:lineRule="exact"/>
        <w:ind w:firstLine="482" w:firstLineChars="200"/>
        <w:outlineLvl w:val="0"/>
        <w:rPr>
          <w:rFonts w:hint="eastAsia" w:ascii="仿宋" w:hAnsi="仿宋" w:eastAsia="仿宋" w:cs="仿宋"/>
          <w:b/>
          <w:color w:val="auto"/>
          <w:sz w:val="24"/>
          <w:highlight w:val="none"/>
        </w:rPr>
      </w:pPr>
      <w:bookmarkStart w:id="164" w:name="_Toc14001"/>
      <w:bookmarkStart w:id="165" w:name="_Toc6885"/>
      <w:bookmarkStart w:id="166" w:name="_Toc19890"/>
      <w:r>
        <w:rPr>
          <w:rFonts w:hint="eastAsia" w:ascii="仿宋" w:hAnsi="仿宋" w:eastAsia="仿宋" w:cs="仿宋"/>
          <w:b/>
          <w:color w:val="auto"/>
          <w:sz w:val="24"/>
          <w:highlight w:val="none"/>
        </w:rPr>
        <w:t>2.22合同份数</w:t>
      </w:r>
      <w:bookmarkEnd w:id="164"/>
      <w:bookmarkEnd w:id="165"/>
      <w:bookmarkEnd w:id="1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7" w:name="_Toc331685784"/>
      <w:bookmarkEnd w:id="167"/>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43"/>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261"/>
        <w:gridCol w:w="7313"/>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5" w:type="dxa"/>
            <w:vAlign w:val="center"/>
          </w:tcPr>
          <w:p>
            <w:pPr>
              <w:tabs>
                <w:tab w:val="left" w:pos="826"/>
              </w:tabs>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序号</w:t>
            </w:r>
          </w:p>
        </w:tc>
        <w:tc>
          <w:tcPr>
            <w:tcW w:w="1261" w:type="dxa"/>
            <w:vAlign w:val="center"/>
          </w:tcPr>
          <w:p>
            <w:pPr>
              <w:tabs>
                <w:tab w:val="left" w:pos="826"/>
              </w:tabs>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评分项目</w:t>
            </w:r>
          </w:p>
        </w:tc>
        <w:tc>
          <w:tcPr>
            <w:tcW w:w="7313" w:type="dxa"/>
            <w:vAlign w:val="center"/>
          </w:tcPr>
          <w:p>
            <w:pPr>
              <w:tabs>
                <w:tab w:val="left" w:pos="826"/>
              </w:tabs>
              <w:ind w:firstLine="241"/>
              <w:jc w:val="center"/>
              <w:rPr>
                <w:rFonts w:hint="eastAsia" w:ascii="仿宋" w:hAnsi="仿宋" w:eastAsia="仿宋" w:cs="仿宋"/>
                <w:b/>
                <w:bCs/>
                <w:color w:val="auto"/>
                <w:sz w:val="21"/>
                <w:szCs w:val="21"/>
                <w:highlight w:val="none"/>
              </w:rPr>
            </w:pPr>
            <w:r>
              <w:rPr>
                <w:rFonts w:hint="eastAsia" w:ascii="仿宋" w:hAnsi="仿宋" w:eastAsia="仿宋" w:cs="仿宋"/>
                <w:b/>
                <w:color w:val="auto"/>
                <w:sz w:val="21"/>
                <w:szCs w:val="21"/>
                <w:highlight w:val="none"/>
              </w:rPr>
              <w:t>评标要点及说明</w:t>
            </w:r>
          </w:p>
        </w:tc>
        <w:tc>
          <w:tcPr>
            <w:tcW w:w="741" w:type="dxa"/>
            <w:vAlign w:val="center"/>
          </w:tcPr>
          <w:p>
            <w:pPr>
              <w:tabs>
                <w:tab w:val="left" w:pos="826"/>
              </w:tabs>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5" w:type="dxa"/>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261"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技术响应</w:t>
            </w:r>
          </w:p>
        </w:tc>
        <w:tc>
          <w:tcPr>
            <w:tcW w:w="7313" w:type="dxa"/>
          </w:tcPr>
          <w:p>
            <w:pPr>
              <w:tabs>
                <w:tab w:val="left" w:pos="826"/>
              </w:tabs>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根据所投的维保内容及相关技术服务要求全部满足或高于招标文件要求得满分7分。打“★”号的性能指标必须满足，如有负偏离作无效标处理；打“▲”号的性能指标每有一项出现负偏离扣1分，扣完为止。</w:t>
            </w:r>
          </w:p>
        </w:tc>
        <w:tc>
          <w:tcPr>
            <w:tcW w:w="741" w:type="dxa"/>
            <w:vAlign w:val="center"/>
          </w:tcPr>
          <w:p>
            <w:pPr>
              <w:tabs>
                <w:tab w:val="left" w:pos="826"/>
              </w:tabs>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5"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261"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资信能力</w:t>
            </w:r>
          </w:p>
        </w:tc>
        <w:tc>
          <w:tcPr>
            <w:tcW w:w="7313" w:type="dxa"/>
            <w:vAlign w:val="center"/>
          </w:tcPr>
          <w:p>
            <w:pPr>
              <w:tabs>
                <w:tab w:val="left" w:pos="826"/>
              </w:tabs>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1.投标人具有电子与智能化工程专业承包壹级得2分</w:t>
            </w:r>
            <w:r>
              <w:rPr>
                <w:rFonts w:hint="eastAsia" w:ascii="仿宋" w:hAnsi="仿宋" w:eastAsia="仿宋" w:cs="仿宋"/>
                <w:color w:val="auto"/>
                <w:sz w:val="21"/>
                <w:szCs w:val="21"/>
                <w:highlight w:val="none"/>
                <w:lang w:eastAsia="zh-CN"/>
              </w:rPr>
              <w:t>；</w:t>
            </w:r>
          </w:p>
          <w:p>
            <w:pPr>
              <w:tabs>
                <w:tab w:val="left" w:pos="826"/>
              </w:tabs>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2.投标人具有省级安全技术防范行业资信壹级得2分；</w:t>
            </w:r>
          </w:p>
          <w:p>
            <w:pPr>
              <w:tabs>
                <w:tab w:val="left" w:pos="826"/>
              </w:tabs>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3.投标人具有信息安全服务资质认证（CCRC）得2分；</w:t>
            </w:r>
          </w:p>
          <w:p>
            <w:pPr>
              <w:tabs>
                <w:tab w:val="left" w:pos="826"/>
              </w:tabs>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4.投标人具有保密部门颁发的涉密信息系统集成资质证书得2分；</w:t>
            </w:r>
          </w:p>
          <w:p>
            <w:pPr>
              <w:tabs>
                <w:tab w:val="left" w:pos="826"/>
              </w:tabs>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5.投标人具有信息技术服务运行维护证书(ITSS)得2分；</w:t>
            </w:r>
          </w:p>
          <w:p>
            <w:pPr>
              <w:tabs>
                <w:tab w:val="left" w:pos="826"/>
              </w:tabs>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投标文件中提供以上证书复印件并加盖投标人公章。</w:t>
            </w:r>
          </w:p>
        </w:tc>
        <w:tc>
          <w:tcPr>
            <w:tcW w:w="741"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5"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261"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企业维保业绩</w:t>
            </w:r>
          </w:p>
        </w:tc>
        <w:tc>
          <w:tcPr>
            <w:tcW w:w="7313" w:type="dxa"/>
            <w:vAlign w:val="center"/>
          </w:tcPr>
          <w:p>
            <w:pPr>
              <w:tabs>
                <w:tab w:val="left" w:pos="826"/>
              </w:tabs>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2020年</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月1日以来，投标人提供类似智能化维保业绩的，每个得1分，本项最高得3分。</w:t>
            </w:r>
          </w:p>
          <w:p>
            <w:pPr>
              <w:tabs>
                <w:tab w:val="left" w:pos="826"/>
              </w:tabs>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投标文件中提供中标通知书和合同复印件并加盖投标人公章，时间以合同签订时间为准。转包、分包类业绩不得分。</w:t>
            </w:r>
          </w:p>
        </w:tc>
        <w:tc>
          <w:tcPr>
            <w:tcW w:w="741" w:type="dxa"/>
            <w:vAlign w:val="center"/>
          </w:tcPr>
          <w:p>
            <w:pPr>
              <w:tabs>
                <w:tab w:val="left" w:pos="826"/>
              </w:tabs>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5"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261"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技术人员力量配备</w:t>
            </w:r>
          </w:p>
        </w:tc>
        <w:tc>
          <w:tcPr>
            <w:tcW w:w="7313" w:type="dxa"/>
            <w:vAlign w:val="center"/>
          </w:tcPr>
          <w:p>
            <w:p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根据投标人拟投入本项目中技术人员力量的配备情况酌情打分：</w:t>
            </w:r>
          </w:p>
          <w:p>
            <w:p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1、项目经理同时具备信息系统项目高级管理师、PMP管理证书得3分，缺一项不得分；</w:t>
            </w:r>
          </w:p>
          <w:p>
            <w:pPr>
              <w:pStyle w:val="114"/>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2、技术负责人具有建筑电气高级工程师证书得2分；</w:t>
            </w:r>
          </w:p>
          <w:p>
            <w:pP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3、成员具有2个及以上IT服务项目经理证书得2分</w:t>
            </w:r>
            <w:r>
              <w:rPr>
                <w:rFonts w:hint="eastAsia" w:ascii="仿宋" w:hAnsi="仿宋" w:eastAsia="仿宋" w:cs="仿宋"/>
                <w:color w:val="auto"/>
                <w:sz w:val="21"/>
                <w:szCs w:val="21"/>
                <w:highlight w:val="none"/>
                <w:lang w:eastAsia="zh-CN"/>
              </w:rPr>
              <w:t>；</w:t>
            </w:r>
          </w:p>
          <w:p>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4、成员具有2个及以上注册信息安全专业人员（CISP）得2分</w:t>
            </w:r>
            <w:r>
              <w:rPr>
                <w:rFonts w:hint="eastAsia" w:ascii="仿宋" w:hAnsi="仿宋" w:eastAsia="仿宋" w:cs="仿宋"/>
                <w:color w:val="auto"/>
                <w:sz w:val="21"/>
                <w:szCs w:val="21"/>
                <w:highlight w:val="none"/>
                <w:lang w:eastAsia="zh-CN"/>
              </w:rPr>
              <w:t>；</w:t>
            </w:r>
          </w:p>
          <w:p>
            <w:pP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5、成员具有2个及以上注册信息安全保障人员（CISAW）得2分</w:t>
            </w:r>
            <w:r>
              <w:rPr>
                <w:rFonts w:hint="eastAsia" w:ascii="仿宋" w:hAnsi="仿宋" w:eastAsia="仿宋" w:cs="仿宋"/>
                <w:color w:val="auto"/>
                <w:sz w:val="21"/>
                <w:szCs w:val="21"/>
                <w:highlight w:val="none"/>
                <w:lang w:eastAsia="zh-CN"/>
              </w:rPr>
              <w:t>；</w:t>
            </w:r>
          </w:p>
          <w:p>
            <w:pPr>
              <w:pStyle w:val="114"/>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6、技术保障人员其中一人同时持有H3C SE、网络工程师证书以及特种作业（低压电工作业）操作证得3分，缺一项不得分。</w:t>
            </w:r>
          </w:p>
          <w:p>
            <w:pPr>
              <w:pStyle w:val="114"/>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以上人员提供相关证书复印件及本单位近6个月的社保证明，没有不得分。</w:t>
            </w:r>
          </w:p>
        </w:tc>
        <w:tc>
          <w:tcPr>
            <w:tcW w:w="741" w:type="dxa"/>
            <w:vAlign w:val="center"/>
          </w:tcPr>
          <w:p>
            <w:pPr>
              <w:tabs>
                <w:tab w:val="left" w:pos="826"/>
              </w:tabs>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5"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261"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项目实施方案</w:t>
            </w:r>
          </w:p>
        </w:tc>
        <w:tc>
          <w:tcPr>
            <w:tcW w:w="7313"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1、维保方案的成熟性、安全性、可靠性、可维护性及实施方案的深度比较0-7分区间内打分。</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2、对本项目各系统的了解：提供AP点位分布图、网络拓扑图、机房布置图、系统图等方面由评委进行分析比较、评议、确定档次，0-7分区间内打分。</w:t>
            </w:r>
          </w:p>
          <w:p>
            <w:pPr>
              <w:pStyle w:val="114"/>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3、维保期内的公司技术支持和维护能力情况，即对服务承诺落实的保障措施，提供技术团队上门维护、升级服务，对故障的响应时间，到现场时间，按规定时间以内解决问题所采取的措施； 0-7分区间内打分。</w:t>
            </w:r>
          </w:p>
          <w:p>
            <w:pPr>
              <w:pStyle w:val="114"/>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不提供不得分。</w:t>
            </w:r>
          </w:p>
        </w:tc>
        <w:tc>
          <w:tcPr>
            <w:tcW w:w="741" w:type="dxa"/>
            <w:vAlign w:val="center"/>
          </w:tcPr>
          <w:p>
            <w:pPr>
              <w:tabs>
                <w:tab w:val="left" w:pos="826"/>
              </w:tabs>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21分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5" w:type="dxa"/>
            <w:vMerge w:val="restart"/>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261"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售后服务保障</w:t>
            </w:r>
          </w:p>
        </w:tc>
        <w:tc>
          <w:tcPr>
            <w:tcW w:w="7313"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根据投标人是否具有本地化服务能力(外地企业本地服务机构需提供分公司营业执照)、售后服务响应时间、售后服务方案优劣等方面横向对比，综合认定；0-5分区间内打分，不提供不得分。</w:t>
            </w:r>
          </w:p>
        </w:tc>
        <w:tc>
          <w:tcPr>
            <w:tcW w:w="741" w:type="dxa"/>
            <w:vAlign w:val="center"/>
          </w:tcPr>
          <w:p>
            <w:pPr>
              <w:tabs>
                <w:tab w:val="left" w:pos="826"/>
              </w:tabs>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5" w:type="dxa"/>
            <w:vMerge w:val="continue"/>
            <w:tcBorders/>
            <w:vAlign w:val="center"/>
          </w:tcPr>
          <w:p>
            <w:pPr>
              <w:jc w:val="center"/>
              <w:rPr>
                <w:rFonts w:hint="eastAsia" w:ascii="仿宋" w:hAnsi="仿宋" w:eastAsia="仿宋" w:cs="仿宋"/>
                <w:color w:val="auto"/>
                <w:sz w:val="21"/>
                <w:szCs w:val="21"/>
                <w:highlight w:val="none"/>
              </w:rPr>
            </w:pPr>
          </w:p>
        </w:tc>
        <w:tc>
          <w:tcPr>
            <w:tcW w:w="1261" w:type="dxa"/>
            <w:vMerge w:val="continue"/>
            <w:vAlign w:val="center"/>
          </w:tcPr>
          <w:p>
            <w:pPr>
              <w:jc w:val="center"/>
              <w:rPr>
                <w:rFonts w:hint="eastAsia" w:ascii="仿宋" w:hAnsi="仿宋" w:eastAsia="仿宋" w:cs="仿宋"/>
                <w:color w:val="auto"/>
                <w:sz w:val="21"/>
                <w:szCs w:val="21"/>
                <w:highlight w:val="none"/>
              </w:rPr>
            </w:pPr>
          </w:p>
        </w:tc>
        <w:tc>
          <w:tcPr>
            <w:tcW w:w="7313"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投标人具有售后报修的运维服务管理软件手机APP或服务公众号的得3分，没有不得分。（提供截图）</w:t>
            </w:r>
          </w:p>
        </w:tc>
        <w:tc>
          <w:tcPr>
            <w:tcW w:w="741" w:type="dxa"/>
            <w:vAlign w:val="center"/>
          </w:tcPr>
          <w:p>
            <w:pPr>
              <w:tabs>
                <w:tab w:val="left" w:pos="826"/>
              </w:tabs>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5" w:type="dxa"/>
            <w:vMerge w:val="continue"/>
            <w:tcBorders/>
            <w:vAlign w:val="center"/>
          </w:tcPr>
          <w:p>
            <w:pPr>
              <w:jc w:val="center"/>
              <w:rPr>
                <w:rFonts w:hint="eastAsia" w:ascii="仿宋" w:hAnsi="仿宋" w:eastAsia="仿宋" w:cs="仿宋"/>
                <w:color w:val="auto"/>
                <w:sz w:val="21"/>
                <w:szCs w:val="21"/>
                <w:highlight w:val="none"/>
              </w:rPr>
            </w:pPr>
          </w:p>
        </w:tc>
        <w:tc>
          <w:tcPr>
            <w:tcW w:w="1261" w:type="dxa"/>
            <w:vMerge w:val="continue"/>
            <w:vAlign w:val="center"/>
          </w:tcPr>
          <w:p>
            <w:pPr>
              <w:jc w:val="center"/>
              <w:rPr>
                <w:rFonts w:hint="eastAsia" w:ascii="仿宋" w:hAnsi="仿宋" w:eastAsia="仿宋" w:cs="仿宋"/>
                <w:color w:val="auto"/>
                <w:sz w:val="21"/>
                <w:szCs w:val="21"/>
                <w:highlight w:val="none"/>
              </w:rPr>
            </w:pPr>
          </w:p>
        </w:tc>
        <w:tc>
          <w:tcPr>
            <w:tcW w:w="7313"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根据提供网络设备、精密空调、UPS、蓄电池巡检单样式、内容的实用性、合理性等方面由评委进行分析比较、评议、确定档次打分：0-3分区间内打分，不提供不得分。</w:t>
            </w:r>
          </w:p>
        </w:tc>
        <w:tc>
          <w:tcPr>
            <w:tcW w:w="741" w:type="dxa"/>
            <w:vAlign w:val="center"/>
          </w:tcPr>
          <w:p>
            <w:pPr>
              <w:tabs>
                <w:tab w:val="left" w:pos="826"/>
              </w:tabs>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5"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261"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培训服务</w:t>
            </w:r>
          </w:p>
        </w:tc>
        <w:tc>
          <w:tcPr>
            <w:tcW w:w="7313"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安排合理科学的培训，提供不少于2次培训，并结合培训讲师的经验、资历、能力等进行综合打分；0-3分区间内打分，不提供不得分。</w:t>
            </w:r>
          </w:p>
        </w:tc>
        <w:tc>
          <w:tcPr>
            <w:tcW w:w="741" w:type="dxa"/>
            <w:vAlign w:val="center"/>
          </w:tcPr>
          <w:p>
            <w:pPr>
              <w:tabs>
                <w:tab w:val="left" w:pos="826"/>
              </w:tabs>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5"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1261"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标书制作</w:t>
            </w:r>
          </w:p>
        </w:tc>
        <w:tc>
          <w:tcPr>
            <w:tcW w:w="7313" w:type="dxa"/>
            <w:vAlign w:val="center"/>
          </w:tcPr>
          <w:p>
            <w:pP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根据投标文件制作规范，条理清晰，易查，不以大量无关图文资料充数等情况，由评委进行分析比较、评议、在0-1分档次打分。</w:t>
            </w:r>
          </w:p>
        </w:tc>
        <w:tc>
          <w:tcPr>
            <w:tcW w:w="741" w:type="dxa"/>
            <w:vAlign w:val="center"/>
          </w:tcPr>
          <w:p>
            <w:pPr>
              <w:tabs>
                <w:tab w:val="left" w:pos="826"/>
              </w:tabs>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1分</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bookmarkEnd w:id="7"/>
      <w:bookmarkEnd w:id="8"/>
      <w:bookmarkEnd w:id="9"/>
      <w:bookmarkEnd w:id="10"/>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8"/>
        <w:spacing w:line="800" w:lineRule="atLeast"/>
        <w:ind w:left="0" w:leftChars="0"/>
        <w:rPr>
          <w:rFonts w:hint="eastAsia" w:ascii="仿宋" w:hAnsi="仿宋" w:eastAsia="仿宋" w:cs="仿宋"/>
          <w:b/>
          <w:color w:val="auto"/>
          <w:sz w:val="36"/>
          <w:szCs w:val="36"/>
          <w:highlight w:val="none"/>
        </w:rPr>
      </w:pPr>
    </w:p>
    <w:p>
      <w:pPr>
        <w:pStyle w:val="8"/>
        <w:spacing w:line="800" w:lineRule="atLeast"/>
        <w:ind w:left="0" w:leftChars="0"/>
        <w:rPr>
          <w:rFonts w:hint="eastAsia" w:ascii="仿宋" w:hAnsi="仿宋" w:eastAsia="仿宋" w:cs="仿宋"/>
          <w:b/>
          <w:color w:val="auto"/>
          <w:sz w:val="36"/>
          <w:szCs w:val="36"/>
          <w:highlight w:val="none"/>
        </w:rPr>
      </w:pPr>
    </w:p>
    <w:p>
      <w:pPr>
        <w:pStyle w:val="8"/>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1"/>
        <w:spacing w:afterLines="0" w:line="440" w:lineRule="exact"/>
        <w:ind w:firstLine="0" w:firstLineChars="0"/>
        <w:rPr>
          <w:rFonts w:hint="eastAsia" w:ascii="仿宋" w:hAnsi="仿宋" w:eastAsia="仿宋" w:cs="仿宋"/>
          <w:color w:val="auto"/>
          <w:szCs w:val="24"/>
          <w:highlight w:val="none"/>
        </w:rPr>
      </w:pPr>
    </w:p>
    <w:p>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绍兴文理学院附属医院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w:t>
      </w:r>
      <w:r>
        <w:rPr>
          <w:rFonts w:hint="eastAsia" w:ascii="仿宋" w:hAnsi="仿宋" w:eastAsia="仿宋" w:cs="仿宋"/>
          <w:color w:val="auto"/>
          <w:sz w:val="24"/>
          <w:highlight w:val="none"/>
          <w:lang w:eastAsia="zh-CN"/>
        </w:rPr>
        <w:t>公章</w:t>
      </w:r>
      <w:r>
        <w:rPr>
          <w:rFonts w:hint="eastAsia" w:ascii="仿宋" w:hAnsi="仿宋" w:eastAsia="仿宋" w:cs="仿宋"/>
          <w:color w:val="auto"/>
          <w:sz w:val="24"/>
          <w:highlight w:val="none"/>
        </w:rPr>
        <w:t>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绍兴文理学院附属医院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网络设备、排队叫号系统及机房相关设备维保项目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绍兴文理学院附属医院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网络设备、排队叫号系统及机房相关设备维保项目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绍兴文理学院附属医院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绍兴文理学院附属医院网络设备、排队叫号系统及机房相关设备维保项目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TYJZ2023</w:t>
      </w:r>
      <w:r>
        <w:rPr>
          <w:rFonts w:hint="eastAsia" w:ascii="仿宋" w:hAnsi="仿宋" w:eastAsia="仿宋" w:cs="仿宋"/>
          <w:color w:val="auto"/>
          <w:sz w:val="24"/>
          <w:highlight w:val="none"/>
        </w:rPr>
        <w:t>）招标文件中关于申请人资格要求的下列条件：</w:t>
      </w:r>
    </w:p>
    <w:p>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绍兴文理学院附属医院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both"/>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pStyle w:val="52"/>
        <w:rPr>
          <w:rFonts w:hint="eastAsia" w:ascii="仿宋" w:hAnsi="仿宋" w:eastAsia="仿宋" w:cs="仿宋"/>
          <w:color w:val="auto"/>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footerReference r:id="rId5" w:type="first"/>
          <w:headerReference r:id="rId3" w:type="default"/>
          <w:footerReference r:id="rId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sectPr>
      <w:headerReference r:id="rId6" w:type="default"/>
      <w:footerReference r:id="rId7" w:type="default"/>
      <w:footerReference r:id="rId8"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CA2E2C0"/>
    <w:multiLevelType w:val="singleLevel"/>
    <w:tmpl w:val="FCA2E2C0"/>
    <w:lvl w:ilvl="0" w:tentative="0">
      <w:start w:val="1"/>
      <w:numFmt w:val="decimal"/>
      <w:suff w:val="nothing"/>
      <w:lvlText w:val="（%1）"/>
      <w:lvlJc w:val="left"/>
    </w:lvl>
  </w:abstractNum>
  <w:abstractNum w:abstractNumId="2">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3"/>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7"/>
  </w:num>
  <w:num w:numId="5">
    <w:abstractNumId w:val="5"/>
  </w:num>
  <w:num w:numId="6">
    <w:abstractNumId w:val="0"/>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B2040E"/>
    <w:rsid w:val="01BB5A85"/>
    <w:rsid w:val="03FC0AFB"/>
    <w:rsid w:val="0446241E"/>
    <w:rsid w:val="05043575"/>
    <w:rsid w:val="06AB31FB"/>
    <w:rsid w:val="08A8158B"/>
    <w:rsid w:val="0B4D1F94"/>
    <w:rsid w:val="0C5609D3"/>
    <w:rsid w:val="10B828F8"/>
    <w:rsid w:val="10F93ED3"/>
    <w:rsid w:val="11504E7B"/>
    <w:rsid w:val="11804AA7"/>
    <w:rsid w:val="137A20FF"/>
    <w:rsid w:val="142305FE"/>
    <w:rsid w:val="1618304E"/>
    <w:rsid w:val="20FF1092"/>
    <w:rsid w:val="214E1D04"/>
    <w:rsid w:val="22465F20"/>
    <w:rsid w:val="22D50A60"/>
    <w:rsid w:val="252B7970"/>
    <w:rsid w:val="26125BA4"/>
    <w:rsid w:val="281A2C55"/>
    <w:rsid w:val="28A569C3"/>
    <w:rsid w:val="2B0A0BD5"/>
    <w:rsid w:val="2B431456"/>
    <w:rsid w:val="32297A9B"/>
    <w:rsid w:val="373F7F37"/>
    <w:rsid w:val="382168F2"/>
    <w:rsid w:val="39EE2D34"/>
    <w:rsid w:val="3C854832"/>
    <w:rsid w:val="3E6F2C13"/>
    <w:rsid w:val="3FDC222E"/>
    <w:rsid w:val="42434A36"/>
    <w:rsid w:val="45CC7564"/>
    <w:rsid w:val="46B04891"/>
    <w:rsid w:val="49463453"/>
    <w:rsid w:val="49C8030C"/>
    <w:rsid w:val="49D2118A"/>
    <w:rsid w:val="4A963F66"/>
    <w:rsid w:val="4BDC6D24"/>
    <w:rsid w:val="4BFA5BC7"/>
    <w:rsid w:val="53FA1DF9"/>
    <w:rsid w:val="553A48A9"/>
    <w:rsid w:val="558E2409"/>
    <w:rsid w:val="57A71560"/>
    <w:rsid w:val="580179B6"/>
    <w:rsid w:val="58477EF5"/>
    <w:rsid w:val="58B17641"/>
    <w:rsid w:val="59D00B42"/>
    <w:rsid w:val="5ACD4AC6"/>
    <w:rsid w:val="5CA73D18"/>
    <w:rsid w:val="5DD047C5"/>
    <w:rsid w:val="5F9C4824"/>
    <w:rsid w:val="600A6C32"/>
    <w:rsid w:val="60936B26"/>
    <w:rsid w:val="672956D3"/>
    <w:rsid w:val="68A909AF"/>
    <w:rsid w:val="694B0523"/>
    <w:rsid w:val="6E611302"/>
    <w:rsid w:val="6F63625D"/>
    <w:rsid w:val="71025D44"/>
    <w:rsid w:val="71221E32"/>
    <w:rsid w:val="72E87C49"/>
    <w:rsid w:val="74253AE1"/>
    <w:rsid w:val="74B752B6"/>
    <w:rsid w:val="75673B65"/>
    <w:rsid w:val="75DF67C1"/>
    <w:rsid w:val="76FE49DA"/>
    <w:rsid w:val="79D25219"/>
    <w:rsid w:val="7AF96FCA"/>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7"/>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3">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60"/>
    <w:qFormat/>
    <w:uiPriority w:val="0"/>
    <w:pPr>
      <w:keepNext/>
      <w:widowControl/>
      <w:numPr>
        <w:ilvl w:val="0"/>
        <w:numId w:val="4"/>
      </w:numPr>
      <w:jc w:val="left"/>
      <w:outlineLvl w:val="4"/>
    </w:pPr>
    <w:rPr>
      <w:kern w:val="0"/>
      <w:sz w:val="24"/>
      <w:szCs w:val="20"/>
    </w:rPr>
  </w:style>
  <w:style w:type="paragraph" w:styleId="10">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0"/>
    <w:pPr>
      <w:spacing w:line="360" w:lineRule="auto"/>
    </w:pPr>
    <w:rPr>
      <w:rFonts w:eastAsia="仿宋_GB2312"/>
      <w:sz w:val="28"/>
    </w:rPr>
  </w:style>
  <w:style w:type="paragraph" w:styleId="7">
    <w:name w:val="Normal Indent"/>
    <w:basedOn w:val="1"/>
    <w:next w:val="8"/>
    <w:link w:val="55"/>
    <w:qFormat/>
    <w:uiPriority w:val="0"/>
    <w:pPr>
      <w:ind w:firstLine="420" w:firstLineChars="200"/>
    </w:pPr>
  </w:style>
  <w:style w:type="paragraph" w:styleId="8">
    <w:name w:val="Body Text Indent"/>
    <w:basedOn w:val="1"/>
    <w:next w:val="1"/>
    <w:link w:val="67"/>
    <w:qFormat/>
    <w:uiPriority w:val="0"/>
    <w:pPr>
      <w:spacing w:after="120"/>
      <w:ind w:left="420" w:left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2"/>
    <w:qFormat/>
    <w:uiPriority w:val="0"/>
    <w:pPr>
      <w:spacing w:line="360" w:lineRule="auto"/>
      <w:jc w:val="center"/>
    </w:pPr>
    <w:rPr>
      <w:rFonts w:ascii="Calibri" w:hAnsi="Calibri"/>
      <w:sz w:val="20"/>
      <w:szCs w:val="20"/>
    </w:rPr>
  </w:style>
  <w:style w:type="paragraph" w:styleId="17">
    <w:name w:val="Document Map"/>
    <w:basedOn w:val="1"/>
    <w:link w:val="121"/>
    <w:semiHidden/>
    <w:qFormat/>
    <w:uiPriority w:val="0"/>
    <w:pPr>
      <w:shd w:val="clear" w:color="auto" w:fill="000080"/>
    </w:pPr>
  </w:style>
  <w:style w:type="paragraph" w:styleId="18">
    <w:name w:val="annotation text"/>
    <w:basedOn w:val="1"/>
    <w:link w:val="73"/>
    <w:qFormat/>
    <w:uiPriority w:val="0"/>
    <w:pPr>
      <w:jc w:val="left"/>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index 4"/>
    <w:basedOn w:val="1"/>
    <w:next w:val="1"/>
    <w:unhideWhenUsed/>
    <w:qFormat/>
    <w:uiPriority w:val="99"/>
    <w:pPr>
      <w:ind w:left="600" w:leftChars="600"/>
    </w:pPr>
    <w:rPr>
      <w:szCs w:val="22"/>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1"/>
    <w:link w:val="65"/>
    <w:qFormat/>
    <w:uiPriority w:val="0"/>
    <w:rPr>
      <w:rFonts w:ascii="宋体" w:hAnsi="Courier New"/>
      <w:szCs w:val="20"/>
    </w:rPr>
  </w:style>
  <w:style w:type="paragraph" w:styleId="24">
    <w:name w:val="Date"/>
    <w:basedOn w:val="1"/>
    <w:next w:val="1"/>
    <w:link w:val="68"/>
    <w:qFormat/>
    <w:uiPriority w:val="0"/>
    <w:rPr>
      <w:rFonts w:ascii="楷体_GB2312" w:eastAsia="楷体_GB2312"/>
      <w:b/>
      <w:sz w:val="28"/>
      <w:szCs w:val="20"/>
    </w:rPr>
  </w:style>
  <w:style w:type="paragraph" w:styleId="25">
    <w:name w:val="Body Text Indent 2"/>
    <w:basedOn w:val="1"/>
    <w:link w:val="82"/>
    <w:qFormat/>
    <w:uiPriority w:val="0"/>
    <w:pPr>
      <w:spacing w:after="120" w:line="480" w:lineRule="auto"/>
      <w:ind w:left="420" w:leftChars="200"/>
    </w:pPr>
  </w:style>
  <w:style w:type="paragraph" w:styleId="26">
    <w:name w:val="Balloon Text"/>
    <w:basedOn w:val="1"/>
    <w:link w:val="200"/>
    <w:qFormat/>
    <w:uiPriority w:val="0"/>
    <w:rPr>
      <w:sz w:val="18"/>
      <w:szCs w:val="18"/>
    </w:rPr>
  </w:style>
  <w:style w:type="paragraph" w:styleId="27">
    <w:name w:val="footer"/>
    <w:basedOn w:val="1"/>
    <w:link w:val="70"/>
    <w:qFormat/>
    <w:uiPriority w:val="0"/>
    <w:pPr>
      <w:tabs>
        <w:tab w:val="center" w:pos="4153"/>
        <w:tab w:val="right" w:pos="8306"/>
      </w:tabs>
      <w:snapToGrid w:val="0"/>
      <w:jc w:val="left"/>
    </w:pPr>
    <w:rPr>
      <w:sz w:val="18"/>
      <w:szCs w:val="18"/>
    </w:rPr>
  </w:style>
  <w:style w:type="paragraph" w:styleId="28">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toc 6"/>
    <w:basedOn w:val="1"/>
    <w:next w:val="1"/>
    <w:qFormat/>
    <w:uiPriority w:val="0"/>
    <w:pPr>
      <w:ind w:left="2100" w:leftChars="1000"/>
    </w:pPr>
  </w:style>
  <w:style w:type="paragraph" w:styleId="32">
    <w:name w:val="Body Text Indent 3"/>
    <w:basedOn w:val="1"/>
    <w:link w:val="201"/>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8"/>
    <w:next w:val="18"/>
    <w:link w:val="203"/>
    <w:qFormat/>
    <w:uiPriority w:val="0"/>
    <w:pPr>
      <w:widowControl/>
      <w:spacing w:afterLines="50"/>
    </w:pPr>
    <w:rPr>
      <w:b/>
      <w:bCs/>
      <w:kern w:val="0"/>
      <w:sz w:val="24"/>
      <w:szCs w:val="20"/>
    </w:rPr>
  </w:style>
  <w:style w:type="paragraph" w:styleId="41">
    <w:name w:val="Body Text First Indent"/>
    <w:basedOn w:val="2"/>
    <w:link w:val="204"/>
    <w:qFormat/>
    <w:uiPriority w:val="0"/>
    <w:pPr>
      <w:spacing w:after="120" w:line="240" w:lineRule="auto"/>
      <w:ind w:firstLine="420" w:firstLineChars="100"/>
    </w:pPr>
    <w:rPr>
      <w:rFonts w:eastAsia="宋体"/>
      <w:sz w:val="21"/>
    </w:rPr>
  </w:style>
  <w:style w:type="paragraph" w:styleId="42">
    <w:name w:val="Body Text First Indent 2"/>
    <w:basedOn w:val="8"/>
    <w:next w:val="41"/>
    <w:link w:val="205"/>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next w:val="1"/>
    <w:qFormat/>
    <w:uiPriority w:val="0"/>
    <w:pPr>
      <w:adjustRightInd w:val="0"/>
      <w:spacing w:line="360" w:lineRule="auto"/>
      <w:ind w:firstLine="480" w:firstLineChars="200"/>
    </w:pPr>
    <w:rPr>
      <w:sz w:val="24"/>
      <w:szCs w:val="20"/>
      <w:lang w:val="zh-CN"/>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4"/>
    <w:qFormat/>
    <w:uiPriority w:val="0"/>
    <w:rPr>
      <w:rFonts w:eastAsia="仿宋_GB2312"/>
      <w:b/>
      <w:kern w:val="44"/>
      <w:sz w:val="44"/>
      <w:lang w:val="en-US" w:eastAsia="zh-CN" w:bidi="ar-SA"/>
    </w:rPr>
  </w:style>
  <w:style w:type="character" w:customStyle="1" w:styleId="55">
    <w:name w:val="正文缩进 Char"/>
    <w:link w:val="7"/>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5"/>
    <w:qFormat/>
    <w:uiPriority w:val="0"/>
    <w:rPr>
      <w:rFonts w:ascii="Arial" w:hAnsi="Arial" w:eastAsia="黑体"/>
      <w:b/>
      <w:kern w:val="2"/>
      <w:sz w:val="32"/>
      <w:lang w:val="en-US" w:eastAsia="zh-CN" w:bidi="ar-SA"/>
    </w:rPr>
  </w:style>
  <w:style w:type="character" w:customStyle="1" w:styleId="58">
    <w:name w:val="标题 3 Char"/>
    <w:link w:val="6"/>
    <w:qFormat/>
    <w:uiPriority w:val="0"/>
    <w:rPr>
      <w:rFonts w:eastAsia="仿宋_GB2312"/>
      <w:b/>
      <w:kern w:val="2"/>
      <w:sz w:val="32"/>
      <w:lang w:val="en-US" w:eastAsia="zh-CN" w:bidi="ar-SA"/>
    </w:rPr>
  </w:style>
  <w:style w:type="character" w:customStyle="1" w:styleId="59">
    <w:name w:val="标题 4 Char1"/>
    <w:link w:val="3"/>
    <w:qFormat/>
    <w:uiPriority w:val="0"/>
    <w:rPr>
      <w:rFonts w:ascii="Arial" w:hAnsi="Arial" w:eastAsia="黑体"/>
      <w:b/>
      <w:kern w:val="2"/>
      <w:sz w:val="28"/>
      <w:lang w:val="en-US" w:eastAsia="zh-CN" w:bidi="ar-SA"/>
    </w:rPr>
  </w:style>
  <w:style w:type="character" w:customStyle="1" w:styleId="60">
    <w:name w:val="标题 5 Char1"/>
    <w:link w:val="9"/>
    <w:qFormat/>
    <w:uiPriority w:val="0"/>
    <w:rPr>
      <w:sz w:val="24"/>
    </w:rPr>
  </w:style>
  <w:style w:type="character" w:customStyle="1" w:styleId="61">
    <w:name w:val="标题 6 Char1"/>
    <w:link w:val="10"/>
    <w:qFormat/>
    <w:uiPriority w:val="0"/>
    <w:rPr>
      <w:rFonts w:ascii="宋体" w:hAnsi="Arial" w:eastAsia="宋体"/>
      <w:sz w:val="24"/>
      <w:lang w:val="en-US" w:eastAsia="zh-CN" w:bidi="ar-SA"/>
    </w:rPr>
  </w:style>
  <w:style w:type="character" w:customStyle="1" w:styleId="62">
    <w:name w:val="标题 7 Char1"/>
    <w:link w:val="11"/>
    <w:qFormat/>
    <w:uiPriority w:val="0"/>
    <w:rPr>
      <w:rFonts w:ascii="宋体" w:hAnsi="Arial" w:eastAsia="宋体"/>
      <w:b/>
      <w:sz w:val="24"/>
      <w:lang w:val="en-US" w:eastAsia="zh-CN" w:bidi="ar-SA"/>
    </w:rPr>
  </w:style>
  <w:style w:type="character" w:customStyle="1" w:styleId="63">
    <w:name w:val="标题 8 Char1"/>
    <w:link w:val="12"/>
    <w:qFormat/>
    <w:uiPriority w:val="0"/>
    <w:rPr>
      <w:rFonts w:ascii="Arial" w:hAnsi="Arial" w:eastAsia="黑体"/>
      <w:sz w:val="24"/>
      <w:lang w:val="en-US" w:eastAsia="zh-CN" w:bidi="ar-SA"/>
    </w:rPr>
  </w:style>
  <w:style w:type="character" w:customStyle="1" w:styleId="64">
    <w:name w:val="标题 9 Char1"/>
    <w:link w:val="13"/>
    <w:qFormat/>
    <w:uiPriority w:val="0"/>
    <w:rPr>
      <w:rFonts w:ascii="Arial" w:hAnsi="Arial" w:eastAsia="黑体"/>
      <w:sz w:val="24"/>
      <w:lang w:val="en-US" w:eastAsia="zh-CN" w:bidi="ar-SA"/>
    </w:rPr>
  </w:style>
  <w:style w:type="character" w:customStyle="1" w:styleId="65">
    <w:name w:val="纯文本 Char"/>
    <w:link w:val="23"/>
    <w:qFormat/>
    <w:uiPriority w:val="0"/>
    <w:rPr>
      <w:rFonts w:ascii="宋体" w:hAnsi="Courier New" w:eastAsia="宋体"/>
      <w:kern w:val="2"/>
      <w:sz w:val="21"/>
      <w:lang w:val="en-US" w:eastAsia="zh-CN" w:bidi="ar-SA"/>
    </w:rPr>
  </w:style>
  <w:style w:type="paragraph" w:customStyle="1" w:styleId="66">
    <w:name w:val="表正文"/>
    <w:basedOn w:val="1"/>
    <w:next w:val="23"/>
    <w:qFormat/>
    <w:uiPriority w:val="0"/>
    <w:rPr>
      <w:rFonts w:ascii="宋体" w:hAnsi="Courier New"/>
      <w:szCs w:val="20"/>
    </w:rPr>
  </w:style>
  <w:style w:type="character" w:customStyle="1" w:styleId="67">
    <w:name w:val="正文文本缩进 Char"/>
    <w:link w:val="8"/>
    <w:qFormat/>
    <w:uiPriority w:val="0"/>
    <w:rPr>
      <w:rFonts w:eastAsia="宋体"/>
      <w:kern w:val="2"/>
      <w:sz w:val="21"/>
      <w:szCs w:val="24"/>
      <w:lang w:val="en-US" w:eastAsia="zh-CN" w:bidi="ar-SA"/>
    </w:rPr>
  </w:style>
  <w:style w:type="character" w:customStyle="1" w:styleId="68">
    <w:name w:val="日期 Char2"/>
    <w:link w:val="24"/>
    <w:qFormat/>
    <w:uiPriority w:val="0"/>
    <w:rPr>
      <w:rFonts w:ascii="楷体_GB2312" w:eastAsia="楷体_GB2312"/>
      <w:b/>
      <w:kern w:val="2"/>
      <w:sz w:val="28"/>
      <w:lang w:val="en-US" w:eastAsia="zh-CN" w:bidi="ar-SA"/>
    </w:rPr>
  </w:style>
  <w:style w:type="character" w:customStyle="1" w:styleId="69">
    <w:name w:val="页眉 Char1"/>
    <w:link w:val="28"/>
    <w:qFormat/>
    <w:uiPriority w:val="0"/>
    <w:rPr>
      <w:rFonts w:eastAsia="宋体"/>
      <w:kern w:val="2"/>
      <w:sz w:val="18"/>
      <w:szCs w:val="18"/>
      <w:lang w:val="en-US" w:eastAsia="zh-CN" w:bidi="ar-SA"/>
    </w:rPr>
  </w:style>
  <w:style w:type="character" w:customStyle="1" w:styleId="70">
    <w:name w:val="页脚 Char"/>
    <w:link w:val="27"/>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8"/>
    <w:qFormat/>
    <w:uiPriority w:val="0"/>
    <w:rPr>
      <w:rFonts w:eastAsia="宋体"/>
      <w:kern w:val="2"/>
      <w:sz w:val="21"/>
      <w:szCs w:val="24"/>
      <w:lang w:val="en-US" w:eastAsia="zh-CN" w:bidi="ar-SA"/>
    </w:rPr>
  </w:style>
  <w:style w:type="character" w:customStyle="1" w:styleId="74">
    <w:name w:val="正文文本 2 Char1"/>
    <w:link w:val="34"/>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8"/>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5"/>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2"/>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next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5"/>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5"/>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7"/>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7"/>
    <w:qFormat/>
    <w:uiPriority w:val="0"/>
    <w:rPr>
      <w:rFonts w:ascii="Tahoma" w:hAnsi="Tahoma"/>
      <w:sz w:val="24"/>
    </w:rPr>
  </w:style>
  <w:style w:type="paragraph" w:customStyle="1" w:styleId="141">
    <w:name w:val="Char Char Char"/>
    <w:basedOn w:val="17"/>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5"/>
    <w:qFormat/>
    <w:uiPriority w:val="0"/>
  </w:style>
  <w:style w:type="paragraph" w:customStyle="1" w:styleId="153">
    <w:name w:val="样式 正文缩进 + 首行缩进:  2 字符"/>
    <w:basedOn w:val="7"/>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5"/>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5"/>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5"/>
    <w:link w:val="26"/>
    <w:qFormat/>
    <w:uiPriority w:val="0"/>
    <w:rPr>
      <w:kern w:val="2"/>
      <w:sz w:val="18"/>
      <w:szCs w:val="18"/>
    </w:rPr>
  </w:style>
  <w:style w:type="character" w:customStyle="1" w:styleId="201">
    <w:name w:val="正文文本缩进 3 Char"/>
    <w:basedOn w:val="45"/>
    <w:link w:val="32"/>
    <w:qFormat/>
    <w:uiPriority w:val="0"/>
    <w:rPr>
      <w:kern w:val="2"/>
      <w:sz w:val="16"/>
      <w:szCs w:val="16"/>
    </w:rPr>
  </w:style>
  <w:style w:type="character" w:customStyle="1" w:styleId="202">
    <w:name w:val="HTML 预设格式 Char"/>
    <w:basedOn w:val="45"/>
    <w:link w:val="36"/>
    <w:qFormat/>
    <w:uiPriority w:val="0"/>
    <w:rPr>
      <w:rFonts w:ascii="黑体" w:hAnsi="Courier New" w:eastAsia="黑体" w:cs="Courier New"/>
    </w:rPr>
  </w:style>
  <w:style w:type="character" w:customStyle="1" w:styleId="203">
    <w:name w:val="批注主题 Char"/>
    <w:basedOn w:val="170"/>
    <w:link w:val="40"/>
    <w:qFormat/>
    <w:uiPriority w:val="0"/>
    <w:rPr>
      <w:rFonts w:eastAsia="宋体"/>
      <w:b/>
      <w:bCs/>
      <w:kern w:val="2"/>
      <w:sz w:val="24"/>
      <w:szCs w:val="24"/>
      <w:lang w:val="en-US" w:eastAsia="zh-CN" w:bidi="ar-SA"/>
    </w:rPr>
  </w:style>
  <w:style w:type="character" w:customStyle="1" w:styleId="204">
    <w:name w:val="正文首行缩进 Char"/>
    <w:basedOn w:val="165"/>
    <w:link w:val="41"/>
    <w:qFormat/>
    <w:uiPriority w:val="0"/>
    <w:rPr>
      <w:rFonts w:eastAsia="仿宋_GB2312"/>
      <w:kern w:val="2"/>
      <w:sz w:val="21"/>
      <w:szCs w:val="24"/>
      <w:lang w:val="en-US" w:eastAsia="zh-CN" w:bidi="ar-SA"/>
    </w:rPr>
  </w:style>
  <w:style w:type="character" w:customStyle="1" w:styleId="205">
    <w:name w:val="正文首行缩进 2 Char"/>
    <w:basedOn w:val="67"/>
    <w:link w:val="42"/>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45"/>
    <w:qFormat/>
    <w:uiPriority w:val="0"/>
    <w:rPr>
      <w:rFonts w:hint="default" w:ascii="等线" w:hAnsi="等线" w:eastAsia="等线" w:cs="等线"/>
      <w:color w:val="FF0000"/>
      <w:sz w:val="22"/>
      <w:szCs w:val="22"/>
      <w:u w:val="none"/>
    </w:rPr>
  </w:style>
  <w:style w:type="character" w:customStyle="1" w:styleId="270">
    <w:name w:val="font21"/>
    <w:basedOn w:val="45"/>
    <w:qFormat/>
    <w:uiPriority w:val="0"/>
    <w:rPr>
      <w:rFonts w:hint="default" w:ascii="等线" w:hAnsi="等线" w:eastAsia="等线" w:cs="等线"/>
      <w:color w:val="000000"/>
      <w:sz w:val="22"/>
      <w:szCs w:val="22"/>
      <w:u w:val="none"/>
    </w:rPr>
  </w:style>
  <w:style w:type="character" w:customStyle="1" w:styleId="271">
    <w:name w:val="font51"/>
    <w:basedOn w:val="45"/>
    <w:qFormat/>
    <w:uiPriority w:val="0"/>
    <w:rPr>
      <w:rFonts w:hint="default" w:ascii="等线" w:hAnsi="等线" w:eastAsia="等线" w:cs="等线"/>
      <w:color w:val="FF0000"/>
      <w:sz w:val="22"/>
      <w:szCs w:val="22"/>
      <w:u w:val="none"/>
    </w:rPr>
  </w:style>
  <w:style w:type="character" w:customStyle="1" w:styleId="272">
    <w:name w:val="font61"/>
    <w:basedOn w:val="45"/>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5"/>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5"/>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6"/>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TOC 标题11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qFormat/>
    <w:uiPriority w:val="0"/>
    <w:rPr>
      <w:rFonts w:eastAsia="宋体"/>
      <w:kern w:val="2"/>
      <w:sz w:val="21"/>
      <w:szCs w:val="24"/>
      <w:lang w:val="en-US" w:eastAsia="zh-CN" w:bidi="ar-SA"/>
    </w:rPr>
  </w:style>
  <w:style w:type="paragraph" w:customStyle="1" w:styleId="291">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5"/>
    <w:unhideWhenUsed/>
    <w:qFormat/>
    <w:uiPriority w:val="99"/>
    <w:rPr>
      <w:color w:val="605E5C"/>
      <w:shd w:val="clear" w:color="auto" w:fill="E1DFDD"/>
    </w:rPr>
  </w:style>
  <w:style w:type="paragraph" w:customStyle="1" w:styleId="295">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qFormat/>
    <w:uiPriority w:val="34"/>
    <w:pPr>
      <w:ind w:firstLine="420" w:firstLineChars="200"/>
    </w:pPr>
  </w:style>
  <w:style w:type="paragraph" w:customStyle="1" w:styleId="302">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character" w:customStyle="1" w:styleId="303">
    <w:name w:val="font71"/>
    <w:basedOn w:val="45"/>
    <w:qFormat/>
    <w:uiPriority w:val="0"/>
    <w:rPr>
      <w:rFonts w:hint="eastAsia" w:ascii="仿宋" w:hAnsi="仿宋" w:eastAsia="仿宋" w:cs="仿宋"/>
      <w:color w:val="000000"/>
      <w:sz w:val="24"/>
      <w:szCs w:val="24"/>
      <w:u w:val="none"/>
    </w:rPr>
  </w:style>
  <w:style w:type="character" w:customStyle="1" w:styleId="304">
    <w:name w:val="font81"/>
    <w:basedOn w:val="45"/>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Pages>86</Pages>
  <Words>44973</Words>
  <Characters>48511</Characters>
  <Lines>490</Lines>
  <Paragraphs>138</Paragraphs>
  <TotalTime>11</TotalTime>
  <ScaleCrop>false</ScaleCrop>
  <LinksUpToDate>false</LinksUpToDate>
  <CharactersWithSpaces>54804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無珂鲰玳k&amp;o_O</cp:lastModifiedBy>
  <cp:lastPrinted>2022-11-15T17:02:00Z</cp:lastPrinted>
  <dcterms:modified xsi:type="dcterms:W3CDTF">2023-08-08T06:22:55Z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