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color w:val="auto"/>
          <w:sz w:val="24"/>
          <w:highlight w:val="none"/>
        </w:rPr>
      </w:pPr>
    </w:p>
    <w:p>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绍兴市中医院改建区固定嵌入式及部分活动医疗家具采购安装项目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color w:val="auto"/>
          <w:sz w:val="28"/>
          <w:szCs w:val="28"/>
          <w:highlight w:val="none"/>
          <w:lang w:eastAsia="zh-CN"/>
        </w:rPr>
        <w:t>TYJZ2023085</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25193662"/>
              </w:rPr>
              <w:t>采购代理机构</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九</w:t>
            </w:r>
            <w:r>
              <w:rPr>
                <w:rFonts w:hint="eastAsia" w:ascii="仿宋" w:hAnsi="仿宋" w:eastAsia="仿宋" w:cs="仿宋"/>
                <w:color w:val="auto"/>
                <w:sz w:val="28"/>
                <w:szCs w:val="28"/>
                <w:highlight w:val="none"/>
              </w:rPr>
              <w:t>月</w:t>
            </w:r>
          </w:p>
        </w:tc>
      </w:tr>
    </w:tbl>
    <w:p>
      <w:pPr>
        <w:pStyle w:val="638"/>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auto"/>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8647"/>
      <w:bookmarkEnd w:id="4"/>
      <w:bookmarkStart w:id="5" w:name="_Hlt74729822"/>
      <w:bookmarkEnd w:id="5"/>
      <w:bookmarkStart w:id="6" w:name="_Hlt74707423"/>
      <w:bookmarkEnd w:id="6"/>
      <w:bookmarkStart w:id="7" w:name="第二部分"/>
      <w:bookmarkStart w:id="8" w:name="_Toc91899870"/>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绍兴市中医院改建区固定嵌入式及部分活动医疗家具采购安装项目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w:t>
      </w:r>
      <w:r>
        <w:rPr>
          <w:rStyle w:val="78"/>
          <w:rFonts w:hint="eastAsia" w:ascii="仿宋" w:hAnsi="仿宋" w:eastAsia="仿宋" w:cs="仿宋"/>
          <w:b/>
          <w:bCs/>
          <w:snapToGrid/>
          <w:color w:val="auto"/>
          <w:kern w:val="2"/>
          <w:sz w:val="24"/>
          <w:szCs w:val="24"/>
          <w:highlight w:val="yellow"/>
        </w:rPr>
        <w:t>202</w:t>
      </w:r>
      <w:r>
        <w:rPr>
          <w:rStyle w:val="78"/>
          <w:rFonts w:hint="eastAsia" w:ascii="仿宋" w:hAnsi="仿宋" w:eastAsia="仿宋" w:cs="仿宋"/>
          <w:b/>
          <w:bCs/>
          <w:snapToGrid/>
          <w:color w:val="auto"/>
          <w:kern w:val="2"/>
          <w:sz w:val="24"/>
          <w:szCs w:val="24"/>
          <w:highlight w:val="yellow"/>
          <w:lang w:val="en-US" w:eastAsia="zh-CN"/>
        </w:rPr>
        <w:t>3</w:t>
      </w:r>
      <w:r>
        <w:rPr>
          <w:rStyle w:val="78"/>
          <w:rFonts w:hint="eastAsia" w:ascii="仿宋" w:hAnsi="仿宋" w:eastAsia="仿宋" w:cs="仿宋"/>
          <w:b/>
          <w:bCs/>
          <w:snapToGrid/>
          <w:color w:val="auto"/>
          <w:kern w:val="2"/>
          <w:sz w:val="24"/>
          <w:szCs w:val="24"/>
          <w:highlight w:val="yellow"/>
        </w:rPr>
        <w:t>年</w:t>
      </w:r>
      <w:r>
        <w:rPr>
          <w:rStyle w:val="78"/>
          <w:rFonts w:hint="eastAsia" w:ascii="仿宋" w:hAnsi="仿宋" w:eastAsia="仿宋" w:cs="仿宋"/>
          <w:b/>
          <w:bCs/>
          <w:snapToGrid/>
          <w:color w:val="auto"/>
          <w:kern w:val="2"/>
          <w:sz w:val="24"/>
          <w:szCs w:val="24"/>
          <w:highlight w:val="yellow"/>
          <w:lang w:val="en-US" w:eastAsia="zh-CN"/>
        </w:rPr>
        <w:t>10</w:t>
      </w:r>
      <w:r>
        <w:rPr>
          <w:rStyle w:val="78"/>
          <w:rFonts w:hint="eastAsia" w:ascii="仿宋" w:hAnsi="仿宋" w:eastAsia="仿宋" w:cs="仿宋"/>
          <w:b/>
          <w:bCs/>
          <w:snapToGrid/>
          <w:color w:val="auto"/>
          <w:kern w:val="2"/>
          <w:sz w:val="24"/>
          <w:szCs w:val="24"/>
          <w:highlight w:val="yellow"/>
        </w:rPr>
        <w:t>月</w:t>
      </w:r>
      <w:r>
        <w:rPr>
          <w:rStyle w:val="78"/>
          <w:rFonts w:hint="eastAsia" w:ascii="仿宋" w:hAnsi="仿宋" w:eastAsia="仿宋" w:cs="仿宋"/>
          <w:b/>
          <w:bCs/>
          <w:snapToGrid/>
          <w:color w:val="auto"/>
          <w:kern w:val="2"/>
          <w:sz w:val="24"/>
          <w:szCs w:val="24"/>
          <w:highlight w:val="yellow"/>
          <w:lang w:val="en-US" w:eastAsia="zh-CN"/>
        </w:rPr>
        <w:t>26</w:t>
      </w:r>
      <w:r>
        <w:rPr>
          <w:rStyle w:val="78"/>
          <w:rFonts w:hint="eastAsia" w:ascii="仿宋" w:hAnsi="仿宋" w:eastAsia="仿宋" w:cs="仿宋"/>
          <w:b/>
          <w:bCs/>
          <w:snapToGrid/>
          <w:color w:val="auto"/>
          <w:kern w:val="2"/>
          <w:sz w:val="24"/>
          <w:szCs w:val="24"/>
          <w:highlight w:val="yellow"/>
        </w:rPr>
        <w:t>日</w:t>
      </w:r>
      <w:r>
        <w:rPr>
          <w:rStyle w:val="78"/>
          <w:rFonts w:hint="eastAsia" w:ascii="仿宋" w:hAnsi="仿宋" w:eastAsia="仿宋" w:cs="仿宋"/>
          <w:b/>
          <w:bCs/>
          <w:snapToGrid/>
          <w:color w:val="auto"/>
          <w:kern w:val="2"/>
          <w:sz w:val="24"/>
          <w:szCs w:val="24"/>
          <w:highlight w:val="yellow"/>
          <w:lang w:val="en-US" w:eastAsia="zh-CN"/>
        </w:rPr>
        <w:t>09</w:t>
      </w:r>
      <w:r>
        <w:rPr>
          <w:rStyle w:val="78"/>
          <w:rFonts w:hint="eastAsia" w:ascii="仿宋" w:hAnsi="仿宋" w:eastAsia="仿宋" w:cs="仿宋"/>
          <w:b/>
          <w:bCs/>
          <w:snapToGrid/>
          <w:color w:val="auto"/>
          <w:kern w:val="2"/>
          <w:sz w:val="24"/>
          <w:szCs w:val="24"/>
          <w:highlight w:val="yellow"/>
        </w:rPr>
        <w:t>点</w:t>
      </w:r>
      <w:r>
        <w:rPr>
          <w:rStyle w:val="78"/>
          <w:rFonts w:hint="eastAsia" w:ascii="仿宋" w:hAnsi="仿宋" w:eastAsia="仿宋" w:cs="仿宋"/>
          <w:b/>
          <w:bCs/>
          <w:snapToGrid/>
          <w:color w:val="auto"/>
          <w:kern w:val="2"/>
          <w:sz w:val="24"/>
          <w:szCs w:val="24"/>
          <w:highlight w:val="yellow"/>
          <w:lang w:val="en-US" w:eastAsia="zh-CN"/>
        </w:rPr>
        <w:t>00</w:t>
      </w:r>
      <w:r>
        <w:rPr>
          <w:rStyle w:val="78"/>
          <w:rFonts w:hint="eastAsia" w:ascii="仿宋" w:hAnsi="仿宋" w:eastAsia="仿宋" w:cs="仿宋"/>
          <w:b/>
          <w:bCs/>
          <w:snapToGrid/>
          <w:color w:val="auto"/>
          <w:kern w:val="2"/>
          <w:sz w:val="24"/>
          <w:szCs w:val="24"/>
          <w:highlight w:val="yellow"/>
        </w:rPr>
        <w:t>分00秒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TYJZ2023085</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绍兴市中医院改建区固定嵌入式及部分活动医疗家具采购安装项目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 xml:space="preserve">2000000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 xml:space="preserve">1900000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改建区固定嵌入式及部分活动医疗家具采购安装项目</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预算金额：2000000</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b/>
          <w:color w:val="auto"/>
          <w:sz w:val="24"/>
          <w:highlight w:val="none"/>
        </w:rPr>
        <w:t>是，☐否。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785" w:firstLineChars="374"/>
        <w:textAlignment w:val="auto"/>
        <w:rPr>
          <w:rFonts w:hint="eastAsia" w:ascii="仿宋" w:hAnsi="仿宋" w:eastAsia="仿宋" w:cs="仿宋"/>
          <w:color w:val="auto"/>
          <w:sz w:val="24"/>
          <w:highlight w:val="none"/>
          <w:u w:val="singl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b/>
          <w:bCs/>
          <w:color w:val="auto"/>
          <w:sz w:val="24"/>
          <w:highlight w:val="yellow"/>
          <w:u w:val="single"/>
        </w:rPr>
        <w:t>202</w:t>
      </w:r>
      <w:r>
        <w:rPr>
          <w:rFonts w:hint="eastAsia" w:ascii="仿宋" w:hAnsi="仿宋" w:eastAsia="仿宋" w:cs="仿宋"/>
          <w:b/>
          <w:bCs/>
          <w:color w:val="auto"/>
          <w:sz w:val="24"/>
          <w:highlight w:val="yellow"/>
          <w:u w:val="single"/>
          <w:lang w:val="en-US" w:eastAsia="zh-CN"/>
        </w:rPr>
        <w:t>3</w:t>
      </w:r>
      <w:r>
        <w:rPr>
          <w:rFonts w:hint="eastAsia" w:ascii="仿宋" w:hAnsi="仿宋" w:eastAsia="仿宋" w:cs="仿宋"/>
          <w:b/>
          <w:bCs/>
          <w:color w:val="auto"/>
          <w:sz w:val="24"/>
          <w:highlight w:val="yellow"/>
          <w:u w:val="single"/>
        </w:rPr>
        <w:t>年</w:t>
      </w:r>
      <w:r>
        <w:rPr>
          <w:rFonts w:hint="eastAsia" w:ascii="仿宋" w:hAnsi="仿宋" w:eastAsia="仿宋" w:cs="仿宋"/>
          <w:b/>
          <w:bCs/>
          <w:color w:val="auto"/>
          <w:sz w:val="24"/>
          <w:highlight w:val="yellow"/>
          <w:u w:val="single"/>
          <w:lang w:val="en-US" w:eastAsia="zh-CN"/>
        </w:rPr>
        <w:t>10</w:t>
      </w:r>
      <w:r>
        <w:rPr>
          <w:rFonts w:hint="eastAsia" w:ascii="仿宋" w:hAnsi="仿宋" w:eastAsia="仿宋" w:cs="仿宋"/>
          <w:b/>
          <w:bCs/>
          <w:color w:val="auto"/>
          <w:sz w:val="24"/>
          <w:highlight w:val="yellow"/>
          <w:u w:val="single"/>
        </w:rPr>
        <w:t>月</w:t>
      </w:r>
      <w:r>
        <w:rPr>
          <w:rFonts w:hint="eastAsia" w:ascii="仿宋" w:hAnsi="仿宋" w:eastAsia="仿宋" w:cs="仿宋"/>
          <w:b/>
          <w:bCs/>
          <w:color w:val="auto"/>
          <w:sz w:val="24"/>
          <w:highlight w:val="yellow"/>
          <w:u w:val="single"/>
          <w:lang w:val="en-US" w:eastAsia="zh-CN"/>
        </w:rPr>
        <w:t>26</w:t>
      </w:r>
      <w:r>
        <w:rPr>
          <w:rFonts w:hint="eastAsia" w:ascii="仿宋" w:hAnsi="仿宋" w:eastAsia="仿宋" w:cs="仿宋"/>
          <w:b/>
          <w:bCs/>
          <w:color w:val="auto"/>
          <w:sz w:val="24"/>
          <w:highlight w:val="yellow"/>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u w:val="single"/>
        </w:rPr>
        <w:t>202</w:t>
      </w:r>
      <w:r>
        <w:rPr>
          <w:rFonts w:hint="eastAsia" w:ascii="仿宋" w:hAnsi="仿宋" w:eastAsia="仿宋" w:cs="仿宋"/>
          <w:b/>
          <w:bCs/>
          <w:color w:val="auto"/>
          <w:sz w:val="24"/>
          <w:highlight w:val="none"/>
          <w:u w:val="single"/>
          <w:lang w:val="en-US" w:eastAsia="zh-CN"/>
        </w:rPr>
        <w:t>3</w:t>
      </w:r>
      <w:r>
        <w:rPr>
          <w:rFonts w:hint="eastAsia" w:ascii="仿宋" w:hAnsi="仿宋" w:eastAsia="仿宋" w:cs="仿宋"/>
          <w:b/>
          <w:bCs/>
          <w:color w:val="auto"/>
          <w:sz w:val="24"/>
          <w:highlight w:val="none"/>
          <w:u w:val="single"/>
        </w:rPr>
        <w:t>年</w:t>
      </w:r>
      <w:r>
        <w:rPr>
          <w:rFonts w:hint="eastAsia" w:ascii="仿宋" w:hAnsi="仿宋" w:eastAsia="仿宋" w:cs="仿宋"/>
          <w:b/>
          <w:bCs/>
          <w:color w:val="auto"/>
          <w:sz w:val="24"/>
          <w:highlight w:val="none"/>
          <w:u w:val="single"/>
          <w:lang w:val="en-US" w:eastAsia="zh-CN"/>
        </w:rPr>
        <w:t>10</w:t>
      </w:r>
      <w:r>
        <w:rPr>
          <w:rFonts w:hint="eastAsia" w:ascii="仿宋" w:hAnsi="仿宋" w:eastAsia="仿宋" w:cs="仿宋"/>
          <w:b/>
          <w:bCs/>
          <w:color w:val="auto"/>
          <w:sz w:val="24"/>
          <w:highlight w:val="none"/>
          <w:u w:val="single"/>
        </w:rPr>
        <w:t>月</w:t>
      </w:r>
      <w:r>
        <w:rPr>
          <w:rFonts w:hint="eastAsia" w:ascii="仿宋" w:hAnsi="仿宋" w:eastAsia="仿宋" w:cs="仿宋"/>
          <w:b/>
          <w:bCs/>
          <w:color w:val="auto"/>
          <w:sz w:val="24"/>
          <w:highlight w:val="none"/>
          <w:u w:val="single"/>
          <w:lang w:val="en-US" w:eastAsia="zh-CN"/>
        </w:rPr>
        <w:t>26</w:t>
      </w:r>
      <w:r>
        <w:rPr>
          <w:rFonts w:hint="eastAsia" w:ascii="仿宋" w:hAnsi="仿宋" w:eastAsia="仿宋" w:cs="仿宋"/>
          <w:b/>
          <w:bCs/>
          <w:color w:val="auto"/>
          <w:sz w:val="24"/>
          <w:highlight w:val="none"/>
          <w:u w:val="single"/>
        </w:rPr>
        <w:t>日</w:t>
      </w:r>
      <w:r>
        <w:rPr>
          <w:rFonts w:hint="eastAsia" w:ascii="仿宋" w:hAnsi="仿宋" w:eastAsia="仿宋" w:cs="仿宋"/>
          <w:b/>
          <w:bCs/>
          <w:color w:val="auto"/>
          <w:sz w:val="24"/>
          <w:highlight w:val="none"/>
          <w:u w:val="single"/>
          <w:lang w:val="en-US" w:eastAsia="zh-CN"/>
        </w:rPr>
        <w:t>09</w:t>
      </w:r>
      <w:r>
        <w:rPr>
          <w:rFonts w:hint="eastAsia" w:ascii="仿宋" w:hAnsi="仿宋" w:eastAsia="仿宋" w:cs="仿宋"/>
          <w:b/>
          <w:bCs/>
          <w:color w:val="auto"/>
          <w:sz w:val="24"/>
          <w:highlight w:val="none"/>
          <w:u w:val="single"/>
        </w:rPr>
        <w:t>点</w:t>
      </w:r>
      <w:r>
        <w:rPr>
          <w:rFonts w:hint="eastAsia" w:ascii="仿宋" w:hAnsi="仿宋" w:eastAsia="仿宋" w:cs="仿宋"/>
          <w:b/>
          <w:bCs/>
          <w:color w:val="auto"/>
          <w:sz w:val="24"/>
          <w:highlight w:val="none"/>
          <w:u w:val="single"/>
          <w:lang w:val="en-US" w:eastAsia="zh-CN"/>
        </w:rPr>
        <w:t>00</w:t>
      </w:r>
      <w:r>
        <w:rPr>
          <w:rFonts w:hint="eastAsia" w:ascii="仿宋" w:hAnsi="仿宋" w:eastAsia="仿宋" w:cs="仿宋"/>
          <w:b/>
          <w:bCs/>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b/>
          <w:bCs/>
          <w:color w:val="auto"/>
          <w:sz w:val="24"/>
          <w:highlight w:val="none"/>
          <w:u w:val="single"/>
        </w:rPr>
        <w:t>202</w:t>
      </w:r>
      <w:r>
        <w:rPr>
          <w:rFonts w:hint="eastAsia" w:ascii="仿宋" w:hAnsi="仿宋" w:eastAsia="仿宋" w:cs="仿宋"/>
          <w:b/>
          <w:bCs/>
          <w:color w:val="auto"/>
          <w:sz w:val="24"/>
          <w:highlight w:val="none"/>
          <w:u w:val="single"/>
          <w:lang w:val="en-US" w:eastAsia="zh-CN"/>
        </w:rPr>
        <w:t>3</w:t>
      </w:r>
      <w:r>
        <w:rPr>
          <w:rFonts w:hint="eastAsia" w:ascii="仿宋" w:hAnsi="仿宋" w:eastAsia="仿宋" w:cs="仿宋"/>
          <w:b/>
          <w:bCs/>
          <w:color w:val="auto"/>
          <w:sz w:val="24"/>
          <w:highlight w:val="none"/>
          <w:u w:val="single"/>
        </w:rPr>
        <w:t>年</w:t>
      </w:r>
      <w:r>
        <w:rPr>
          <w:rFonts w:hint="eastAsia" w:ascii="仿宋" w:hAnsi="仿宋" w:eastAsia="仿宋" w:cs="仿宋"/>
          <w:b/>
          <w:bCs/>
          <w:color w:val="auto"/>
          <w:sz w:val="24"/>
          <w:highlight w:val="none"/>
          <w:u w:val="single"/>
          <w:lang w:val="en-US" w:eastAsia="zh-CN"/>
        </w:rPr>
        <w:t>10</w:t>
      </w:r>
      <w:r>
        <w:rPr>
          <w:rFonts w:hint="eastAsia" w:ascii="仿宋" w:hAnsi="仿宋" w:eastAsia="仿宋" w:cs="仿宋"/>
          <w:b/>
          <w:bCs/>
          <w:color w:val="auto"/>
          <w:sz w:val="24"/>
          <w:highlight w:val="none"/>
          <w:u w:val="single"/>
        </w:rPr>
        <w:t>月</w:t>
      </w:r>
      <w:r>
        <w:rPr>
          <w:rFonts w:hint="eastAsia" w:ascii="仿宋" w:hAnsi="仿宋" w:eastAsia="仿宋" w:cs="仿宋"/>
          <w:b/>
          <w:bCs/>
          <w:color w:val="auto"/>
          <w:sz w:val="24"/>
          <w:highlight w:val="none"/>
          <w:u w:val="single"/>
          <w:lang w:val="en-US" w:eastAsia="zh-CN"/>
        </w:rPr>
        <w:t>26</w:t>
      </w:r>
      <w:r>
        <w:rPr>
          <w:rFonts w:hint="eastAsia" w:ascii="仿宋" w:hAnsi="仿宋" w:eastAsia="仿宋" w:cs="仿宋"/>
          <w:b/>
          <w:bCs/>
          <w:color w:val="auto"/>
          <w:sz w:val="24"/>
          <w:highlight w:val="none"/>
          <w:u w:val="single"/>
        </w:rPr>
        <w:t>日</w:t>
      </w:r>
      <w:r>
        <w:rPr>
          <w:rFonts w:hint="eastAsia" w:ascii="仿宋" w:hAnsi="仿宋" w:eastAsia="仿宋" w:cs="仿宋"/>
          <w:b/>
          <w:bCs/>
          <w:color w:val="auto"/>
          <w:sz w:val="24"/>
          <w:highlight w:val="none"/>
          <w:u w:val="single"/>
          <w:lang w:val="en-US" w:eastAsia="zh-CN"/>
        </w:rPr>
        <w:t>09</w:t>
      </w:r>
      <w:r>
        <w:rPr>
          <w:rFonts w:hint="eastAsia" w:ascii="仿宋" w:hAnsi="仿宋" w:eastAsia="仿宋" w:cs="仿宋"/>
          <w:b/>
          <w:bCs/>
          <w:color w:val="auto"/>
          <w:sz w:val="24"/>
          <w:highlight w:val="none"/>
          <w:u w:val="single"/>
        </w:rPr>
        <w:t>点</w:t>
      </w:r>
      <w:r>
        <w:rPr>
          <w:rFonts w:hint="eastAsia" w:ascii="仿宋" w:hAnsi="仿宋" w:eastAsia="仿宋" w:cs="仿宋"/>
          <w:b/>
          <w:bCs/>
          <w:color w:val="auto"/>
          <w:sz w:val="24"/>
          <w:highlight w:val="none"/>
          <w:u w:val="single"/>
          <w:lang w:val="en-US" w:eastAsia="zh-CN"/>
        </w:rPr>
        <w:t>00</w:t>
      </w:r>
      <w:r>
        <w:rPr>
          <w:rFonts w:hint="eastAsia" w:ascii="仿宋" w:hAnsi="仿宋" w:eastAsia="仿宋" w:cs="仿宋"/>
          <w:b/>
          <w:bCs/>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28359019"/>
      <w:bookmarkStart w:id="12" w:name="_Toc35393806"/>
      <w:bookmarkStart w:id="13" w:name="_Toc35393637"/>
      <w:bookmarkStart w:id="14" w:name="_Toc2835909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地址：绍兴市越城区人民中路651号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陈雄</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0575-89107222</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5" w:name="_Toc35393807"/>
      <w:bookmarkStart w:id="16" w:name="_Toc35393638"/>
      <w:bookmarkStart w:id="17" w:name="_Toc28359097"/>
      <w:bookmarkStart w:id="18" w:name="_Toc28359020"/>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地址：绍兴市越城区朝皇路正大综合楼601</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808"/>
      <w:bookmarkStart w:id="20" w:name="_Toc28359021"/>
      <w:bookmarkStart w:id="21" w:name="_Toc28359098"/>
      <w:bookmarkStart w:id="22"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张婷婷</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A3"/>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详见招标文件第三部分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详见招标文件第三部分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ins w:id="0" w:author="王小炜" w:date="2023-07-17T16:28:50Z">
              <w:r>
                <w:rPr>
                  <w:rFonts w:hint="eastAsia" w:ascii="仿宋" w:hAnsi="仿宋" w:eastAsia="仿宋" w:cs="仿宋"/>
                  <w:color w:val="auto"/>
                  <w:kern w:val="0"/>
                  <w:sz w:val="24"/>
                  <w:highlight w:val="none"/>
                </w:rPr>
                <w:t>□</w:t>
              </w:r>
            </w:ins>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投标截止前一天</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绍兴市朝皇路正大综合楼</w:t>
            </w:r>
            <w:r>
              <w:rPr>
                <w:rFonts w:hint="eastAsia" w:ascii="仿宋" w:hAnsi="仿宋" w:eastAsia="仿宋" w:cs="仿宋"/>
                <w:color w:val="auto"/>
                <w:sz w:val="24"/>
                <w:highlight w:val="none"/>
                <w:u w:val="single"/>
                <w:lang w:val="en-US" w:eastAsia="zh-CN"/>
              </w:rPr>
              <w:t>601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金锦英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13656752180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2" w:char="00A3"/>
            </w: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30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b/>
                <w:bCs/>
                <w:color w:val="auto"/>
                <w:sz w:val="24"/>
                <w:highlight w:val="none"/>
                <w:u w:val="single"/>
                <w:lang w:val="en-US" w:eastAsia="zh-CN"/>
              </w:rPr>
              <w:t>医用环保治疗柜（含医用分类垃圾柜1组）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b/>
                <w:bCs/>
                <w:color w:val="auto"/>
                <w:sz w:val="24"/>
                <w:highlight w:val="none"/>
                <w:u w:val="single"/>
                <w:lang w:val="en-US" w:eastAsia="zh-CN"/>
              </w:rPr>
              <w:t>工业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highlight w:val="none"/>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68072990"/>
      <w:bookmarkEnd w:id="23"/>
      <w:bookmarkStart w:id="24" w:name="_Hlt74729768"/>
      <w:bookmarkEnd w:id="24"/>
      <w:bookmarkStart w:id="25" w:name="_Hlt68057669"/>
      <w:bookmarkEnd w:id="25"/>
      <w:bookmarkStart w:id="26" w:name="_Hlt68073093"/>
      <w:bookmarkEnd w:id="26"/>
      <w:bookmarkStart w:id="27" w:name="_Hlt74707468"/>
      <w:bookmarkEnd w:id="27"/>
      <w:bookmarkStart w:id="28" w:name="_Hlt68072998"/>
      <w:bookmarkEnd w:id="28"/>
      <w:bookmarkStart w:id="29" w:name="_Hlt75236011"/>
      <w:bookmarkEnd w:id="29"/>
      <w:bookmarkStart w:id="30" w:name="_Hlt74730295"/>
      <w:bookmarkEnd w:id="30"/>
      <w:bookmarkStart w:id="31" w:name="_Hlt75236290"/>
      <w:bookmarkEnd w:id="31"/>
      <w:bookmarkStart w:id="32" w:name="_Hlt74714665"/>
      <w:bookmarkEnd w:id="32"/>
      <w:bookmarkStart w:id="33" w:name="_Hlt75236101"/>
      <w:bookmarkEnd w:id="33"/>
      <w:bookmarkStart w:id="34" w:name="_Hlt68403820"/>
      <w:bookmarkEnd w:id="34"/>
      <w:bookmarkStart w:id="35" w:name="第三部分"/>
      <w:bookmarkStart w:id="36" w:name="_Toc164416483"/>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rPr>
          <w:rFonts w:hint="eastAsia" w:ascii="仿宋" w:hAnsi="仿宋" w:eastAsia="仿宋" w:cs="仿宋"/>
          <w:color w:val="auto"/>
          <w:highlight w:val="none"/>
        </w:rPr>
      </w:pPr>
    </w:p>
    <w:p>
      <w:pPr>
        <w:pStyle w:val="133"/>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2.3.3 残疾人福利性单位声明函（如果有）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eastAsia"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3"/>
        <w:snapToGrid w:val="0"/>
        <w:spacing w:before="0" w:line="440" w:lineRule="exact"/>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3"/>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4325929"/>
      <w:bookmarkStart w:id="39" w:name="_Toc81372776"/>
      <w:bookmarkStart w:id="40" w:name="_Toc81372953"/>
      <w:r>
        <w:rPr>
          <w:rFonts w:hint="eastAsia" w:ascii="仿宋" w:hAnsi="仿宋" w:eastAsia="仿宋" w:cs="仿宋"/>
          <w:b/>
          <w:color w:val="auto"/>
          <w:sz w:val="32"/>
          <w:szCs w:val="32"/>
          <w:highlight w:val="none"/>
        </w:rPr>
        <w:t>五、授予合同</w:t>
      </w:r>
    </w:p>
    <w:bookmarkEnd w:id="38"/>
    <w:bookmarkEnd w:id="39"/>
    <w:bookmarkEnd w:id="40"/>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5"/>
    <w:bookmarkEnd w:id="3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pPr>
        <w:pStyle w:val="41"/>
        <w:numPr>
          <w:ilvl w:val="0"/>
          <w:numId w:val="0"/>
        </w:numPr>
        <w:adjustRightInd w:val="0"/>
        <w:spacing w:line="360" w:lineRule="auto"/>
        <w:jc w:val="left"/>
        <w:rPr>
          <w:rFonts w:hint="eastAsia" w:ascii="仿宋" w:hAnsi="仿宋" w:eastAsia="仿宋" w:cs="仿宋"/>
          <w:b/>
          <w:bCs/>
          <w:color w:val="auto"/>
          <w:kern w:val="1"/>
          <w:sz w:val="24"/>
          <w:szCs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改建区固定嵌入式及部分活动医疗家具采购安装项目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200</w:t>
      </w:r>
      <w:r>
        <w:rPr>
          <w:rFonts w:hint="eastAsia" w:ascii="仿宋" w:hAnsi="仿宋" w:eastAsia="仿宋" w:cs="仿宋"/>
          <w:b/>
          <w:bCs/>
          <w:color w:val="auto"/>
          <w:sz w:val="24"/>
          <w:highlight w:val="none"/>
        </w:rPr>
        <w:t>万元</w:t>
      </w:r>
      <w:r>
        <w:rPr>
          <w:rFonts w:hint="eastAsia" w:ascii="仿宋" w:hAnsi="仿宋" w:eastAsia="仿宋" w:cs="仿宋"/>
          <w:b/>
          <w:bCs/>
          <w:color w:val="auto"/>
          <w:sz w:val="24"/>
          <w:highlight w:val="none"/>
          <w:lang w:eastAsia="zh-CN"/>
        </w:rPr>
        <w:t>，最高限价：</w:t>
      </w:r>
      <w:r>
        <w:rPr>
          <w:rFonts w:hint="eastAsia" w:ascii="仿宋" w:hAnsi="仿宋" w:eastAsia="仿宋" w:cs="仿宋"/>
          <w:b/>
          <w:bCs/>
          <w:color w:val="auto"/>
          <w:sz w:val="24"/>
          <w:highlight w:val="none"/>
          <w:lang w:val="en-US" w:eastAsia="zh-CN"/>
        </w:rPr>
        <w:t>190万元</w:t>
      </w:r>
      <w:r>
        <w:rPr>
          <w:rFonts w:hint="eastAsia" w:ascii="仿宋" w:hAnsi="仿宋" w:eastAsia="仿宋" w:cs="仿宋"/>
          <w:b/>
          <w:bCs/>
          <w:color w:val="auto"/>
          <w:sz w:val="24"/>
          <w:highlight w:val="none"/>
        </w:rPr>
        <w:t>）</w:t>
      </w:r>
    </w:p>
    <w:p>
      <w:pPr>
        <w:pStyle w:val="41"/>
        <w:numPr>
          <w:ilvl w:val="0"/>
          <w:numId w:val="0"/>
        </w:numPr>
        <w:adjustRightInd w:val="0"/>
        <w:spacing w:line="360" w:lineRule="auto"/>
        <w:jc w:val="left"/>
        <w:rPr>
          <w:rFonts w:hint="eastAsia" w:ascii="仿宋" w:hAnsi="仿宋" w:eastAsia="仿宋" w:cs="仿宋"/>
          <w:b/>
          <w:bCs/>
          <w:color w:val="auto"/>
          <w:kern w:val="1"/>
          <w:sz w:val="24"/>
          <w:szCs w:val="24"/>
          <w:highlight w:val="none"/>
        </w:rPr>
      </w:pPr>
      <w:r>
        <w:rPr>
          <w:rFonts w:hint="eastAsia" w:ascii="仿宋" w:hAnsi="仿宋" w:eastAsia="仿宋" w:cs="仿宋"/>
          <w:b/>
          <w:bCs/>
          <w:color w:val="auto"/>
          <w:sz w:val="24"/>
          <w:highlight w:val="none"/>
          <w:lang w:eastAsia="zh-CN"/>
        </w:rPr>
        <w:t>一、</w:t>
      </w:r>
      <w:r>
        <w:rPr>
          <w:rFonts w:hint="eastAsia" w:ascii="仿宋" w:hAnsi="仿宋" w:eastAsia="仿宋" w:cs="仿宋"/>
          <w:b/>
          <w:bCs/>
          <w:color w:val="auto"/>
          <w:kern w:val="1"/>
          <w:sz w:val="24"/>
          <w:szCs w:val="24"/>
          <w:highlight w:val="none"/>
        </w:rPr>
        <w:t>货物服务需求如下：</w:t>
      </w:r>
    </w:p>
    <w:p>
      <w:pPr>
        <w:pStyle w:val="41"/>
        <w:numPr>
          <w:ilvl w:val="0"/>
          <w:numId w:val="0"/>
        </w:numPr>
        <w:adjustRightInd w:val="0"/>
        <w:spacing w:line="360" w:lineRule="auto"/>
        <w:jc w:val="left"/>
        <w:rPr>
          <w:rFonts w:hint="eastAsia"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1.货物服务清单:详见附件</w:t>
      </w:r>
    </w:p>
    <w:p>
      <w:pPr>
        <w:spacing w:line="440" w:lineRule="exact"/>
        <w:jc w:val="left"/>
        <w:rPr>
          <w:rFonts w:hint="eastAsia" w:ascii="仿宋" w:hAnsi="仿宋" w:eastAsia="仿宋" w:cs="仿宋"/>
          <w:b/>
          <w:bCs w:val="0"/>
          <w:color w:val="FF0000"/>
          <w:highlight w:val="none"/>
          <w:lang w:eastAsia="zh-CN"/>
        </w:rPr>
      </w:pPr>
      <w:r>
        <w:rPr>
          <w:rFonts w:hint="eastAsia" w:ascii="仿宋" w:hAnsi="仿宋" w:eastAsia="仿宋" w:cs="仿宋"/>
          <w:b/>
          <w:bCs w:val="0"/>
          <w:color w:val="FF0000"/>
          <w:sz w:val="24"/>
          <w:highlight w:val="none"/>
          <w:lang w:eastAsia="zh-CN"/>
        </w:rPr>
        <w:t>注：投标报价时按附件顺序逐一报价，中标人在报价清单中同类产品出现多个报价，按最低价采购。</w:t>
      </w:r>
    </w:p>
    <w:p>
      <w:pPr>
        <w:pStyle w:val="41"/>
        <w:adjustRightInd w:val="0"/>
        <w:spacing w:line="360" w:lineRule="auto"/>
        <w:jc w:val="left"/>
        <w:rPr>
          <w:rFonts w:hint="eastAsia"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2.技术参数要求</w:t>
      </w:r>
    </w:p>
    <w:p>
      <w:pPr>
        <w:pStyle w:val="41"/>
        <w:adjustRightInd w:val="0"/>
        <w:spacing w:line="360" w:lineRule="auto"/>
        <w:jc w:val="left"/>
        <w:rPr>
          <w:rFonts w:hint="eastAsia"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〖原材料类〗</w:t>
      </w:r>
    </w:p>
    <w:p>
      <w:pPr>
        <w:pStyle w:val="41"/>
        <w:adjustRightInd w:val="0"/>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b/>
          <w:bCs/>
          <w:color w:val="auto"/>
          <w:kern w:val="1"/>
          <w:sz w:val="24"/>
          <w:szCs w:val="24"/>
          <w:highlight w:val="none"/>
        </w:rPr>
        <w:t>1.</w:t>
      </w:r>
      <w:r>
        <w:rPr>
          <w:rFonts w:hint="eastAsia" w:ascii="仿宋" w:hAnsi="仿宋" w:eastAsia="仿宋" w:cs="仿宋"/>
          <w:b/>
          <w:bCs/>
          <w:color w:val="auto"/>
          <w:sz w:val="24"/>
          <w:szCs w:val="24"/>
          <w:highlight w:val="none"/>
        </w:rPr>
        <w:t>304不锈钢板：</w:t>
      </w:r>
    </w:p>
    <w:p>
      <w:pPr>
        <w:pStyle w:val="41"/>
        <w:adjustRightInd w:val="0"/>
        <w:spacing w:line="360" w:lineRule="auto"/>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1.1符合GB/T 1220-2007《不锈钢棒》标准：①碳</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0.06% ②硫</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0.030% ③磷</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0.045% ④硅</w:t>
      </w:r>
      <w:r>
        <w:rPr>
          <w:rFonts w:hint="eastAsia" w:ascii="仿宋" w:hAnsi="仿宋" w:eastAsia="仿宋" w:cs="仿宋"/>
          <w:color w:val="auto"/>
          <w:sz w:val="24"/>
          <w:szCs w:val="24"/>
          <w:highlight w:val="none"/>
        </w:rPr>
        <w:t>≤1.00</w:t>
      </w:r>
      <w:r>
        <w:rPr>
          <w:rFonts w:hint="eastAsia" w:ascii="仿宋" w:hAnsi="仿宋" w:eastAsia="仿宋" w:cs="仿宋"/>
          <w:bCs/>
          <w:color w:val="auto"/>
          <w:sz w:val="24"/>
          <w:szCs w:val="24"/>
          <w:highlight w:val="none"/>
        </w:rPr>
        <w:t>% ⑤锰</w:t>
      </w:r>
      <w:r>
        <w:rPr>
          <w:rFonts w:hint="eastAsia" w:ascii="仿宋" w:hAnsi="仿宋" w:eastAsia="仿宋" w:cs="仿宋"/>
          <w:color w:val="auto"/>
          <w:sz w:val="24"/>
          <w:szCs w:val="24"/>
          <w:highlight w:val="none"/>
        </w:rPr>
        <w:t>≤2.00</w:t>
      </w:r>
      <w:r>
        <w:rPr>
          <w:rFonts w:hint="eastAsia" w:ascii="仿宋" w:hAnsi="仿宋" w:eastAsia="仿宋" w:cs="仿宋"/>
          <w:bCs/>
          <w:color w:val="auto"/>
          <w:sz w:val="24"/>
          <w:szCs w:val="24"/>
          <w:highlight w:val="none"/>
        </w:rPr>
        <w:t>% ⑥铬：18.00~20.00% ⑦镍：8.00~11.00%；</w:t>
      </w:r>
    </w:p>
    <w:p>
      <w:pPr>
        <w:pStyle w:val="41"/>
        <w:adjustRightIn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1.2</w:t>
      </w:r>
      <w:r>
        <w:rPr>
          <w:rFonts w:hint="eastAsia" w:ascii="仿宋" w:hAnsi="仿宋" w:eastAsia="仿宋" w:cs="仿宋"/>
          <w:color w:val="auto"/>
          <w:sz w:val="24"/>
          <w:szCs w:val="24"/>
          <w:highlight w:val="none"/>
        </w:rPr>
        <w:t>符合QB/T 3826-1999《轻工产品金属镀层和化学处理层的耐腐蚀试验方法中性盐雾试验(NSS)法》标准</w:t>
      </w:r>
      <w:r>
        <w:rPr>
          <w:rFonts w:hint="eastAsia" w:ascii="仿宋" w:hAnsi="仿宋" w:eastAsia="仿宋" w:cs="仿宋"/>
          <w:b/>
          <w:bCs/>
          <w:color w:val="auto"/>
          <w:sz w:val="24"/>
          <w:szCs w:val="24"/>
          <w:highlight w:val="none"/>
        </w:rPr>
        <w:t>或</w:t>
      </w:r>
      <w:r>
        <w:rPr>
          <w:rFonts w:hint="eastAsia" w:ascii="仿宋" w:hAnsi="仿宋" w:eastAsia="仿宋" w:cs="仿宋"/>
          <w:color w:val="auto"/>
          <w:sz w:val="24"/>
          <w:szCs w:val="24"/>
          <w:highlight w:val="none"/>
        </w:rPr>
        <w:t>符合QB/T3827-1999《轻工产品金属镀层和化学处理层的耐腐蚀试验方法乙酸盐雾试验（ASS）法》标准，经过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240</w:t>
      </w:r>
      <w:r>
        <w:rPr>
          <w:rFonts w:hint="eastAsia" w:ascii="仿宋" w:hAnsi="仿宋" w:eastAsia="仿宋" w:cs="仿宋"/>
          <w:color w:val="auto"/>
          <w:sz w:val="24"/>
          <w:szCs w:val="24"/>
          <w:highlight w:val="none"/>
        </w:rPr>
        <w:t>小时盐雾试验后,镀层的耐腐蚀等级≥</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级；</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kern w:val="1"/>
          <w:sz w:val="24"/>
          <w:highlight w:val="none"/>
        </w:rPr>
        <w:t>2.</w:t>
      </w:r>
      <w:r>
        <w:rPr>
          <w:rFonts w:hint="eastAsia" w:ascii="仿宋" w:hAnsi="仿宋" w:eastAsia="仿宋" w:cs="仿宋"/>
          <w:b/>
          <w:bCs/>
          <w:color w:val="auto"/>
          <w:sz w:val="24"/>
          <w:highlight w:val="none"/>
        </w:rPr>
        <w:t>电解钢板：</w:t>
      </w:r>
    </w:p>
    <w:p>
      <w:pPr>
        <w:pStyle w:val="41"/>
        <w:adjustRightIn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1.1符合GB/T 3325-2017《金属家具通用技术条件》，金属喷漆(塑)涂层硬度≥2H。金属喷漆（塑）涂层耐腐蚀：100h内，观察在溶液中样板上划道两侧3mm以外，无鼓泡产生；100h后，检查划道两侧3mm外，无锈迹、剥落、起皱、变色和失光等现象；</w:t>
      </w:r>
    </w:p>
    <w:p>
      <w:pPr>
        <w:pStyle w:val="41"/>
        <w:adjustRightIn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▲1.2符合QB/T 3826-1999《轻工产品金属镀层和化学处理层的耐腐蚀试验方法中性盐雾试验(NSS)法》标准</w:t>
      </w:r>
      <w:r>
        <w:rPr>
          <w:rFonts w:hint="eastAsia" w:ascii="仿宋" w:hAnsi="仿宋" w:eastAsia="仿宋" w:cs="仿宋"/>
          <w:b/>
          <w:bCs/>
          <w:color w:val="auto"/>
          <w:sz w:val="24"/>
          <w:szCs w:val="24"/>
          <w:highlight w:val="none"/>
        </w:rPr>
        <w:t>或</w:t>
      </w:r>
      <w:r>
        <w:rPr>
          <w:rFonts w:hint="eastAsia" w:ascii="仿宋" w:hAnsi="仿宋" w:eastAsia="仿宋" w:cs="仿宋"/>
          <w:color w:val="auto"/>
          <w:sz w:val="24"/>
          <w:szCs w:val="24"/>
          <w:highlight w:val="none"/>
        </w:rPr>
        <w:t>符合QB/T3827-1999《轻工产品金属镀层和化学处理层的耐腐蚀试验方法乙酸盐雾试验（ASS）法》标准，经过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240</w:t>
      </w:r>
      <w:r>
        <w:rPr>
          <w:rFonts w:hint="eastAsia" w:ascii="仿宋" w:hAnsi="仿宋" w:eastAsia="仿宋" w:cs="仿宋"/>
          <w:color w:val="auto"/>
          <w:sz w:val="24"/>
          <w:szCs w:val="24"/>
          <w:highlight w:val="none"/>
        </w:rPr>
        <w:t>小时盐雾试验后,镀层的耐腐蚀等级≥</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级；</w:t>
      </w:r>
    </w:p>
    <w:p>
      <w:pPr>
        <w:pStyle w:val="41"/>
        <w:adjustRightInd w:val="0"/>
        <w:spacing w:line="360" w:lineRule="auto"/>
        <w:jc w:val="lef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1.3符合GB/T15675-2008《连续电镀锌、锌镍合金镀层钢板及钢带》标准：抗拉强度350</w:t>
      </w:r>
      <w:r>
        <w:rPr>
          <w:rFonts w:hint="eastAsia" w:ascii="仿宋" w:hAnsi="仿宋" w:eastAsia="仿宋" w:cs="仿宋"/>
          <w:bCs/>
          <w:color w:val="auto"/>
          <w:sz w:val="24"/>
          <w:szCs w:val="24"/>
          <w:highlight w:val="none"/>
        </w:rPr>
        <w:t>~410N/mm²,下屈服强度</w:t>
      </w:r>
      <w:r>
        <w:rPr>
          <w:rFonts w:hint="eastAsia" w:ascii="仿宋" w:hAnsi="仿宋" w:eastAsia="仿宋" w:cs="仿宋"/>
          <w:color w:val="auto"/>
          <w:sz w:val="24"/>
          <w:szCs w:val="24"/>
          <w:highlight w:val="none"/>
        </w:rPr>
        <w:t>≥280</w:t>
      </w:r>
      <w:r>
        <w:rPr>
          <w:rFonts w:hint="eastAsia" w:ascii="仿宋" w:hAnsi="仿宋" w:eastAsia="仿宋" w:cs="仿宋"/>
          <w:bCs/>
          <w:color w:val="auto"/>
          <w:sz w:val="24"/>
          <w:szCs w:val="24"/>
          <w:highlight w:val="none"/>
        </w:rPr>
        <w:t xml:space="preserve"> N/mm²，镀</w:t>
      </w:r>
      <w:r>
        <w:rPr>
          <w:rFonts w:hint="eastAsia" w:ascii="仿宋" w:hAnsi="仿宋" w:eastAsia="仿宋" w:cs="仿宋"/>
          <w:color w:val="auto"/>
          <w:sz w:val="24"/>
          <w:szCs w:val="24"/>
          <w:highlight w:val="none"/>
        </w:rPr>
        <w:t>锌层重量：单面三点平均值不小于40/40</w:t>
      </w:r>
      <w:r>
        <w:rPr>
          <w:rFonts w:hint="eastAsia" w:ascii="仿宋" w:hAnsi="仿宋" w:eastAsia="仿宋" w:cs="仿宋"/>
          <w:bCs/>
          <w:color w:val="auto"/>
          <w:sz w:val="24"/>
          <w:szCs w:val="24"/>
          <w:highlight w:val="none"/>
        </w:rPr>
        <w:t xml:space="preserve"> m²。化学成份：①C</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0.12% ②S</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 ③P</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 ④Mn</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0.6% ⑥ALt</w:t>
      </w:r>
      <w:r>
        <w:rPr>
          <w:rFonts w:hint="eastAsia" w:ascii="仿宋" w:hAnsi="仿宋" w:eastAsia="仿宋" w:cs="仿宋"/>
          <w:color w:val="auto"/>
          <w:sz w:val="24"/>
          <w:szCs w:val="24"/>
          <w:highlight w:val="none"/>
        </w:rPr>
        <w:t>≥0.02</w:t>
      </w:r>
      <w:r>
        <w:rPr>
          <w:rFonts w:hint="eastAsia" w:ascii="仿宋" w:hAnsi="仿宋" w:eastAsia="仿宋" w:cs="仿宋"/>
          <w:bCs/>
          <w:color w:val="auto"/>
          <w:sz w:val="24"/>
          <w:szCs w:val="24"/>
          <w:highlight w:val="none"/>
        </w:rPr>
        <w:t>%；</w:t>
      </w:r>
    </w:p>
    <w:p>
      <w:pPr>
        <w:spacing w:line="360" w:lineRule="auto"/>
        <w:rPr>
          <w:rFonts w:hint="eastAsia" w:ascii="仿宋" w:hAnsi="仿宋" w:eastAsia="仿宋" w:cs="仿宋"/>
          <w:b/>
          <w:bCs/>
          <w:color w:val="auto"/>
          <w:kern w:val="1"/>
          <w:sz w:val="24"/>
          <w:highlight w:val="none"/>
        </w:rPr>
      </w:pPr>
      <w:r>
        <w:rPr>
          <w:rFonts w:hint="eastAsia" w:ascii="仿宋" w:hAnsi="仿宋" w:eastAsia="仿宋" w:cs="仿宋"/>
          <w:b/>
          <w:bCs/>
          <w:color w:val="auto"/>
          <w:kern w:val="1"/>
          <w:sz w:val="24"/>
          <w:highlight w:val="none"/>
        </w:rPr>
        <w:t>3.</w:t>
      </w:r>
      <w:r>
        <w:rPr>
          <w:rStyle w:val="119"/>
          <w:rFonts w:hint="eastAsia" w:ascii="仿宋" w:hAnsi="仿宋" w:eastAsia="仿宋" w:cs="仿宋"/>
          <w:color w:val="auto"/>
          <w:sz w:val="24"/>
          <w:szCs w:val="24"/>
          <w:highlight w:val="none"/>
        </w:rPr>
        <w:t>医用纯亚克力人造石</w:t>
      </w:r>
      <w:r>
        <w:rPr>
          <w:rFonts w:hint="eastAsia" w:ascii="仿宋" w:hAnsi="仿宋" w:eastAsia="仿宋" w:cs="仿宋"/>
          <w:bCs/>
          <w:color w:val="auto"/>
          <w:kern w:val="1"/>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▲3.1符合JC/T 908-2013 《人造石》标准, 巴氏硬度≥55 ，耐磨性≤0.6g，耐污值总和≤64，最大污迹深度≤0.12mm，耐化学药品性：实体面材试样表面无明显损伤,轻度损伤用600目砂纸轻擦即可除去,损伤程度应不影响板材的使用性,并易恢复至原状；耐燃烧性能：香烟燃烧实体面材与香烟接触过程中，或在此之后，不得有明火燃烧或阴燃，任何形式的损坏不得影响产品的使用性，并可通过研磨剂和抛光剂恢复至原状；耐高温性：实体面材试样表面应无破裂、裂缝或鼓泡等显著影响。表面缺陷易打磨恢复至原状，并不影响板材的使用。</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3.2符合GB 6566-2010《建筑材料放射性核素限量》标准：放射性保护分类控制：A类装饰装修材料内照射指数I</w:t>
      </w:r>
      <w:r>
        <w:rPr>
          <w:rFonts w:hint="eastAsia" w:ascii="仿宋" w:hAnsi="仿宋" w:eastAsia="仿宋" w:cs="仿宋"/>
          <w:color w:val="auto"/>
          <w:sz w:val="24"/>
          <w:highlight w:val="none"/>
          <w:vertAlign w:val="subscript"/>
        </w:rPr>
        <w:t>Ra</w:t>
      </w:r>
      <w:r>
        <w:rPr>
          <w:rFonts w:hint="eastAsia" w:ascii="仿宋" w:hAnsi="仿宋" w:eastAsia="仿宋" w:cs="仿宋"/>
          <w:color w:val="auto"/>
          <w:sz w:val="24"/>
          <w:highlight w:val="none"/>
        </w:rPr>
        <w:t>≤0.01，外照射指数I</w:t>
      </w:r>
      <w:r>
        <w:rPr>
          <w:rFonts w:hint="eastAsia" w:ascii="仿宋" w:hAnsi="仿宋" w:eastAsia="仿宋" w:cs="仿宋"/>
          <w:color w:val="auto"/>
          <w:sz w:val="24"/>
          <w:highlight w:val="none"/>
          <w:vertAlign w:val="subscript"/>
        </w:rPr>
        <w:t>r</w:t>
      </w:r>
      <w:r>
        <w:rPr>
          <w:rFonts w:hint="eastAsia" w:ascii="仿宋" w:hAnsi="仿宋" w:eastAsia="仿宋" w:cs="仿宋"/>
          <w:color w:val="auto"/>
          <w:sz w:val="24"/>
          <w:highlight w:val="none"/>
        </w:rPr>
        <w:t>≤0.01。</w:t>
      </w:r>
    </w:p>
    <w:p>
      <w:pPr>
        <w:pStyle w:val="41"/>
        <w:adjustRightInd w:val="0"/>
        <w:spacing w:line="360" w:lineRule="auto"/>
        <w:jc w:val="left"/>
        <w:rPr>
          <w:rStyle w:val="119"/>
          <w:rFonts w:hint="eastAsia" w:ascii="仿宋" w:hAnsi="仿宋" w:eastAsia="仿宋" w:cs="仿宋"/>
          <w:b w:val="0"/>
          <w:color w:val="auto"/>
          <w:sz w:val="24"/>
          <w:szCs w:val="24"/>
          <w:highlight w:val="none"/>
        </w:rPr>
      </w:pPr>
      <w:r>
        <w:rPr>
          <w:rFonts w:hint="eastAsia" w:ascii="仿宋" w:hAnsi="仿宋" w:eastAsia="仿宋" w:cs="仿宋"/>
          <w:b/>
          <w:bCs/>
          <w:color w:val="auto"/>
          <w:sz w:val="24"/>
          <w:szCs w:val="24"/>
          <w:highlight w:val="none"/>
        </w:rPr>
        <w:t>4.</w:t>
      </w:r>
      <w:r>
        <w:rPr>
          <w:rFonts w:hint="eastAsia" w:ascii="仿宋" w:hAnsi="仿宋" w:eastAsia="仿宋" w:cs="仿宋"/>
          <w:b/>
          <w:color w:val="auto"/>
          <w:sz w:val="24"/>
          <w:szCs w:val="24"/>
          <w:highlight w:val="none"/>
        </w:rPr>
        <w:t xml:space="preserve"> </w:t>
      </w:r>
      <w:r>
        <w:rPr>
          <w:rStyle w:val="119"/>
          <w:rFonts w:hint="eastAsia" w:ascii="仿宋" w:hAnsi="仿宋" w:eastAsia="仿宋" w:cs="仿宋"/>
          <w:color w:val="auto"/>
          <w:sz w:val="24"/>
          <w:szCs w:val="24"/>
          <w:highlight w:val="none"/>
        </w:rPr>
        <w:t>304不锈钢缓冲铰链（门铰）：</w:t>
      </w:r>
    </w:p>
    <w:p>
      <w:pPr>
        <w:pStyle w:val="41"/>
        <w:adjustRightIn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4.1符合QB/T 2189-2013检测标准，</w:t>
      </w:r>
      <w:r>
        <w:rPr>
          <w:rFonts w:hint="eastAsia" w:ascii="仿宋" w:hAnsi="仿宋" w:eastAsia="仿宋" w:cs="仿宋"/>
          <w:color w:val="auto"/>
          <w:sz w:val="24"/>
          <w:szCs w:val="24"/>
          <w:highlight w:val="yellow"/>
        </w:rPr>
        <w:t>通过耐久性试验≥</w:t>
      </w:r>
      <w:r>
        <w:rPr>
          <w:rFonts w:hint="eastAsia" w:ascii="仿宋" w:hAnsi="仿宋" w:eastAsia="仿宋" w:cs="仿宋"/>
          <w:color w:val="auto"/>
          <w:sz w:val="24"/>
          <w:szCs w:val="24"/>
          <w:highlight w:val="yellow"/>
          <w:lang w:val="en-US" w:eastAsia="zh-CN"/>
        </w:rPr>
        <w:t>8</w:t>
      </w:r>
      <w:r>
        <w:rPr>
          <w:rFonts w:hint="eastAsia" w:ascii="仿宋" w:hAnsi="仿宋" w:eastAsia="仿宋" w:cs="仿宋"/>
          <w:color w:val="auto"/>
          <w:sz w:val="24"/>
          <w:szCs w:val="24"/>
          <w:highlight w:val="yellow"/>
        </w:rPr>
        <w:t>万次开合</w:t>
      </w:r>
      <w:r>
        <w:rPr>
          <w:rFonts w:hint="eastAsia" w:ascii="仿宋" w:hAnsi="仿宋" w:eastAsia="仿宋" w:cs="仿宋"/>
          <w:color w:val="auto"/>
          <w:sz w:val="24"/>
          <w:szCs w:val="24"/>
          <w:highlight w:val="none"/>
        </w:rPr>
        <w:t>：a)所有组件或结合处不应断裂，b)通过手触压证实，用于紧固的组件不应松动，c)所有组件不应有影响正常运作的变形或磨损；d)固定组件不应松动；e)所有组件的功能不应损害；f）杯状暗铰链及其组件不应分离。</w:t>
      </w:r>
    </w:p>
    <w:p>
      <w:pPr>
        <w:pStyle w:val="41"/>
        <w:adjustRightInd w:val="0"/>
        <w:spacing w:line="360" w:lineRule="auto"/>
        <w:jc w:val="left"/>
        <w:rPr>
          <w:rFonts w:hint="eastAsia" w:ascii="仿宋" w:hAnsi="仿宋" w:eastAsia="仿宋" w:cs="仿宋"/>
          <w:strike w:val="0"/>
          <w:dstrike/>
          <w:color w:val="auto"/>
          <w:sz w:val="24"/>
          <w:szCs w:val="24"/>
          <w:highlight w:val="yellow"/>
        </w:rPr>
      </w:pPr>
      <w:r>
        <w:rPr>
          <w:rFonts w:hint="eastAsia" w:ascii="仿宋" w:hAnsi="仿宋" w:eastAsia="仿宋" w:cs="仿宋"/>
          <w:strike w:val="0"/>
          <w:dstrike/>
          <w:color w:val="auto"/>
          <w:sz w:val="24"/>
          <w:szCs w:val="24"/>
          <w:highlight w:val="yellow"/>
        </w:rPr>
        <w:t>4.2符合QB/T3827-1999《轻工产品金属镀层和化学处理层的耐腐蚀试验方法乙酸盐雾试验（ASS）法》标准，经过</w:t>
      </w:r>
      <w:r>
        <w:rPr>
          <w:rFonts w:hint="eastAsia" w:ascii="仿宋" w:hAnsi="仿宋" w:eastAsia="仿宋" w:cs="仿宋"/>
          <w:strike w:val="0"/>
          <w:dstrike/>
          <w:color w:val="auto"/>
          <w:sz w:val="24"/>
          <w:szCs w:val="24"/>
          <w:highlight w:val="yellow"/>
          <w:lang w:eastAsia="zh-CN"/>
        </w:rPr>
        <w:t>≥</w:t>
      </w:r>
      <w:r>
        <w:rPr>
          <w:rFonts w:hint="eastAsia" w:ascii="仿宋" w:hAnsi="仿宋" w:eastAsia="仿宋" w:cs="仿宋"/>
          <w:strike w:val="0"/>
          <w:dstrike/>
          <w:color w:val="auto"/>
          <w:sz w:val="24"/>
          <w:szCs w:val="24"/>
          <w:highlight w:val="yellow"/>
        </w:rPr>
        <w:t>2</w:t>
      </w:r>
      <w:r>
        <w:rPr>
          <w:rFonts w:hint="eastAsia" w:ascii="仿宋" w:hAnsi="仿宋" w:eastAsia="仿宋" w:cs="仿宋"/>
          <w:strike w:val="0"/>
          <w:dstrike/>
          <w:color w:val="auto"/>
          <w:sz w:val="24"/>
          <w:szCs w:val="24"/>
          <w:highlight w:val="yellow"/>
          <w:lang w:val="en-US" w:eastAsia="zh-CN"/>
        </w:rPr>
        <w:t>40</w:t>
      </w:r>
      <w:r>
        <w:rPr>
          <w:rFonts w:hint="eastAsia" w:ascii="仿宋" w:hAnsi="仿宋" w:eastAsia="仿宋" w:cs="仿宋"/>
          <w:strike w:val="0"/>
          <w:dstrike/>
          <w:color w:val="auto"/>
          <w:sz w:val="24"/>
          <w:szCs w:val="24"/>
          <w:highlight w:val="yellow"/>
        </w:rPr>
        <w:t>小时乙酸盐雾试验后，镀层的耐腐蚀等级≥</w:t>
      </w:r>
      <w:r>
        <w:rPr>
          <w:rFonts w:hint="eastAsia" w:ascii="仿宋" w:hAnsi="仿宋" w:eastAsia="仿宋" w:cs="仿宋"/>
          <w:strike w:val="0"/>
          <w:dstrike/>
          <w:color w:val="auto"/>
          <w:sz w:val="24"/>
          <w:szCs w:val="24"/>
          <w:highlight w:val="yellow"/>
          <w:lang w:val="en-US" w:eastAsia="zh-CN"/>
        </w:rPr>
        <w:t>10</w:t>
      </w:r>
      <w:r>
        <w:rPr>
          <w:rFonts w:hint="eastAsia" w:ascii="仿宋" w:hAnsi="仿宋" w:eastAsia="仿宋" w:cs="仿宋"/>
          <w:strike w:val="0"/>
          <w:dstrike/>
          <w:color w:val="auto"/>
          <w:sz w:val="24"/>
          <w:szCs w:val="24"/>
          <w:highlight w:val="yellow"/>
        </w:rPr>
        <w:t>级；</w:t>
      </w:r>
    </w:p>
    <w:p>
      <w:pPr>
        <w:pStyle w:val="2"/>
        <w:ind w:left="0" w:leftChars="0" w:firstLine="0" w:firstLineChars="0"/>
        <w:rPr>
          <w:rFonts w:hint="eastAsia"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5.三节缓冲导轨：</w:t>
      </w:r>
    </w:p>
    <w:p>
      <w:pPr>
        <w:pStyle w:val="41"/>
        <w:adjustRightInd w:val="0"/>
        <w:spacing w:line="360" w:lineRule="auto"/>
        <w:jc w:val="left"/>
        <w:rPr>
          <w:rFonts w:hint="eastAsia" w:ascii="仿宋" w:hAnsi="仿宋" w:eastAsia="仿宋" w:cs="仿宋"/>
          <w:color w:val="auto"/>
          <w:sz w:val="24"/>
          <w:szCs w:val="24"/>
          <w:highlight w:val="yellow"/>
        </w:rPr>
      </w:pPr>
      <w:r>
        <w:rPr>
          <w:rFonts w:hint="eastAsia" w:ascii="仿宋" w:hAnsi="仿宋" w:eastAsia="仿宋" w:cs="仿宋"/>
          <w:color w:val="auto"/>
          <w:sz w:val="24"/>
          <w:szCs w:val="24"/>
          <w:highlight w:val="none"/>
        </w:rPr>
        <w:t>5.1符合GB/T 3325-2017《金属家具通用技术条件》标准，</w:t>
      </w:r>
      <w:r>
        <w:rPr>
          <w:rFonts w:hint="eastAsia" w:ascii="仿宋" w:hAnsi="仿宋" w:eastAsia="仿宋" w:cs="仿宋"/>
          <w:color w:val="auto"/>
          <w:sz w:val="24"/>
          <w:szCs w:val="24"/>
          <w:highlight w:val="yellow"/>
        </w:rPr>
        <w:t>通过推拉构件≥</w:t>
      </w:r>
      <w:r>
        <w:rPr>
          <w:rFonts w:hint="eastAsia" w:ascii="仿宋" w:hAnsi="仿宋" w:eastAsia="仿宋" w:cs="仿宋"/>
          <w:color w:val="auto"/>
          <w:sz w:val="24"/>
          <w:szCs w:val="24"/>
          <w:highlight w:val="yellow"/>
          <w:lang w:val="en-US" w:eastAsia="zh-CN"/>
        </w:rPr>
        <w:t>8万</w:t>
      </w:r>
      <w:r>
        <w:rPr>
          <w:rFonts w:hint="eastAsia" w:ascii="仿宋" w:hAnsi="仿宋" w:eastAsia="仿宋" w:cs="仿宋"/>
          <w:color w:val="auto"/>
          <w:sz w:val="24"/>
          <w:szCs w:val="24"/>
          <w:highlight w:val="yellow"/>
        </w:rPr>
        <w:t>次耐久性试验；</w:t>
      </w:r>
    </w:p>
    <w:p>
      <w:pPr>
        <w:pStyle w:val="41"/>
        <w:adjustRightIn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5.2 </w:t>
      </w:r>
      <w:r>
        <w:rPr>
          <w:rFonts w:hint="eastAsia" w:ascii="仿宋" w:hAnsi="仿宋" w:eastAsia="仿宋" w:cs="仿宋"/>
          <w:bCs/>
          <w:color w:val="auto"/>
          <w:sz w:val="24"/>
          <w:szCs w:val="24"/>
          <w:highlight w:val="none"/>
        </w:rPr>
        <w:t>符合QB/T 2454-2013《家具五金 抽屉导轨》标准,</w:t>
      </w:r>
      <w:r>
        <w:rPr>
          <w:rFonts w:hint="eastAsia" w:ascii="仿宋" w:hAnsi="仿宋" w:eastAsia="仿宋" w:cs="仿宋"/>
          <w:color w:val="auto"/>
          <w:sz w:val="24"/>
          <w:szCs w:val="24"/>
          <w:highlight w:val="none"/>
        </w:rPr>
        <w:t xml:space="preserve"> 通过垂直向下静载荷、水平侧向静载荷、猛关或猛开试验：a)所有组件或连接件不应断裂损坏，b)通过手触压证实，用于紧固的组件不应松动，c)所有零部件不应有影响正常运作的变形或磨损；d)五金连接件不应松动；e)所有组件的功能不应损害；f)抽屉导轨及其组件应能正常工作。</w:t>
      </w:r>
    </w:p>
    <w:p>
      <w:pPr>
        <w:spacing w:line="360" w:lineRule="auto"/>
        <w:rPr>
          <w:rFonts w:hint="eastAsia" w:ascii="仿宋" w:hAnsi="仿宋" w:eastAsia="仿宋" w:cs="仿宋"/>
          <w:strike w:val="0"/>
          <w:dstrike/>
          <w:color w:val="auto"/>
          <w:kern w:val="2"/>
          <w:sz w:val="24"/>
          <w:szCs w:val="24"/>
          <w:highlight w:val="yellow"/>
          <w:lang w:val="en-US" w:eastAsia="zh-CN" w:bidi="ar-SA"/>
        </w:rPr>
      </w:pPr>
      <w:r>
        <w:rPr>
          <w:rFonts w:hint="eastAsia" w:ascii="仿宋" w:hAnsi="仿宋" w:eastAsia="仿宋" w:cs="仿宋"/>
          <w:strike w:val="0"/>
          <w:dstrike/>
          <w:color w:val="auto"/>
          <w:kern w:val="2"/>
          <w:sz w:val="24"/>
          <w:szCs w:val="24"/>
          <w:highlight w:val="yellow"/>
          <w:lang w:val="en-US" w:eastAsia="zh-CN" w:bidi="ar-SA"/>
        </w:rPr>
        <w:t>5.3符合QB/T3827-1999《轻工产品金属镀层和化学处理层的耐腐蚀试验方法乙酸盐雾试验（ASS）法》标准，经过≥240小时乙酸盐雾试验后，镀层的耐腐蚀等级≥10级；</w:t>
      </w:r>
    </w:p>
    <w:p>
      <w:pPr>
        <w:spacing w:line="360" w:lineRule="auto"/>
        <w:rPr>
          <w:rFonts w:hint="eastAsia" w:ascii="仿宋" w:hAnsi="仿宋" w:eastAsia="仿宋" w:cs="仿宋"/>
          <w:b/>
          <w:bCs/>
          <w:color w:val="auto"/>
          <w:kern w:val="1"/>
          <w:sz w:val="24"/>
          <w:highlight w:val="none"/>
        </w:rPr>
      </w:pPr>
      <w:r>
        <w:rPr>
          <w:rFonts w:hint="eastAsia" w:ascii="仿宋" w:hAnsi="仿宋" w:eastAsia="仿宋" w:cs="仿宋"/>
          <w:b/>
          <w:bCs/>
          <w:color w:val="auto"/>
          <w:kern w:val="1"/>
          <w:sz w:val="24"/>
          <w:highlight w:val="none"/>
        </w:rPr>
        <w:t>6.抗菌粉末：</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▲6.1符合HG/T 2006-2006《热固性粉末涂料》标准：在容器中状态：色泽均匀，无异物，呈松散粉末状；②硬度（擦伤）≥H；③附着力≤1级；④耐碱性（5%NaOH）168h无异常；⑤耐酸性（3%HCI）240h无异常；⑥可溶性重金属：Pb≤5mg/kg 、Cd≤5mg/kg 、Cr≤5mg/kg 、Hg≤5mg/kg。</w:t>
      </w:r>
    </w:p>
    <w:p>
      <w:pPr>
        <w:pStyle w:val="26"/>
        <w:spacing w:line="360" w:lineRule="auto"/>
        <w:ind w:left="0" w:leftChars="0" w:firstLine="0" w:firstLineChars="0"/>
        <w:rPr>
          <w:rStyle w:val="119"/>
          <w:rFonts w:hint="eastAsia" w:ascii="仿宋" w:hAnsi="仿宋" w:eastAsia="仿宋" w:cs="仿宋"/>
          <w:color w:val="auto"/>
          <w:sz w:val="24"/>
          <w:szCs w:val="24"/>
          <w:highlight w:val="none"/>
        </w:rPr>
      </w:pPr>
      <w:r>
        <w:rPr>
          <w:rFonts w:hint="eastAsia" w:ascii="仿宋" w:hAnsi="仿宋" w:eastAsia="仿宋" w:cs="仿宋"/>
          <w:b/>
          <w:color w:val="auto"/>
          <w:sz w:val="24"/>
          <w:highlight w:val="none"/>
        </w:rPr>
        <w:t>7、</w:t>
      </w:r>
      <w:r>
        <w:rPr>
          <w:rStyle w:val="119"/>
          <w:rFonts w:hint="eastAsia" w:ascii="仿宋" w:hAnsi="仿宋" w:eastAsia="仿宋" w:cs="仿宋"/>
          <w:color w:val="auto"/>
          <w:sz w:val="24"/>
          <w:szCs w:val="24"/>
          <w:highlight w:val="none"/>
        </w:rPr>
        <w:t>水槽：</w:t>
      </w:r>
    </w:p>
    <w:p>
      <w:pPr>
        <w:pStyle w:val="26"/>
        <w:spacing w:line="360" w:lineRule="auto"/>
        <w:ind w:left="0" w:leftChars="0" w:firstLine="0" w:firstLineChars="0"/>
        <w:rPr>
          <w:rFonts w:hint="eastAsia" w:ascii="仿宋" w:hAnsi="仿宋" w:eastAsia="仿宋" w:cs="仿宋"/>
          <w:color w:val="auto"/>
          <w:sz w:val="24"/>
          <w:highlight w:val="none"/>
        </w:rPr>
      </w:pPr>
      <w:r>
        <w:rPr>
          <w:rFonts w:hint="eastAsia" w:ascii="仿宋" w:hAnsi="仿宋" w:eastAsia="仿宋" w:cs="仿宋"/>
          <w:bCs/>
          <w:color w:val="auto"/>
          <w:sz w:val="24"/>
          <w:highlight w:val="none"/>
        </w:rPr>
        <w:t>7.1</w:t>
      </w:r>
      <w:r>
        <w:rPr>
          <w:rFonts w:hint="eastAsia" w:ascii="仿宋" w:hAnsi="仿宋" w:eastAsia="仿宋" w:cs="仿宋"/>
          <w:color w:val="auto"/>
          <w:sz w:val="24"/>
          <w:highlight w:val="none"/>
        </w:rPr>
        <w:t>符合QB/T 3827-1999《轻工产品金属镀层和化学处理层的耐腐蚀试验方法乙酸盐雾试验(ASS)法》，乙酸盐雾试验：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highlight w:val="none"/>
        </w:rPr>
        <w:t>小时乙酸盐雾试验后，耐腐蚀等级≥</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级。</w:t>
      </w:r>
    </w:p>
    <w:p>
      <w:pPr>
        <w:pStyle w:val="27"/>
        <w:spacing w:line="360" w:lineRule="auto"/>
        <w:rPr>
          <w:rStyle w:val="119"/>
          <w:rFonts w:hint="eastAsia" w:ascii="仿宋" w:hAnsi="仿宋" w:eastAsia="仿宋" w:cs="仿宋"/>
          <w:color w:val="auto"/>
          <w:sz w:val="24"/>
          <w:szCs w:val="24"/>
          <w:highlight w:val="none"/>
        </w:rPr>
      </w:pPr>
      <w:r>
        <w:rPr>
          <w:rFonts w:hint="eastAsia" w:ascii="仿宋" w:hAnsi="仿宋" w:eastAsia="仿宋" w:cs="仿宋"/>
          <w:b/>
          <w:color w:val="auto"/>
          <w:sz w:val="24"/>
          <w:highlight w:val="none"/>
        </w:rPr>
        <w:t>8、</w:t>
      </w:r>
      <w:r>
        <w:rPr>
          <w:rStyle w:val="119"/>
          <w:rFonts w:hint="eastAsia" w:ascii="仿宋" w:hAnsi="仿宋" w:eastAsia="仿宋" w:cs="仿宋"/>
          <w:color w:val="auto"/>
          <w:sz w:val="24"/>
          <w:szCs w:val="24"/>
          <w:highlight w:val="none"/>
        </w:rPr>
        <w:t>水龙头：</w:t>
      </w:r>
    </w:p>
    <w:p>
      <w:pPr>
        <w:pStyle w:val="27"/>
        <w:spacing w:line="360" w:lineRule="auto"/>
        <w:rPr>
          <w:rFonts w:hint="eastAsia" w:ascii="仿宋" w:hAnsi="仿宋" w:eastAsia="仿宋" w:cs="仿宋"/>
          <w:color w:val="auto"/>
          <w:sz w:val="24"/>
          <w:highlight w:val="none"/>
        </w:rPr>
      </w:pPr>
      <w:r>
        <w:rPr>
          <w:rStyle w:val="119"/>
          <w:rFonts w:hint="eastAsia" w:ascii="仿宋" w:hAnsi="仿宋" w:eastAsia="仿宋" w:cs="仿宋"/>
          <w:b w:val="0"/>
          <w:color w:val="auto"/>
          <w:sz w:val="24"/>
          <w:szCs w:val="24"/>
          <w:highlight w:val="none"/>
        </w:rPr>
        <w:t>8.1</w:t>
      </w:r>
      <w:r>
        <w:rPr>
          <w:rFonts w:hint="eastAsia" w:ascii="仿宋" w:hAnsi="仿宋" w:eastAsia="仿宋" w:cs="仿宋"/>
          <w:color w:val="auto"/>
          <w:sz w:val="24"/>
          <w:highlight w:val="none"/>
        </w:rPr>
        <w:t>符合QB/T 3827-1999《轻工产品金属镀层和化学处理层的耐腐蚀试验方法乙酸盐雾试验(ASS)法》，乙酸盐雾试验：经过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highlight w:val="none"/>
        </w:rPr>
        <w:t>小时乙酸盐雾试验后，涂层的耐腐蚀等级≥</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级。</w:t>
      </w:r>
    </w:p>
    <w:p>
      <w:pPr>
        <w:pStyle w:val="27"/>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8.2符合GB/T-35607-2017《绿色产品评价家具》苯、甲苯、二甲苯、总挥发性有机化合物(TVOC) 均未检测出。</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9、多层板：符合HJ 571-2010 《环境标志产品技术要求 人造板及其制品》标准</w:t>
      </w:r>
    </w:p>
    <w:p>
      <w:pPr>
        <w:pStyle w:val="27"/>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▲9.1甲醛释放量：≤0.1mg/m³。</w:t>
      </w:r>
    </w:p>
    <w:p>
      <w:pPr>
        <w:pStyle w:val="27"/>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9.2总挥发性有机化合物（TVOC）：≤0.05mg/㎡h。</w:t>
      </w:r>
    </w:p>
    <w:p>
      <w:pPr>
        <w:pStyle w:val="27"/>
        <w:numPr>
          <w:ilvl w:val="0"/>
          <w:numId w:val="1"/>
        </w:num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PU皮：符合GB/T 16799-2018《家具用皮革》</w:t>
      </w:r>
    </w:p>
    <w:p>
      <w:pPr>
        <w:pStyle w:val="27"/>
        <w:numPr>
          <w:ilvl w:val="0"/>
          <w:numId w:val="0"/>
        </w:num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10.1 摩擦色牢度：干擦（500次）：≥4级；湿擦（250次）：≥3-4级；碱性汗液（80次）：≥3-4级。</w:t>
      </w:r>
    </w:p>
    <w:p>
      <w:pPr>
        <w:pStyle w:val="27"/>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10.2涂层粘着牢度≥8.6N/10mm。</w:t>
      </w:r>
    </w:p>
    <w:p>
      <w:pPr>
        <w:pStyle w:val="27"/>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▲10.3禁用偶氮染料含量未检出。</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〖成品类〗</w:t>
      </w:r>
    </w:p>
    <w:p>
      <w:pPr>
        <w:pStyle w:val="2"/>
        <w:ind w:left="0" w:leftChars="0" w:firstLine="0" w:firstLine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医用环保治疗柜</w:t>
      </w:r>
      <w:r>
        <w:rPr>
          <w:rFonts w:hint="eastAsia" w:ascii="仿宋" w:hAnsi="仿宋" w:eastAsia="仿宋" w:cs="仿宋"/>
          <w:b/>
          <w:bCs/>
          <w:color w:val="auto"/>
          <w:sz w:val="24"/>
          <w:highlight w:val="none"/>
          <w:lang w:eastAsia="zh-CN"/>
        </w:rPr>
        <w:t>：</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1.1柜体采用1.0mm厚（宝钢/鞍钢）电解板，防潮防水，经久耐用；台面及饰板采用12mm厚亚克力，具有耐酸耐碱的性质，抗污染不渗透、不变形不上色、无缝隙易清洁打理，耐磨、耐刮损、耐冲击、耐高温、抗紫外线、抗污垢、防火、防静电，以及具有阻燃性、无毒等技术特点；符合医院等高标准的环境卫生要求；柜体底部采用1.0mm的SUS304#不锈钢踢脚线，比柜体前端面缩进尺寸为20mm，高150mm，操作时无抵脚感，符合人体工程学原理，预防多次清洁消毒导致的腐蚀和生锈；</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1.2符合QB/T 3827-1999《轻工产品金属镀层和化学处理层的耐腐蚀试验方法乙酸盐雾试验(ASS)法》、GB/T 3325-2017《金属家具通用技术条件》标准：</w:t>
      </w:r>
    </w:p>
    <w:p>
      <w:pPr>
        <w:spacing w:line="360" w:lineRule="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（1）金属表面耐腐蚀：</w:t>
      </w:r>
      <w:r>
        <w:rPr>
          <w:rFonts w:hint="eastAsia" w:ascii="仿宋" w:hAnsi="仿宋" w:eastAsia="仿宋" w:cs="仿宋"/>
          <w:bCs/>
          <w:color w:val="auto"/>
          <w:sz w:val="24"/>
          <w:highlight w:val="yellow"/>
        </w:rPr>
        <w:t>经过24小时乙酸盐雾试验后,镀层的耐腐蚀等级≥</w:t>
      </w:r>
      <w:r>
        <w:rPr>
          <w:rFonts w:hint="eastAsia" w:ascii="仿宋" w:hAnsi="仿宋" w:eastAsia="仿宋" w:cs="仿宋"/>
          <w:bCs/>
          <w:color w:val="auto"/>
          <w:sz w:val="24"/>
          <w:highlight w:val="yellow"/>
          <w:lang w:val="en-US" w:eastAsia="zh-CN"/>
        </w:rPr>
        <w:t>9</w:t>
      </w:r>
      <w:r>
        <w:rPr>
          <w:rFonts w:hint="eastAsia" w:ascii="仿宋" w:hAnsi="仿宋" w:eastAsia="仿宋" w:cs="仿宋"/>
          <w:bCs/>
          <w:color w:val="auto"/>
          <w:sz w:val="24"/>
          <w:highlight w:val="yellow"/>
        </w:rPr>
        <w:t>级；</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金属外观：焊接件焊接处应无脱焊、虚焊、焊穿、错位，焊接处应无夹渣、气孔、焊瘤、焊丝头、咬边、飞溅，焊疤表面波纹应均匀；冲压件应无脱层、裂缝；喷涂层涂层应无漏喷、锈蚀和脱色、掉色现象，涂层应光滑均匀,色泽一致,应无流挂、疙瘩、皱皮、飞漆等缺陷；</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（3）拉门猛关试验通过拉门猛关试验((0.6+3）kg,10次）；</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（4）拉门水平加载试验通过拉门水平加载试验（加载60N，10次）；</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（5）拉门耐久性(≥</w:t>
      </w:r>
      <w:r>
        <w:rPr>
          <w:rFonts w:hint="eastAsia" w:ascii="仿宋" w:hAnsi="仿宋" w:eastAsia="仿宋" w:cs="仿宋"/>
          <w:bCs/>
          <w:color w:val="auto"/>
          <w:sz w:val="24"/>
          <w:highlight w:val="none"/>
          <w:lang w:val="en-US" w:eastAsia="zh-CN"/>
        </w:rPr>
        <w:t>20万</w:t>
      </w:r>
      <w:r>
        <w:rPr>
          <w:rFonts w:hint="eastAsia" w:ascii="仿宋" w:hAnsi="仿宋" w:eastAsia="仿宋" w:cs="仿宋"/>
          <w:bCs/>
          <w:color w:val="auto"/>
          <w:sz w:val="24"/>
          <w:highlight w:val="none"/>
        </w:rPr>
        <w:t>次)通过拉门耐久性试验(质量2kg，≥20万次）。</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、医用诊查床</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.1符合GB/T 3325-2017《金属家具通用技术条件》标准。床面采用医用PU皮包面，抗污易清洁、满足医用清洗剂、消毒剂的腐蚀，表面柔软舒适,内部采用高密度、高弹力聚氨脂海绵，密度不低于45，可防氧化、防碎，软硬适中，回弹性良好，不易变形；支架和卷筒采用优质一级冷轧钢，钢板厚度≥1.5mm，金属表面采用环氧树脂静电粉末，全自动涂装工艺，涂漆厚度不低于60um，喷涂硬度≥2H。</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.2形状和位置公差：邻边垂直度(面板) 对角线长度差:≤3mm，对边长度差:≤2mm，翘曲度（面板) ≤3.0mm；平整度(面板)≤0.20mm；着地平稳性底脚与水平面的差值≤2.0mm ；</w:t>
      </w:r>
    </w:p>
    <w:p>
      <w:pPr>
        <w:numPr>
          <w:ilvl w:val="0"/>
          <w:numId w:val="2"/>
        </w:num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金属外观：管材应无裂缝、叠缝，焊接件焊接处应无脱焊、虚焊、焊穿、错位，焊接处应无夹渣、气孔、焊瘤、焊丝头、咬边、飞溅，焊疤表面波纹应均匀；冲压件应无脱层、裂缝；喷涂层涂层应无漏喷、锈蚀和脱色、掉色现象，涂层应光滑均匀,色泽一致,应无流挂、疙瘩、皱皮、飞漆等缺陷；</w:t>
      </w:r>
    </w:p>
    <w:p>
      <w:pPr>
        <w:numPr>
          <w:ilvl w:val="0"/>
          <w:numId w:val="2"/>
        </w:num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通过床铺面均布载荷试验(均布载荷1200N， 7天）；</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（3）通过床铺面集中静载荷试验(在床铺面中心垂直加载1100N，10次）；</w:t>
      </w:r>
    </w:p>
    <w:p>
      <w:pPr>
        <w:pStyle w:val="27"/>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（4）床结构耐久性试验通过20000次试验（加载300N，平衡载荷1000N)；</w:t>
      </w:r>
    </w:p>
    <w:p>
      <w:pPr>
        <w:pStyle w:val="27"/>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〖样品〗</w:t>
      </w:r>
    </w:p>
    <w:p>
      <w:pPr>
        <w:pStyle w:val="27"/>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1、原材料样品清单：</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207"/>
        <w:gridCol w:w="2748"/>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207" w:type="dxa"/>
            <w:noWrap w:val="0"/>
            <w:vAlign w:val="center"/>
          </w:tcPr>
          <w:p>
            <w:pPr>
              <w:pStyle w:val="957"/>
              <w:ind w:left="2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样品名称</w:t>
            </w:r>
          </w:p>
        </w:tc>
        <w:tc>
          <w:tcPr>
            <w:tcW w:w="2748" w:type="dxa"/>
            <w:noWrap w:val="0"/>
            <w:vAlign w:val="center"/>
          </w:tcPr>
          <w:p>
            <w:pPr>
              <w:pStyle w:val="957"/>
              <w:ind w:left="2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样品规格（mm）</w:t>
            </w:r>
          </w:p>
        </w:tc>
        <w:tc>
          <w:tcPr>
            <w:tcW w:w="2258" w:type="dxa"/>
            <w:noWrap w:val="0"/>
            <w:vAlign w:val="center"/>
          </w:tcPr>
          <w:p>
            <w:pPr>
              <w:pStyle w:val="957"/>
              <w:ind w:left="2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1</w:t>
            </w:r>
          </w:p>
        </w:tc>
        <w:tc>
          <w:tcPr>
            <w:tcW w:w="3207" w:type="dxa"/>
            <w:noWrap w:val="0"/>
            <w:vAlign w:val="center"/>
          </w:tcPr>
          <w:p>
            <w:pPr>
              <w:pStyle w:val="957"/>
              <w:ind w:right="-12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电解钢板</w:t>
            </w:r>
          </w:p>
        </w:tc>
        <w:tc>
          <w:tcPr>
            <w:tcW w:w="2748" w:type="dxa"/>
            <w:noWrap w:val="0"/>
            <w:vAlign w:val="center"/>
          </w:tcPr>
          <w:p>
            <w:pPr>
              <w:pStyle w:val="957"/>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200*1.0</w:t>
            </w:r>
          </w:p>
        </w:tc>
        <w:tc>
          <w:tcPr>
            <w:tcW w:w="2258" w:type="dxa"/>
            <w:noWrap w:val="0"/>
            <w:vAlign w:val="center"/>
          </w:tcPr>
          <w:p>
            <w:pPr>
              <w:pStyle w:val="957"/>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2</w:t>
            </w:r>
          </w:p>
        </w:tc>
        <w:tc>
          <w:tcPr>
            <w:tcW w:w="3207" w:type="dxa"/>
            <w:noWrap w:val="0"/>
            <w:vAlign w:val="center"/>
          </w:tcPr>
          <w:p>
            <w:pPr>
              <w:pStyle w:val="957"/>
              <w:ind w:right="-126"/>
              <w:jc w:val="center"/>
              <w:rPr>
                <w:rFonts w:hint="eastAsia" w:ascii="仿宋" w:hAnsi="仿宋" w:eastAsia="仿宋" w:cs="仿宋"/>
                <w:color w:val="auto"/>
                <w:sz w:val="24"/>
                <w:highlight w:val="none"/>
              </w:rPr>
            </w:pPr>
            <w:r>
              <w:rPr>
                <w:rStyle w:val="93"/>
                <w:rFonts w:hint="eastAsia" w:ascii="仿宋" w:hAnsi="仿宋" w:eastAsia="仿宋" w:cs="仿宋"/>
                <w:b w:val="0"/>
                <w:bCs w:val="0"/>
                <w:color w:val="auto"/>
                <w:sz w:val="24"/>
                <w:szCs w:val="24"/>
                <w:highlight w:val="none"/>
              </w:rPr>
              <w:t>医用纯亚克力人造石</w:t>
            </w:r>
          </w:p>
        </w:tc>
        <w:tc>
          <w:tcPr>
            <w:tcW w:w="2748" w:type="dxa"/>
            <w:noWrap w:val="0"/>
            <w:vAlign w:val="center"/>
          </w:tcPr>
          <w:p>
            <w:pPr>
              <w:pStyle w:val="957"/>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200*12</w:t>
            </w:r>
          </w:p>
        </w:tc>
        <w:tc>
          <w:tcPr>
            <w:tcW w:w="2258" w:type="dxa"/>
            <w:noWrap w:val="0"/>
            <w:vAlign w:val="center"/>
          </w:tcPr>
          <w:p>
            <w:pPr>
              <w:pStyle w:val="957"/>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3</w:t>
            </w:r>
          </w:p>
        </w:tc>
        <w:tc>
          <w:tcPr>
            <w:tcW w:w="3207" w:type="dxa"/>
            <w:noWrap w:val="0"/>
            <w:vAlign w:val="center"/>
          </w:tcPr>
          <w:p>
            <w:pPr>
              <w:pStyle w:val="957"/>
              <w:ind w:right="-12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304不锈钢缓冲铰链（门铰）</w:t>
            </w:r>
          </w:p>
        </w:tc>
        <w:tc>
          <w:tcPr>
            <w:tcW w:w="2748" w:type="dxa"/>
            <w:noWrap w:val="0"/>
            <w:vAlign w:val="center"/>
          </w:tcPr>
          <w:p>
            <w:pPr>
              <w:pStyle w:val="957"/>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标准</w:t>
            </w:r>
          </w:p>
        </w:tc>
        <w:tc>
          <w:tcPr>
            <w:tcW w:w="2258" w:type="dxa"/>
            <w:noWrap w:val="0"/>
            <w:vAlign w:val="center"/>
          </w:tcPr>
          <w:p>
            <w:pPr>
              <w:pStyle w:val="957"/>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4</w:t>
            </w:r>
          </w:p>
        </w:tc>
        <w:tc>
          <w:tcPr>
            <w:tcW w:w="3207" w:type="dxa"/>
            <w:noWrap w:val="0"/>
            <w:vAlign w:val="center"/>
          </w:tcPr>
          <w:p>
            <w:pPr>
              <w:pStyle w:val="957"/>
              <w:ind w:right="-12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三节导轨</w:t>
            </w:r>
          </w:p>
        </w:tc>
        <w:tc>
          <w:tcPr>
            <w:tcW w:w="2748" w:type="dxa"/>
            <w:noWrap w:val="0"/>
            <w:vAlign w:val="center"/>
          </w:tcPr>
          <w:p>
            <w:pPr>
              <w:pStyle w:val="957"/>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16寸</w:t>
            </w:r>
          </w:p>
        </w:tc>
        <w:tc>
          <w:tcPr>
            <w:tcW w:w="2258" w:type="dxa"/>
            <w:noWrap w:val="0"/>
            <w:vAlign w:val="center"/>
          </w:tcPr>
          <w:p>
            <w:pPr>
              <w:pStyle w:val="957"/>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p>
        </w:tc>
        <w:tc>
          <w:tcPr>
            <w:tcW w:w="3207" w:type="dxa"/>
            <w:noWrap w:val="0"/>
            <w:vAlign w:val="center"/>
          </w:tcPr>
          <w:p>
            <w:pPr>
              <w:pStyle w:val="957"/>
              <w:ind w:right="-12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多层板</w:t>
            </w:r>
          </w:p>
        </w:tc>
        <w:tc>
          <w:tcPr>
            <w:tcW w:w="2748" w:type="dxa"/>
            <w:noWrap w:val="0"/>
            <w:vAlign w:val="center"/>
          </w:tcPr>
          <w:p>
            <w:pPr>
              <w:pStyle w:val="957"/>
              <w:jc w:val="center"/>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200*18</w:t>
            </w:r>
          </w:p>
        </w:tc>
        <w:tc>
          <w:tcPr>
            <w:tcW w:w="2258" w:type="dxa"/>
            <w:noWrap w:val="0"/>
            <w:vAlign w:val="center"/>
          </w:tcPr>
          <w:p>
            <w:pPr>
              <w:pStyle w:val="957"/>
              <w:jc w:val="center"/>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lang w:val="en-US"/>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lang w:val="en-US"/>
              </w:rPr>
              <w:t>6</w:t>
            </w:r>
          </w:p>
        </w:tc>
        <w:tc>
          <w:tcPr>
            <w:tcW w:w="3207" w:type="dxa"/>
            <w:noWrap w:val="0"/>
            <w:vAlign w:val="center"/>
          </w:tcPr>
          <w:p>
            <w:pPr>
              <w:pStyle w:val="957"/>
              <w:ind w:right="-126"/>
              <w:jc w:val="center"/>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lang w:val="en-US"/>
              </w:rPr>
              <w:t>PU皮</w:t>
            </w:r>
          </w:p>
        </w:tc>
        <w:tc>
          <w:tcPr>
            <w:tcW w:w="2748" w:type="dxa"/>
            <w:noWrap w:val="0"/>
            <w:vAlign w:val="center"/>
          </w:tcPr>
          <w:p>
            <w:pPr>
              <w:pStyle w:val="957"/>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w:t>
            </w:r>
          </w:p>
        </w:tc>
        <w:tc>
          <w:tcPr>
            <w:tcW w:w="2258" w:type="dxa"/>
            <w:noWrap w:val="0"/>
            <w:vAlign w:val="center"/>
          </w:tcPr>
          <w:p>
            <w:pPr>
              <w:pStyle w:val="957"/>
              <w:jc w:val="center"/>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lang w:val="en-US"/>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09" w:type="dxa"/>
            <w:gridSpan w:val="4"/>
            <w:noWrap w:val="0"/>
            <w:vAlign w:val="center"/>
          </w:tcPr>
          <w:p>
            <w:pPr>
              <w:pStyle w:val="957"/>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注：各类板材样品应按照成品家具的工艺进行制作。</w:t>
            </w: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2、成品样品清单：</w:t>
      </w:r>
    </w:p>
    <w:tbl>
      <w:tblPr>
        <w:tblStyle w:val="64"/>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580"/>
        <w:gridCol w:w="2492"/>
        <w:gridCol w:w="858"/>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noWrap w:val="0"/>
            <w:vAlign w:val="center"/>
          </w:tcPr>
          <w:p>
            <w:pPr>
              <w:pStyle w:val="957"/>
              <w:ind w:left="20" w:leftChars="0"/>
              <w:jc w:val="center"/>
              <w:rPr>
                <w:rFonts w:hint="eastAsia" w:ascii="仿宋" w:hAnsi="仿宋" w:eastAsia="仿宋" w:cs="仿宋"/>
                <w:b/>
                <w:bCs/>
                <w:color w:val="auto"/>
                <w:kern w:val="2"/>
                <w:sz w:val="24"/>
                <w:szCs w:val="24"/>
                <w:highlight w:val="none"/>
                <w:lang w:val="en-US" w:eastAsia="zh-CN" w:bidi="zh-CN"/>
              </w:rPr>
            </w:pPr>
            <w:r>
              <w:rPr>
                <w:rFonts w:hint="eastAsia" w:ascii="仿宋" w:hAnsi="仿宋" w:eastAsia="仿宋" w:cs="仿宋"/>
                <w:b/>
                <w:bCs/>
                <w:color w:val="auto"/>
                <w:sz w:val="24"/>
                <w:highlight w:val="none"/>
              </w:rPr>
              <w:t>序号</w:t>
            </w:r>
          </w:p>
        </w:tc>
        <w:tc>
          <w:tcPr>
            <w:tcW w:w="2580" w:type="dxa"/>
            <w:noWrap w:val="0"/>
            <w:vAlign w:val="center"/>
          </w:tcPr>
          <w:p>
            <w:pPr>
              <w:pStyle w:val="957"/>
              <w:ind w:left="20" w:leftChars="0"/>
              <w:jc w:val="center"/>
              <w:rPr>
                <w:rFonts w:hint="eastAsia" w:ascii="仿宋" w:hAnsi="仿宋" w:eastAsia="仿宋" w:cs="仿宋"/>
                <w:b/>
                <w:bCs/>
                <w:color w:val="auto"/>
                <w:kern w:val="2"/>
                <w:sz w:val="24"/>
                <w:szCs w:val="24"/>
                <w:highlight w:val="none"/>
                <w:lang w:val="zh-CN" w:eastAsia="zh-CN" w:bidi="zh-CN"/>
              </w:rPr>
            </w:pPr>
            <w:r>
              <w:rPr>
                <w:rFonts w:hint="eastAsia" w:ascii="仿宋" w:hAnsi="仿宋" w:eastAsia="仿宋" w:cs="仿宋"/>
                <w:b/>
                <w:bCs/>
                <w:color w:val="auto"/>
                <w:sz w:val="24"/>
                <w:highlight w:val="none"/>
              </w:rPr>
              <w:t>样品名称</w:t>
            </w:r>
          </w:p>
        </w:tc>
        <w:tc>
          <w:tcPr>
            <w:tcW w:w="2492" w:type="dxa"/>
            <w:noWrap w:val="0"/>
            <w:vAlign w:val="center"/>
          </w:tcPr>
          <w:p>
            <w:pPr>
              <w:pStyle w:val="957"/>
              <w:ind w:left="20" w:leftChars="0"/>
              <w:jc w:val="center"/>
              <w:rPr>
                <w:rFonts w:hint="eastAsia" w:ascii="仿宋" w:hAnsi="仿宋" w:eastAsia="仿宋" w:cs="仿宋"/>
                <w:b/>
                <w:bCs/>
                <w:color w:val="auto"/>
                <w:kern w:val="2"/>
                <w:sz w:val="24"/>
                <w:szCs w:val="24"/>
                <w:highlight w:val="none"/>
                <w:lang w:val="en-US" w:eastAsia="zh-CN" w:bidi="zh-CN"/>
              </w:rPr>
            </w:pPr>
            <w:r>
              <w:rPr>
                <w:rFonts w:hint="eastAsia" w:ascii="仿宋" w:hAnsi="仿宋" w:eastAsia="仿宋" w:cs="仿宋"/>
                <w:b/>
                <w:bCs/>
                <w:color w:val="auto"/>
                <w:sz w:val="24"/>
                <w:highlight w:val="none"/>
              </w:rPr>
              <w:t>样品规格</w:t>
            </w:r>
          </w:p>
        </w:tc>
        <w:tc>
          <w:tcPr>
            <w:tcW w:w="858" w:type="dxa"/>
            <w:noWrap w:val="0"/>
            <w:vAlign w:val="center"/>
          </w:tcPr>
          <w:p>
            <w:pPr>
              <w:pStyle w:val="957"/>
              <w:ind w:left="20" w:leftChars="0"/>
              <w:jc w:val="center"/>
              <w:rPr>
                <w:rFonts w:hint="eastAsia" w:ascii="仿宋" w:hAnsi="仿宋" w:eastAsia="仿宋" w:cs="仿宋"/>
                <w:b/>
                <w:bCs/>
                <w:color w:val="auto"/>
                <w:kern w:val="2"/>
                <w:sz w:val="24"/>
                <w:szCs w:val="24"/>
                <w:highlight w:val="none"/>
                <w:lang w:val="en-US" w:eastAsia="zh-CN" w:bidi="zh-CN"/>
              </w:rPr>
            </w:pPr>
            <w:r>
              <w:rPr>
                <w:rFonts w:hint="eastAsia" w:ascii="仿宋" w:hAnsi="仿宋" w:eastAsia="仿宋" w:cs="仿宋"/>
                <w:b/>
                <w:bCs/>
                <w:color w:val="auto"/>
                <w:sz w:val="24"/>
                <w:highlight w:val="none"/>
              </w:rPr>
              <w:t>数量</w:t>
            </w:r>
          </w:p>
        </w:tc>
        <w:tc>
          <w:tcPr>
            <w:tcW w:w="2432" w:type="dxa"/>
            <w:noWrap w:val="0"/>
            <w:vAlign w:val="center"/>
          </w:tcPr>
          <w:p>
            <w:pPr>
              <w:pStyle w:val="957"/>
              <w:ind w:left="20" w:leftChars="0"/>
              <w:jc w:val="center"/>
              <w:rPr>
                <w:rFonts w:hint="eastAsia" w:ascii="仿宋" w:hAnsi="仿宋" w:eastAsia="仿宋" w:cs="仿宋"/>
                <w:b/>
                <w:bCs/>
                <w:color w:val="auto"/>
                <w:kern w:val="2"/>
                <w:sz w:val="24"/>
                <w:szCs w:val="24"/>
                <w:highlight w:val="none"/>
                <w:lang w:val="zh-CN" w:eastAsia="zh-CN" w:bidi="zh-CN"/>
              </w:rPr>
            </w:pPr>
            <w:r>
              <w:rPr>
                <w:rFonts w:hint="eastAsia" w:ascii="仿宋" w:hAnsi="仿宋" w:eastAsia="仿宋" w:cs="仿宋"/>
                <w:b/>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noWrap w:val="0"/>
            <w:vAlign w:val="center"/>
          </w:tcPr>
          <w:p>
            <w:pPr>
              <w:pStyle w:val="957"/>
              <w:ind w:left="2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580" w:type="dxa"/>
            <w:noWrap w:val="0"/>
            <w:vAlign w:val="center"/>
          </w:tcPr>
          <w:p>
            <w:pPr>
              <w:pStyle w:val="957"/>
              <w:ind w:left="20"/>
              <w:jc w:val="center"/>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医用环保治疗柜（</w:t>
            </w:r>
            <w:r>
              <w:rPr>
                <w:rFonts w:hint="eastAsia" w:ascii="仿宋" w:hAnsi="仿宋" w:eastAsia="仿宋" w:cs="仿宋"/>
                <w:color w:val="auto"/>
                <w:sz w:val="24"/>
                <w:highlight w:val="none"/>
                <w:lang w:val="en-US"/>
              </w:rPr>
              <w:t>含医用分类垃圾柜1组）</w:t>
            </w:r>
          </w:p>
        </w:tc>
        <w:tc>
          <w:tcPr>
            <w:tcW w:w="2492" w:type="dxa"/>
            <w:noWrap w:val="0"/>
            <w:vAlign w:val="center"/>
          </w:tcPr>
          <w:p>
            <w:pPr>
              <w:pStyle w:val="957"/>
              <w:ind w:left="20"/>
              <w:jc w:val="center"/>
              <w:rPr>
                <w:rFonts w:hint="eastAsia" w:ascii="仿宋" w:hAnsi="仿宋" w:eastAsia="仿宋" w:cs="仿宋"/>
                <w:color w:val="auto"/>
                <w:sz w:val="24"/>
                <w:highlight w:val="none"/>
                <w:lang w:val="en-US"/>
              </w:rPr>
            </w:pPr>
            <w:r>
              <w:rPr>
                <w:rFonts w:hint="eastAsia" w:ascii="仿宋" w:hAnsi="仿宋" w:eastAsia="仿宋" w:cs="仿宋"/>
                <w:bCs/>
                <w:color w:val="auto"/>
                <w:sz w:val="24"/>
                <w:highlight w:val="none"/>
              </w:rPr>
              <w:t>≥</w:t>
            </w:r>
            <w:r>
              <w:rPr>
                <w:rFonts w:hint="eastAsia" w:ascii="仿宋" w:hAnsi="仿宋" w:eastAsia="仿宋" w:cs="仿宋"/>
                <w:color w:val="auto"/>
                <w:kern w:val="0"/>
                <w:sz w:val="20"/>
                <w:szCs w:val="20"/>
                <w:highlight w:val="none"/>
              </w:rPr>
              <w:t>1600</w:t>
            </w:r>
            <w:r>
              <w:rPr>
                <w:rFonts w:hint="eastAsia" w:ascii="仿宋" w:hAnsi="仿宋" w:eastAsia="仿宋" w:cs="仿宋"/>
                <w:color w:val="auto"/>
                <w:kern w:val="0"/>
                <w:sz w:val="20"/>
                <w:szCs w:val="20"/>
                <w:highlight w:val="none"/>
                <w:lang w:val="en-US"/>
              </w:rPr>
              <w:t>W</w:t>
            </w:r>
            <w:r>
              <w:rPr>
                <w:rFonts w:hint="eastAsia" w:ascii="仿宋" w:hAnsi="仿宋" w:eastAsia="仿宋" w:cs="仿宋"/>
                <w:color w:val="auto"/>
                <w:kern w:val="0"/>
                <w:sz w:val="20"/>
                <w:szCs w:val="20"/>
                <w:highlight w:val="none"/>
              </w:rPr>
              <w:t>*630</w:t>
            </w:r>
            <w:r>
              <w:rPr>
                <w:rFonts w:hint="eastAsia" w:ascii="仿宋" w:hAnsi="仿宋" w:eastAsia="仿宋" w:cs="仿宋"/>
                <w:color w:val="auto"/>
                <w:kern w:val="0"/>
                <w:sz w:val="20"/>
                <w:szCs w:val="20"/>
                <w:highlight w:val="none"/>
                <w:lang w:val="en-US"/>
              </w:rPr>
              <w:t>D</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rPr>
              <w:t>2000H/</w:t>
            </w:r>
            <w:r>
              <w:rPr>
                <w:rFonts w:hint="eastAsia" w:ascii="仿宋" w:hAnsi="仿宋" w:eastAsia="仿宋" w:cs="仿宋"/>
                <w:color w:val="auto"/>
                <w:kern w:val="0"/>
                <w:sz w:val="20"/>
                <w:szCs w:val="20"/>
                <w:highlight w:val="none"/>
              </w:rPr>
              <w:t>835</w:t>
            </w:r>
            <w:r>
              <w:rPr>
                <w:rFonts w:hint="eastAsia" w:ascii="仿宋" w:hAnsi="仿宋" w:eastAsia="仿宋" w:cs="仿宋"/>
                <w:color w:val="auto"/>
                <w:kern w:val="0"/>
                <w:sz w:val="20"/>
                <w:szCs w:val="20"/>
                <w:highlight w:val="none"/>
                <w:lang w:val="en-US"/>
              </w:rPr>
              <w:t>H</w:t>
            </w:r>
            <w:r>
              <w:rPr>
                <w:rFonts w:hint="eastAsia" w:ascii="仿宋" w:hAnsi="仿宋" w:eastAsia="仿宋" w:cs="仿宋"/>
                <w:color w:val="auto"/>
                <w:kern w:val="0"/>
                <w:sz w:val="24"/>
                <w:highlight w:val="none"/>
                <w:lang w:val="en-US"/>
              </w:rPr>
              <w:t>（mm）</w:t>
            </w:r>
          </w:p>
        </w:tc>
        <w:tc>
          <w:tcPr>
            <w:tcW w:w="858" w:type="dxa"/>
            <w:noWrap w:val="0"/>
            <w:vAlign w:val="center"/>
          </w:tcPr>
          <w:p>
            <w:pPr>
              <w:pStyle w:val="957"/>
              <w:ind w:left="20"/>
              <w:jc w:val="center"/>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lang w:val="en-US"/>
              </w:rPr>
              <w:t>1 组</w:t>
            </w:r>
          </w:p>
        </w:tc>
        <w:tc>
          <w:tcPr>
            <w:tcW w:w="2432" w:type="dxa"/>
            <w:noWrap w:val="0"/>
            <w:vAlign w:val="center"/>
          </w:tcPr>
          <w:p>
            <w:pPr>
              <w:pStyle w:val="957"/>
              <w:ind w:left="2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具体材质说明详见招标清单描述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noWrap w:val="0"/>
            <w:vAlign w:val="center"/>
          </w:tcPr>
          <w:p>
            <w:pPr>
              <w:pStyle w:val="957"/>
              <w:ind w:left="2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580" w:type="dxa"/>
            <w:noWrap w:val="0"/>
            <w:vAlign w:val="center"/>
          </w:tcPr>
          <w:p>
            <w:pPr>
              <w:pStyle w:val="957"/>
              <w:ind w:left="2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3号楼二楼</w:t>
            </w:r>
            <w:r>
              <w:rPr>
                <w:rFonts w:hint="eastAsia" w:ascii="仿宋" w:hAnsi="仿宋" w:eastAsia="仿宋" w:cs="仿宋"/>
                <w:color w:val="auto"/>
                <w:sz w:val="24"/>
                <w:highlight w:val="none"/>
                <w:lang w:val="en-US"/>
              </w:rPr>
              <w:t>序号</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rPr>
              <w:t>医用诊查床</w:t>
            </w:r>
          </w:p>
        </w:tc>
        <w:tc>
          <w:tcPr>
            <w:tcW w:w="2492" w:type="dxa"/>
            <w:noWrap w:val="0"/>
            <w:vAlign w:val="center"/>
          </w:tcPr>
          <w:p>
            <w:pPr>
              <w:pStyle w:val="957"/>
              <w:ind w:left="20"/>
              <w:jc w:val="center"/>
              <w:rPr>
                <w:rFonts w:hint="eastAsia" w:ascii="仿宋" w:hAnsi="仿宋" w:eastAsia="仿宋" w:cs="仿宋"/>
                <w:bCs/>
                <w:color w:val="auto"/>
                <w:sz w:val="24"/>
                <w:highlight w:val="none"/>
              </w:rPr>
            </w:pPr>
            <w:r>
              <w:rPr>
                <w:rFonts w:hint="eastAsia" w:ascii="仿宋" w:hAnsi="仿宋" w:eastAsia="仿宋" w:cs="仿宋"/>
                <w:color w:val="auto"/>
                <w:kern w:val="0"/>
                <w:sz w:val="20"/>
                <w:szCs w:val="20"/>
                <w:highlight w:val="none"/>
              </w:rPr>
              <w:t>1800</w:t>
            </w:r>
            <w:r>
              <w:rPr>
                <w:rFonts w:hint="eastAsia" w:ascii="仿宋" w:hAnsi="仿宋" w:eastAsia="仿宋" w:cs="仿宋"/>
                <w:color w:val="auto"/>
                <w:kern w:val="0"/>
                <w:sz w:val="20"/>
                <w:szCs w:val="20"/>
                <w:highlight w:val="none"/>
                <w:lang w:val="en-US" w:eastAsia="zh-CN"/>
              </w:rPr>
              <w:t>W</w:t>
            </w:r>
            <w:r>
              <w:rPr>
                <w:rFonts w:hint="eastAsia" w:ascii="仿宋" w:hAnsi="仿宋" w:eastAsia="仿宋" w:cs="仿宋"/>
                <w:color w:val="auto"/>
                <w:kern w:val="0"/>
                <w:sz w:val="20"/>
                <w:szCs w:val="20"/>
                <w:highlight w:val="none"/>
              </w:rPr>
              <w:t>*600</w:t>
            </w:r>
            <w:r>
              <w:rPr>
                <w:rFonts w:hint="eastAsia" w:ascii="仿宋" w:hAnsi="仿宋" w:eastAsia="仿宋" w:cs="仿宋"/>
                <w:color w:val="auto"/>
                <w:kern w:val="0"/>
                <w:sz w:val="20"/>
                <w:szCs w:val="20"/>
                <w:highlight w:val="none"/>
                <w:lang w:val="en-US" w:eastAsia="zh-CN"/>
              </w:rPr>
              <w:t>D</w:t>
            </w:r>
            <w:r>
              <w:rPr>
                <w:rFonts w:hint="eastAsia" w:ascii="仿宋" w:hAnsi="仿宋" w:eastAsia="仿宋" w:cs="仿宋"/>
                <w:color w:val="auto"/>
                <w:kern w:val="0"/>
                <w:sz w:val="20"/>
                <w:szCs w:val="20"/>
                <w:highlight w:val="none"/>
              </w:rPr>
              <w:t>*660</w:t>
            </w:r>
            <w:r>
              <w:rPr>
                <w:rFonts w:hint="eastAsia" w:ascii="仿宋" w:hAnsi="仿宋" w:eastAsia="仿宋" w:cs="仿宋"/>
                <w:color w:val="auto"/>
                <w:kern w:val="0"/>
                <w:sz w:val="20"/>
                <w:szCs w:val="20"/>
                <w:highlight w:val="none"/>
                <w:lang w:val="en-US" w:eastAsia="zh-CN"/>
              </w:rPr>
              <w:t>H</w:t>
            </w:r>
            <w:r>
              <w:rPr>
                <w:rFonts w:hint="eastAsia" w:ascii="仿宋" w:hAnsi="仿宋" w:eastAsia="仿宋" w:cs="仿宋"/>
                <w:color w:val="auto"/>
                <w:kern w:val="0"/>
                <w:sz w:val="20"/>
                <w:szCs w:val="20"/>
                <w:highlight w:val="none"/>
                <w:lang w:val="en-US"/>
              </w:rPr>
              <w:t>（mm）</w:t>
            </w:r>
          </w:p>
        </w:tc>
        <w:tc>
          <w:tcPr>
            <w:tcW w:w="858" w:type="dxa"/>
            <w:noWrap w:val="0"/>
            <w:vAlign w:val="center"/>
          </w:tcPr>
          <w:p>
            <w:pPr>
              <w:pStyle w:val="957"/>
              <w:ind w:left="2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rPr>
              <w:t xml:space="preserve">1 </w:t>
            </w:r>
            <w:r>
              <w:rPr>
                <w:rFonts w:hint="eastAsia" w:ascii="仿宋" w:hAnsi="仿宋" w:eastAsia="仿宋" w:cs="仿宋"/>
                <w:color w:val="auto"/>
                <w:sz w:val="24"/>
                <w:highlight w:val="none"/>
                <w:lang w:val="en-US" w:eastAsia="zh-CN"/>
              </w:rPr>
              <w:t>张</w:t>
            </w:r>
          </w:p>
        </w:tc>
        <w:tc>
          <w:tcPr>
            <w:tcW w:w="2432" w:type="dxa"/>
            <w:noWrap w:val="0"/>
            <w:vAlign w:val="center"/>
          </w:tcPr>
          <w:p>
            <w:pPr>
              <w:pStyle w:val="957"/>
              <w:ind w:left="2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具体材质说明详见招标清单描述</w:t>
            </w:r>
          </w:p>
        </w:tc>
      </w:tr>
    </w:tbl>
    <w:p>
      <w:pPr>
        <w:spacing w:line="360" w:lineRule="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eastAsia="zh-CN"/>
        </w:rPr>
        <w:t>注：</w:t>
      </w:r>
      <w:r>
        <w:rPr>
          <w:rFonts w:hint="eastAsia" w:ascii="仿宋" w:hAnsi="仿宋" w:eastAsia="仿宋" w:cs="仿宋"/>
          <w:b/>
          <w:bCs w:val="0"/>
          <w:color w:val="auto"/>
          <w:sz w:val="24"/>
          <w:highlight w:val="none"/>
        </w:rPr>
        <w:t>提供样品的</w:t>
      </w:r>
      <w:r>
        <w:rPr>
          <w:rFonts w:hint="eastAsia" w:ascii="仿宋" w:hAnsi="仿宋" w:eastAsia="仿宋" w:cs="仿宋"/>
          <w:b/>
          <w:bCs w:val="0"/>
          <w:color w:val="auto"/>
          <w:sz w:val="24"/>
          <w:highlight w:val="none"/>
          <w:lang w:eastAsia="zh-CN"/>
        </w:rPr>
        <w:t>时间地址详见前附表，如需提前送达请提前联系采购代理机构。</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二、商务要求：</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1、供货要求</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1.1投标人所供货物须符合国家的相关规定，且负责将所供货物送至采购人指定地点，并负责货物的安装、调试等。</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1.2产品安装所涉及的有关零配件均由投标人提供。</w:t>
      </w:r>
    </w:p>
    <w:p>
      <w:pPr>
        <w:numPr>
          <w:numId w:val="0"/>
        </w:num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报价要求</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2.1投标人所提供的货物、工程和服务均应以人民币报价，如同时以人民币及外币报价，以人民币报价为准。</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2.2投标人应按照招标文件采购需求的内容、责任范围以及合同条款进行报价，采购人不再支付除此之外的其它任何费用。</w:t>
      </w:r>
    </w:p>
    <w:p>
      <w:pPr>
        <w:numPr>
          <w:numId w:val="0"/>
        </w:num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交货及安装</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3.1交货时间：</w:t>
      </w:r>
      <w:r>
        <w:rPr>
          <w:rFonts w:hint="eastAsia" w:ascii="仿宋" w:hAnsi="仿宋" w:eastAsia="仿宋" w:cs="仿宋"/>
          <w:b/>
          <w:bCs w:val="0"/>
          <w:color w:val="auto"/>
          <w:sz w:val="24"/>
          <w:highlight w:val="yellow"/>
        </w:rPr>
        <w:t>合同生效之日起</w:t>
      </w:r>
      <w:r>
        <w:rPr>
          <w:rFonts w:hint="eastAsia" w:ascii="仿宋" w:hAnsi="仿宋" w:eastAsia="仿宋" w:cs="仿宋"/>
          <w:b/>
          <w:bCs w:val="0"/>
          <w:color w:val="auto"/>
          <w:sz w:val="24"/>
          <w:highlight w:val="yellow"/>
          <w:lang w:val="en-US" w:eastAsia="zh-CN"/>
        </w:rPr>
        <w:t>按采购人要求按时完成（1.2.5号楼家具要求在</w:t>
      </w:r>
      <w:r>
        <w:rPr>
          <w:rFonts w:hint="eastAsia" w:ascii="仿宋" w:hAnsi="仿宋" w:eastAsia="仿宋" w:cs="仿宋"/>
          <w:b/>
          <w:bCs w:val="0"/>
          <w:color w:val="auto"/>
          <w:sz w:val="24"/>
          <w:highlight w:val="yellow"/>
        </w:rPr>
        <w:t>合同生效之日</w:t>
      </w:r>
      <w:r>
        <w:rPr>
          <w:rFonts w:hint="eastAsia" w:ascii="仿宋" w:hAnsi="仿宋" w:eastAsia="仿宋" w:cs="仿宋"/>
          <w:b/>
          <w:bCs w:val="0"/>
          <w:color w:val="auto"/>
          <w:sz w:val="24"/>
          <w:highlight w:val="yellow"/>
          <w:lang w:val="en-US" w:eastAsia="zh-CN"/>
        </w:rPr>
        <w:t>15天内完成制作和安装；3.4号楼家具在接到甲方通知后30天内完成制作和安装）</w:t>
      </w:r>
      <w:r>
        <w:rPr>
          <w:rFonts w:hint="eastAsia" w:ascii="仿宋" w:hAnsi="仿宋" w:eastAsia="仿宋" w:cs="仿宋"/>
          <w:b/>
          <w:bCs w:val="0"/>
          <w:color w:val="auto"/>
          <w:sz w:val="24"/>
          <w:highlight w:val="yellow"/>
        </w:rPr>
        <w:t>，并经验收合格后交付采购人使用。</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3.2中标供应商必须严格按照项目技术要求进行安装，并接受采购人的监督管理。</w:t>
      </w:r>
    </w:p>
    <w:p>
      <w:pPr>
        <w:kinsoku w:val="0"/>
        <w:autoSpaceDE w:val="0"/>
        <w:autoSpaceDN w:val="0"/>
        <w:spacing w:line="360" w:lineRule="auto"/>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3.3所有货物必须在检验合格经采购人同意后，方可用于本项目。</w:t>
      </w:r>
    </w:p>
    <w:p>
      <w:pPr>
        <w:kinsoku w:val="0"/>
        <w:autoSpaceDE w:val="0"/>
        <w:autoSpaceDN w:val="0"/>
        <w:spacing w:line="360" w:lineRule="auto"/>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3.4采购人有权监督、检查、检验中标人的货物质量及安装质量进度，整改方案须经采购人认可后方能实施，中标供应商应把货物质量放在首位，加强技术管理和质量保证体系，严格认真地执行技术标准和规范。</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3.5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4、验收要求</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4.1验收以招标文件和技术文件、投标文件、合同及安装技术要求为依据。</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kinsoku w:val="0"/>
        <w:autoSpaceDE w:val="0"/>
        <w:autoSpaceDN w:val="0"/>
        <w:spacing w:line="360" w:lineRule="auto"/>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4.3验收必须符合国家、地方有关规范、标准及设计要求。</w:t>
      </w:r>
    </w:p>
    <w:p>
      <w:pPr>
        <w:kinsoku w:val="0"/>
        <w:autoSpaceDE w:val="0"/>
        <w:autoSpaceDN w:val="0"/>
        <w:spacing w:line="360" w:lineRule="auto"/>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4.4符合验收条件的，由采购人组织有关部门按照国家、地方有关规范、标准及设计要求进行验收。验收后中标供应商应按照验收中提出的意见整改。</w:t>
      </w:r>
    </w:p>
    <w:p>
      <w:pPr>
        <w:kinsoku w:val="0"/>
        <w:autoSpaceDE w:val="0"/>
        <w:autoSpaceDN w:val="0"/>
        <w:spacing w:line="360" w:lineRule="auto"/>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4.5整改完毕且复验合格后将本项目货物交给采购人使用，完成日期以通过复验日期为准。</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5、售后服务</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5.1投标人须提供经调试、验收合格后至少5年的质保期(投标人可根据自身实力作出更长时间的质保承诺)。在此期间，投标人应免费处理因质量发生的故障，并进行正常保养。</w:t>
      </w:r>
      <w:r>
        <w:rPr>
          <w:rFonts w:hint="eastAsia" w:ascii="仿宋" w:hAnsi="仿宋" w:eastAsia="仿宋" w:cs="仿宋"/>
          <w:bCs/>
          <w:color w:val="auto"/>
          <w:sz w:val="24"/>
          <w:highlight w:val="none"/>
          <w:lang w:val="en-US" w:eastAsia="zh-CN"/>
        </w:rPr>
        <w:t>若投标人未按约履行承诺，采购人可请第三方机构进行维修，维修期间产生的费用应有投标人承担。</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5.2中标人必须有可靠的售后服务保障，能提供正常的技术、备品备件服务。中标人在接到招标人通知后，6小时内派人赴现场解决质量问题。24小时内不能修复的，则无偿提供备件或备用零件供采购人使用。</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6、服务要求</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6.1保修期内，如出现故障，中标人在接到电话6小时内到达采购人指定地点，</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6.2中标人提供的货物，必须符合招标文件及其投标文件规定的要求，如有不符，采购人可以无条件退货，造成的损失由中标人承担。</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6.3中标人、供货人名称必须一致，否则作违约处理，其履约保证金不予退还。</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6.4中标人必须按照招标文件及其投标文件规定的时间要求完成供货和施工，如未按期完成，由中标单位按照中标总价的10%进行赔偿，因此造成的任何损失和损伤，一切责任由中标单位负责。</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6.5项目实施人员费用由中标人承担（费用包括但不限于选派专业人员的住宿、就餐和交通等。）</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7、付款方式</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项目根据财政资金拨款计划进行分期支付。按《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8、履约保证金：</w:t>
      </w:r>
      <w:r>
        <w:rPr>
          <w:rFonts w:hint="eastAsia" w:ascii="仿宋" w:hAnsi="仿宋" w:eastAsia="仿宋" w:cs="仿宋"/>
          <w:bCs/>
          <w:color w:val="auto"/>
          <w:sz w:val="24"/>
          <w:highlight w:val="none"/>
        </w:rPr>
        <w:t xml:space="preserve">履约保证金为中标价的1%，合同签订后缴纳，在项目验收合格后无任何质量问题后退还。 </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9、违约责任及奖罚</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9.1安装完成经验收，不能达到招标文件规定的“质量要求”，无偿返工，并扣除全部履约保证金，同时作违约论处。</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9.2不能在规定时间内完成货物供应及安装的，每逾期一天扣合同金额的0.1%。（非中标供应商原因除外）。</w:t>
      </w:r>
    </w:p>
    <w:p>
      <w:pPr>
        <w:spacing w:line="440" w:lineRule="exact"/>
        <w:ind w:right="42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9.3因中标供应商违约造成终止合同的，则扣除全部履约保证金，同时作违约论处。</w:t>
      </w:r>
      <w:r>
        <w:rPr>
          <w:rFonts w:hint="eastAsia" w:ascii="仿宋" w:hAnsi="仿宋" w:eastAsia="仿宋" w:cs="仿宋"/>
          <w:bCs/>
          <w:color w:val="auto"/>
          <w:sz w:val="24"/>
          <w:highlight w:val="none"/>
        </w:rPr>
        <w:cr/>
      </w:r>
      <w:r>
        <w:rPr>
          <w:rFonts w:hint="eastAsia" w:ascii="仿宋" w:hAnsi="仿宋" w:eastAsia="仿宋" w:cs="仿宋"/>
          <w:bCs/>
          <w:color w:val="auto"/>
          <w:sz w:val="24"/>
          <w:highlight w:val="none"/>
        </w:rPr>
        <w:t>9.4因采购人违约造成终止合同，采购人应退还中标供应商缴纳的履约保证金，同时支付给中标供应商履约保证金同等金额的违约金，但属执行国家行政指令造成的合同终止，不支付违约金。</w:t>
      </w:r>
    </w:p>
    <w:p>
      <w:pPr>
        <w:pStyle w:val="2"/>
        <w:rPr>
          <w:rFonts w:hint="eastAsia" w:ascii="仿宋" w:hAnsi="仿宋" w:eastAsia="仿宋" w:cs="仿宋"/>
          <w:bCs/>
          <w:color w:val="auto"/>
          <w:sz w:val="24"/>
          <w:highlight w:val="none"/>
        </w:rPr>
      </w:pPr>
    </w:p>
    <w:p>
      <w:pPr>
        <w:pStyle w:val="2"/>
        <w:rPr>
          <w:rFonts w:hint="eastAsia" w:ascii="仿宋" w:hAnsi="仿宋" w:eastAsia="仿宋" w:cs="仿宋"/>
          <w:bCs/>
          <w:color w:val="auto"/>
          <w:sz w:val="24"/>
          <w:highlight w:val="none"/>
        </w:rPr>
      </w:pPr>
    </w:p>
    <w:p>
      <w:pPr>
        <w:pStyle w:val="2"/>
        <w:rPr>
          <w:rFonts w:hint="eastAsia" w:ascii="仿宋" w:hAnsi="仿宋" w:eastAsia="仿宋" w:cs="仿宋"/>
          <w:bCs/>
          <w:color w:val="auto"/>
          <w:sz w:val="24"/>
          <w:highlight w:val="none"/>
        </w:rPr>
      </w:pPr>
    </w:p>
    <w:p>
      <w:pPr>
        <w:spacing w:line="360" w:lineRule="auto"/>
        <w:ind w:left="720" w:leftChars="343" w:firstLine="1084" w:firstLineChars="300"/>
        <w:jc w:val="center"/>
        <w:outlineLvl w:val="0"/>
        <w:rPr>
          <w:rFonts w:hint="eastAsia" w:ascii="仿宋" w:hAnsi="仿宋" w:eastAsia="仿宋" w:cs="仿宋"/>
          <w:b/>
          <w:color w:val="auto"/>
          <w:sz w:val="36"/>
          <w:szCs w:val="36"/>
          <w:highlight w:val="none"/>
          <w:lang w:eastAsia="zh-CN"/>
        </w:rPr>
      </w:pPr>
    </w:p>
    <w:p>
      <w:pPr>
        <w:spacing w:line="360" w:lineRule="auto"/>
        <w:ind w:left="720" w:leftChars="343" w:firstLine="1084" w:firstLineChars="300"/>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3"/>
        <w:ind w:left="0" w:leftChars="0" w:firstLine="0" w:firstLineChars="0"/>
        <w:rPr>
          <w:rFonts w:hint="eastAsia" w:ascii="仿宋" w:hAnsi="仿宋" w:eastAsia="仿宋" w:cs="仿宋"/>
          <w:color w:val="auto"/>
          <w:szCs w:val="24"/>
          <w:highlight w:val="none"/>
        </w:rPr>
      </w:pPr>
    </w:p>
    <w:p>
      <w:pPr>
        <w:pStyle w:val="703"/>
        <w:jc w:val="center"/>
        <w:rPr>
          <w:rFonts w:hint="eastAsia" w:ascii="仿宋" w:hAnsi="仿宋" w:eastAsia="仿宋" w:cs="仿宋"/>
          <w:color w:val="auto"/>
          <w:szCs w:val="24"/>
          <w:highlight w:val="none"/>
        </w:rPr>
      </w:pPr>
    </w:p>
    <w:p>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3"/>
        <w:rPr>
          <w:rFonts w:hint="eastAsia" w:ascii="仿宋" w:hAnsi="仿宋" w:eastAsia="仿宋" w:cs="仿宋"/>
          <w:color w:val="auto"/>
          <w:szCs w:val="24"/>
          <w:highlight w:val="none"/>
        </w:rPr>
      </w:pPr>
    </w:p>
    <w:p>
      <w:pPr>
        <w:pStyle w:val="703"/>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0"/>
        <w:spacing w:before="120" w:line="22" w:lineRule="atLeast"/>
        <w:rPr>
          <w:rFonts w:hint="eastAsia" w:ascii="仿宋" w:hAnsi="仿宋" w:eastAsia="仿宋" w:cs="仿宋"/>
          <w:color w:val="auto"/>
          <w:szCs w:val="24"/>
          <w:highlight w:val="none"/>
        </w:rPr>
      </w:pPr>
    </w:p>
    <w:p>
      <w:pPr>
        <w:pStyle w:val="600"/>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43" w:name="_Toc24059"/>
      <w:bookmarkStart w:id="44" w:name="_Toc2232"/>
      <w:bookmarkStart w:id="45" w:name="_Toc3029"/>
      <w:r>
        <w:rPr>
          <w:rFonts w:hint="eastAsia" w:ascii="仿宋" w:hAnsi="仿宋" w:eastAsia="仿宋" w:cs="仿宋"/>
          <w:b/>
          <w:color w:val="auto"/>
          <w:sz w:val="24"/>
          <w:highlight w:val="none"/>
        </w:rPr>
        <w:t>1.1 合同组成部分</w:t>
      </w:r>
      <w:bookmarkEnd w:id="43"/>
      <w:bookmarkEnd w:id="44"/>
      <w:bookmarkEnd w:id="4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46" w:name="_Toc24300"/>
      <w:bookmarkStart w:id="47" w:name="_Toc21295"/>
      <w:bookmarkStart w:id="48" w:name="_Toc27126"/>
      <w:r>
        <w:rPr>
          <w:rFonts w:hint="eastAsia" w:ascii="仿宋" w:hAnsi="仿宋" w:eastAsia="仿宋" w:cs="仿宋"/>
          <w:b/>
          <w:color w:val="auto"/>
          <w:sz w:val="24"/>
          <w:highlight w:val="none"/>
        </w:rPr>
        <w:t>1.2 货物</w:t>
      </w:r>
      <w:bookmarkEnd w:id="46"/>
      <w:bookmarkEnd w:id="47"/>
      <w:bookmarkEnd w:id="48"/>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hint="eastAsia" w:ascii="仿宋" w:hAnsi="仿宋" w:eastAsia="仿宋" w:cs="仿宋"/>
          <w:b/>
          <w:color w:val="auto"/>
          <w:sz w:val="24"/>
          <w:highlight w:val="none"/>
        </w:rPr>
      </w:pPr>
      <w:bookmarkStart w:id="49" w:name="_Toc21631"/>
      <w:bookmarkStart w:id="50" w:name="_Toc21551"/>
      <w:bookmarkStart w:id="51" w:name="_Toc23292"/>
      <w:r>
        <w:rPr>
          <w:rFonts w:hint="eastAsia" w:ascii="仿宋" w:hAnsi="仿宋" w:eastAsia="仿宋" w:cs="仿宋"/>
          <w:b/>
          <w:color w:val="auto"/>
          <w:sz w:val="24"/>
          <w:highlight w:val="none"/>
        </w:rPr>
        <w:t>1.3 价款</w:t>
      </w:r>
      <w:bookmarkEnd w:id="49"/>
      <w:bookmarkEnd w:id="50"/>
      <w:bookmarkEnd w:id="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r>
    </w:tbl>
    <w:p>
      <w:pPr>
        <w:pStyle w:val="960"/>
        <w:spacing w:before="0" w:beforeAutospacing="0" w:after="0" w:afterAutospacing="0" w:line="360" w:lineRule="auto"/>
        <w:ind w:firstLine="480"/>
        <w:rPr>
          <w:rFonts w:hint="eastAsia" w:ascii="仿宋" w:hAnsi="仿宋" w:eastAsia="仿宋" w:cs="仿宋"/>
          <w:b/>
          <w:color w:val="auto"/>
          <w:highlight w:val="none"/>
        </w:rPr>
      </w:pPr>
      <w:bookmarkStart w:id="52" w:name="_Toc22618"/>
      <w:bookmarkStart w:id="53" w:name="_Toc1814"/>
      <w:bookmarkStart w:id="54" w:name="_Toc10340"/>
      <w:r>
        <w:rPr>
          <w:rFonts w:hint="eastAsia" w:ascii="仿宋" w:hAnsi="仿宋" w:eastAsia="仿宋" w:cs="仿宋"/>
          <w:b/>
          <w:color w:val="auto"/>
          <w:highlight w:val="none"/>
        </w:rPr>
        <w:t>1.4履约保证金</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2"/>
      <w:bookmarkEnd w:id="53"/>
      <w:bookmarkEnd w:id="54"/>
      <w:r>
        <w:rPr>
          <w:rFonts w:hint="eastAsia" w:ascii="仿宋" w:hAnsi="仿宋" w:eastAsia="仿宋" w:cs="仿宋"/>
          <w:b/>
          <w:color w:val="auto"/>
          <w:sz w:val="24"/>
          <w:highlight w:val="none"/>
        </w:rPr>
        <w:t>预付款</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5" w:name="_Toc2846"/>
      <w:bookmarkStart w:id="56" w:name="_Toc19304"/>
      <w:bookmarkStart w:id="57" w:name="_Toc32071"/>
      <w:r>
        <w:rPr>
          <w:rFonts w:hint="eastAsia" w:ascii="仿宋" w:hAnsi="仿宋" w:eastAsia="仿宋" w:cs="仿宋"/>
          <w:b/>
          <w:color w:val="auto"/>
          <w:sz w:val="24"/>
          <w:highlight w:val="none"/>
        </w:rPr>
        <w:t>1.7货物交付期限、地点和方式</w:t>
      </w:r>
      <w:bookmarkEnd w:id="55"/>
      <w:bookmarkEnd w:id="56"/>
      <w:bookmarkEnd w:id="57"/>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8" w:name="_Toc21423"/>
      <w:bookmarkStart w:id="59" w:name="_Toc27250"/>
      <w:bookmarkStart w:id="60" w:name="_Toc19554"/>
      <w:r>
        <w:rPr>
          <w:rFonts w:hint="eastAsia" w:ascii="仿宋" w:hAnsi="仿宋" w:eastAsia="仿宋" w:cs="仿宋"/>
          <w:b/>
          <w:color w:val="auto"/>
          <w:sz w:val="24"/>
          <w:highlight w:val="none"/>
        </w:rPr>
        <w:t>1.8违约责任</w:t>
      </w:r>
      <w:bookmarkEnd w:id="58"/>
      <w:bookmarkEnd w:id="59"/>
      <w:bookmarkEnd w:id="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61" w:name="_Toc16021"/>
      <w:bookmarkStart w:id="62" w:name="_Toc15583"/>
      <w:bookmarkStart w:id="63" w:name="_Toc28375"/>
      <w:r>
        <w:rPr>
          <w:rFonts w:hint="eastAsia" w:ascii="仿宋" w:hAnsi="仿宋" w:eastAsia="仿宋" w:cs="仿宋"/>
          <w:b/>
          <w:color w:val="auto"/>
          <w:sz w:val="24"/>
          <w:highlight w:val="none"/>
        </w:rPr>
        <w:t>1.9合同争议的解决</w:t>
      </w:r>
      <w:bookmarkEnd w:id="61"/>
      <w:bookmarkEnd w:id="62"/>
      <w:bookmarkEnd w:id="63"/>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64" w:name="_Toc15322"/>
      <w:bookmarkStart w:id="65" w:name="_Toc11173"/>
      <w:bookmarkStart w:id="66" w:name="_Toc7245"/>
      <w:r>
        <w:rPr>
          <w:rFonts w:hint="eastAsia" w:ascii="仿宋" w:hAnsi="仿宋" w:eastAsia="仿宋" w:cs="仿宋"/>
          <w:b/>
          <w:color w:val="auto"/>
          <w:sz w:val="24"/>
          <w:highlight w:val="none"/>
        </w:rPr>
        <w:t>2.0 合同生效</w:t>
      </w:r>
      <w:bookmarkEnd w:id="64"/>
      <w:bookmarkEnd w:id="65"/>
      <w:bookmarkEnd w:id="66"/>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67" w:name="_Toc259093669"/>
      <w:bookmarkStart w:id="68" w:name="_Ref467379094"/>
      <w:bookmarkStart w:id="69" w:name="_Ref467379214"/>
      <w:bookmarkStart w:id="70" w:name="_Ref467379195"/>
      <w:bookmarkStart w:id="71" w:name="_Toc279701240"/>
      <w:bookmarkStart w:id="72" w:name="_Toc19614"/>
      <w:bookmarkStart w:id="73" w:name="_Ref467378463"/>
      <w:bookmarkStart w:id="74" w:name="_Ref467379101"/>
      <w:bookmarkStart w:id="75" w:name="_Ref467379225"/>
      <w:bookmarkStart w:id="76" w:name="_Ref467378404"/>
      <w:bookmarkStart w:id="77" w:name="_Toc28763"/>
      <w:bookmarkStart w:id="78" w:name="_Ref467379205"/>
      <w:bookmarkStart w:id="79" w:name="_Ref467378499"/>
      <w:bookmarkStart w:id="80" w:name="_Ref467379109"/>
      <w:bookmarkStart w:id="81" w:name="_Toc487900349"/>
      <w:bookmarkStart w:id="82" w:name="_Toc16917"/>
      <w:r>
        <w:rPr>
          <w:rFonts w:hint="eastAsia" w:ascii="仿宋" w:hAnsi="仿宋" w:eastAsia="仿宋" w:cs="仿宋"/>
          <w:b/>
          <w:color w:val="auto"/>
          <w:sz w:val="24"/>
          <w:highlight w:val="none"/>
        </w:rPr>
        <w:t>2.1 定义</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83" w:name="_Ref467378840"/>
      <w:r>
        <w:rPr>
          <w:rFonts w:hint="eastAsia" w:ascii="仿宋" w:hAnsi="仿宋" w:eastAsia="仿宋" w:cs="仿宋"/>
          <w:color w:val="auto"/>
          <w:sz w:val="24"/>
          <w:highlight w:val="none"/>
        </w:rPr>
        <w:t>2.1.4 “甲方”系指与中标或成交供应商签署合同的采购人</w:t>
      </w:r>
      <w:bookmarkEnd w:id="83"/>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bookmarkStart w:id="84" w:name="_Ref467379400"/>
      <w:r>
        <w:rPr>
          <w:rFonts w:hint="eastAsia" w:ascii="仿宋" w:hAnsi="仿宋" w:eastAsia="仿宋" w:cs="仿宋"/>
          <w:color w:val="auto"/>
          <w:sz w:val="24"/>
          <w:highlight w:val="none"/>
        </w:rPr>
        <w:t>2.1.5 “乙方”系指根据合同约定交付货物的中标或成交供应商</w:t>
      </w:r>
      <w:bookmarkEnd w:id="84"/>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85" w:name="_Ref467379436"/>
      <w:r>
        <w:rPr>
          <w:rFonts w:hint="eastAsia" w:ascii="仿宋" w:hAnsi="仿宋" w:eastAsia="仿宋" w:cs="仿宋"/>
          <w:color w:val="auto"/>
          <w:sz w:val="24"/>
          <w:highlight w:val="none"/>
        </w:rPr>
        <w:t>2.1.6 “现场”系指合同约定货物将要运至或者安装的地点。</w:t>
      </w:r>
      <w:bookmarkEnd w:id="85"/>
    </w:p>
    <w:p>
      <w:pPr>
        <w:spacing w:line="560" w:lineRule="exact"/>
        <w:ind w:firstLine="482" w:firstLineChars="200"/>
        <w:outlineLvl w:val="0"/>
        <w:rPr>
          <w:rFonts w:hint="eastAsia" w:ascii="仿宋" w:hAnsi="仿宋" w:eastAsia="仿宋" w:cs="仿宋"/>
          <w:b/>
          <w:color w:val="auto"/>
          <w:sz w:val="24"/>
          <w:highlight w:val="none"/>
        </w:rPr>
      </w:pPr>
      <w:bookmarkStart w:id="86" w:name="_Toc27635"/>
      <w:bookmarkStart w:id="87" w:name="_Toc32504"/>
      <w:bookmarkStart w:id="88" w:name="_Toc487900350"/>
      <w:bookmarkStart w:id="89" w:name="_Toc259093670"/>
      <w:bookmarkStart w:id="90" w:name="_Toc279701241"/>
      <w:bookmarkStart w:id="91" w:name="_Toc13336"/>
      <w:r>
        <w:rPr>
          <w:rFonts w:hint="eastAsia" w:ascii="仿宋" w:hAnsi="仿宋" w:eastAsia="仿宋" w:cs="仿宋"/>
          <w:b/>
          <w:color w:val="auto"/>
          <w:sz w:val="24"/>
          <w:highlight w:val="none"/>
        </w:rPr>
        <w:t>2.2 技术规范</w:t>
      </w:r>
      <w:bookmarkEnd w:id="86"/>
      <w:bookmarkEnd w:id="87"/>
      <w:bookmarkEnd w:id="88"/>
      <w:bookmarkEnd w:id="89"/>
      <w:bookmarkEnd w:id="90"/>
      <w:bookmarkEnd w:id="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2" w:name="_Toc279701242"/>
      <w:bookmarkStart w:id="93" w:name="_Toc27853"/>
      <w:bookmarkStart w:id="94" w:name="_Toc31634"/>
      <w:bookmarkStart w:id="95" w:name="_Toc487900351"/>
      <w:bookmarkStart w:id="96" w:name="_Toc259093671"/>
      <w:bookmarkStart w:id="97" w:name="_Toc9829"/>
      <w:r>
        <w:rPr>
          <w:rFonts w:hint="eastAsia" w:ascii="仿宋" w:hAnsi="仿宋" w:eastAsia="仿宋" w:cs="仿宋"/>
          <w:b/>
          <w:color w:val="auto"/>
          <w:sz w:val="24"/>
          <w:highlight w:val="none"/>
        </w:rPr>
        <w:t>2.3 知识产权</w:t>
      </w:r>
      <w:bookmarkEnd w:id="92"/>
      <w:bookmarkEnd w:id="93"/>
      <w:bookmarkEnd w:id="94"/>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8" w:name="_Toc4194"/>
      <w:bookmarkStart w:id="99" w:name="_Toc11932"/>
      <w:bookmarkStart w:id="100" w:name="_Toc29149"/>
      <w:r>
        <w:rPr>
          <w:rFonts w:hint="eastAsia" w:ascii="仿宋" w:hAnsi="仿宋" w:eastAsia="仿宋" w:cs="仿宋"/>
          <w:b/>
          <w:color w:val="auto"/>
          <w:sz w:val="24"/>
          <w:highlight w:val="none"/>
        </w:rPr>
        <w:t>2.4 包装和装运</w:t>
      </w:r>
      <w:bookmarkEnd w:id="98"/>
      <w:bookmarkEnd w:id="99"/>
      <w:bookmarkEnd w:id="10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1" w:name="_Ref467378591"/>
      <w:bookmarkStart w:id="102" w:name="_Toc259093674"/>
      <w:bookmarkStart w:id="103" w:name="_Ref467379542"/>
      <w:bookmarkStart w:id="104" w:name="_Ref467378541"/>
      <w:bookmarkStart w:id="105" w:name="_Toc279701245"/>
      <w:bookmarkStart w:id="106" w:name="_Ref467379536"/>
      <w:bookmarkStart w:id="107" w:name="_Ref467379527"/>
      <w:bookmarkStart w:id="108" w:name="_Toc487900354"/>
      <w:bookmarkStart w:id="109" w:name="_Toc30272"/>
      <w:bookmarkStart w:id="110" w:name="_Toc26182"/>
      <w:bookmarkStart w:id="111" w:name="_Toc19074"/>
      <w:r>
        <w:rPr>
          <w:rFonts w:hint="eastAsia" w:ascii="仿宋" w:hAnsi="仿宋" w:eastAsia="仿宋" w:cs="仿宋"/>
          <w:b/>
          <w:color w:val="auto"/>
          <w:sz w:val="24"/>
          <w:highlight w:val="none"/>
        </w:rPr>
        <w:t>2.</w:t>
      </w:r>
      <w:bookmarkEnd w:id="101"/>
      <w:bookmarkEnd w:id="102"/>
      <w:bookmarkEnd w:id="103"/>
      <w:bookmarkEnd w:id="104"/>
      <w:bookmarkEnd w:id="105"/>
      <w:bookmarkEnd w:id="106"/>
      <w:bookmarkEnd w:id="107"/>
      <w:bookmarkEnd w:id="108"/>
      <w:r>
        <w:rPr>
          <w:rFonts w:hint="eastAsia" w:ascii="仿宋" w:hAnsi="仿宋" w:eastAsia="仿宋" w:cs="仿宋"/>
          <w:b/>
          <w:color w:val="auto"/>
          <w:sz w:val="24"/>
          <w:highlight w:val="none"/>
        </w:rPr>
        <w:t>5 履约检查和问题反馈</w:t>
      </w:r>
      <w:bookmarkEnd w:id="109"/>
      <w:bookmarkEnd w:id="110"/>
      <w:bookmarkEnd w:id="111"/>
    </w:p>
    <w:p>
      <w:pPr>
        <w:spacing w:line="560" w:lineRule="exact"/>
        <w:ind w:firstLine="480" w:firstLineChars="200"/>
        <w:rPr>
          <w:rFonts w:hint="eastAsia" w:ascii="仿宋" w:hAnsi="仿宋" w:eastAsia="仿宋" w:cs="仿宋"/>
          <w:color w:val="auto"/>
          <w:sz w:val="24"/>
          <w:highlight w:val="none"/>
        </w:rPr>
      </w:pPr>
      <w:bookmarkStart w:id="112" w:name="_Ref467379657"/>
      <w:r>
        <w:rPr>
          <w:rFonts w:hint="eastAsia" w:ascii="仿宋" w:hAnsi="仿宋" w:eastAsia="仿宋" w:cs="仿宋"/>
          <w:color w:val="auto"/>
          <w:sz w:val="24"/>
          <w:highlight w:val="none"/>
        </w:rPr>
        <w:t>2.5.1</w:t>
      </w:r>
      <w:bookmarkEnd w:id="112"/>
      <w:bookmarkStart w:id="113" w:name="_Toc186431854"/>
      <w:bookmarkStart w:id="114" w:name="_Toc259093676"/>
      <w:bookmarkStart w:id="115" w:name="_Toc279701247"/>
      <w:bookmarkStart w:id="116" w:name="_Ref467379793"/>
      <w:bookmarkStart w:id="117" w:name="_Ref467379807"/>
      <w:bookmarkStart w:id="118"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3"/>
      <w:bookmarkStart w:id="119" w:name="_Toc186431855"/>
      <w:r>
        <w:rPr>
          <w:rFonts w:hint="eastAsia" w:ascii="仿宋" w:hAnsi="仿宋" w:eastAsia="仿宋" w:cs="仿宋"/>
          <w:color w:val="auto"/>
          <w:sz w:val="24"/>
          <w:highlight w:val="none"/>
        </w:rPr>
        <w:t>。</w:t>
      </w:r>
    </w:p>
    <w:bookmarkEnd w:id="114"/>
    <w:bookmarkEnd w:id="115"/>
    <w:bookmarkEnd w:id="116"/>
    <w:bookmarkEnd w:id="117"/>
    <w:bookmarkEnd w:id="118"/>
    <w:bookmarkEnd w:id="119"/>
    <w:p>
      <w:pPr>
        <w:spacing w:line="560" w:lineRule="exact"/>
        <w:ind w:firstLine="482" w:firstLineChars="200"/>
        <w:outlineLvl w:val="0"/>
        <w:rPr>
          <w:rFonts w:hint="eastAsia" w:ascii="仿宋" w:hAnsi="仿宋" w:eastAsia="仿宋" w:cs="仿宋"/>
          <w:b/>
          <w:color w:val="auto"/>
          <w:sz w:val="24"/>
          <w:highlight w:val="none"/>
        </w:rPr>
      </w:pPr>
      <w:bookmarkStart w:id="120" w:name="_Toc487900358"/>
      <w:bookmarkStart w:id="121" w:name="_Ref467379863"/>
      <w:bookmarkStart w:id="122" w:name="_Toc259093677"/>
      <w:bookmarkStart w:id="123" w:name="_Ref467379852"/>
      <w:bookmarkStart w:id="124" w:name="_Toc279701248"/>
      <w:bookmarkStart w:id="125" w:name="_Ref467379923"/>
      <w:bookmarkStart w:id="126" w:name="_Toc3225"/>
      <w:bookmarkStart w:id="127" w:name="_Toc774"/>
      <w:bookmarkStart w:id="128" w:name="_Toc16110"/>
      <w:r>
        <w:rPr>
          <w:rFonts w:hint="eastAsia" w:ascii="仿宋" w:hAnsi="仿宋" w:eastAsia="仿宋" w:cs="仿宋"/>
          <w:b/>
          <w:color w:val="auto"/>
          <w:sz w:val="24"/>
          <w:highlight w:val="none"/>
        </w:rPr>
        <w:t>2.6 技术资料</w:t>
      </w:r>
      <w:bookmarkEnd w:id="120"/>
      <w:bookmarkEnd w:id="121"/>
      <w:bookmarkEnd w:id="122"/>
      <w:bookmarkEnd w:id="123"/>
      <w:bookmarkEnd w:id="124"/>
      <w:bookmarkEnd w:id="125"/>
      <w:r>
        <w:rPr>
          <w:rFonts w:hint="eastAsia" w:ascii="仿宋" w:hAnsi="仿宋" w:eastAsia="仿宋" w:cs="仿宋"/>
          <w:b/>
          <w:color w:val="auto"/>
          <w:sz w:val="24"/>
          <w:highlight w:val="none"/>
        </w:rPr>
        <w:t>和保密义务</w:t>
      </w:r>
      <w:bookmarkEnd w:id="126"/>
      <w:bookmarkEnd w:id="127"/>
      <w:bookmarkEnd w:id="12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29" w:name="_Toc7860"/>
      <w:r>
        <w:rPr>
          <w:rFonts w:hint="eastAsia" w:ascii="仿宋" w:hAnsi="仿宋" w:eastAsia="仿宋" w:cs="仿宋"/>
          <w:b/>
          <w:color w:val="auto"/>
          <w:sz w:val="24"/>
          <w:highlight w:val="none"/>
        </w:rPr>
        <w:t>2.7 质量保证</w:t>
      </w:r>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30" w:name="_Toc17244"/>
      <w:bookmarkStart w:id="131" w:name="_Toc279701252"/>
      <w:bookmarkStart w:id="132" w:name="_Toc259093681"/>
      <w:bookmarkStart w:id="133" w:name="_Toc487900362"/>
      <w:r>
        <w:rPr>
          <w:rFonts w:hint="eastAsia" w:ascii="仿宋" w:hAnsi="仿宋" w:eastAsia="仿宋" w:cs="仿宋"/>
          <w:b/>
          <w:color w:val="auto"/>
          <w:sz w:val="24"/>
          <w:highlight w:val="none"/>
        </w:rPr>
        <w:t>2.8 货物的风险负担</w:t>
      </w:r>
      <w:bookmarkEnd w:id="130"/>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4" w:name="_Toc14055"/>
      <w:r>
        <w:rPr>
          <w:rFonts w:hint="eastAsia" w:ascii="仿宋" w:hAnsi="仿宋" w:eastAsia="仿宋" w:cs="仿宋"/>
          <w:b/>
          <w:color w:val="auto"/>
          <w:sz w:val="24"/>
          <w:highlight w:val="none"/>
        </w:rPr>
        <w:t>2.9 延迟交货</w:t>
      </w:r>
      <w:bookmarkEnd w:id="131"/>
      <w:bookmarkEnd w:id="132"/>
      <w:bookmarkEnd w:id="133"/>
      <w:bookmarkEnd w:id="13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35" w:name="_Toc7502"/>
      <w:bookmarkStart w:id="136" w:name="_Ref467378121"/>
      <w:bookmarkStart w:id="137" w:name="_Toc487900364"/>
      <w:bookmarkStart w:id="138" w:name="_Toc259093683"/>
      <w:bookmarkStart w:id="139" w:name="_Toc279701254"/>
      <w:r>
        <w:rPr>
          <w:rFonts w:hint="eastAsia" w:ascii="仿宋" w:hAnsi="仿宋" w:eastAsia="仿宋" w:cs="仿宋"/>
          <w:b/>
          <w:color w:val="auto"/>
          <w:sz w:val="24"/>
          <w:highlight w:val="none"/>
        </w:rPr>
        <w:t>2.10 合同变更</w:t>
      </w:r>
      <w:bookmarkEnd w:id="13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0" w:name="_Toc487900369"/>
      <w:bookmarkStart w:id="141" w:name="_Toc279701259"/>
      <w:bookmarkStart w:id="142" w:name="_Toc259093688"/>
    </w:p>
    <w:p>
      <w:pPr>
        <w:spacing w:line="560" w:lineRule="exact"/>
        <w:ind w:firstLine="482" w:firstLineChars="200"/>
        <w:outlineLvl w:val="0"/>
        <w:rPr>
          <w:rFonts w:hint="eastAsia" w:ascii="仿宋" w:hAnsi="仿宋" w:eastAsia="仿宋" w:cs="仿宋"/>
          <w:b/>
          <w:color w:val="auto"/>
          <w:sz w:val="24"/>
          <w:highlight w:val="none"/>
        </w:rPr>
      </w:pPr>
      <w:bookmarkStart w:id="143" w:name="_Toc22955"/>
      <w:bookmarkStart w:id="144" w:name="_Toc10366"/>
      <w:bookmarkStart w:id="145" w:name="_Toc15237"/>
      <w:r>
        <w:rPr>
          <w:rFonts w:hint="eastAsia" w:ascii="仿宋" w:hAnsi="仿宋" w:eastAsia="仿宋" w:cs="仿宋"/>
          <w:b/>
          <w:color w:val="auto"/>
          <w:sz w:val="24"/>
          <w:highlight w:val="none"/>
        </w:rPr>
        <w:t>2.11 合同转让</w:t>
      </w:r>
      <w:bookmarkEnd w:id="140"/>
      <w:bookmarkEnd w:id="141"/>
      <w:bookmarkEnd w:id="142"/>
      <w:r>
        <w:rPr>
          <w:rFonts w:hint="eastAsia" w:ascii="仿宋" w:hAnsi="仿宋" w:eastAsia="仿宋" w:cs="仿宋"/>
          <w:b/>
          <w:color w:val="auto"/>
          <w:sz w:val="24"/>
          <w:highlight w:val="none"/>
        </w:rPr>
        <w:t>和分包</w:t>
      </w:r>
      <w:bookmarkEnd w:id="143"/>
      <w:bookmarkEnd w:id="144"/>
      <w:bookmarkEnd w:id="14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46" w:name="_Toc14066"/>
      <w:bookmarkStart w:id="147" w:name="_Toc16508"/>
      <w:bookmarkStart w:id="148" w:name="_Toc13566"/>
      <w:r>
        <w:rPr>
          <w:rFonts w:hint="eastAsia" w:ascii="仿宋" w:hAnsi="仿宋" w:eastAsia="仿宋" w:cs="仿宋"/>
          <w:b/>
          <w:color w:val="auto"/>
          <w:sz w:val="24"/>
          <w:highlight w:val="none"/>
        </w:rPr>
        <w:t>2.12 不可抗力</w:t>
      </w:r>
      <w:bookmarkEnd w:id="146"/>
      <w:bookmarkEnd w:id="147"/>
      <w:bookmarkEnd w:id="14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49" w:name="_Toc279701255"/>
      <w:bookmarkStart w:id="150" w:name="_Toc487900365"/>
      <w:bookmarkStart w:id="151" w:name="_Toc6969"/>
      <w:bookmarkStart w:id="152" w:name="_Toc30676"/>
      <w:bookmarkStart w:id="153" w:name="_Toc259093684"/>
      <w:bookmarkStart w:id="154" w:name="_Toc689"/>
      <w:r>
        <w:rPr>
          <w:rFonts w:hint="eastAsia" w:ascii="仿宋" w:hAnsi="仿宋" w:eastAsia="仿宋" w:cs="仿宋"/>
          <w:b/>
          <w:color w:val="auto"/>
          <w:sz w:val="24"/>
          <w:highlight w:val="none"/>
        </w:rPr>
        <w:t>2.13 税费</w:t>
      </w:r>
      <w:bookmarkEnd w:id="149"/>
      <w:bookmarkEnd w:id="150"/>
      <w:bookmarkEnd w:id="151"/>
      <w:bookmarkEnd w:id="152"/>
      <w:bookmarkEnd w:id="153"/>
      <w:bookmarkEnd w:id="15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55" w:name="_Toc487900368"/>
      <w:bookmarkStart w:id="156" w:name="_Toc7102"/>
      <w:bookmarkStart w:id="157" w:name="_Toc8298"/>
      <w:bookmarkStart w:id="158" w:name="_Toc16959"/>
      <w:bookmarkStart w:id="159" w:name="_Toc279701258"/>
      <w:bookmarkStart w:id="160" w:name="_Toc259093687"/>
      <w:r>
        <w:rPr>
          <w:rFonts w:hint="eastAsia" w:ascii="仿宋" w:hAnsi="仿宋" w:eastAsia="仿宋" w:cs="仿宋"/>
          <w:b/>
          <w:color w:val="auto"/>
          <w:sz w:val="24"/>
          <w:highlight w:val="none"/>
        </w:rPr>
        <w:t>2.14乙方破产</w:t>
      </w:r>
      <w:bookmarkEnd w:id="155"/>
      <w:bookmarkEnd w:id="156"/>
      <w:bookmarkEnd w:id="157"/>
      <w:bookmarkEnd w:id="158"/>
      <w:bookmarkEnd w:id="159"/>
      <w:bookmarkEnd w:id="1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61" w:name="_Toc29333"/>
      <w:bookmarkStart w:id="162" w:name="_Toc15387"/>
      <w:bookmarkStart w:id="163" w:name="_Toc6134"/>
      <w:r>
        <w:rPr>
          <w:rFonts w:hint="eastAsia" w:ascii="仿宋" w:hAnsi="仿宋" w:eastAsia="仿宋" w:cs="仿宋"/>
          <w:b/>
          <w:color w:val="auto"/>
          <w:sz w:val="24"/>
          <w:highlight w:val="none"/>
        </w:rPr>
        <w:t>2.15 合同中止、终止</w:t>
      </w:r>
      <w:bookmarkEnd w:id="161"/>
      <w:bookmarkEnd w:id="162"/>
      <w:bookmarkEnd w:id="16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64" w:name="_Toc1125"/>
      <w:bookmarkStart w:id="165" w:name="_Toc14563"/>
      <w:bookmarkStart w:id="166" w:name="_Toc6596"/>
      <w:r>
        <w:rPr>
          <w:rFonts w:hint="eastAsia" w:ascii="仿宋" w:hAnsi="仿宋" w:eastAsia="仿宋" w:cs="仿宋"/>
          <w:b/>
          <w:color w:val="auto"/>
          <w:sz w:val="24"/>
          <w:highlight w:val="none"/>
        </w:rPr>
        <w:t>2.16检验和验收</w:t>
      </w:r>
      <w:bookmarkEnd w:id="164"/>
      <w:bookmarkEnd w:id="165"/>
      <w:bookmarkEnd w:id="166"/>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6"/>
    <w:bookmarkEnd w:id="137"/>
    <w:bookmarkEnd w:id="138"/>
    <w:bookmarkEnd w:id="139"/>
    <w:p>
      <w:pPr>
        <w:spacing w:line="560" w:lineRule="exact"/>
        <w:ind w:firstLine="482" w:firstLineChars="200"/>
        <w:outlineLvl w:val="0"/>
        <w:rPr>
          <w:rFonts w:hint="eastAsia" w:ascii="仿宋" w:hAnsi="仿宋" w:eastAsia="仿宋" w:cs="仿宋"/>
          <w:b/>
          <w:color w:val="auto"/>
          <w:sz w:val="24"/>
          <w:highlight w:val="none"/>
        </w:rPr>
      </w:pPr>
      <w:bookmarkStart w:id="167" w:name="_Toc259093690"/>
      <w:bookmarkStart w:id="168" w:name="_Toc487900371"/>
      <w:bookmarkStart w:id="169" w:name="_Toc279701261"/>
      <w:bookmarkStart w:id="170" w:name="_Toc19604"/>
      <w:bookmarkStart w:id="171" w:name="_Toc25182"/>
      <w:bookmarkStart w:id="172" w:name="_Toc11284"/>
      <w:r>
        <w:rPr>
          <w:rFonts w:hint="eastAsia" w:ascii="仿宋" w:hAnsi="仿宋" w:eastAsia="仿宋" w:cs="仿宋"/>
          <w:b/>
          <w:color w:val="auto"/>
          <w:sz w:val="24"/>
          <w:highlight w:val="none"/>
        </w:rPr>
        <w:t>2.17 通知</w:t>
      </w:r>
      <w:bookmarkEnd w:id="167"/>
      <w:bookmarkEnd w:id="168"/>
      <w:bookmarkEnd w:id="169"/>
      <w:r>
        <w:rPr>
          <w:rFonts w:hint="eastAsia" w:ascii="仿宋" w:hAnsi="仿宋" w:eastAsia="仿宋" w:cs="仿宋"/>
          <w:b/>
          <w:color w:val="auto"/>
          <w:sz w:val="24"/>
          <w:highlight w:val="none"/>
        </w:rPr>
        <w:t>和送达</w:t>
      </w:r>
      <w:bookmarkEnd w:id="170"/>
      <w:bookmarkEnd w:id="171"/>
      <w:bookmarkEnd w:id="172"/>
    </w:p>
    <w:p>
      <w:pPr>
        <w:spacing w:line="560" w:lineRule="exact"/>
        <w:ind w:firstLine="480" w:firstLineChars="200"/>
        <w:rPr>
          <w:rFonts w:hint="eastAsia" w:ascii="仿宋" w:hAnsi="仿宋" w:eastAsia="仿宋" w:cs="仿宋"/>
          <w:color w:val="auto"/>
          <w:sz w:val="24"/>
          <w:highlight w:val="none"/>
        </w:rPr>
      </w:pPr>
      <w:bookmarkStart w:id="173" w:name="_Toc6698"/>
      <w:bookmarkStart w:id="174" w:name="_Toc3135"/>
      <w:bookmarkStart w:id="175" w:name="_Toc259093691"/>
      <w:bookmarkStart w:id="176" w:name="_Toc487900372"/>
      <w:bookmarkStart w:id="177"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3"/>
      <w:bookmarkEnd w:id="174"/>
    </w:p>
    <w:p>
      <w:pPr>
        <w:spacing w:line="560" w:lineRule="exact"/>
        <w:ind w:firstLine="480" w:firstLineChars="200"/>
        <w:rPr>
          <w:rFonts w:hint="eastAsia" w:ascii="仿宋" w:hAnsi="仿宋" w:eastAsia="仿宋" w:cs="仿宋"/>
          <w:color w:val="auto"/>
          <w:sz w:val="24"/>
          <w:highlight w:val="none"/>
        </w:rPr>
      </w:pPr>
      <w:bookmarkStart w:id="178" w:name="_Toc23128"/>
      <w:bookmarkStart w:id="179"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8"/>
      <w:bookmarkEnd w:id="179"/>
    </w:p>
    <w:p>
      <w:pPr>
        <w:spacing w:line="560" w:lineRule="exact"/>
        <w:ind w:firstLine="482" w:firstLineChars="200"/>
        <w:outlineLvl w:val="0"/>
        <w:rPr>
          <w:rFonts w:hint="eastAsia" w:ascii="仿宋" w:hAnsi="仿宋" w:eastAsia="仿宋" w:cs="仿宋"/>
          <w:b/>
          <w:color w:val="auto"/>
          <w:sz w:val="24"/>
          <w:highlight w:val="none"/>
        </w:rPr>
      </w:pPr>
      <w:bookmarkStart w:id="180" w:name="_Toc18540"/>
      <w:bookmarkStart w:id="181" w:name="_Toc30599"/>
      <w:bookmarkStart w:id="182" w:name="_Toc4355"/>
      <w:r>
        <w:rPr>
          <w:rFonts w:hint="eastAsia" w:ascii="仿宋" w:hAnsi="仿宋" w:eastAsia="仿宋" w:cs="仿宋"/>
          <w:b/>
          <w:color w:val="auto"/>
          <w:sz w:val="24"/>
          <w:highlight w:val="none"/>
        </w:rPr>
        <w:t>2.18 计量单位</w:t>
      </w:r>
      <w:bookmarkEnd w:id="175"/>
      <w:bookmarkEnd w:id="176"/>
      <w:bookmarkEnd w:id="177"/>
      <w:bookmarkEnd w:id="180"/>
      <w:bookmarkEnd w:id="181"/>
      <w:bookmarkEnd w:id="18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83" w:name="_Toc279701263"/>
      <w:bookmarkStart w:id="184" w:name="_Toc12773"/>
      <w:bookmarkStart w:id="185" w:name="_Toc487900373"/>
      <w:bookmarkStart w:id="186" w:name="_Toc10330"/>
      <w:bookmarkStart w:id="187" w:name="_Toc18567"/>
      <w:bookmarkStart w:id="188" w:name="_Toc259093692"/>
      <w:r>
        <w:rPr>
          <w:rFonts w:hint="eastAsia" w:ascii="仿宋" w:hAnsi="仿宋" w:eastAsia="仿宋" w:cs="仿宋"/>
          <w:b/>
          <w:color w:val="auto"/>
          <w:sz w:val="24"/>
          <w:highlight w:val="none"/>
        </w:rPr>
        <w:t>2.19 合同使用的文字和适用的法律</w:t>
      </w:r>
      <w:bookmarkEnd w:id="183"/>
      <w:bookmarkEnd w:id="184"/>
      <w:bookmarkEnd w:id="185"/>
      <w:bookmarkEnd w:id="186"/>
      <w:bookmarkEnd w:id="187"/>
      <w:bookmarkEnd w:id="18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89" w:name="_Toc14001"/>
      <w:bookmarkStart w:id="190" w:name="_Toc19890"/>
      <w:bookmarkStart w:id="191" w:name="_Toc6885"/>
      <w:r>
        <w:rPr>
          <w:rFonts w:hint="eastAsia" w:ascii="仿宋" w:hAnsi="仿宋" w:eastAsia="仿宋" w:cs="仿宋"/>
          <w:b/>
          <w:color w:val="auto"/>
          <w:sz w:val="24"/>
          <w:highlight w:val="none"/>
        </w:rPr>
        <w:t>2.20 合同份数</w:t>
      </w:r>
      <w:bookmarkEnd w:id="189"/>
      <w:bookmarkEnd w:id="190"/>
      <w:bookmarkEnd w:id="1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spacing w:line="360" w:lineRule="auto"/>
              <w:rPr>
                <w:rFonts w:hint="eastAsia" w:ascii="仿宋" w:hAnsi="仿宋" w:eastAsia="仿宋" w:cs="仿宋"/>
                <w:color w:val="auto"/>
                <w:sz w:val="24"/>
                <w:highlight w:val="none"/>
              </w:rPr>
            </w:pPr>
          </w:p>
        </w:tc>
      </w:tr>
    </w:tbl>
    <w:p>
      <w:pPr>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w:t>
      </w:r>
      <w:r>
        <w:rPr>
          <w:rFonts w:hint="eastAsia" w:ascii="仿宋" w:hAnsi="仿宋" w:eastAsia="仿宋" w:cs="仿宋"/>
          <w:color w:val="auto"/>
          <w:sz w:val="24"/>
          <w:highlight w:val="yellow"/>
        </w:rPr>
        <w:t>其中商务技术分</w:t>
      </w:r>
      <w:r>
        <w:rPr>
          <w:rFonts w:hint="eastAsia" w:ascii="仿宋" w:hAnsi="仿宋" w:eastAsia="仿宋" w:cs="仿宋"/>
          <w:color w:val="auto"/>
          <w:sz w:val="24"/>
          <w:highlight w:val="yellow"/>
          <w:u w:val="single"/>
          <w:lang w:val="en-US" w:eastAsia="zh-CN"/>
        </w:rPr>
        <w:t xml:space="preserve"> 65 </w:t>
      </w:r>
      <w:r>
        <w:rPr>
          <w:rFonts w:hint="eastAsia" w:ascii="仿宋" w:hAnsi="仿宋" w:eastAsia="仿宋" w:cs="仿宋"/>
          <w:color w:val="auto"/>
          <w:sz w:val="24"/>
          <w:highlight w:val="yellow"/>
        </w:rPr>
        <w:t>分，价格分</w:t>
      </w:r>
      <w:r>
        <w:rPr>
          <w:rFonts w:hint="eastAsia" w:ascii="仿宋" w:hAnsi="仿宋" w:eastAsia="仿宋" w:cs="仿宋"/>
          <w:color w:val="auto"/>
          <w:sz w:val="24"/>
          <w:highlight w:val="yellow"/>
          <w:u w:val="single"/>
          <w:lang w:val="en-US" w:eastAsia="zh-CN"/>
        </w:rPr>
        <w:t xml:space="preserve"> 35 </w:t>
      </w:r>
      <w:r>
        <w:rPr>
          <w:rFonts w:hint="eastAsia" w:ascii="仿宋" w:hAnsi="仿宋" w:eastAsia="仿宋" w:cs="仿宋"/>
          <w:color w:val="auto"/>
          <w:sz w:val="24"/>
          <w:highlight w:val="yellow"/>
        </w:rPr>
        <w:t>分。</w:t>
      </w:r>
      <w:r>
        <w:rPr>
          <w:rFonts w:hint="eastAsia" w:ascii="仿宋" w:hAnsi="仿宋" w:eastAsia="仿宋" w:cs="仿宋"/>
          <w:color w:val="auto"/>
          <w:sz w:val="24"/>
          <w:highlight w:val="none"/>
        </w:rPr>
        <w:t>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0"/>
          <w:szCs w:val="20"/>
          <w:highlight w:val="none"/>
          <w:shd w:val="clear" w:color="auto" w:fill="FFFFFF"/>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65 </w:t>
      </w:r>
      <w:r>
        <w:rPr>
          <w:rFonts w:hint="eastAsia" w:ascii="仿宋" w:hAnsi="仿宋" w:eastAsia="仿宋" w:cs="仿宋"/>
          <w:b/>
          <w:bCs/>
          <w:iCs/>
          <w:color w:val="auto"/>
          <w:sz w:val="24"/>
          <w:highlight w:val="none"/>
        </w:rPr>
        <w:t>分）</w:t>
      </w:r>
    </w:p>
    <w:tbl>
      <w:tblPr>
        <w:tblStyle w:val="64"/>
        <w:tblW w:w="91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2"/>
        <w:gridCol w:w="859"/>
        <w:gridCol w:w="648"/>
        <w:gridCol w:w="71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序号</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项 目</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分值</w:t>
            </w:r>
          </w:p>
        </w:tc>
        <w:tc>
          <w:tcPr>
            <w:tcW w:w="718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评 分 细 则 及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top w:val="single" w:color="000000" w:sz="4" w:space="0"/>
              <w:left w:val="single" w:color="000000" w:sz="4" w:space="0"/>
              <w:right w:val="single" w:color="auto" w:sz="4" w:space="0"/>
            </w:tcBorders>
            <w:noWrap w:val="0"/>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w:t>
            </w:r>
          </w:p>
        </w:tc>
        <w:tc>
          <w:tcPr>
            <w:tcW w:w="859"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资信与商务部分</w:t>
            </w:r>
          </w:p>
          <w:p>
            <w:pPr>
              <w:jc w:val="center"/>
              <w:rPr>
                <w:rFonts w:hint="eastAsia" w:ascii="仿宋" w:hAnsi="仿宋" w:eastAsia="仿宋" w:cs="仿宋"/>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tc>
        <w:tc>
          <w:tcPr>
            <w:tcW w:w="7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sz w:val="21"/>
                <w:szCs w:val="21"/>
                <w:highlight w:val="none"/>
                <w:lang w:val="en-US" w:eastAsia="zh-CN"/>
              </w:rPr>
              <w:t>投标人提供自2020年7月1日以来（以合同签订时间为准）的同类业绩，每个案例需提供合同、发票和验收报告复印件，每个提供一个得 0.5分，最高得3分。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9" w:hRule="atLeast"/>
          <w:jc w:val="center"/>
        </w:trPr>
        <w:tc>
          <w:tcPr>
            <w:tcW w:w="462" w:type="dxa"/>
            <w:vMerge w:val="restart"/>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p>
        </w:tc>
        <w:tc>
          <w:tcPr>
            <w:tcW w:w="648" w:type="dxa"/>
            <w:vMerge w:val="restart"/>
            <w:tcBorders>
              <w:left w:val="single" w:color="auto" w:sz="4" w:space="0"/>
              <w:right w:val="single" w:color="auto" w:sz="4" w:space="0"/>
            </w:tcBorders>
            <w:noWrap w:val="0"/>
            <w:vAlign w:val="center"/>
          </w:tcPr>
          <w:p>
            <w:pPr>
              <w:widowControl/>
              <w:adjustRightInd w:val="0"/>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rPr>
              <w:t>分</w:t>
            </w:r>
          </w:p>
        </w:tc>
        <w:tc>
          <w:tcPr>
            <w:tcW w:w="7188" w:type="dxa"/>
            <w:tcBorders>
              <w:top w:val="single" w:color="auto" w:sz="4" w:space="0"/>
              <w:left w:val="single" w:color="auto" w:sz="4" w:space="0"/>
              <w:right w:val="single" w:color="auto" w:sz="4" w:space="0"/>
            </w:tcBorders>
            <w:noWrap w:val="0"/>
            <w:vAlign w:val="center"/>
          </w:tcPr>
          <w:p>
            <w:pPr>
              <w:pStyle w:val="3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投标人提供有效期内质量管理体系认证证书、环境管理体系认证证书、职业健康安全管理体系认证证书，且</w:t>
            </w:r>
            <w:r>
              <w:rPr>
                <w:rFonts w:hint="eastAsia" w:ascii="仿宋" w:hAnsi="仿宋" w:eastAsia="仿宋" w:cs="仿宋"/>
                <w:color w:val="auto"/>
                <w:sz w:val="21"/>
                <w:szCs w:val="21"/>
                <w:highlight w:val="none"/>
                <w:lang w:val="zh-TW" w:eastAsia="zh-TW"/>
              </w:rPr>
              <w:t>认证范围涵盖</w:t>
            </w:r>
            <w:r>
              <w:rPr>
                <w:rFonts w:hint="eastAsia" w:ascii="仿宋" w:hAnsi="仿宋" w:eastAsia="仿宋" w:cs="仿宋"/>
                <w:color w:val="auto"/>
                <w:sz w:val="21"/>
                <w:szCs w:val="21"/>
                <w:highlight w:val="none"/>
                <w:lang w:val="zh-TW" w:eastAsia="zh-CN"/>
              </w:rPr>
              <w:t>金属</w:t>
            </w:r>
            <w:r>
              <w:rPr>
                <w:rFonts w:hint="eastAsia" w:ascii="仿宋" w:hAnsi="仿宋" w:eastAsia="仿宋" w:cs="仿宋"/>
                <w:color w:val="auto"/>
                <w:sz w:val="21"/>
                <w:szCs w:val="21"/>
                <w:highlight w:val="none"/>
                <w:lang w:val="zh-TW" w:eastAsia="zh-TW"/>
              </w:rPr>
              <w:t>家</w:t>
            </w:r>
            <w:r>
              <w:rPr>
                <w:rFonts w:hint="eastAsia" w:ascii="仿宋" w:hAnsi="仿宋" w:eastAsia="仿宋" w:cs="仿宋"/>
                <w:color w:val="auto"/>
                <w:sz w:val="21"/>
                <w:szCs w:val="21"/>
                <w:highlight w:val="none"/>
              </w:rPr>
              <w:t>具</w:t>
            </w:r>
            <w:r>
              <w:rPr>
                <w:rFonts w:hint="eastAsia" w:ascii="仿宋" w:hAnsi="仿宋" w:eastAsia="仿宋" w:cs="仿宋"/>
                <w:color w:val="auto"/>
                <w:sz w:val="21"/>
                <w:szCs w:val="21"/>
                <w:highlight w:val="none"/>
                <w:lang w:eastAsia="zh-CN"/>
              </w:rPr>
              <w:t>或木制家具</w:t>
            </w:r>
            <w:r>
              <w:rPr>
                <w:rFonts w:hint="eastAsia" w:ascii="仿宋" w:hAnsi="仿宋" w:eastAsia="仿宋" w:cs="仿宋"/>
                <w:color w:val="auto"/>
                <w:sz w:val="21"/>
                <w:szCs w:val="21"/>
                <w:highlight w:val="none"/>
              </w:rPr>
              <w:t>，每提供一个符合要求的证书得1分，最高得3分。</w:t>
            </w:r>
          </w:p>
          <w:p>
            <w:pPr>
              <w:pStyle w:val="35"/>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评审依据</w:t>
            </w:r>
            <w:r>
              <w:rPr>
                <w:rFonts w:hint="eastAsia" w:ascii="仿宋" w:hAnsi="仿宋" w:eastAsia="仿宋" w:cs="仿宋"/>
                <w:color w:val="auto"/>
                <w:sz w:val="21"/>
                <w:szCs w:val="21"/>
                <w:highlight w:val="none"/>
              </w:rPr>
              <w:t>：提供上述有效证书复印件（加盖公章）、全国认证认可信息公共服务平台网站（cx.cnca.cn）有效网页查询结果截图或打印件作为评审依据（加盖公章）。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62" w:type="dxa"/>
            <w:vMerge w:val="continue"/>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rPr>
            </w:pP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p>
        </w:tc>
        <w:tc>
          <w:tcPr>
            <w:tcW w:w="648" w:type="dxa"/>
            <w:vMerge w:val="continue"/>
            <w:tcBorders>
              <w:left w:val="single" w:color="auto" w:sz="4" w:space="0"/>
              <w:right w:val="single" w:color="auto" w:sz="4" w:space="0"/>
            </w:tcBorders>
            <w:noWrap w:val="0"/>
            <w:vAlign w:val="center"/>
          </w:tcPr>
          <w:p>
            <w:pPr>
              <w:widowControl/>
              <w:adjustRightInd w:val="0"/>
              <w:snapToGrid w:val="0"/>
              <w:jc w:val="center"/>
              <w:rPr>
                <w:rFonts w:hint="eastAsia" w:ascii="仿宋" w:hAnsi="仿宋" w:eastAsia="仿宋" w:cs="仿宋"/>
                <w:color w:val="auto"/>
                <w:kern w:val="0"/>
                <w:sz w:val="21"/>
                <w:szCs w:val="21"/>
                <w:highlight w:val="none"/>
              </w:rPr>
            </w:pPr>
          </w:p>
        </w:tc>
        <w:tc>
          <w:tcPr>
            <w:tcW w:w="7188" w:type="dxa"/>
            <w:tcBorders>
              <w:top w:val="single" w:color="auto" w:sz="4" w:space="0"/>
              <w:left w:val="single" w:color="auto" w:sz="4" w:space="0"/>
              <w:right w:val="single" w:color="auto" w:sz="4" w:space="0"/>
            </w:tcBorders>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投标人具有有效期内中国绿色产品认证证书，且</w:t>
            </w:r>
            <w:r>
              <w:rPr>
                <w:rFonts w:hint="eastAsia" w:ascii="仿宋" w:hAnsi="仿宋" w:eastAsia="仿宋" w:cs="仿宋"/>
                <w:color w:val="auto"/>
                <w:sz w:val="21"/>
                <w:szCs w:val="21"/>
                <w:highlight w:val="none"/>
                <w:lang w:val="zh-TW" w:eastAsia="zh-TW"/>
              </w:rPr>
              <w:t>认证范围涵盖</w:t>
            </w:r>
            <w:r>
              <w:rPr>
                <w:rFonts w:hint="eastAsia" w:ascii="仿宋" w:hAnsi="仿宋" w:eastAsia="仿宋" w:cs="仿宋"/>
                <w:color w:val="auto"/>
                <w:sz w:val="21"/>
                <w:szCs w:val="21"/>
                <w:highlight w:val="none"/>
                <w:lang w:val="zh-TW" w:eastAsia="zh-CN"/>
              </w:rPr>
              <w:t>金属</w:t>
            </w:r>
            <w:r>
              <w:rPr>
                <w:rFonts w:hint="eastAsia" w:ascii="仿宋" w:hAnsi="仿宋" w:eastAsia="仿宋" w:cs="仿宋"/>
                <w:color w:val="auto"/>
                <w:sz w:val="21"/>
                <w:szCs w:val="21"/>
                <w:highlight w:val="none"/>
                <w:lang w:val="zh-TW" w:eastAsia="zh-TW"/>
              </w:rPr>
              <w:t>家</w:t>
            </w:r>
            <w:r>
              <w:rPr>
                <w:rFonts w:hint="eastAsia" w:ascii="仿宋" w:hAnsi="仿宋" w:eastAsia="仿宋" w:cs="仿宋"/>
                <w:color w:val="auto"/>
                <w:sz w:val="21"/>
                <w:szCs w:val="21"/>
                <w:highlight w:val="none"/>
              </w:rPr>
              <w:t>具</w:t>
            </w:r>
            <w:r>
              <w:rPr>
                <w:rFonts w:hint="eastAsia" w:ascii="仿宋" w:hAnsi="仿宋" w:eastAsia="仿宋" w:cs="仿宋"/>
                <w:color w:val="auto"/>
                <w:sz w:val="21"/>
                <w:szCs w:val="21"/>
                <w:highlight w:val="none"/>
                <w:lang w:eastAsia="zh-CN"/>
              </w:rPr>
              <w:t>或木制家具</w:t>
            </w:r>
            <w:r>
              <w:rPr>
                <w:rFonts w:hint="eastAsia" w:ascii="仿宋" w:hAnsi="仿宋" w:eastAsia="仿宋" w:cs="仿宋"/>
                <w:color w:val="auto"/>
                <w:sz w:val="21"/>
                <w:szCs w:val="21"/>
                <w:highlight w:val="none"/>
              </w:rPr>
              <w:t>，提供证书复印件。最高得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评审依据：提供上述有效证书复印件（加盖公章）、全国认证认可信息公共服务平台网站（cx.cnca.cn）有效网页查询结果截图或打印件作为评审依据（加盖公章）。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8" w:hRule="atLeast"/>
          <w:jc w:val="center"/>
        </w:trPr>
        <w:tc>
          <w:tcPr>
            <w:tcW w:w="462" w:type="dxa"/>
            <w:vMerge w:val="continue"/>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rPr>
            </w:pP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p>
        </w:tc>
        <w:tc>
          <w:tcPr>
            <w:tcW w:w="648" w:type="dxa"/>
            <w:vMerge w:val="continue"/>
            <w:tcBorders>
              <w:left w:val="single" w:color="auto" w:sz="4" w:space="0"/>
              <w:right w:val="single" w:color="auto" w:sz="4" w:space="0"/>
            </w:tcBorders>
            <w:noWrap w:val="0"/>
            <w:vAlign w:val="center"/>
          </w:tcPr>
          <w:p>
            <w:pPr>
              <w:widowControl/>
              <w:adjustRightInd w:val="0"/>
              <w:snapToGrid w:val="0"/>
              <w:jc w:val="center"/>
              <w:rPr>
                <w:rFonts w:hint="eastAsia" w:ascii="仿宋" w:hAnsi="仿宋" w:eastAsia="仿宋" w:cs="仿宋"/>
                <w:color w:val="auto"/>
                <w:kern w:val="0"/>
                <w:sz w:val="21"/>
                <w:szCs w:val="21"/>
                <w:highlight w:val="none"/>
              </w:rPr>
            </w:pPr>
          </w:p>
        </w:tc>
        <w:tc>
          <w:tcPr>
            <w:tcW w:w="7188" w:type="dxa"/>
            <w:tcBorders>
              <w:top w:val="single" w:color="auto" w:sz="4" w:space="0"/>
              <w:left w:val="single" w:color="auto" w:sz="4" w:space="0"/>
              <w:right w:val="single" w:color="auto" w:sz="4" w:space="0"/>
            </w:tcBorders>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投标人具有有效期内的“中国环境标志产品认证证书”，且</w:t>
            </w:r>
            <w:r>
              <w:rPr>
                <w:rFonts w:hint="eastAsia" w:ascii="仿宋" w:hAnsi="仿宋" w:eastAsia="仿宋" w:cs="仿宋"/>
                <w:color w:val="auto"/>
                <w:sz w:val="21"/>
                <w:szCs w:val="21"/>
                <w:highlight w:val="none"/>
                <w:lang w:val="zh-TW" w:eastAsia="zh-TW"/>
              </w:rPr>
              <w:t>认证范围涵盖</w:t>
            </w:r>
            <w:r>
              <w:rPr>
                <w:rFonts w:hint="eastAsia" w:ascii="仿宋" w:hAnsi="仿宋" w:eastAsia="仿宋" w:cs="仿宋"/>
                <w:color w:val="auto"/>
                <w:sz w:val="21"/>
                <w:szCs w:val="21"/>
                <w:highlight w:val="none"/>
                <w:lang w:val="zh-TW" w:eastAsia="zh-CN"/>
              </w:rPr>
              <w:t>金属</w:t>
            </w:r>
            <w:r>
              <w:rPr>
                <w:rFonts w:hint="eastAsia" w:ascii="仿宋" w:hAnsi="仿宋" w:eastAsia="仿宋" w:cs="仿宋"/>
                <w:color w:val="auto"/>
                <w:sz w:val="21"/>
                <w:szCs w:val="21"/>
                <w:highlight w:val="none"/>
                <w:lang w:val="zh-TW" w:eastAsia="zh-TW"/>
              </w:rPr>
              <w:t>家</w:t>
            </w:r>
            <w:r>
              <w:rPr>
                <w:rFonts w:hint="eastAsia" w:ascii="仿宋" w:hAnsi="仿宋" w:eastAsia="仿宋" w:cs="仿宋"/>
                <w:color w:val="auto"/>
                <w:sz w:val="21"/>
                <w:szCs w:val="21"/>
                <w:highlight w:val="none"/>
              </w:rPr>
              <w:t>具</w:t>
            </w:r>
            <w:r>
              <w:rPr>
                <w:rFonts w:hint="eastAsia" w:ascii="仿宋" w:hAnsi="仿宋" w:eastAsia="仿宋" w:cs="仿宋"/>
                <w:color w:val="auto"/>
                <w:sz w:val="21"/>
                <w:szCs w:val="21"/>
                <w:highlight w:val="none"/>
                <w:lang w:eastAsia="zh-CN"/>
              </w:rPr>
              <w:t>或木制家具</w:t>
            </w:r>
            <w:r>
              <w:rPr>
                <w:rFonts w:hint="eastAsia" w:ascii="仿宋" w:hAnsi="仿宋" w:eastAsia="仿宋" w:cs="仿宋"/>
                <w:color w:val="auto"/>
                <w:sz w:val="21"/>
                <w:szCs w:val="21"/>
                <w:highlight w:val="none"/>
              </w:rPr>
              <w:t>，提供证书复印件。最高得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需提供认证证书扫描件并加盖投标人公章，且认证机构须符合《市场监管总局关于发布参与实施政府采购节能产品、环境标志产品认证机构名录的公告》。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3" w:hRule="atLeast"/>
          <w:jc w:val="center"/>
        </w:trPr>
        <w:tc>
          <w:tcPr>
            <w:tcW w:w="462" w:type="dxa"/>
            <w:vMerge w:val="continue"/>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rPr>
            </w:pP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p>
        </w:tc>
        <w:tc>
          <w:tcPr>
            <w:tcW w:w="648" w:type="dxa"/>
            <w:vMerge w:val="continue"/>
            <w:tcBorders>
              <w:left w:val="single" w:color="auto" w:sz="4" w:space="0"/>
              <w:right w:val="single" w:color="auto" w:sz="4" w:space="0"/>
            </w:tcBorders>
            <w:noWrap w:val="0"/>
            <w:vAlign w:val="center"/>
          </w:tcPr>
          <w:p>
            <w:pPr>
              <w:widowControl/>
              <w:adjustRightInd w:val="0"/>
              <w:snapToGrid w:val="0"/>
              <w:jc w:val="center"/>
              <w:rPr>
                <w:rFonts w:hint="eastAsia" w:ascii="仿宋" w:hAnsi="仿宋" w:eastAsia="仿宋" w:cs="仿宋"/>
                <w:color w:val="auto"/>
                <w:kern w:val="0"/>
                <w:sz w:val="21"/>
                <w:szCs w:val="21"/>
                <w:highlight w:val="none"/>
                <w:lang w:val="en-US" w:eastAsia="zh-CN"/>
              </w:rPr>
            </w:pPr>
          </w:p>
        </w:tc>
        <w:tc>
          <w:tcPr>
            <w:tcW w:w="7188"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主要产品涉及到医疗器械的生产厂家具有有效期内医疗器械注册证（或ISO13485医疗器械质量管理体系认证证书），提供证书复印件，有得1分，没有不得分。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8"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p>
        </w:tc>
        <w:tc>
          <w:tcPr>
            <w:tcW w:w="648" w:type="dxa"/>
            <w:tcBorders>
              <w:left w:val="single" w:color="auto" w:sz="4" w:space="0"/>
              <w:right w:val="single" w:color="auto" w:sz="4" w:space="0"/>
            </w:tcBorders>
            <w:noWrap w:val="0"/>
            <w:vAlign w:val="center"/>
          </w:tcPr>
          <w:p>
            <w:pPr>
              <w:widowControl/>
              <w:adjustRightInd w:val="0"/>
              <w:snapToGrid w:val="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w:t>
            </w:r>
          </w:p>
        </w:tc>
        <w:tc>
          <w:tcPr>
            <w:tcW w:w="7188"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000000"/>
                <w:kern w:val="0"/>
                <w:sz w:val="21"/>
                <w:szCs w:val="21"/>
                <w:highlight w:val="none"/>
                <w:lang w:val="en-US" w:eastAsia="zh-CN" w:bidi="ar"/>
              </w:rPr>
              <w:t>与采购标的相关的外观、结构、工艺及技术专利（发明、实用新型、外观设计得分不同，专利须在保护期内）：每项发明专利 得1分，最高得3分；每项实用新型专利得0.5分，最高得1分；每项外观专利得0.25分，最高得0.5分。本项目合计最高得3分。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859" w:type="dxa"/>
            <w:vMerge w:val="restart"/>
            <w:tcBorders>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技术部分</w:t>
            </w:r>
          </w:p>
        </w:tc>
        <w:tc>
          <w:tcPr>
            <w:tcW w:w="648" w:type="dxa"/>
            <w:tcBorders>
              <w:left w:val="single" w:color="auto" w:sz="4" w:space="0"/>
              <w:right w:val="single" w:color="auto" w:sz="4" w:space="0"/>
            </w:tcBorders>
            <w:noWrap w:val="0"/>
            <w:vAlign w:val="center"/>
          </w:tcPr>
          <w:p>
            <w:pPr>
              <w:widowControl/>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12</w:t>
            </w:r>
            <w:r>
              <w:rPr>
                <w:rFonts w:hint="eastAsia" w:ascii="仿宋" w:hAnsi="仿宋" w:eastAsia="仿宋" w:cs="仿宋"/>
                <w:color w:val="auto"/>
                <w:sz w:val="21"/>
                <w:szCs w:val="21"/>
                <w:highlight w:val="none"/>
              </w:rPr>
              <w:t>分</w:t>
            </w:r>
          </w:p>
        </w:tc>
        <w:tc>
          <w:tcPr>
            <w:tcW w:w="7188" w:type="dxa"/>
            <w:tcBorders>
              <w:top w:val="single" w:color="auto" w:sz="4" w:space="0"/>
              <w:left w:val="single" w:color="auto" w:sz="4" w:space="0"/>
              <w:right w:val="single" w:color="auto" w:sz="4" w:space="0"/>
            </w:tcBorders>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完全满足招标文件要求得</w:t>
            </w:r>
            <w:r>
              <w:rPr>
                <w:rFonts w:hint="eastAsia" w:ascii="仿宋" w:hAnsi="仿宋" w:eastAsia="仿宋" w:cs="仿宋"/>
                <w:color w:val="auto"/>
                <w:sz w:val="21"/>
                <w:szCs w:val="21"/>
                <w:highlight w:val="none"/>
                <w:lang w:val="en-US" w:eastAsia="zh-CN"/>
              </w:rPr>
              <w:t>12分，其中</w:t>
            </w:r>
            <w:r>
              <w:rPr>
                <w:rFonts w:hint="eastAsia" w:ascii="仿宋" w:hAnsi="仿宋" w:eastAsia="仿宋" w:cs="仿宋"/>
                <w:color w:val="auto"/>
                <w:sz w:val="21"/>
                <w:szCs w:val="21"/>
                <w:highlight w:val="none"/>
                <w:lang w:eastAsia="zh-CN"/>
              </w:rPr>
              <w:t>含</w:t>
            </w:r>
            <w:r>
              <w:rPr>
                <w:rFonts w:hint="eastAsia" w:ascii="仿宋" w:hAnsi="仿宋" w:eastAsia="仿宋" w:cs="仿宋"/>
                <w:color w:val="auto"/>
                <w:sz w:val="21"/>
                <w:szCs w:val="21"/>
                <w:highlight w:val="none"/>
              </w:rPr>
              <w:t>“▲”指标每负偏离一项扣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分，其</w:t>
            </w:r>
            <w:r>
              <w:rPr>
                <w:rFonts w:hint="eastAsia" w:ascii="仿宋" w:hAnsi="仿宋" w:eastAsia="仿宋" w:cs="仿宋"/>
                <w:color w:val="auto"/>
                <w:sz w:val="21"/>
                <w:szCs w:val="21"/>
                <w:highlight w:val="none"/>
                <w:lang w:eastAsia="zh-CN"/>
              </w:rPr>
              <w:t>它</w:t>
            </w:r>
            <w:r>
              <w:rPr>
                <w:rFonts w:hint="eastAsia" w:ascii="仿宋" w:hAnsi="仿宋" w:eastAsia="仿宋" w:cs="仿宋"/>
                <w:color w:val="auto"/>
                <w:sz w:val="21"/>
                <w:szCs w:val="21"/>
                <w:highlight w:val="none"/>
              </w:rPr>
              <w:t>一般指标每负偏离一项扣</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分，扣完为止。</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注：对应的技术参数需提供</w:t>
            </w:r>
            <w:r>
              <w:rPr>
                <w:rFonts w:hint="eastAsia" w:ascii="仿宋" w:hAnsi="仿宋" w:eastAsia="仿宋" w:cs="仿宋"/>
                <w:color w:val="auto"/>
                <w:sz w:val="21"/>
                <w:szCs w:val="21"/>
                <w:highlight w:val="none"/>
                <w:lang w:eastAsia="zh-CN"/>
              </w:rPr>
              <w:t>一年内</w:t>
            </w:r>
            <w:r>
              <w:rPr>
                <w:rFonts w:hint="eastAsia" w:ascii="仿宋" w:hAnsi="仿宋" w:eastAsia="仿宋" w:cs="仿宋"/>
                <w:color w:val="auto"/>
                <w:sz w:val="21"/>
                <w:szCs w:val="21"/>
                <w:highlight w:val="none"/>
              </w:rPr>
              <w:t>的检测报告，检测报告必须由具备家具成品及其原辅材料检测能力并通过国家计量认证（CMA、CNAS资质）的第三方检测机构提供，</w:t>
            </w:r>
            <w:r>
              <w:rPr>
                <w:rFonts w:hint="eastAsia" w:ascii="仿宋" w:hAnsi="仿宋" w:eastAsia="仿宋" w:cs="仿宋"/>
                <w:color w:val="auto"/>
                <w:sz w:val="21"/>
                <w:szCs w:val="21"/>
                <w:highlight w:val="none"/>
                <w:lang w:eastAsia="zh-CN"/>
              </w:rPr>
              <w:t>提供的检测报告需在全国认证认可信息公共服务平台（http://cx.cnca.cn/CertECloud/index/index/page）可查询并附网页查询截图，</w:t>
            </w:r>
            <w:r>
              <w:rPr>
                <w:rFonts w:hint="eastAsia" w:ascii="仿宋" w:hAnsi="仿宋" w:eastAsia="仿宋" w:cs="仿宋"/>
                <w:color w:val="auto"/>
                <w:sz w:val="21"/>
                <w:szCs w:val="21"/>
                <w:highlight w:val="none"/>
              </w:rPr>
              <w:t>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kern w:val="0"/>
                <w:sz w:val="21"/>
                <w:szCs w:val="21"/>
                <w:highlight w:val="none"/>
              </w:rPr>
            </w:pPr>
          </w:p>
        </w:tc>
        <w:tc>
          <w:tcPr>
            <w:tcW w:w="648" w:type="dxa"/>
            <w:tcBorders>
              <w:left w:val="single" w:color="auto" w:sz="4" w:space="0"/>
              <w:bottom w:val="single" w:color="auto" w:sz="4" w:space="0"/>
              <w:right w:val="single" w:color="auto" w:sz="4" w:space="0"/>
            </w:tcBorders>
            <w:noWrap w:val="0"/>
            <w:vAlign w:val="center"/>
          </w:tcPr>
          <w:p>
            <w:pPr>
              <w:pStyle w:val="957"/>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7188" w:type="dxa"/>
            <w:tcBorders>
              <w:top w:val="single" w:color="auto"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须提供生产厂家的核心专业生产设备购置发票复印件，每项设备得0.5分，最高得3分。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核心生产设备按品类，具体要求如下：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1.人造板类：开料锯机、封边机、排钻床、冷压机、热压机、涂装设备、加工中心等；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2.实木类：纵解锯机、横截锯机、平刨床、压刨床、拼板机、开榫机、加工中心、干燥房、涂装设备等；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3.钢制类：切割设备、折弯机、焊接设备、涂装设备、冲床、钻床、加工中心等；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4.钢木类：切割设备、弯管机、焊接设备、涂装设备、开料锯机、封边机、排钻床等； </w:t>
            </w:r>
          </w:p>
          <w:p>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000000"/>
                <w:kern w:val="0"/>
                <w:sz w:val="21"/>
                <w:szCs w:val="21"/>
                <w:highlight w:val="none"/>
                <w:lang w:val="en-US" w:eastAsia="zh-CN" w:bidi="ar"/>
              </w:rPr>
              <w:t>5.软体类：核心专业生产设备不单列。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kern w:val="0"/>
                <w:sz w:val="21"/>
                <w:szCs w:val="21"/>
                <w:highlight w:val="none"/>
              </w:rPr>
            </w:pPr>
          </w:p>
        </w:tc>
        <w:tc>
          <w:tcPr>
            <w:tcW w:w="648" w:type="dxa"/>
            <w:tcBorders>
              <w:left w:val="single" w:color="auto" w:sz="4" w:space="0"/>
              <w:bottom w:val="single" w:color="auto" w:sz="4" w:space="0"/>
              <w:right w:val="single" w:color="auto" w:sz="4" w:space="0"/>
            </w:tcBorders>
            <w:noWrap w:val="0"/>
            <w:vAlign w:val="center"/>
          </w:tcPr>
          <w:p>
            <w:pPr>
              <w:pStyle w:val="957"/>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7188" w:type="dxa"/>
            <w:tcBorders>
              <w:top w:val="single" w:color="auto"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000000"/>
                <w:kern w:val="0"/>
                <w:sz w:val="21"/>
                <w:szCs w:val="21"/>
                <w:highlight w:val="none"/>
                <w:lang w:val="en-US" w:eastAsia="zh-CN" w:bidi="ar"/>
              </w:rPr>
              <w:t>技术团队履历及能力说明，须提供项目负责人、专业技术人员的资格证（如有）、职称证明（如有）和近一个月社保缴纳证明，由评审小组判定评分，最高得2分。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kern w:val="0"/>
                <w:sz w:val="21"/>
                <w:szCs w:val="21"/>
                <w:highlight w:val="none"/>
              </w:rPr>
            </w:pPr>
          </w:p>
        </w:tc>
        <w:tc>
          <w:tcPr>
            <w:tcW w:w="648" w:type="dxa"/>
            <w:tcBorders>
              <w:left w:val="single" w:color="auto" w:sz="4" w:space="0"/>
              <w:bottom w:val="single" w:color="auto" w:sz="4" w:space="0"/>
              <w:right w:val="single" w:color="auto" w:sz="4" w:space="0"/>
            </w:tcBorders>
            <w:noWrap w:val="0"/>
            <w:vAlign w:val="center"/>
          </w:tcPr>
          <w:p>
            <w:pPr>
              <w:pStyle w:val="957"/>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7188" w:type="dxa"/>
            <w:tcBorders>
              <w:top w:val="single" w:color="auto"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000000"/>
                <w:kern w:val="0"/>
                <w:sz w:val="21"/>
                <w:szCs w:val="21"/>
                <w:highlight w:val="none"/>
                <w:lang w:val="en-US" w:eastAsia="zh-CN" w:bidi="ar"/>
              </w:rPr>
              <w:t>项目实施规划方案，提出合理的项目整体实施方案，能按照项目分解节点，并可跟踪实施。根据供应商提供的方案能否满足采购需求，由评审小组判定评分，最高得1分。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kern w:val="0"/>
                <w:sz w:val="21"/>
                <w:szCs w:val="21"/>
                <w:highlight w:val="none"/>
              </w:rPr>
            </w:pPr>
          </w:p>
        </w:tc>
        <w:tc>
          <w:tcPr>
            <w:tcW w:w="648" w:type="dxa"/>
            <w:tcBorders>
              <w:left w:val="single" w:color="auto" w:sz="4" w:space="0"/>
              <w:bottom w:val="single" w:color="auto" w:sz="4" w:space="0"/>
              <w:right w:val="single" w:color="auto" w:sz="4" w:space="0"/>
            </w:tcBorders>
            <w:noWrap w:val="0"/>
            <w:vAlign w:val="center"/>
          </w:tcPr>
          <w:p>
            <w:pPr>
              <w:pStyle w:val="957"/>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7188" w:type="dxa"/>
            <w:tcBorders>
              <w:top w:val="single" w:color="auto"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生产实施方案，要具备生产能力，在规定的时间内有计划的完成项目需求产品的生产装配。根据供应商提供的方案能否满足采购需求，由评审小组判定评分，最高得2分。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kern w:val="0"/>
                <w:sz w:val="21"/>
                <w:szCs w:val="21"/>
                <w:highlight w:val="none"/>
              </w:rPr>
            </w:pPr>
          </w:p>
        </w:tc>
        <w:tc>
          <w:tcPr>
            <w:tcW w:w="648" w:type="dxa"/>
            <w:tcBorders>
              <w:left w:val="single" w:color="auto" w:sz="4" w:space="0"/>
              <w:bottom w:val="single" w:color="auto" w:sz="4" w:space="0"/>
              <w:right w:val="single" w:color="auto" w:sz="4" w:space="0"/>
            </w:tcBorders>
            <w:noWrap w:val="0"/>
            <w:vAlign w:val="center"/>
          </w:tcPr>
          <w:p>
            <w:pPr>
              <w:pStyle w:val="957"/>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7188" w:type="dxa"/>
            <w:tcBorders>
              <w:top w:val="single" w:color="auto"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品质管理管控过程，有独立品管部门和专门品管人员，确保产品生产过程中的质量控制完善。由评审小组对响应方案评审后评分，最高得1分。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kern w:val="0"/>
                <w:sz w:val="21"/>
                <w:szCs w:val="21"/>
                <w:highlight w:val="none"/>
              </w:rPr>
            </w:pPr>
          </w:p>
        </w:tc>
        <w:tc>
          <w:tcPr>
            <w:tcW w:w="648" w:type="dxa"/>
            <w:tcBorders>
              <w:left w:val="single" w:color="auto" w:sz="4" w:space="0"/>
              <w:bottom w:val="single" w:color="auto" w:sz="4" w:space="0"/>
              <w:right w:val="single" w:color="auto" w:sz="4" w:space="0"/>
            </w:tcBorders>
            <w:noWrap w:val="0"/>
            <w:vAlign w:val="center"/>
          </w:tcPr>
          <w:p>
            <w:pPr>
              <w:pStyle w:val="957"/>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7188" w:type="dxa"/>
            <w:tcBorders>
              <w:top w:val="single" w:color="auto"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安装服务实施方案，安装方案的制定，根据货物交付时间节点，落实送货安装时间和人员安排，确保按期交付使用。根据供应商提供的方案能否满足采购需求，由评审小组判定评分，最高得2分。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kern w:val="0"/>
                <w:sz w:val="21"/>
                <w:szCs w:val="21"/>
                <w:highlight w:val="none"/>
              </w:rPr>
            </w:pPr>
          </w:p>
        </w:tc>
        <w:tc>
          <w:tcPr>
            <w:tcW w:w="648" w:type="dxa"/>
            <w:tcBorders>
              <w:left w:val="single" w:color="auto" w:sz="4" w:space="0"/>
              <w:bottom w:val="single" w:color="auto" w:sz="4" w:space="0"/>
              <w:right w:val="single" w:color="auto" w:sz="4" w:space="0"/>
            </w:tcBorders>
            <w:noWrap w:val="0"/>
            <w:vAlign w:val="center"/>
          </w:tcPr>
          <w:p>
            <w:pPr>
              <w:pStyle w:val="957"/>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7188" w:type="dxa"/>
            <w:tcBorders>
              <w:top w:val="single" w:color="auto"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售后服务应对方案及承诺：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1.提供产品5年质量保证期（5年内免费维修，不能维修免费更换），超过5年的每一年加1分，最高得2分；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2.提供详细完整的“三包”措施及售后服务措施和方案（包括服务措施、产品质量保证、回访、技术培训等）。根据供应商提 </w:t>
            </w:r>
          </w:p>
          <w:p>
            <w:pPr>
              <w:keepNext w:val="0"/>
              <w:keepLines w:val="0"/>
              <w:widowControl/>
              <w:suppressLineNumbers w:val="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供的方案能否满足采购需求，由评审小组判定评分，最高得2分。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kern w:val="0"/>
                <w:sz w:val="21"/>
                <w:szCs w:val="21"/>
                <w:highlight w:val="none"/>
              </w:rPr>
            </w:pPr>
          </w:p>
        </w:tc>
        <w:tc>
          <w:tcPr>
            <w:tcW w:w="648" w:type="dxa"/>
            <w:tcBorders>
              <w:left w:val="single" w:color="auto" w:sz="4" w:space="0"/>
              <w:bottom w:val="single" w:color="auto" w:sz="4" w:space="0"/>
              <w:right w:val="single" w:color="auto" w:sz="4" w:space="0"/>
            </w:tcBorders>
            <w:noWrap w:val="0"/>
            <w:vAlign w:val="center"/>
          </w:tcPr>
          <w:p>
            <w:pPr>
              <w:pStyle w:val="957"/>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7188"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both"/>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本项目合理化建议及实质性优惠措施，由评审小组判定评分，最高得1分。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13</w:t>
            </w:r>
          </w:p>
        </w:tc>
        <w:tc>
          <w:tcPr>
            <w:tcW w:w="859"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kern w:val="0"/>
                <w:sz w:val="21"/>
                <w:szCs w:val="21"/>
                <w:highlight w:val="none"/>
              </w:rPr>
            </w:pPr>
          </w:p>
        </w:tc>
        <w:tc>
          <w:tcPr>
            <w:tcW w:w="648" w:type="dxa"/>
            <w:tcBorders>
              <w:left w:val="single" w:color="auto" w:sz="4" w:space="0"/>
              <w:right w:val="single" w:color="auto" w:sz="4" w:space="0"/>
            </w:tcBorders>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分</w:t>
            </w:r>
          </w:p>
        </w:tc>
        <w:tc>
          <w:tcPr>
            <w:tcW w:w="7188" w:type="dxa"/>
            <w:tcBorders>
              <w:top w:val="single" w:color="auto" w:sz="4" w:space="0"/>
              <w:left w:val="single" w:color="000000" w:sz="4" w:space="0"/>
              <w:right w:val="single" w:color="000000" w:sz="4" w:space="0"/>
            </w:tcBorders>
            <w:noWrap w:val="0"/>
            <w:vAlign w:val="center"/>
          </w:tcPr>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b/>
                <w:bCs/>
                <w:color w:val="000000"/>
                <w:kern w:val="0"/>
                <w:sz w:val="21"/>
                <w:szCs w:val="21"/>
                <w:highlight w:val="none"/>
                <w:lang w:val="en-US" w:eastAsia="zh-CN" w:bidi="ar"/>
              </w:rPr>
              <w:t xml:space="preserve">样品评分标准如下，严重偏离样品要求不得分：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b/>
                <w:bCs/>
                <w:color w:val="000000"/>
                <w:kern w:val="0"/>
                <w:sz w:val="21"/>
                <w:szCs w:val="21"/>
                <w:highlight w:val="none"/>
                <w:lang w:val="en-US" w:eastAsia="zh-CN" w:bidi="ar"/>
              </w:rPr>
              <w:t xml:space="preserve">样品评分细则（共25分）：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一、产品主要尺寸、形状及位置公差（2分）：每偏离一个参数指标扣0.5分，扣完为止。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1.采购人有明确要求且明示的产品尺寸偏差控制在±3mm以内(测量工具：0～3m钢卷尺，精度1mm)；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2.抽屉下垂度≤10mm和抽屉摆动度≤10mm（将抽屉拉出至三分之二伸缩总长位置，用钢卷尺或1m钢直尺测量抽屉水平边的自由下垂和抽屉侧面左右摆动的最大值）。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二、材料要求（3分）：每个不合格项扣0.5分，扣完为止。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样品所选用板材、钢板、五金、封边条、木皮、皮革、面料、脚轮等主要原材料的规格尺寸与采购需求一致。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三、功能性要求（5分）：每个不合格项扣0.5分，扣完为止。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1.铰链、合页、反弹装置、吸合装置、滑轨、倾斜机构、升降机构、翻转机构、插销等部件，安装后应灵活使用；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2.折叠机构：无非预期的自行折叠现象；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3.家具锁锁定到位，开启应灵活；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4.锁定脚轮的锁定装置完好，在开锁状态下应运动灵活；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5.设计美观、实用，能够实现产品的整体使用功能。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四、样品外观（5分）：每个不合格项扣0.5分，扣完为止。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1.金属件：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(1)管材：管材应无裂缝、叠缝，外露管口端面应封闭；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(2)焊接件：焊接处应无脱焊、虚焊、焊穿、错位，焊接处应无夹渣、气孔、焊瘤、焊丝头、咬边、飞溅，焊接处表面波纹应均匀；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(3)冲压件：冲压件应无脱层、裂缝；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(4)铆接件：铆接处应铆接牢固，无漏铆、脱铆，铆钉应端正圆滑，无明显锤印；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(5)金属合金件：无锈蚀、氧化膜脱落、刃口、锐棱，表面细密，应无裂纹、毛刺、黑斑等缺陷；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(6)皱纹或波纹：圆管和扁线管弯曲处弧形应圆滑一致；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(7)喷涂层：涂层应无漏喷、锈蚀和脱色、掉色现象，涂层应光滑均匀，色泽一致，应无流挂、疙瘩、皱皮、飞漆等缺陷；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(8)电镀层：表面应无剥落、返锈、毛刺，表面应无烧焦、起泡、针孔、裂纹、花斑（不包括镀彩锌）和划痕。</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2.木制件：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(1)不应有蛀虫现象；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(2)应无贯通裂缝；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(3)外表应无腐朽材，内表腐朽材面积不应超过零件面积的20%；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(4)外表节子宽度不应超过材宽的1/3，直径不应超过12mm（特殊设计要求除外）；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(5)结合处应无崩茬；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(6)薄木、塑料等材料贴面应无明显透胶、脱胶、凹陷、压痕、鼓泡、胶迹。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3.人造板件外观: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(1)外表应无干花、湿花,内表干花、湿花面积不超过板面的5%；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(2)同一板面外表，允许1处，面积在3mm²～30mm²内；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(3)外表应无明显划痕、压痕；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(4)表面应无明显色差；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(5)外表应无鼓泡、龟裂、分层。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4.漆膜外观要求：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(1)同色部件的色泽应相似；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(2)应无褪色、掉色现象；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(3)涂层不应有皱皮、发粘或漏漆现象；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(4)涂层应平整光滑、清晰、无明显粒子、涨边现象；应无明显加工痕迹、划痕、雾光、白棱、白点、鼓泡、油白、流挂、缩孔、刷毛、积粉和杂渣。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5.软包件：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(1)软面包覆表面：包覆的面料拼接对称图案应完整；同一部位绒面料的绒毛方向应一致；不应有明显色差，包覆的面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料应无破损、严重划痕、色污、油污，应平服饱满，松紧均匀，不应有明显皱折，对称工艺性皱折应匀称，层次分明；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(2)外露泡钉：应排列应整齐，间距基本相等，不应有泡钉明显敲扁或脱漆；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(3)缝纫：线迹间距应均匀，无明显浮线、跳针或外露线头、脱线、开缝、脱胶。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6.塑料件：应无裂纹，无明显变形，应无明显缩孔、气泡、杂质、伤痕，外表用塑料件表面应光洁、无划痕、无污渍、无明显色差。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7.玻璃件：玻璃外露部件不应有裂纹或缺角。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五、制作工艺（5分）：每个不合格项扣0.5分，扣完为止。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1.人造板部件的非交接面应进行封边或涂饰处理；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2.板件或部件在接触人体或贮物部位不应有毛刺、刃口或棱角；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3.板件或部件的外表应光滑，倒棱、圆角、圆线应均匀一致；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4.榫、塞角、零部件等结合处不应断裂；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5.零部件的结合应严密、牢固；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6.各种配件、连接件安装不应有少件、漏钉、透钉（预留孔、选择孔除外）；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7.各种配件安装应严密、平整、端正、牢固，结合处应无开裂或松动；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8.雕刻的图案应均匀、清晰、层次分明，对称部位应对称，凹凸和大挖、过桥、棱角、圆弧处应无缺角；铲底应平整，各部位不应有锤印或毛刺；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9.车木的线形应一致，凹凸台阶应匀称，对称部位应对称，车削线条应清晰，加工表面不应有崩茬、刀痕、砂痕。</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六、结构及安全（5分）：每个不合格项扣0.5分，扣完为止。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1.活动部件间距离≤5mm或≥25mm；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2.所有垂直滑行的部件，在高于闭合点50mm的任一位置，不应自行下落； </w:t>
            </w:r>
          </w:p>
          <w:p>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3.抽屉、键盘、拉篮等推拉构件应有防脱落装置； </w:t>
            </w:r>
          </w:p>
          <w:p>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000000"/>
                <w:kern w:val="0"/>
                <w:sz w:val="21"/>
                <w:szCs w:val="21"/>
                <w:highlight w:val="none"/>
                <w:lang w:val="en-US" w:eastAsia="zh-CN" w:bidi="ar"/>
              </w:rPr>
              <w:t>4.其他结构安全项目通过眼观和手感等方法进行检测。</w:t>
            </w:r>
            <w:bookmarkStart w:id="202" w:name="_GoBack"/>
            <w:bookmarkEnd w:id="202"/>
          </w:p>
        </w:tc>
      </w:tr>
    </w:tbl>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yellow"/>
          <w:lang w:eastAsia="zh-CN"/>
        </w:rPr>
      </w:pPr>
      <w:r>
        <w:rPr>
          <w:rFonts w:hint="eastAsia" w:ascii="仿宋" w:hAnsi="仿宋" w:eastAsia="仿宋" w:cs="仿宋"/>
          <w:b/>
          <w:bCs/>
          <w:iCs/>
          <w:color w:val="auto"/>
          <w:sz w:val="24"/>
          <w:highlight w:val="yellow"/>
          <w:lang w:eastAsia="zh-CN"/>
        </w:rPr>
        <w:t>注：本项目评分细则参照</w:t>
      </w:r>
      <w:r>
        <w:rPr>
          <w:rFonts w:hint="eastAsia" w:ascii="仿宋" w:hAnsi="仿宋" w:eastAsia="仿宋" w:cs="仿宋"/>
          <w:b/>
          <w:bCs/>
          <w:iCs/>
          <w:color w:val="auto"/>
          <w:sz w:val="24"/>
          <w:highlight w:val="yellow"/>
          <w:lang w:val="en-US" w:eastAsia="zh-CN"/>
        </w:rPr>
        <w:t>政府采购-家具项目采购需求标准。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yellow"/>
        </w:rPr>
      </w:pPr>
      <w:r>
        <w:rPr>
          <w:rFonts w:hint="eastAsia" w:ascii="仿宋" w:hAnsi="仿宋" w:eastAsia="仿宋" w:cs="仿宋"/>
          <w:b/>
          <w:bCs/>
          <w:iCs/>
          <w:color w:val="auto"/>
          <w:sz w:val="24"/>
          <w:highlight w:val="yellow"/>
        </w:rPr>
        <w:t>2.2价格分（</w:t>
      </w:r>
      <w:r>
        <w:rPr>
          <w:rFonts w:hint="eastAsia" w:ascii="仿宋" w:hAnsi="仿宋" w:eastAsia="仿宋" w:cs="仿宋"/>
          <w:b/>
          <w:bCs/>
          <w:iCs/>
          <w:color w:val="auto"/>
          <w:sz w:val="24"/>
          <w:highlight w:val="yellow"/>
          <w:u w:val="single"/>
          <w:lang w:val="en-US" w:eastAsia="zh-CN"/>
        </w:rPr>
        <w:t xml:space="preserve"> 35 </w:t>
      </w:r>
      <w:r>
        <w:rPr>
          <w:rFonts w:hint="eastAsia" w:ascii="仿宋" w:hAnsi="仿宋" w:eastAsia="仿宋" w:cs="仿宋"/>
          <w:b/>
          <w:bCs/>
          <w:iCs/>
          <w:color w:val="auto"/>
          <w:sz w:val="24"/>
          <w:highlight w:val="yellow"/>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35 </w:t>
      </w: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bookmarkEnd w:id="41"/>
    <w:bookmarkEnd w:id="42"/>
    <w:p>
      <w:pPr>
        <w:widowControl/>
        <w:adjustRightInd/>
        <w:jc w:val="both"/>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2"/>
        <w:rPr>
          <w:rFonts w:hint="eastAsia" w:ascii="仿宋" w:hAnsi="仿宋" w:eastAsia="仿宋" w:cs="仿宋"/>
          <w:color w:val="auto"/>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hint="eastAsia" w:ascii="仿宋" w:hAnsi="仿宋" w:eastAsia="仿宋" w:cs="仿宋"/>
          <w:b/>
          <w:color w:val="auto"/>
          <w:kern w:val="0"/>
          <w:sz w:val="24"/>
          <w:highlight w:val="none"/>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Style w:val="2"/>
        <w:ind w:left="0" w:leftChars="0" w:firstLine="0" w:firstLineChars="0"/>
        <w:rPr>
          <w:rFonts w:hint="eastAsia" w:ascii="仿宋" w:hAnsi="仿宋" w:eastAsia="仿宋" w:cs="仿宋"/>
        </w:rPr>
      </w:pPr>
    </w:p>
    <w:p>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0"/>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82"/>
        <w:rPr>
          <w:rFonts w:hint="eastAsia" w:ascii="仿宋" w:hAnsi="仿宋" w:eastAsia="仿宋" w:cs="仿宋"/>
          <w:color w:val="auto"/>
          <w:highlight w:val="none"/>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color w:val="auto"/>
          <w:kern w:val="0"/>
          <w:sz w:val="24"/>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82"/>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lang w:eastAsia="zh-CN"/>
        </w:rPr>
      </w:pPr>
    </w:p>
    <w:p>
      <w:pPr>
        <w:spacing w:line="360" w:lineRule="auto"/>
        <w:rPr>
          <w:rFonts w:hint="eastAsia" w:ascii="仿宋" w:hAnsi="仿宋" w:eastAsia="仿宋" w:cs="仿宋"/>
          <w:b/>
          <w:color w:val="auto"/>
          <w:sz w:val="30"/>
          <w:szCs w:val="30"/>
          <w:highlight w:val="none"/>
          <w:lang w:eastAsia="zh-CN"/>
        </w:rPr>
      </w:pPr>
    </w:p>
    <w:p>
      <w:pPr>
        <w:spacing w:line="360" w:lineRule="auto"/>
        <w:rPr>
          <w:rFonts w:hint="eastAsia" w:ascii="仿宋" w:hAnsi="仿宋" w:eastAsia="仿宋" w:cs="仿宋"/>
          <w:b/>
          <w:color w:val="auto"/>
          <w:sz w:val="30"/>
          <w:szCs w:val="30"/>
          <w:highlight w:val="none"/>
          <w:lang w:eastAsia="zh-CN"/>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2"/>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pStyle w:val="82"/>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pStyle w:val="82"/>
        <w:rPr>
          <w:rFonts w:hint="eastAsia" w:ascii="仿宋" w:hAnsi="仿宋" w:eastAsia="仿宋" w:cs="仿宋"/>
          <w:color w:val="auto"/>
          <w:highlight w:val="none"/>
        </w:rPr>
      </w:pP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jc w:val="both"/>
        <w:rPr>
          <w:rFonts w:hint="eastAsia" w:ascii="仿宋" w:hAnsi="仿宋" w:eastAsia="仿宋" w:cs="仿宋"/>
          <w:color w:val="auto"/>
          <w:kern w:val="0"/>
          <w:sz w:val="24"/>
          <w:highlight w:val="none"/>
          <w:lang w:val="zh-CN"/>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18"/>
          <w:szCs w:val="18"/>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24"/>
          <w:highlight w:val="none"/>
        </w:rPr>
      </w:pPr>
    </w:p>
    <w:p>
      <w:pPr>
        <w:pStyle w:val="82"/>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3"/>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2" w:name="_Hlk101259491"/>
      <w:r>
        <w:rPr>
          <w:rFonts w:hint="eastAsia" w:ascii="仿宋" w:hAnsi="仿宋" w:eastAsia="仿宋" w:cs="仿宋"/>
          <w:color w:val="auto"/>
          <w:sz w:val="32"/>
          <w:szCs w:val="32"/>
          <w:highlight w:val="none"/>
        </w:rPr>
        <w:t>（如果有）</w:t>
      </w:r>
      <w:bookmarkEnd w:id="192"/>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hint="eastAsia" w:ascii="仿宋" w:hAnsi="仿宋" w:eastAsia="仿宋" w:cs="仿宋"/>
          <w:b/>
          <w:color w:val="auto"/>
          <w:sz w:val="24"/>
          <w:highlight w:val="none"/>
        </w:rPr>
      </w:pPr>
    </w:p>
    <w:p>
      <w:pPr>
        <w:pStyle w:val="83"/>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2"/>
        <w:rPr>
          <w:rFonts w:hint="eastAsia" w:ascii="仿宋" w:hAnsi="仿宋" w:eastAsia="仿宋" w:cs="仿宋"/>
          <w:b/>
          <w:color w:val="auto"/>
          <w:sz w:val="24"/>
          <w:highlight w:val="none"/>
        </w:rPr>
      </w:pPr>
    </w:p>
    <w:p>
      <w:pPr>
        <w:pStyle w:val="83"/>
        <w:rPr>
          <w:rFonts w:hint="eastAsia" w:ascii="仿宋" w:hAnsi="仿宋" w:eastAsia="仿宋" w:cs="仿宋"/>
          <w:color w:val="auto"/>
          <w:highlight w:val="none"/>
        </w:rPr>
      </w:pPr>
    </w:p>
    <w:p>
      <w:pPr>
        <w:pStyle w:val="83"/>
        <w:rPr>
          <w:rFonts w:hint="eastAsia" w:ascii="仿宋" w:hAnsi="仿宋" w:eastAsia="仿宋" w:cs="仿宋"/>
          <w:color w:val="auto"/>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eastAsia"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83"/>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3" w:name="_Toc465665161"/>
      <w:r>
        <w:rPr>
          <w:rFonts w:hint="eastAsia" w:ascii="仿宋" w:hAnsi="仿宋" w:eastAsia="仿宋" w:cs="仿宋"/>
          <w:color w:val="auto"/>
          <w:highlight w:val="none"/>
        </w:rPr>
        <w:t>附件</w:t>
      </w:r>
      <w:bookmarkEnd w:id="193"/>
    </w:p>
    <w:p>
      <w:pPr>
        <w:spacing w:line="360" w:lineRule="auto"/>
        <w:rPr>
          <w:rFonts w:hint="eastAsia" w:ascii="仿宋" w:hAnsi="仿宋" w:eastAsia="仿宋" w:cs="仿宋"/>
          <w:b/>
          <w:color w:val="auto"/>
          <w:sz w:val="24"/>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rPr>
          <w:rFonts w:hint="eastAsia" w:ascii="仿宋" w:hAnsi="仿宋" w:eastAsia="仿宋" w:cs="仿宋"/>
          <w:color w:val="auto"/>
          <w:highlight w:val="none"/>
        </w:rPr>
      </w:pP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rPr>
          <w:rFonts w:hint="eastAsia" w:ascii="仿宋" w:hAnsi="仿宋" w:eastAsia="仿宋" w:cs="仿宋"/>
          <w:color w:val="auto"/>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hint="eastAsia" w:ascii="仿宋" w:hAnsi="仿宋" w:eastAsia="仿宋" w:cs="仿宋"/>
          <w:color w:val="auto"/>
          <w:kern w:val="0"/>
          <w:sz w:val="24"/>
          <w:highlight w:val="none"/>
          <w:lang w:val="zh-CN"/>
        </w:rPr>
      </w:pPr>
      <w:bookmarkStart w:id="194"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4"/>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5"/>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pStyle w:val="83"/>
        <w:rPr>
          <w:rFonts w:hint="eastAsia" w:ascii="仿宋" w:hAnsi="仿宋" w:eastAsia="仿宋" w:cs="仿宋"/>
          <w:color w:val="auto"/>
          <w:highlight w:val="none"/>
        </w:rPr>
      </w:pPr>
    </w:p>
    <w:p>
      <w:pPr>
        <w:spacing w:line="360" w:lineRule="auto"/>
        <w:jc w:val="both"/>
        <w:rPr>
          <w:rFonts w:hint="eastAsia" w:ascii="仿宋" w:hAnsi="仿宋" w:eastAsia="仿宋" w:cs="仿宋"/>
          <w:b/>
          <w:color w:val="auto"/>
          <w:spacing w:val="6"/>
          <w:sz w:val="32"/>
          <w:szCs w:val="32"/>
          <w:highlight w:val="none"/>
        </w:rPr>
      </w:pPr>
      <w:bookmarkStart w:id="196" w:name="OLE_LINK13"/>
      <w:bookmarkStart w:id="197" w:name="OLE_LINK14"/>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6"/>
    <w:bookmarkEnd w:id="197"/>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rFonts w:hint="eastAsia" w:ascii="仿宋" w:hAnsi="仿宋" w:eastAsia="仿宋" w:cs="仿宋"/>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8" w:name="_Toc91899912"/>
    <w:bookmarkStart w:id="199" w:name="_Toc131845147"/>
    <w:bookmarkStart w:id="200" w:name="_Toc164085800"/>
    <w:bookmarkStart w:id="201" w:name="_Toc36110187"/>
    <w:r>
      <w:rPr>
        <w:rFonts w:hint="eastAsia" w:ascii="仿宋_GB2312" w:eastAsia="仿宋_GB2312"/>
        <w:kern w:val="0"/>
        <w:szCs w:val="21"/>
      </w:rPr>
      <w:t xml:space="preserve"> 页</w:t>
    </w:r>
    <w:bookmarkEnd w:id="198"/>
    <w:bookmarkEnd w:id="199"/>
    <w:bookmarkEnd w:id="200"/>
    <w:bookmarkEnd w:id="20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DB2329"/>
    <w:multiLevelType w:val="singleLevel"/>
    <w:tmpl w:val="CEDB2329"/>
    <w:lvl w:ilvl="0" w:tentative="0">
      <w:start w:val="10"/>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9D8BBFF"/>
    <w:multiLevelType w:val="singleLevel"/>
    <w:tmpl w:val="29D8BBFF"/>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小炜">
    <w15:presenceInfo w15:providerId="None" w15:userId="王小炜"/>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iMTc5Mjg0YWFmNjAwZTBjOGFiODc5N2VmNzc1NDQifQ=="/>
  </w:docVars>
  <w:rsids>
    <w:rsidRoot w:val="00000000"/>
    <w:rsid w:val="02F1210D"/>
    <w:rsid w:val="033E089E"/>
    <w:rsid w:val="06190FCC"/>
    <w:rsid w:val="06D74677"/>
    <w:rsid w:val="08C43471"/>
    <w:rsid w:val="09751930"/>
    <w:rsid w:val="0983157E"/>
    <w:rsid w:val="0E6E5F02"/>
    <w:rsid w:val="0FA0239A"/>
    <w:rsid w:val="10B26C72"/>
    <w:rsid w:val="12BA02DC"/>
    <w:rsid w:val="12CC3225"/>
    <w:rsid w:val="14127BE9"/>
    <w:rsid w:val="16557BC2"/>
    <w:rsid w:val="169E17AF"/>
    <w:rsid w:val="22450EB3"/>
    <w:rsid w:val="26D47812"/>
    <w:rsid w:val="2CDA6E57"/>
    <w:rsid w:val="349F688E"/>
    <w:rsid w:val="38D974AF"/>
    <w:rsid w:val="3F326AC0"/>
    <w:rsid w:val="48C54A66"/>
    <w:rsid w:val="4DE4148C"/>
    <w:rsid w:val="4FAE554B"/>
    <w:rsid w:val="50C301CB"/>
    <w:rsid w:val="522D310C"/>
    <w:rsid w:val="56DE6A0A"/>
    <w:rsid w:val="57DAE6E1"/>
    <w:rsid w:val="5F665FB3"/>
    <w:rsid w:val="62C024A1"/>
    <w:rsid w:val="642152E2"/>
    <w:rsid w:val="65077AE2"/>
    <w:rsid w:val="6AEF1016"/>
    <w:rsid w:val="6D7F1965"/>
    <w:rsid w:val="70B76B39"/>
    <w:rsid w:val="729E74BD"/>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link w:val="9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4"/>
    <w:qFormat/>
    <w:uiPriority w:val="0"/>
    <w:pPr>
      <w:shd w:val="clear" w:color="auto" w:fill="000080"/>
    </w:pPr>
  </w:style>
  <w:style w:type="paragraph" w:styleId="20">
    <w:name w:val="annotation text"/>
    <w:basedOn w:val="1"/>
    <w:link w:val="345"/>
    <w:qFormat/>
    <w:uiPriority w:val="99"/>
    <w:pPr>
      <w:jc w:val="left"/>
    </w:pPr>
  </w:style>
  <w:style w:type="paragraph" w:styleId="21">
    <w:name w:val="Salutation"/>
    <w:basedOn w:val="1"/>
    <w:next w:val="1"/>
    <w:link w:val="299"/>
    <w:qFormat/>
    <w:uiPriority w:val="0"/>
    <w:rPr>
      <w:rFonts w:ascii="仿宋_GB2312" w:eastAsia="仿宋_GB2312"/>
      <w:sz w:val="28"/>
      <w:szCs w:val="20"/>
    </w:rPr>
  </w:style>
  <w:style w:type="paragraph" w:styleId="22">
    <w:name w:val="Body Text 3"/>
    <w:basedOn w:val="1"/>
    <w:link w:val="331"/>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1"/>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2"/>
    <w:qFormat/>
    <w:uiPriority w:val="0"/>
    <w:pPr>
      <w:ind w:firstLine="420"/>
    </w:pPr>
    <w:rPr>
      <w:rFonts w:hAnsi="Calibri" w:cs="Times New Roman"/>
      <w:snapToGrid/>
      <w:szCs w:val="20"/>
    </w:rPr>
  </w:style>
  <w:style w:type="paragraph" w:styleId="26">
    <w:name w:val="Body Text Indent"/>
    <w:basedOn w:val="1"/>
    <w:next w:val="27"/>
    <w:link w:val="266"/>
    <w:qFormat/>
    <w:uiPriority w:val="0"/>
    <w:pPr>
      <w:spacing w:line="480" w:lineRule="exact"/>
      <w:ind w:firstLine="480" w:firstLineChars="200"/>
    </w:pPr>
    <w:rPr>
      <w:rFonts w:ascii="宋体" w:hAnsi="宋体"/>
      <w:sz w:val="24"/>
    </w:rPr>
  </w:style>
  <w:style w:type="paragraph" w:styleId="27">
    <w:name w:val="envelope return"/>
    <w:basedOn w:val="1"/>
    <w:qFormat/>
    <w:uiPriority w:val="0"/>
    <w:pPr>
      <w:snapToGrid w:val="0"/>
    </w:pPr>
    <w:rPr>
      <w:rFonts w:ascii="Arial" w:hAnsi="Arial"/>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7"/>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3"/>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2"/>
    <w:qFormat/>
    <w:uiPriority w:val="0"/>
    <w:rPr>
      <w:lang w:val="zh-CN"/>
    </w:rPr>
  </w:style>
  <w:style w:type="paragraph" w:styleId="41">
    <w:name w:val="Balloon Text"/>
    <w:basedOn w:val="1"/>
    <w:link w:val="190"/>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6"/>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8"/>
    <w:qFormat/>
    <w:uiPriority w:val="0"/>
    <w:rPr>
      <w:b/>
      <w:bCs/>
    </w:rPr>
  </w:style>
  <w:style w:type="paragraph" w:styleId="63">
    <w:name w:val="Body Text First Indent 2"/>
    <w:basedOn w:val="26"/>
    <w:link w:val="123"/>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basedOn w:val="71"/>
    <w:link w:val="5"/>
    <w:qFormat/>
    <w:uiPriority w:val="0"/>
    <w:rPr>
      <w:b/>
      <w:bCs/>
      <w:sz w:val="32"/>
      <w:szCs w:val="32"/>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8"/>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1"/>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16"/>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9"/>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2"/>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6"/>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1"/>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5"/>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2"/>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qFormat/>
    <w:uiPriority w:val="0"/>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2"/>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16"/>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40"/>
    <w:qFormat/>
    <w:uiPriority w:val="0"/>
    <w:rPr>
      <w:kern w:val="2"/>
      <w:sz w:val="21"/>
      <w:szCs w:val="24"/>
      <w:lang w:val="zh-CN"/>
    </w:rPr>
  </w:style>
  <w:style w:type="character" w:customStyle="1" w:styleId="933">
    <w:name w:val="无间隔 Char"/>
    <w:link w:val="484"/>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51129</Words>
  <Characters>54218</Characters>
  <Paragraphs>2030</Paragraphs>
  <TotalTime>1</TotalTime>
  <ScaleCrop>false</ScaleCrop>
  <LinksUpToDate>false</LinksUpToDate>
  <CharactersWithSpaces>61529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kk</cp:lastModifiedBy>
  <cp:lastPrinted>2021-12-28T11:06:00Z</cp:lastPrinted>
  <dcterms:modified xsi:type="dcterms:W3CDTF">2023-10-11T08:09:46Z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