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Arial"/>
          <w:b/>
          <w:color w:val="auto"/>
          <w:kern w:val="0"/>
          <w:sz w:val="48"/>
          <w:szCs w:val="48"/>
          <w:highlight w:val="none"/>
        </w:rPr>
      </w:pPr>
    </w:p>
    <w:p>
      <w:pPr>
        <w:jc w:val="center"/>
        <w:outlineLvl w:val="0"/>
        <w:rPr>
          <w:rFonts w:hint="eastAsia" w:ascii="仿宋" w:hAnsi="仿宋" w:eastAsia="仿宋" w:cs="Arial"/>
          <w:b/>
          <w:color w:val="auto"/>
          <w:kern w:val="0"/>
          <w:sz w:val="48"/>
          <w:szCs w:val="48"/>
          <w:highlight w:val="none"/>
          <w:lang w:eastAsia="zh-CN"/>
        </w:rPr>
      </w:pPr>
      <w:r>
        <w:rPr>
          <w:rFonts w:hint="eastAsia" w:ascii="仿宋" w:hAnsi="仿宋" w:eastAsia="仿宋" w:cs="Arial"/>
          <w:b/>
          <w:color w:val="auto"/>
          <w:kern w:val="0"/>
          <w:sz w:val="48"/>
          <w:szCs w:val="48"/>
          <w:highlight w:val="none"/>
          <w:lang w:eastAsia="zh-CN"/>
        </w:rPr>
        <w:t>绍兴市中医院2021-2023年度食堂大宗食品用品配送准入项目</w:t>
      </w:r>
    </w:p>
    <w:p>
      <w:pPr>
        <w:outlineLvl w:val="0"/>
        <w:rPr>
          <w:rFonts w:ascii="仿宋" w:hAnsi="仿宋" w:eastAsia="仿宋"/>
          <w:color w:val="auto"/>
          <w:kern w:val="0"/>
          <w:sz w:val="44"/>
          <w:highlight w:val="none"/>
        </w:rPr>
      </w:pPr>
    </w:p>
    <w:p>
      <w:pPr>
        <w:jc w:val="center"/>
        <w:outlineLvl w:val="0"/>
        <w:rPr>
          <w:rFonts w:ascii="仿宋" w:hAnsi="仿宋" w:eastAsia="仿宋" w:cs="Arial"/>
          <w:b/>
          <w:color w:val="auto"/>
          <w:kern w:val="0"/>
          <w:sz w:val="72"/>
          <w:szCs w:val="72"/>
          <w:highlight w:val="none"/>
        </w:rPr>
      </w:pPr>
      <w:r>
        <w:rPr>
          <w:rFonts w:hint="eastAsia" w:ascii="仿宋" w:hAnsi="仿宋" w:eastAsia="仿宋" w:cs="Arial"/>
          <w:b/>
          <w:color w:val="auto"/>
          <w:kern w:val="0"/>
          <w:sz w:val="72"/>
          <w:szCs w:val="72"/>
          <w:highlight w:val="none"/>
        </w:rPr>
        <w:t>公</w:t>
      </w:r>
    </w:p>
    <w:p>
      <w:pPr>
        <w:jc w:val="center"/>
        <w:outlineLvl w:val="0"/>
        <w:rPr>
          <w:rFonts w:ascii="仿宋" w:hAnsi="仿宋" w:eastAsia="仿宋" w:cs="Arial"/>
          <w:b/>
          <w:color w:val="auto"/>
          <w:kern w:val="0"/>
          <w:sz w:val="72"/>
          <w:szCs w:val="72"/>
          <w:highlight w:val="none"/>
        </w:rPr>
      </w:pPr>
      <w:r>
        <w:rPr>
          <w:rFonts w:hint="eastAsia" w:ascii="仿宋" w:hAnsi="仿宋" w:eastAsia="仿宋" w:cs="Arial"/>
          <w:b/>
          <w:color w:val="auto"/>
          <w:kern w:val="0"/>
          <w:sz w:val="72"/>
          <w:szCs w:val="72"/>
          <w:highlight w:val="none"/>
        </w:rPr>
        <w:t>开</w:t>
      </w:r>
    </w:p>
    <w:p>
      <w:pPr>
        <w:jc w:val="center"/>
        <w:outlineLvl w:val="0"/>
        <w:rPr>
          <w:rFonts w:ascii="仿宋" w:hAnsi="仿宋" w:eastAsia="仿宋" w:cs="Arial"/>
          <w:b/>
          <w:color w:val="auto"/>
          <w:kern w:val="0"/>
          <w:sz w:val="72"/>
          <w:szCs w:val="72"/>
          <w:highlight w:val="none"/>
        </w:rPr>
      </w:pPr>
      <w:r>
        <w:rPr>
          <w:rFonts w:hint="eastAsia" w:ascii="仿宋" w:hAnsi="仿宋" w:eastAsia="仿宋" w:cs="Arial"/>
          <w:b/>
          <w:color w:val="auto"/>
          <w:kern w:val="0"/>
          <w:sz w:val="72"/>
          <w:szCs w:val="72"/>
          <w:highlight w:val="none"/>
        </w:rPr>
        <w:t>招</w:t>
      </w:r>
    </w:p>
    <w:p>
      <w:pPr>
        <w:jc w:val="center"/>
        <w:outlineLvl w:val="0"/>
        <w:rPr>
          <w:rFonts w:ascii="仿宋" w:hAnsi="仿宋" w:eastAsia="仿宋" w:cs="Arial"/>
          <w:b/>
          <w:color w:val="auto"/>
          <w:kern w:val="0"/>
          <w:sz w:val="72"/>
          <w:szCs w:val="72"/>
          <w:highlight w:val="none"/>
        </w:rPr>
      </w:pPr>
      <w:r>
        <w:rPr>
          <w:rFonts w:hint="eastAsia" w:ascii="仿宋" w:hAnsi="仿宋" w:eastAsia="仿宋" w:cs="Arial"/>
          <w:b/>
          <w:color w:val="auto"/>
          <w:kern w:val="0"/>
          <w:sz w:val="72"/>
          <w:szCs w:val="72"/>
          <w:highlight w:val="none"/>
        </w:rPr>
        <w:t>标</w:t>
      </w:r>
    </w:p>
    <w:p>
      <w:pPr>
        <w:jc w:val="center"/>
        <w:outlineLvl w:val="0"/>
        <w:rPr>
          <w:rFonts w:ascii="仿宋" w:hAnsi="仿宋" w:eastAsia="仿宋"/>
          <w:b/>
          <w:color w:val="auto"/>
          <w:kern w:val="0"/>
          <w:sz w:val="72"/>
          <w:szCs w:val="72"/>
          <w:highlight w:val="none"/>
        </w:rPr>
      </w:pPr>
      <w:r>
        <w:rPr>
          <w:rFonts w:hint="eastAsia" w:ascii="仿宋" w:hAnsi="仿宋" w:eastAsia="仿宋"/>
          <w:b/>
          <w:color w:val="auto"/>
          <w:kern w:val="0"/>
          <w:sz w:val="72"/>
          <w:szCs w:val="72"/>
          <w:highlight w:val="none"/>
        </w:rPr>
        <w:t>文</w:t>
      </w:r>
    </w:p>
    <w:p>
      <w:pPr>
        <w:jc w:val="center"/>
        <w:outlineLvl w:val="0"/>
        <w:rPr>
          <w:rFonts w:ascii="仿宋" w:hAnsi="仿宋" w:eastAsia="仿宋"/>
          <w:color w:val="auto"/>
          <w:kern w:val="0"/>
          <w:sz w:val="44"/>
          <w:highlight w:val="none"/>
        </w:rPr>
      </w:pPr>
      <w:r>
        <w:rPr>
          <w:rFonts w:hint="eastAsia" w:ascii="仿宋" w:hAnsi="仿宋" w:eastAsia="仿宋"/>
          <w:b/>
          <w:color w:val="auto"/>
          <w:kern w:val="0"/>
          <w:sz w:val="72"/>
          <w:szCs w:val="72"/>
          <w:highlight w:val="none"/>
        </w:rPr>
        <w:t>件</w:t>
      </w:r>
    </w:p>
    <w:p>
      <w:pPr>
        <w:jc w:val="center"/>
        <w:outlineLvl w:val="0"/>
        <w:rPr>
          <w:rFonts w:ascii="仿宋" w:hAnsi="仿宋" w:eastAsia="仿宋"/>
          <w:color w:val="auto"/>
          <w:kern w:val="0"/>
          <w:sz w:val="44"/>
          <w:highlight w:val="none"/>
        </w:rPr>
      </w:pPr>
    </w:p>
    <w:p>
      <w:pPr>
        <w:jc w:val="center"/>
        <w:outlineLvl w:val="0"/>
        <w:rPr>
          <w:rFonts w:ascii="仿宋" w:hAnsi="仿宋" w:eastAsia="仿宋"/>
          <w:color w:val="auto"/>
          <w:kern w:val="0"/>
          <w:sz w:val="44"/>
          <w:highlight w:val="none"/>
        </w:rPr>
      </w:pPr>
    </w:p>
    <w:p>
      <w:pPr>
        <w:jc w:val="center"/>
        <w:rPr>
          <w:rFonts w:hint="eastAsia" w:ascii="仿宋" w:hAnsi="仿宋" w:eastAsia="仿宋"/>
          <w:b/>
          <w:color w:val="auto"/>
          <w:kern w:val="0"/>
          <w:sz w:val="24"/>
          <w:highlight w:val="none"/>
          <w:lang w:eastAsia="zh-CN"/>
        </w:rPr>
      </w:pPr>
      <w:r>
        <w:rPr>
          <w:rFonts w:hint="eastAsia" w:ascii="仿宋" w:hAnsi="仿宋" w:eastAsia="仿宋"/>
          <w:b/>
          <w:color w:val="auto"/>
          <w:kern w:val="0"/>
          <w:sz w:val="28"/>
          <w:szCs w:val="28"/>
          <w:highlight w:val="none"/>
        </w:rPr>
        <w:t>招标编号:</w:t>
      </w:r>
      <w:r>
        <w:rPr>
          <w:rFonts w:hint="eastAsia" w:ascii="仿宋" w:hAnsi="仿宋" w:eastAsia="仿宋"/>
          <w:b/>
          <w:color w:val="auto"/>
          <w:kern w:val="0"/>
          <w:sz w:val="28"/>
          <w:szCs w:val="28"/>
          <w:highlight w:val="none"/>
          <w:lang w:eastAsia="zh-CN"/>
        </w:rPr>
        <w:t>TYJZ2021</w:t>
      </w:r>
    </w:p>
    <w:tbl>
      <w:tblPr>
        <w:tblStyle w:val="39"/>
        <w:tblW w:w="7801" w:type="dxa"/>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504" w:hRule="atLeast"/>
          <w:jc w:val="center"/>
        </w:trPr>
        <w:tc>
          <w:tcPr>
            <w:tcW w:w="2356" w:type="dxa"/>
          </w:tcPr>
          <w:p>
            <w:pPr>
              <w:spacing w:after="100" w:afterAutospacing="1" w:line="44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采购单位：</w:t>
            </w:r>
          </w:p>
        </w:tc>
        <w:tc>
          <w:tcPr>
            <w:tcW w:w="5445" w:type="dxa"/>
          </w:tcPr>
          <w:p>
            <w:pPr>
              <w:outlineLvl w:val="0"/>
              <w:rPr>
                <w:rFonts w:hint="eastAsia" w:ascii="仿宋" w:hAnsi="仿宋" w:eastAsia="仿宋"/>
                <w:color w:val="auto"/>
                <w:kern w:val="0"/>
                <w:sz w:val="28"/>
                <w:szCs w:val="28"/>
                <w:highlight w:val="none"/>
                <w:lang w:eastAsia="zh-CN"/>
              </w:rPr>
            </w:pPr>
            <w:r>
              <w:rPr>
                <w:rFonts w:hint="eastAsia" w:ascii="仿宋" w:hAnsi="仿宋" w:eastAsia="仿宋"/>
                <w:color w:val="auto"/>
                <w:kern w:val="0"/>
                <w:sz w:val="28"/>
                <w:szCs w:val="28"/>
                <w:highlight w:val="none"/>
                <w:lang w:eastAsia="zh-CN"/>
              </w:rPr>
              <w:t>绍兴市中医院</w:t>
            </w:r>
          </w:p>
        </w:tc>
      </w:tr>
      <w:tr>
        <w:tblPrEx>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ascii="仿宋" w:hAnsi="仿宋" w:eastAsia="仿宋"/>
                <w:color w:val="auto"/>
                <w:sz w:val="28"/>
                <w:szCs w:val="28"/>
                <w:highlight w:val="none"/>
              </w:rPr>
            </w:pPr>
            <w:r>
              <w:rPr>
                <w:rFonts w:hint="eastAsia" w:ascii="仿宋" w:hAnsi="仿宋" w:eastAsia="仿宋"/>
                <w:color w:val="auto"/>
                <w:spacing w:val="12"/>
                <w:w w:val="93"/>
                <w:kern w:val="0"/>
                <w:sz w:val="28"/>
                <w:szCs w:val="28"/>
                <w:highlight w:val="none"/>
              </w:rPr>
              <w:t>招标代理单</w:t>
            </w:r>
            <w:r>
              <w:rPr>
                <w:rFonts w:hint="eastAsia" w:ascii="仿宋" w:hAnsi="仿宋" w:eastAsia="仿宋"/>
                <w:color w:val="auto"/>
                <w:w w:val="93"/>
                <w:kern w:val="0"/>
                <w:sz w:val="28"/>
                <w:szCs w:val="28"/>
                <w:highlight w:val="none"/>
              </w:rPr>
              <w:t>位</w:t>
            </w:r>
            <w:r>
              <w:rPr>
                <w:rFonts w:hint="eastAsia" w:ascii="仿宋" w:hAnsi="仿宋" w:eastAsia="仿宋"/>
                <w:color w:val="auto"/>
                <w:sz w:val="28"/>
                <w:szCs w:val="28"/>
                <w:highlight w:val="none"/>
              </w:rPr>
              <w:t>：</w:t>
            </w:r>
          </w:p>
        </w:tc>
        <w:tc>
          <w:tcPr>
            <w:tcW w:w="5445" w:type="dxa"/>
          </w:tcPr>
          <w:p>
            <w:pPr>
              <w:spacing w:after="100" w:afterAutospacing="1" w:line="4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泰宇建筑工程技术咨询有限公司</w:t>
            </w:r>
          </w:p>
        </w:tc>
      </w:tr>
      <w:tr>
        <w:tblPrEx>
          <w:tblCellMar>
            <w:top w:w="0" w:type="dxa"/>
            <w:left w:w="108" w:type="dxa"/>
            <w:bottom w:w="0" w:type="dxa"/>
            <w:right w:w="108" w:type="dxa"/>
          </w:tblCellMar>
        </w:tblPrEx>
        <w:trPr>
          <w:trHeight w:val="397" w:hRule="atLeast"/>
          <w:jc w:val="center"/>
        </w:trPr>
        <w:tc>
          <w:tcPr>
            <w:tcW w:w="7801" w:type="dxa"/>
            <w:gridSpan w:val="2"/>
          </w:tcPr>
          <w:p>
            <w:pPr>
              <w:spacing w:after="100" w:afterAutospacing="1" w:line="44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二○二</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eastAsia="zh-CN"/>
              </w:rPr>
              <w:t>七</w:t>
            </w:r>
            <w:r>
              <w:rPr>
                <w:rFonts w:hint="eastAsia" w:ascii="仿宋" w:hAnsi="仿宋" w:eastAsia="仿宋"/>
                <w:color w:val="auto"/>
                <w:sz w:val="28"/>
                <w:szCs w:val="28"/>
                <w:highlight w:val="none"/>
              </w:rPr>
              <w:t>月</w:t>
            </w:r>
          </w:p>
        </w:tc>
      </w:tr>
    </w:tbl>
    <w:p>
      <w:pPr>
        <w:jc w:val="center"/>
        <w:rPr>
          <w:rFonts w:ascii="仿宋" w:hAnsi="仿宋" w:eastAsia="仿宋"/>
          <w:b/>
          <w:color w:val="auto"/>
          <w:sz w:val="44"/>
          <w:szCs w:val="44"/>
          <w:highlight w:val="none"/>
        </w:rPr>
      </w:pPr>
    </w:p>
    <w:p>
      <w:pPr>
        <w:jc w:val="center"/>
        <w:rPr>
          <w:rFonts w:ascii="仿宋" w:hAnsi="仿宋" w:eastAsia="仿宋"/>
          <w:b/>
          <w:color w:val="auto"/>
          <w:sz w:val="44"/>
          <w:szCs w:val="44"/>
          <w:highlight w:val="none"/>
        </w:rPr>
      </w:pPr>
    </w:p>
    <w:p>
      <w:pPr>
        <w:jc w:val="center"/>
        <w:rPr>
          <w:rFonts w:ascii="仿宋" w:hAnsi="仿宋" w:eastAsia="仿宋"/>
          <w:b/>
          <w:color w:val="auto"/>
          <w:sz w:val="44"/>
          <w:szCs w:val="44"/>
          <w:highlight w:val="none"/>
        </w:rPr>
      </w:pPr>
    </w:p>
    <w:p>
      <w:pPr>
        <w:jc w:val="center"/>
        <w:rPr>
          <w:rFonts w:ascii="仿宋" w:hAnsi="仿宋" w:eastAsia="仿宋"/>
          <w:b/>
          <w:color w:val="auto"/>
          <w:sz w:val="44"/>
          <w:szCs w:val="44"/>
          <w:highlight w:val="none"/>
        </w:rPr>
      </w:pP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目录</w:t>
      </w:r>
    </w:p>
    <w:p>
      <w:pPr>
        <w:jc w:val="center"/>
        <w:rPr>
          <w:rFonts w:ascii="仿宋" w:hAnsi="仿宋" w:eastAsia="仿宋"/>
          <w:b/>
          <w:color w:val="auto"/>
          <w:sz w:val="44"/>
          <w:szCs w:val="44"/>
          <w:highlight w:val="none"/>
        </w:rPr>
      </w:pPr>
    </w:p>
    <w:p>
      <w:pPr>
        <w:jc w:val="center"/>
        <w:rPr>
          <w:rFonts w:ascii="仿宋" w:hAnsi="仿宋" w:eastAsia="仿宋"/>
          <w:color w:val="auto"/>
          <w:highlight w:val="none"/>
        </w:rPr>
      </w:pPr>
    </w:p>
    <w:p>
      <w:pPr>
        <w:snapToGrid w:val="0"/>
        <w:spacing w:line="480" w:lineRule="auto"/>
        <w:ind w:firstLine="1807" w:firstLineChars="5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第一部分    招标公告</w:t>
      </w:r>
    </w:p>
    <w:p>
      <w:pPr>
        <w:snapToGrid w:val="0"/>
        <w:spacing w:line="480" w:lineRule="auto"/>
        <w:ind w:firstLine="1807" w:firstLineChars="5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第二部分    投标须知</w:t>
      </w:r>
    </w:p>
    <w:p>
      <w:pPr>
        <w:snapToGrid w:val="0"/>
        <w:spacing w:line="480" w:lineRule="auto"/>
        <w:ind w:firstLine="1807" w:firstLineChars="5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第三部分    招标项目范围及要求</w:t>
      </w:r>
    </w:p>
    <w:p>
      <w:pPr>
        <w:snapToGrid w:val="0"/>
        <w:spacing w:line="480" w:lineRule="auto"/>
        <w:ind w:firstLine="1807" w:firstLineChars="5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第四部分    授予合同</w:t>
      </w:r>
    </w:p>
    <w:p>
      <w:pPr>
        <w:snapToGrid w:val="0"/>
        <w:spacing w:line="480" w:lineRule="auto"/>
        <w:ind w:firstLine="1807" w:firstLineChars="5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第五部分    评标方法及标准</w:t>
      </w:r>
    </w:p>
    <w:p>
      <w:pPr>
        <w:snapToGrid w:val="0"/>
        <w:spacing w:line="480" w:lineRule="auto"/>
        <w:ind w:firstLine="1807" w:firstLineChars="50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第六部分    投标文件及其附件格式</w:t>
      </w:r>
    </w:p>
    <w:p>
      <w:pPr>
        <w:snapToGrid w:val="0"/>
        <w:spacing w:line="480" w:lineRule="auto"/>
        <w:jc w:val="left"/>
        <w:rPr>
          <w:rFonts w:ascii="仿宋" w:hAnsi="仿宋" w:eastAsia="仿宋"/>
          <w:color w:val="auto"/>
          <w:sz w:val="36"/>
          <w:szCs w:val="36"/>
          <w:highlight w:val="none"/>
        </w:rPr>
      </w:pPr>
    </w:p>
    <w:p>
      <w:pPr>
        <w:snapToGrid w:val="0"/>
        <w:spacing w:line="480" w:lineRule="auto"/>
        <w:jc w:val="left"/>
        <w:rPr>
          <w:rFonts w:ascii="仿宋" w:hAnsi="仿宋" w:eastAsia="仿宋"/>
          <w:color w:val="auto"/>
          <w:sz w:val="36"/>
          <w:szCs w:val="36"/>
          <w:highlight w:val="none"/>
        </w:rPr>
      </w:pPr>
    </w:p>
    <w:p>
      <w:pPr>
        <w:snapToGrid w:val="0"/>
        <w:spacing w:line="480" w:lineRule="auto"/>
        <w:jc w:val="left"/>
        <w:rPr>
          <w:rFonts w:ascii="仿宋" w:hAnsi="仿宋" w:eastAsia="仿宋"/>
          <w:color w:val="auto"/>
          <w:sz w:val="36"/>
          <w:szCs w:val="36"/>
          <w:highlight w:val="none"/>
        </w:rPr>
      </w:pPr>
    </w:p>
    <w:p>
      <w:pPr>
        <w:pageBreakBefore/>
        <w:snapToGrid w:val="0"/>
        <w:spacing w:line="600" w:lineRule="exact"/>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第一部分 招标公告</w:t>
      </w:r>
    </w:p>
    <w:p>
      <w:pPr>
        <w:pStyle w:val="54"/>
        <w:spacing w:afterLines="0" w:line="440" w:lineRule="exact"/>
        <w:ind w:firstLine="480"/>
        <w:rPr>
          <w:rFonts w:ascii="仿宋" w:hAnsi="仿宋" w:eastAsia="仿宋"/>
          <w:color w:val="auto"/>
          <w:szCs w:val="24"/>
          <w:highlight w:val="none"/>
        </w:rPr>
      </w:pPr>
      <w:r>
        <w:rPr>
          <w:rFonts w:hint="eastAsia" w:ascii="仿宋" w:hAnsi="仿宋" w:eastAsia="仿宋"/>
          <w:color w:val="auto"/>
          <w:szCs w:val="24"/>
          <w:highlight w:val="none"/>
        </w:rPr>
        <w:t>根据《中华人民共和国政府采购法》的有关法律规定，泰宇建筑工程技术咨询有限公司受</w:t>
      </w:r>
      <w:r>
        <w:rPr>
          <w:rFonts w:hint="eastAsia" w:ascii="仿宋" w:hAnsi="仿宋" w:eastAsia="仿宋"/>
          <w:b/>
          <w:color w:val="auto"/>
          <w:szCs w:val="24"/>
          <w:highlight w:val="none"/>
          <w:lang w:eastAsia="zh-CN"/>
        </w:rPr>
        <w:t>绍兴市中医院</w:t>
      </w:r>
      <w:r>
        <w:rPr>
          <w:rFonts w:hint="eastAsia" w:ascii="仿宋" w:hAnsi="仿宋" w:eastAsia="仿宋"/>
          <w:color w:val="auto"/>
          <w:szCs w:val="24"/>
          <w:highlight w:val="none"/>
        </w:rPr>
        <w:t>委托，就下列项目进行</w:t>
      </w:r>
      <w:r>
        <w:rPr>
          <w:rFonts w:hint="eastAsia" w:ascii="仿宋" w:hAnsi="仿宋" w:eastAsia="仿宋"/>
          <w:b/>
          <w:color w:val="auto"/>
          <w:szCs w:val="24"/>
          <w:highlight w:val="none"/>
        </w:rPr>
        <w:t>公开招标</w:t>
      </w:r>
      <w:r>
        <w:rPr>
          <w:rFonts w:hint="eastAsia" w:ascii="仿宋" w:hAnsi="仿宋" w:eastAsia="仿宋"/>
          <w:color w:val="auto"/>
          <w:szCs w:val="24"/>
          <w:highlight w:val="none"/>
        </w:rPr>
        <w:t>，现将有关事项公告如下：</w:t>
      </w:r>
    </w:p>
    <w:p>
      <w:pPr>
        <w:spacing w:line="440" w:lineRule="exact"/>
        <w:ind w:firstLine="480" w:firstLineChars="200"/>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rPr>
        <w:t>一、</w:t>
      </w:r>
      <w:r>
        <w:rPr>
          <w:rFonts w:hint="eastAsia" w:ascii="仿宋" w:hAnsi="仿宋" w:eastAsia="仿宋" w:cs="Arial"/>
          <w:b/>
          <w:bCs/>
          <w:color w:val="auto"/>
          <w:sz w:val="24"/>
          <w:highlight w:val="none"/>
        </w:rPr>
        <w:t>招标编号：</w:t>
      </w:r>
      <w:r>
        <w:rPr>
          <w:rFonts w:hint="eastAsia" w:ascii="仿宋" w:hAnsi="仿宋" w:eastAsia="仿宋" w:cs="Arial"/>
          <w:b/>
          <w:bCs/>
          <w:color w:val="auto"/>
          <w:sz w:val="24"/>
          <w:highlight w:val="none"/>
          <w:lang w:eastAsia="zh-CN"/>
        </w:rPr>
        <w:t>TYJZ2021</w:t>
      </w:r>
    </w:p>
    <w:p>
      <w:pPr>
        <w:spacing w:line="440" w:lineRule="exact"/>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二、</w:t>
      </w:r>
      <w:r>
        <w:rPr>
          <w:rFonts w:hint="eastAsia" w:ascii="仿宋" w:hAnsi="仿宋" w:eastAsia="仿宋" w:cs="Arial"/>
          <w:b/>
          <w:color w:val="auto"/>
          <w:sz w:val="24"/>
          <w:highlight w:val="none"/>
        </w:rPr>
        <w:t>采购组织类型及方式：</w:t>
      </w:r>
      <w:r>
        <w:rPr>
          <w:rFonts w:hint="eastAsia" w:ascii="仿宋" w:hAnsi="仿宋" w:eastAsia="仿宋"/>
          <w:color w:val="auto"/>
          <w:kern w:val="0"/>
          <w:sz w:val="24"/>
          <w:highlight w:val="none"/>
        </w:rPr>
        <w:t>分散采购委托代理</w:t>
      </w:r>
      <w:r>
        <w:rPr>
          <w:rFonts w:ascii="仿宋" w:hAnsi="仿宋" w:eastAsia="仿宋"/>
          <w:color w:val="auto"/>
          <w:kern w:val="0"/>
          <w:sz w:val="24"/>
          <w:highlight w:val="none"/>
        </w:rPr>
        <w:t>-</w:t>
      </w:r>
      <w:r>
        <w:rPr>
          <w:rFonts w:hint="eastAsia" w:ascii="仿宋" w:hAnsi="仿宋" w:eastAsia="仿宋"/>
          <w:color w:val="auto"/>
          <w:kern w:val="0"/>
          <w:sz w:val="24"/>
          <w:highlight w:val="none"/>
        </w:rPr>
        <w:t>公开招标</w:t>
      </w:r>
    </w:p>
    <w:p>
      <w:pPr>
        <w:spacing w:line="440" w:lineRule="exact"/>
        <w:ind w:firstLine="480" w:firstLineChars="200"/>
        <w:rPr>
          <w:rFonts w:ascii="仿宋" w:hAnsi="仿宋" w:eastAsia="仿宋" w:cs="Arial"/>
          <w:b/>
          <w:bCs/>
          <w:color w:val="auto"/>
          <w:sz w:val="24"/>
          <w:highlight w:val="none"/>
        </w:rPr>
      </w:pPr>
      <w:r>
        <w:rPr>
          <w:rFonts w:hint="eastAsia" w:ascii="仿宋" w:hAnsi="仿宋" w:eastAsia="仿宋" w:cs="Arial"/>
          <w:color w:val="auto"/>
          <w:sz w:val="24"/>
          <w:highlight w:val="none"/>
        </w:rPr>
        <w:t>三、</w:t>
      </w:r>
      <w:r>
        <w:rPr>
          <w:rFonts w:hint="eastAsia" w:ascii="仿宋" w:hAnsi="仿宋" w:eastAsia="仿宋" w:cs="Arial"/>
          <w:b/>
          <w:bCs/>
          <w:color w:val="auto"/>
          <w:sz w:val="24"/>
          <w:highlight w:val="none"/>
        </w:rPr>
        <w:t>招标项目名称及数量：详见招标文件</w:t>
      </w:r>
    </w:p>
    <w:tbl>
      <w:tblPr>
        <w:tblStyle w:val="3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845"/>
        <w:gridCol w:w="1973"/>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7" w:type="dxa"/>
            <w:vAlign w:val="center"/>
          </w:tcPr>
          <w:p>
            <w:pPr>
              <w:jc w:val="center"/>
              <w:rPr>
                <w:rFonts w:ascii="仿宋" w:hAnsi="仿宋" w:eastAsia="仿宋" w:cs="Arial"/>
                <w:b/>
                <w:color w:val="auto"/>
                <w:szCs w:val="21"/>
                <w:highlight w:val="none"/>
              </w:rPr>
            </w:pPr>
            <w:r>
              <w:rPr>
                <w:rFonts w:hint="eastAsia" w:ascii="仿宋" w:hAnsi="仿宋" w:eastAsia="仿宋" w:cs="宋体"/>
                <w:b/>
                <w:color w:val="auto"/>
                <w:szCs w:val="21"/>
                <w:highlight w:val="none"/>
              </w:rPr>
              <w:t>标项</w:t>
            </w:r>
          </w:p>
        </w:tc>
        <w:tc>
          <w:tcPr>
            <w:tcW w:w="3845" w:type="dxa"/>
            <w:vAlign w:val="center"/>
          </w:tcPr>
          <w:p>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标段名称及数量</w:t>
            </w:r>
          </w:p>
          <w:p>
            <w:pPr>
              <w:jc w:val="center"/>
              <w:rPr>
                <w:rFonts w:ascii="仿宋" w:hAnsi="仿宋" w:eastAsia="仿宋" w:cs="Arial"/>
                <w:b/>
                <w:color w:val="auto"/>
                <w:szCs w:val="21"/>
                <w:highlight w:val="none"/>
              </w:rPr>
            </w:pPr>
            <w:r>
              <w:rPr>
                <w:rFonts w:hint="eastAsia" w:ascii="仿宋" w:hAnsi="仿宋" w:eastAsia="仿宋"/>
                <w:b/>
                <w:bCs/>
                <w:color w:val="auto"/>
                <w:szCs w:val="21"/>
                <w:highlight w:val="none"/>
              </w:rPr>
              <w:t>（详见招标文件）</w:t>
            </w:r>
          </w:p>
        </w:tc>
        <w:tc>
          <w:tcPr>
            <w:tcW w:w="1973" w:type="dxa"/>
            <w:vAlign w:val="center"/>
          </w:tcPr>
          <w:p>
            <w:pPr>
              <w:jc w:val="center"/>
              <w:rPr>
                <w:rFonts w:ascii="仿宋" w:hAnsi="仿宋" w:eastAsia="仿宋" w:cs="Arial"/>
                <w:b/>
                <w:color w:val="auto"/>
                <w:szCs w:val="21"/>
                <w:highlight w:val="none"/>
              </w:rPr>
            </w:pPr>
            <w:r>
              <w:rPr>
                <w:rFonts w:hint="eastAsia" w:ascii="仿宋" w:hAnsi="仿宋" w:eastAsia="仿宋" w:cs="Arial"/>
                <w:b/>
                <w:color w:val="auto"/>
                <w:szCs w:val="21"/>
                <w:highlight w:val="none"/>
              </w:rPr>
              <w:t>预算金额或上限价（单位：人民币元）</w:t>
            </w:r>
          </w:p>
        </w:tc>
        <w:tc>
          <w:tcPr>
            <w:tcW w:w="1695" w:type="dxa"/>
            <w:vAlign w:val="center"/>
          </w:tcPr>
          <w:p>
            <w:pPr>
              <w:jc w:val="center"/>
              <w:rPr>
                <w:rFonts w:ascii="仿宋" w:hAnsi="仿宋" w:eastAsia="仿宋" w:cs="Arial"/>
                <w:b/>
                <w:color w:val="auto"/>
                <w:szCs w:val="21"/>
                <w:highlight w:val="none"/>
              </w:rPr>
            </w:pPr>
            <w:r>
              <w:rPr>
                <w:rFonts w:hint="eastAsia" w:ascii="仿宋" w:hAnsi="仿宋" w:eastAsia="仿宋" w:cs="Arial"/>
                <w:b/>
                <w:color w:val="auto"/>
                <w:szCs w:val="21"/>
                <w:highlight w:val="none"/>
              </w:rPr>
              <w:t>投标保证金（单位：人民币元）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17" w:type="dxa"/>
            <w:vAlign w:val="center"/>
          </w:tcPr>
          <w:p>
            <w:pPr>
              <w:jc w:val="center"/>
              <w:rPr>
                <w:rFonts w:hint="eastAsia" w:ascii="仿宋" w:hAnsi="Times New Roman" w:eastAsia="仿宋" w:cs="Times New Roman"/>
                <w:color w:val="auto"/>
                <w:sz w:val="24"/>
                <w:highlight w:val="none"/>
                <w:lang w:val="en-US" w:eastAsia="zh-CN"/>
              </w:rPr>
            </w:pPr>
            <w:r>
              <w:rPr>
                <w:rFonts w:hint="eastAsia" w:ascii="仿宋" w:hAnsi="Times New Roman" w:eastAsia="仿宋" w:cs="Times New Roman"/>
                <w:color w:val="auto"/>
                <w:sz w:val="24"/>
                <w:highlight w:val="none"/>
                <w:lang w:val="en-US" w:eastAsia="zh-CN"/>
              </w:rPr>
              <w:t>01标</w:t>
            </w:r>
          </w:p>
        </w:tc>
        <w:tc>
          <w:tcPr>
            <w:tcW w:w="3845" w:type="dxa"/>
            <w:vAlign w:val="center"/>
          </w:tcPr>
          <w:p>
            <w:pPr>
              <w:jc w:val="center"/>
              <w:rPr>
                <w:rFonts w:hint="eastAsia" w:ascii="仿宋" w:hAnsi="Times New Roman" w:eastAsia="仿宋" w:cs="Times New Roman"/>
                <w:color w:val="auto"/>
                <w:sz w:val="24"/>
                <w:highlight w:val="none"/>
                <w:lang w:val="en-US" w:eastAsia="zh-CN"/>
              </w:rPr>
            </w:pPr>
            <w:r>
              <w:rPr>
                <w:rFonts w:hint="eastAsia" w:ascii="仿宋" w:hAnsi="Times New Roman" w:eastAsia="仿宋" w:cs="Times New Roman"/>
                <w:color w:val="auto"/>
                <w:sz w:val="24"/>
                <w:highlight w:val="none"/>
                <w:lang w:val="en-US" w:eastAsia="zh-CN"/>
              </w:rPr>
              <w:t>粮油类、调味品及日用品类</w:t>
            </w:r>
          </w:p>
        </w:tc>
        <w:tc>
          <w:tcPr>
            <w:tcW w:w="1973" w:type="dxa"/>
            <w:vAlign w:val="center"/>
          </w:tcPr>
          <w:p>
            <w:pPr>
              <w:jc w:val="center"/>
              <w:rPr>
                <w:rFonts w:hint="eastAsia" w:ascii="仿宋" w:hAnsi="Times New Roman" w:eastAsia="仿宋" w:cs="Times New Roman"/>
                <w:color w:val="auto"/>
                <w:sz w:val="24"/>
                <w:highlight w:val="none"/>
                <w:lang w:val="en-US" w:eastAsia="zh-CN"/>
              </w:rPr>
            </w:pPr>
            <w:r>
              <w:rPr>
                <w:rFonts w:hint="eastAsia" w:ascii="仿宋" w:hAnsi="Times New Roman" w:eastAsia="仿宋" w:cs="Times New Roman"/>
                <w:color w:val="auto"/>
                <w:sz w:val="24"/>
                <w:highlight w:val="none"/>
                <w:lang w:val="en-US" w:eastAsia="zh-CN"/>
              </w:rPr>
              <w:t>￥2600000.00</w:t>
            </w:r>
          </w:p>
        </w:tc>
        <w:tc>
          <w:tcPr>
            <w:tcW w:w="1695" w:type="dxa"/>
            <w:vAlign w:val="center"/>
          </w:tcPr>
          <w:p>
            <w:pPr>
              <w:jc w:val="center"/>
              <w:rPr>
                <w:rFonts w:hint="eastAsia" w:ascii="仿宋" w:hAnsi="Times New Roman" w:eastAsia="仿宋" w:cs="Times New Roman"/>
                <w:color w:val="auto"/>
                <w:sz w:val="24"/>
                <w:highlight w:val="none"/>
                <w:lang w:val="en-US" w:eastAsia="zh-CN"/>
              </w:rPr>
            </w:pPr>
            <w:r>
              <w:rPr>
                <w:rFonts w:hint="eastAsia" w:ascii="仿宋" w:hAnsi="Times New Roman" w:eastAsia="仿宋" w:cs="Times New Roman"/>
                <w:color w:val="auto"/>
                <w:sz w:val="24"/>
                <w:highlight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17" w:type="dxa"/>
            <w:vAlign w:val="center"/>
          </w:tcPr>
          <w:p>
            <w:pPr>
              <w:jc w:val="center"/>
              <w:rPr>
                <w:rFonts w:hint="eastAsia" w:ascii="仿宋" w:hAnsi="Times New Roman" w:eastAsia="仿宋" w:cs="Times New Roman"/>
                <w:color w:val="auto"/>
                <w:sz w:val="24"/>
                <w:highlight w:val="none"/>
                <w:lang w:val="en-US" w:eastAsia="zh-CN"/>
              </w:rPr>
            </w:pPr>
            <w:r>
              <w:rPr>
                <w:rFonts w:hint="eastAsia" w:ascii="仿宋" w:hAnsi="Times New Roman" w:eastAsia="仿宋" w:cs="Times New Roman"/>
                <w:color w:val="auto"/>
                <w:sz w:val="24"/>
                <w:highlight w:val="none"/>
                <w:lang w:val="en-US" w:eastAsia="zh-CN"/>
              </w:rPr>
              <w:t>02标</w:t>
            </w:r>
          </w:p>
        </w:tc>
        <w:tc>
          <w:tcPr>
            <w:tcW w:w="3845" w:type="dxa"/>
            <w:vAlign w:val="center"/>
          </w:tcPr>
          <w:p>
            <w:pPr>
              <w:jc w:val="center"/>
              <w:rPr>
                <w:rFonts w:hint="eastAsia" w:ascii="仿宋" w:hAnsi="Times New Roman" w:eastAsia="仿宋" w:cs="Times New Roman"/>
                <w:color w:val="auto"/>
                <w:sz w:val="24"/>
                <w:highlight w:val="none"/>
                <w:lang w:val="zh-CN" w:eastAsia="zh-CN"/>
              </w:rPr>
            </w:pPr>
            <w:r>
              <w:rPr>
                <w:rFonts w:hint="eastAsia" w:ascii="仿宋" w:hAnsi="Times New Roman" w:eastAsia="仿宋" w:cs="Times New Roman"/>
                <w:color w:val="auto"/>
                <w:sz w:val="24"/>
                <w:highlight w:val="none"/>
                <w:lang w:val="en-US" w:eastAsia="zh-CN"/>
              </w:rPr>
              <w:t>菜蔬类</w:t>
            </w:r>
          </w:p>
        </w:tc>
        <w:tc>
          <w:tcPr>
            <w:tcW w:w="1973" w:type="dxa"/>
            <w:vAlign w:val="center"/>
          </w:tcPr>
          <w:p>
            <w:pPr>
              <w:jc w:val="center"/>
              <w:rPr>
                <w:rFonts w:hint="eastAsia" w:ascii="仿宋" w:hAnsi="Times New Roman" w:eastAsia="仿宋" w:cs="Times New Roman"/>
                <w:color w:val="auto"/>
                <w:sz w:val="24"/>
                <w:highlight w:val="none"/>
                <w:lang w:val="en-US" w:eastAsia="zh-CN"/>
              </w:rPr>
            </w:pPr>
            <w:r>
              <w:rPr>
                <w:rFonts w:hint="eastAsia" w:ascii="仿宋" w:hAnsi="Times New Roman" w:eastAsia="仿宋" w:cs="Times New Roman"/>
                <w:color w:val="auto"/>
                <w:sz w:val="24"/>
                <w:highlight w:val="none"/>
                <w:lang w:val="en-US" w:eastAsia="zh-CN"/>
              </w:rPr>
              <w:t>￥7000000.00</w:t>
            </w:r>
          </w:p>
        </w:tc>
        <w:tc>
          <w:tcPr>
            <w:tcW w:w="1695" w:type="dxa"/>
            <w:vAlign w:val="center"/>
          </w:tcPr>
          <w:p>
            <w:pPr>
              <w:jc w:val="center"/>
              <w:rPr>
                <w:rFonts w:hint="eastAsia" w:ascii="仿宋" w:hAnsi="Times New Roman" w:eastAsia="仿宋" w:cs="Times New Roman"/>
                <w:color w:val="auto"/>
                <w:sz w:val="24"/>
                <w:highlight w:val="none"/>
                <w:lang w:val="en-US" w:eastAsia="zh-CN"/>
              </w:rPr>
            </w:pPr>
            <w:r>
              <w:rPr>
                <w:rFonts w:hint="eastAsia" w:ascii="仿宋" w:hAnsi="Times New Roman" w:eastAsia="仿宋" w:cs="Times New Roman"/>
                <w:color w:val="auto"/>
                <w:sz w:val="24"/>
                <w:highlight w:val="none"/>
                <w:lang w:val="en-US" w:eastAsia="zh-CN"/>
              </w:rPr>
              <w:t>￥0.00</w:t>
            </w:r>
          </w:p>
        </w:tc>
      </w:tr>
    </w:tbl>
    <w:p>
      <w:pPr>
        <w:spacing w:line="400" w:lineRule="exact"/>
        <w:rPr>
          <w:rFonts w:hint="eastAsia" w:ascii="仿宋" w:hAnsi="仿宋" w:eastAsia="仿宋" w:cs="仿宋"/>
          <w:b/>
          <w:color w:val="FF0000"/>
          <w:kern w:val="0"/>
          <w:sz w:val="24"/>
          <w:highlight w:val="none"/>
        </w:rPr>
      </w:pPr>
      <w:r>
        <w:rPr>
          <w:rFonts w:hint="eastAsia" w:ascii="仿宋" w:hAnsi="仿宋" w:eastAsia="仿宋" w:cs="仿宋"/>
          <w:b/>
          <w:color w:val="FF0000"/>
          <w:kern w:val="0"/>
          <w:sz w:val="24"/>
          <w:highlight w:val="none"/>
        </w:rPr>
        <w:t>注：1.采购预算金额为预估值，采购数量根据医院实际需求确定。</w:t>
      </w:r>
    </w:p>
    <w:p>
      <w:pPr>
        <w:spacing w:line="400" w:lineRule="exact"/>
        <w:rPr>
          <w:rFonts w:hint="eastAsia" w:ascii="仿宋" w:hAnsi="仿宋" w:eastAsia="仿宋" w:cs="仿宋"/>
          <w:b/>
          <w:color w:val="FF0000"/>
          <w:kern w:val="0"/>
          <w:sz w:val="24"/>
          <w:highlight w:val="none"/>
        </w:rPr>
      </w:pPr>
      <w:r>
        <w:rPr>
          <w:rFonts w:hint="eastAsia" w:ascii="仿宋" w:hAnsi="仿宋" w:eastAsia="仿宋" w:cs="仿宋"/>
          <w:b/>
          <w:color w:val="FF0000"/>
          <w:kern w:val="0"/>
          <w:sz w:val="24"/>
          <w:highlight w:val="none"/>
        </w:rPr>
        <w:t>2.本项目分</w:t>
      </w:r>
      <w:r>
        <w:rPr>
          <w:rFonts w:hint="eastAsia" w:ascii="仿宋" w:hAnsi="仿宋" w:eastAsia="仿宋" w:cs="仿宋"/>
          <w:b/>
          <w:color w:val="FF0000"/>
          <w:kern w:val="0"/>
          <w:sz w:val="24"/>
          <w:highlight w:val="none"/>
          <w:lang w:val="en-US" w:eastAsia="zh-CN"/>
        </w:rPr>
        <w:t>2</w:t>
      </w:r>
      <w:r>
        <w:rPr>
          <w:rFonts w:hint="eastAsia" w:ascii="仿宋" w:hAnsi="仿宋" w:eastAsia="仿宋" w:cs="仿宋"/>
          <w:b/>
          <w:color w:val="FF0000"/>
          <w:kern w:val="0"/>
          <w:sz w:val="24"/>
          <w:highlight w:val="none"/>
        </w:rPr>
        <w:t>个标段,供应商可以同时报名参加</w:t>
      </w:r>
      <w:r>
        <w:rPr>
          <w:rFonts w:hint="eastAsia" w:ascii="仿宋" w:hAnsi="仿宋" w:eastAsia="仿宋" w:cs="仿宋"/>
          <w:b/>
          <w:color w:val="FF0000"/>
          <w:kern w:val="0"/>
          <w:sz w:val="24"/>
          <w:highlight w:val="none"/>
          <w:lang w:val="en-US" w:eastAsia="zh-CN"/>
        </w:rPr>
        <w:t>2</w:t>
      </w:r>
      <w:r>
        <w:rPr>
          <w:rFonts w:hint="eastAsia" w:ascii="仿宋" w:hAnsi="仿宋" w:eastAsia="仿宋" w:cs="仿宋"/>
          <w:b/>
          <w:color w:val="FF0000"/>
          <w:kern w:val="0"/>
          <w:sz w:val="24"/>
          <w:highlight w:val="none"/>
        </w:rPr>
        <w:t>个标段投标，允许同时中标。</w:t>
      </w:r>
    </w:p>
    <w:p>
      <w:pPr>
        <w:spacing w:line="400" w:lineRule="exact"/>
        <w:rPr>
          <w:rFonts w:hint="eastAsia" w:ascii="仿宋" w:hAnsi="仿宋" w:eastAsia="仿宋" w:cs="仿宋"/>
          <w:b/>
          <w:color w:val="FF0000"/>
          <w:kern w:val="0"/>
          <w:sz w:val="24"/>
          <w:highlight w:val="none"/>
        </w:rPr>
      </w:pPr>
      <w:r>
        <w:rPr>
          <w:rFonts w:hint="eastAsia" w:ascii="仿宋" w:hAnsi="仿宋" w:eastAsia="仿宋" w:cs="仿宋"/>
          <w:b/>
          <w:color w:val="FF0000"/>
          <w:kern w:val="0"/>
          <w:sz w:val="24"/>
          <w:highlight w:val="none"/>
        </w:rPr>
        <w:t>3.供应商报名多个标段投标，投标文件必须按每个标段分别制作，不允许多标段打包制作。</w:t>
      </w:r>
    </w:p>
    <w:p>
      <w:pPr>
        <w:spacing w:line="440" w:lineRule="exact"/>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四、采购人的采购需求：详见招标文件</w:t>
      </w:r>
      <w:bookmarkStart w:id="16" w:name="_GoBack"/>
      <w:bookmarkEnd w:id="16"/>
    </w:p>
    <w:p>
      <w:pPr>
        <w:spacing w:line="440" w:lineRule="exact"/>
        <w:ind w:firstLine="422" w:firstLineChars="175"/>
        <w:rPr>
          <w:rFonts w:ascii="仿宋" w:hAnsi="仿宋" w:eastAsia="仿宋" w:cs="Arial"/>
          <w:color w:val="auto"/>
          <w:sz w:val="24"/>
          <w:highlight w:val="none"/>
        </w:rPr>
      </w:pPr>
      <w:r>
        <w:rPr>
          <w:rFonts w:hint="eastAsia" w:ascii="仿宋" w:hAnsi="仿宋" w:eastAsia="仿宋" w:cs="Arial"/>
          <w:b/>
          <w:color w:val="auto"/>
          <w:sz w:val="24"/>
          <w:highlight w:val="none"/>
          <w:lang w:eastAsia="zh-CN"/>
        </w:rPr>
        <w:t>五</w:t>
      </w:r>
      <w:r>
        <w:rPr>
          <w:rFonts w:hint="eastAsia" w:ascii="仿宋" w:hAnsi="仿宋" w:eastAsia="仿宋" w:cs="Arial"/>
          <w:b/>
          <w:color w:val="auto"/>
          <w:sz w:val="24"/>
          <w:highlight w:val="none"/>
        </w:rPr>
        <w:t>、</w:t>
      </w:r>
      <w:r>
        <w:rPr>
          <w:rFonts w:hint="eastAsia" w:ascii="仿宋" w:hAnsi="仿宋" w:eastAsia="仿宋" w:cs="Arial"/>
          <w:b/>
          <w:bCs/>
          <w:color w:val="auto"/>
          <w:sz w:val="24"/>
          <w:highlight w:val="none"/>
        </w:rPr>
        <w:t>供应商的资格要求：</w:t>
      </w:r>
    </w:p>
    <w:p>
      <w:pPr>
        <w:spacing w:line="420" w:lineRule="exact"/>
        <w:ind w:firstLine="540" w:firstLineChars="225"/>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1.符合政府采购法第二十二条之供应商资格规定。</w:t>
      </w:r>
    </w:p>
    <w:p>
      <w:pPr>
        <w:spacing w:line="420" w:lineRule="exact"/>
        <w:ind w:firstLine="540" w:firstLineChars="225"/>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2.未被“信用中国”（www.creditchina.gov.cn）、中国政府采购网（www.ccgp.gov.cn）列入失信被执行人、重大税收违法案件当事人名单、政府采购严重违法失信行为记录名单。</w:t>
      </w:r>
    </w:p>
    <w:p>
      <w:pPr>
        <w:spacing w:line="36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3.对本项目具有供货能力的供应商，具有有效食品经营许可证或食品生产许可证，许可项目与生产经营品种相一致</w:t>
      </w:r>
      <w:r>
        <w:rPr>
          <w:rFonts w:hint="eastAsia" w:ascii="仿宋" w:eastAsia="仿宋" w:cs="宋体"/>
          <w:color w:val="auto"/>
          <w:kern w:val="0"/>
          <w:sz w:val="24"/>
          <w:highlight w:val="none"/>
        </w:rPr>
        <w:t>；</w:t>
      </w:r>
    </w:p>
    <w:p>
      <w:pPr>
        <w:autoSpaceDE w:val="0"/>
        <w:autoSpaceDN w:val="0"/>
        <w:adjustRightInd w:val="0"/>
        <w:spacing w:line="42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4.不接受联合体投标。</w:t>
      </w:r>
    </w:p>
    <w:p>
      <w:pPr>
        <w:spacing w:line="440" w:lineRule="exact"/>
        <w:ind w:firstLine="424" w:firstLineChars="176"/>
        <w:rPr>
          <w:rFonts w:ascii="仿宋" w:hAnsi="仿宋" w:eastAsia="仿宋" w:cs="Arial"/>
          <w:b/>
          <w:bCs/>
          <w:color w:val="auto"/>
          <w:sz w:val="24"/>
          <w:highlight w:val="none"/>
        </w:rPr>
      </w:pPr>
      <w:r>
        <w:rPr>
          <w:rFonts w:hint="eastAsia" w:ascii="仿宋" w:hAnsi="仿宋" w:eastAsia="仿宋" w:cs="Arial"/>
          <w:b/>
          <w:bCs/>
          <w:color w:val="auto"/>
          <w:sz w:val="24"/>
          <w:highlight w:val="none"/>
          <w:lang w:eastAsia="zh-CN"/>
        </w:rPr>
        <w:t>六</w:t>
      </w:r>
      <w:r>
        <w:rPr>
          <w:rFonts w:hint="eastAsia" w:ascii="仿宋" w:hAnsi="仿宋" w:eastAsia="仿宋" w:cs="Arial"/>
          <w:b/>
          <w:bCs/>
          <w:color w:val="auto"/>
          <w:sz w:val="24"/>
          <w:highlight w:val="none"/>
        </w:rPr>
        <w:t>、资格审查方式：</w:t>
      </w:r>
    </w:p>
    <w:p>
      <w:pPr>
        <w:spacing w:line="440" w:lineRule="exact"/>
        <w:ind w:firstLine="540" w:firstLineChars="225"/>
        <w:rPr>
          <w:rFonts w:ascii="仿宋" w:hAnsi="仿宋" w:eastAsia="仿宋" w:cs="Arial"/>
          <w:bCs/>
          <w:color w:val="auto"/>
          <w:sz w:val="24"/>
          <w:highlight w:val="none"/>
        </w:rPr>
      </w:pPr>
      <w:r>
        <w:rPr>
          <w:rFonts w:hint="eastAsia" w:ascii="仿宋" w:hAnsi="仿宋" w:eastAsia="仿宋" w:cs="Arial"/>
          <w:bCs/>
          <w:color w:val="auto"/>
          <w:sz w:val="24"/>
          <w:highlight w:val="none"/>
        </w:rPr>
        <w:t>1.资格后审。</w:t>
      </w:r>
    </w:p>
    <w:p>
      <w:pPr>
        <w:spacing w:line="440" w:lineRule="exact"/>
        <w:ind w:firstLine="540" w:firstLineChars="225"/>
        <w:rPr>
          <w:rFonts w:ascii="仿宋" w:hAnsi="仿宋" w:eastAsia="仿宋" w:cs="Arial"/>
          <w:bCs/>
          <w:color w:val="auto"/>
          <w:sz w:val="24"/>
          <w:highlight w:val="none"/>
        </w:rPr>
      </w:pPr>
      <w:r>
        <w:rPr>
          <w:rFonts w:hint="eastAsia" w:ascii="仿宋" w:hAnsi="仿宋" w:eastAsia="仿宋" w:cs="Arial"/>
          <w:bCs/>
          <w:color w:val="auto"/>
          <w:sz w:val="24"/>
          <w:highlight w:val="none"/>
        </w:rPr>
        <w:t>2.</w:t>
      </w:r>
      <w:r>
        <w:rPr>
          <w:rFonts w:ascii="仿宋" w:hAnsi="仿宋" w:eastAsia="仿宋" w:cs="Arial"/>
          <w:bCs/>
          <w:color w:val="auto"/>
          <w:sz w:val="24"/>
          <w:highlight w:val="none"/>
        </w:rPr>
        <w:t>法定代表人</w:t>
      </w:r>
      <w:r>
        <w:rPr>
          <w:rFonts w:hint="eastAsia" w:ascii="仿宋" w:hAnsi="仿宋" w:eastAsia="仿宋" w:cs="Arial"/>
          <w:bCs/>
          <w:color w:val="auto"/>
          <w:sz w:val="24"/>
          <w:highlight w:val="none"/>
        </w:rPr>
        <w:t>的被</w:t>
      </w:r>
      <w:r>
        <w:rPr>
          <w:rFonts w:ascii="仿宋" w:hAnsi="仿宋" w:eastAsia="仿宋" w:cs="Arial"/>
          <w:bCs/>
          <w:color w:val="auto"/>
          <w:sz w:val="24"/>
          <w:highlight w:val="none"/>
        </w:rPr>
        <w:t>授权委托人必须是</w:t>
      </w:r>
      <w:r>
        <w:rPr>
          <w:rFonts w:hint="eastAsia" w:ascii="仿宋" w:hAnsi="仿宋" w:eastAsia="仿宋" w:cs="Arial"/>
          <w:bCs/>
          <w:color w:val="auto"/>
          <w:sz w:val="24"/>
          <w:highlight w:val="none"/>
        </w:rPr>
        <w:t>投标</w:t>
      </w:r>
      <w:r>
        <w:rPr>
          <w:rFonts w:ascii="仿宋" w:hAnsi="仿宋" w:eastAsia="仿宋" w:cs="Arial"/>
          <w:bCs/>
          <w:color w:val="auto"/>
          <w:sz w:val="24"/>
          <w:highlight w:val="none"/>
        </w:rPr>
        <w:t>单位职工</w:t>
      </w:r>
      <w:r>
        <w:rPr>
          <w:rFonts w:hint="eastAsia" w:ascii="仿宋" w:hAnsi="仿宋" w:eastAsia="仿宋" w:cs="Arial"/>
          <w:bCs/>
          <w:color w:val="auto"/>
          <w:sz w:val="24"/>
          <w:highlight w:val="none"/>
        </w:rPr>
        <w:t>。需</w:t>
      </w:r>
      <w:r>
        <w:rPr>
          <w:rFonts w:ascii="仿宋" w:hAnsi="仿宋" w:eastAsia="仿宋" w:cs="Arial"/>
          <w:bCs/>
          <w:color w:val="auto"/>
          <w:sz w:val="24"/>
          <w:highlight w:val="none"/>
        </w:rPr>
        <w:t>在投标响应文件技术部分内</w:t>
      </w:r>
      <w:r>
        <w:rPr>
          <w:rFonts w:hint="eastAsia" w:ascii="仿宋" w:hAnsi="仿宋" w:eastAsia="仿宋" w:cs="Arial"/>
          <w:bCs/>
          <w:color w:val="auto"/>
          <w:sz w:val="24"/>
          <w:highlight w:val="none"/>
        </w:rPr>
        <w:t>提</w:t>
      </w:r>
      <w:r>
        <w:rPr>
          <w:rFonts w:ascii="仿宋" w:hAnsi="仿宋" w:eastAsia="仿宋" w:cs="Arial"/>
          <w:bCs/>
          <w:color w:val="auto"/>
          <w:sz w:val="24"/>
          <w:highlight w:val="none"/>
        </w:rPr>
        <w:t>供</w:t>
      </w:r>
      <w:r>
        <w:rPr>
          <w:rFonts w:hint="eastAsia" w:ascii="仿宋" w:hAnsi="仿宋" w:eastAsia="仿宋" w:cs="Arial"/>
          <w:bCs/>
          <w:color w:val="auto"/>
          <w:sz w:val="24"/>
          <w:highlight w:val="none"/>
        </w:rPr>
        <w:t>由社保机构出具的</w:t>
      </w:r>
      <w:r>
        <w:rPr>
          <w:rFonts w:ascii="仿宋" w:hAnsi="仿宋" w:eastAsia="仿宋" w:cs="Arial"/>
          <w:bCs/>
          <w:color w:val="auto"/>
          <w:sz w:val="24"/>
          <w:highlight w:val="none"/>
        </w:rPr>
        <w:t>该</w:t>
      </w:r>
      <w:r>
        <w:rPr>
          <w:rFonts w:hint="eastAsia" w:ascii="仿宋" w:hAnsi="仿宋" w:eastAsia="仿宋" w:cs="Arial"/>
          <w:bCs/>
          <w:color w:val="auto"/>
          <w:sz w:val="24"/>
          <w:highlight w:val="none"/>
        </w:rPr>
        <w:t>授权代表</w:t>
      </w:r>
      <w:r>
        <w:rPr>
          <w:rFonts w:ascii="仿宋" w:hAnsi="仿宋" w:eastAsia="仿宋" w:cs="Arial"/>
          <w:bCs/>
          <w:color w:val="auto"/>
          <w:sz w:val="24"/>
          <w:highlight w:val="none"/>
        </w:rPr>
        <w:t>的</w:t>
      </w:r>
      <w:r>
        <w:rPr>
          <w:rFonts w:hint="eastAsia" w:ascii="仿宋" w:hAnsi="仿宋" w:eastAsia="仿宋" w:cs="Arial"/>
          <w:bCs/>
          <w:color w:val="auto"/>
          <w:sz w:val="24"/>
          <w:highlight w:val="none"/>
        </w:rPr>
        <w:t>社保证明（1.如该授权代表为</w:t>
      </w:r>
      <w:r>
        <w:rPr>
          <w:rFonts w:ascii="仿宋" w:hAnsi="仿宋" w:eastAsia="仿宋" w:cs="Arial"/>
          <w:bCs/>
          <w:color w:val="auto"/>
          <w:sz w:val="24"/>
          <w:highlight w:val="none"/>
        </w:rPr>
        <w:t>离退休返聘人员的，投标响应文件技术部分内</w:t>
      </w:r>
      <w:r>
        <w:rPr>
          <w:rFonts w:hint="eastAsia" w:ascii="仿宋" w:hAnsi="仿宋" w:eastAsia="仿宋" w:cs="Arial"/>
          <w:bCs/>
          <w:color w:val="auto"/>
          <w:sz w:val="24"/>
          <w:highlight w:val="none"/>
        </w:rPr>
        <w:t>需提供</w:t>
      </w:r>
      <w:r>
        <w:rPr>
          <w:rFonts w:ascii="仿宋" w:hAnsi="仿宋" w:eastAsia="仿宋" w:cs="Arial"/>
          <w:bCs/>
          <w:color w:val="auto"/>
          <w:sz w:val="24"/>
          <w:highlight w:val="none"/>
        </w:rPr>
        <w:t>退休证明及单位聘用证明</w:t>
      </w:r>
      <w:r>
        <w:rPr>
          <w:rFonts w:hint="eastAsia" w:ascii="仿宋" w:hAnsi="仿宋" w:eastAsia="仿宋" w:cs="Arial"/>
          <w:bCs/>
          <w:color w:val="auto"/>
          <w:sz w:val="24"/>
          <w:highlight w:val="none"/>
        </w:rPr>
        <w:t>;2.如由第三方代理社保事项的，则需提供加盖投标人公章的委托代理协议复印件）</w:t>
      </w:r>
      <w:r>
        <w:rPr>
          <w:rFonts w:ascii="仿宋" w:hAnsi="仿宋" w:eastAsia="仿宋" w:cs="Arial"/>
          <w:bCs/>
          <w:color w:val="auto"/>
          <w:sz w:val="24"/>
          <w:highlight w:val="none"/>
        </w:rPr>
        <w:t>。</w:t>
      </w:r>
    </w:p>
    <w:p>
      <w:pPr>
        <w:spacing w:line="440" w:lineRule="exact"/>
        <w:ind w:firstLine="542" w:firstLineChars="225"/>
        <w:rPr>
          <w:rFonts w:ascii="仿宋" w:hAnsi="仿宋" w:eastAsia="仿宋" w:cs="Arial"/>
          <w:color w:val="auto"/>
          <w:sz w:val="24"/>
          <w:highlight w:val="none"/>
        </w:rPr>
      </w:pPr>
      <w:r>
        <w:rPr>
          <w:rFonts w:hint="eastAsia" w:ascii="仿宋" w:hAnsi="仿宋" w:eastAsia="仿宋" w:cs="Arial"/>
          <w:b/>
          <w:bCs/>
          <w:color w:val="auto"/>
          <w:sz w:val="24"/>
          <w:highlight w:val="none"/>
          <w:lang w:eastAsia="zh-CN"/>
        </w:rPr>
        <w:t>七</w:t>
      </w:r>
      <w:r>
        <w:rPr>
          <w:rFonts w:hint="eastAsia" w:ascii="仿宋" w:hAnsi="仿宋" w:eastAsia="仿宋" w:cs="Arial"/>
          <w:b/>
          <w:bCs/>
          <w:color w:val="auto"/>
          <w:sz w:val="24"/>
          <w:highlight w:val="none"/>
        </w:rPr>
        <w:t>、招标文件提供方式、时间及地点等</w:t>
      </w:r>
      <w:r>
        <w:rPr>
          <w:rFonts w:hint="eastAsia" w:ascii="仿宋" w:hAnsi="仿宋" w:eastAsia="仿宋" w:cs="Arial"/>
          <w:color w:val="auto"/>
          <w:sz w:val="24"/>
          <w:highlight w:val="none"/>
        </w:rPr>
        <w:t>：</w:t>
      </w:r>
    </w:p>
    <w:p>
      <w:pPr>
        <w:spacing w:line="440" w:lineRule="exact"/>
        <w:ind w:firstLine="540" w:firstLineChars="225"/>
        <w:rPr>
          <w:rFonts w:ascii="仿宋" w:hAnsi="仿宋" w:eastAsia="仿宋" w:cs="Arial"/>
          <w:bCs/>
          <w:color w:val="auto"/>
          <w:sz w:val="24"/>
          <w:highlight w:val="none"/>
        </w:rPr>
      </w:pPr>
      <w:r>
        <w:rPr>
          <w:rFonts w:ascii="仿宋" w:hAnsi="仿宋" w:eastAsia="仿宋" w:cs="Arial"/>
          <w:bCs/>
          <w:color w:val="auto"/>
          <w:sz w:val="24"/>
          <w:highlight w:val="none"/>
        </w:rPr>
        <w:t>1</w:t>
      </w:r>
      <w:r>
        <w:rPr>
          <w:rFonts w:hint="eastAsia" w:ascii="仿宋" w:hAnsi="仿宋" w:eastAsia="仿宋" w:cs="Arial"/>
          <w:bCs/>
          <w:color w:val="auto"/>
          <w:sz w:val="24"/>
          <w:highlight w:val="none"/>
        </w:rPr>
        <w:t>.招标文件提供期限</w:t>
      </w:r>
      <w:r>
        <w:rPr>
          <w:rFonts w:ascii="仿宋" w:hAnsi="仿宋" w:eastAsia="仿宋" w:cs="Arial"/>
          <w:bCs/>
          <w:color w:val="auto"/>
          <w:sz w:val="24"/>
          <w:highlight w:val="none"/>
        </w:rPr>
        <w:t>：</w:t>
      </w:r>
      <w:r>
        <w:rPr>
          <w:rFonts w:hint="eastAsia" w:ascii="仿宋" w:hAnsi="仿宋" w:eastAsia="仿宋" w:cs="Arial"/>
          <w:bCs/>
          <w:color w:val="auto"/>
          <w:sz w:val="24"/>
          <w:highlight w:val="none"/>
        </w:rPr>
        <w:t>2020年月日 至 2020年月日。</w:t>
      </w:r>
    </w:p>
    <w:p>
      <w:pPr>
        <w:spacing w:line="440" w:lineRule="exact"/>
        <w:ind w:firstLine="540" w:firstLineChars="225"/>
        <w:rPr>
          <w:rFonts w:hint="eastAsia" w:ascii="仿宋" w:hAnsi="仿宋" w:eastAsia="仿宋" w:cs="Arial"/>
          <w:bCs/>
          <w:color w:val="auto"/>
          <w:sz w:val="24"/>
          <w:highlight w:val="none"/>
        </w:rPr>
      </w:pPr>
      <w:r>
        <w:rPr>
          <w:rFonts w:hint="eastAsia" w:ascii="仿宋" w:hAnsi="仿宋" w:eastAsia="仿宋" w:cs="Arial"/>
          <w:bCs/>
          <w:color w:val="auto"/>
          <w:sz w:val="24"/>
          <w:highlight w:val="none"/>
        </w:rPr>
        <w:t>2.招标文件获取方式：</w:t>
      </w:r>
      <w:r>
        <w:rPr>
          <w:rFonts w:hint="eastAsia" w:ascii="仿宋" w:hAnsi="仿宋" w:eastAsia="仿宋" w:cs="Arial"/>
          <w:bCs/>
          <w:color w:val="auto"/>
          <w:sz w:val="24"/>
          <w:highlight w:val="none"/>
          <w:lang w:eastAsia="zh-CN"/>
        </w:rPr>
        <w:t>绍兴市朝皇路58号正大综合楼601</w:t>
      </w:r>
      <w:r>
        <w:rPr>
          <w:rFonts w:hint="eastAsia" w:ascii="仿宋" w:hAnsi="仿宋" w:eastAsia="仿宋" w:cs="Arial"/>
          <w:bCs/>
          <w:color w:val="auto"/>
          <w:sz w:val="24"/>
          <w:highlight w:val="none"/>
        </w:rPr>
        <w:t>现场报名(接受邮寄报名，邮寄地址：</w:t>
      </w:r>
      <w:r>
        <w:rPr>
          <w:rFonts w:hint="eastAsia" w:ascii="仿宋" w:hAnsi="仿宋" w:eastAsia="仿宋" w:cs="Arial"/>
          <w:bCs/>
          <w:color w:val="auto"/>
          <w:sz w:val="24"/>
          <w:highlight w:val="none"/>
          <w:lang w:eastAsia="zh-CN"/>
        </w:rPr>
        <w:t>绍兴市朝皇路58号正大综合楼601泰宇建筑工程技术咨询有限公司</w:t>
      </w:r>
      <w:r>
        <w:rPr>
          <w:rFonts w:hint="eastAsia" w:ascii="仿宋" w:hAnsi="仿宋" w:eastAsia="仿宋" w:cs="Arial"/>
          <w:bCs/>
          <w:color w:val="auto"/>
          <w:sz w:val="24"/>
          <w:highlight w:val="none"/>
        </w:rPr>
        <w:t>；收件人：</w:t>
      </w:r>
      <w:r>
        <w:rPr>
          <w:rFonts w:hint="eastAsia" w:ascii="仿宋" w:hAnsi="仿宋" w:eastAsia="仿宋" w:cs="Arial"/>
          <w:bCs/>
          <w:color w:val="auto"/>
          <w:sz w:val="24"/>
          <w:highlight w:val="none"/>
          <w:lang w:eastAsia="zh-CN"/>
        </w:rPr>
        <w:t>金锦英</w:t>
      </w:r>
      <w:r>
        <w:rPr>
          <w:rFonts w:hint="eastAsia" w:ascii="仿宋" w:hAnsi="仿宋" w:eastAsia="仿宋" w:cs="Arial"/>
          <w:bCs/>
          <w:color w:val="auto"/>
          <w:sz w:val="24"/>
          <w:highlight w:val="none"/>
        </w:rPr>
        <w:t>；联系电话：</w:t>
      </w:r>
      <w:r>
        <w:rPr>
          <w:rFonts w:hint="eastAsia" w:ascii="仿宋" w:hAnsi="仿宋" w:eastAsia="仿宋" w:cs="Arial"/>
          <w:bCs/>
          <w:color w:val="auto"/>
          <w:sz w:val="24"/>
          <w:highlight w:val="none"/>
          <w:lang w:val="en-US" w:eastAsia="zh-CN"/>
        </w:rPr>
        <w:t>0575-88226969/</w:t>
      </w:r>
      <w:r>
        <w:rPr>
          <w:rFonts w:hint="eastAsia" w:ascii="仿宋" w:hAnsi="仿宋" w:eastAsia="仿宋" w:cs="Arial"/>
          <w:bCs/>
          <w:color w:val="auto"/>
          <w:sz w:val="24"/>
          <w:highlight w:val="none"/>
          <w:lang w:eastAsia="zh-CN"/>
        </w:rPr>
        <w:t>13656752180</w:t>
      </w:r>
      <w:r>
        <w:rPr>
          <w:rFonts w:hint="eastAsia" w:ascii="仿宋" w:hAnsi="仿宋" w:eastAsia="仿宋" w:cs="Arial"/>
          <w:bCs/>
          <w:color w:val="auto"/>
          <w:sz w:val="24"/>
          <w:highlight w:val="none"/>
        </w:rPr>
        <w:t>）。</w:t>
      </w:r>
    </w:p>
    <w:p>
      <w:pPr>
        <w:spacing w:line="440" w:lineRule="exact"/>
        <w:ind w:firstLine="540" w:firstLineChars="225"/>
        <w:rPr>
          <w:rFonts w:hint="eastAsia" w:ascii="仿宋" w:hAnsi="仿宋" w:eastAsia="仿宋" w:cs="Arial"/>
          <w:bCs/>
          <w:color w:val="auto"/>
          <w:sz w:val="24"/>
          <w:highlight w:val="none"/>
        </w:rPr>
      </w:pPr>
      <w:r>
        <w:rPr>
          <w:rFonts w:hint="eastAsia" w:ascii="仿宋" w:hAnsi="仿宋" w:eastAsia="仿宋" w:cs="Arial"/>
          <w:bCs/>
          <w:color w:val="auto"/>
          <w:sz w:val="24"/>
          <w:highlight w:val="none"/>
        </w:rPr>
        <w:t>3.报名资料：营业执照副本复印件、授权委托书或单位介绍信、授权委托人身份证复印件</w:t>
      </w:r>
      <w:r>
        <w:rPr>
          <w:rFonts w:hint="eastAsia" w:ascii="仿宋" w:hAnsi="仿宋" w:eastAsia="仿宋" w:cs="Arial"/>
          <w:bCs/>
          <w:color w:val="auto"/>
          <w:sz w:val="24"/>
          <w:highlight w:val="none"/>
          <w:lang w:eastAsia="zh-CN"/>
        </w:rPr>
        <w:t>及相关证明文件（如有）</w:t>
      </w:r>
      <w:r>
        <w:rPr>
          <w:rFonts w:hint="eastAsia" w:ascii="仿宋" w:hAnsi="仿宋" w:eastAsia="仿宋" w:cs="Arial"/>
          <w:bCs/>
          <w:color w:val="auto"/>
          <w:sz w:val="24"/>
          <w:highlight w:val="none"/>
        </w:rPr>
        <w:t>等（加盖公章）。</w:t>
      </w:r>
    </w:p>
    <w:p>
      <w:pPr>
        <w:spacing w:line="440" w:lineRule="exact"/>
        <w:ind w:firstLine="540" w:firstLineChars="225"/>
        <w:rPr>
          <w:rFonts w:ascii="仿宋" w:hAnsi="仿宋" w:eastAsia="仿宋" w:cs="Arial"/>
          <w:bCs/>
          <w:color w:val="auto"/>
          <w:sz w:val="24"/>
          <w:highlight w:val="none"/>
        </w:rPr>
      </w:pPr>
      <w:r>
        <w:rPr>
          <w:rFonts w:hint="eastAsia" w:ascii="仿宋" w:hAnsi="仿宋" w:eastAsia="仿宋" w:cs="Arial"/>
          <w:bCs/>
          <w:color w:val="auto"/>
          <w:sz w:val="24"/>
          <w:highlight w:val="none"/>
          <w:lang w:val="en-US" w:eastAsia="zh-CN"/>
        </w:rPr>
        <w:t>4</w:t>
      </w:r>
      <w:r>
        <w:rPr>
          <w:rFonts w:hint="eastAsia" w:ascii="仿宋" w:hAnsi="仿宋" w:eastAsia="仿宋" w:cs="Arial"/>
          <w:bCs/>
          <w:color w:val="auto"/>
          <w:sz w:val="24"/>
          <w:highlight w:val="none"/>
        </w:rPr>
        <w:t>.招标文件售价：</w:t>
      </w:r>
      <w:r>
        <w:rPr>
          <w:rFonts w:hint="eastAsia" w:ascii="仿宋" w:hAnsi="仿宋" w:eastAsia="仿宋" w:cs="Arial"/>
          <w:bCs/>
          <w:color w:val="auto"/>
          <w:sz w:val="24"/>
          <w:highlight w:val="none"/>
          <w:lang w:eastAsia="zh-CN"/>
        </w:rPr>
        <w:t>免费</w:t>
      </w:r>
      <w:r>
        <w:rPr>
          <w:rFonts w:ascii="仿宋" w:hAnsi="仿宋" w:eastAsia="仿宋" w:cs="Arial"/>
          <w:bCs/>
          <w:color w:val="auto"/>
          <w:sz w:val="24"/>
          <w:highlight w:val="none"/>
        </w:rPr>
        <w:t>。</w:t>
      </w:r>
    </w:p>
    <w:p>
      <w:pPr>
        <w:spacing w:line="440" w:lineRule="exact"/>
        <w:ind w:firstLine="540" w:firstLineChars="225"/>
        <w:rPr>
          <w:rFonts w:ascii="仿宋" w:hAnsi="仿宋" w:eastAsia="仿宋" w:cs="Arial"/>
          <w:bCs/>
          <w:color w:val="auto"/>
          <w:sz w:val="24"/>
          <w:highlight w:val="none"/>
        </w:rPr>
      </w:pPr>
      <w:r>
        <w:rPr>
          <w:rFonts w:hint="eastAsia" w:ascii="仿宋" w:hAnsi="仿宋" w:eastAsia="仿宋" w:cs="Arial"/>
          <w:bCs/>
          <w:color w:val="auto"/>
          <w:sz w:val="24"/>
          <w:highlight w:val="none"/>
          <w:lang w:val="en-US" w:eastAsia="zh-CN"/>
        </w:rPr>
        <w:t>5</w:t>
      </w:r>
      <w:r>
        <w:rPr>
          <w:rFonts w:hint="eastAsia" w:ascii="仿宋" w:hAnsi="仿宋" w:eastAsia="仿宋" w:cs="Arial"/>
          <w:bCs/>
          <w:color w:val="auto"/>
          <w:sz w:val="24"/>
          <w:highlight w:val="none"/>
        </w:rPr>
        <w:t>.</w:t>
      </w:r>
      <w:r>
        <w:rPr>
          <w:rFonts w:ascii="仿宋" w:hAnsi="仿宋" w:eastAsia="仿宋" w:cs="Arial"/>
          <w:bCs/>
          <w:color w:val="auto"/>
          <w:sz w:val="24"/>
          <w:highlight w:val="none"/>
        </w:rPr>
        <w:t>联系电话：</w:t>
      </w:r>
      <w:r>
        <w:rPr>
          <w:rFonts w:hint="eastAsia" w:ascii="仿宋" w:hAnsi="仿宋" w:eastAsia="仿宋" w:cs="Arial"/>
          <w:bCs/>
          <w:color w:val="auto"/>
          <w:sz w:val="24"/>
          <w:highlight w:val="none"/>
          <w:lang w:val="en-US" w:eastAsia="zh-CN"/>
        </w:rPr>
        <w:t>0575-88226969/</w:t>
      </w:r>
      <w:r>
        <w:rPr>
          <w:rFonts w:hint="eastAsia" w:ascii="仿宋" w:hAnsi="仿宋" w:eastAsia="仿宋" w:cs="Arial"/>
          <w:bCs/>
          <w:color w:val="auto"/>
          <w:sz w:val="24"/>
          <w:highlight w:val="none"/>
        </w:rPr>
        <w:t>13656752180</w:t>
      </w:r>
      <w:r>
        <w:rPr>
          <w:rFonts w:ascii="仿宋" w:hAnsi="仿宋" w:eastAsia="仿宋" w:cs="Arial"/>
          <w:bCs/>
          <w:color w:val="auto"/>
          <w:sz w:val="24"/>
          <w:highlight w:val="none"/>
        </w:rPr>
        <w:t>。</w:t>
      </w:r>
    </w:p>
    <w:p>
      <w:pPr>
        <w:spacing w:line="440" w:lineRule="exact"/>
        <w:ind w:firstLine="540" w:firstLineChars="225"/>
        <w:rPr>
          <w:rFonts w:ascii="仿宋" w:hAnsi="仿宋" w:eastAsia="仿宋" w:cs="Arial"/>
          <w:bCs/>
          <w:color w:val="auto"/>
          <w:sz w:val="24"/>
          <w:highlight w:val="none"/>
        </w:rPr>
      </w:pPr>
      <w:r>
        <w:rPr>
          <w:rFonts w:hint="eastAsia" w:ascii="仿宋" w:hAnsi="仿宋" w:eastAsia="仿宋" w:cs="Arial"/>
          <w:bCs/>
          <w:color w:val="auto"/>
          <w:sz w:val="24"/>
          <w:highlight w:val="none"/>
          <w:lang w:val="en-US" w:eastAsia="zh-CN"/>
        </w:rPr>
        <w:t>6</w:t>
      </w:r>
      <w:r>
        <w:rPr>
          <w:rFonts w:hint="eastAsia" w:ascii="仿宋" w:hAnsi="仿宋" w:eastAsia="仿宋" w:cs="Arial"/>
          <w:bCs/>
          <w:color w:val="auto"/>
          <w:sz w:val="24"/>
          <w:highlight w:val="none"/>
        </w:rPr>
        <w:t>.其他事项：</w:t>
      </w:r>
    </w:p>
    <w:p>
      <w:pPr>
        <w:spacing w:line="440" w:lineRule="exact"/>
        <w:ind w:firstLine="360" w:firstLineChars="150"/>
        <w:rPr>
          <w:rFonts w:ascii="仿宋" w:hAnsi="仿宋" w:eastAsia="仿宋"/>
          <w:color w:val="auto"/>
          <w:sz w:val="24"/>
          <w:highlight w:val="none"/>
        </w:rPr>
      </w:pPr>
      <w:r>
        <w:rPr>
          <w:rFonts w:hint="eastAsia" w:ascii="仿宋" w:hAnsi="仿宋" w:eastAsia="仿宋"/>
          <w:color w:val="auto"/>
          <w:sz w:val="24"/>
          <w:highlight w:val="none"/>
        </w:rPr>
        <w:t>（1）采购机构将拒绝接受未获取招标文件供应商的投标文件。</w:t>
      </w:r>
    </w:p>
    <w:p>
      <w:pPr>
        <w:spacing w:line="440" w:lineRule="exact"/>
        <w:ind w:firstLine="360" w:firstLineChars="150"/>
        <w:rPr>
          <w:rFonts w:ascii="仿宋" w:hAnsi="仿宋" w:eastAsia="仿宋"/>
          <w:color w:val="auto"/>
          <w:sz w:val="24"/>
          <w:highlight w:val="none"/>
        </w:rPr>
      </w:pPr>
      <w:r>
        <w:rPr>
          <w:rFonts w:hint="eastAsia" w:ascii="仿宋" w:hAnsi="仿宋" w:eastAsia="仿宋" w:cs="FangSong_GB2312"/>
          <w:color w:val="auto"/>
          <w:sz w:val="24"/>
          <w:highlight w:val="none"/>
        </w:rPr>
        <w:t>（2）招标文件的提供期限截止之日之后有潜在供应商提出获取招标文件的，采购机构将允许其获取。</w:t>
      </w:r>
    </w:p>
    <w:p>
      <w:pPr>
        <w:spacing w:line="440" w:lineRule="exact"/>
        <w:ind w:firstLine="360" w:firstLineChars="150"/>
        <w:rPr>
          <w:rFonts w:ascii="仿宋" w:hAnsi="仿宋" w:eastAsia="仿宋" w:cs="Arial"/>
          <w:bCs/>
          <w:color w:val="auto"/>
          <w:sz w:val="24"/>
          <w:highlight w:val="none"/>
        </w:rPr>
      </w:pPr>
      <w:r>
        <w:rPr>
          <w:rFonts w:hint="eastAsia" w:ascii="仿宋" w:hAnsi="仿宋" w:eastAsia="仿宋" w:cs="Arial"/>
          <w:bCs/>
          <w:color w:val="auto"/>
          <w:sz w:val="24"/>
          <w:highlight w:val="none"/>
        </w:rPr>
        <w:t>（3）</w:t>
      </w:r>
      <w:r>
        <w:rPr>
          <w:rFonts w:hint="eastAsia" w:ascii="仿宋" w:hAnsi="仿宋" w:eastAsia="仿宋"/>
          <w:color w:val="auto"/>
          <w:sz w:val="24"/>
          <w:highlight w:val="none"/>
        </w:rPr>
        <w:t>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对未按上述方式获取招标文件的供应商对该文件提出的质疑，采购人或采购代理机构将不予处理。</w:t>
      </w:r>
    </w:p>
    <w:p>
      <w:pPr>
        <w:spacing w:line="440" w:lineRule="exact"/>
        <w:ind w:firstLine="360" w:firstLineChars="150"/>
        <w:rPr>
          <w:rFonts w:ascii="仿宋" w:hAnsi="仿宋" w:eastAsia="仿宋" w:cs="Arial"/>
          <w:bCs/>
          <w:color w:val="auto"/>
          <w:sz w:val="24"/>
          <w:highlight w:val="none"/>
        </w:rPr>
      </w:pPr>
      <w:r>
        <w:rPr>
          <w:rFonts w:hint="eastAsia" w:ascii="仿宋" w:hAnsi="仿宋" w:eastAsia="仿宋" w:cs="Arial"/>
          <w:bCs/>
          <w:color w:val="auto"/>
          <w:sz w:val="24"/>
          <w:highlight w:val="none"/>
        </w:rPr>
        <w:t>（4）更正补充公告请自行登录浙江政府采购网或绍兴</w:t>
      </w:r>
      <w:r>
        <w:rPr>
          <w:rFonts w:hint="eastAsia" w:ascii="仿宋" w:hAnsi="仿宋" w:eastAsia="仿宋" w:cs="Arial"/>
          <w:bCs/>
          <w:color w:val="auto"/>
          <w:sz w:val="24"/>
          <w:highlight w:val="none"/>
          <w:lang w:eastAsia="zh-CN"/>
        </w:rPr>
        <w:t>市中医院官网</w:t>
      </w:r>
      <w:r>
        <w:rPr>
          <w:rFonts w:hint="eastAsia" w:ascii="仿宋" w:hAnsi="仿宋" w:eastAsia="仿宋" w:cs="Arial"/>
          <w:bCs/>
          <w:color w:val="auto"/>
          <w:sz w:val="24"/>
          <w:highlight w:val="none"/>
        </w:rPr>
        <w:t>查看。</w:t>
      </w:r>
    </w:p>
    <w:p>
      <w:pPr>
        <w:snapToGrid w:val="0"/>
        <w:spacing w:line="440" w:lineRule="exact"/>
        <w:ind w:firstLine="482" w:firstLineChars="200"/>
        <w:jc w:val="left"/>
        <w:rPr>
          <w:rFonts w:ascii="仿宋" w:hAnsi="仿宋" w:eastAsia="仿宋"/>
          <w:b/>
          <w:color w:val="auto"/>
          <w:sz w:val="24"/>
          <w:highlight w:val="none"/>
        </w:rPr>
      </w:pPr>
      <w:r>
        <w:rPr>
          <w:rFonts w:hint="eastAsia" w:ascii="仿宋" w:hAnsi="仿宋" w:eastAsia="仿宋" w:cs="Arial"/>
          <w:b/>
          <w:bCs/>
          <w:color w:val="auto"/>
          <w:sz w:val="24"/>
          <w:highlight w:val="none"/>
          <w:lang w:eastAsia="zh-CN"/>
        </w:rPr>
        <w:t>八</w:t>
      </w:r>
      <w:r>
        <w:rPr>
          <w:rFonts w:hint="eastAsia" w:ascii="仿宋" w:hAnsi="仿宋" w:eastAsia="仿宋" w:cs="Arial"/>
          <w:b/>
          <w:bCs/>
          <w:color w:val="auto"/>
          <w:sz w:val="24"/>
          <w:highlight w:val="none"/>
        </w:rPr>
        <w:t>、投标截止时间及地点</w:t>
      </w:r>
      <w:r>
        <w:rPr>
          <w:rFonts w:hint="eastAsia" w:ascii="仿宋" w:hAnsi="仿宋" w:eastAsia="仿宋" w:cs="Arial"/>
          <w:color w:val="auto"/>
          <w:sz w:val="24"/>
          <w:highlight w:val="none"/>
        </w:rPr>
        <w:t>：</w:t>
      </w:r>
      <w:r>
        <w:rPr>
          <w:rFonts w:hint="eastAsia" w:ascii="仿宋" w:hAnsi="仿宋" w:eastAsia="仿宋"/>
          <w:color w:val="auto"/>
          <w:sz w:val="24"/>
          <w:highlight w:val="none"/>
        </w:rPr>
        <w:t>投标人应于202</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年月日09:00时整以前将投标文件密封以现场送达（即交即走）的方式</w:t>
      </w:r>
      <w:r>
        <w:rPr>
          <w:rFonts w:hint="eastAsia" w:ascii="仿宋" w:hAnsi="仿宋" w:eastAsia="仿宋"/>
          <w:b/>
          <w:color w:val="auto"/>
          <w:sz w:val="24"/>
          <w:highlight w:val="none"/>
        </w:rPr>
        <w:t>递交投标文件</w:t>
      </w:r>
      <w:r>
        <w:rPr>
          <w:rFonts w:hint="eastAsia" w:ascii="仿宋" w:hAnsi="仿宋" w:eastAsia="仿宋" w:cs="Arial"/>
          <w:color w:val="auto"/>
          <w:sz w:val="24"/>
          <w:highlight w:val="none"/>
        </w:rPr>
        <w:t>,</w:t>
      </w:r>
      <w:r>
        <w:rPr>
          <w:rFonts w:hint="eastAsia" w:ascii="仿宋" w:hAnsi="仿宋" w:eastAsia="仿宋"/>
          <w:color w:val="auto"/>
          <w:sz w:val="24"/>
          <w:highlight w:val="none"/>
        </w:rPr>
        <w:t>逾期送达的投标文件不予接收。</w:t>
      </w:r>
    </w:p>
    <w:p>
      <w:pPr>
        <w:spacing w:line="440" w:lineRule="exact"/>
        <w:ind w:firstLine="482" w:firstLineChars="200"/>
        <w:rPr>
          <w:rFonts w:ascii="仿宋" w:hAnsi="仿宋" w:eastAsia="仿宋" w:cs="Arial"/>
          <w:color w:val="auto"/>
          <w:sz w:val="24"/>
          <w:highlight w:val="none"/>
        </w:rPr>
      </w:pPr>
      <w:r>
        <w:rPr>
          <w:rFonts w:hint="eastAsia" w:ascii="仿宋" w:hAnsi="仿宋" w:eastAsia="仿宋" w:cs="Arial"/>
          <w:b/>
          <w:bCs/>
          <w:color w:val="auto"/>
          <w:sz w:val="24"/>
          <w:highlight w:val="none"/>
          <w:lang w:eastAsia="zh-CN"/>
        </w:rPr>
        <w:t>九</w:t>
      </w:r>
      <w:r>
        <w:rPr>
          <w:rFonts w:hint="eastAsia" w:ascii="仿宋" w:hAnsi="仿宋" w:eastAsia="仿宋" w:cs="Arial"/>
          <w:b/>
          <w:bCs/>
          <w:color w:val="auto"/>
          <w:sz w:val="24"/>
          <w:highlight w:val="none"/>
        </w:rPr>
        <w:t>、开标时间及地点</w:t>
      </w:r>
      <w:r>
        <w:rPr>
          <w:rFonts w:hint="eastAsia" w:ascii="仿宋" w:hAnsi="仿宋" w:eastAsia="仿宋" w:cs="Arial"/>
          <w:color w:val="auto"/>
          <w:sz w:val="24"/>
          <w:highlight w:val="none"/>
        </w:rPr>
        <w:t>：202</w:t>
      </w:r>
      <w:r>
        <w:rPr>
          <w:rFonts w:hint="eastAsia" w:ascii="仿宋" w:hAnsi="仿宋" w:eastAsia="仿宋" w:cs="Arial"/>
          <w:color w:val="auto"/>
          <w:sz w:val="24"/>
          <w:highlight w:val="none"/>
          <w:lang w:val="en-US" w:eastAsia="zh-CN"/>
        </w:rPr>
        <w:t>1</w:t>
      </w:r>
      <w:r>
        <w:rPr>
          <w:rFonts w:hint="eastAsia" w:ascii="仿宋" w:hAnsi="仿宋" w:eastAsia="仿宋" w:cs="Arial"/>
          <w:color w:val="auto"/>
          <w:sz w:val="24"/>
          <w:highlight w:val="none"/>
        </w:rPr>
        <w:t>年月日09:00时整在</w:t>
      </w:r>
      <w:r>
        <w:rPr>
          <w:rFonts w:hint="eastAsia" w:ascii="仿宋" w:hAnsi="仿宋" w:eastAsia="仿宋" w:cs="Arial"/>
          <w:bCs/>
          <w:color w:val="auto"/>
          <w:sz w:val="24"/>
          <w:highlight w:val="none"/>
          <w:lang w:eastAsia="zh-CN"/>
        </w:rPr>
        <w:t>绍兴市朝皇路58号正大综合楼601（泰宇咨询）开标室</w:t>
      </w:r>
      <w:r>
        <w:rPr>
          <w:rFonts w:hint="eastAsia" w:ascii="仿宋" w:hAnsi="仿宋" w:eastAsia="仿宋" w:cs="Arial"/>
          <w:color w:val="auto"/>
          <w:sz w:val="24"/>
          <w:highlight w:val="none"/>
        </w:rPr>
        <w:t>开标。</w:t>
      </w:r>
    </w:p>
    <w:p>
      <w:pPr>
        <w:spacing w:line="440" w:lineRule="exact"/>
        <w:ind w:firstLine="482" w:firstLineChars="200"/>
        <w:rPr>
          <w:rFonts w:ascii="仿宋" w:hAnsi="仿宋" w:eastAsia="仿宋" w:cs="Arial"/>
          <w:color w:val="auto"/>
          <w:sz w:val="24"/>
          <w:highlight w:val="none"/>
        </w:rPr>
      </w:pPr>
      <w:r>
        <w:rPr>
          <w:rFonts w:hint="eastAsia" w:ascii="仿宋" w:hAnsi="仿宋" w:eastAsia="仿宋" w:cs="Arial"/>
          <w:b/>
          <w:bCs/>
          <w:color w:val="auto"/>
          <w:sz w:val="24"/>
          <w:highlight w:val="none"/>
        </w:rPr>
        <w:t>十、投标保证金</w:t>
      </w:r>
      <w:r>
        <w:rPr>
          <w:rFonts w:hint="eastAsia" w:ascii="仿宋" w:hAnsi="仿宋" w:eastAsia="仿宋" w:cs="Arial"/>
          <w:color w:val="auto"/>
          <w:sz w:val="24"/>
          <w:highlight w:val="none"/>
        </w:rPr>
        <w:t>：无。</w:t>
      </w:r>
    </w:p>
    <w:p>
      <w:pPr>
        <w:spacing w:line="440" w:lineRule="exact"/>
        <w:ind w:firstLine="482" w:firstLineChars="200"/>
        <w:rPr>
          <w:rFonts w:ascii="仿宋" w:hAnsi="仿宋" w:eastAsia="仿宋"/>
          <w:color w:val="auto"/>
          <w:sz w:val="24"/>
          <w:highlight w:val="none"/>
        </w:rPr>
      </w:pPr>
      <w:r>
        <w:rPr>
          <w:rFonts w:hint="eastAsia" w:ascii="仿宋" w:hAnsi="仿宋" w:eastAsia="仿宋" w:cs="Arial"/>
          <w:b/>
          <w:bCs/>
          <w:color w:val="auto"/>
          <w:sz w:val="24"/>
          <w:highlight w:val="none"/>
        </w:rPr>
        <w:t>十</w:t>
      </w:r>
      <w:r>
        <w:rPr>
          <w:rFonts w:hint="eastAsia" w:ascii="仿宋" w:hAnsi="仿宋" w:eastAsia="仿宋" w:cs="Arial"/>
          <w:b/>
          <w:bCs/>
          <w:color w:val="auto"/>
          <w:sz w:val="24"/>
          <w:highlight w:val="none"/>
          <w:lang w:eastAsia="zh-CN"/>
        </w:rPr>
        <w:t>一</w:t>
      </w:r>
      <w:r>
        <w:rPr>
          <w:rFonts w:hint="eastAsia" w:ascii="仿宋" w:hAnsi="仿宋" w:eastAsia="仿宋" w:cs="Arial"/>
          <w:b/>
          <w:bCs/>
          <w:color w:val="auto"/>
          <w:sz w:val="24"/>
          <w:highlight w:val="none"/>
        </w:rPr>
        <w:t>、</w:t>
      </w:r>
      <w:r>
        <w:rPr>
          <w:rFonts w:hint="eastAsia" w:ascii="仿宋" w:hAnsi="仿宋" w:eastAsia="仿宋" w:cs="Arial"/>
          <w:b/>
          <w:color w:val="auto"/>
          <w:sz w:val="24"/>
          <w:highlight w:val="none"/>
        </w:rPr>
        <w:t>招标公告发布：</w:t>
      </w:r>
      <w:r>
        <w:rPr>
          <w:rFonts w:hint="eastAsia" w:ascii="仿宋" w:hAnsi="仿宋" w:eastAsia="仿宋"/>
          <w:color w:val="auto"/>
          <w:sz w:val="24"/>
          <w:highlight w:val="none"/>
        </w:rPr>
        <w:t>http://zfcg.czt.zj.gov.cn/和http://www.sxzyy.cn//。</w:t>
      </w:r>
    </w:p>
    <w:p>
      <w:pPr>
        <w:spacing w:line="440" w:lineRule="exact"/>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十</w:t>
      </w:r>
      <w:r>
        <w:rPr>
          <w:rFonts w:hint="eastAsia" w:ascii="仿宋" w:hAnsi="仿宋" w:eastAsia="仿宋"/>
          <w:b/>
          <w:color w:val="auto"/>
          <w:sz w:val="24"/>
          <w:highlight w:val="none"/>
          <w:lang w:eastAsia="zh-CN"/>
        </w:rPr>
        <w:t>二</w:t>
      </w:r>
      <w:r>
        <w:rPr>
          <w:rFonts w:hint="eastAsia" w:ascii="仿宋" w:hAnsi="仿宋" w:eastAsia="仿宋"/>
          <w:color w:val="auto"/>
          <w:sz w:val="24"/>
          <w:highlight w:val="none"/>
        </w:rPr>
        <w:t>、</w:t>
      </w:r>
      <w:r>
        <w:rPr>
          <w:rFonts w:hint="eastAsia" w:ascii="仿宋" w:hAnsi="仿宋" w:eastAsia="仿宋" w:cs="Arial"/>
          <w:b/>
          <w:color w:val="auto"/>
          <w:sz w:val="24"/>
          <w:highlight w:val="none"/>
        </w:rPr>
        <w:t>本项目公告期限：</w:t>
      </w:r>
      <w:r>
        <w:rPr>
          <w:rFonts w:hint="eastAsia" w:ascii="仿宋" w:hAnsi="仿宋" w:eastAsia="仿宋"/>
          <w:color w:val="auto"/>
          <w:sz w:val="24"/>
          <w:highlight w:val="none"/>
        </w:rPr>
        <w:t>本公告发布之日起五个工作日。</w:t>
      </w:r>
    </w:p>
    <w:p>
      <w:pPr>
        <w:spacing w:line="44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十</w:t>
      </w:r>
      <w:r>
        <w:rPr>
          <w:rFonts w:hint="eastAsia" w:ascii="仿宋" w:hAnsi="仿宋" w:eastAsia="仿宋"/>
          <w:b/>
          <w:color w:val="auto"/>
          <w:sz w:val="24"/>
          <w:highlight w:val="none"/>
          <w:lang w:eastAsia="zh-CN"/>
        </w:rPr>
        <w:t>三</w:t>
      </w:r>
      <w:r>
        <w:rPr>
          <w:rFonts w:hint="eastAsia" w:ascii="仿宋" w:hAnsi="仿宋" w:eastAsia="仿宋"/>
          <w:b/>
          <w:color w:val="auto"/>
          <w:sz w:val="24"/>
          <w:highlight w:val="none"/>
        </w:rPr>
        <w:t>、质疑和投诉：</w:t>
      </w:r>
    </w:p>
    <w:p>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认为招标文件、采购过程和中标、成交结果使自己的权益受到损害的，可以在知道或者应知其权益受到损害之日起七个工作日内，以书面形式向采购机构提出质疑。质疑受理地点：泰宇建筑工程技术咨询有限公司[绍兴市</w:t>
      </w:r>
      <w:r>
        <w:rPr>
          <w:rFonts w:hint="eastAsia" w:ascii="仿宋" w:hAnsi="仿宋" w:eastAsia="仿宋"/>
          <w:color w:val="auto"/>
          <w:sz w:val="24"/>
          <w:highlight w:val="none"/>
          <w:lang w:eastAsia="zh-CN"/>
        </w:rPr>
        <w:t>朝皇路</w:t>
      </w:r>
      <w:r>
        <w:rPr>
          <w:rFonts w:hint="eastAsia" w:ascii="仿宋" w:hAnsi="仿宋" w:eastAsia="仿宋"/>
          <w:color w:val="auto"/>
          <w:sz w:val="24"/>
          <w:highlight w:val="none"/>
          <w:lang w:val="en-US" w:eastAsia="zh-CN"/>
        </w:rPr>
        <w:t>58号</w:t>
      </w:r>
      <w:r>
        <w:rPr>
          <w:rFonts w:hint="eastAsia" w:ascii="仿宋" w:hAnsi="仿宋" w:eastAsia="仿宋"/>
          <w:color w:val="auto"/>
          <w:sz w:val="24"/>
          <w:highlight w:val="none"/>
        </w:rPr>
        <w:t>正大综合楼601]；联系人：胡工；联系电话：</w:t>
      </w:r>
      <w:r>
        <w:rPr>
          <w:rFonts w:hint="eastAsia" w:ascii="仿宋" w:hAnsi="仿宋" w:eastAsia="仿宋"/>
          <w:color w:val="auto"/>
          <w:sz w:val="24"/>
          <w:highlight w:val="none"/>
          <w:lang w:val="en-US" w:eastAsia="zh-CN"/>
        </w:rPr>
        <w:t>0575-85080066</w:t>
      </w:r>
      <w:r>
        <w:rPr>
          <w:rFonts w:hint="eastAsia" w:ascii="仿宋" w:hAnsi="仿宋" w:eastAsia="仿宋"/>
          <w:color w:val="auto"/>
          <w:sz w:val="24"/>
          <w:highlight w:val="none"/>
        </w:rPr>
        <w:t>。</w:t>
      </w:r>
    </w:p>
    <w:p>
      <w:pPr>
        <w:spacing w:line="440" w:lineRule="exact"/>
        <w:ind w:firstLine="472" w:firstLineChars="196"/>
        <w:rPr>
          <w:rFonts w:ascii="仿宋" w:hAnsi="仿宋" w:eastAsia="仿宋"/>
          <w:b/>
          <w:color w:val="auto"/>
          <w:sz w:val="24"/>
          <w:highlight w:val="none"/>
        </w:rPr>
      </w:pPr>
      <w:r>
        <w:rPr>
          <w:rFonts w:hint="eastAsia" w:ascii="仿宋" w:hAnsi="仿宋" w:eastAsia="仿宋"/>
          <w:b/>
          <w:color w:val="auto"/>
          <w:sz w:val="24"/>
          <w:highlight w:val="none"/>
        </w:rPr>
        <w:t>十</w:t>
      </w:r>
      <w:r>
        <w:rPr>
          <w:rFonts w:hint="eastAsia" w:ascii="仿宋" w:hAnsi="仿宋" w:eastAsia="仿宋"/>
          <w:b/>
          <w:color w:val="auto"/>
          <w:sz w:val="24"/>
          <w:highlight w:val="none"/>
          <w:lang w:eastAsia="zh-CN"/>
        </w:rPr>
        <w:t>四</w:t>
      </w:r>
      <w:r>
        <w:rPr>
          <w:rFonts w:hint="eastAsia" w:ascii="仿宋" w:hAnsi="仿宋" w:eastAsia="仿宋"/>
          <w:b/>
          <w:color w:val="auto"/>
          <w:sz w:val="24"/>
          <w:highlight w:val="none"/>
        </w:rPr>
        <w:t>、联系方式：</w:t>
      </w:r>
    </w:p>
    <w:p>
      <w:pPr>
        <w:spacing w:line="440" w:lineRule="exact"/>
        <w:ind w:firstLine="470" w:firstLineChars="196"/>
        <w:outlineLvl w:val="0"/>
        <w:rPr>
          <w:rFonts w:ascii="仿宋" w:hAnsi="仿宋" w:eastAsia="仿宋"/>
          <w:color w:val="auto"/>
          <w:sz w:val="24"/>
          <w:highlight w:val="none"/>
        </w:rPr>
      </w:pPr>
      <w:r>
        <w:rPr>
          <w:rFonts w:hint="eastAsia" w:ascii="仿宋" w:hAnsi="仿宋" w:eastAsia="仿宋"/>
          <w:color w:val="auto"/>
          <w:sz w:val="24"/>
          <w:highlight w:val="none"/>
        </w:rPr>
        <w:t xml:space="preserve">1.采购人：    </w:t>
      </w:r>
      <w:r>
        <w:rPr>
          <w:rFonts w:hint="eastAsia" w:ascii="仿宋" w:hAnsi="仿宋" w:eastAsia="仿宋"/>
          <w:color w:val="auto"/>
          <w:sz w:val="24"/>
          <w:highlight w:val="none"/>
          <w:lang w:eastAsia="zh-CN"/>
        </w:rPr>
        <w:t>绍兴市中医院</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eastAsia="zh-CN"/>
        </w:rPr>
        <w:t>沈</w:t>
      </w:r>
      <w:r>
        <w:rPr>
          <w:rFonts w:hint="eastAsia" w:ascii="仿宋" w:hAnsi="仿宋" w:eastAsia="仿宋" w:cs="Times New Roman"/>
          <w:color w:val="auto"/>
          <w:sz w:val="24"/>
          <w:highlight w:val="none"/>
          <w:lang w:eastAsia="zh-CN"/>
        </w:rPr>
        <w:t>科</w:t>
      </w:r>
      <w:r>
        <w:rPr>
          <w:rFonts w:hint="eastAsia" w:ascii="仿宋" w:hAnsi="仿宋" w:eastAsia="仿宋" w:cs="Times New Roman"/>
          <w:color w:val="auto"/>
          <w:sz w:val="24"/>
          <w:highlight w:val="none"/>
          <w:lang w:val="en-US" w:eastAsia="zh-CN"/>
        </w:rPr>
        <w:t xml:space="preserve">   </w:t>
      </w:r>
      <w:r>
        <w:rPr>
          <w:rFonts w:hint="eastAsia" w:ascii="仿宋" w:hAnsi="仿宋" w:eastAsia="仿宋" w:cs="Times New Roman"/>
          <w:color w:val="auto"/>
          <w:sz w:val="24"/>
          <w:highlight w:val="none"/>
        </w:rPr>
        <w:t xml:space="preserve">  0575-89107189 </w:t>
      </w:r>
      <w:r>
        <w:rPr>
          <w:rFonts w:hint="eastAsia" w:ascii="仿宋" w:hAnsi="仿宋" w:eastAsia="仿宋"/>
          <w:color w:val="auto"/>
          <w:sz w:val="24"/>
          <w:highlight w:val="none"/>
        </w:rPr>
        <w:t xml:space="preserve"> </w:t>
      </w:r>
    </w:p>
    <w:p>
      <w:pPr>
        <w:spacing w:line="440" w:lineRule="exact"/>
        <w:ind w:firstLine="470" w:firstLineChars="196"/>
        <w:outlineLvl w:val="0"/>
        <w:rPr>
          <w:rFonts w:ascii="仿宋" w:hAnsi="仿宋" w:eastAsia="仿宋"/>
          <w:color w:val="auto"/>
          <w:sz w:val="24"/>
          <w:highlight w:val="none"/>
        </w:rPr>
      </w:pPr>
      <w:r>
        <w:rPr>
          <w:rFonts w:hint="eastAsia" w:ascii="仿宋" w:hAnsi="仿宋" w:eastAsia="仿宋"/>
          <w:color w:val="auto"/>
          <w:sz w:val="24"/>
          <w:highlight w:val="none"/>
        </w:rPr>
        <w:t>2.采购代理机构：泰宇建筑工程技术咨询有限公司</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金锦英：</w:t>
      </w:r>
      <w:r>
        <w:rPr>
          <w:rFonts w:hint="eastAsia" w:ascii="仿宋" w:hAnsi="仿宋" w:eastAsia="仿宋"/>
          <w:color w:val="auto"/>
          <w:sz w:val="24"/>
          <w:highlight w:val="none"/>
          <w:lang w:val="en-US" w:eastAsia="zh-CN"/>
        </w:rPr>
        <w:t>0575-88226969</w:t>
      </w:r>
      <w:r>
        <w:rPr>
          <w:rFonts w:hint="eastAsia" w:ascii="仿宋" w:hAnsi="仿宋" w:eastAsia="仿宋"/>
          <w:color w:val="auto"/>
          <w:sz w:val="24"/>
          <w:highlight w:val="none"/>
        </w:rPr>
        <w:t>。</w:t>
      </w:r>
    </w:p>
    <w:p>
      <w:pPr>
        <w:spacing w:line="440" w:lineRule="exact"/>
        <w:ind w:firstLine="472" w:firstLineChars="196"/>
        <w:rPr>
          <w:rFonts w:ascii="仿宋" w:hAnsi="仿宋" w:eastAsia="仿宋"/>
          <w:b/>
          <w:color w:val="auto"/>
          <w:sz w:val="24"/>
          <w:highlight w:val="none"/>
        </w:rPr>
      </w:pPr>
      <w:r>
        <w:rPr>
          <w:rFonts w:hint="eastAsia" w:ascii="仿宋" w:hAnsi="仿宋" w:eastAsia="仿宋"/>
          <w:b/>
          <w:color w:val="auto"/>
          <w:sz w:val="24"/>
          <w:highlight w:val="none"/>
        </w:rPr>
        <w:t>十</w:t>
      </w:r>
      <w:r>
        <w:rPr>
          <w:rFonts w:hint="eastAsia" w:ascii="仿宋" w:hAnsi="仿宋" w:eastAsia="仿宋"/>
          <w:b/>
          <w:color w:val="auto"/>
          <w:sz w:val="24"/>
          <w:highlight w:val="none"/>
          <w:lang w:eastAsia="zh-CN"/>
        </w:rPr>
        <w:t>五</w:t>
      </w:r>
      <w:r>
        <w:rPr>
          <w:rFonts w:hint="eastAsia" w:ascii="仿宋" w:hAnsi="仿宋" w:eastAsia="仿宋"/>
          <w:b/>
          <w:color w:val="auto"/>
          <w:sz w:val="24"/>
          <w:highlight w:val="none"/>
        </w:rPr>
        <w:t>、其他：</w:t>
      </w:r>
    </w:p>
    <w:p>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参与绍兴市政府采购活动的供应商按照《浙江省政府采购供应商注册和诚信管理暂行办法》要求执行。</w:t>
      </w:r>
    </w:p>
    <w:p>
      <w:pPr>
        <w:spacing w:line="420" w:lineRule="exact"/>
        <w:jc w:val="right"/>
        <w:rPr>
          <w:rFonts w:hint="eastAsia" w:ascii="仿宋" w:hAnsi="仿宋" w:eastAsia="仿宋"/>
          <w:color w:val="auto"/>
          <w:sz w:val="24"/>
          <w:highlight w:val="none"/>
          <w:lang w:eastAsia="zh-CN"/>
        </w:rPr>
      </w:pPr>
      <w:r>
        <w:rPr>
          <w:rFonts w:hint="eastAsia" w:ascii="仿宋" w:hAnsi="仿宋" w:eastAsia="仿宋"/>
          <w:color w:val="auto"/>
          <w:highlight w:val="none"/>
        </w:rPr>
        <w:t xml:space="preserve">                                    　　　　　　　　　　　</w:t>
      </w:r>
      <w:r>
        <w:rPr>
          <w:rFonts w:hint="eastAsia" w:ascii="仿宋" w:hAnsi="仿宋" w:eastAsia="仿宋"/>
          <w:color w:val="auto"/>
          <w:sz w:val="24"/>
          <w:highlight w:val="none"/>
          <w:lang w:eastAsia="zh-CN"/>
        </w:rPr>
        <w:t>绍兴市中医院</w:t>
      </w:r>
    </w:p>
    <w:p>
      <w:pPr>
        <w:spacing w:line="420" w:lineRule="exact"/>
        <w:jc w:val="right"/>
        <w:rPr>
          <w:rFonts w:ascii="仿宋" w:hAnsi="仿宋" w:eastAsia="仿宋"/>
          <w:color w:val="auto"/>
          <w:sz w:val="24"/>
          <w:highlight w:val="none"/>
        </w:rPr>
      </w:pPr>
      <w:r>
        <w:rPr>
          <w:rFonts w:hint="eastAsia" w:ascii="仿宋" w:hAnsi="仿宋" w:eastAsia="仿宋"/>
          <w:color w:val="auto"/>
          <w:sz w:val="24"/>
          <w:highlight w:val="none"/>
        </w:rPr>
        <w:t>泰宇建筑工程技术咨询有限公司</w:t>
      </w:r>
    </w:p>
    <w:p>
      <w:pPr>
        <w:spacing w:line="420" w:lineRule="exact"/>
        <w:ind w:right="-78" w:rightChars="-37" w:firstLine="120" w:firstLineChars="50"/>
        <w:jc w:val="right"/>
        <w:rPr>
          <w:rFonts w:ascii="仿宋" w:hAnsi="仿宋" w:eastAsia="仿宋"/>
          <w:color w:val="auto"/>
          <w:highlight w:val="none"/>
        </w:rPr>
      </w:pPr>
      <w:r>
        <w:rPr>
          <w:rFonts w:hint="eastAsia" w:ascii="仿宋" w:hAnsi="仿宋" w:eastAsia="仿宋"/>
          <w:color w:val="auto"/>
          <w:sz w:val="24"/>
          <w:highlight w:val="none"/>
        </w:rPr>
        <w:t xml:space="preserve">                                 　　　　　　　       202</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年月日</w:t>
      </w:r>
    </w:p>
    <w:p>
      <w:pPr>
        <w:pageBreakBefore/>
        <w:spacing w:line="440" w:lineRule="exact"/>
        <w:ind w:firstLine="2530" w:firstLineChars="700"/>
        <w:outlineLvl w:val="0"/>
        <w:rPr>
          <w:rFonts w:ascii="仿宋" w:hAnsi="仿宋" w:eastAsia="仿宋"/>
          <w:b/>
          <w:color w:val="auto"/>
          <w:sz w:val="36"/>
          <w:szCs w:val="36"/>
          <w:highlight w:val="none"/>
        </w:rPr>
      </w:pPr>
      <w:r>
        <w:rPr>
          <w:rFonts w:hint="eastAsia" w:ascii="仿宋" w:hAnsi="仿宋" w:eastAsia="仿宋"/>
          <w:b/>
          <w:color w:val="auto"/>
          <w:sz w:val="36"/>
          <w:szCs w:val="36"/>
          <w:highlight w:val="none"/>
        </w:rPr>
        <w:t>第二部分 投标须知</w:t>
      </w:r>
    </w:p>
    <w:p>
      <w:pPr>
        <w:ind w:left="238"/>
        <w:jc w:val="center"/>
        <w:rPr>
          <w:rFonts w:ascii="仿宋" w:hAnsi="仿宋" w:eastAsia="仿宋"/>
          <w:b/>
          <w:color w:val="auto"/>
          <w:sz w:val="30"/>
          <w:szCs w:val="36"/>
          <w:highlight w:val="none"/>
        </w:rPr>
      </w:pPr>
      <w:r>
        <w:rPr>
          <w:rFonts w:hint="eastAsia" w:ascii="仿宋" w:hAnsi="仿宋" w:eastAsia="仿宋"/>
          <w:b/>
          <w:color w:val="auto"/>
          <w:sz w:val="30"/>
          <w:szCs w:val="36"/>
          <w:highlight w:val="none"/>
        </w:rPr>
        <w:t>前附表</w:t>
      </w:r>
    </w:p>
    <w:tbl>
      <w:tblPr>
        <w:tblStyle w:val="3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8371" w:type="dxa"/>
            <w:gridSpan w:val="2"/>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8371" w:type="dxa"/>
            <w:gridSpan w:val="2"/>
            <w:vAlign w:val="center"/>
          </w:tcPr>
          <w:p>
            <w:pPr>
              <w:snapToGrid w:val="0"/>
              <w:spacing w:line="420" w:lineRule="exact"/>
              <w:rPr>
                <w:rFonts w:ascii="仿宋" w:hAnsi="仿宋" w:eastAsia="仿宋" w:cs="FangSong_GB2312"/>
                <w:color w:val="auto"/>
                <w:sz w:val="24"/>
                <w:highlight w:val="none"/>
              </w:rPr>
            </w:pPr>
            <w:r>
              <w:rPr>
                <w:rFonts w:hint="eastAsia" w:ascii="仿宋" w:hAnsi="仿宋" w:eastAsia="仿宋" w:cs="FangSong_GB2312"/>
                <w:b/>
                <w:color w:val="auto"/>
                <w:sz w:val="24"/>
                <w:highlight w:val="none"/>
              </w:rPr>
              <w:t>投标人应当提交的资格、资信证明文件</w:t>
            </w:r>
            <w:r>
              <w:rPr>
                <w:rFonts w:hint="eastAsia" w:ascii="仿宋" w:hAnsi="仿宋" w:eastAsia="仿宋" w:cs="FangSong_GB2312"/>
                <w:color w:val="auto"/>
                <w:sz w:val="24"/>
                <w:highlight w:val="none"/>
              </w:rPr>
              <w:t>：</w:t>
            </w:r>
          </w:p>
          <w:p>
            <w:pPr>
              <w:snapToGrid w:val="0"/>
              <w:spacing w:line="420" w:lineRule="exact"/>
              <w:rPr>
                <w:rFonts w:ascii="仿宋" w:hAnsi="仿宋" w:eastAsia="仿宋" w:cs="FangSong_GB2312"/>
                <w:color w:val="auto"/>
                <w:sz w:val="24"/>
                <w:highlight w:val="none"/>
              </w:rPr>
            </w:pPr>
            <w:r>
              <w:rPr>
                <w:rFonts w:hint="eastAsia" w:ascii="仿宋" w:hAnsi="仿宋" w:eastAsia="仿宋" w:cs="FangSong_GB2312"/>
                <w:b/>
                <w:color w:val="auto"/>
                <w:sz w:val="24"/>
                <w:highlight w:val="none"/>
              </w:rPr>
              <w:t>（1）相关证明文件：</w:t>
            </w:r>
            <w:r>
              <w:rPr>
                <w:rFonts w:hint="eastAsia" w:ascii="仿宋" w:hAnsi="仿宋" w:eastAsia="仿宋" w:cs="FangSong_GB2312"/>
                <w:color w:val="auto"/>
                <w:sz w:val="24"/>
                <w:highlight w:val="none"/>
              </w:rPr>
              <w:t>营业执照复印件、</w:t>
            </w:r>
            <w:r>
              <w:rPr>
                <w:rFonts w:hint="eastAsia" w:ascii="仿宋" w:hAnsi="仿宋" w:eastAsia="仿宋" w:cs="FangSong_GB2312"/>
                <w:color w:val="auto"/>
                <w:sz w:val="24"/>
                <w:highlight w:val="none"/>
                <w:lang w:eastAsia="zh-CN"/>
              </w:rPr>
              <w:t>2020年度资产负债表等</w:t>
            </w:r>
            <w:r>
              <w:rPr>
                <w:rFonts w:hint="eastAsia" w:ascii="仿宋" w:hAnsi="仿宋" w:eastAsia="仿宋" w:cs="FangSong_GB2312"/>
                <w:color w:val="auto"/>
                <w:sz w:val="24"/>
                <w:highlight w:val="none"/>
              </w:rPr>
              <w:t>财务报表资料文件(新成立的公司提供情况说明)、参加本次政府采购活动前三年内，在经营活动中没有重大违法记录的声明（详见格式范例）。</w:t>
            </w:r>
          </w:p>
          <w:p>
            <w:pPr>
              <w:snapToGrid w:val="0"/>
              <w:spacing w:line="420" w:lineRule="exact"/>
              <w:rPr>
                <w:rFonts w:ascii="仿宋" w:hAnsi="仿宋" w:eastAsia="仿宋" w:cs="FangSong_GB2312"/>
                <w:color w:val="auto"/>
                <w:sz w:val="24"/>
                <w:highlight w:val="none"/>
              </w:rPr>
            </w:pPr>
            <w:r>
              <w:rPr>
                <w:rFonts w:hint="eastAsia" w:ascii="仿宋" w:hAnsi="仿宋" w:eastAsia="仿宋" w:cs="FangSong_GB2312"/>
                <w:b/>
                <w:color w:val="auto"/>
                <w:sz w:val="24"/>
                <w:highlight w:val="none"/>
              </w:rPr>
              <w:t>（2）资信证明文件（如果有，按招标文件第三部分招标项目范围及要求和第五部分评分标准提供）。</w:t>
            </w:r>
          </w:p>
          <w:p>
            <w:pPr>
              <w:snapToGrid w:val="0"/>
              <w:spacing w:line="420" w:lineRule="exact"/>
              <w:rPr>
                <w:rFonts w:ascii="仿宋" w:hAnsi="仿宋" w:eastAsia="仿宋" w:cs="FangSong_GB2312"/>
                <w:color w:val="auto"/>
                <w:sz w:val="24"/>
                <w:highlight w:val="none"/>
                <w:u w:val="single"/>
              </w:rPr>
            </w:pPr>
            <w:r>
              <w:rPr>
                <w:rFonts w:hint="eastAsia" w:ascii="仿宋" w:hAnsi="仿宋" w:eastAsia="仿宋" w:cs="FangSong_GB2312"/>
                <w:b/>
                <w:color w:val="auto"/>
                <w:sz w:val="24"/>
                <w:highlight w:val="none"/>
              </w:rPr>
              <w:t>（3）特许资格、资信证明文件（如果有）：</w:t>
            </w:r>
          </w:p>
          <w:p>
            <w:pPr>
              <w:spacing w:line="420" w:lineRule="exact"/>
              <w:ind w:firstLine="480" w:firstLineChars="200"/>
              <w:rPr>
                <w:rFonts w:ascii="仿宋" w:hAnsi="仿宋" w:eastAsia="仿宋"/>
                <w:b/>
                <w:color w:val="auto"/>
                <w:sz w:val="24"/>
                <w:highlight w:val="none"/>
              </w:rPr>
            </w:pPr>
            <w:r>
              <w:rPr>
                <w:rFonts w:hint="eastAsia" w:ascii="仿宋_GB2312" w:hAnsi="仿宋_GB2312" w:eastAsia="仿宋_GB2312" w:cs="仿宋_GB2312"/>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vAlign w:val="center"/>
          </w:tcPr>
          <w:p>
            <w:pPr>
              <w:spacing w:line="440" w:lineRule="exact"/>
              <w:jc w:val="center"/>
              <w:rPr>
                <w:rFonts w:hint="eastAsia" w:ascii="仿宋" w:hAnsi="仿宋" w:eastAsia="仿宋"/>
                <w:color w:val="auto"/>
                <w:sz w:val="24"/>
                <w:highlight w:val="none"/>
              </w:rPr>
            </w:pPr>
            <w:r>
              <w:rPr>
                <w:rFonts w:hint="eastAsia" w:ascii="仿宋_GB2312" w:hAnsi="宋体" w:eastAsia="仿宋_GB2312"/>
                <w:color w:val="auto"/>
                <w:sz w:val="24"/>
                <w:highlight w:val="none"/>
              </w:rPr>
              <w:t>2</w:t>
            </w:r>
          </w:p>
        </w:tc>
        <w:tc>
          <w:tcPr>
            <w:tcW w:w="8371" w:type="dxa"/>
            <w:gridSpan w:val="2"/>
            <w:vAlign w:val="center"/>
          </w:tcPr>
          <w:p>
            <w:pPr>
              <w:snapToGrid w:val="0"/>
              <w:spacing w:line="420" w:lineRule="exac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资格审查方式：</w:t>
            </w:r>
          </w:p>
          <w:p>
            <w:pPr>
              <w:snapToGrid w:val="0"/>
              <w:spacing w:line="420" w:lineRule="exac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1.资格后审。</w:t>
            </w:r>
          </w:p>
          <w:p>
            <w:pPr>
              <w:snapToGrid w:val="0"/>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vAlign w:val="center"/>
          </w:tcPr>
          <w:p>
            <w:pPr>
              <w:spacing w:line="440" w:lineRule="exact"/>
              <w:jc w:val="center"/>
              <w:rPr>
                <w:rFonts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3</w:t>
            </w:r>
          </w:p>
        </w:tc>
        <w:tc>
          <w:tcPr>
            <w:tcW w:w="8371" w:type="dxa"/>
            <w:gridSpan w:val="2"/>
            <w:vAlign w:val="center"/>
          </w:tcPr>
          <w:p>
            <w:pPr>
              <w:autoSpaceDE w:val="0"/>
              <w:autoSpaceDN w:val="0"/>
              <w:spacing w:line="420" w:lineRule="exact"/>
              <w:textAlignment w:val="bottom"/>
              <w:rPr>
                <w:rFonts w:ascii="仿宋" w:hAnsi="仿宋" w:eastAsia="仿宋"/>
                <w:color w:val="auto"/>
                <w:sz w:val="24"/>
                <w:highlight w:val="none"/>
              </w:rPr>
            </w:pPr>
            <w:r>
              <w:rPr>
                <w:rFonts w:hint="eastAsia" w:ascii="仿宋" w:hAnsi="仿宋" w:eastAsia="仿宋"/>
                <w:b/>
                <w:color w:val="auto"/>
                <w:sz w:val="24"/>
                <w:highlight w:val="none"/>
              </w:rPr>
              <w:t>投标有效期：</w:t>
            </w:r>
            <w:r>
              <w:rPr>
                <w:rFonts w:hint="eastAsia" w:ascii="仿宋" w:hAnsi="仿宋" w:eastAsia="仿宋" w:cs="FangSong_GB2312"/>
                <w:color w:val="auto"/>
                <w:sz w:val="24"/>
                <w:highlight w:val="none"/>
              </w:rPr>
              <w:t>投标有效期为从提交投标文件的截止之日起90天。</w:t>
            </w:r>
            <w:r>
              <w:rPr>
                <w:rFonts w:hint="eastAsia" w:ascii="仿宋" w:hAnsi="仿宋" w:eastAsia="仿宋" w:cs="FangSong_GB2312"/>
                <w:b/>
                <w:color w:val="auto"/>
                <w:sz w:val="24"/>
                <w:highlight w:val="none"/>
              </w:rPr>
              <w:t>投标人的投标文件中承</w:t>
            </w:r>
            <w:r>
              <w:rPr>
                <w:rFonts w:hint="eastAsia" w:ascii="仿宋" w:hAnsi="仿宋" w:eastAsia="仿宋" w:cs="FangSong_GB2312"/>
                <w:b/>
                <w:color w:val="auto"/>
                <w:sz w:val="24"/>
                <w:szCs w:val="21"/>
                <w:highlight w:val="none"/>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vAlign w:val="center"/>
          </w:tcPr>
          <w:p>
            <w:pPr>
              <w:spacing w:line="440" w:lineRule="exact"/>
              <w:jc w:val="center"/>
              <w:rPr>
                <w:rFonts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4</w:t>
            </w:r>
          </w:p>
        </w:tc>
        <w:tc>
          <w:tcPr>
            <w:tcW w:w="8371" w:type="dxa"/>
            <w:gridSpan w:val="2"/>
            <w:vAlign w:val="center"/>
          </w:tcPr>
          <w:p>
            <w:pPr>
              <w:spacing w:line="420" w:lineRule="exact"/>
              <w:rPr>
                <w:rFonts w:ascii="仿宋" w:hAnsi="仿宋" w:eastAsia="仿宋" w:cs="FangSong_GB2312"/>
                <w:color w:val="auto"/>
                <w:sz w:val="24"/>
                <w:highlight w:val="none"/>
              </w:rPr>
            </w:pPr>
            <w:r>
              <w:rPr>
                <w:rFonts w:hint="eastAsia" w:ascii="仿宋" w:hAnsi="仿宋" w:eastAsia="仿宋" w:cs="FangSong_GB2312"/>
                <w:b/>
                <w:color w:val="auto"/>
                <w:sz w:val="24"/>
                <w:highlight w:val="none"/>
              </w:rPr>
              <w:t>分包或转包：</w:t>
            </w:r>
            <w:r>
              <w:rPr>
                <w:rFonts w:hint="eastAsia" w:ascii="仿宋" w:hAnsi="仿宋" w:eastAsia="仿宋" w:cs="FangSong_GB2312"/>
                <w:color w:val="auto"/>
                <w:sz w:val="24"/>
                <w:highlight w:val="none"/>
              </w:rPr>
              <w:t>（1）采购人不同意分包。</w:t>
            </w:r>
          </w:p>
          <w:p>
            <w:pPr>
              <w:spacing w:line="420" w:lineRule="exact"/>
              <w:ind w:firstLine="1526" w:firstLineChars="636"/>
              <w:rPr>
                <w:rFonts w:ascii="仿宋" w:hAnsi="仿宋" w:eastAsia="仿宋"/>
                <w:color w:val="auto"/>
                <w:sz w:val="24"/>
                <w:highlight w:val="none"/>
              </w:rPr>
            </w:pPr>
            <w:r>
              <w:rPr>
                <w:rFonts w:hint="eastAsia" w:ascii="仿宋" w:hAnsi="仿宋" w:eastAsia="仿宋" w:cs="FangSong_GB2312"/>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vAlign w:val="center"/>
          </w:tcPr>
          <w:p>
            <w:pPr>
              <w:spacing w:line="440" w:lineRule="exact"/>
              <w:jc w:val="center"/>
              <w:rPr>
                <w:rFonts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5</w:t>
            </w:r>
          </w:p>
        </w:tc>
        <w:tc>
          <w:tcPr>
            <w:tcW w:w="8371" w:type="dxa"/>
            <w:gridSpan w:val="2"/>
            <w:vAlign w:val="center"/>
          </w:tcPr>
          <w:p>
            <w:pPr>
              <w:spacing w:line="420" w:lineRule="exact"/>
              <w:rPr>
                <w:rFonts w:ascii="仿宋" w:hAnsi="仿宋" w:eastAsia="仿宋"/>
                <w:color w:val="auto"/>
                <w:sz w:val="24"/>
                <w:highlight w:val="none"/>
              </w:rPr>
            </w:pPr>
            <w:r>
              <w:rPr>
                <w:rFonts w:hint="eastAsia" w:ascii="仿宋" w:hAnsi="仿宋" w:eastAsia="仿宋"/>
                <w:b/>
                <w:color w:val="auto"/>
                <w:sz w:val="24"/>
                <w:highlight w:val="none"/>
              </w:rPr>
              <w:t>投标文件份数：</w:t>
            </w:r>
            <w:r>
              <w:rPr>
                <w:rFonts w:hint="eastAsia" w:ascii="仿宋" w:hAnsi="仿宋" w:eastAsia="仿宋"/>
                <w:color w:val="auto"/>
                <w:sz w:val="24"/>
                <w:highlight w:val="none"/>
              </w:rPr>
              <w:t>正本一份、副本</w:t>
            </w:r>
            <w:r>
              <w:rPr>
                <w:rFonts w:hint="eastAsia" w:ascii="仿宋" w:hAnsi="仿宋" w:eastAsia="仿宋"/>
                <w:color w:val="auto"/>
                <w:sz w:val="24"/>
                <w:highlight w:val="none"/>
                <w:lang w:eastAsia="zh-CN"/>
              </w:rPr>
              <w:t>四</w:t>
            </w:r>
            <w:r>
              <w:rPr>
                <w:rFonts w:hint="eastAsia" w:ascii="仿宋" w:hAnsi="仿宋" w:eastAsia="仿宋"/>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69" w:type="dxa"/>
            <w:vAlign w:val="center"/>
          </w:tcPr>
          <w:p>
            <w:pPr>
              <w:spacing w:line="440" w:lineRule="exact"/>
              <w:jc w:val="center"/>
              <w:rPr>
                <w:rFonts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6</w:t>
            </w:r>
          </w:p>
        </w:tc>
        <w:tc>
          <w:tcPr>
            <w:tcW w:w="8371" w:type="dxa"/>
            <w:gridSpan w:val="2"/>
            <w:vAlign w:val="center"/>
          </w:tcPr>
          <w:p>
            <w:pPr>
              <w:autoSpaceDE w:val="0"/>
              <w:autoSpaceDN w:val="0"/>
              <w:spacing w:line="420" w:lineRule="exact"/>
              <w:textAlignment w:val="bottom"/>
              <w:rPr>
                <w:rFonts w:ascii="仿宋" w:hAnsi="仿宋" w:eastAsia="仿宋"/>
                <w:b/>
                <w:color w:val="auto"/>
                <w:sz w:val="24"/>
                <w:highlight w:val="none"/>
              </w:rPr>
            </w:pPr>
            <w:r>
              <w:rPr>
                <w:rFonts w:hint="eastAsia" w:ascii="仿宋" w:hAnsi="仿宋" w:eastAsia="仿宋" w:cs="FangSong_GB2312"/>
                <w:b/>
                <w:color w:val="auto"/>
                <w:sz w:val="24"/>
                <w:highlight w:val="none"/>
              </w:rPr>
              <w:t>开标前答疑会或现场考察：</w:t>
            </w:r>
            <w:r>
              <w:rPr>
                <w:rFonts w:hint="eastAsia" w:ascii="仿宋" w:hAnsi="仿宋" w:eastAsia="仿宋" w:cs="FangSong_GB2312"/>
                <w:b/>
                <w:color w:val="auto"/>
                <w:sz w:val="24"/>
                <w:highlight w:val="none"/>
                <w:lang w:eastAsia="zh-CN"/>
              </w:rPr>
              <w:t>报名截止</w:t>
            </w:r>
            <w:r>
              <w:rPr>
                <w:rFonts w:hint="eastAsia" w:ascii="仿宋" w:hAnsi="仿宋" w:eastAsia="仿宋" w:cs="FangSong_GB2312"/>
                <w:b/>
                <w:color w:val="auto"/>
                <w:sz w:val="24"/>
                <w:highlight w:val="none"/>
                <w:lang w:val="en-US" w:eastAsia="zh-CN"/>
              </w:rPr>
              <w:t>2个工作日后采购人与报名单位电话联系确认现场考察时间</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vAlign w:val="center"/>
          </w:tcPr>
          <w:p>
            <w:pPr>
              <w:spacing w:line="440" w:lineRule="exact"/>
              <w:jc w:val="center"/>
              <w:rPr>
                <w:rFonts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7</w:t>
            </w:r>
          </w:p>
        </w:tc>
        <w:tc>
          <w:tcPr>
            <w:tcW w:w="8371" w:type="dxa"/>
            <w:gridSpan w:val="2"/>
            <w:vAlign w:val="center"/>
          </w:tcPr>
          <w:p>
            <w:pPr>
              <w:spacing w:line="360" w:lineRule="auto"/>
              <w:contextualSpacing/>
              <w:rPr>
                <w:rFonts w:hint="eastAsia" w:ascii="仿宋" w:hAnsi="仿宋" w:eastAsia="仿宋"/>
                <w:b/>
                <w:color w:val="auto"/>
                <w:sz w:val="24"/>
                <w:highlight w:val="none"/>
              </w:rPr>
            </w:pPr>
            <w:r>
              <w:rPr>
                <w:rFonts w:hint="eastAsia" w:ascii="仿宋" w:hAnsi="仿宋" w:eastAsia="仿宋"/>
                <w:b/>
                <w:color w:val="auto"/>
                <w:sz w:val="24"/>
                <w:highlight w:val="none"/>
              </w:rPr>
              <w:t>样品提供：</w:t>
            </w:r>
          </w:p>
          <w:p>
            <w:pPr>
              <w:spacing w:line="360" w:lineRule="auto"/>
              <w:contextualSpacing/>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1.时间要求：</w:t>
            </w:r>
            <w:r>
              <w:rPr>
                <w:rFonts w:hint="eastAsia" w:ascii="仿宋" w:hAnsi="仿宋" w:eastAsia="仿宋" w:cs="仿宋"/>
                <w:color w:val="auto"/>
                <w:sz w:val="24"/>
                <w:szCs w:val="24"/>
                <w:highlight w:val="none"/>
                <w:lang w:eastAsia="zh-CN"/>
              </w:rPr>
              <w:t>投标截止前。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2.样品规格及数量：</w:t>
            </w:r>
            <w:r>
              <w:rPr>
                <w:rFonts w:hint="eastAsia" w:ascii="仿宋" w:hAnsi="仿宋" w:eastAsia="仿宋" w:cs="仿宋"/>
                <w:b/>
                <w:bCs/>
                <w:color w:val="auto"/>
                <w:sz w:val="24"/>
                <w:szCs w:val="24"/>
                <w:highlight w:val="none"/>
                <w:bdr w:val="single" w:color="auto" w:sz="4" w:space="0"/>
              </w:rPr>
              <w:t>01标</w:t>
            </w:r>
            <w:r>
              <w:rPr>
                <w:rFonts w:hint="eastAsia" w:ascii="仿宋" w:hAnsi="仿宋" w:eastAsia="仿宋" w:cs="仿宋"/>
                <w:color w:val="auto"/>
                <w:sz w:val="24"/>
                <w:szCs w:val="24"/>
                <w:highlight w:val="none"/>
                <w:lang w:val="en-US" w:eastAsia="zh-CN"/>
              </w:rPr>
              <w:t xml:space="preserve"> 大米500g一包，面粉500g一包，食用油 500ml 一瓶。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3.样品送达地点：绍兴市</w:t>
            </w:r>
            <w:r>
              <w:rPr>
                <w:rFonts w:hint="eastAsia" w:ascii="仿宋" w:hAnsi="仿宋" w:eastAsia="仿宋" w:cs="仿宋"/>
                <w:color w:val="auto"/>
                <w:sz w:val="24"/>
                <w:szCs w:val="24"/>
                <w:highlight w:val="none"/>
                <w:lang w:eastAsia="zh-CN"/>
              </w:rPr>
              <w:t>朝皇路</w:t>
            </w:r>
            <w:r>
              <w:rPr>
                <w:rFonts w:hint="eastAsia" w:ascii="仿宋" w:hAnsi="仿宋" w:eastAsia="仿宋" w:cs="仿宋"/>
                <w:color w:val="auto"/>
                <w:sz w:val="24"/>
                <w:szCs w:val="24"/>
                <w:highlight w:val="none"/>
                <w:lang w:val="en-US" w:eastAsia="zh-CN"/>
              </w:rPr>
              <w:t>58号正大综合楼601（泰宇咨询）开标室</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4.送样联系方式：</w:t>
            </w:r>
            <w:r>
              <w:rPr>
                <w:rFonts w:hint="eastAsia" w:ascii="仿宋" w:hAnsi="仿宋" w:eastAsia="仿宋" w:cs="仿宋"/>
                <w:color w:val="auto"/>
                <w:sz w:val="24"/>
                <w:szCs w:val="24"/>
                <w:highlight w:val="none"/>
                <w:lang w:eastAsia="zh-CN"/>
              </w:rPr>
              <w:t>金锦英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13656752180/0575-88226969</w:t>
            </w:r>
          </w:p>
          <w:p>
            <w:pPr>
              <w:pStyle w:val="21"/>
              <w:rPr>
                <w:rFonts w:ascii="仿宋" w:hAnsi="仿宋" w:eastAsia="仿宋"/>
                <w:b/>
                <w:color w:val="auto"/>
                <w:sz w:val="24"/>
                <w:highlight w:val="none"/>
              </w:rPr>
            </w:pPr>
            <w:r>
              <w:rPr>
                <w:rFonts w:hint="eastAsia" w:ascii="仿宋" w:hAnsi="仿宋" w:eastAsia="仿宋" w:cs="仿宋"/>
                <w:color w:val="auto"/>
                <w:sz w:val="24"/>
                <w:szCs w:val="24"/>
                <w:highlight w:val="none"/>
              </w:rPr>
              <w:t>5.其他：</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1）样品需贴有标注供应商名称且加盖公章的标签。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2）中标人样品不予退还，由采购人带回并妥善保管作为验收的参考；未中标人样品开标结束后请自行带回，本</w:t>
            </w:r>
            <w:r>
              <w:rPr>
                <w:rFonts w:hint="eastAsia" w:ascii="仿宋" w:hAnsi="仿宋" w:eastAsia="仿宋" w:cs="仿宋"/>
                <w:color w:val="auto"/>
                <w:sz w:val="24"/>
                <w:szCs w:val="24"/>
                <w:highlight w:val="none"/>
                <w:lang w:eastAsia="zh-CN"/>
              </w:rPr>
              <w:t>代理</w:t>
            </w:r>
            <w:r>
              <w:rPr>
                <w:rFonts w:hint="eastAsia" w:ascii="仿宋" w:hAnsi="仿宋" w:eastAsia="仿宋" w:cs="仿宋"/>
                <w:color w:val="auto"/>
                <w:sz w:val="24"/>
                <w:szCs w:val="24"/>
                <w:highlight w:val="none"/>
              </w:rPr>
              <w:t>不予保管。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69" w:type="dxa"/>
            <w:vAlign w:val="center"/>
          </w:tcPr>
          <w:p>
            <w:pPr>
              <w:spacing w:line="440" w:lineRule="exact"/>
              <w:jc w:val="center"/>
              <w:rPr>
                <w:rFonts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highlight w:val="none"/>
              </w:rPr>
              <w:t>8</w:t>
            </w:r>
          </w:p>
        </w:tc>
        <w:tc>
          <w:tcPr>
            <w:tcW w:w="8371" w:type="dxa"/>
            <w:gridSpan w:val="2"/>
            <w:vAlign w:val="center"/>
          </w:tcPr>
          <w:p>
            <w:pPr>
              <w:spacing w:line="420" w:lineRule="exact"/>
              <w:rPr>
                <w:rFonts w:ascii="仿宋" w:hAnsi="仿宋" w:eastAsia="仿宋"/>
                <w:color w:val="auto"/>
                <w:sz w:val="24"/>
                <w:highlight w:val="none"/>
              </w:rPr>
            </w:pPr>
            <w:r>
              <w:rPr>
                <w:rFonts w:hint="eastAsia" w:ascii="仿宋" w:hAnsi="仿宋" w:eastAsia="仿宋"/>
                <w:b/>
                <w:color w:val="auto"/>
                <w:sz w:val="24"/>
                <w:highlight w:val="none"/>
              </w:rPr>
              <w:t>现场演示(讲解)：</w:t>
            </w:r>
            <w:r>
              <w:rPr>
                <w:rFonts w:hint="eastAsia" w:ascii="仿宋" w:hAnsi="仿宋" w:eastAsia="仿宋"/>
                <w:color w:val="auto"/>
                <w:sz w:val="24"/>
                <w:highlight w:val="none"/>
              </w:rPr>
              <w:t>无</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vAlign w:val="center"/>
          </w:tcPr>
          <w:p>
            <w:pPr>
              <w:spacing w:line="440" w:lineRule="exact"/>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9</w:t>
            </w:r>
          </w:p>
        </w:tc>
        <w:tc>
          <w:tcPr>
            <w:tcW w:w="855" w:type="dxa"/>
            <w:vAlign w:val="center"/>
          </w:tcPr>
          <w:p>
            <w:pPr>
              <w:snapToGrid w:val="0"/>
              <w:spacing w:line="420" w:lineRule="exact"/>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进口产品</w:t>
            </w:r>
          </w:p>
        </w:tc>
        <w:tc>
          <w:tcPr>
            <w:tcW w:w="7516" w:type="dxa"/>
            <w:vAlign w:val="center"/>
          </w:tcPr>
          <w:p>
            <w:pPr>
              <w:snapToGrid w:val="0"/>
              <w:spacing w:line="420" w:lineRule="exact"/>
              <w:rPr>
                <w:rFonts w:ascii="仿宋" w:hAnsi="仿宋" w:eastAsia="仿宋" w:cs="FangSong_GB2312"/>
                <w:b/>
                <w:color w:val="auto"/>
                <w:sz w:val="24"/>
                <w:highlight w:val="none"/>
              </w:rPr>
            </w:pPr>
            <w:r>
              <w:rPr>
                <w:rFonts w:hint="eastAsia" w:ascii="仿宋" w:hAnsi="仿宋" w:eastAsia="仿宋" w:cs="FangSong_GB2312"/>
                <w:color w:val="auto"/>
                <w:sz w:val="24"/>
                <w:highlight w:val="none"/>
              </w:rPr>
              <w:t>本项目</w:t>
            </w:r>
            <w:r>
              <w:rPr>
                <w:rFonts w:hint="eastAsia" w:ascii="仿宋" w:hAnsi="仿宋" w:eastAsia="仿宋" w:cs="FangSong_GB2312"/>
                <w:color w:val="auto"/>
                <w:sz w:val="24"/>
                <w:highlight w:val="none"/>
                <w:lang w:eastAsia="zh-CN"/>
              </w:rPr>
              <w:t>不</w:t>
            </w:r>
            <w:r>
              <w:rPr>
                <w:rFonts w:hint="eastAsia" w:ascii="仿宋" w:hAnsi="仿宋" w:eastAsia="仿宋" w:cs="FangSong_GB2312"/>
                <w:color w:val="auto"/>
                <w:sz w:val="24"/>
                <w:highlight w:val="none"/>
              </w:rPr>
              <w:t>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restart"/>
            <w:vAlign w:val="center"/>
          </w:tcPr>
          <w:p>
            <w:pPr>
              <w:spacing w:line="440" w:lineRule="exact"/>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10</w:t>
            </w:r>
          </w:p>
        </w:tc>
        <w:tc>
          <w:tcPr>
            <w:tcW w:w="855" w:type="dxa"/>
            <w:vMerge w:val="restart"/>
            <w:vAlign w:val="center"/>
          </w:tcPr>
          <w:p>
            <w:pPr>
              <w:snapToGrid w:val="0"/>
              <w:spacing w:line="420" w:lineRule="exact"/>
              <w:rPr>
                <w:rFonts w:ascii="仿宋" w:hAnsi="仿宋" w:eastAsia="仿宋" w:cs="FangSong_GB2312"/>
                <w:b/>
                <w:color w:val="auto"/>
                <w:sz w:val="24"/>
                <w:highlight w:val="none"/>
              </w:rPr>
            </w:pPr>
            <w:r>
              <w:rPr>
                <w:rFonts w:hint="eastAsia" w:ascii="仿宋" w:hAnsi="仿宋" w:eastAsia="仿宋"/>
                <w:b/>
                <w:color w:val="auto"/>
                <w:sz w:val="24"/>
                <w:highlight w:val="none"/>
              </w:rPr>
              <w:t>投标人信用信息事项</w:t>
            </w:r>
          </w:p>
        </w:tc>
        <w:tc>
          <w:tcPr>
            <w:tcW w:w="7516" w:type="dxa"/>
            <w:vAlign w:val="center"/>
          </w:tcPr>
          <w:p>
            <w:pPr>
              <w:snapToGrid w:val="0"/>
              <w:spacing w:line="420" w:lineRule="exact"/>
              <w:rPr>
                <w:rFonts w:ascii="仿宋" w:hAnsi="仿宋" w:eastAsia="仿宋" w:cs="FangSong_GB2312"/>
                <w:b/>
                <w:color w:val="auto"/>
                <w:sz w:val="24"/>
                <w:highlight w:val="none"/>
              </w:rPr>
            </w:pPr>
            <w:r>
              <w:rPr>
                <w:rFonts w:hint="eastAsia" w:ascii="仿宋" w:hAnsi="仿宋" w:eastAsia="仿宋"/>
                <w:b/>
                <w:color w:val="auto"/>
                <w:sz w:val="24"/>
                <w:highlight w:val="none"/>
              </w:rPr>
              <w:t>信用信息查询渠道及截止时间：</w:t>
            </w:r>
            <w:r>
              <w:rPr>
                <w:rFonts w:hint="eastAsia" w:ascii="仿宋" w:hAnsi="仿宋" w:eastAsia="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FangSong_GB2312"/>
                <w:b/>
                <w:color w:val="auto"/>
                <w:sz w:val="24"/>
                <w:highlight w:val="none"/>
              </w:rPr>
              <w:t>投标截止时间前</w:t>
            </w:r>
            <w:r>
              <w:rPr>
                <w:rFonts w:hint="eastAsia" w:ascii="仿宋" w:hAnsi="仿宋" w:eastAsia="仿宋"/>
                <w:color w:val="auto"/>
                <w:sz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pPr>
              <w:spacing w:line="440" w:lineRule="exact"/>
              <w:jc w:val="center"/>
              <w:rPr>
                <w:rFonts w:ascii="仿宋" w:hAnsi="仿宋" w:eastAsia="仿宋"/>
                <w:color w:val="auto"/>
                <w:sz w:val="24"/>
                <w:highlight w:val="none"/>
              </w:rPr>
            </w:pPr>
          </w:p>
        </w:tc>
        <w:tc>
          <w:tcPr>
            <w:tcW w:w="855" w:type="dxa"/>
            <w:vMerge w:val="continue"/>
            <w:vAlign w:val="center"/>
          </w:tcPr>
          <w:p>
            <w:pPr>
              <w:snapToGrid w:val="0"/>
              <w:spacing w:line="420" w:lineRule="exact"/>
              <w:rPr>
                <w:rFonts w:ascii="仿宋" w:hAnsi="仿宋" w:eastAsia="仿宋" w:cs="FangSong_GB2312"/>
                <w:b/>
                <w:color w:val="auto"/>
                <w:sz w:val="24"/>
                <w:highlight w:val="none"/>
              </w:rPr>
            </w:pPr>
          </w:p>
        </w:tc>
        <w:tc>
          <w:tcPr>
            <w:tcW w:w="7516" w:type="dxa"/>
            <w:vAlign w:val="center"/>
          </w:tcPr>
          <w:p>
            <w:pPr>
              <w:snapToGrid w:val="0"/>
              <w:spacing w:line="420" w:lineRule="exact"/>
              <w:rPr>
                <w:rFonts w:ascii="仿宋" w:hAnsi="仿宋" w:eastAsia="仿宋" w:cs="FangSong_GB2312"/>
                <w:b/>
                <w:color w:val="auto"/>
                <w:sz w:val="24"/>
                <w:highlight w:val="none"/>
              </w:rPr>
            </w:pPr>
            <w:r>
              <w:rPr>
                <w:rFonts w:hint="eastAsia" w:ascii="仿宋" w:hAnsi="仿宋" w:eastAsia="仿宋"/>
                <w:b/>
                <w:color w:val="auto"/>
                <w:sz w:val="24"/>
                <w:highlight w:val="none"/>
              </w:rPr>
              <w:t>信用信息查询记录和证据留存的具体方式：</w:t>
            </w:r>
            <w:r>
              <w:rPr>
                <w:rFonts w:hint="eastAsia" w:ascii="仿宋" w:hAnsi="仿宋" w:eastAsia="仿宋"/>
                <w:color w:val="auto"/>
                <w:sz w:val="24"/>
                <w:highlight w:val="none"/>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Merge w:val="continue"/>
            <w:vAlign w:val="center"/>
          </w:tcPr>
          <w:p>
            <w:pPr>
              <w:spacing w:line="440" w:lineRule="exact"/>
              <w:jc w:val="center"/>
              <w:rPr>
                <w:rFonts w:ascii="仿宋" w:hAnsi="仿宋" w:eastAsia="仿宋"/>
                <w:color w:val="auto"/>
                <w:sz w:val="24"/>
                <w:highlight w:val="none"/>
              </w:rPr>
            </w:pPr>
          </w:p>
        </w:tc>
        <w:tc>
          <w:tcPr>
            <w:tcW w:w="855" w:type="dxa"/>
            <w:vMerge w:val="continue"/>
            <w:vAlign w:val="center"/>
          </w:tcPr>
          <w:p>
            <w:pPr>
              <w:snapToGrid w:val="0"/>
              <w:spacing w:line="420" w:lineRule="exact"/>
              <w:rPr>
                <w:rFonts w:ascii="仿宋" w:hAnsi="仿宋" w:eastAsia="仿宋" w:cs="FangSong_GB2312"/>
                <w:b/>
                <w:color w:val="auto"/>
                <w:sz w:val="24"/>
                <w:highlight w:val="none"/>
              </w:rPr>
            </w:pPr>
          </w:p>
        </w:tc>
        <w:tc>
          <w:tcPr>
            <w:tcW w:w="7516" w:type="dxa"/>
            <w:vAlign w:val="center"/>
          </w:tcPr>
          <w:p>
            <w:pPr>
              <w:snapToGrid w:val="0"/>
              <w:spacing w:line="420" w:lineRule="exact"/>
              <w:rPr>
                <w:rFonts w:ascii="仿宋" w:hAnsi="仿宋" w:eastAsia="仿宋" w:cs="FangSong_GB2312"/>
                <w:b/>
                <w:color w:val="auto"/>
                <w:sz w:val="24"/>
                <w:highlight w:val="none"/>
              </w:rPr>
            </w:pPr>
            <w:r>
              <w:rPr>
                <w:rFonts w:hint="eastAsia" w:ascii="仿宋" w:hAnsi="仿宋" w:eastAsia="仿宋"/>
                <w:b/>
                <w:color w:val="auto"/>
                <w:sz w:val="24"/>
                <w:highlight w:val="none"/>
              </w:rPr>
              <w:t>信用信息的使用规则：</w:t>
            </w:r>
            <w:r>
              <w:rPr>
                <w:rFonts w:hint="eastAsia" w:ascii="仿宋" w:hAnsi="仿宋" w:eastAsia="仿宋"/>
                <w:color w:val="auto"/>
                <w:sz w:val="24"/>
                <w:highlight w:val="none"/>
              </w:rPr>
              <w:t>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00" w:lineRule="exact"/>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11</w:t>
            </w:r>
          </w:p>
        </w:tc>
        <w:tc>
          <w:tcPr>
            <w:tcW w:w="8371" w:type="dxa"/>
            <w:gridSpan w:val="2"/>
            <w:vAlign w:val="center"/>
          </w:tcPr>
          <w:p>
            <w:pPr>
              <w:snapToGrid w:val="0"/>
              <w:spacing w:line="240" w:lineRule="exac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扰乱公共资源交易市场秩序行为：</w:t>
            </w:r>
          </w:p>
          <w:p>
            <w:pPr>
              <w:snapToGrid w:val="0"/>
              <w:spacing w:line="400" w:lineRule="exact"/>
              <w:rPr>
                <w:rFonts w:hint="eastAsia" w:ascii="仿宋_GB2312" w:hAnsi="宋体" w:eastAsia="仿宋_GB2312"/>
                <w:color w:val="auto"/>
                <w:sz w:val="24"/>
                <w:highlight w:val="none"/>
              </w:rPr>
            </w:pPr>
            <w:r>
              <w:rPr>
                <w:rFonts w:hint="eastAsia" w:ascii="仿宋_GB2312" w:hAnsi="仿宋" w:eastAsia="仿宋_GB2312"/>
                <w:color w:val="auto"/>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00" w:lineRule="exact"/>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12</w:t>
            </w:r>
          </w:p>
        </w:tc>
        <w:tc>
          <w:tcPr>
            <w:tcW w:w="8371" w:type="dxa"/>
            <w:gridSpan w:val="2"/>
            <w:vAlign w:val="center"/>
          </w:tcPr>
          <w:p>
            <w:pPr>
              <w:snapToGrid w:val="0"/>
              <w:spacing w:line="400" w:lineRule="exact"/>
              <w:rPr>
                <w:rFonts w:hint="eastAsia" w:ascii="仿宋_GB2312" w:hAnsi="宋体" w:eastAsia="仿宋_GB2312"/>
                <w:color w:val="auto"/>
                <w:sz w:val="24"/>
                <w:highlight w:val="none"/>
              </w:rPr>
            </w:pPr>
            <w:r>
              <w:rPr>
                <w:rFonts w:hint="eastAsia" w:ascii="仿宋_GB2312" w:hAnsi="仿宋" w:eastAsia="仿宋_GB2312"/>
                <w:color w:val="auto"/>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340" w:lineRule="exact"/>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13</w:t>
            </w:r>
          </w:p>
        </w:tc>
        <w:tc>
          <w:tcPr>
            <w:tcW w:w="8371" w:type="dxa"/>
            <w:gridSpan w:val="2"/>
            <w:vAlign w:val="center"/>
          </w:tcPr>
          <w:p>
            <w:pPr>
              <w:snapToGrid w:val="0"/>
              <w:spacing w:line="400" w:lineRule="exact"/>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投标与开标注意事项：</w:t>
            </w:r>
          </w:p>
          <w:p>
            <w:pPr>
              <w:snapToGrid w:val="0"/>
              <w:spacing w:line="400" w:lineRule="exact"/>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1.本项目采用</w:t>
            </w:r>
            <w:r>
              <w:rPr>
                <w:rFonts w:hint="eastAsia" w:ascii="仿宋_GB2312" w:hAnsi="仿宋" w:eastAsia="仿宋_GB2312" w:cs="Times New Roman"/>
                <w:color w:val="auto"/>
                <w:sz w:val="24"/>
                <w:highlight w:val="none"/>
                <w:lang w:eastAsia="zh-CN"/>
              </w:rPr>
              <w:t>纸质</w:t>
            </w:r>
            <w:r>
              <w:rPr>
                <w:rFonts w:hint="eastAsia" w:ascii="仿宋_GB2312" w:hAnsi="仿宋" w:eastAsia="仿宋_GB2312" w:cs="Times New Roman"/>
                <w:color w:val="auto"/>
                <w:sz w:val="24"/>
                <w:highlight w:val="none"/>
              </w:rPr>
              <w:t>投标文件。若供应商参与投标，自行承担投标一切费用。投标文件允许投标单位通过邮寄快递方式送达（建议采用EMS或顺丰快递。邮寄送达地址：绍兴市朝皇路58号正大综合楼601泰宇建筑工程技术咨询有限公司招标代理部（泰宇建筑工程技术咨询有限公司，接收人：金锦英，联系方式：13656752180。快递寄出后，请将快递底单照片发送邮件至2429136371@qq.com，邮件名称为公司名称+联系人姓名+手机号，以便及时查收）。同时请充分考虑快递时间，确保在投标截止时间前送达。投标文件递交的时间以招标代理机构签收时间为准，除邮寄外包装外，投标文件仍需要按采购文件要求封包，但在邮寄过程中发生的包封缺损或保管过程中发生的一切事宜均由投标人自行承担。</w:t>
            </w:r>
          </w:p>
          <w:p>
            <w:pPr>
              <w:snapToGrid w:val="0"/>
              <w:spacing w:line="400" w:lineRule="exact"/>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2. 同时允许投标单位现场送达（即交即走）的方式，在投标截止时间前将投标文件递交至绍兴市朝皇路58号正大综合楼601（泰宇建筑工程技术咨询有限公司）会议室。</w:t>
            </w:r>
          </w:p>
          <w:p>
            <w:pPr>
              <w:snapToGrid w:val="0"/>
              <w:spacing w:line="400" w:lineRule="exact"/>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lang w:val="en-US" w:eastAsia="zh-CN"/>
              </w:rPr>
              <w:t>3</w:t>
            </w:r>
            <w:r>
              <w:rPr>
                <w:rFonts w:hint="eastAsia" w:ascii="仿宋_GB2312" w:hAnsi="仿宋" w:eastAsia="仿宋_GB2312" w:cs="Times New Roman"/>
                <w:color w:val="auto"/>
                <w:sz w:val="24"/>
                <w:highlight w:val="none"/>
              </w:rPr>
              <w:t>.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00" w:lineRule="exact"/>
              <w:rPr>
                <w:rFonts w:hint="eastAsia" w:ascii="仿宋_GB2312" w:hAnsi="仿宋" w:eastAsia="仿宋_GB2312"/>
                <w:color w:val="auto"/>
                <w:sz w:val="24"/>
                <w:highlight w:val="none"/>
              </w:rPr>
            </w:pPr>
            <w:r>
              <w:rPr>
                <w:rFonts w:hint="eastAsia" w:ascii="仿宋_GB2312" w:hAnsi="仿宋" w:eastAsia="仿宋_GB2312" w:cs="Times New Roman"/>
                <w:color w:val="auto"/>
                <w:sz w:val="24"/>
                <w:highlight w:val="none"/>
                <w:lang w:val="en-US" w:eastAsia="zh-CN"/>
              </w:rPr>
              <w:t>4</w:t>
            </w:r>
            <w:r>
              <w:rPr>
                <w:rFonts w:hint="eastAsia" w:ascii="仿宋_GB2312" w:hAnsi="仿宋" w:eastAsia="仿宋_GB2312" w:cs="Times New Roman"/>
                <w:color w:val="auto"/>
                <w:sz w:val="24"/>
                <w:highlight w:val="none"/>
              </w:rPr>
              <w:t>.本项目招标文件内对开标现场原件核验不作要求，采购人有权在标后对中标候选人进行原件核验。投标人对所提供的全部资料的真实性承担法律责任。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9" w:type="dxa"/>
            <w:vAlign w:val="center"/>
          </w:tcPr>
          <w:p>
            <w:pPr>
              <w:spacing w:line="440" w:lineRule="exact"/>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4</w:t>
            </w:r>
          </w:p>
        </w:tc>
        <w:tc>
          <w:tcPr>
            <w:tcW w:w="8371" w:type="dxa"/>
            <w:gridSpan w:val="2"/>
            <w:vAlign w:val="center"/>
          </w:tcPr>
          <w:p>
            <w:pPr>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采购代理服务费：</w:t>
            </w:r>
          </w:p>
          <w:p>
            <w:pPr>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中标人须向采购代理机构按如下标准和规定交纳代理服务费，并在投标报价中自行考虑：</w:t>
            </w:r>
          </w:p>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以中标通知中确定的中标总金额作为代理服务费的计算基数，具体比例参照《国家计委关于印发&lt;招标代理服务收费管理暂行办法&gt;的通知》（计价格[2002]1980号）规定的标准下浮50%进行收费。服务费不到2000元按照2000元收取。</w:t>
            </w:r>
          </w:p>
          <w:p>
            <w:pPr>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（2）代理服务费的交纳方式：</w:t>
            </w:r>
          </w:p>
          <w:p>
            <w:pPr>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用银行支票、汇票、电汇、现金等付款方式直接交纳代理服务费。</w:t>
            </w:r>
          </w:p>
          <w:p>
            <w:pPr>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公司名称：泰宇建筑工程技术咨询有限公司绍兴分公司</w:t>
            </w:r>
          </w:p>
          <w:p>
            <w:pPr>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账号: 85010078801000000518</w:t>
            </w:r>
          </w:p>
          <w:p>
            <w:pPr>
              <w:snapToGrid w:val="0"/>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开户银行:上海浦东发展银行绍兴分行</w:t>
            </w:r>
          </w:p>
          <w:p>
            <w:pPr>
              <w:snapToGrid w:val="0"/>
              <w:spacing w:line="420" w:lineRule="exact"/>
              <w:rPr>
                <w:rFonts w:ascii="仿宋" w:hAnsi="仿宋" w:eastAsia="仿宋"/>
                <w:b/>
                <w:color w:val="auto"/>
                <w:sz w:val="24"/>
                <w:highlight w:val="none"/>
              </w:rPr>
            </w:pPr>
            <w:r>
              <w:rPr>
                <w:rFonts w:hint="eastAsia" w:ascii="仿宋" w:hAnsi="仿宋" w:eastAsia="仿宋" w:cs="仿宋"/>
                <w:color w:val="auto"/>
                <w:sz w:val="24"/>
                <w:highlight w:val="none"/>
              </w:rPr>
              <w:t>（3）领取中标通知书前交纳。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20" w:lineRule="exact"/>
              <w:rPr>
                <w:rFonts w:ascii="仿宋" w:hAnsi="仿宋" w:eastAsia="仿宋"/>
                <w:color w:val="auto"/>
                <w:sz w:val="24"/>
                <w:highlight w:val="none"/>
              </w:rPr>
            </w:pPr>
            <w:r>
              <w:rPr>
                <w:rFonts w:hint="eastAsia" w:ascii="仿宋" w:hAnsi="仿宋" w:eastAsia="仿宋"/>
                <w:color w:val="auto"/>
                <w:sz w:val="24"/>
                <w:highlight w:val="none"/>
              </w:rPr>
              <w:t>解释：凡涉及本招标文件的解释权属于采购人和采购代理机构。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20" w:lineRule="exact"/>
              <w:rPr>
                <w:rFonts w:ascii="仿宋" w:hAnsi="仿宋" w:eastAsia="仿宋"/>
                <w:b/>
                <w:color w:val="auto"/>
                <w:sz w:val="24"/>
                <w:highlight w:val="none"/>
              </w:rPr>
            </w:pPr>
            <w:r>
              <w:rPr>
                <w:rFonts w:hint="eastAsia" w:ascii="仿宋" w:hAnsi="仿宋" w:eastAsia="仿宋"/>
                <w:b/>
                <w:color w:val="auto"/>
                <w:sz w:val="24"/>
                <w:highlight w:val="none"/>
              </w:rPr>
              <w:t>注：中标人放弃中标资格或因质疑、投诉被取消中标资格或不能履行合同的，本项目重新开展政府采购活动。</w:t>
            </w:r>
          </w:p>
        </w:tc>
      </w:tr>
    </w:tbl>
    <w:p>
      <w:pPr>
        <w:pStyle w:val="31"/>
        <w:widowControl w:val="0"/>
        <w:spacing w:afterLines="0" w:line="560" w:lineRule="exact"/>
        <w:ind w:firstLine="180"/>
        <w:jc w:val="both"/>
        <w:rPr>
          <w:rFonts w:ascii="仿宋" w:hAnsi="仿宋" w:eastAsia="仿宋"/>
          <w:b/>
          <w:bCs w:val="0"/>
          <w:color w:val="auto"/>
          <w:sz w:val="24"/>
          <w:szCs w:val="24"/>
          <w:highlight w:val="none"/>
        </w:rPr>
      </w:pPr>
      <w:r>
        <w:rPr>
          <w:rFonts w:hint="eastAsia" w:ascii="仿宋" w:hAnsi="仿宋" w:eastAsia="仿宋"/>
          <w:b/>
          <w:bCs w:val="0"/>
          <w:color w:val="auto"/>
          <w:sz w:val="32"/>
          <w:szCs w:val="32"/>
          <w:highlight w:val="none"/>
        </w:rPr>
        <w:t>注：</w:t>
      </w:r>
      <w:r>
        <w:rPr>
          <w:rFonts w:hint="eastAsia" w:ascii="仿宋" w:hAnsi="仿宋" w:eastAsia="仿宋"/>
          <w:b/>
          <w:bCs w:val="0"/>
          <w:color w:val="auto"/>
          <w:sz w:val="24"/>
          <w:szCs w:val="24"/>
          <w:highlight w:val="none"/>
        </w:rPr>
        <w:t>为维护绍兴市公共资源交易中心交易市场的正常秩序，进一步遏制串标、抬标行为，保护交易各方的合法权益，凡在同一招标项目的评标中，发现</w:t>
      </w:r>
      <w:r>
        <w:rPr>
          <w:rFonts w:hint="eastAsia" w:ascii="仿宋" w:hAnsi="仿宋" w:eastAsia="仿宋"/>
          <w:b/>
          <w:bCs w:val="0"/>
          <w:i/>
          <w:color w:val="auto"/>
          <w:sz w:val="24"/>
          <w:szCs w:val="24"/>
          <w:highlight w:val="none"/>
          <w:u w:val="double"/>
        </w:rPr>
        <w:t>①有二份及二份以上投标文件的相互之间有特别相同或相似之处②两家或两家以上投标人提供的投标文件出自同一终端设备的，或在相同Internet主机分配地址（相同IP地址）招标文件获取或网上投标的</w:t>
      </w:r>
      <w:r>
        <w:rPr>
          <w:rFonts w:hint="eastAsia" w:ascii="仿宋" w:hAnsi="仿宋" w:eastAsia="仿宋"/>
          <w:b/>
          <w:bCs w:val="0"/>
          <w:color w:val="auto"/>
          <w:sz w:val="24"/>
          <w:szCs w:val="24"/>
          <w:highlight w:val="none"/>
        </w:rPr>
        <w:t>，且经询标澄清投标人无令人信服的理由和可靠证据证明其合理性的，经评标委员会半数以上成员确认有</w:t>
      </w:r>
      <w:r>
        <w:rPr>
          <w:rFonts w:hint="eastAsia" w:ascii="仿宋" w:hAnsi="仿宋" w:eastAsia="仿宋"/>
          <w:b/>
          <w:bCs w:val="0"/>
          <w:color w:val="auto"/>
          <w:sz w:val="24"/>
          <w:szCs w:val="24"/>
          <w:highlight w:val="none"/>
          <w:u w:val="double"/>
        </w:rPr>
        <w:t>串通投标</w:t>
      </w:r>
      <w:r>
        <w:rPr>
          <w:rFonts w:hint="eastAsia" w:ascii="仿宋" w:hAnsi="仿宋" w:eastAsia="仿宋"/>
          <w:b/>
          <w:bCs w:val="0"/>
          <w:color w:val="auto"/>
          <w:sz w:val="24"/>
          <w:szCs w:val="24"/>
          <w:highlight w:val="none"/>
        </w:rPr>
        <w:t>嫌疑的，其投标文件按</w:t>
      </w:r>
      <w:r>
        <w:rPr>
          <w:rFonts w:hint="eastAsia" w:ascii="仿宋" w:hAnsi="仿宋" w:eastAsia="仿宋"/>
          <w:b/>
          <w:bCs w:val="0"/>
          <w:color w:val="auto"/>
          <w:sz w:val="24"/>
          <w:szCs w:val="24"/>
          <w:highlight w:val="none"/>
          <w:u w:val="double"/>
        </w:rPr>
        <w:t>无效投标处理</w:t>
      </w:r>
      <w:r>
        <w:rPr>
          <w:rFonts w:hint="eastAsia" w:ascii="仿宋" w:hAnsi="仿宋" w:eastAsia="仿宋"/>
          <w:b/>
          <w:bCs w:val="0"/>
          <w:color w:val="auto"/>
          <w:sz w:val="24"/>
          <w:szCs w:val="24"/>
          <w:highlight w:val="none"/>
        </w:rPr>
        <w:t>，不再对其进行评审，也不影响招标工作继续评标。</w:t>
      </w:r>
    </w:p>
    <w:p>
      <w:pPr>
        <w:pageBreakBefore/>
        <w:ind w:left="238"/>
        <w:jc w:val="center"/>
        <w:rPr>
          <w:rFonts w:ascii="仿宋" w:hAnsi="仿宋" w:eastAsia="仿宋"/>
          <w:color w:val="auto"/>
          <w:highlight w:val="none"/>
        </w:rPr>
      </w:pPr>
      <w:r>
        <w:rPr>
          <w:rFonts w:hint="eastAsia" w:ascii="仿宋" w:hAnsi="仿宋" w:eastAsia="仿宋"/>
          <w:b/>
          <w:color w:val="auto"/>
          <w:sz w:val="36"/>
          <w:szCs w:val="36"/>
          <w:highlight w:val="none"/>
        </w:rPr>
        <w:t>一、总则</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1. 项目说明</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1.1本招标文件适用于该项目的招标、投标、开标、资格审查及信用信息查询、评标、定标、合同、验收等行为（法律、法规另有规定的，从其规定）。</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1.2投标人一旦参与本次招标活动，即被视为接受了本招标文件的所有内容，如有任何异议，均应在法定时间内提出。</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1.4本招标文件所称公章是指单位法定名称章或者冠以法定名称的投标业务专用章。</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2. 定义</w:t>
      </w:r>
    </w:p>
    <w:p>
      <w:pPr>
        <w:snapToGrid w:val="0"/>
        <w:spacing w:line="440" w:lineRule="exact"/>
        <w:jc w:val="left"/>
        <w:rPr>
          <w:rFonts w:ascii="仿宋" w:hAnsi="仿宋" w:eastAsia="仿宋"/>
          <w:color w:val="auto"/>
          <w:sz w:val="24"/>
          <w:highlight w:val="none"/>
        </w:rPr>
      </w:pPr>
      <w:r>
        <w:rPr>
          <w:rFonts w:hint="eastAsia" w:ascii="仿宋" w:hAnsi="仿宋" w:eastAsia="仿宋" w:cs="FangSong_GB2312"/>
          <w:color w:val="auto"/>
          <w:sz w:val="24"/>
          <w:highlight w:val="none"/>
        </w:rPr>
        <w:t>2.1政府采购当事人及监管部门：</w:t>
      </w:r>
      <w:r>
        <w:rPr>
          <w:rFonts w:hint="eastAsia" w:ascii="仿宋" w:hAnsi="仿宋" w:eastAsia="仿宋" w:cs="FangSong_GB2312"/>
          <w:color w:val="auto"/>
          <w:sz w:val="24"/>
          <w:highlight w:val="none"/>
          <w:lang w:eastAsia="zh-CN"/>
        </w:rPr>
        <w:t>绍兴市中医院</w:t>
      </w:r>
      <w:r>
        <w:rPr>
          <w:rFonts w:hint="eastAsia" w:ascii="仿宋" w:hAnsi="仿宋" w:eastAsia="仿宋" w:cs="FangSong_GB2312"/>
          <w:color w:val="auto"/>
          <w:sz w:val="24"/>
          <w:highlight w:val="none"/>
        </w:rPr>
        <w:t>为本项目的采购人（合同中的甲方），泰宇建筑工程技术咨询有限公司为采购代理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2.2 “产品”系指供方按招标文件规定，经合法途径取得的，须向采购人提供的一切产品、保险、税金、安装、施工、调试、备品备件、工具、手册及其它有关技术资料和材料。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2.3 “服务”系指招标文件规定投标人须承担的安装、调试、技术协助、校准、培训、技术指导以及其他类似的义务。</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2.4 “项目”系指投标人按招标文件规定向采购人提供的产品和服务。</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2.5 “授权代表”系指法定代表人的被授权委托人。</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2.6“★”系指实质性指标要求条款，“▲” 系指主要性能指标要求条款。如任意一条打“★”的指标出现负偏离视为实质性不响应招标文件要求，作无效投标处理；如任意一条打“▲”的指标出现负偏离按评分标准作扣分处理。</w:t>
      </w:r>
    </w:p>
    <w:p>
      <w:pPr>
        <w:spacing w:line="440" w:lineRule="exact"/>
        <w:rPr>
          <w:rFonts w:ascii="仿宋_GB2312" w:hAnsi="仿宋"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3</w:t>
      </w:r>
      <w:r>
        <w:rPr>
          <w:rFonts w:hint="eastAsia" w:ascii="仿宋_GB2312" w:hAnsi="仿宋" w:eastAsia="仿宋_GB2312"/>
          <w:color w:val="auto"/>
          <w:sz w:val="24"/>
          <w:highlight w:val="none"/>
        </w:rPr>
        <w:t>.特别说明：</w:t>
      </w:r>
    </w:p>
    <w:p>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w:t>
      </w:r>
      <w:r>
        <w:rPr>
          <w:rFonts w:hint="eastAsia" w:ascii="仿宋_GB2312" w:hAnsi="仿宋" w:eastAsia="仿宋_GB2312"/>
          <w:color w:val="auto"/>
          <w:sz w:val="24"/>
          <w:highlight w:val="none"/>
        </w:rPr>
        <w:t>.1供应商投标所使用的资格、信誉、荣誉、业绩与企业认证必须为投标单位所拥有。供应商投标所使用的采购项目实施人员必须为投标单位正式员工。</w:t>
      </w:r>
    </w:p>
    <w:p>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w:t>
      </w:r>
      <w:r>
        <w:rPr>
          <w:rFonts w:hint="eastAsia" w:ascii="仿宋_GB2312" w:hAnsi="仿宋" w:eastAsia="仿宋_GB2312"/>
          <w:color w:val="auto"/>
          <w:sz w:val="24"/>
          <w:highlight w:val="none"/>
        </w:rPr>
        <w:t>.2供应商应仔细阅读招标文件的所有内容，按照招标文件的要求提交投标文件，并对所提供的全部资料的真实性承担法律责任。</w:t>
      </w:r>
    </w:p>
    <w:p>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w:t>
      </w:r>
      <w:r>
        <w:rPr>
          <w:rFonts w:hint="eastAsia" w:ascii="仿宋_GB2312" w:hAnsi="仿宋" w:eastAsia="仿宋_GB2312"/>
          <w:color w:val="auto"/>
          <w:sz w:val="24"/>
          <w:highlight w:val="none"/>
        </w:rPr>
        <w:t>.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spacing w:beforeLines="50" w:afterLines="50"/>
        <w:jc w:val="center"/>
        <w:rPr>
          <w:rFonts w:ascii="仿宋" w:hAnsi="仿宋" w:eastAsia="仿宋"/>
          <w:color w:val="auto"/>
          <w:sz w:val="24"/>
          <w:highlight w:val="none"/>
        </w:rPr>
      </w:pPr>
      <w:r>
        <w:rPr>
          <w:rFonts w:hint="eastAsia" w:ascii="仿宋" w:hAnsi="仿宋" w:eastAsia="仿宋"/>
          <w:b/>
          <w:color w:val="auto"/>
          <w:sz w:val="36"/>
          <w:szCs w:val="36"/>
          <w:highlight w:val="none"/>
        </w:rPr>
        <w:t>二、招标文件</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1．招标方式</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1.1 本次招标采用</w:t>
      </w:r>
      <w:r>
        <w:rPr>
          <w:rFonts w:hint="eastAsia" w:ascii="仿宋" w:hAnsi="仿宋" w:eastAsia="仿宋"/>
          <w:b/>
          <w:color w:val="auto"/>
          <w:kern w:val="0"/>
          <w:sz w:val="24"/>
          <w:highlight w:val="none"/>
        </w:rPr>
        <w:t>公开招标</w:t>
      </w:r>
      <w:r>
        <w:rPr>
          <w:rFonts w:hint="eastAsia" w:ascii="仿宋" w:hAnsi="仿宋" w:eastAsia="仿宋"/>
          <w:color w:val="auto"/>
          <w:sz w:val="24"/>
          <w:highlight w:val="none"/>
        </w:rPr>
        <w:t>方式进行。</w:t>
      </w:r>
    </w:p>
    <w:p>
      <w:pPr>
        <w:snapToGrid w:val="0"/>
        <w:spacing w:line="440" w:lineRule="exact"/>
        <w:jc w:val="left"/>
        <w:rPr>
          <w:rFonts w:ascii="仿宋" w:hAnsi="仿宋" w:eastAsia="仿宋"/>
          <w:b/>
          <w:color w:val="auto"/>
          <w:sz w:val="24"/>
          <w:highlight w:val="none"/>
        </w:rPr>
      </w:pPr>
      <w:r>
        <w:rPr>
          <w:rFonts w:hint="eastAsia" w:ascii="仿宋" w:hAnsi="仿宋" w:eastAsia="仿宋"/>
          <w:color w:val="auto"/>
          <w:sz w:val="24"/>
          <w:highlight w:val="none"/>
        </w:rPr>
        <w:t>1.2 如某一标项投标人或实质性响应招标文件的投标人不足三家时，由采购人重新组织招标或按有关规定实施。</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1.3 本次招标设定限价，即招标公告中公布的各标项预算金额或最高限价（各标项之间的预算金额不能互相调整）。</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2. 投标委托</w:t>
      </w:r>
    </w:p>
    <w:p>
      <w:pPr>
        <w:snapToGrid w:val="0"/>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本项目为现场送达（即交即走）的方式递交投标文件，投标人的法定代表人或其授权代表或个体工商户不需要参加现场投标和开标。</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3. 投标费用</w:t>
      </w:r>
    </w:p>
    <w:p>
      <w:pPr>
        <w:pStyle w:val="13"/>
        <w:tabs>
          <w:tab w:val="clear" w:pos="454"/>
        </w:tabs>
        <w:spacing w:afterLines="0" w:line="440" w:lineRule="exact"/>
        <w:ind w:left="0" w:firstLine="480" w:firstLineChars="200"/>
        <w:rPr>
          <w:rFonts w:ascii="仿宋" w:hAnsi="仿宋" w:eastAsia="仿宋"/>
          <w:color w:val="auto"/>
          <w:highlight w:val="none"/>
        </w:rPr>
      </w:pPr>
      <w:r>
        <w:rPr>
          <w:rFonts w:hint="eastAsia" w:ascii="仿宋" w:hAnsi="仿宋" w:eastAsia="仿宋"/>
          <w:color w:val="auto"/>
          <w:highlight w:val="none"/>
        </w:rPr>
        <w:t>投标人应自行承担编制投标文件及参加本次投标所涉及的一切费用。不管投标结果如何，招标人对上述费用不负任何责任。</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4. 招标文件的修改</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 xml:space="preserve">4.1 </w:t>
      </w:r>
      <w:r>
        <w:rPr>
          <w:rFonts w:hint="eastAsia" w:ascii="仿宋" w:hAnsi="仿宋" w:eastAsia="仿宋"/>
          <w:bCs/>
          <w:color w:val="auto"/>
          <w:sz w:val="24"/>
          <w:highlight w:val="none"/>
        </w:rPr>
        <w:t>招标文件包括本招标文件及所有的招标答疑记录（澄清、修改）和发出的补充通知</w:t>
      </w:r>
      <w:r>
        <w:rPr>
          <w:rFonts w:hint="eastAsia" w:ascii="仿宋" w:hAnsi="仿宋" w:eastAsia="仿宋"/>
          <w:color w:val="auto"/>
          <w:sz w:val="24"/>
          <w:highlight w:val="none"/>
        </w:rPr>
        <w:t>。</w:t>
      </w:r>
    </w:p>
    <w:p>
      <w:pPr>
        <w:pStyle w:val="13"/>
        <w:widowControl w:val="0"/>
        <w:tabs>
          <w:tab w:val="clear" w:pos="454"/>
        </w:tabs>
        <w:spacing w:afterLines="0" w:line="440" w:lineRule="exact"/>
        <w:ind w:left="0" w:firstLine="0"/>
        <w:rPr>
          <w:rFonts w:ascii="仿宋" w:hAnsi="仿宋" w:eastAsia="仿宋"/>
          <w:color w:val="auto"/>
          <w:highlight w:val="none"/>
        </w:rPr>
      </w:pPr>
      <w:r>
        <w:rPr>
          <w:rFonts w:hint="eastAsia" w:ascii="仿宋" w:hAnsi="仿宋" w:eastAsia="仿宋"/>
          <w:color w:val="auto"/>
          <w:highlight w:val="none"/>
        </w:rPr>
        <w:t xml:space="preserve">4.2招标文件的澄清 </w:t>
      </w:r>
    </w:p>
    <w:p>
      <w:pPr>
        <w:pStyle w:val="13"/>
        <w:widowControl w:val="0"/>
        <w:tabs>
          <w:tab w:val="clear" w:pos="454"/>
        </w:tabs>
        <w:spacing w:afterLines="0" w:line="440" w:lineRule="exact"/>
        <w:ind w:left="0" w:firstLine="480" w:firstLineChars="200"/>
        <w:rPr>
          <w:rFonts w:ascii="仿宋" w:hAnsi="仿宋" w:eastAsia="仿宋"/>
          <w:color w:val="auto"/>
          <w:highlight w:val="none"/>
        </w:rPr>
      </w:pPr>
      <w:r>
        <w:rPr>
          <w:rFonts w:hint="eastAsia" w:ascii="仿宋" w:hAnsi="仿宋" w:eastAsia="仿宋"/>
          <w:color w:val="auto"/>
          <w:highlight w:val="none"/>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3"/>
        <w:tabs>
          <w:tab w:val="clear" w:pos="454"/>
        </w:tabs>
        <w:spacing w:afterLines="0" w:line="440" w:lineRule="exact"/>
        <w:ind w:left="0" w:firstLine="0"/>
        <w:rPr>
          <w:rFonts w:ascii="仿宋" w:hAnsi="仿宋" w:eastAsia="仿宋"/>
          <w:color w:val="auto"/>
          <w:highlight w:val="none"/>
        </w:rPr>
      </w:pPr>
      <w:r>
        <w:rPr>
          <w:rFonts w:hint="eastAsia" w:ascii="仿宋" w:hAnsi="仿宋" w:eastAsia="仿宋"/>
          <w:color w:val="auto"/>
          <w:highlight w:val="none"/>
        </w:rPr>
        <w:t>4.3招标文件的修改</w:t>
      </w:r>
    </w:p>
    <w:p>
      <w:pPr>
        <w:pStyle w:val="13"/>
        <w:tabs>
          <w:tab w:val="clear" w:pos="454"/>
        </w:tabs>
        <w:spacing w:afterLines="0" w:line="440" w:lineRule="exact"/>
        <w:ind w:left="0" w:firstLine="0"/>
        <w:rPr>
          <w:rFonts w:ascii="仿宋" w:hAnsi="仿宋" w:eastAsia="仿宋"/>
          <w:color w:val="auto"/>
          <w:highlight w:val="none"/>
        </w:rPr>
      </w:pPr>
      <w:r>
        <w:rPr>
          <w:rFonts w:hint="eastAsia" w:ascii="仿宋" w:hAnsi="仿宋" w:eastAsia="仿宋"/>
          <w:color w:val="auto"/>
          <w:highlight w:val="none"/>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5.参考品牌</w:t>
      </w:r>
    </w:p>
    <w:p>
      <w:pPr>
        <w:snapToGrid w:val="0"/>
        <w:spacing w:line="440" w:lineRule="exac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800" w:lineRule="exact"/>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三、投标文件</w:t>
      </w:r>
    </w:p>
    <w:p>
      <w:pPr>
        <w:numPr>
          <w:ilvl w:val="0"/>
          <w:numId w:val="7"/>
        </w:num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投标文件的语言及计量单位</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1.2 投标文件以及投标方与招标方就有关投标事宜的所有来往函电，均应以中文书写（技术术语除外）。</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1.3 投标计量单位，除招标文件中有特殊要求外，应采用中华人民共和国法定计量单位，货币单位：人民币元。</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1.4不按招标文件的要求提供的投标文件可能导致被拒绝。</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2. 投标文件的组成</w:t>
      </w:r>
    </w:p>
    <w:p>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 xml:space="preserve">投标文件由“报价文件资料”、“商务技术（资信）文件资料” </w:t>
      </w:r>
      <w:r>
        <w:rPr>
          <w:rFonts w:hint="eastAsia" w:ascii="仿宋" w:hAnsi="仿宋" w:eastAsia="仿宋"/>
          <w:color w:val="auto"/>
          <w:sz w:val="24"/>
          <w:highlight w:val="none"/>
          <w:lang w:eastAsia="zh-CN"/>
        </w:rPr>
        <w:t>两</w:t>
      </w:r>
      <w:r>
        <w:rPr>
          <w:rFonts w:hint="eastAsia" w:ascii="仿宋" w:hAnsi="仿宋" w:eastAsia="仿宋"/>
          <w:color w:val="auto"/>
          <w:sz w:val="24"/>
          <w:highlight w:val="none"/>
        </w:rPr>
        <w:t>部分组成：</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2.1 “报价文件资料”应包含以下内容（正本用原件）：</w:t>
      </w:r>
    </w:p>
    <w:p>
      <w:pPr>
        <w:tabs>
          <w:tab w:val="left" w:pos="3870"/>
          <w:tab w:val="left" w:pos="4085"/>
        </w:tabs>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 xml:space="preserve">2.1.1投标响应函（格式见第六部分附件）； </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2.1.2开标一览表（格式见第六部分附件）；</w:t>
      </w:r>
    </w:p>
    <w:p>
      <w:pPr>
        <w:tabs>
          <w:tab w:val="left" w:pos="3870"/>
          <w:tab w:val="left" w:pos="4085"/>
        </w:tabs>
        <w:snapToGrid w:val="0"/>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以上文件组成“报价文件资料”。投标人在“报价文件资料”中应对招标文件作实质性响应，该项内容将作为评标重要指标。</w:t>
      </w:r>
    </w:p>
    <w:p>
      <w:pPr>
        <w:pStyle w:val="19"/>
        <w:tabs>
          <w:tab w:val="left" w:pos="1854"/>
          <w:tab w:val="clear" w:pos="482"/>
        </w:tabs>
        <w:spacing w:afterLines="0" w:line="440" w:lineRule="exact"/>
        <w:ind w:left="0" w:firstLine="0"/>
        <w:rPr>
          <w:rFonts w:ascii="仿宋" w:hAnsi="仿宋" w:eastAsia="仿宋"/>
          <w:color w:val="auto"/>
          <w:highlight w:val="none"/>
        </w:rPr>
      </w:pPr>
      <w:r>
        <w:rPr>
          <w:rFonts w:hint="eastAsia" w:ascii="仿宋" w:hAnsi="仿宋" w:eastAsia="仿宋"/>
          <w:color w:val="auto"/>
          <w:highlight w:val="none"/>
        </w:rPr>
        <w:t>2.2 “商务技术（资信）文件资料”应包括以下内容：</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2.2.1法定代表人授权委托书(个体工商户不需要提供，格式见第六部分附件)；</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2.2.2授权代表社保证明（格式见第六部分附件）；</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2.2.3法定代表人身份证明书（格式见第六部分附件）；</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2.2.4 企业法人营业执照副本复印件（加盖单位公章）；</w:t>
      </w:r>
    </w:p>
    <w:p>
      <w:pPr>
        <w:snapToGrid w:val="0"/>
        <w:spacing w:line="440" w:lineRule="exact"/>
        <w:rPr>
          <w:rFonts w:ascii="仿宋" w:hAnsi="仿宋" w:eastAsia="仿宋" w:cs="Arial"/>
          <w:color w:val="auto"/>
          <w:kern w:val="0"/>
          <w:sz w:val="24"/>
          <w:highlight w:val="none"/>
        </w:rPr>
      </w:pPr>
      <w:r>
        <w:rPr>
          <w:rFonts w:hint="eastAsia" w:ascii="仿宋" w:hAnsi="仿宋" w:eastAsia="仿宋"/>
          <w:color w:val="auto"/>
          <w:sz w:val="24"/>
          <w:highlight w:val="none"/>
        </w:rPr>
        <w:t>2.2.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相关资质证明或文件复印件（加盖单位公章）；</w:t>
      </w:r>
      <w:r>
        <w:rPr>
          <w:rFonts w:hint="eastAsia" w:ascii="仿宋" w:hAnsi="仿宋" w:eastAsia="仿宋" w:cs="FangSong_GB2312"/>
          <w:color w:val="auto"/>
          <w:sz w:val="24"/>
          <w:highlight w:val="none"/>
        </w:rPr>
        <w:t>（均需加盖公章）：</w:t>
      </w:r>
      <w:r>
        <w:rPr>
          <w:rFonts w:hint="eastAsia" w:ascii="仿宋" w:hAnsi="仿宋" w:eastAsia="仿宋" w:cs="FangSong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规定的供应商基本条件和采购项目对供应商的特定要求</w:t>
      </w:r>
      <w:r>
        <w:rPr>
          <w:rFonts w:hint="eastAsia" w:ascii="仿宋" w:hAnsi="仿宋" w:eastAsia="仿宋" w:cs="FangSong_GB2312"/>
          <w:color w:val="auto"/>
          <w:sz w:val="24"/>
          <w:highlight w:val="none"/>
        </w:rPr>
        <w:t>（如果项目要求）</w:t>
      </w:r>
      <w:r>
        <w:rPr>
          <w:rFonts w:hint="eastAsia" w:ascii="仿宋" w:hAnsi="仿宋" w:eastAsia="仿宋" w:cs="FangSong_GB2312"/>
          <w:color w:val="auto"/>
          <w:kern w:val="0"/>
          <w:sz w:val="24"/>
          <w:highlight w:val="none"/>
        </w:rPr>
        <w:t>的有关资格证明文件。</w:t>
      </w:r>
    </w:p>
    <w:p>
      <w:pPr>
        <w:pStyle w:val="21"/>
        <w:spacing w:line="440" w:lineRule="exact"/>
        <w:ind w:firstLine="480" w:firstLineChars="200"/>
        <w:rPr>
          <w:rFonts w:ascii="仿宋" w:hAnsi="仿宋" w:eastAsia="仿宋"/>
          <w:color w:val="auto"/>
          <w:sz w:val="24"/>
          <w:highlight w:val="none"/>
        </w:rPr>
      </w:pPr>
      <w:bookmarkStart w:id="0" w:name="_Hlt68073093"/>
      <w:bookmarkEnd w:id="0"/>
      <w:bookmarkStart w:id="1" w:name="_Hlt68072998"/>
      <w:bookmarkEnd w:id="1"/>
      <w:bookmarkStart w:id="2" w:name="_Hlt68403820"/>
      <w:bookmarkEnd w:id="2"/>
      <w:r>
        <w:rPr>
          <w:rFonts w:hint="eastAsia" w:ascii="仿宋" w:hAnsi="仿宋" w:eastAsia="仿宋"/>
          <w:color w:val="auto"/>
          <w:sz w:val="24"/>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pPr>
        <w:pStyle w:val="21"/>
        <w:spacing w:line="440" w:lineRule="exact"/>
        <w:ind w:firstLine="480" w:firstLineChars="200"/>
        <w:rPr>
          <w:rFonts w:ascii="仿宋" w:hAnsi="仿宋" w:eastAsia="仿宋" w:cs="FangSong_GB2312"/>
          <w:color w:val="auto"/>
          <w:sz w:val="24"/>
          <w:highlight w:val="none"/>
        </w:rPr>
      </w:pPr>
      <w:r>
        <w:rPr>
          <w:rFonts w:hint="eastAsia" w:ascii="仿宋" w:hAnsi="仿宋" w:eastAsia="仿宋" w:cs="FangSong_GB2312"/>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40" w:lineRule="exact"/>
        <w:ind w:firstLine="480" w:firstLineChars="200"/>
        <w:rPr>
          <w:rFonts w:ascii="仿宋" w:hAnsi="仿宋" w:eastAsia="仿宋" w:cs="FangSong_GB2312"/>
          <w:color w:val="auto"/>
          <w:sz w:val="24"/>
          <w:highlight w:val="none"/>
        </w:rPr>
      </w:pPr>
      <w:r>
        <w:rPr>
          <w:rFonts w:hint="eastAsia" w:ascii="仿宋" w:hAnsi="仿宋" w:eastAsia="仿宋" w:cs="FangSong_GB2312"/>
          <w:color w:val="auto"/>
          <w:sz w:val="24"/>
          <w:highlight w:val="none"/>
        </w:rPr>
        <w:t>（2）</w:t>
      </w:r>
      <w:r>
        <w:rPr>
          <w:rFonts w:hint="eastAsia" w:ascii="仿宋" w:hAnsi="仿宋" w:eastAsia="仿宋" w:cs="FangSong_GB2312"/>
          <w:color w:val="auto"/>
          <w:sz w:val="24"/>
          <w:highlight w:val="none"/>
          <w:lang w:eastAsia="zh-CN"/>
        </w:rPr>
        <w:t>2020年度资产负债表等</w:t>
      </w:r>
      <w:r>
        <w:rPr>
          <w:rFonts w:hint="eastAsia" w:ascii="仿宋" w:hAnsi="仿宋" w:eastAsia="仿宋" w:cs="FangSong_GB2312"/>
          <w:color w:val="auto"/>
          <w:sz w:val="24"/>
          <w:highlight w:val="none"/>
        </w:rPr>
        <w:t>财务报表资料文件(新成立的公司，必须提供情况说明)；</w:t>
      </w:r>
    </w:p>
    <w:p>
      <w:pPr>
        <w:pStyle w:val="21"/>
        <w:spacing w:line="440" w:lineRule="exact"/>
        <w:ind w:firstLine="480" w:firstLineChars="200"/>
        <w:rPr>
          <w:rFonts w:ascii="仿宋" w:hAnsi="仿宋" w:eastAsia="仿宋" w:cs="FangSong_GB2312"/>
          <w:color w:val="auto"/>
          <w:sz w:val="24"/>
          <w:highlight w:val="none"/>
        </w:rPr>
      </w:pPr>
      <w:r>
        <w:rPr>
          <w:rFonts w:hint="eastAsia" w:ascii="仿宋" w:hAnsi="仿宋" w:eastAsia="仿宋" w:cs="FangSong_GB2312"/>
          <w:color w:val="auto"/>
          <w:sz w:val="24"/>
          <w:highlight w:val="none"/>
        </w:rPr>
        <w:t>（3）具有履行合同所必需的设备和专业技术能力的承诺函；</w:t>
      </w:r>
    </w:p>
    <w:p>
      <w:pPr>
        <w:spacing w:line="440" w:lineRule="exact"/>
        <w:ind w:firstLine="480" w:firstLineChars="200"/>
        <w:rPr>
          <w:rFonts w:ascii="仿宋" w:hAnsi="仿宋" w:eastAsia="仿宋" w:cs="FangSong_GB2312"/>
          <w:color w:val="auto"/>
          <w:sz w:val="24"/>
          <w:szCs w:val="20"/>
          <w:highlight w:val="none"/>
        </w:rPr>
      </w:pPr>
      <w:r>
        <w:rPr>
          <w:rFonts w:hint="eastAsia" w:ascii="仿宋" w:hAnsi="仿宋" w:eastAsia="仿宋" w:cs="FangSong_GB2312"/>
          <w:color w:val="auto"/>
          <w:sz w:val="24"/>
          <w:highlight w:val="none"/>
        </w:rPr>
        <w:t>（4）参加本次政府采购活动前三年内，在经营活动中没有重大违法记录的声明（</w:t>
      </w:r>
      <w:r>
        <w:rPr>
          <w:rFonts w:hint="eastAsia" w:ascii="仿宋" w:hAnsi="仿宋" w:eastAsia="仿宋" w:cs="FangSong_GB2312"/>
          <w:color w:val="auto"/>
          <w:sz w:val="24"/>
          <w:szCs w:val="20"/>
          <w:highlight w:val="none"/>
        </w:rPr>
        <w:t>需要特别声明“没有因违反《浙江省政府采购供应商注册及诚信管理暂行办法》被列入‘黑名单’，在处罚有效期”）；</w:t>
      </w:r>
    </w:p>
    <w:p>
      <w:pPr>
        <w:spacing w:line="440" w:lineRule="exact"/>
        <w:ind w:firstLine="480" w:firstLineChars="200"/>
        <w:rPr>
          <w:rFonts w:ascii="仿宋" w:hAnsi="仿宋" w:eastAsia="仿宋" w:cs="FangSong_GB2312"/>
          <w:color w:val="auto"/>
          <w:sz w:val="24"/>
          <w:szCs w:val="20"/>
          <w:highlight w:val="none"/>
        </w:rPr>
      </w:pPr>
      <w:r>
        <w:rPr>
          <w:rFonts w:hint="eastAsia" w:ascii="仿宋" w:hAnsi="仿宋" w:eastAsia="仿宋" w:cs="FangSong_GB2312"/>
          <w:color w:val="auto"/>
          <w:sz w:val="24"/>
          <w:szCs w:val="20"/>
          <w:highlight w:val="none"/>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pPr>
        <w:spacing w:line="440" w:lineRule="exact"/>
        <w:ind w:firstLine="480" w:firstLineChars="200"/>
        <w:rPr>
          <w:rFonts w:ascii="仿宋" w:hAnsi="仿宋" w:eastAsia="仿宋" w:cs="FangSong_GB2312"/>
          <w:color w:val="auto"/>
          <w:sz w:val="24"/>
          <w:szCs w:val="20"/>
          <w:highlight w:val="none"/>
        </w:rPr>
      </w:pPr>
      <w:r>
        <w:rPr>
          <w:rFonts w:hint="eastAsia" w:ascii="仿宋" w:hAnsi="仿宋" w:eastAsia="仿宋" w:cs="FangSong_GB2312"/>
          <w:color w:val="auto"/>
          <w:kern w:val="0"/>
          <w:sz w:val="24"/>
          <w:highlight w:val="none"/>
        </w:rPr>
        <w:t>(6</w:t>
      </w:r>
      <w:r>
        <w:rPr>
          <w:rFonts w:hint="eastAsia" w:ascii="仿宋" w:hAnsi="仿宋" w:eastAsia="仿宋" w:cs="FangSong_GB2312"/>
          <w:color w:val="auto"/>
          <w:sz w:val="24"/>
          <w:highlight w:val="none"/>
        </w:rPr>
        <w:t>)</w:t>
      </w:r>
      <w:r>
        <w:rPr>
          <w:rFonts w:hint="eastAsia" w:ascii="仿宋" w:hAnsi="仿宋" w:eastAsia="仿宋" w:cs="FangSong_GB2312"/>
          <w:color w:val="auto"/>
          <w:sz w:val="24"/>
          <w:szCs w:val="20"/>
          <w:highlight w:val="none"/>
        </w:rPr>
        <w:t>提供依法缴纳税收和社会保障资金的良好记录证明，税收和社保证明打印时间不得早于投标截止时间前1个月；</w:t>
      </w:r>
    </w:p>
    <w:p>
      <w:pPr>
        <w:snapToGrid w:val="0"/>
        <w:spacing w:line="440" w:lineRule="exact"/>
        <w:ind w:firstLine="480" w:firstLineChars="200"/>
        <w:rPr>
          <w:rFonts w:ascii="仿宋" w:hAnsi="仿宋" w:eastAsia="仿宋" w:cs="FangSong_GB2312"/>
          <w:color w:val="auto"/>
          <w:sz w:val="24"/>
          <w:highlight w:val="none"/>
        </w:rPr>
      </w:pPr>
      <w:r>
        <w:rPr>
          <w:rFonts w:hint="eastAsia" w:ascii="仿宋" w:hAnsi="仿宋" w:eastAsia="仿宋" w:cs="FangSong_GB2312"/>
          <w:color w:val="auto"/>
          <w:kern w:val="0"/>
          <w:sz w:val="24"/>
          <w:highlight w:val="none"/>
        </w:rPr>
        <w:t>(7</w:t>
      </w:r>
      <w:r>
        <w:rPr>
          <w:rFonts w:hint="eastAsia" w:ascii="仿宋" w:hAnsi="仿宋" w:eastAsia="仿宋" w:cs="FangSong_GB2312"/>
          <w:color w:val="auto"/>
          <w:sz w:val="24"/>
          <w:highlight w:val="none"/>
        </w:rPr>
        <w:t>)符合特定资格条件（如果项目要求）的有关证明材料（复印件）；</w:t>
      </w:r>
    </w:p>
    <w:p>
      <w:pPr>
        <w:pStyle w:val="21"/>
        <w:snapToGrid w:val="0"/>
        <w:spacing w:line="440" w:lineRule="exact"/>
        <w:rPr>
          <w:rFonts w:ascii="仿宋" w:hAnsi="仿宋" w:eastAsia="仿宋" w:cs="FangSong_GB2312"/>
          <w:color w:val="auto"/>
          <w:sz w:val="24"/>
          <w:highlight w:val="none"/>
          <w:lang w:val="zh-CN"/>
        </w:rPr>
      </w:pPr>
      <w:r>
        <w:rPr>
          <w:rFonts w:hint="eastAsia" w:ascii="仿宋" w:hAnsi="仿宋" w:eastAsia="仿宋"/>
          <w:color w:val="auto"/>
          <w:sz w:val="24"/>
          <w:highlight w:val="none"/>
        </w:rPr>
        <w:t>2.2.</w:t>
      </w:r>
      <w:r>
        <w:rPr>
          <w:rFonts w:hint="eastAsia" w:ascii="仿宋" w:hAnsi="仿宋" w:eastAsia="仿宋"/>
          <w:color w:val="auto"/>
          <w:sz w:val="24"/>
          <w:highlight w:val="none"/>
          <w:lang w:val="en-US" w:eastAsia="zh-CN"/>
        </w:rPr>
        <w:t>6</w:t>
      </w:r>
      <w:r>
        <w:rPr>
          <w:rFonts w:hint="eastAsia" w:ascii="仿宋" w:hAnsi="仿宋" w:eastAsia="仿宋" w:cs="FangSong_GB2312"/>
          <w:color w:val="auto"/>
          <w:sz w:val="24"/>
          <w:highlight w:val="none"/>
          <w:lang w:val="zh-CN"/>
        </w:rPr>
        <w:t>投标人应提供针对项目的完整技术解决方案：</w:t>
      </w:r>
    </w:p>
    <w:p>
      <w:pPr>
        <w:snapToGrid w:val="0"/>
        <w:spacing w:line="440" w:lineRule="exact"/>
        <w:ind w:firstLine="480" w:firstLineChars="200"/>
        <w:rPr>
          <w:rFonts w:ascii="仿宋" w:hAnsi="仿宋" w:eastAsia="仿宋" w:cs="FangSong_GB2312"/>
          <w:color w:val="auto"/>
          <w:kern w:val="0"/>
          <w:sz w:val="24"/>
          <w:highlight w:val="none"/>
          <w:lang w:val="zh-CN"/>
        </w:rPr>
      </w:pPr>
      <w:r>
        <w:rPr>
          <w:rFonts w:hint="eastAsia" w:ascii="仿宋" w:hAnsi="仿宋" w:eastAsia="仿宋" w:cs="FangSong_GB2312"/>
          <w:color w:val="auto"/>
          <w:sz w:val="24"/>
          <w:highlight w:val="none"/>
          <w:lang w:val="zh-CN"/>
        </w:rPr>
        <w:t>针对本项目的完整技术解决方案和实施方案；详细阐述项目方案的实现思路及关键技术；符合本项目对当前和未来发展的要求；以及对功能设计和实施计划的建议；</w:t>
      </w:r>
    </w:p>
    <w:p>
      <w:pPr>
        <w:tabs>
          <w:tab w:val="left" w:pos="3870"/>
          <w:tab w:val="left" w:pos="4085"/>
        </w:tabs>
        <w:snapToGrid w:val="0"/>
        <w:spacing w:line="440" w:lineRule="exact"/>
        <w:ind w:firstLine="472" w:firstLineChars="196"/>
        <w:jc w:val="left"/>
        <w:rPr>
          <w:rFonts w:ascii="仿宋" w:hAnsi="仿宋" w:eastAsia="仿宋" w:cs="FangSong_GB2312"/>
          <w:color w:val="auto"/>
          <w:sz w:val="24"/>
          <w:highlight w:val="none"/>
        </w:rPr>
      </w:pPr>
      <w:r>
        <w:rPr>
          <w:rFonts w:hint="eastAsia" w:ascii="仿宋" w:hAnsi="仿宋" w:eastAsia="仿宋" w:cs="FangSong_GB2312"/>
          <w:b/>
          <w:color w:val="auto"/>
          <w:sz w:val="24"/>
          <w:highlight w:val="none"/>
        </w:rPr>
        <w:t>如果本项目涉及硬件设备采购，还需提供相关设备完整配置方案（设备名称、品牌、规格型号、数量、主要技术参数等）</w:t>
      </w:r>
      <w:r>
        <w:rPr>
          <w:rFonts w:hint="eastAsia" w:ascii="仿宋" w:hAnsi="仿宋" w:eastAsia="仿宋" w:cs="FangSong_GB2312"/>
          <w:color w:val="auto"/>
          <w:sz w:val="24"/>
          <w:highlight w:val="none"/>
        </w:rPr>
        <w:t>，</w:t>
      </w:r>
      <w:r>
        <w:rPr>
          <w:rFonts w:hint="eastAsia" w:ascii="仿宋" w:hAnsi="仿宋" w:eastAsia="仿宋" w:cs="FangSong_GB2312"/>
          <w:b/>
          <w:color w:val="auto"/>
          <w:sz w:val="24"/>
          <w:highlight w:val="none"/>
        </w:rPr>
        <w:t>提供主要投标产品的技术参数证明材料（如原厂技术说明、官网截图、产品彩页等），</w:t>
      </w:r>
      <w:r>
        <w:rPr>
          <w:rFonts w:hint="eastAsia" w:ascii="仿宋" w:hAnsi="仿宋" w:eastAsia="仿宋" w:cs="FangSong_GB2312"/>
          <w:color w:val="auto"/>
          <w:sz w:val="24"/>
          <w:highlight w:val="none"/>
        </w:rPr>
        <w:t>明确表示该项指标所涉及的软硬件是标准配置还是选择配置</w:t>
      </w:r>
      <w:r>
        <w:rPr>
          <w:rFonts w:hint="eastAsia" w:ascii="仿宋" w:hAnsi="仿宋" w:eastAsia="仿宋" w:cs="FangSong_GB2312"/>
          <w:b/>
          <w:color w:val="auto"/>
          <w:sz w:val="24"/>
          <w:highlight w:val="none"/>
        </w:rPr>
        <w:t>（所有技术指标表述均应采用中文，如当前公布的技术指标只有英文表述的，必须由投标人作出中文注释，否则</w:t>
      </w:r>
      <w:r>
        <w:rPr>
          <w:rFonts w:hint="eastAsia" w:ascii="仿宋" w:hAnsi="仿宋" w:eastAsia="仿宋" w:cs="FangSong_GB2312"/>
          <w:b/>
          <w:color w:val="auto"/>
          <w:kern w:val="0"/>
          <w:sz w:val="24"/>
          <w:highlight w:val="none"/>
          <w:lang w:val="zh-CN"/>
        </w:rPr>
        <w:t>任何含糊不清的</w:t>
      </w:r>
      <w:r>
        <w:rPr>
          <w:rFonts w:hint="eastAsia" w:ascii="仿宋" w:hAnsi="仿宋" w:eastAsia="仿宋" w:cs="FangSong_GB2312"/>
          <w:b/>
          <w:color w:val="auto"/>
          <w:sz w:val="24"/>
          <w:highlight w:val="none"/>
        </w:rPr>
        <w:t>表述导致</w:t>
      </w:r>
      <w:r>
        <w:rPr>
          <w:rFonts w:hint="eastAsia" w:ascii="仿宋" w:hAnsi="仿宋" w:eastAsia="仿宋" w:cs="FangSong_GB2312"/>
          <w:b/>
          <w:color w:val="auto"/>
          <w:kern w:val="0"/>
          <w:sz w:val="24"/>
          <w:highlight w:val="none"/>
          <w:lang w:val="zh-CN"/>
        </w:rPr>
        <w:t>评标委员会技术扣分直至认定为投标无效都将是投标人的责任）</w:t>
      </w:r>
      <w:r>
        <w:rPr>
          <w:rFonts w:hint="eastAsia" w:ascii="仿宋" w:hAnsi="仿宋" w:eastAsia="仿宋" w:cs="FangSong_GB2312"/>
          <w:color w:val="auto"/>
          <w:sz w:val="24"/>
          <w:highlight w:val="none"/>
        </w:rPr>
        <w:t>。</w:t>
      </w:r>
    </w:p>
    <w:p>
      <w:pPr>
        <w:tabs>
          <w:tab w:val="left" w:pos="3870"/>
          <w:tab w:val="left" w:pos="4085"/>
        </w:tabs>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2.2.</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优惠条件：投标人承诺给予招标人的各种优惠条件，包括设备价格、运输、保险、安装调试、付款条件、技术服务、售后服务等方面的优惠；当优惠条件涉及“报价单”中的各项费用时，必须与投标价格相统一；（如有）</w:t>
      </w:r>
    </w:p>
    <w:p>
      <w:pPr>
        <w:tabs>
          <w:tab w:val="left" w:pos="3870"/>
          <w:tab w:val="left" w:pos="4085"/>
        </w:tabs>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2.2.</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rPr>
        <w:t>2.2.</w:t>
      </w:r>
      <w:r>
        <w:rPr>
          <w:rFonts w:hint="eastAsia" w:ascii="仿宋" w:hAnsi="仿宋" w:eastAsia="仿宋" w:cs="FangSong_GB2312"/>
          <w:color w:val="auto"/>
          <w:kern w:val="0"/>
          <w:sz w:val="24"/>
          <w:highlight w:val="none"/>
          <w:lang w:val="en-US" w:eastAsia="zh-CN"/>
        </w:rPr>
        <w:t>9</w:t>
      </w:r>
      <w:r>
        <w:rPr>
          <w:rFonts w:hint="eastAsia" w:ascii="仿宋" w:hAnsi="仿宋" w:eastAsia="仿宋" w:cs="FangSong_GB2312"/>
          <w:color w:val="auto"/>
          <w:sz w:val="24"/>
          <w:highlight w:val="none"/>
        </w:rPr>
        <w:t>投标人在投标文件技术偏离说明表中，</w:t>
      </w:r>
      <w:r>
        <w:rPr>
          <w:rFonts w:hint="eastAsia" w:ascii="仿宋" w:hAnsi="仿宋" w:eastAsia="仿宋" w:cs="FangSong_GB2312"/>
          <w:color w:val="auto"/>
          <w:kern w:val="0"/>
          <w:sz w:val="24"/>
          <w:highlight w:val="none"/>
          <w:lang w:val="zh-CN"/>
        </w:rPr>
        <w:t>应对</w:t>
      </w:r>
      <w:r>
        <w:rPr>
          <w:rFonts w:hint="eastAsia" w:ascii="仿宋" w:hAnsi="仿宋" w:eastAsia="仿宋" w:cs="FangSong_GB2312"/>
          <w:color w:val="auto"/>
          <w:sz w:val="24"/>
          <w:highlight w:val="none"/>
        </w:rPr>
        <w:t>项目技术规范和服务要求</w:t>
      </w:r>
      <w:r>
        <w:rPr>
          <w:rFonts w:hint="eastAsia" w:ascii="仿宋" w:hAnsi="仿宋" w:eastAsia="仿宋" w:cs="FangSong_GB2312"/>
          <w:color w:val="auto"/>
          <w:kern w:val="0"/>
          <w:sz w:val="24"/>
          <w:highlight w:val="none"/>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pPr>
        <w:snapToGrid w:val="0"/>
        <w:spacing w:line="440" w:lineRule="exac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2.2.1</w:t>
      </w:r>
      <w:r>
        <w:rPr>
          <w:rFonts w:hint="eastAsia" w:ascii="仿宋" w:hAnsi="仿宋" w:eastAsia="仿宋" w:cs="FangSong_GB2312"/>
          <w:color w:val="auto"/>
          <w:kern w:val="0"/>
          <w:sz w:val="24"/>
          <w:highlight w:val="none"/>
          <w:lang w:val="en-US" w:eastAsia="zh-CN"/>
        </w:rPr>
        <w:t>0</w:t>
      </w:r>
      <w:r>
        <w:rPr>
          <w:rFonts w:hint="eastAsia" w:ascii="仿宋" w:hAnsi="仿宋" w:eastAsia="仿宋" w:cs="FangSong_GB2312"/>
          <w:color w:val="auto"/>
          <w:kern w:val="0"/>
          <w:sz w:val="24"/>
          <w:highlight w:val="none"/>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440" w:lineRule="exac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2.2.1</w:t>
      </w:r>
      <w:r>
        <w:rPr>
          <w:rFonts w:hint="eastAsia" w:ascii="仿宋" w:hAnsi="仿宋" w:eastAsia="仿宋" w:cs="FangSong_GB2312"/>
          <w:color w:val="auto"/>
          <w:kern w:val="0"/>
          <w:sz w:val="24"/>
          <w:highlight w:val="none"/>
          <w:lang w:val="en-US" w:eastAsia="zh-CN"/>
        </w:rPr>
        <w:t>1</w:t>
      </w:r>
      <w:r>
        <w:rPr>
          <w:rFonts w:hint="eastAsia" w:ascii="仿宋" w:hAnsi="仿宋" w:eastAsia="仿宋" w:cs="FangSong_GB2312"/>
          <w:color w:val="auto"/>
          <w:kern w:val="0"/>
          <w:sz w:val="24"/>
          <w:highlight w:val="none"/>
          <w:lang w:val="zh-CN"/>
        </w:rPr>
        <w:t>项目验收之前、验收之后的维护方案；针对本项目的维护方案，包括本地(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440" w:lineRule="exac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2.2.1</w:t>
      </w:r>
      <w:r>
        <w:rPr>
          <w:rFonts w:hint="eastAsia" w:ascii="仿宋" w:hAnsi="仿宋" w:eastAsia="仿宋" w:cs="FangSong_GB2312"/>
          <w:color w:val="auto"/>
          <w:kern w:val="0"/>
          <w:sz w:val="24"/>
          <w:highlight w:val="none"/>
          <w:lang w:val="en-US" w:eastAsia="zh-CN"/>
        </w:rPr>
        <w:t>2</w:t>
      </w:r>
      <w:r>
        <w:rPr>
          <w:rFonts w:hint="eastAsia" w:ascii="仿宋" w:hAnsi="仿宋" w:eastAsia="仿宋" w:cs="FangSong_GB2312"/>
          <w:color w:val="auto"/>
          <w:kern w:val="0"/>
          <w:sz w:val="24"/>
          <w:highlight w:val="none"/>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440" w:lineRule="exac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2.2.1</w:t>
      </w:r>
      <w:r>
        <w:rPr>
          <w:rFonts w:hint="eastAsia" w:ascii="仿宋" w:hAnsi="仿宋" w:eastAsia="仿宋" w:cs="FangSong_GB2312"/>
          <w:color w:val="auto"/>
          <w:kern w:val="0"/>
          <w:sz w:val="24"/>
          <w:highlight w:val="none"/>
          <w:lang w:val="en-US" w:eastAsia="zh-CN"/>
        </w:rPr>
        <w:t>3</w:t>
      </w:r>
      <w:r>
        <w:rPr>
          <w:rFonts w:hint="eastAsia" w:ascii="仿宋" w:hAnsi="仿宋" w:eastAsia="仿宋" w:cs="FangSong_GB2312"/>
          <w:color w:val="auto"/>
          <w:kern w:val="0"/>
          <w:sz w:val="24"/>
          <w:highlight w:val="none"/>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440" w:lineRule="exact"/>
        <w:rPr>
          <w:rFonts w:ascii="仿宋" w:hAnsi="仿宋" w:eastAsia="仿宋" w:cs="FangSong_GB2312"/>
          <w:color w:val="auto"/>
          <w:kern w:val="0"/>
          <w:sz w:val="24"/>
          <w:highlight w:val="none"/>
          <w:lang w:val="zh-CN"/>
        </w:rPr>
      </w:pPr>
      <w:r>
        <w:rPr>
          <w:rFonts w:hint="eastAsia" w:ascii="仿宋" w:hAnsi="仿宋" w:eastAsia="仿宋" w:cs="FangSong_GB2312"/>
          <w:color w:val="auto"/>
          <w:sz w:val="24"/>
          <w:highlight w:val="none"/>
        </w:rPr>
        <w:t>2.2.1</w:t>
      </w:r>
      <w:r>
        <w:rPr>
          <w:rFonts w:hint="eastAsia" w:ascii="仿宋" w:hAnsi="仿宋" w:eastAsia="仿宋" w:cs="FangSong_GB2312"/>
          <w:color w:val="auto"/>
          <w:sz w:val="24"/>
          <w:highlight w:val="none"/>
          <w:lang w:val="en-US" w:eastAsia="zh-CN"/>
        </w:rPr>
        <w:t>4</w:t>
      </w:r>
      <w:r>
        <w:rPr>
          <w:rFonts w:hint="eastAsia" w:ascii="仿宋" w:hAnsi="仿宋" w:eastAsia="仿宋" w:cs="FangSong_GB2312"/>
          <w:color w:val="auto"/>
          <w:kern w:val="0"/>
          <w:sz w:val="24"/>
          <w:highlight w:val="none"/>
          <w:lang w:val="zh-CN"/>
        </w:rPr>
        <w:t>培训计划；（如果有）</w:t>
      </w:r>
    </w:p>
    <w:p>
      <w:pPr>
        <w:tabs>
          <w:tab w:val="left" w:pos="0"/>
          <w:tab w:val="left" w:pos="840"/>
        </w:tabs>
        <w:autoSpaceDE w:val="0"/>
        <w:autoSpaceDN w:val="0"/>
        <w:spacing w:line="440" w:lineRule="exac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2.2.1</w:t>
      </w:r>
      <w:r>
        <w:rPr>
          <w:rFonts w:hint="eastAsia" w:ascii="仿宋" w:hAnsi="仿宋" w:eastAsia="仿宋" w:cs="FangSong_GB2312"/>
          <w:color w:val="auto"/>
          <w:kern w:val="0"/>
          <w:sz w:val="24"/>
          <w:highlight w:val="none"/>
          <w:lang w:val="en-US" w:eastAsia="zh-CN"/>
        </w:rPr>
        <w:t>5</w:t>
      </w:r>
      <w:r>
        <w:rPr>
          <w:rFonts w:hint="eastAsia" w:ascii="仿宋" w:hAnsi="仿宋" w:eastAsia="仿宋" w:cs="FangSong_GB2312"/>
          <w:color w:val="auto"/>
          <w:kern w:val="0"/>
          <w:sz w:val="24"/>
          <w:highlight w:val="none"/>
          <w:lang w:val="zh-CN"/>
        </w:rPr>
        <w:t xml:space="preserve"> 验收方案；</w:t>
      </w:r>
    </w:p>
    <w:p>
      <w:pPr>
        <w:snapToGrid w:val="0"/>
        <w:spacing w:line="440" w:lineRule="exact"/>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2.2.1</w:t>
      </w:r>
      <w:r>
        <w:rPr>
          <w:rFonts w:hint="eastAsia" w:ascii="仿宋" w:hAnsi="仿宋" w:eastAsia="仿宋" w:cs="FangSong_GB2312"/>
          <w:color w:val="auto"/>
          <w:kern w:val="0"/>
          <w:sz w:val="24"/>
          <w:highlight w:val="none"/>
          <w:lang w:val="en-US" w:eastAsia="zh-CN"/>
        </w:rPr>
        <w:t>6</w:t>
      </w:r>
      <w:r>
        <w:rPr>
          <w:rFonts w:hint="eastAsia" w:ascii="仿宋" w:hAnsi="仿宋" w:eastAsia="仿宋" w:cs="FangSong_GB2312"/>
          <w:snapToGrid w:val="0"/>
          <w:color w:val="auto"/>
          <w:sz w:val="24"/>
          <w:highlight w:val="none"/>
        </w:rPr>
        <w:t>非本地投标人售后服务机构证明材料。非本地投标人</w:t>
      </w:r>
      <w:r>
        <w:rPr>
          <w:rFonts w:hint="eastAsia" w:ascii="仿宋" w:hAnsi="仿宋" w:eastAsia="仿宋" w:cs="FangSong_GB2312"/>
          <w:color w:val="auto"/>
          <w:sz w:val="24"/>
          <w:highlight w:val="none"/>
          <w:lang w:val="zh-CN"/>
        </w:rPr>
        <w:t>在绍兴的分公司</w:t>
      </w:r>
      <w:r>
        <w:rPr>
          <w:rFonts w:hint="eastAsia" w:ascii="仿宋" w:hAnsi="仿宋" w:eastAsia="仿宋" w:cs="FangSong_GB2312"/>
          <w:color w:val="auto"/>
          <w:kern w:val="0"/>
          <w:sz w:val="24"/>
          <w:highlight w:val="none"/>
        </w:rPr>
        <w:t>（</w:t>
      </w:r>
      <w:r>
        <w:rPr>
          <w:rFonts w:hint="eastAsia" w:ascii="仿宋" w:hAnsi="仿宋" w:eastAsia="仿宋" w:cs="FangSong_GB2312"/>
          <w:color w:val="auto"/>
          <w:sz w:val="24"/>
          <w:highlight w:val="none"/>
          <w:lang w:val="zh-CN"/>
        </w:rPr>
        <w:t>需提供本地工商注册</w:t>
      </w:r>
      <w:r>
        <w:rPr>
          <w:rFonts w:hint="eastAsia" w:ascii="仿宋" w:hAnsi="仿宋" w:eastAsia="仿宋" w:cs="FangSong_GB2312"/>
          <w:color w:val="auto"/>
          <w:sz w:val="24"/>
          <w:highlight w:val="none"/>
        </w:rPr>
        <w:t>登记</w:t>
      </w:r>
      <w:r>
        <w:rPr>
          <w:rFonts w:hint="eastAsia" w:ascii="仿宋" w:hAnsi="仿宋" w:eastAsia="仿宋" w:cs="FangSong_GB2312"/>
          <w:color w:val="auto"/>
          <w:sz w:val="24"/>
          <w:highlight w:val="none"/>
          <w:lang w:val="zh-CN"/>
        </w:rPr>
        <w:t>资料）或办事处</w:t>
      </w:r>
      <w:r>
        <w:rPr>
          <w:rFonts w:hint="eastAsia" w:ascii="仿宋" w:hAnsi="仿宋" w:eastAsia="仿宋" w:cs="FangSong_GB2312"/>
          <w:color w:val="auto"/>
          <w:kern w:val="0"/>
          <w:sz w:val="24"/>
          <w:highlight w:val="none"/>
        </w:rPr>
        <w:t>（</w:t>
      </w:r>
      <w:r>
        <w:rPr>
          <w:rFonts w:hint="eastAsia" w:ascii="仿宋" w:hAnsi="仿宋" w:eastAsia="仿宋" w:cs="FangSong_GB2312"/>
          <w:color w:val="auto"/>
          <w:sz w:val="24"/>
          <w:highlight w:val="none"/>
          <w:lang w:val="zh-CN"/>
        </w:rPr>
        <w:t>需提供本地国内经济合作办注册资料</w:t>
      </w:r>
      <w:r>
        <w:rPr>
          <w:rFonts w:hint="eastAsia" w:ascii="仿宋" w:hAnsi="仿宋" w:eastAsia="仿宋" w:cs="FangSong_GB2312"/>
          <w:color w:val="auto"/>
          <w:kern w:val="0"/>
          <w:sz w:val="24"/>
          <w:highlight w:val="none"/>
        </w:rPr>
        <w:t>）或符合本项目服务能力并签订合作协议的第三方机构或者在中标（成交）公示后在本地设立售后服务机构作</w:t>
      </w:r>
      <w:r>
        <w:rPr>
          <w:rFonts w:hint="eastAsia" w:ascii="仿宋" w:hAnsi="仿宋" w:eastAsia="仿宋" w:cs="FangSong_GB2312"/>
          <w:color w:val="auto"/>
          <w:sz w:val="24"/>
          <w:highlight w:val="none"/>
          <w:lang w:val="zh-CN"/>
        </w:rPr>
        <w:t>为常驻服务和技术支持机构；</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2.2.1</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u w:val="wave"/>
        </w:rPr>
        <w:t>未尽事宜请各投标单位按评分细则和相对应标项相关要求制作(重要)</w:t>
      </w:r>
      <w:r>
        <w:rPr>
          <w:rFonts w:hint="eastAsia" w:ascii="仿宋" w:hAnsi="仿宋" w:eastAsia="仿宋"/>
          <w:color w:val="auto"/>
          <w:sz w:val="24"/>
          <w:highlight w:val="none"/>
        </w:rPr>
        <w:t>；</w:t>
      </w:r>
    </w:p>
    <w:p>
      <w:pPr>
        <w:pStyle w:val="19"/>
        <w:tabs>
          <w:tab w:val="left" w:pos="1854"/>
          <w:tab w:val="clear" w:pos="482"/>
        </w:tabs>
        <w:spacing w:afterLines="0" w:line="440" w:lineRule="exact"/>
        <w:ind w:left="0" w:firstLine="0"/>
        <w:rPr>
          <w:rFonts w:ascii="仿宋" w:hAnsi="仿宋" w:eastAsia="仿宋"/>
          <w:color w:val="auto"/>
          <w:highlight w:val="none"/>
        </w:rPr>
      </w:pPr>
      <w:r>
        <w:rPr>
          <w:rFonts w:hint="eastAsia" w:ascii="仿宋" w:hAnsi="仿宋" w:eastAsia="仿宋"/>
          <w:color w:val="auto"/>
          <w:highlight w:val="none"/>
        </w:rPr>
        <w:t>2.2.</w:t>
      </w:r>
      <w:r>
        <w:rPr>
          <w:rFonts w:hint="eastAsia" w:ascii="仿宋" w:hAnsi="仿宋" w:eastAsia="仿宋"/>
          <w:color w:val="auto"/>
          <w:highlight w:val="none"/>
          <w:lang w:val="en-US" w:eastAsia="zh-CN"/>
        </w:rPr>
        <w:t>18</w:t>
      </w:r>
      <w:r>
        <w:rPr>
          <w:rFonts w:hint="eastAsia" w:ascii="仿宋" w:hAnsi="仿宋" w:eastAsia="仿宋"/>
          <w:color w:val="auto"/>
          <w:highlight w:val="none"/>
        </w:rPr>
        <w:t>投标人需要说明的其他文件和说明（格式自拟）。</w:t>
      </w:r>
    </w:p>
    <w:p>
      <w:pPr>
        <w:tabs>
          <w:tab w:val="left" w:pos="3870"/>
          <w:tab w:val="left" w:pos="4085"/>
        </w:tabs>
        <w:snapToGrid w:val="0"/>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以上文件组成“商务技术（资信）文件资料”。投标人在“商务技术（资信）文件资料”中应对招标文件作实质性响应，该项内容将作为评标重要指标。</w:t>
      </w:r>
    </w:p>
    <w:p>
      <w:pPr>
        <w:pStyle w:val="19"/>
        <w:tabs>
          <w:tab w:val="left" w:pos="1854"/>
          <w:tab w:val="clear" w:pos="482"/>
        </w:tabs>
        <w:spacing w:afterLines="0" w:line="440" w:lineRule="exact"/>
        <w:ind w:left="105" w:right="-78" w:rightChars="-37" w:firstLine="480" w:firstLineChars="200"/>
        <w:rPr>
          <w:rFonts w:ascii="仿宋" w:hAnsi="仿宋" w:eastAsia="仿宋"/>
          <w:b/>
          <w:color w:val="auto"/>
          <w:highlight w:val="none"/>
        </w:rPr>
      </w:pPr>
      <w:r>
        <w:rPr>
          <w:rFonts w:hint="eastAsia" w:ascii="仿宋" w:hAnsi="仿宋" w:eastAsia="仿宋"/>
          <w:color w:val="auto"/>
          <w:highlight w:val="none"/>
        </w:rPr>
        <w:t>投标人不按招标文件的要求提供的投标文件，可能会被评标委员会视为未实质性响应，其风险应由投标人自行承担。</w:t>
      </w:r>
    </w:p>
    <w:p>
      <w:pPr>
        <w:pStyle w:val="19"/>
        <w:tabs>
          <w:tab w:val="left" w:pos="1854"/>
          <w:tab w:val="clear" w:pos="482"/>
        </w:tabs>
        <w:spacing w:afterLines="0" w:line="440" w:lineRule="exact"/>
        <w:ind w:left="0" w:right="-78" w:rightChars="-37" w:firstLine="482" w:firstLineChars="200"/>
        <w:rPr>
          <w:rFonts w:ascii="仿宋" w:hAnsi="仿宋" w:eastAsia="仿宋"/>
          <w:b/>
          <w:color w:val="auto"/>
          <w:highlight w:val="none"/>
        </w:rPr>
      </w:pPr>
      <w:r>
        <w:rPr>
          <w:rFonts w:hint="eastAsia" w:ascii="仿宋" w:hAnsi="仿宋" w:eastAsia="仿宋"/>
          <w:b/>
          <w:color w:val="auto"/>
          <w:highlight w:val="none"/>
        </w:rPr>
        <w:t>注：复印件应加盖投标人公章</w:t>
      </w:r>
    </w:p>
    <w:p>
      <w:pPr>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3. 投标报价</w:t>
      </w:r>
    </w:p>
    <w:p>
      <w:pPr>
        <w:pStyle w:val="21"/>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3.1投标人应按招标文件中《开标一览表》等附表要求填写。</w:t>
      </w:r>
    </w:p>
    <w:p>
      <w:pPr>
        <w:pStyle w:val="21"/>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3.2报价为采购人可以合格使用产品的价格，包括货款、包装、运输、保险、货到就位以及安装、调试、培训、保修及产品知识产权等一切费用。</w:t>
      </w:r>
    </w:p>
    <w:p>
      <w:pPr>
        <w:pStyle w:val="21"/>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3.3招标文件未列明，而投标人认为必需的费用也需列入报价。</w:t>
      </w:r>
    </w:p>
    <w:p>
      <w:pPr>
        <w:pStyle w:val="21"/>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3.4对于可能有配件、耗材、选件和特殊工具的服务，还应填报投标设备配件、耗材、选件表和备件及特殊工具清单，注明品牌、型号、产地、功能、单价、批量折扣等内容，该表格的格式由投标人自行设计。</w:t>
      </w:r>
    </w:p>
    <w:p>
      <w:pPr>
        <w:tabs>
          <w:tab w:val="left" w:pos="525"/>
        </w:tabs>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3.5</w:t>
      </w:r>
      <w:r>
        <w:rPr>
          <w:rFonts w:hint="eastAsia" w:ascii="仿宋" w:hAnsi="仿宋" w:eastAsia="仿宋"/>
          <w:b/>
          <w:i/>
          <w:color w:val="auto"/>
          <w:sz w:val="24"/>
          <w:highlight w:val="none"/>
        </w:rPr>
        <w:t>投标报价只允许有一个报价，有选择的报价将不予接受（除指定外）。</w:t>
      </w:r>
    </w:p>
    <w:p>
      <w:pPr>
        <w:pStyle w:val="13"/>
        <w:widowControl w:val="0"/>
        <w:tabs>
          <w:tab w:val="clear" w:pos="454"/>
        </w:tabs>
        <w:spacing w:afterLines="0" w:line="440" w:lineRule="atLeast"/>
        <w:ind w:left="0" w:firstLine="0"/>
        <w:rPr>
          <w:rFonts w:ascii="仿宋" w:hAnsi="仿宋" w:eastAsia="仿宋"/>
          <w:b/>
          <w:color w:val="auto"/>
          <w:szCs w:val="24"/>
          <w:highlight w:val="none"/>
        </w:rPr>
      </w:pPr>
      <w:r>
        <w:rPr>
          <w:rFonts w:hint="eastAsia" w:ascii="仿宋" w:hAnsi="仿宋" w:eastAsia="仿宋"/>
          <w:b/>
          <w:color w:val="auto"/>
          <w:szCs w:val="24"/>
          <w:highlight w:val="none"/>
        </w:rPr>
        <w:t>4.投标文件的有效期</w:t>
      </w:r>
    </w:p>
    <w:p>
      <w:pPr>
        <w:pStyle w:val="13"/>
        <w:widowControl w:val="0"/>
        <w:tabs>
          <w:tab w:val="clear" w:pos="454"/>
        </w:tabs>
        <w:spacing w:afterLines="0" w:line="440" w:lineRule="atLeast"/>
        <w:ind w:left="0" w:firstLine="0"/>
        <w:rPr>
          <w:rFonts w:ascii="仿宋" w:hAnsi="仿宋" w:eastAsia="仿宋"/>
          <w:color w:val="auto"/>
          <w:szCs w:val="24"/>
          <w:highlight w:val="none"/>
        </w:rPr>
      </w:pPr>
      <w:r>
        <w:rPr>
          <w:rFonts w:hint="eastAsia" w:ascii="仿宋" w:hAnsi="仿宋" w:eastAsia="仿宋"/>
          <w:color w:val="auto"/>
          <w:szCs w:val="24"/>
          <w:highlight w:val="none"/>
        </w:rPr>
        <w:t>4.1</w:t>
      </w:r>
      <w:r>
        <w:rPr>
          <w:rFonts w:hint="eastAsia" w:ascii="仿宋" w:hAnsi="仿宋" w:eastAsia="仿宋" w:cs="FangSong_GB2312"/>
          <w:color w:val="auto"/>
          <w:highlight w:val="none"/>
        </w:rPr>
        <w:t>投标有效期为从提交投标文件的截止之日起90天。</w:t>
      </w:r>
      <w:r>
        <w:rPr>
          <w:rFonts w:hint="eastAsia" w:ascii="仿宋" w:hAnsi="仿宋" w:eastAsia="仿宋" w:cs="FangSong_GB2312"/>
          <w:b/>
          <w:color w:val="auto"/>
          <w:highlight w:val="none"/>
        </w:rPr>
        <w:t>投标人的投标文件中承</w:t>
      </w:r>
      <w:r>
        <w:rPr>
          <w:rFonts w:hint="eastAsia" w:ascii="仿宋" w:hAnsi="仿宋" w:eastAsia="仿宋" w:cs="FangSong_GB2312"/>
          <w:b/>
          <w:color w:val="auto"/>
          <w:szCs w:val="21"/>
          <w:highlight w:val="none"/>
        </w:rPr>
        <w:t>诺的投标有效期少于招标文件中载明的投标有效期的，投标无效。</w:t>
      </w:r>
    </w:p>
    <w:p>
      <w:pPr>
        <w:pStyle w:val="13"/>
        <w:widowControl w:val="0"/>
        <w:tabs>
          <w:tab w:val="clear" w:pos="454"/>
        </w:tabs>
        <w:spacing w:afterLines="0" w:line="440" w:lineRule="atLeast"/>
        <w:ind w:left="0" w:firstLine="0"/>
        <w:rPr>
          <w:rFonts w:ascii="仿宋" w:hAnsi="仿宋" w:eastAsia="仿宋"/>
          <w:color w:val="auto"/>
          <w:szCs w:val="24"/>
          <w:highlight w:val="none"/>
        </w:rPr>
      </w:pPr>
      <w:r>
        <w:rPr>
          <w:rFonts w:hint="eastAsia" w:ascii="仿宋" w:hAnsi="仿宋" w:eastAsia="仿宋"/>
          <w:color w:val="auto"/>
          <w:szCs w:val="24"/>
          <w:highlight w:val="none"/>
        </w:rPr>
        <w:t>4.2在特殊情况下，招标人可与投标人协商延长投标书的有效期，这种要求和答复均以书面形式进行。</w:t>
      </w:r>
    </w:p>
    <w:p>
      <w:pPr>
        <w:pStyle w:val="13"/>
        <w:widowControl w:val="0"/>
        <w:tabs>
          <w:tab w:val="clear" w:pos="454"/>
        </w:tabs>
        <w:spacing w:afterLines="0" w:line="440" w:lineRule="atLeast"/>
        <w:ind w:left="0" w:firstLine="0"/>
        <w:rPr>
          <w:rFonts w:ascii="仿宋" w:hAnsi="仿宋" w:eastAsia="仿宋"/>
          <w:color w:val="auto"/>
          <w:szCs w:val="24"/>
          <w:highlight w:val="none"/>
        </w:rPr>
      </w:pPr>
      <w:r>
        <w:rPr>
          <w:rFonts w:hint="eastAsia" w:ascii="仿宋" w:hAnsi="仿宋" w:eastAsia="仿宋"/>
          <w:color w:val="auto"/>
          <w:szCs w:val="24"/>
          <w:highlight w:val="none"/>
        </w:rPr>
        <w:t>4.3投标人可拒绝接受延期要求而不会导致投标保证金被没收。同意延长有效期的投标人不能修改投标文件。</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5.投标文件的份数和规定</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5.1投标文件的正本需打印或用不褪色的墨水填写，不允许行间插字，并注明“正本”字样，投标文件正本除本招标须知中规定的可提供复印件外均须提供原件。副本为正本的复印件。</w:t>
      </w:r>
    </w:p>
    <w:p>
      <w:pPr>
        <w:pStyle w:val="21"/>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5.2投标文件由“商务技术（资信）文件资料”和“报价文件资料”两部分文件组成，应按统一格式填写，装订成册。并在封面处明确注明“商务技术（资信）文件资料”或“报价文件资料”。</w:t>
      </w:r>
    </w:p>
    <w:p>
      <w:pPr>
        <w:pStyle w:val="21"/>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5.3投标文件一式</w:t>
      </w:r>
      <w:r>
        <w:rPr>
          <w:rFonts w:hint="eastAsia" w:ascii="仿宋" w:hAnsi="仿宋" w:eastAsia="仿宋"/>
          <w:color w:val="auto"/>
          <w:sz w:val="24"/>
          <w:szCs w:val="24"/>
          <w:highlight w:val="none"/>
          <w:lang w:eastAsia="zh-CN"/>
        </w:rPr>
        <w:t>五</w:t>
      </w:r>
      <w:r>
        <w:rPr>
          <w:rFonts w:hint="eastAsia" w:ascii="仿宋" w:hAnsi="仿宋" w:eastAsia="仿宋"/>
          <w:color w:val="auto"/>
          <w:sz w:val="24"/>
          <w:szCs w:val="24"/>
          <w:highlight w:val="none"/>
        </w:rPr>
        <w:t>份，其中正本一份，副本</w:t>
      </w:r>
      <w:r>
        <w:rPr>
          <w:rFonts w:hint="eastAsia" w:ascii="仿宋" w:hAnsi="仿宋" w:eastAsia="仿宋"/>
          <w:color w:val="auto"/>
          <w:sz w:val="24"/>
          <w:szCs w:val="24"/>
          <w:highlight w:val="none"/>
          <w:lang w:eastAsia="zh-CN"/>
        </w:rPr>
        <w:t>四</w:t>
      </w:r>
      <w:r>
        <w:rPr>
          <w:rFonts w:hint="eastAsia" w:ascii="仿宋" w:hAnsi="仿宋" w:eastAsia="仿宋"/>
          <w:color w:val="auto"/>
          <w:sz w:val="24"/>
          <w:szCs w:val="24"/>
          <w:highlight w:val="none"/>
        </w:rPr>
        <w:t>份。</w:t>
      </w:r>
    </w:p>
    <w:p>
      <w:pPr>
        <w:pStyle w:val="21"/>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5.4投标文件须由投标人在规定位置盖章并由法定代表人或其授权代表签署，投标人应写全称。 </w:t>
      </w:r>
    </w:p>
    <w:p>
      <w:pPr>
        <w:pStyle w:val="21"/>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5.5投标文件不得涂改，若有修改错漏处，须加盖单位公章或者法定代表人或其授权代表签字或盖章。</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5.6投标文件因字迹潦草或表达不清所引起的后果由投标人负责。</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5.7投标人应认真阅读招标文件中所有的内容。如果投标人编制的投标文件实质上不响应招标文件的要求，其投标文件将被招标人拒绝。</w:t>
      </w:r>
    </w:p>
    <w:p>
      <w:pPr>
        <w:spacing w:line="440" w:lineRule="exact"/>
        <w:jc w:val="left"/>
        <w:rPr>
          <w:rFonts w:ascii="仿宋" w:hAnsi="仿宋" w:eastAsia="仿宋"/>
          <w:color w:val="auto"/>
          <w:sz w:val="24"/>
          <w:highlight w:val="none"/>
        </w:rPr>
      </w:pPr>
      <w:r>
        <w:rPr>
          <w:rFonts w:hint="eastAsia" w:ascii="仿宋" w:hAnsi="仿宋" w:eastAsia="仿宋" w:cs="FangSong_GB2312"/>
          <w:color w:val="auto"/>
          <w:sz w:val="24"/>
          <w:highlight w:val="none"/>
        </w:rPr>
        <w:t>5.8投标文件建议采用A4幅面，按顺序统一编目编码装订成册。</w:t>
      </w:r>
      <w:r>
        <w:rPr>
          <w:rFonts w:hint="eastAsia" w:ascii="仿宋" w:hAnsi="仿宋" w:eastAsia="仿宋" w:cs="FangSong_GB2312"/>
          <w:b/>
          <w:color w:val="auto"/>
          <w:sz w:val="24"/>
          <w:highlight w:val="none"/>
        </w:rPr>
        <w:t>提倡双面打印</w:t>
      </w:r>
      <w:r>
        <w:rPr>
          <w:rFonts w:hint="eastAsia" w:ascii="仿宋" w:hAnsi="仿宋" w:eastAsia="仿宋" w:cs="FangSong_GB2312"/>
          <w:color w:val="auto"/>
          <w:sz w:val="24"/>
          <w:highlight w:val="none"/>
        </w:rPr>
        <w:t>。</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6. 投标文件的密封、盖章和签署</w:t>
      </w:r>
    </w:p>
    <w:p>
      <w:pPr>
        <w:snapToGri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 “商务技术（资信）文件资料”和“报价文件资料”</w:t>
      </w:r>
      <w:r>
        <w:rPr>
          <w:rFonts w:hint="eastAsia" w:ascii="仿宋" w:hAnsi="仿宋" w:eastAsia="仿宋"/>
          <w:b/>
          <w:color w:val="auto"/>
          <w:sz w:val="24"/>
          <w:highlight w:val="none"/>
        </w:rPr>
        <w:t>应分</w:t>
      </w:r>
      <w:r>
        <w:rPr>
          <w:rFonts w:hint="eastAsia" w:ascii="仿宋" w:hAnsi="仿宋" w:eastAsia="仿宋"/>
          <w:b/>
          <w:color w:val="auto"/>
          <w:sz w:val="24"/>
          <w:highlight w:val="none"/>
          <w:lang w:eastAsia="zh-CN"/>
        </w:rPr>
        <w:t>两</w:t>
      </w:r>
      <w:r>
        <w:rPr>
          <w:rFonts w:hint="eastAsia" w:ascii="仿宋" w:hAnsi="仿宋" w:eastAsia="仿宋"/>
          <w:b/>
          <w:color w:val="auto"/>
          <w:sz w:val="24"/>
          <w:highlight w:val="none"/>
        </w:rPr>
        <w:t>部份分别密封封装</w:t>
      </w:r>
      <w:r>
        <w:rPr>
          <w:rFonts w:hint="eastAsia" w:ascii="仿宋" w:hAnsi="仿宋" w:eastAsia="仿宋"/>
          <w:color w:val="auto"/>
          <w:sz w:val="24"/>
          <w:highlight w:val="none"/>
        </w:rPr>
        <w:t>，</w:t>
      </w:r>
      <w:r>
        <w:rPr>
          <w:rFonts w:hint="eastAsia" w:ascii="仿宋" w:hAnsi="仿宋" w:eastAsia="仿宋"/>
          <w:b/>
          <w:color w:val="auto"/>
          <w:sz w:val="24"/>
          <w:highlight w:val="none"/>
        </w:rPr>
        <w:t>没有密封包装的投标文件，将被拒收。</w:t>
      </w:r>
    </w:p>
    <w:p>
      <w:pPr>
        <w:snapToGrid w:val="0"/>
        <w:spacing w:line="44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投标文件的装订采用胶订或线订形式，不采用活页装订方式（胶订或线订以外装订形式视为活页装订）。</w:t>
      </w:r>
    </w:p>
    <w:p>
      <w:pPr>
        <w:snapToGri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各投标人在编制投标文件时请按照招标文件第六部分规定的格式进行，混乱的编排导致投标文件被误读或评标委员会查找不到有效文件是投标人的风险。并明确注明“商务技术（资信）文件资料或报价文件资料或光盘、项目名称、投标人名称”字样，同时封口处加盖骑缝单位公章。光盘内电子文稿内容和纸质投标文件内容不一致的，以纸质投标文件内容为准。</w:t>
      </w:r>
    </w:p>
    <w:p>
      <w:pPr>
        <w:pStyle w:val="147"/>
        <w:spacing w:before="0"/>
        <w:ind w:firstLine="0" w:firstLineChars="0"/>
        <w:rPr>
          <w:rFonts w:ascii="仿宋" w:hAnsi="仿宋" w:eastAsia="仿宋" w:cs="FangSong_GB2312"/>
          <w:b/>
          <w:color w:val="auto"/>
          <w:szCs w:val="24"/>
          <w:highlight w:val="none"/>
        </w:rPr>
      </w:pPr>
      <w:r>
        <w:rPr>
          <w:rFonts w:hint="eastAsia" w:ascii="仿宋" w:hAnsi="仿宋" w:eastAsia="仿宋" w:cs="FangSong_GB2312"/>
          <w:b/>
          <w:color w:val="auto"/>
          <w:szCs w:val="24"/>
          <w:highlight w:val="none"/>
        </w:rPr>
        <w:t>7、投标文件的提交</w:t>
      </w:r>
    </w:p>
    <w:p>
      <w:pPr>
        <w:snapToGrid w:val="0"/>
        <w:spacing w:line="440" w:lineRule="exact"/>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投标人应按“招标公告”规定的时间、地点将投标文件提交给采购机构，</w:t>
      </w:r>
      <w:r>
        <w:rPr>
          <w:rFonts w:hint="eastAsia" w:ascii="仿宋" w:hAnsi="仿宋" w:eastAsia="仿宋"/>
          <w:b/>
          <w:color w:val="auto"/>
          <w:sz w:val="24"/>
          <w:highlight w:val="none"/>
        </w:rPr>
        <w:t>采购机构将拒绝接受逾期送达的投标文件。</w:t>
      </w:r>
    </w:p>
    <w:p>
      <w:pPr>
        <w:widowControl/>
        <w:snapToGrid w:val="0"/>
        <w:spacing w:line="440" w:lineRule="exact"/>
        <w:rPr>
          <w:rFonts w:ascii="仿宋" w:hAnsi="仿宋" w:eastAsia="仿宋"/>
          <w:b/>
          <w:color w:val="auto"/>
          <w:kern w:val="0"/>
          <w:sz w:val="24"/>
          <w:highlight w:val="none"/>
        </w:rPr>
      </w:pPr>
      <w:r>
        <w:rPr>
          <w:rFonts w:hint="eastAsia" w:ascii="仿宋" w:hAnsi="仿宋" w:eastAsia="仿宋"/>
          <w:b/>
          <w:color w:val="auto"/>
          <w:sz w:val="24"/>
          <w:highlight w:val="none"/>
        </w:rPr>
        <w:t>8．</w:t>
      </w:r>
      <w:r>
        <w:rPr>
          <w:rFonts w:hint="eastAsia" w:ascii="仿宋" w:hAnsi="仿宋" w:eastAsia="仿宋"/>
          <w:b/>
          <w:color w:val="auto"/>
          <w:kern w:val="0"/>
          <w:sz w:val="24"/>
          <w:highlight w:val="none"/>
        </w:rPr>
        <w:t>投标文件的补充和修改</w:t>
      </w:r>
    </w:p>
    <w:p>
      <w:pPr>
        <w:widowControl/>
        <w:snapToGrid w:val="0"/>
        <w:spacing w:line="440" w:lineRule="exact"/>
        <w:ind w:firstLine="480" w:firstLineChars="200"/>
        <w:rPr>
          <w:rFonts w:hint="eastAsia" w:ascii="仿宋" w:hAnsi="仿宋" w:eastAsia="仿宋" w:cs="Times New Roman"/>
          <w:color w:val="auto"/>
          <w:sz w:val="24"/>
          <w:highlight w:val="none"/>
        </w:rPr>
      </w:pPr>
      <w:r>
        <w:rPr>
          <w:rFonts w:hint="eastAsia" w:ascii="仿宋" w:hAnsi="仿宋" w:eastAsia="仿宋"/>
          <w:color w:val="auto"/>
          <w:kern w:val="0"/>
          <w:sz w:val="24"/>
          <w:highlight w:val="none"/>
        </w:rPr>
        <w:t>投标截止时间前，投标人可以书面形式向招标人提出对投标文件进行补充和修改，相应部分以最后的补充和修改为准。该书面材料应密封，</w:t>
      </w:r>
      <w:r>
        <w:rPr>
          <w:rFonts w:hint="eastAsia" w:ascii="仿宋" w:hAnsi="仿宋" w:eastAsia="仿宋"/>
          <w:color w:val="auto"/>
          <w:sz w:val="24"/>
          <w:highlight w:val="none"/>
        </w:rPr>
        <w:t>并明确注明“</w:t>
      </w:r>
      <w:r>
        <w:rPr>
          <w:rFonts w:hint="eastAsia" w:ascii="仿宋" w:hAnsi="仿宋" w:eastAsia="仿宋"/>
          <w:color w:val="auto"/>
          <w:kern w:val="0"/>
          <w:sz w:val="24"/>
          <w:highlight w:val="none"/>
        </w:rPr>
        <w:t>修改（或补充）商务技术（资信）文件资料或报价文件资料、项目名称、投标人名称</w:t>
      </w:r>
      <w:r>
        <w:rPr>
          <w:rFonts w:hint="eastAsia" w:ascii="仿宋" w:hAnsi="仿宋" w:eastAsia="仿宋"/>
          <w:color w:val="auto"/>
          <w:sz w:val="24"/>
          <w:highlight w:val="none"/>
        </w:rPr>
        <w:t>”</w:t>
      </w:r>
      <w:r>
        <w:rPr>
          <w:rFonts w:hint="eastAsia" w:ascii="仿宋" w:hAnsi="仿宋" w:eastAsia="仿宋"/>
          <w:color w:val="auto"/>
          <w:kern w:val="0"/>
          <w:sz w:val="24"/>
          <w:highlight w:val="none"/>
        </w:rPr>
        <w:t>字样</w:t>
      </w:r>
      <w:r>
        <w:rPr>
          <w:rFonts w:hint="eastAsia" w:ascii="仿宋" w:hAnsi="仿宋" w:eastAsia="仿宋"/>
          <w:color w:val="auto"/>
          <w:sz w:val="24"/>
          <w:highlight w:val="none"/>
        </w:rPr>
        <w:t>，</w:t>
      </w:r>
      <w:r>
        <w:rPr>
          <w:rFonts w:hint="eastAsia" w:ascii="仿宋" w:hAnsi="仿宋" w:eastAsia="仿宋"/>
          <w:color w:val="auto"/>
          <w:kern w:val="0"/>
          <w:sz w:val="24"/>
          <w:highlight w:val="none"/>
        </w:rPr>
        <w:t>同时</w:t>
      </w:r>
      <w:r>
        <w:rPr>
          <w:rFonts w:hint="eastAsia" w:ascii="仿宋" w:hAnsi="仿宋" w:eastAsia="仿宋"/>
          <w:color w:val="auto"/>
          <w:sz w:val="24"/>
          <w:highlight w:val="none"/>
        </w:rPr>
        <w:t>封口处</w:t>
      </w:r>
      <w:r>
        <w:rPr>
          <w:rFonts w:hint="eastAsia" w:ascii="仿宋" w:hAnsi="仿宋" w:eastAsia="仿宋"/>
          <w:color w:val="auto"/>
          <w:kern w:val="0"/>
          <w:sz w:val="24"/>
          <w:highlight w:val="none"/>
        </w:rPr>
        <w:t>由</w:t>
      </w:r>
      <w:r>
        <w:rPr>
          <w:rFonts w:hint="eastAsia" w:ascii="仿宋" w:hAnsi="仿宋" w:eastAsia="仿宋"/>
          <w:color w:val="auto"/>
          <w:sz w:val="24"/>
          <w:highlight w:val="none"/>
        </w:rPr>
        <w:t>法定代表人或其授权代表签字或盖</w:t>
      </w:r>
      <w:r>
        <w:rPr>
          <w:rFonts w:hint="eastAsia" w:ascii="仿宋" w:hAnsi="仿宋" w:eastAsia="仿宋" w:cs="Times New Roman"/>
          <w:color w:val="auto"/>
          <w:sz w:val="24"/>
          <w:highlight w:val="none"/>
        </w:rPr>
        <w:t>章。投标人应于</w:t>
      </w:r>
      <w:r>
        <w:rPr>
          <w:rFonts w:hint="eastAsia" w:ascii="仿宋" w:hAnsi="仿宋" w:eastAsia="仿宋" w:cs="Times New Roman"/>
          <w:color w:val="auto"/>
          <w:sz w:val="24"/>
          <w:highlight w:val="none"/>
          <w:lang w:eastAsia="zh-CN"/>
        </w:rPr>
        <w:t>投标截止</w:t>
      </w:r>
      <w:r>
        <w:rPr>
          <w:rFonts w:hint="eastAsia" w:ascii="仿宋" w:hAnsi="仿宋" w:eastAsia="仿宋" w:cs="Times New Roman"/>
          <w:color w:val="auto"/>
          <w:sz w:val="24"/>
          <w:highlight w:val="none"/>
        </w:rPr>
        <w:t>前将该书面材料以现场送达（即交即走）的方式递交。</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四、开标和评标</w:t>
      </w:r>
    </w:p>
    <w:p>
      <w:pPr>
        <w:snapToGrid w:val="0"/>
        <w:spacing w:line="480" w:lineRule="exact"/>
        <w:jc w:val="left"/>
        <w:rPr>
          <w:rFonts w:ascii="仿宋" w:hAnsi="仿宋" w:eastAsia="仿宋"/>
          <w:b/>
          <w:color w:val="auto"/>
          <w:sz w:val="24"/>
          <w:highlight w:val="none"/>
        </w:rPr>
      </w:pPr>
      <w:r>
        <w:rPr>
          <w:rFonts w:hint="eastAsia" w:ascii="仿宋" w:hAnsi="仿宋" w:eastAsia="仿宋"/>
          <w:b/>
          <w:color w:val="auto"/>
          <w:sz w:val="24"/>
          <w:highlight w:val="none"/>
        </w:rPr>
        <w:t>1．开标大会程序</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1.1主持人宣布开标会开始。</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1.2检查投标文件密封情况。</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1.3启封投标文件商务技术（资信）资料。</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1.4评标委员会对商务技术（资信）文件进行评审。</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1.5主持人宣布商务技术得分及无效（废）投标情形（如有），</w:t>
      </w:r>
      <w:r>
        <w:rPr>
          <w:rFonts w:hint="eastAsia" w:ascii="仿宋" w:hAnsi="仿宋" w:eastAsia="仿宋" w:cs="Arial"/>
          <w:color w:val="auto"/>
          <w:sz w:val="24"/>
          <w:highlight w:val="none"/>
        </w:rPr>
        <w:t>宣读经商务技术（资信）评审符合招标文件要求的投标人名单及其商务技术得分。</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1.6启封</w:t>
      </w:r>
      <w:r>
        <w:rPr>
          <w:rFonts w:hint="eastAsia" w:ascii="仿宋" w:hAnsi="仿宋" w:eastAsia="仿宋" w:cs="Arial"/>
          <w:color w:val="auto"/>
          <w:sz w:val="24"/>
          <w:highlight w:val="none"/>
        </w:rPr>
        <w:t>报价文件资料</w:t>
      </w:r>
      <w:r>
        <w:rPr>
          <w:rFonts w:hint="eastAsia" w:ascii="仿宋" w:hAnsi="仿宋" w:eastAsia="仿宋"/>
          <w:color w:val="auto"/>
          <w:sz w:val="24"/>
          <w:highlight w:val="none"/>
        </w:rPr>
        <w:t>，由唱读人当众宣读投标人名称、投标价格和投标文件的其他内容。未宣读的投标报价和招标文件未允许提供的备选投标方案等实质性内容，评标时不予承认。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1.7评标委员会对投标文件</w:t>
      </w:r>
      <w:r>
        <w:rPr>
          <w:rFonts w:hint="eastAsia" w:ascii="仿宋" w:hAnsi="仿宋" w:eastAsia="仿宋" w:cs="Arial"/>
          <w:color w:val="auto"/>
          <w:sz w:val="24"/>
          <w:highlight w:val="none"/>
        </w:rPr>
        <w:t>报价文件资料</w:t>
      </w:r>
      <w:r>
        <w:rPr>
          <w:rFonts w:hint="eastAsia" w:ascii="仿宋" w:hAnsi="仿宋" w:eastAsia="仿宋"/>
          <w:color w:val="auto"/>
          <w:sz w:val="24"/>
          <w:highlight w:val="none"/>
        </w:rPr>
        <w:t>进行评审，核准投标报价及计算价格分，汇总商务技术分、价格分，根据得分排序确定中标候选人并出具评审报告。</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1.8主持人向投标单位公布评审结果。</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2．评标</w:t>
      </w:r>
    </w:p>
    <w:p>
      <w:pPr>
        <w:spacing w:line="480" w:lineRule="exact"/>
        <w:jc w:val="left"/>
        <w:rPr>
          <w:rFonts w:ascii="仿宋" w:hAnsi="仿宋" w:eastAsia="仿宋" w:cs="宋体"/>
          <w:color w:val="auto"/>
          <w:sz w:val="24"/>
          <w:highlight w:val="none"/>
        </w:rPr>
      </w:pPr>
      <w:r>
        <w:rPr>
          <w:rFonts w:hint="eastAsia" w:ascii="仿宋" w:hAnsi="仿宋" w:eastAsia="仿宋"/>
          <w:color w:val="auto"/>
          <w:sz w:val="24"/>
          <w:highlight w:val="none"/>
        </w:rPr>
        <w:t>2.1</w:t>
      </w:r>
      <w:r>
        <w:rPr>
          <w:rFonts w:hint="eastAsia" w:ascii="仿宋" w:hAnsi="仿宋" w:eastAsia="仿宋" w:cs="宋体"/>
          <w:color w:val="auto"/>
          <w:sz w:val="24"/>
          <w:highlight w:val="none"/>
        </w:rPr>
        <w:t>评标委员会由招标采购单位依法组建，负责评标活动。评标委员会遵循公开、公平、公正、科学合理、竞争择优的原则。</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2.2评标委员会由采购人代表和有关方面的专家组成，成员人数为五人以上单数。</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2.3评标委员会负责对投标人资格的最终审定。</w:t>
      </w:r>
    </w:p>
    <w:p>
      <w:pPr>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2.4评标委员会可以要求投标人对其投标文件中含义不明确的内容作必要的澄清或者说明，但澄清或者说明不得超过投标文件的范围或者改变投标文件的实质性内容。</w:t>
      </w:r>
    </w:p>
    <w:p>
      <w:pPr>
        <w:widowControl/>
        <w:snapToGrid w:val="0"/>
        <w:spacing w:line="480" w:lineRule="exact"/>
        <w:rPr>
          <w:rFonts w:ascii="仿宋" w:hAnsi="仿宋" w:eastAsia="仿宋"/>
          <w:color w:val="auto"/>
          <w:kern w:val="0"/>
          <w:sz w:val="24"/>
          <w:highlight w:val="none"/>
        </w:rPr>
      </w:pPr>
      <w:r>
        <w:rPr>
          <w:rFonts w:hint="eastAsia" w:ascii="仿宋" w:hAnsi="仿宋" w:eastAsia="仿宋"/>
          <w:color w:val="auto"/>
          <w:kern w:val="0"/>
          <w:sz w:val="24"/>
          <w:highlight w:val="none"/>
        </w:rPr>
        <w:t>2.5</w:t>
      </w:r>
      <w:r>
        <w:rPr>
          <w:rFonts w:hint="eastAsia" w:ascii="仿宋" w:hAnsi="仿宋" w:eastAsia="仿宋"/>
          <w:color w:val="auto"/>
          <w:sz w:val="24"/>
          <w:highlight w:val="none"/>
        </w:rPr>
        <w:t>评标委员会</w:t>
      </w:r>
      <w:r>
        <w:rPr>
          <w:rFonts w:hint="eastAsia" w:ascii="仿宋" w:hAnsi="仿宋" w:eastAsia="仿宋"/>
          <w:color w:val="auto"/>
          <w:kern w:val="0"/>
          <w:sz w:val="24"/>
          <w:highlight w:val="none"/>
        </w:rPr>
        <w:t>对投标文件的判定，只依据投标文件和招标文件内容本身，不依据任何外来证明。</w:t>
      </w:r>
    </w:p>
    <w:p>
      <w:pPr>
        <w:widowControl/>
        <w:snapToGrid w:val="0"/>
        <w:spacing w:line="480" w:lineRule="exact"/>
        <w:rPr>
          <w:rFonts w:ascii="仿宋" w:hAnsi="仿宋" w:eastAsia="仿宋"/>
          <w:color w:val="auto"/>
          <w:kern w:val="0"/>
          <w:sz w:val="24"/>
          <w:highlight w:val="none"/>
        </w:rPr>
      </w:pPr>
      <w:r>
        <w:rPr>
          <w:rFonts w:hint="eastAsia" w:ascii="仿宋" w:hAnsi="仿宋" w:eastAsia="仿宋" w:cs="宋体"/>
          <w:color w:val="auto"/>
          <w:sz w:val="24"/>
          <w:highlight w:val="none"/>
        </w:rPr>
        <w:t>2.6评标委员会不向落标方解释落标的原因，不退还投标文件。</w:t>
      </w:r>
    </w:p>
    <w:p>
      <w:pPr>
        <w:snapToGrid w:val="0"/>
        <w:spacing w:line="480" w:lineRule="exact"/>
        <w:jc w:val="left"/>
        <w:rPr>
          <w:rFonts w:ascii="仿宋" w:hAnsi="仿宋" w:eastAsia="仿宋"/>
          <w:b/>
          <w:color w:val="auto"/>
          <w:sz w:val="24"/>
          <w:highlight w:val="none"/>
        </w:rPr>
      </w:pPr>
      <w:r>
        <w:rPr>
          <w:rFonts w:hint="eastAsia" w:ascii="仿宋" w:hAnsi="仿宋" w:eastAsia="仿宋"/>
          <w:b/>
          <w:color w:val="auto"/>
          <w:sz w:val="24"/>
          <w:highlight w:val="none"/>
        </w:rPr>
        <w:t>3．投标文件的初审鉴定</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3.1资格性审查</w:t>
      </w:r>
    </w:p>
    <w:p>
      <w:pPr>
        <w:snapToGrid w:val="0"/>
        <w:spacing w:line="480" w:lineRule="exact"/>
        <w:jc w:val="left"/>
        <w:rPr>
          <w:rFonts w:ascii="仿宋" w:hAnsi="仿宋" w:eastAsia="仿宋"/>
          <w:color w:val="auto"/>
          <w:sz w:val="24"/>
          <w:highlight w:val="none"/>
        </w:rPr>
      </w:pPr>
      <w:r>
        <w:rPr>
          <w:rFonts w:hint="eastAsia" w:ascii="仿宋" w:hAnsi="仿宋" w:eastAsia="仿宋"/>
          <w:color w:val="auto"/>
          <w:sz w:val="24"/>
          <w:highlight w:val="none"/>
        </w:rPr>
        <w:t>3.1.1依据法律、法规和招标文件规定，评标委员会对投标人进行资格审查，以确定投标人是否具备投标资格。</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3.2符合性审查</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 w:hAnsi="仿宋" w:eastAsia="仿宋" w:cs="FangSong_GB2312"/>
          <w:color w:val="auto"/>
          <w:sz w:val="24"/>
          <w:highlight w:val="none"/>
        </w:rPr>
        <w:t>评标委员会决定投标文件的响应性只根据投标文件本身的内容，而不寻求外部证据。</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 w:hAnsi="仿宋" w:eastAsia="仿宋" w:cs="宋体"/>
          <w:b/>
          <w:color w:val="auto"/>
          <w:sz w:val="24"/>
          <w:highlight w:val="none"/>
        </w:rPr>
      </w:pPr>
      <w:r>
        <w:rPr>
          <w:rFonts w:hint="eastAsia" w:ascii="仿宋" w:hAnsi="仿宋" w:eastAsia="仿宋"/>
          <w:b/>
          <w:color w:val="auto"/>
          <w:kern w:val="0"/>
          <w:sz w:val="24"/>
          <w:highlight w:val="none"/>
        </w:rPr>
        <w:t xml:space="preserve">4. </w:t>
      </w:r>
      <w:r>
        <w:rPr>
          <w:rFonts w:hint="eastAsia" w:ascii="仿宋" w:hAnsi="仿宋" w:eastAsia="仿宋" w:cs="宋体"/>
          <w:b/>
          <w:color w:val="auto"/>
          <w:sz w:val="24"/>
          <w:highlight w:val="none"/>
        </w:rPr>
        <w:t>投标文件报价出现前后不一致的，按照下列规定修正：</w:t>
      </w:r>
    </w:p>
    <w:p>
      <w:pPr>
        <w:spacing w:line="44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4.1投标文件中开标一览表（报价表）内容与投标文件中相应内容不一致的，以开标一览表（报价表）为准；</w:t>
      </w:r>
    </w:p>
    <w:p>
      <w:pPr>
        <w:spacing w:line="44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4.2大写金额和小写金额不一致的，以大写金额为准；</w:t>
      </w:r>
    </w:p>
    <w:p>
      <w:pPr>
        <w:spacing w:line="44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4.3单价金额小数点或者百分比有明显错位的，以开标一览表的总价为准，并修改单价；</w:t>
      </w:r>
    </w:p>
    <w:p>
      <w:pPr>
        <w:spacing w:line="44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4.4总价金额与按单价汇总金额不一致的，以单价金额计算结果为准。</w:t>
      </w:r>
    </w:p>
    <w:p>
      <w:pPr>
        <w:spacing w:line="440" w:lineRule="exact"/>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同时出现两种以上不一致的，按照前款规定的顺序修正。</w:t>
      </w:r>
      <w:r>
        <w:rPr>
          <w:rFonts w:hint="eastAsia" w:ascii="仿宋" w:hAnsi="仿宋" w:eastAsia="仿宋" w:cs="FangSong_GB2312"/>
          <w:bCs/>
          <w:color w:val="auto"/>
          <w:sz w:val="24"/>
          <w:highlight w:val="none"/>
        </w:rPr>
        <w:t>修正后的报价按照财政部公布第87号令 《政府采购货物和服务招标投标管理办法》</w:t>
      </w:r>
      <w:r>
        <w:rPr>
          <w:rFonts w:hint="eastAsia" w:ascii="仿宋" w:hAnsi="仿宋" w:eastAsia="仿宋" w:cs="宋体"/>
          <w:color w:val="auto"/>
          <w:sz w:val="24"/>
          <w:highlight w:val="none"/>
        </w:rPr>
        <w:t>第五十一条第二款的规定经投标人确认后产生约束力，投标人不确认的，其投标无效。</w:t>
      </w:r>
    </w:p>
    <w:p>
      <w:pPr>
        <w:spacing w:line="440" w:lineRule="exact"/>
        <w:jc w:val="left"/>
        <w:rPr>
          <w:rFonts w:ascii="仿宋" w:hAnsi="仿宋" w:eastAsia="仿宋" w:cs="宋体"/>
          <w:b/>
          <w:color w:val="auto"/>
          <w:sz w:val="24"/>
          <w:highlight w:val="none"/>
        </w:rPr>
      </w:pPr>
      <w:r>
        <w:rPr>
          <w:rFonts w:hint="eastAsia" w:ascii="仿宋" w:hAnsi="仿宋" w:eastAsia="仿宋" w:cs="宋体"/>
          <w:b/>
          <w:color w:val="auto"/>
          <w:sz w:val="24"/>
          <w:highlight w:val="none"/>
        </w:rPr>
        <w:t>5.投标文件的评审、比较和否决</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5.1评标委员会将对在实质上响应招标文件要求的投标文件进行评估和比较。</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5.2在评审过程中，评标委员会可以书面形式要求投标人就投标文件含义不明确的内容进行书面说明并提供相关材料，但</w:t>
      </w:r>
      <w:r>
        <w:rPr>
          <w:rFonts w:hint="eastAsia" w:ascii="仿宋" w:hAnsi="仿宋" w:eastAsia="仿宋"/>
          <w:color w:val="auto"/>
          <w:sz w:val="24"/>
          <w:highlight w:val="none"/>
        </w:rPr>
        <w:t>不得超过投标文件的范围或者改变投标文件的实质性内容。</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5.3在评标过程中，如发现与招标文件要求相偏离的，评标委员会可对其偏离情形进行必要的核实。</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5.4在评审过程中，如属于实质性偏离或符合无效响应条件的，应当询问相关投标人，并可对其进行书面确认，但不允许对偏离条款进行补充、修正或撤回。</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5.5</w:t>
      </w:r>
      <w:r>
        <w:rPr>
          <w:rFonts w:ascii="仿宋" w:hAnsi="仿宋" w:eastAsia="仿宋" w:cs="宋体"/>
          <w:color w:val="auto"/>
          <w:sz w:val="24"/>
          <w:highlight w:val="none"/>
        </w:rPr>
        <w:t>比较与评价</w:t>
      </w:r>
      <w:r>
        <w:rPr>
          <w:rFonts w:hint="eastAsia" w:ascii="仿宋" w:hAnsi="仿宋" w:eastAsia="仿宋" w:cs="宋体"/>
          <w:color w:val="auto"/>
          <w:sz w:val="24"/>
          <w:highlight w:val="none"/>
        </w:rPr>
        <w:t>。评</w:t>
      </w:r>
      <w:r>
        <w:rPr>
          <w:rFonts w:ascii="仿宋" w:hAnsi="仿宋" w:eastAsia="仿宋" w:cs="宋体"/>
          <w:color w:val="auto"/>
          <w:sz w:val="24"/>
          <w:highlight w:val="none"/>
        </w:rPr>
        <w:t>标委员会应当按照评标标准，对符合性审查合格的投标文件进行商务和技术评估，综合比较与评价。</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5.6</w:t>
      </w:r>
      <w:r>
        <w:rPr>
          <w:rFonts w:ascii="仿宋" w:hAnsi="仿宋" w:eastAsia="仿宋" w:cs="宋体"/>
          <w:color w:val="auto"/>
          <w:sz w:val="24"/>
          <w:highlight w:val="none"/>
        </w:rPr>
        <w:t>汇总</w:t>
      </w:r>
      <w:r>
        <w:rPr>
          <w:rFonts w:hint="eastAsia" w:ascii="仿宋" w:hAnsi="仿宋" w:eastAsia="仿宋" w:cs="宋体"/>
          <w:color w:val="auto"/>
          <w:sz w:val="24"/>
          <w:highlight w:val="none"/>
        </w:rPr>
        <w:t>（商务技术得分情况）。</w:t>
      </w:r>
      <w:r>
        <w:rPr>
          <w:rFonts w:ascii="仿宋" w:hAnsi="仿宋" w:eastAsia="仿宋" w:cs="宋体"/>
          <w:color w:val="auto"/>
          <w:sz w:val="24"/>
          <w:highlight w:val="none"/>
        </w:rPr>
        <w:t>评标委员会各成员应当独立对每个投标人的</w:t>
      </w:r>
      <w:r>
        <w:rPr>
          <w:rFonts w:hint="eastAsia" w:ascii="仿宋" w:hAnsi="仿宋" w:eastAsia="仿宋"/>
          <w:color w:val="auto"/>
          <w:sz w:val="24"/>
          <w:highlight w:val="none"/>
        </w:rPr>
        <w:t>商务技术（资信）文件资料</w:t>
      </w:r>
      <w:r>
        <w:rPr>
          <w:rFonts w:ascii="仿宋" w:hAnsi="仿宋" w:eastAsia="仿宋" w:cs="宋体"/>
          <w:color w:val="auto"/>
          <w:sz w:val="24"/>
          <w:highlight w:val="none"/>
        </w:rPr>
        <w:t>文件进行评价，并汇总</w:t>
      </w:r>
      <w:r>
        <w:rPr>
          <w:rFonts w:hint="eastAsia" w:ascii="仿宋" w:hAnsi="仿宋" w:eastAsia="仿宋" w:cs="宋体"/>
          <w:color w:val="auto"/>
          <w:sz w:val="24"/>
          <w:highlight w:val="none"/>
        </w:rPr>
        <w:t>商务技术得分情况</w:t>
      </w:r>
      <w:r>
        <w:rPr>
          <w:rFonts w:ascii="仿宋" w:hAnsi="仿宋" w:eastAsia="仿宋" w:cs="宋体"/>
          <w:color w:val="auto"/>
          <w:sz w:val="24"/>
          <w:highlight w:val="none"/>
        </w:rPr>
        <w:t>。</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5.7 报价审核。对符合采购需求且通过商务技术（资信）评审的投标人的报价的合理性、准确性等进行审查核实。</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5.7.2根据财政部发布的《政府采购促进中小企业发展暂行办法》规定，对于非专门面向中小企业的项目，对小型和微型企业产品的价格给予一定的扣除，用扣除后的价格参与评审。</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5.7.3如需投标价格修正，按财政部87号令第五十九条的规定对投标价格进行修正。</w:t>
      </w:r>
    </w:p>
    <w:p>
      <w:pPr>
        <w:spacing w:line="48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5.8评标委员会依据招标文件规定的评标标准和方法，对投标文件进行评审和比较后，向采购代理机构提供书面评标报告，并按得分高低排序推荐中标候选供应商。</w:t>
      </w:r>
    </w:p>
    <w:p>
      <w:pPr>
        <w:pStyle w:val="13"/>
        <w:tabs>
          <w:tab w:val="clear" w:pos="454"/>
        </w:tabs>
        <w:spacing w:afterLines="0" w:line="440" w:lineRule="exact"/>
        <w:ind w:left="0" w:firstLine="0"/>
        <w:rPr>
          <w:rFonts w:ascii="仿宋" w:hAnsi="仿宋" w:eastAsia="仿宋"/>
          <w:b/>
          <w:color w:val="auto"/>
          <w:highlight w:val="none"/>
        </w:rPr>
      </w:pPr>
      <w:r>
        <w:rPr>
          <w:rFonts w:hint="eastAsia" w:ascii="仿宋" w:hAnsi="仿宋" w:eastAsia="仿宋"/>
          <w:b/>
          <w:color w:val="auto"/>
          <w:highlight w:val="none"/>
        </w:rPr>
        <w:t>6.投标文件的澄清</w:t>
      </w:r>
    </w:p>
    <w:p>
      <w:pPr>
        <w:pStyle w:val="13"/>
        <w:tabs>
          <w:tab w:val="clear" w:pos="454"/>
        </w:tabs>
        <w:spacing w:afterLines="0" w:line="440" w:lineRule="exact"/>
        <w:ind w:left="0" w:firstLine="480" w:firstLineChars="200"/>
        <w:rPr>
          <w:rFonts w:ascii="仿宋" w:hAnsi="仿宋" w:eastAsia="仿宋"/>
          <w:color w:val="auto"/>
          <w:highlight w:val="none"/>
        </w:rPr>
      </w:pPr>
      <w:r>
        <w:rPr>
          <w:rFonts w:hint="eastAsia" w:ascii="仿宋" w:hAnsi="仿宋" w:eastAsia="仿宋" w:cs="FangSong_GB2312"/>
          <w:color w:val="auto"/>
          <w:szCs w:val="24"/>
          <w:highlight w:val="none"/>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21"/>
        <w:snapToGrid w:val="0"/>
        <w:spacing w:line="4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7．无效投标的情形</w:t>
      </w:r>
    </w:p>
    <w:p>
      <w:pPr>
        <w:tabs>
          <w:tab w:val="left" w:pos="4085"/>
        </w:tabs>
        <w:snapToGrid w:val="0"/>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投标文件有下列情形之一的作无效投标处理：</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7.1未按照招标文件规定要求密封封装、签署、盖章的；</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7.2单位负责人为同一人或者存在直接控股、管理关系的不同供应商参加同一合同项下的政府采购活动的（均无效）；</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 xml:space="preserve">7.3为采购项目提供整体设计、规范编制或者项目管理、监理、检测等服务的供应商再参加该采购项目的其他采购活动的； </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7.4投标人不具备招标文件中规定的资格要求的（投标人未提供有效的资格证明文件的，视为投标人不具备招标文件中规定的资格要求）；</w:t>
      </w:r>
    </w:p>
    <w:p>
      <w:pPr>
        <w:snapToGrid w:val="0"/>
        <w:spacing w:line="440" w:lineRule="exact"/>
        <w:jc w:val="left"/>
        <w:rPr>
          <w:rFonts w:ascii="仿宋" w:hAnsi="仿宋" w:eastAsia="仿宋"/>
          <w:b/>
          <w:color w:val="auto"/>
          <w:kern w:val="0"/>
          <w:sz w:val="24"/>
          <w:highlight w:val="none"/>
        </w:rPr>
      </w:pPr>
      <w:r>
        <w:rPr>
          <w:rFonts w:hint="eastAsia" w:ascii="仿宋" w:hAnsi="仿宋" w:eastAsia="仿宋"/>
          <w:b/>
          <w:color w:val="auto"/>
          <w:sz w:val="24"/>
          <w:highlight w:val="none"/>
        </w:rPr>
        <w:t>7.5</w:t>
      </w:r>
      <w:r>
        <w:rPr>
          <w:rFonts w:hint="eastAsia" w:ascii="仿宋" w:hAnsi="仿宋" w:eastAsia="仿宋"/>
          <w:b/>
          <w:color w:val="auto"/>
          <w:kern w:val="0"/>
          <w:sz w:val="24"/>
          <w:highlight w:val="none"/>
        </w:rPr>
        <w:t>《法定代表人身份证明书》与提供的身份证复印件信息不符的；《法定代表人授权委托书》与提供的身份证复印件信息不符的；</w:t>
      </w:r>
    </w:p>
    <w:p>
      <w:pPr>
        <w:snapToGrid w:val="0"/>
        <w:spacing w:line="440" w:lineRule="exact"/>
        <w:jc w:val="left"/>
        <w:rPr>
          <w:rFonts w:ascii="仿宋" w:hAnsi="仿宋" w:eastAsia="仿宋"/>
          <w:b/>
          <w:color w:val="auto"/>
          <w:kern w:val="0"/>
          <w:sz w:val="24"/>
          <w:highlight w:val="none"/>
        </w:rPr>
      </w:pPr>
      <w:r>
        <w:rPr>
          <w:rFonts w:hint="eastAsia" w:ascii="仿宋" w:hAnsi="仿宋" w:eastAsia="仿宋"/>
          <w:b/>
          <w:color w:val="auto"/>
          <w:kern w:val="0"/>
          <w:sz w:val="24"/>
          <w:highlight w:val="none"/>
        </w:rPr>
        <w:t>7.6《法定代表人授权委托书》或《法定代表人身份证明书》填写不全、错误、未加盖公章(《法定代表人授权委托书》要求“公章”和“签字或盖章”缺一不可）的；7.7授权代表非投标单位正式职工的（以</w:t>
      </w:r>
      <w:r>
        <w:rPr>
          <w:rFonts w:ascii="仿宋" w:hAnsi="仿宋" w:eastAsia="仿宋"/>
          <w:b/>
          <w:color w:val="auto"/>
          <w:kern w:val="0"/>
          <w:sz w:val="24"/>
          <w:highlight w:val="none"/>
        </w:rPr>
        <w:t>社保证明</w:t>
      </w:r>
      <w:r>
        <w:rPr>
          <w:rFonts w:hint="eastAsia" w:ascii="仿宋" w:hAnsi="仿宋" w:eastAsia="仿宋"/>
          <w:b/>
          <w:color w:val="auto"/>
          <w:kern w:val="0"/>
          <w:sz w:val="24"/>
          <w:highlight w:val="none"/>
        </w:rPr>
        <w:t>为准，如授权代表为</w:t>
      </w:r>
      <w:r>
        <w:rPr>
          <w:rFonts w:ascii="仿宋" w:hAnsi="仿宋" w:eastAsia="仿宋"/>
          <w:b/>
          <w:color w:val="auto"/>
          <w:kern w:val="0"/>
          <w:sz w:val="24"/>
          <w:highlight w:val="none"/>
        </w:rPr>
        <w:t>离退休返聘人员的，</w:t>
      </w:r>
      <w:r>
        <w:rPr>
          <w:rFonts w:hint="eastAsia" w:ascii="仿宋" w:hAnsi="仿宋" w:eastAsia="仿宋"/>
          <w:b/>
          <w:color w:val="auto"/>
          <w:kern w:val="0"/>
          <w:sz w:val="24"/>
          <w:highlight w:val="none"/>
        </w:rPr>
        <w:t>需提供</w:t>
      </w:r>
      <w:r>
        <w:rPr>
          <w:rFonts w:ascii="仿宋" w:hAnsi="仿宋" w:eastAsia="仿宋"/>
          <w:b/>
          <w:color w:val="auto"/>
          <w:kern w:val="0"/>
          <w:sz w:val="24"/>
          <w:highlight w:val="none"/>
        </w:rPr>
        <w:t>退休证明及单位聘用证明</w:t>
      </w:r>
      <w:r>
        <w:rPr>
          <w:rFonts w:hint="eastAsia" w:ascii="仿宋" w:hAnsi="仿宋" w:eastAsia="仿宋"/>
          <w:b/>
          <w:color w:val="auto"/>
          <w:kern w:val="0"/>
          <w:sz w:val="24"/>
          <w:highlight w:val="none"/>
        </w:rPr>
        <w:t>）；</w:t>
      </w:r>
    </w:p>
    <w:p>
      <w:pPr>
        <w:tabs>
          <w:tab w:val="left" w:pos="3870"/>
          <w:tab w:val="left" w:pos="4085"/>
        </w:tabs>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7.8投标文件中的投标函未加盖投标人的企业公章或填写不全的；</w:t>
      </w:r>
    </w:p>
    <w:p>
      <w:pPr>
        <w:tabs>
          <w:tab w:val="left" w:pos="3870"/>
          <w:tab w:val="left" w:pos="4085"/>
        </w:tabs>
        <w:snapToGrid w:val="0"/>
        <w:spacing w:line="440" w:lineRule="exact"/>
        <w:jc w:val="left"/>
        <w:rPr>
          <w:rFonts w:ascii="仿宋" w:hAnsi="仿宋" w:eastAsia="仿宋"/>
          <w:b/>
          <w:color w:val="auto"/>
          <w:sz w:val="24"/>
          <w:highlight w:val="none"/>
        </w:rPr>
      </w:pPr>
      <w:r>
        <w:rPr>
          <w:rFonts w:hint="eastAsia" w:ascii="仿宋" w:hAnsi="仿宋" w:eastAsia="仿宋"/>
          <w:b/>
          <w:color w:val="auto"/>
          <w:kern w:val="0"/>
          <w:sz w:val="24"/>
          <w:highlight w:val="none"/>
        </w:rPr>
        <w:t>7.9</w:t>
      </w:r>
      <w:r>
        <w:rPr>
          <w:rFonts w:hint="eastAsia" w:ascii="仿宋" w:hAnsi="仿宋" w:eastAsia="仿宋"/>
          <w:b/>
          <w:color w:val="auto"/>
          <w:sz w:val="24"/>
          <w:highlight w:val="none"/>
        </w:rPr>
        <w:t>投标人递交两份或两份以上内容不同的投标书，且未声明哪一份有效的；</w:t>
      </w:r>
    </w:p>
    <w:p>
      <w:pPr>
        <w:tabs>
          <w:tab w:val="left" w:pos="3870"/>
          <w:tab w:val="left" w:pos="4085"/>
        </w:tabs>
        <w:snapToGrid w:val="0"/>
        <w:spacing w:line="440" w:lineRule="exact"/>
        <w:jc w:val="left"/>
        <w:rPr>
          <w:rFonts w:ascii="仿宋" w:hAnsi="仿宋" w:eastAsia="仿宋"/>
          <w:b/>
          <w:color w:val="auto"/>
          <w:kern w:val="0"/>
          <w:sz w:val="24"/>
          <w:highlight w:val="none"/>
        </w:rPr>
      </w:pPr>
      <w:r>
        <w:rPr>
          <w:rFonts w:hint="eastAsia" w:ascii="仿宋" w:hAnsi="仿宋" w:eastAsia="仿宋"/>
          <w:b/>
          <w:color w:val="auto"/>
          <w:kern w:val="0"/>
          <w:sz w:val="24"/>
          <w:highlight w:val="none"/>
        </w:rPr>
        <w:t>7.10</w:t>
      </w:r>
      <w:r>
        <w:rPr>
          <w:rFonts w:hint="eastAsia" w:ascii="仿宋" w:hAnsi="仿宋" w:eastAsia="仿宋"/>
          <w:b/>
          <w:color w:val="auto"/>
          <w:sz w:val="24"/>
          <w:highlight w:val="none"/>
        </w:rPr>
        <w:t>报价一经涂改，未在涂改处加盖投标单位公章或者未经法定代表人或其授权代表签字或盖章的；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 w:hAnsi="仿宋" w:eastAsia="仿宋"/>
          <w:b/>
          <w:color w:val="auto"/>
          <w:sz w:val="24"/>
          <w:highlight w:val="none"/>
        </w:rPr>
      </w:pPr>
      <w:r>
        <w:rPr>
          <w:rFonts w:hint="eastAsia" w:ascii="仿宋" w:hAnsi="仿宋" w:eastAsia="仿宋"/>
          <w:b/>
          <w:color w:val="auto"/>
          <w:kern w:val="0"/>
          <w:sz w:val="24"/>
          <w:highlight w:val="none"/>
        </w:rPr>
        <w:t>7.11</w:t>
      </w:r>
      <w:r>
        <w:rPr>
          <w:rFonts w:hint="eastAsia" w:ascii="仿宋" w:hAnsi="仿宋" w:eastAsia="仿宋"/>
          <w:b/>
          <w:color w:val="auto"/>
          <w:sz w:val="24"/>
          <w:highlight w:val="none"/>
        </w:rPr>
        <w:t>因未按招标文件规定的格式填写，或</w:t>
      </w:r>
      <w:r>
        <w:rPr>
          <w:rFonts w:hint="eastAsia" w:ascii="仿宋" w:hAnsi="仿宋" w:eastAsia="仿宋"/>
          <w:b/>
          <w:color w:val="auto"/>
          <w:sz w:val="24"/>
          <w:szCs w:val="20"/>
          <w:highlight w:val="none"/>
        </w:rPr>
        <w:t>对招标</w:t>
      </w:r>
      <w:r>
        <w:rPr>
          <w:rFonts w:hint="eastAsia" w:ascii="仿宋" w:hAnsi="仿宋" w:eastAsia="仿宋"/>
          <w:b/>
          <w:color w:val="auto"/>
          <w:sz w:val="24"/>
          <w:highlight w:val="none"/>
        </w:rPr>
        <w:t>服务或技术或产品等要求</w:t>
      </w:r>
      <w:r>
        <w:rPr>
          <w:rFonts w:hint="eastAsia" w:ascii="仿宋" w:hAnsi="仿宋" w:eastAsia="仿宋"/>
          <w:b/>
          <w:color w:val="auto"/>
          <w:sz w:val="24"/>
          <w:szCs w:val="20"/>
          <w:highlight w:val="none"/>
        </w:rPr>
        <w:t>未详细应答或应答</w:t>
      </w:r>
      <w:r>
        <w:rPr>
          <w:rFonts w:hint="eastAsia" w:ascii="仿宋" w:hAnsi="仿宋" w:eastAsia="仿宋"/>
          <w:b/>
          <w:color w:val="auto"/>
          <w:sz w:val="24"/>
          <w:highlight w:val="none"/>
        </w:rPr>
        <w:t>内容不全、有缺失的,经评标委员会认定为无法评审的；</w:t>
      </w:r>
    </w:p>
    <w:p>
      <w:pPr>
        <w:pStyle w:val="21"/>
        <w:snapToGrid w:val="0"/>
        <w:spacing w:line="4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7.12出现同一标的物或本次招标产品(服务)内的主要产品(重要组成部分)出现</w:t>
      </w:r>
      <w:r>
        <w:rPr>
          <w:rFonts w:hint="eastAsia" w:ascii="仿宋" w:hAnsi="仿宋" w:eastAsia="仿宋"/>
          <w:b/>
          <w:color w:val="auto"/>
          <w:sz w:val="24"/>
          <w:highlight w:val="none"/>
        </w:rPr>
        <w:t>商务技术（资信）文件资料</w:t>
      </w:r>
      <w:r>
        <w:rPr>
          <w:rFonts w:hint="eastAsia" w:ascii="仿宋" w:hAnsi="仿宋" w:eastAsia="仿宋"/>
          <w:b/>
          <w:color w:val="auto"/>
          <w:sz w:val="24"/>
          <w:szCs w:val="24"/>
          <w:highlight w:val="none"/>
        </w:rPr>
        <w:t>、</w:t>
      </w:r>
      <w:r>
        <w:rPr>
          <w:rFonts w:hint="eastAsia" w:ascii="仿宋" w:hAnsi="仿宋" w:eastAsia="仿宋"/>
          <w:b/>
          <w:color w:val="auto"/>
          <w:sz w:val="24"/>
          <w:highlight w:val="none"/>
        </w:rPr>
        <w:t>报价文件资料</w:t>
      </w:r>
      <w:r>
        <w:rPr>
          <w:rFonts w:hint="eastAsia" w:ascii="仿宋" w:hAnsi="仿宋" w:eastAsia="仿宋"/>
          <w:b/>
          <w:color w:val="auto"/>
          <w:sz w:val="24"/>
          <w:szCs w:val="24"/>
          <w:highlight w:val="none"/>
        </w:rPr>
        <w:t>描述不一致或前后描述不一致，经评标委员会认定后为无法评审的；</w:t>
      </w:r>
    </w:p>
    <w:p>
      <w:pPr>
        <w:pStyle w:val="21"/>
        <w:snapToGrid w:val="0"/>
        <w:spacing w:line="440" w:lineRule="exact"/>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7.13《</w:t>
      </w:r>
      <w:r>
        <w:rPr>
          <w:rFonts w:hint="eastAsia" w:ascii="仿宋" w:hAnsi="仿宋" w:eastAsia="仿宋"/>
          <w:b/>
          <w:color w:val="auto"/>
          <w:sz w:val="24"/>
          <w:highlight w:val="none"/>
        </w:rPr>
        <w:t>技术偏离说明表</w:t>
      </w:r>
      <w:r>
        <w:rPr>
          <w:rFonts w:hint="eastAsia" w:ascii="仿宋" w:hAnsi="仿宋" w:eastAsia="仿宋"/>
          <w:b/>
          <w:color w:val="auto"/>
          <w:sz w:val="24"/>
          <w:szCs w:val="24"/>
          <w:highlight w:val="none"/>
        </w:rPr>
        <w:t>》</w:t>
      </w:r>
      <w:r>
        <w:rPr>
          <w:rFonts w:hint="eastAsia" w:ascii="仿宋" w:hAnsi="仿宋" w:eastAsia="仿宋"/>
          <w:b/>
          <w:color w:val="auto"/>
          <w:sz w:val="24"/>
          <w:highlight w:val="none"/>
        </w:rPr>
        <w:t>不真实填写或弄虚作假的；</w:t>
      </w:r>
    </w:p>
    <w:p>
      <w:pPr>
        <w:tabs>
          <w:tab w:val="left" w:pos="3870"/>
          <w:tab w:val="left" w:pos="4085"/>
        </w:tabs>
        <w:snapToGrid w:val="0"/>
        <w:spacing w:line="440" w:lineRule="exact"/>
        <w:jc w:val="left"/>
        <w:rPr>
          <w:rFonts w:ascii="仿宋" w:hAnsi="仿宋" w:eastAsia="仿宋"/>
          <w:b/>
          <w:color w:val="auto"/>
          <w:kern w:val="0"/>
          <w:sz w:val="24"/>
          <w:highlight w:val="none"/>
        </w:rPr>
      </w:pPr>
      <w:r>
        <w:rPr>
          <w:rFonts w:hint="eastAsia" w:ascii="仿宋" w:hAnsi="仿宋" w:eastAsia="仿宋"/>
          <w:b/>
          <w:color w:val="auto"/>
          <w:sz w:val="24"/>
          <w:highlight w:val="none"/>
        </w:rPr>
        <w:t>7.14</w:t>
      </w:r>
      <w:r>
        <w:rPr>
          <w:rFonts w:hint="eastAsia" w:ascii="仿宋" w:hAnsi="仿宋" w:eastAsia="仿宋"/>
          <w:b/>
          <w:color w:val="auto"/>
          <w:kern w:val="0"/>
          <w:sz w:val="24"/>
          <w:highlight w:val="none"/>
        </w:rPr>
        <w:t>投标文件含有采购人不能接受的附加条件；</w:t>
      </w:r>
    </w:p>
    <w:p>
      <w:pPr>
        <w:tabs>
          <w:tab w:val="left" w:pos="3870"/>
          <w:tab w:val="left" w:pos="4085"/>
        </w:tabs>
        <w:snapToGrid w:val="0"/>
        <w:spacing w:line="440" w:lineRule="exact"/>
        <w:jc w:val="left"/>
        <w:rPr>
          <w:rFonts w:ascii="仿宋" w:hAnsi="仿宋" w:eastAsia="仿宋"/>
          <w:b/>
          <w:color w:val="auto"/>
          <w:kern w:val="0"/>
          <w:sz w:val="24"/>
          <w:highlight w:val="none"/>
        </w:rPr>
      </w:pPr>
      <w:r>
        <w:rPr>
          <w:rFonts w:hint="eastAsia" w:ascii="仿宋" w:hAnsi="仿宋" w:eastAsia="仿宋"/>
          <w:b/>
          <w:color w:val="auto"/>
          <w:kern w:val="0"/>
          <w:sz w:val="24"/>
          <w:highlight w:val="none"/>
        </w:rPr>
        <w:t>7.15</w:t>
      </w:r>
      <w:r>
        <w:rPr>
          <w:rFonts w:hint="eastAsia" w:ascii="仿宋" w:hAnsi="仿宋" w:eastAsia="仿宋"/>
          <w:b/>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7.16报价超过招标文件中规定的预算金额或最高限价的；</w:t>
      </w:r>
    </w:p>
    <w:p>
      <w:pPr>
        <w:tabs>
          <w:tab w:val="left" w:pos="3870"/>
          <w:tab w:val="left" w:pos="4085"/>
        </w:tabs>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7.17投标文件“商务技术（资信）文件资料”部分中出现《开标一览表》相关内容的；</w:t>
      </w:r>
    </w:p>
    <w:p>
      <w:pPr>
        <w:tabs>
          <w:tab w:val="left" w:pos="3870"/>
          <w:tab w:val="left" w:pos="4085"/>
        </w:tabs>
        <w:snapToGrid w:val="0"/>
        <w:spacing w:line="440" w:lineRule="exact"/>
        <w:jc w:val="left"/>
        <w:rPr>
          <w:rFonts w:ascii="仿宋" w:hAnsi="仿宋" w:eastAsia="仿宋" w:cs="FangSong_GB2312"/>
          <w:b/>
          <w:color w:val="auto"/>
          <w:sz w:val="24"/>
          <w:szCs w:val="21"/>
          <w:highlight w:val="none"/>
        </w:rPr>
      </w:pPr>
      <w:r>
        <w:rPr>
          <w:rFonts w:hint="eastAsia" w:ascii="仿宋" w:hAnsi="仿宋" w:eastAsia="仿宋" w:cs="FangSong_GB2312"/>
          <w:b/>
          <w:color w:val="auto"/>
          <w:sz w:val="24"/>
          <w:szCs w:val="21"/>
          <w:highlight w:val="none"/>
        </w:rPr>
        <w:t>7.18</w:t>
      </w:r>
      <w:r>
        <w:rPr>
          <w:rFonts w:ascii="仿宋" w:hAnsi="仿宋" w:eastAsia="仿宋" w:cs="FangSong_GB2312"/>
          <w:b/>
          <w:color w:val="auto"/>
          <w:sz w:val="24"/>
          <w:szCs w:val="21"/>
          <w:highlight w:val="none"/>
        </w:rPr>
        <w:t>采购人拟采购的产品属于</w:t>
      </w:r>
      <w:r>
        <w:rPr>
          <w:rFonts w:hint="eastAsia" w:ascii="仿宋" w:hAnsi="仿宋" w:eastAsia="仿宋" w:cs="FangSong_GB2312"/>
          <w:b/>
          <w:color w:val="auto"/>
          <w:sz w:val="24"/>
          <w:szCs w:val="21"/>
          <w:highlight w:val="none"/>
        </w:rPr>
        <w:t>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7.19《开标一览表》填写不完整或字迹不能辨认或有漏项的，经评标委员会认定属于重大偏差的；</w:t>
      </w:r>
    </w:p>
    <w:p>
      <w:pPr>
        <w:tabs>
          <w:tab w:val="left" w:pos="3870"/>
          <w:tab w:val="left" w:pos="4085"/>
        </w:tabs>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7.20投标人对根据修正原则修正后的报价不确认的；</w:t>
      </w:r>
    </w:p>
    <w:p>
      <w:pPr>
        <w:tabs>
          <w:tab w:val="left" w:pos="3870"/>
          <w:tab w:val="left" w:pos="4085"/>
        </w:tabs>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7.21投标人提供虚假材料投标的（包括但不限于以下情节）；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7.21.1使用伪造、变造的许可证件；</w:t>
      </w:r>
    </w:p>
    <w:p>
      <w:pPr>
        <w:tabs>
          <w:tab w:val="left" w:pos="3870"/>
          <w:tab w:val="left" w:pos="4085"/>
        </w:tabs>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 xml:space="preserve">    7.21.2提供虚假的财务状况或者业绩；</w:t>
      </w:r>
    </w:p>
    <w:p>
      <w:pPr>
        <w:tabs>
          <w:tab w:val="left" w:pos="3870"/>
          <w:tab w:val="left" w:pos="4085"/>
        </w:tabs>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 xml:space="preserve">    7.21.3提供虚假的项目负责人或者主要技术人员简历、劳动关系证明；</w:t>
      </w:r>
    </w:p>
    <w:p>
      <w:pPr>
        <w:tabs>
          <w:tab w:val="left" w:pos="3870"/>
          <w:tab w:val="left" w:pos="4085"/>
        </w:tabs>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 xml:space="preserve">    7.21.4提供虚假的信用状况；</w:t>
      </w:r>
    </w:p>
    <w:p>
      <w:pPr>
        <w:tabs>
          <w:tab w:val="left" w:pos="3870"/>
          <w:tab w:val="left" w:pos="4085"/>
        </w:tabs>
        <w:snapToGrid w:val="0"/>
        <w:spacing w:line="440" w:lineRule="exact"/>
        <w:ind w:firstLine="480"/>
        <w:jc w:val="left"/>
        <w:rPr>
          <w:rFonts w:ascii="仿宋" w:hAnsi="仿宋" w:eastAsia="仿宋"/>
          <w:color w:val="auto"/>
          <w:sz w:val="24"/>
          <w:highlight w:val="none"/>
        </w:rPr>
      </w:pPr>
      <w:r>
        <w:rPr>
          <w:rFonts w:hint="eastAsia" w:ascii="仿宋" w:hAnsi="仿宋" w:eastAsia="仿宋"/>
          <w:color w:val="auto"/>
          <w:sz w:val="24"/>
          <w:highlight w:val="none"/>
        </w:rPr>
        <w:t>7.21.5其他弄虚作假的行为。</w:t>
      </w:r>
    </w:p>
    <w:p>
      <w:pPr>
        <w:tabs>
          <w:tab w:val="left" w:pos="3870"/>
          <w:tab w:val="left" w:pos="4085"/>
        </w:tabs>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7.22有下列情形之一的，视为投标人串通投标，其投标无效：</w:t>
      </w:r>
    </w:p>
    <w:p>
      <w:pPr>
        <w:tabs>
          <w:tab w:val="left" w:pos="3870"/>
          <w:tab w:val="left" w:pos="4085"/>
        </w:tabs>
        <w:snapToGrid w:val="0"/>
        <w:spacing w:line="440" w:lineRule="exact"/>
        <w:ind w:firstLine="422" w:firstLineChars="176"/>
        <w:jc w:val="left"/>
        <w:rPr>
          <w:rFonts w:ascii="仿宋" w:hAnsi="仿宋" w:eastAsia="仿宋"/>
          <w:color w:val="auto"/>
          <w:sz w:val="24"/>
          <w:highlight w:val="none"/>
        </w:rPr>
      </w:pPr>
      <w:r>
        <w:rPr>
          <w:rFonts w:hint="eastAsia" w:ascii="仿宋" w:hAnsi="仿宋" w:eastAsia="仿宋"/>
          <w:color w:val="auto"/>
          <w:sz w:val="24"/>
          <w:highlight w:val="none"/>
        </w:rPr>
        <w:t>7.22.1不同投标人的投标文件由同一单位或者个人编制；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olor w:val="auto"/>
          <w:sz w:val="24"/>
          <w:highlight w:val="none"/>
        </w:rPr>
      </w:pPr>
      <w:r>
        <w:rPr>
          <w:rFonts w:hint="eastAsia" w:ascii="仿宋" w:hAnsi="仿宋" w:eastAsia="仿宋"/>
          <w:color w:val="auto"/>
          <w:sz w:val="24"/>
          <w:highlight w:val="none"/>
        </w:rPr>
        <w:t>7.22.2不同投标人委托同一单位或者个人办理投标事宜；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olor w:val="auto"/>
          <w:sz w:val="24"/>
          <w:highlight w:val="none"/>
        </w:rPr>
      </w:pPr>
      <w:r>
        <w:rPr>
          <w:rFonts w:hint="eastAsia" w:ascii="仿宋" w:hAnsi="仿宋" w:eastAsia="仿宋"/>
          <w:color w:val="auto"/>
          <w:sz w:val="24"/>
          <w:highlight w:val="none"/>
        </w:rPr>
        <w:t>7.22.3不同投标人的投标文件载明的项目管理成员或者联系人员为同一人；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olor w:val="auto"/>
          <w:sz w:val="24"/>
          <w:highlight w:val="none"/>
        </w:rPr>
      </w:pPr>
      <w:r>
        <w:rPr>
          <w:rFonts w:hint="eastAsia" w:ascii="仿宋" w:hAnsi="仿宋" w:eastAsia="仿宋"/>
          <w:color w:val="auto"/>
          <w:sz w:val="24"/>
          <w:highlight w:val="none"/>
        </w:rPr>
        <w:t>7.22.4不同投标人的投标文件异常一致或者投标报价呈规律性差异；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olor w:val="auto"/>
          <w:sz w:val="24"/>
          <w:highlight w:val="none"/>
        </w:rPr>
      </w:pPr>
      <w:r>
        <w:rPr>
          <w:rFonts w:hint="eastAsia" w:ascii="仿宋" w:hAnsi="仿宋" w:eastAsia="仿宋"/>
          <w:color w:val="auto"/>
          <w:sz w:val="24"/>
          <w:highlight w:val="none"/>
        </w:rPr>
        <w:t>7.22.5不同投标人的投标文件相互混装；</w:t>
      </w:r>
    </w:p>
    <w:p>
      <w:pPr>
        <w:tabs>
          <w:tab w:val="left" w:pos="3870"/>
          <w:tab w:val="left" w:pos="4085"/>
        </w:tabs>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7.23有下列情形之一的，属于恶意串通，其投标无效：</w:t>
      </w:r>
    </w:p>
    <w:p>
      <w:pPr>
        <w:spacing w:line="360" w:lineRule="auto"/>
        <w:ind w:firstLine="480" w:firstLineChars="200"/>
        <w:rPr>
          <w:rFonts w:ascii="仿宋" w:hAnsi="仿宋" w:eastAsia="仿宋" w:cs="FangSong_GB2312"/>
          <w:color w:val="auto"/>
          <w:sz w:val="24"/>
          <w:szCs w:val="21"/>
          <w:highlight w:val="none"/>
        </w:rPr>
      </w:pPr>
      <w:r>
        <w:rPr>
          <w:rFonts w:hint="eastAsia" w:ascii="仿宋" w:hAnsi="仿宋" w:eastAsia="仿宋" w:cs="FangSong_GB2312"/>
          <w:color w:val="auto"/>
          <w:sz w:val="24"/>
          <w:szCs w:val="21"/>
          <w:highlight w:val="none"/>
        </w:rPr>
        <w:t>7.23.1供应商直接或者间接从采购人或者采购机构处获得其他供应商的相关情况并修改其投标文件或者响应文件；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FangSong_GB2312"/>
          <w:color w:val="auto"/>
          <w:sz w:val="24"/>
          <w:szCs w:val="21"/>
          <w:highlight w:val="none"/>
        </w:rPr>
      </w:pPr>
      <w:r>
        <w:rPr>
          <w:rFonts w:hint="eastAsia" w:ascii="仿宋" w:hAnsi="仿宋" w:eastAsia="仿宋" w:cs="FangSong_GB2312"/>
          <w:color w:val="auto"/>
          <w:sz w:val="24"/>
          <w:szCs w:val="21"/>
          <w:highlight w:val="none"/>
        </w:rPr>
        <w:t>7.23.2供应商按照采购人或者采购机构的授意撤换、修改投标文件或者响应文件；</w:t>
      </w:r>
    </w:p>
    <w:p>
      <w:pPr>
        <w:spacing w:line="360" w:lineRule="auto"/>
        <w:ind w:firstLine="480" w:firstLineChars="200"/>
        <w:rPr>
          <w:rFonts w:ascii="仿宋" w:hAnsi="仿宋" w:eastAsia="仿宋" w:cs="FangSong_GB2312"/>
          <w:color w:val="auto"/>
          <w:sz w:val="24"/>
          <w:szCs w:val="21"/>
          <w:highlight w:val="none"/>
        </w:rPr>
      </w:pPr>
      <w:r>
        <w:rPr>
          <w:rFonts w:hint="eastAsia" w:ascii="仿宋" w:hAnsi="仿宋" w:eastAsia="仿宋" w:cs="FangSong_GB2312"/>
          <w:color w:val="auto"/>
          <w:sz w:val="24"/>
          <w:szCs w:val="21"/>
          <w:highlight w:val="none"/>
        </w:rPr>
        <w:t>7.23.3供应商之间协商报价、技术方案等投标文件或者响应文件的实质性内容；</w:t>
      </w:r>
    </w:p>
    <w:p>
      <w:pPr>
        <w:spacing w:line="360" w:lineRule="auto"/>
        <w:ind w:firstLine="480" w:firstLineChars="200"/>
        <w:rPr>
          <w:rFonts w:ascii="仿宋" w:hAnsi="仿宋" w:eastAsia="仿宋" w:cs="FangSong_GB2312"/>
          <w:color w:val="auto"/>
          <w:sz w:val="24"/>
          <w:szCs w:val="21"/>
          <w:highlight w:val="none"/>
        </w:rPr>
      </w:pPr>
      <w:r>
        <w:rPr>
          <w:rFonts w:hint="eastAsia" w:ascii="仿宋" w:hAnsi="仿宋" w:eastAsia="仿宋" w:cs="FangSong_GB2312"/>
          <w:color w:val="auto"/>
          <w:sz w:val="24"/>
          <w:szCs w:val="21"/>
          <w:highlight w:val="none"/>
        </w:rPr>
        <w:t>7.23.4属于同一集团、协会、商会等组织成员的供应商按照该组织要求协同参加政府采购活动；</w:t>
      </w:r>
    </w:p>
    <w:p>
      <w:pPr>
        <w:spacing w:line="360" w:lineRule="auto"/>
        <w:ind w:firstLine="480" w:firstLineChars="200"/>
        <w:rPr>
          <w:rFonts w:ascii="仿宋" w:hAnsi="仿宋" w:eastAsia="仿宋" w:cs="FangSong_GB2312"/>
          <w:color w:val="auto"/>
          <w:sz w:val="24"/>
          <w:szCs w:val="21"/>
          <w:highlight w:val="none"/>
        </w:rPr>
      </w:pPr>
      <w:r>
        <w:rPr>
          <w:rFonts w:hint="eastAsia" w:ascii="仿宋" w:hAnsi="仿宋" w:eastAsia="仿宋" w:cs="FangSong_GB2312"/>
          <w:color w:val="auto"/>
          <w:sz w:val="24"/>
          <w:szCs w:val="21"/>
          <w:highlight w:val="none"/>
        </w:rPr>
        <w:t>7.23.5供应商之间事先约定由某一特定供应商中标、成交；</w:t>
      </w:r>
    </w:p>
    <w:p>
      <w:pPr>
        <w:spacing w:line="360" w:lineRule="auto"/>
        <w:ind w:firstLine="480" w:firstLineChars="200"/>
        <w:rPr>
          <w:rFonts w:ascii="仿宋" w:hAnsi="仿宋" w:eastAsia="仿宋" w:cs="FangSong_GB2312"/>
          <w:color w:val="auto"/>
          <w:sz w:val="24"/>
          <w:szCs w:val="21"/>
          <w:highlight w:val="none"/>
        </w:rPr>
      </w:pPr>
      <w:r>
        <w:rPr>
          <w:rFonts w:hint="eastAsia" w:ascii="仿宋" w:hAnsi="仿宋" w:eastAsia="仿宋" w:cs="FangSong_GB2312"/>
          <w:color w:val="auto"/>
          <w:sz w:val="24"/>
          <w:szCs w:val="21"/>
          <w:highlight w:val="none"/>
        </w:rPr>
        <w:t>7.23.6供应商之间商定部分供应商放弃参加政府采购活动或者放弃中标、成交；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仿宋" w:hAnsi="仿宋" w:eastAsia="仿宋"/>
          <w:b/>
          <w:color w:val="auto"/>
          <w:sz w:val="24"/>
          <w:highlight w:val="none"/>
        </w:rPr>
      </w:pPr>
      <w:r>
        <w:rPr>
          <w:rFonts w:hint="eastAsia" w:ascii="仿宋" w:hAnsi="仿宋" w:eastAsia="仿宋" w:cs="FangSong_GB2312"/>
          <w:color w:val="auto"/>
          <w:sz w:val="24"/>
          <w:szCs w:val="21"/>
          <w:highlight w:val="none"/>
        </w:rPr>
        <w:t>7.23.7供应商与采购人或者采购机构之间、供应商相互之间，为谋求特定供应商中标、成交或者排斥其他供应商的其他串通行为。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b/>
          <w:color w:val="auto"/>
          <w:sz w:val="24"/>
          <w:highlight w:val="none"/>
        </w:rPr>
      </w:pPr>
      <w:r>
        <w:rPr>
          <w:rFonts w:hint="eastAsia" w:ascii="仿宋" w:hAnsi="仿宋" w:eastAsia="仿宋" w:cs="FangSong_GB2312"/>
          <w:b/>
          <w:color w:val="auto"/>
          <w:sz w:val="24"/>
          <w:szCs w:val="21"/>
          <w:highlight w:val="none"/>
        </w:rPr>
        <w:t>7.24</w:t>
      </w:r>
      <w:r>
        <w:rPr>
          <w:rFonts w:hint="eastAsia" w:ascii="仿宋" w:hAnsi="仿宋" w:eastAsia="仿宋"/>
          <w:b/>
          <w:color w:val="auto"/>
          <w:sz w:val="24"/>
          <w:highlight w:val="none"/>
        </w:rPr>
        <w:t>评标委员会认定有重大偏差或实质性不响应招标文件要求的；</w:t>
      </w:r>
    </w:p>
    <w:p>
      <w:pPr>
        <w:tabs>
          <w:tab w:val="left" w:pos="3870"/>
          <w:tab w:val="left" w:pos="4085"/>
        </w:tabs>
        <w:snapToGrid w:val="0"/>
        <w:spacing w:line="440" w:lineRule="exact"/>
        <w:jc w:val="left"/>
        <w:rPr>
          <w:rFonts w:hint="eastAsia" w:ascii="仿宋" w:hAnsi="仿宋" w:eastAsia="仿宋"/>
          <w:b/>
          <w:color w:val="auto"/>
          <w:sz w:val="24"/>
          <w:highlight w:val="none"/>
        </w:rPr>
      </w:pPr>
      <w:r>
        <w:rPr>
          <w:rFonts w:hint="eastAsia" w:ascii="仿宋_GB2312" w:hAnsi="宋体" w:eastAsia="仿宋_GB2312"/>
          <w:b/>
          <w:color w:val="auto"/>
          <w:sz w:val="24"/>
          <w:highlight w:val="none"/>
          <w:lang w:val="en-US" w:eastAsia="zh-CN"/>
        </w:rPr>
        <w:t>7.25</w:t>
      </w:r>
      <w:r>
        <w:rPr>
          <w:rFonts w:hint="eastAsia" w:ascii="仿宋_GB2312" w:hAnsi="宋体" w:eastAsia="仿宋_GB2312"/>
          <w:b/>
          <w:color w:val="auto"/>
          <w:sz w:val="24"/>
          <w:highlight w:val="none"/>
        </w:rPr>
        <w:t>报价文件中出现2个(含)以上的报价或方案的；</w:t>
      </w:r>
    </w:p>
    <w:p>
      <w:pPr>
        <w:snapToGrid w:val="0"/>
        <w:spacing w:line="440" w:lineRule="exact"/>
        <w:rPr>
          <w:rFonts w:hint="eastAsia" w:ascii="仿宋" w:hAnsi="仿宋" w:eastAsia="仿宋"/>
          <w:b/>
          <w:color w:val="auto"/>
          <w:sz w:val="24"/>
          <w:highlight w:val="none"/>
        </w:rPr>
      </w:pPr>
      <w:r>
        <w:rPr>
          <w:rFonts w:hint="eastAsia" w:ascii="仿宋" w:hAnsi="仿宋" w:eastAsia="仿宋"/>
          <w:b/>
          <w:color w:val="auto"/>
          <w:sz w:val="24"/>
          <w:highlight w:val="none"/>
        </w:rPr>
        <w:t>7.2</w:t>
      </w:r>
      <w:r>
        <w:rPr>
          <w:rFonts w:hint="eastAsia" w:ascii="仿宋" w:hAnsi="仿宋" w:eastAsia="仿宋"/>
          <w:b/>
          <w:color w:val="auto"/>
          <w:sz w:val="24"/>
          <w:highlight w:val="none"/>
          <w:lang w:val="en-US" w:eastAsia="zh-CN"/>
        </w:rPr>
        <w:t>6</w:t>
      </w:r>
      <w:r>
        <w:rPr>
          <w:rFonts w:hint="eastAsia" w:ascii="仿宋" w:hAnsi="仿宋" w:eastAsia="仿宋"/>
          <w:b/>
          <w:color w:val="auto"/>
          <w:sz w:val="24"/>
          <w:highlight w:val="none"/>
        </w:rPr>
        <w:t>其他违反法律、法规的情形。</w:t>
      </w:r>
    </w:p>
    <w:p>
      <w:pPr>
        <w:snapToGrid w:val="0"/>
        <w:spacing w:line="440" w:lineRule="exact"/>
        <w:rPr>
          <w:rFonts w:ascii="仿宋" w:hAnsi="仿宋" w:eastAsia="仿宋"/>
          <w:b/>
          <w:color w:val="auto"/>
          <w:kern w:val="0"/>
          <w:sz w:val="24"/>
          <w:highlight w:val="none"/>
        </w:rPr>
      </w:pPr>
      <w:r>
        <w:rPr>
          <w:rFonts w:hint="eastAsia" w:ascii="仿宋" w:hAnsi="仿宋" w:eastAsia="仿宋"/>
          <w:b/>
          <w:color w:val="auto"/>
          <w:kern w:val="0"/>
          <w:sz w:val="24"/>
          <w:highlight w:val="none"/>
        </w:rPr>
        <w:t>8. 评标过程保密</w:t>
      </w:r>
    </w:p>
    <w:p>
      <w:pPr>
        <w:snapToGrid w:val="0"/>
        <w:spacing w:line="440" w:lineRule="exact"/>
        <w:rPr>
          <w:rFonts w:ascii="仿宋" w:hAnsi="仿宋" w:eastAsia="仿宋"/>
          <w:color w:val="auto"/>
          <w:kern w:val="0"/>
          <w:sz w:val="24"/>
          <w:highlight w:val="none"/>
        </w:rPr>
      </w:pPr>
      <w:r>
        <w:rPr>
          <w:rFonts w:hint="eastAsia" w:ascii="仿宋" w:hAnsi="仿宋" w:eastAsia="仿宋"/>
          <w:color w:val="auto"/>
          <w:kern w:val="0"/>
          <w:sz w:val="24"/>
          <w:highlight w:val="none"/>
        </w:rPr>
        <w:t>8.1</w:t>
      </w:r>
      <w:r>
        <w:rPr>
          <w:rFonts w:hint="eastAsia" w:ascii="仿宋" w:hAnsi="仿宋" w:eastAsia="仿宋" w:cs="FangSong_GB2312"/>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ascii="仿宋" w:hAnsi="仿宋" w:eastAsia="仿宋"/>
          <w:color w:val="auto"/>
          <w:kern w:val="0"/>
          <w:sz w:val="24"/>
          <w:highlight w:val="none"/>
        </w:rPr>
      </w:pPr>
      <w:r>
        <w:rPr>
          <w:rFonts w:hint="eastAsia" w:ascii="仿宋" w:hAnsi="仿宋" w:eastAsia="仿宋"/>
          <w:color w:val="auto"/>
          <w:kern w:val="0"/>
          <w:sz w:val="24"/>
          <w:highlight w:val="none"/>
        </w:rPr>
        <w:t>8.2 在评标期间，投标人企图影响招标人或</w:t>
      </w:r>
      <w:r>
        <w:rPr>
          <w:rFonts w:hint="eastAsia" w:ascii="仿宋" w:hAnsi="仿宋" w:eastAsia="仿宋"/>
          <w:color w:val="auto"/>
          <w:sz w:val="24"/>
          <w:highlight w:val="none"/>
        </w:rPr>
        <w:t>评标委员会</w:t>
      </w:r>
      <w:r>
        <w:rPr>
          <w:rFonts w:hint="eastAsia" w:ascii="仿宋" w:hAnsi="仿宋" w:eastAsia="仿宋"/>
          <w:color w:val="auto"/>
          <w:kern w:val="0"/>
          <w:sz w:val="24"/>
          <w:highlight w:val="none"/>
        </w:rPr>
        <w:t>的任何活动，都将导致投标被拒绝，并由其承担相应的法律责任。</w:t>
      </w:r>
    </w:p>
    <w:p>
      <w:pPr>
        <w:pStyle w:val="21"/>
        <w:spacing w:line="800" w:lineRule="exact"/>
        <w:ind w:firstLine="726"/>
        <w:jc w:val="center"/>
        <w:rPr>
          <w:rFonts w:ascii="仿宋" w:hAnsi="仿宋" w:eastAsia="仿宋"/>
          <w:b/>
          <w:color w:val="auto"/>
          <w:sz w:val="36"/>
          <w:szCs w:val="36"/>
          <w:highlight w:val="none"/>
        </w:rPr>
      </w:pPr>
      <w:bookmarkStart w:id="3" w:name="_Toc81372776"/>
      <w:bookmarkStart w:id="4" w:name="_Toc84325929"/>
      <w:bookmarkStart w:id="5" w:name="_Toc81372953"/>
      <w:r>
        <w:rPr>
          <w:rFonts w:hint="eastAsia" w:ascii="仿宋" w:hAnsi="仿宋" w:eastAsia="仿宋"/>
          <w:b/>
          <w:color w:val="auto"/>
          <w:sz w:val="36"/>
          <w:szCs w:val="36"/>
          <w:highlight w:val="none"/>
        </w:rPr>
        <w:t>五、授予合同</w:t>
      </w:r>
    </w:p>
    <w:p>
      <w:pPr>
        <w:pStyle w:val="13"/>
        <w:tabs>
          <w:tab w:val="clear" w:pos="454"/>
        </w:tabs>
        <w:spacing w:afterLines="0" w:line="440" w:lineRule="exact"/>
        <w:ind w:left="0" w:firstLine="0"/>
        <w:rPr>
          <w:rFonts w:ascii="仿宋" w:hAnsi="仿宋" w:eastAsia="仿宋"/>
          <w:b/>
          <w:color w:val="auto"/>
          <w:szCs w:val="24"/>
          <w:highlight w:val="none"/>
        </w:rPr>
      </w:pPr>
      <w:r>
        <w:rPr>
          <w:rFonts w:hint="eastAsia" w:ascii="仿宋" w:hAnsi="仿宋" w:eastAsia="仿宋"/>
          <w:b/>
          <w:color w:val="auto"/>
          <w:szCs w:val="24"/>
          <w:highlight w:val="none"/>
        </w:rPr>
        <w:t>1.中标条件</w:t>
      </w:r>
    </w:p>
    <w:p>
      <w:pPr>
        <w:pStyle w:val="13"/>
        <w:tabs>
          <w:tab w:val="clear" w:pos="454"/>
        </w:tabs>
        <w:spacing w:afterLines="0" w:line="440" w:lineRule="exact"/>
        <w:ind w:left="0" w:firstLine="0"/>
        <w:rPr>
          <w:rFonts w:ascii="仿宋" w:hAnsi="仿宋" w:eastAsia="仿宋"/>
          <w:color w:val="auto"/>
          <w:szCs w:val="24"/>
          <w:highlight w:val="none"/>
        </w:rPr>
      </w:pPr>
      <w:r>
        <w:rPr>
          <w:rFonts w:hint="eastAsia" w:ascii="仿宋" w:hAnsi="仿宋" w:eastAsia="仿宋"/>
          <w:color w:val="auto"/>
          <w:szCs w:val="24"/>
          <w:highlight w:val="none"/>
        </w:rPr>
        <w:t>1.1投标文件基本符合招标文件要求；</w:t>
      </w:r>
    </w:p>
    <w:p>
      <w:pPr>
        <w:pStyle w:val="13"/>
        <w:tabs>
          <w:tab w:val="clear" w:pos="454"/>
        </w:tabs>
        <w:spacing w:afterLines="0" w:line="440" w:lineRule="exact"/>
        <w:ind w:left="0" w:firstLine="0"/>
        <w:rPr>
          <w:rFonts w:ascii="仿宋" w:hAnsi="仿宋" w:eastAsia="仿宋"/>
          <w:color w:val="auto"/>
          <w:szCs w:val="24"/>
          <w:highlight w:val="none"/>
        </w:rPr>
      </w:pPr>
      <w:r>
        <w:rPr>
          <w:rFonts w:hint="eastAsia" w:ascii="仿宋" w:hAnsi="仿宋" w:eastAsia="仿宋"/>
          <w:color w:val="auto"/>
          <w:szCs w:val="24"/>
          <w:highlight w:val="none"/>
        </w:rPr>
        <w:t>1.2投标人有很好的执行合同的能力；</w:t>
      </w:r>
    </w:p>
    <w:p>
      <w:pPr>
        <w:pStyle w:val="13"/>
        <w:tabs>
          <w:tab w:val="clear" w:pos="454"/>
        </w:tabs>
        <w:spacing w:afterLines="0" w:line="440" w:lineRule="exact"/>
        <w:ind w:left="0" w:firstLine="0"/>
        <w:rPr>
          <w:rFonts w:ascii="仿宋" w:hAnsi="仿宋" w:eastAsia="仿宋"/>
          <w:color w:val="auto"/>
          <w:szCs w:val="24"/>
          <w:highlight w:val="none"/>
        </w:rPr>
      </w:pPr>
      <w:r>
        <w:rPr>
          <w:rFonts w:hint="eastAsia" w:ascii="仿宋" w:hAnsi="仿宋" w:eastAsia="仿宋"/>
          <w:color w:val="auto"/>
          <w:szCs w:val="24"/>
          <w:highlight w:val="none"/>
        </w:rPr>
        <w:t>1.3实施方案最合理并对招标人最为有利，最大限度满足招标文件的要求；</w:t>
      </w:r>
    </w:p>
    <w:p>
      <w:pPr>
        <w:pStyle w:val="13"/>
        <w:tabs>
          <w:tab w:val="clear" w:pos="454"/>
        </w:tabs>
        <w:spacing w:afterLines="0" w:line="440" w:lineRule="exact"/>
        <w:ind w:left="0" w:firstLine="0"/>
        <w:rPr>
          <w:rFonts w:ascii="仿宋" w:hAnsi="仿宋" w:eastAsia="仿宋"/>
          <w:color w:val="auto"/>
          <w:szCs w:val="24"/>
          <w:highlight w:val="none"/>
        </w:rPr>
      </w:pPr>
      <w:r>
        <w:rPr>
          <w:rFonts w:hint="eastAsia" w:ascii="仿宋" w:hAnsi="仿宋" w:eastAsia="仿宋"/>
          <w:color w:val="auto"/>
          <w:szCs w:val="24"/>
          <w:highlight w:val="none"/>
        </w:rPr>
        <w:t>1.4投标人能够提供质量技术、商务经济占综合优势的系统及服务。</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1.5招标人将把中标通知书授予最佳投标者，但最低价不是中标的绝对保证。</w:t>
      </w:r>
    </w:p>
    <w:p>
      <w:pPr>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2.中标确认</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2.1采购人应当自收到评标报告之日起５个工作日内，在评标报告确定的中标候选人名单中按顺序确定中标人。</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2.2采购人在收到评标报告5个工作日内未按评标报告推荐的中标候选人顺序确定中标人，视同按评标报告推荐的顺序确定的中标候选人为中标人。</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2.3采购人应在确认中标人前再次对资格条件和相关证件材料进一步查验核实。</w:t>
      </w:r>
    </w:p>
    <w:p>
      <w:pPr>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3．中标通知</w:t>
      </w:r>
    </w:p>
    <w:bookmarkEnd w:id="3"/>
    <w:bookmarkEnd w:id="4"/>
    <w:bookmarkEnd w:id="5"/>
    <w:p>
      <w:pPr>
        <w:pStyle w:val="147"/>
        <w:tabs>
          <w:tab w:val="left" w:pos="0"/>
        </w:tabs>
        <w:spacing w:before="0" w:line="440" w:lineRule="exact"/>
        <w:ind w:firstLine="0" w:firstLineChars="0"/>
        <w:rPr>
          <w:rFonts w:ascii="仿宋" w:hAnsi="仿宋" w:eastAsia="仿宋"/>
          <w:color w:val="auto"/>
          <w:szCs w:val="24"/>
          <w:highlight w:val="none"/>
        </w:rPr>
      </w:pPr>
      <w:r>
        <w:rPr>
          <w:rFonts w:hint="eastAsia" w:ascii="仿宋" w:hAnsi="仿宋" w:eastAsia="仿宋"/>
          <w:color w:val="auto"/>
          <w:szCs w:val="24"/>
          <w:highlight w:val="none"/>
        </w:rPr>
        <w:t>3.1</w:t>
      </w:r>
      <w:r>
        <w:rPr>
          <w:rFonts w:hint="eastAsia" w:ascii="仿宋" w:hAnsi="仿宋" w:eastAsia="仿宋" w:cs="Helvetica"/>
          <w:color w:val="auto"/>
          <w:kern w:val="0"/>
          <w:highlight w:val="none"/>
        </w:rPr>
        <w:t>采购代理机构</w:t>
      </w:r>
      <w:r>
        <w:rPr>
          <w:rFonts w:hint="eastAsia" w:ascii="仿宋" w:hAnsi="仿宋" w:eastAsia="仿宋"/>
          <w:color w:val="auto"/>
          <w:highlight w:val="none"/>
        </w:rPr>
        <w:t>对中标结果在指定媒体</w:t>
      </w:r>
      <w:r>
        <w:rPr>
          <w:rFonts w:hint="eastAsia" w:ascii="仿宋" w:hAnsi="仿宋" w:eastAsia="仿宋" w:cs="Helvetica"/>
          <w:color w:val="auto"/>
          <w:kern w:val="0"/>
          <w:highlight w:val="none"/>
        </w:rPr>
        <w:t>发布中标公告，中标公告期限为1个工作日。</w:t>
      </w:r>
    </w:p>
    <w:p>
      <w:pPr>
        <w:tabs>
          <w:tab w:val="left" w:pos="0"/>
        </w:tabs>
        <w:spacing w:line="440" w:lineRule="exact"/>
        <w:rPr>
          <w:rFonts w:ascii="仿宋" w:hAnsi="仿宋" w:eastAsia="仿宋" w:cs="FangSong_GB2312"/>
          <w:color w:val="auto"/>
          <w:kern w:val="0"/>
          <w:sz w:val="24"/>
          <w:highlight w:val="none"/>
          <w:lang w:val="zh-CN"/>
        </w:rPr>
      </w:pPr>
      <w:r>
        <w:rPr>
          <w:rFonts w:hint="eastAsia" w:ascii="仿宋" w:hAnsi="仿宋" w:eastAsia="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FangSong_GB2312"/>
          <w:color w:val="auto"/>
          <w:kern w:val="0"/>
          <w:sz w:val="24"/>
          <w:highlight w:val="none"/>
          <w:lang w:val="zh-CN"/>
        </w:rPr>
        <w:t>。</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3.3采购代理机构对中标结果不作任何说明和解释，也不回答任何提问。</w:t>
      </w:r>
    </w:p>
    <w:p>
      <w:pPr>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4．履约保证金</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4.1采购人在签订合同时，按合同法规定可向中标人收取不高于中标额的5％的履约保证金，采购人不得以供应商事先提交履约保证金作为签订合同的条件。鼓励采购人根据项目特点、供应商诚信等情况免收履约保证金或降低缴纳比例。</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4.2供应商在履行完合同约定事项后，采购人应及时退还履约保证金。</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4.3供应商以银行、保险公司出具保函形式提交履约保证金的，采购人不得拒收。</w:t>
      </w:r>
    </w:p>
    <w:p>
      <w:pPr>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5．合同备案</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5.1中标人应当在中标通知书发出之日起30天内与采购人签订合同，自采购合同签订之日起</w:t>
      </w:r>
      <w:r>
        <w:rPr>
          <w:rFonts w:hint="eastAsia" w:ascii="仿宋" w:hAnsi="仿宋" w:eastAsia="仿宋"/>
          <w:b/>
          <w:color w:val="auto"/>
          <w:sz w:val="24"/>
          <w:highlight w:val="none"/>
        </w:rPr>
        <w:t>3个工作日内</w:t>
      </w:r>
      <w:r>
        <w:rPr>
          <w:rFonts w:hint="eastAsia" w:ascii="仿宋" w:hAnsi="仿宋" w:eastAsia="仿宋"/>
          <w:color w:val="auto"/>
          <w:sz w:val="24"/>
          <w:highlight w:val="none"/>
        </w:rPr>
        <w:t>，将</w:t>
      </w:r>
      <w:r>
        <w:rPr>
          <w:rFonts w:hint="eastAsia" w:ascii="仿宋" w:hAnsi="仿宋" w:eastAsia="仿宋"/>
          <w:b/>
          <w:color w:val="auto"/>
          <w:sz w:val="24"/>
          <w:highlight w:val="none"/>
        </w:rPr>
        <w:t>采购合同原件</w:t>
      </w:r>
      <w:r>
        <w:rPr>
          <w:rFonts w:hint="eastAsia" w:ascii="仿宋" w:hAnsi="仿宋" w:eastAsia="仿宋"/>
          <w:color w:val="auto"/>
          <w:sz w:val="24"/>
          <w:highlight w:val="none"/>
        </w:rPr>
        <w:t>报采购代理机构备案。</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5.2未领取中标通知书，采购双方自行签订的合同不予备案。</w:t>
      </w:r>
    </w:p>
    <w:p>
      <w:pPr>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6.验收</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6.2采购人可以邀请参加本项目的其他投标人或者第三方机构参与验收。参与验收的投标人或者第三方机构的意见作为验收书的参考资料一并存档。</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7. 售后服务考核</w:t>
      </w:r>
    </w:p>
    <w:p>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napToGrid w:val="0"/>
        <w:spacing w:line="800" w:lineRule="exact"/>
        <w:jc w:val="center"/>
        <w:outlineLvl w:val="0"/>
        <w:rPr>
          <w:rFonts w:ascii="仿宋" w:hAnsi="仿宋" w:eastAsia="仿宋" w:cs="FangSong_GB2312"/>
          <w:b/>
          <w:color w:val="auto"/>
          <w:sz w:val="36"/>
          <w:szCs w:val="36"/>
          <w:highlight w:val="none"/>
        </w:rPr>
      </w:pPr>
      <w:r>
        <w:rPr>
          <w:rFonts w:hint="eastAsia" w:ascii="仿宋" w:hAnsi="仿宋" w:eastAsia="仿宋" w:cs="FangSong_GB2312"/>
          <w:b/>
          <w:color w:val="auto"/>
          <w:sz w:val="36"/>
          <w:szCs w:val="36"/>
          <w:highlight w:val="none"/>
        </w:rPr>
        <w:t>六、质疑与投诉</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微软雅黑"/>
          <w:b/>
          <w:color w:val="auto"/>
          <w:kern w:val="0"/>
          <w:sz w:val="24"/>
          <w:highlight w:val="none"/>
          <w:lang w:val="zh-CN"/>
        </w:rPr>
      </w:pPr>
      <w:r>
        <w:rPr>
          <w:rFonts w:hint="eastAsia" w:ascii="仿宋" w:hAnsi="仿宋" w:eastAsia="仿宋" w:cs="微软雅黑"/>
          <w:b/>
          <w:color w:val="auto"/>
          <w:kern w:val="0"/>
          <w:sz w:val="24"/>
          <w:highlight w:val="none"/>
          <w:lang w:val="zh-CN"/>
        </w:rPr>
        <w:t>1.供应商询问</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微软雅黑"/>
          <w:b/>
          <w:color w:val="auto"/>
          <w:kern w:val="0"/>
          <w:sz w:val="24"/>
          <w:highlight w:val="none"/>
          <w:lang w:val="zh-CN"/>
        </w:rPr>
      </w:pPr>
      <w:r>
        <w:rPr>
          <w:rFonts w:hint="eastAsia" w:ascii="仿宋" w:hAnsi="仿宋" w:eastAsia="仿宋" w:cs="微软雅黑"/>
          <w:b/>
          <w:color w:val="auto"/>
          <w:kern w:val="0"/>
          <w:sz w:val="24"/>
          <w:highlight w:val="none"/>
          <w:lang w:val="zh-CN"/>
        </w:rPr>
        <w:t>2.供应商质疑</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2.1供应商认为采购文件、采购过程和成交结果使自己的权益受到损害的，可以在知道或者应知其权益受到损害之日起七个工作日内，以书面形式向采购机构提出质疑，否则，采购机构不予受理：</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（2）对采购过程提出质疑的，质疑期限为各采购程序环节结束之日起计算。</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（3）对采购结果提出质疑的，质疑期限自采购结果公告（包括公示、预公告、结果变更公告等）期限届满之日起计算。</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（4）供应商应在法定质疑期内一次性提出针对同一采购程序环节的质疑。</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3.供应商提交的质疑书需一式三份，质疑书至少应包括下列主要内容：</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（1）质疑人的名称、地址、邮政编码、联系人、联系电话，以及被质疑人名称及联系方式；</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（2）被质疑采购项目名称、编号及采购内容；</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（3）具体、明确的质疑事项和与质疑事项相关的请求</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（4）事实依据；</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（5）必要的法律依据；</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（6）认为自己合法权益受到损害或可能受到损害的相关证据材料；</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（7）提出质疑的日期。</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 质疑书应当署名。质疑人为自然人的，应当由本人签字并附有效身份证明；质疑人为法人或其他组织的，应当由法定代表人或主要负责人签字（或盖章）并加盖单位公章。</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 质疑人因故不能自行办理质疑事项的，可以委托代理人办理质疑事宜，但应当向被质疑人提交授权委托书，并载明委托代理的具体权限和事项。</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（10）质疑人提供的相关材料中有外文资料的，应当将与质疑相关的外文资料完整、客观、真实地翻译为中文，并注明翻译人员姓名、工作单位、联系方式等信息。</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4.采购机构应当在收到供应商的书面质疑后七个工作日内作出答复，并以书面形式通知质疑供应商和其他与质疑处理结果有利害关系的政府采购当事人，但答复的内容不得涉及商业秘密。</w:t>
      </w:r>
    </w:p>
    <w:p>
      <w:pPr>
        <w:pStyle w:val="21"/>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5.询问或者质疑事项可能影响采购结果的，采购人应当暂停签订合同，已经签订合同的，应当中止履行合同。</w:t>
      </w:r>
    </w:p>
    <w:p>
      <w:pPr>
        <w:snapToGrid w:val="0"/>
        <w:spacing w:line="800" w:lineRule="exact"/>
        <w:jc w:val="center"/>
        <w:rPr>
          <w:rFonts w:ascii="仿宋" w:hAnsi="仿宋" w:eastAsia="仿宋"/>
          <w:b/>
          <w:color w:val="auto"/>
          <w:sz w:val="36"/>
          <w:szCs w:val="36"/>
          <w:highlight w:val="none"/>
        </w:rPr>
      </w:pPr>
    </w:p>
    <w:p>
      <w:pPr>
        <w:snapToGrid w:val="0"/>
        <w:spacing w:line="800" w:lineRule="exact"/>
        <w:jc w:val="center"/>
        <w:rPr>
          <w:rFonts w:ascii="仿宋" w:hAnsi="仿宋" w:eastAsia="仿宋"/>
          <w:b/>
          <w:color w:val="auto"/>
          <w:sz w:val="36"/>
          <w:szCs w:val="36"/>
          <w:highlight w:val="none"/>
        </w:rPr>
      </w:pPr>
    </w:p>
    <w:p>
      <w:pPr>
        <w:snapToGrid w:val="0"/>
        <w:spacing w:line="800" w:lineRule="exact"/>
        <w:jc w:val="center"/>
        <w:rPr>
          <w:rFonts w:ascii="仿宋" w:hAnsi="仿宋" w:eastAsia="仿宋"/>
          <w:b/>
          <w:color w:val="auto"/>
          <w:sz w:val="36"/>
          <w:szCs w:val="36"/>
          <w:highlight w:val="none"/>
        </w:rPr>
      </w:pPr>
    </w:p>
    <w:p>
      <w:pPr>
        <w:pageBreakBefore/>
        <w:snapToGrid w:val="0"/>
        <w:spacing w:line="800" w:lineRule="exact"/>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第三部分 招标项目范围及要求</w:t>
      </w:r>
    </w:p>
    <w:p>
      <w:pPr>
        <w:numPr>
          <w:ilvl w:val="0"/>
          <w:numId w:val="0"/>
        </w:numPr>
        <w:spacing w:line="360" w:lineRule="auto"/>
        <w:rPr>
          <w:rFonts w:hint="eastAsia" w:ascii="仿宋" w:hAnsi="仿宋" w:eastAsia="仿宋"/>
          <w:b/>
          <w:color w:val="auto"/>
          <w:sz w:val="24"/>
          <w:highlight w:val="none"/>
        </w:rPr>
      </w:pPr>
      <w:bookmarkStart w:id="6" w:name="_Toc151354173"/>
      <w:bookmarkStart w:id="7" w:name="_Toc81372964"/>
      <w:bookmarkStart w:id="8" w:name="_Toc81372787"/>
      <w:bookmarkStart w:id="9" w:name="_Toc80157775"/>
      <w:bookmarkStart w:id="10" w:name="_Toc84325981"/>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招标项目设备名称及数量：</w:t>
      </w:r>
    </w:p>
    <w:p>
      <w:pPr>
        <w:numPr>
          <w:ilvl w:val="0"/>
          <w:numId w:val="0"/>
        </w:numPr>
        <w:spacing w:line="360" w:lineRule="auto"/>
        <w:rPr>
          <w:rFonts w:hint="eastAsia" w:ascii="仿宋" w:hAnsi="仿宋" w:eastAsia="仿宋"/>
          <w:b/>
          <w:color w:val="auto"/>
          <w:sz w:val="24"/>
          <w:highlight w:val="none"/>
        </w:rPr>
      </w:pPr>
      <w:r>
        <w:rPr>
          <w:rFonts w:hint="eastAsia" w:ascii="仿宋" w:hAnsi="仿宋" w:eastAsia="仿宋" w:cs="仿宋"/>
          <w:b/>
          <w:color w:val="auto"/>
          <w:sz w:val="24"/>
          <w:szCs w:val="24"/>
          <w:highlight w:val="none"/>
          <w:lang w:eastAsia="zh-CN"/>
        </w:rPr>
        <w:t>绍兴市中医院2021-2023年度食堂大宗食品用品配送准入项目</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总</w:t>
      </w:r>
      <w:r>
        <w:rPr>
          <w:rFonts w:hint="eastAsia" w:ascii="仿宋" w:hAnsi="仿宋" w:eastAsia="仿宋" w:cs="仿宋"/>
          <w:b/>
          <w:color w:val="auto"/>
          <w:sz w:val="24"/>
          <w:szCs w:val="24"/>
          <w:highlight w:val="none"/>
        </w:rPr>
        <w:t>上限价：</w:t>
      </w:r>
      <w:r>
        <w:rPr>
          <w:rFonts w:hint="eastAsia" w:ascii="仿宋" w:hAnsi="仿宋" w:eastAsia="仿宋" w:cs="仿宋"/>
          <w:b/>
          <w:color w:val="auto"/>
          <w:sz w:val="24"/>
          <w:szCs w:val="24"/>
          <w:highlight w:val="none"/>
          <w:lang w:val="en-US" w:eastAsia="zh-CN"/>
        </w:rPr>
        <w:t>960</w:t>
      </w:r>
      <w:r>
        <w:rPr>
          <w:rFonts w:hint="eastAsia" w:ascii="仿宋" w:hAnsi="仿宋" w:eastAsia="仿宋" w:cs="仿宋"/>
          <w:b/>
          <w:color w:val="auto"/>
          <w:sz w:val="24"/>
          <w:szCs w:val="24"/>
          <w:highlight w:val="none"/>
        </w:rPr>
        <w:t>万元</w:t>
      </w:r>
      <w:bookmarkStart w:id="11" w:name="_Toc523038542"/>
      <w:bookmarkStart w:id="12" w:name="_Toc50348104"/>
      <w:bookmarkStart w:id="13" w:name="_Toc20727508"/>
      <w:bookmarkStart w:id="14" w:name="_Toc519934413"/>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01标：粮油类、调味品及日用品类，上限价260万元，02标：菜蔬类，上限价700万元</w:t>
      </w:r>
      <w:r>
        <w:rPr>
          <w:rFonts w:hint="eastAsia" w:ascii="仿宋" w:hAnsi="仿宋" w:eastAsia="仿宋" w:cs="仿宋"/>
          <w:b/>
          <w:color w:val="auto"/>
          <w:sz w:val="24"/>
          <w:szCs w:val="24"/>
          <w:highlight w:val="none"/>
          <w:lang w:eastAsia="zh-CN"/>
        </w:rPr>
        <w:t>。</w:t>
      </w:r>
      <w:bookmarkEnd w:id="11"/>
      <w:bookmarkEnd w:id="12"/>
      <w:bookmarkEnd w:id="13"/>
      <w:bookmarkEnd w:id="14"/>
    </w:p>
    <w:p>
      <w:pPr>
        <w:numPr>
          <w:ilvl w:val="0"/>
          <w:numId w:val="0"/>
        </w:num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一、项目预算</w:t>
      </w:r>
    </w:p>
    <w:tbl>
      <w:tblPr>
        <w:tblStyle w:val="39"/>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884"/>
        <w:gridCol w:w="4279"/>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标项</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标段名称及数量</w:t>
            </w:r>
          </w:p>
          <w:p>
            <w:pPr>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（详见招标文件）</w:t>
            </w:r>
          </w:p>
        </w:tc>
        <w:tc>
          <w:tcPr>
            <w:tcW w:w="427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采购说明</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01标</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粮油类、调味品及日用品类</w:t>
            </w:r>
          </w:p>
        </w:tc>
        <w:tc>
          <w:tcPr>
            <w:tcW w:w="42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含大米、面粉、食用油、调味品、禽蛋类、干货、一次性餐具、洗洁精、炊具、成品牛奶等</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02标</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菜蔬类</w:t>
            </w:r>
          </w:p>
        </w:tc>
        <w:tc>
          <w:tcPr>
            <w:tcW w:w="42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含蔬菜、鲜活水产类、鲜活家禽类、鲜猪（牛）肉、豆制品、冰冻类等</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700</w:t>
            </w:r>
          </w:p>
        </w:tc>
      </w:tr>
    </w:tbl>
    <w:p>
      <w:pPr>
        <w:snapToGrid w:val="0"/>
        <w:spacing w:line="44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01标 粮油类、调味品及日用品类主要技术参数要求（服务要求）</w:t>
      </w:r>
    </w:p>
    <w:tbl>
      <w:tblPr>
        <w:tblStyle w:val="39"/>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认可本项目“所有配送商品价格按照越城区教育网上公示指导价计价，寒暑假期间配送的商品价格以越城区教育网最后一次网上公示指导价计价”的定价。寒暑假期间如上下浮动超过10%，参照绍兴E价通（http://jgjg.sx.gov.cn/）大江农贸市场公布的市场价为基础，在设定范围内下浮，事先需提出书面申请报院方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 大米必须符合GB1354-2018标准，具有SC食品质量安全生产许可证；必须是当年或当期新米，达到优质大米质量指标；提供批次产品检验合格报告。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 面粉、食用油必须具有SC食品质量安全生产许可证，有监督部门提供的检测报告，要有生产日期、保质期、净重等标识。产品在常温下交货时的剩余保质期应不低于2/3日期。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1.4禽鲜蛋要求新鲜，质量及其标识应符合国家标准，并提供相关的有效证件，可追溯来源。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调味品干货产品必须具有SC食品生产许可证，有监督部门提供的检测报告，要有生产日期、保质期、净重等标识。干货产品必须由正规厂家生产的名牌信得过产品。产品在常温下交货时的剩余保质期不低于2/3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1.6日用品类在绍兴地区必须具有实际经营配送点，经营范围含食品、农产品、日用百货等品类等，所有食堂用品质量必须达到合格，符合国家相关标准。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122" w:type="dxa"/>
            <w:noWrap w:val="0"/>
            <w:vAlign w:val="top"/>
          </w:tcPr>
          <w:p>
            <w:pPr>
              <w:snapToGrid w:val="0"/>
              <w:spacing w:line="440" w:lineRule="exact"/>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2经营要求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配送企业应足额、及时将食品配送至食堂。为确保食堂运营，食堂提前1天（下午3：00前），向配送企业网上提交订货计划，说明购货品种、规格、数量及其它需要说明的事项。配送企业必须每天上午10:00-11:00之间将采购食品用品配送到位医院指定区域。如遇特殊情况，双方必须提前协商解决，如未按要求送达，第一次扣保证金2000元，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3.1配送企业要做到制度完善，证照齐全，用工规范，文明配送；自觉协调关系，妥善解决发生的问题和困难；自觉接受院方及有关职能部门的监督和指导。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3.2配送企业应具有食品生产许可证或食品流通许可证、配送人员身份证明，且具备较强的供货能力、良好的信誉及售后服务能力。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3.3所有配送产品必须证照齐全，源头可查。在配送食品中，配送企业应主动提供相应的单证：农药残留量检测报告、质量检测报告、产品检验报告、代理授权证明、区域性知名品牌等证明。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3.4运输须使用符合国家卫生标准的专用运载工具，车辆必须保持清洁、卫生，使用前后要清洗消毒。配送企业必须自备运输工具运送至指定点地点。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3.5、所有配送产品必须经采购方验收人员验收后方可离开；后期补给品种至少经验收人员验收并签字方可；严禁发生货到即走，无人验收的现象。对验收不合格的产品，必须2小时之内换货。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★3.6配送企业提供食品验收衡量工具（如电子称等），根据医院智慧食堂系统开发情况，与医院同步做好相应配合工作。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4.1配送企业如转包或变相转包，一经查实，扣除全部保证金，</w:t>
            </w:r>
            <w:r>
              <w:rPr>
                <w:rFonts w:hint="eastAsia" w:ascii="仿宋" w:hAnsi="仿宋" w:eastAsia="仿宋" w:cs="仿宋"/>
                <w:color w:val="auto"/>
                <w:sz w:val="21"/>
                <w:szCs w:val="21"/>
                <w:highlight w:val="none"/>
                <w:lang w:eastAsia="zh-CN"/>
              </w:rPr>
              <w:t>采购人有权</w:t>
            </w:r>
            <w:r>
              <w:rPr>
                <w:rFonts w:hint="eastAsia" w:ascii="仿宋" w:hAnsi="仿宋" w:eastAsia="仿宋" w:cs="仿宋"/>
                <w:color w:val="auto"/>
                <w:sz w:val="21"/>
                <w:szCs w:val="21"/>
                <w:highlight w:val="none"/>
              </w:rPr>
              <w:t>取消配送资格。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配送企业应自觉接受市场监督管理、农业、质监等部门的检查和检测。配送的大宗食品质量低于投标承诺质量的，经查实后将视情节作出以下处罚：一是配送价格按性价比同比例下降；二是罚扣保证金5000元。凡一个年度内，市、区市场监督局抽检有不合格的，按</w:t>
            </w:r>
            <w:r>
              <w:rPr>
                <w:rFonts w:hint="eastAsia" w:ascii="仿宋" w:hAnsi="仿宋" w:eastAsia="仿宋" w:cs="仿宋"/>
                <w:color w:val="auto"/>
                <w:sz w:val="21"/>
                <w:szCs w:val="21"/>
                <w:highlight w:val="none"/>
                <w:lang w:eastAsia="zh-CN"/>
              </w:rPr>
              <w:t>国家食品安全法等</w:t>
            </w:r>
            <w:r>
              <w:rPr>
                <w:rFonts w:hint="eastAsia" w:ascii="仿宋" w:hAnsi="仿宋" w:eastAsia="仿宋" w:cs="仿宋"/>
                <w:color w:val="auto"/>
                <w:sz w:val="21"/>
                <w:szCs w:val="21"/>
                <w:highlight w:val="none"/>
              </w:rPr>
              <w:t>相关</w:t>
            </w:r>
            <w:r>
              <w:rPr>
                <w:rFonts w:hint="eastAsia" w:ascii="仿宋" w:hAnsi="仿宋" w:eastAsia="仿宋" w:cs="仿宋"/>
                <w:color w:val="auto"/>
                <w:sz w:val="21"/>
                <w:szCs w:val="21"/>
                <w:highlight w:val="none"/>
                <w:lang w:eastAsia="zh-CN"/>
              </w:rPr>
              <w:t>法律、法规</w:t>
            </w:r>
            <w:r>
              <w:rPr>
                <w:rFonts w:hint="eastAsia" w:ascii="仿宋" w:hAnsi="仿宋" w:eastAsia="仿宋" w:cs="仿宋"/>
                <w:color w:val="auto"/>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4.3配送企业配送的大宗食品出现质量、数量不符合要求及价格虚高等现象，医院有责任要求配送企业及时退换；若无有效配合，每查实一次扣除保证金2000元。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5.1因质量问题造成食物中毒或其它安全责任事故的，配送企业独立承担一切法律责任和经济责任，没收履约保证金，双方合同自行终止，并追究由此造成的一切损失。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5.2配送过程中发生的任何安全事故等均由配送企业独立承担责任。无条件接受采购方政策层面提出的相关要求。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5.3配送企业在院内运输物品，应服从指挥，确保安全。由此造成的安全事故及采购方相关财产损失，配送企业独立承担一切刑事、民事责任。进入院内所产生的相关费用由配送企业自行承担。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5.4配送中所涉运输、装卸、税收及其他相应规费由配送企业自行承担；所需证、照等均由配送企业自行办理。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4.5严肃财经纪律，加强廉政建设，经查实发现有受贿、行贿现象，取消配送资格，相关人员按情节轻重作出相应处分或处罚；触犯刑律的，依法追究法律责任。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6、货款结付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配送货款实行一月一结，财务入账后，1个月内支付。</w:t>
            </w:r>
            <w:r>
              <w:rPr>
                <w:rFonts w:hint="eastAsia" w:ascii="仿宋" w:hAnsi="仿宋" w:eastAsia="仿宋" w:cs="仿宋"/>
                <w:color w:val="auto"/>
                <w:sz w:val="21"/>
                <w:szCs w:val="21"/>
                <w:highlight w:val="none"/>
              </w:rPr>
              <w:t>疫情期间，按照浙财采监[2020]3号文件精神执行，具体支付条款双方协商决定.</w:t>
            </w:r>
          </w:p>
        </w:tc>
      </w:tr>
    </w:tbl>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五</w:t>
      </w:r>
      <w:r>
        <w:rPr>
          <w:rFonts w:hint="eastAsia" w:ascii="仿宋" w:hAnsi="仿宋" w:eastAsia="仿宋" w:cs="仿宋"/>
          <w:color w:val="auto"/>
          <w:sz w:val="21"/>
          <w:szCs w:val="21"/>
          <w:highlight w:val="none"/>
        </w:rPr>
        <w:t>、02标 菜蔬类主要技术参数要求（服务要求）</w:t>
      </w:r>
    </w:p>
    <w:tbl>
      <w:tblPr>
        <w:tblStyle w:val="39"/>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认可本项目“所有配送商品价格按照越城区教育网上公示指导价计价，寒暑假期间配送的商品价格以越城区教育网最后一次网上公示指导价计价”的定价。寒暑假期间如上下浮动超过10%，参照绍兴E价通（http://jgjg.sx.gov.cn/）大江农贸市场公布的市场价为基础，在设定范围内下浮，事先需提出书面申请报院方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 蔬菜必须新鲜、完整、去皮、净重（去包装或保护层）；青菜要求装框，符合国家质量标准，具有一定规模的蔬菜定点种植基地或有稳定的供菜基地证明等；具有履行合同所必须的独立的仓储场所；每批提供常规检测报告；外地蔬菜需提供合格证、营业执照，符合国家蔬菜质量安全标准。水果同类品种水果大体匀称，需保证新鲜、丰满、无变质，成熟度适中，农药残留量不得超过国家相关规定，符合食品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 鲜活水产类：必须鲜活，观感好，大小符合要求，水产类来源于大型无公害水产养殖基地，具有质量检测报告，要求活鱼配送到采购方指定地点，称重验收后现场进行粗加工。鲜活水产品必须到采购方指定地点，现场进行活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 鲜活家禽类：产品必须新鲜，观感好，来源大型无公害养殖基地或稳定的供肉基地，经动物检疫和定点屠宰，符合国家肉类食品质量安全标准。每批次提供相关进货渠道和合格检验证明。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鲜肉类必须提供鲜肉，观感好，来源大型无公害养殖基地或稳定的供肉基地，需定点屠宰。动物检疫符合国家肉类食品质量安全标准，猪肉必须盖有蓝色的动物检验检疫证明。提供相关进货渠道和合格检验证明。若提供现场切配服务人员，具体工作时间和工作内容由采购方决定，服务不符合采购方要求，责令整改未果，将取消下一次竞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豆制品类、冻品类必须为知名厂家生产的品牌，具有SC食品生产许可证，有监督部门提供的检测报告，要有生产日期、保质期、净重等标识。并提供相关的有效证件。冷冻食品必须提供核酸检测证明，不得配送超过距保质期2/3日期的冷冻食品。米面制品具有SC食品质量安全生产许可证，有监督部门提供的检测报告.保证新鲜度，外包装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经营要求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配送企业应足额、及时将食品配送至食堂。为确保食堂运营，食堂提前1天（下午3：00前），向配送企业网上提交订货计划，说明购货品种、规格、数量及其它需要说明的事项。配送企业必须每天早晨5:00-6:00之间将采购食品用品配送到位医院指定区域。如遇特殊情况，双方必须提前协商解决，如未按要求送达，第一次扣保证金2000元，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 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3.1配送企业要做到制度完善，证照齐全，用工规范，文明配送；自觉协调关系，妥善解决发生的问题和困难；自觉接受院方及有关职能部门的监督和指导。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3.2配送企业应具有食品生产许可证或食品流通许可证、配送人员身份证明，且具备较强的供货能力、良好的信誉及售后服务能力。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3.3所有配送产品必须证照齐全，源头可查。在配送食品中，配送企业应主动提供相应的单证：农药残留量检测报告、质量检测报告、产品检验报告、代理授权证明、区域性知名品牌等证明。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运输须使用符合国家卫生标准的专用运载工具，运输冷鲜（冻）肉应当使用具有保温措施的车辆，车辆必须保持清洁、卫生，使用前后要清洗消毒。配送企业必须自备运输工具运送至指定点地点。冷冻食品运输必须符合新冠疫情防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3.5、所有配送产品必须经采购方验收人员验收后方可离开；后期补给品种至少经验收人员验收并签字方可；严禁发生货到即走，无人验收的现象。对验收不合格的产品，必须2小时之内换货。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3.6配合智慧食堂系统，配送企业根据采购方要求必须配合同步使用智慧食堂系统。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4.1配送企业如转包或变相转包，一经查实，扣除全部保证金，</w:t>
            </w:r>
            <w:r>
              <w:rPr>
                <w:rFonts w:hint="eastAsia" w:ascii="仿宋" w:hAnsi="仿宋" w:eastAsia="仿宋" w:cs="仿宋"/>
                <w:color w:val="auto"/>
                <w:sz w:val="21"/>
                <w:szCs w:val="21"/>
                <w:highlight w:val="none"/>
                <w:lang w:eastAsia="zh-CN"/>
              </w:rPr>
              <w:t>采购人有权</w:t>
            </w:r>
            <w:r>
              <w:rPr>
                <w:rFonts w:hint="eastAsia" w:ascii="仿宋" w:hAnsi="仿宋" w:eastAsia="仿宋" w:cs="仿宋"/>
                <w:color w:val="auto"/>
                <w:sz w:val="21"/>
                <w:szCs w:val="21"/>
                <w:highlight w:val="none"/>
              </w:rPr>
              <w:t>取消配送资格。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配送企业应自觉接受市场监督管理、农业、质监等部门的检查和检测。配送的大宗食品质量低于投标承诺质量的，经查实后将视情节作出以下处罚：一是配送价格按性价比同比例下降；二是罚扣保证金5000元。凡一个年度内，市、区市场监督局抽检有不合格的，按</w:t>
            </w:r>
            <w:r>
              <w:rPr>
                <w:rFonts w:hint="eastAsia" w:ascii="仿宋" w:hAnsi="仿宋" w:eastAsia="仿宋" w:cs="仿宋"/>
                <w:color w:val="auto"/>
                <w:sz w:val="21"/>
                <w:szCs w:val="21"/>
                <w:highlight w:val="none"/>
                <w:lang w:eastAsia="zh-CN"/>
              </w:rPr>
              <w:t>国家食品安全法等</w:t>
            </w:r>
            <w:r>
              <w:rPr>
                <w:rFonts w:hint="eastAsia" w:ascii="仿宋" w:hAnsi="仿宋" w:eastAsia="仿宋" w:cs="仿宋"/>
                <w:color w:val="auto"/>
                <w:sz w:val="21"/>
                <w:szCs w:val="21"/>
                <w:highlight w:val="none"/>
              </w:rPr>
              <w:t>相关</w:t>
            </w:r>
            <w:r>
              <w:rPr>
                <w:rFonts w:hint="eastAsia" w:ascii="仿宋" w:hAnsi="仿宋" w:eastAsia="仿宋" w:cs="仿宋"/>
                <w:color w:val="auto"/>
                <w:sz w:val="21"/>
                <w:szCs w:val="21"/>
                <w:highlight w:val="none"/>
                <w:lang w:eastAsia="zh-CN"/>
              </w:rPr>
              <w:t>法律、法规</w:t>
            </w:r>
            <w:r>
              <w:rPr>
                <w:rFonts w:hint="eastAsia" w:ascii="仿宋" w:hAnsi="仿宋" w:eastAsia="仿宋" w:cs="仿宋"/>
                <w:color w:val="auto"/>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4.3配送企业配送的大宗食品出现质量、数量不符合要求及价格虚高等现象，医院有责任要求配送企业及时退换；若无有效配合，每查实一次扣除保证金2000元。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5.1因质量问题造成食物中毒或其它安全责任事故的，配送企业独立承担一切法律责任和经济责任，没收履约保证金，双方合同自行终止，并追究由此造成的一切损失。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5.2配送过程中发生的任何安全事故等均由配送企业独立承担责任。无条件接受采购方政策层面提出的相关要求。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5.3配送企业在院内运输物品，应服从指挥，确保安全。由此造成的安全事故及采购方相关财产损失，配送企业独立承担一切刑事、民事责任。进入院内所产生的相关费用由配送企业自行承担。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5.4配送中所涉运输、装卸、税收及其他相应规费由配送企业自行承担；所需证、照等均由配送企业自行办理。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5.5严肃财经纪律，加强廉政建设，经查实发现有受贿、行贿现象，取消配送资格，相关人员按情节轻重作出相应处分或处罚；触犯刑律的，依法追究法律责任。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6.货款结付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22" w:type="dxa"/>
            <w:noWrap w:val="0"/>
            <w:vAlign w:val="top"/>
          </w:tcPr>
          <w:p>
            <w:pPr>
              <w:snapToGrid w:val="0"/>
              <w:spacing w:line="440" w:lineRule="exact"/>
              <w:ind w:firstLine="105" w:firstLine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配送货款实行一月一结，财务入账后，1个月内支付。</w:t>
            </w:r>
            <w:r>
              <w:rPr>
                <w:rFonts w:hint="eastAsia" w:ascii="仿宋" w:hAnsi="仿宋" w:eastAsia="仿宋" w:cs="仿宋"/>
                <w:color w:val="auto"/>
                <w:sz w:val="21"/>
                <w:szCs w:val="21"/>
                <w:highlight w:val="none"/>
              </w:rPr>
              <w:t>疫情期间，按照浙财采监[2020]3号文件精神执行，具体支付条款双方协商决定.</w:t>
            </w:r>
          </w:p>
        </w:tc>
      </w:tr>
    </w:tbl>
    <w:p>
      <w:pPr>
        <w:numPr>
          <w:ilvl w:val="0"/>
          <w:numId w:val="8"/>
        </w:num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部分产品品牌及规格：</w:t>
      </w:r>
    </w:p>
    <w:p>
      <w:pPr>
        <w:numPr>
          <w:ilvl w:val="0"/>
          <w:numId w:val="0"/>
        </w:num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6.1</w:t>
      </w:r>
      <w:r>
        <w:rPr>
          <w:rFonts w:hint="eastAsia" w:ascii="仿宋" w:hAnsi="仿宋" w:eastAsia="仿宋" w:cs="仿宋"/>
          <w:color w:val="auto"/>
          <w:sz w:val="21"/>
          <w:szCs w:val="21"/>
          <w:highlight w:val="none"/>
        </w:rPr>
        <w:t>大米、食品、面粉、牛奶类</w:t>
      </w:r>
    </w:p>
    <w:tbl>
      <w:tblPr>
        <w:tblStyle w:val="39"/>
        <w:tblpPr w:leftFromText="180" w:rightFromText="180" w:vertAnchor="text" w:horzAnchor="page" w:tblpX="1870" w:tblpY="487"/>
        <w:tblOverlap w:val="never"/>
        <w:tblW w:w="861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5"/>
        <w:gridCol w:w="1625"/>
        <w:gridCol w:w="3028"/>
        <w:gridCol w:w="1553"/>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shd w:val="clear" w:color="auto" w:fill="D9D9D9"/>
            <w:noWrap w:val="0"/>
            <w:vAlign w:val="center"/>
          </w:tcPr>
          <w:p>
            <w:pPr>
              <w:widowControl/>
              <w:spacing w:line="280" w:lineRule="exact"/>
              <w:ind w:left="58" w:hanging="50" w:hangingChars="24"/>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标段</w:t>
            </w:r>
          </w:p>
        </w:tc>
        <w:tc>
          <w:tcPr>
            <w:tcW w:w="1625" w:type="dxa"/>
            <w:shd w:val="clear" w:color="auto" w:fill="D9D9D9"/>
            <w:noWrap w:val="0"/>
            <w:vAlign w:val="center"/>
          </w:tcPr>
          <w:p>
            <w:pPr>
              <w:widowControl/>
              <w:spacing w:line="280" w:lineRule="exact"/>
              <w:ind w:left="58" w:hanging="50" w:hangingChars="24"/>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产品名称</w:t>
            </w:r>
          </w:p>
        </w:tc>
        <w:tc>
          <w:tcPr>
            <w:tcW w:w="3028" w:type="dxa"/>
            <w:shd w:val="clear" w:color="auto" w:fill="D9D9D9"/>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品牌品名</w:t>
            </w:r>
          </w:p>
        </w:tc>
        <w:tc>
          <w:tcPr>
            <w:tcW w:w="1553" w:type="dxa"/>
            <w:shd w:val="clear" w:color="auto" w:fill="D9D9D9"/>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规格</w:t>
            </w:r>
          </w:p>
        </w:tc>
        <w:tc>
          <w:tcPr>
            <w:tcW w:w="1661" w:type="dxa"/>
            <w:shd w:val="clear" w:color="auto" w:fill="D9D9D9"/>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年采购量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restart"/>
            <w:noWrap w:val="0"/>
            <w:vAlign w:val="center"/>
          </w:tcPr>
          <w:p>
            <w:pPr>
              <w:widowControl/>
              <w:spacing w:line="2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01标</w:t>
            </w:r>
          </w:p>
        </w:tc>
        <w:tc>
          <w:tcPr>
            <w:tcW w:w="1625" w:type="dxa"/>
            <w:vMerge w:val="restart"/>
            <w:noWrap w:val="0"/>
            <w:vAlign w:val="center"/>
          </w:tcPr>
          <w:p>
            <w:pPr>
              <w:widowControl/>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大米</w:t>
            </w: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贤人太湖人家</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25KG/包</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continue"/>
            <w:noWrap w:val="0"/>
            <w:vAlign w:val="center"/>
          </w:tcPr>
          <w:p>
            <w:pPr>
              <w:widowControl/>
              <w:spacing w:line="280" w:lineRule="exact"/>
              <w:jc w:val="center"/>
              <w:rPr>
                <w:rFonts w:hint="eastAsia" w:ascii="仿宋" w:hAnsi="仿宋" w:eastAsia="仿宋" w:cs="仿宋"/>
                <w:color w:val="auto"/>
                <w:kern w:val="0"/>
                <w:sz w:val="21"/>
                <w:szCs w:val="21"/>
                <w:highlight w:val="none"/>
              </w:rPr>
            </w:pP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稻花香五常大米</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10KG/包</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continue"/>
            <w:noWrap w:val="0"/>
            <w:vAlign w:val="center"/>
          </w:tcPr>
          <w:p>
            <w:pPr>
              <w:widowControl/>
              <w:spacing w:line="280" w:lineRule="exact"/>
              <w:jc w:val="center"/>
              <w:rPr>
                <w:rFonts w:hint="eastAsia" w:ascii="仿宋" w:hAnsi="仿宋" w:eastAsia="仿宋" w:cs="仿宋"/>
                <w:color w:val="auto"/>
                <w:kern w:val="0"/>
                <w:sz w:val="21"/>
                <w:szCs w:val="21"/>
                <w:highlight w:val="none"/>
              </w:rPr>
            </w:pP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秋田小町</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10KG/包</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restart"/>
            <w:noWrap w:val="0"/>
            <w:vAlign w:val="center"/>
          </w:tcPr>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面粉</w:t>
            </w: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神人助特级高精面粉</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25KG/包</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continue"/>
            <w:noWrap w:val="0"/>
            <w:vAlign w:val="center"/>
          </w:tcPr>
          <w:p>
            <w:pPr>
              <w:spacing w:line="280" w:lineRule="exact"/>
              <w:jc w:val="center"/>
              <w:rPr>
                <w:rFonts w:hint="eastAsia" w:ascii="仿宋" w:hAnsi="仿宋" w:eastAsia="仿宋" w:cs="仿宋"/>
                <w:color w:val="auto"/>
                <w:sz w:val="21"/>
                <w:szCs w:val="21"/>
                <w:highlight w:val="none"/>
              </w:rPr>
            </w:pP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越丰雪花面粉</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25KG/包</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食用油</w:t>
            </w: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福临门非转基因菜籽油</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10L/壶</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3028" w:type="dxa"/>
            <w:tcBorders>
              <w:bottom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金龙鱼非转玉米胚芽油</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5L/壶</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金龙鱼非转基因玉米油</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5L/壶</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restart"/>
            <w:noWrap w:val="0"/>
            <w:vAlign w:val="center"/>
          </w:tcPr>
          <w:p>
            <w:pPr>
              <w:widowControl/>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牛奶</w:t>
            </w: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伊利金典纯牛奶</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250G*12/提</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蒙牛特仑苏纯牛奶</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250G*12/提</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光明莫斯利安酸奶</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250G*12/提</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restart"/>
            <w:noWrap w:val="0"/>
            <w:vAlign w:val="center"/>
          </w:tcPr>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酱油</w:t>
            </w:r>
          </w:p>
        </w:tc>
        <w:tc>
          <w:tcPr>
            <w:tcW w:w="3028" w:type="dxa"/>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厨邦美味鲜</w:t>
            </w:r>
          </w:p>
        </w:tc>
        <w:tc>
          <w:tcPr>
            <w:tcW w:w="1553" w:type="dxa"/>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1.68L*6/箱</w:t>
            </w:r>
          </w:p>
        </w:tc>
        <w:tc>
          <w:tcPr>
            <w:tcW w:w="1661" w:type="dxa"/>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continue"/>
            <w:noWrap w:val="0"/>
            <w:vAlign w:val="center"/>
          </w:tcPr>
          <w:p>
            <w:pPr>
              <w:spacing w:line="280" w:lineRule="exact"/>
              <w:jc w:val="center"/>
              <w:rPr>
                <w:rFonts w:hint="eastAsia" w:ascii="仿宋" w:hAnsi="仿宋" w:eastAsia="仿宋" w:cs="仿宋"/>
                <w:color w:val="auto"/>
                <w:sz w:val="21"/>
                <w:szCs w:val="21"/>
                <w:highlight w:val="none"/>
              </w:rPr>
            </w:pP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海天老抽王</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1.9L*6/箱</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continue"/>
            <w:noWrap w:val="0"/>
            <w:vAlign w:val="center"/>
          </w:tcPr>
          <w:p>
            <w:pPr>
              <w:spacing w:line="280" w:lineRule="exact"/>
              <w:jc w:val="center"/>
              <w:rPr>
                <w:rFonts w:hint="eastAsia" w:ascii="仿宋" w:hAnsi="仿宋" w:eastAsia="仿宋" w:cs="仿宋"/>
                <w:color w:val="auto"/>
                <w:sz w:val="21"/>
                <w:szCs w:val="21"/>
                <w:highlight w:val="none"/>
              </w:rPr>
            </w:pP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至味母子酱油</w:t>
            </w:r>
          </w:p>
        </w:tc>
        <w:tc>
          <w:tcPr>
            <w:tcW w:w="1553" w:type="dxa"/>
            <w:noWrap w:val="0"/>
            <w:vAlign w:val="center"/>
          </w:tcPr>
          <w:p>
            <w:pPr>
              <w:widowControl/>
              <w:spacing w:line="300" w:lineRule="atLeas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5KG*4/箱</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盐</w:t>
            </w: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雪涛精制矿盐</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500g*40包/箱</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3028" w:type="dxa"/>
            <w:tcBorders>
              <w:bottom w:val="single" w:color="auto" w:sz="4" w:space="0"/>
            </w:tcBorders>
            <w:noWrap w:val="0"/>
            <w:vAlign w:val="center"/>
          </w:tcPr>
          <w:p>
            <w:pPr>
              <w:widowControl/>
              <w:ind w:firstLine="630" w:firstLineChars="3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雪涛加碘日晒盐</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300g*60包/箱</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味精</w:t>
            </w:r>
          </w:p>
        </w:tc>
        <w:tc>
          <w:tcPr>
            <w:tcW w:w="302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莱克无盐味精</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2.25kg*10/袋</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45" w:type="dxa"/>
            <w:vMerge w:val="continue"/>
            <w:noWrap w:val="0"/>
            <w:vAlign w:val="center"/>
          </w:tcPr>
          <w:p>
            <w:pPr>
              <w:widowControl/>
              <w:spacing w:line="280" w:lineRule="exact"/>
              <w:jc w:val="center"/>
              <w:rPr>
                <w:rFonts w:hint="eastAsia" w:ascii="仿宋" w:hAnsi="仿宋" w:eastAsia="仿宋" w:cs="仿宋"/>
                <w:color w:val="auto"/>
                <w:sz w:val="21"/>
                <w:szCs w:val="21"/>
                <w:highlight w:val="none"/>
              </w:rPr>
            </w:pPr>
          </w:p>
        </w:tc>
        <w:tc>
          <w:tcPr>
            <w:tcW w:w="1625" w:type="dxa"/>
            <w:vMerge w:val="continue"/>
            <w:tcBorders>
              <w:bottom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p>
        </w:tc>
        <w:tc>
          <w:tcPr>
            <w:tcW w:w="3028" w:type="dxa"/>
            <w:tcBorders>
              <w:bottom w:val="single" w:color="auto" w:sz="4" w:space="0"/>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太太乐无盐味精</w:t>
            </w:r>
          </w:p>
        </w:tc>
        <w:tc>
          <w:tcPr>
            <w:tcW w:w="1553"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1kg*10/袋</w:t>
            </w:r>
          </w:p>
        </w:tc>
        <w:tc>
          <w:tcPr>
            <w:tcW w:w="1661"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w:t>
            </w:r>
          </w:p>
        </w:tc>
      </w:tr>
    </w:tbl>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6.2 </w:t>
      </w:r>
      <w:r>
        <w:rPr>
          <w:rFonts w:hint="eastAsia" w:ascii="仿宋" w:hAnsi="仿宋" w:eastAsia="仿宋" w:cs="仿宋"/>
          <w:color w:val="auto"/>
          <w:sz w:val="21"/>
          <w:szCs w:val="21"/>
          <w:highlight w:val="none"/>
        </w:rPr>
        <w:t>调味品及日用品类等目录明细表：</w:t>
      </w:r>
    </w:p>
    <w:tbl>
      <w:tblPr>
        <w:tblStyle w:val="39"/>
        <w:tblW w:w="6840" w:type="dxa"/>
        <w:tblInd w:w="94" w:type="dxa"/>
        <w:tblLayout w:type="fixed"/>
        <w:tblCellMar>
          <w:top w:w="0" w:type="dxa"/>
          <w:left w:w="108" w:type="dxa"/>
          <w:bottom w:w="0" w:type="dxa"/>
          <w:right w:w="108" w:type="dxa"/>
        </w:tblCellMar>
      </w:tblPr>
      <w:tblGrid>
        <w:gridCol w:w="495"/>
        <w:gridCol w:w="2655"/>
        <w:gridCol w:w="1635"/>
        <w:gridCol w:w="750"/>
        <w:gridCol w:w="1305"/>
      </w:tblGrid>
      <w:tr>
        <w:tblPrEx>
          <w:tblCellMar>
            <w:top w:w="0" w:type="dxa"/>
            <w:left w:w="108" w:type="dxa"/>
            <w:bottom w:w="0" w:type="dxa"/>
            <w:right w:w="108" w:type="dxa"/>
          </w:tblCellMar>
        </w:tblPrEx>
        <w:trPr>
          <w:trHeight w:val="662"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物资名称</w:t>
            </w:r>
          </w:p>
        </w:tc>
        <w:tc>
          <w:tcPr>
            <w:tcW w:w="1635" w:type="dxa"/>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规格/型号  （包装）</w:t>
            </w: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w:t>
            </w:r>
          </w:p>
        </w:tc>
        <w:tc>
          <w:tcPr>
            <w:tcW w:w="1305"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xml:space="preserve">参考单价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米醋</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500ML/瓶</w:t>
            </w:r>
          </w:p>
        </w:tc>
        <w:tc>
          <w:tcPr>
            <w:tcW w:w="750" w:type="dxa"/>
            <w:tcBorders>
              <w:top w:val="single" w:color="auto"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瓶</w:t>
            </w:r>
          </w:p>
        </w:tc>
        <w:tc>
          <w:tcPr>
            <w:tcW w:w="1305" w:type="dxa"/>
            <w:tcBorders>
              <w:top w:val="single" w:color="auto"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2.00 </w:t>
            </w:r>
          </w:p>
        </w:tc>
      </w:tr>
      <w:tr>
        <w:tblPrEx>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白糖</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100斤/包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包</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348.00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南乳汁</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500g/瓶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瓶</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7.50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雪碧可乐</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300ml*12/箱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箱</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21.00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简加饭</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500ml/瓶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瓶</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5.00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鸡蛋</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5.40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咸蛋</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100只/箱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箱</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145.00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265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桂皮</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15.00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265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茴香</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50.00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265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花椒</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47.00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65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香菇</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45.00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65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陈年干菜</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6.00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265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奉化海带</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7.00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265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黄花菜（干）</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33.00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265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紫菜</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4.00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265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黑木耳</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45.00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265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干辣椒</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12.00 </w:t>
            </w:r>
          </w:p>
        </w:tc>
      </w:tr>
      <w:tr>
        <w:tblPrEx>
          <w:tblCellMar>
            <w:top w:w="0" w:type="dxa"/>
            <w:left w:w="108" w:type="dxa"/>
            <w:bottom w:w="0" w:type="dxa"/>
            <w:right w:w="108" w:type="dxa"/>
          </w:tblCellMar>
        </w:tblPrEx>
        <w:trPr>
          <w:trHeight w:val="31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265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香叶</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17.50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19</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绿豆</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6.00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安琪酵母</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500克/包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包</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19.00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500纸桶</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1000只/箱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箱</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148.00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625圆碗</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300只/箱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箱</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105.00 </w:t>
            </w:r>
          </w:p>
        </w:tc>
      </w:tr>
      <w:tr>
        <w:tblPrEx>
          <w:tblCellMar>
            <w:top w:w="0" w:type="dxa"/>
            <w:left w:w="108" w:type="dxa"/>
            <w:bottom w:w="0" w:type="dxa"/>
            <w:right w:w="108" w:type="dxa"/>
          </w:tblCellMar>
        </w:tblPrEx>
        <w:trPr>
          <w:trHeight w:val="31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三格套餐盒</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800只/箱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箱</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330.00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四格套餐盒</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800只/箱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箱</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330.00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25</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四格加厚餐盒</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150只/箱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箱</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160.00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26</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快餐盒</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1600只/箱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箱</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290.00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27</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快餐筷</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50小袋/袋</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袋</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90.00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28</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700圆碗带盖</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300套/箱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箱</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135.00 </w:t>
            </w:r>
          </w:p>
        </w:tc>
      </w:tr>
      <w:tr>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29</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橡皮筋</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包</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17.00 </w:t>
            </w:r>
          </w:p>
        </w:tc>
      </w:tr>
      <w:tr>
        <w:tblPrEx>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洗洁精</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斤</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1.00 </w:t>
            </w:r>
          </w:p>
        </w:tc>
      </w:tr>
      <w:tr>
        <w:tblPrEx>
          <w:tblCellMar>
            <w:top w:w="0" w:type="dxa"/>
            <w:left w:w="108" w:type="dxa"/>
            <w:bottom w:w="0" w:type="dxa"/>
            <w:right w:w="108" w:type="dxa"/>
          </w:tblCellMar>
        </w:tblPrEx>
        <w:trPr>
          <w:trHeight w:val="300" w:hRule="atLeast"/>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31</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餐巾纸</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包</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2.00 </w:t>
            </w:r>
          </w:p>
        </w:tc>
      </w:tr>
    </w:tbl>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注1.现场查看时间由招标人选定，查看结果将作为评标重要依据。</w:t>
      </w: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所有配送物品价格按照越城区教育网网上公示指导价计价，寒暑假期间配送的物价以越城区教育网最后一次网上公示指导价计价；寒暑假期间如上下浮动超过10%，参照绍兴E价通（http://jgjg.sx.gov.cn/）大江农贸市场公布的市场价为基础，在设定范围内下浮。不在公示指导价内的物品按膳食科在大江市场E价通上查询指定价格执行。</w:t>
      </w:r>
      <w:r>
        <w:rPr>
          <w:rFonts w:hint="eastAsia" w:ascii="仿宋" w:hAnsi="仿宋" w:eastAsia="仿宋" w:cs="仿宋"/>
          <w:b/>
          <w:bCs/>
          <w:color w:val="auto"/>
          <w:sz w:val="24"/>
          <w:szCs w:val="24"/>
          <w:highlight w:val="none"/>
          <w:lang w:eastAsia="zh-CN"/>
        </w:rPr>
        <w:t>中标人须提供网站查询账户信息。</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3.同一标段中，投标产品为政采云目录内的优先采购。</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.承诺中标后投保食品安全责任险（一次事故累计限额赔付金额1000万元及以上）；配送场所安装监控（招标人能够实时查询及历史回放一月）；有互联网下单结算平台。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拟配送的蔬菜、禽蛋必须新鲜、无公害；拟配送的大米、食用油必须拥有该商品在区（县、市）级及以上的经销权（包括总经销、代理权或指定渠道供货商）；拟配送食用油必须为区（县、市）级及以上著名商标或进大型超市的品牌非转基因食用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拟配送生鲜肉、鸡、鸭等禽类必须定点屠宰，有检验检疫合格证明；拟配送鲜活水产品必须为无公害水产品；拟配送冷冻禽类产品、豆制品、蛋制品必须是具有生产许可证的食品生产企业生产加工的产品，并有一定知名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.拟配送主要调味品（酱油、食醋、味精等）必须为区（县、市）级及以上著名商标或进大型超市的品牌产品；其他拟配送调味品，必须标准标识完整、清楚，具有生产许可证，以上类别均需具有一定知名度。</w:t>
      </w:r>
    </w:p>
    <w:p>
      <w:pPr>
        <w:spacing w:line="360" w:lineRule="auto"/>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样品提供：</w:t>
      </w:r>
    </w:p>
    <w:p>
      <w:pPr>
        <w:spacing w:line="360" w:lineRule="auto"/>
        <w:contextualSpacing/>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1.时间要求：</w:t>
      </w:r>
      <w:r>
        <w:rPr>
          <w:rFonts w:hint="eastAsia" w:ascii="仿宋" w:hAnsi="仿宋" w:eastAsia="仿宋" w:cs="仿宋"/>
          <w:color w:val="auto"/>
          <w:sz w:val="24"/>
          <w:szCs w:val="24"/>
          <w:highlight w:val="none"/>
          <w:lang w:eastAsia="zh-CN"/>
        </w:rPr>
        <w:t>投标截止前；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2.样品规格及数量：</w:t>
      </w:r>
      <w:r>
        <w:rPr>
          <w:rFonts w:hint="eastAsia" w:ascii="仿宋" w:hAnsi="仿宋" w:eastAsia="仿宋" w:cs="仿宋"/>
          <w:b/>
          <w:bCs/>
          <w:color w:val="auto"/>
          <w:sz w:val="24"/>
          <w:szCs w:val="24"/>
          <w:highlight w:val="none"/>
          <w:bdr w:val="single" w:color="auto" w:sz="4" w:space="0"/>
        </w:rPr>
        <w:t>01标</w:t>
      </w:r>
      <w:r>
        <w:rPr>
          <w:rFonts w:hint="eastAsia" w:ascii="仿宋" w:hAnsi="仿宋" w:eastAsia="仿宋" w:cs="仿宋"/>
          <w:color w:val="auto"/>
          <w:sz w:val="24"/>
          <w:szCs w:val="24"/>
          <w:highlight w:val="none"/>
          <w:lang w:val="en-US" w:eastAsia="zh-CN"/>
        </w:rPr>
        <w:t xml:space="preserve"> 大米500g一包，面粉500g一包，食用油 500ml 一瓶；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3.样品送达地点：绍兴市</w:t>
      </w:r>
      <w:r>
        <w:rPr>
          <w:rFonts w:hint="eastAsia" w:ascii="仿宋" w:hAnsi="仿宋" w:eastAsia="仿宋" w:cs="仿宋"/>
          <w:color w:val="auto"/>
          <w:sz w:val="24"/>
          <w:szCs w:val="24"/>
          <w:highlight w:val="none"/>
          <w:lang w:eastAsia="zh-CN"/>
        </w:rPr>
        <w:t>朝皇路</w:t>
      </w:r>
      <w:r>
        <w:rPr>
          <w:rFonts w:hint="eastAsia" w:ascii="仿宋" w:hAnsi="仿宋" w:eastAsia="仿宋" w:cs="仿宋"/>
          <w:color w:val="auto"/>
          <w:sz w:val="24"/>
          <w:szCs w:val="24"/>
          <w:highlight w:val="none"/>
          <w:lang w:val="en-US" w:eastAsia="zh-CN"/>
        </w:rPr>
        <w:t>58号正大综合楼601（泰宇咨询）开标室；</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4.送样联系方式：</w:t>
      </w:r>
      <w:r>
        <w:rPr>
          <w:rFonts w:hint="eastAsia" w:ascii="仿宋" w:hAnsi="仿宋" w:eastAsia="仿宋" w:cs="仿宋"/>
          <w:color w:val="auto"/>
          <w:sz w:val="24"/>
          <w:szCs w:val="24"/>
          <w:highlight w:val="none"/>
          <w:lang w:eastAsia="zh-CN"/>
        </w:rPr>
        <w:t>金锦英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13656752180/0575-88226969；</w:t>
      </w:r>
    </w:p>
    <w:p>
      <w:pPr>
        <w:pStyle w:val="2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1）样品需贴有标注供应商名称且加盖公章的标签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2）中标人样品不予退还，由采购人带回并妥善保管作为验收的参考；未中标人样品开标结束后请自行带回，本</w:t>
      </w:r>
      <w:r>
        <w:rPr>
          <w:rFonts w:hint="eastAsia" w:ascii="仿宋" w:hAnsi="仿宋" w:eastAsia="仿宋" w:cs="仿宋"/>
          <w:color w:val="auto"/>
          <w:sz w:val="24"/>
          <w:szCs w:val="24"/>
          <w:highlight w:val="none"/>
          <w:lang w:eastAsia="zh-CN"/>
        </w:rPr>
        <w:t>代理</w:t>
      </w:r>
      <w:r>
        <w:rPr>
          <w:rFonts w:hint="eastAsia" w:ascii="仿宋" w:hAnsi="仿宋" w:eastAsia="仿宋" w:cs="仿宋"/>
          <w:color w:val="auto"/>
          <w:sz w:val="24"/>
          <w:szCs w:val="24"/>
          <w:highlight w:val="none"/>
        </w:rPr>
        <w:t>不予保管。</w:t>
      </w:r>
    </w:p>
    <w:p>
      <w:pPr>
        <w:snapToGrid w:val="0"/>
        <w:spacing w:line="440" w:lineRule="exact"/>
        <w:jc w:val="left"/>
        <w:rPr>
          <w:rFonts w:ascii="仿宋" w:hAnsi="仿宋" w:eastAsia="仿宋"/>
          <w:b/>
          <w:color w:val="auto"/>
          <w:sz w:val="24"/>
          <w:highlight w:val="none"/>
        </w:rPr>
      </w:pPr>
    </w:p>
    <w:bookmarkEnd w:id="6"/>
    <w:p>
      <w:pPr>
        <w:pStyle w:val="21"/>
        <w:pageBreakBefore/>
        <w:spacing w:line="800" w:lineRule="exact"/>
        <w:ind w:firstLine="726"/>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第四部分 合同主要条款</w:t>
      </w:r>
    </w:p>
    <w:p>
      <w:pPr>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1.合同</w:t>
      </w:r>
      <w:bookmarkStart w:id="15" w:name="OLE_LINK1"/>
      <w:r>
        <w:rPr>
          <w:rFonts w:hint="eastAsia" w:ascii="仿宋" w:hAnsi="仿宋" w:eastAsia="仿宋"/>
          <w:b/>
          <w:color w:val="auto"/>
          <w:sz w:val="24"/>
          <w:highlight w:val="none"/>
        </w:rPr>
        <w:t>范围</w:t>
      </w:r>
      <w:bookmarkEnd w:id="15"/>
    </w:p>
    <w:p>
      <w:pPr>
        <w:spacing w:line="440" w:lineRule="exact"/>
        <w:ind w:firstLine="480" w:firstLineChars="200"/>
        <w:jc w:val="left"/>
        <w:rPr>
          <w:rFonts w:ascii="仿宋" w:hAnsi="仿宋" w:eastAsia="仿宋"/>
          <w:color w:val="auto"/>
          <w:sz w:val="24"/>
          <w:highlight w:val="none"/>
        </w:rPr>
      </w:pPr>
      <w:r>
        <w:rPr>
          <w:rFonts w:hint="eastAsia" w:ascii="仿宋" w:hAnsi="仿宋" w:eastAsia="仿宋" w:cs="FangSong_GB2312"/>
          <w:color w:val="auto"/>
          <w:sz w:val="24"/>
          <w:highlight w:val="none"/>
        </w:rPr>
        <w:t>本合同条款适用与本次采购活动。项目实施范围详见附件——招标文件和投标文件及补充文件、采购设计图、承诺书等。</w:t>
      </w:r>
    </w:p>
    <w:p>
      <w:pPr>
        <w:pStyle w:val="53"/>
        <w:spacing w:line="440" w:lineRule="exact"/>
        <w:rPr>
          <w:rFonts w:ascii="仿宋" w:hAnsi="仿宋" w:eastAsia="仿宋"/>
          <w:b/>
          <w:color w:val="auto"/>
          <w:sz w:val="24"/>
          <w:szCs w:val="24"/>
          <w:highlight w:val="none"/>
        </w:rPr>
      </w:pPr>
      <w:r>
        <w:rPr>
          <w:rFonts w:hint="eastAsia" w:ascii="仿宋" w:hAnsi="仿宋" w:eastAsia="仿宋"/>
          <w:b/>
          <w:color w:val="auto"/>
          <w:sz w:val="24"/>
          <w:szCs w:val="24"/>
          <w:highlight w:val="none"/>
        </w:rPr>
        <w:t>2.合同的签订</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2.1中标人须在中标通知书发出30日内按招标文件和中标供应商投标文件的约定，凭中标通知书和采购人在约定的时间、地点，由法定代表人或其授权代表与采购人签订书面合同。</w:t>
      </w:r>
    </w:p>
    <w:p>
      <w:pPr>
        <w:pStyle w:val="12"/>
        <w:widowControl w:val="0"/>
        <w:tabs>
          <w:tab w:val="clear" w:pos="1697"/>
        </w:tabs>
        <w:spacing w:afterLines="0" w:line="440" w:lineRule="exact"/>
        <w:ind w:left="0" w:firstLine="0"/>
        <w:rPr>
          <w:rFonts w:ascii="仿宋" w:hAnsi="仿宋" w:eastAsia="仿宋"/>
          <w:color w:val="auto"/>
          <w:highlight w:val="none"/>
        </w:rPr>
      </w:pPr>
      <w:r>
        <w:rPr>
          <w:rFonts w:hint="eastAsia" w:ascii="仿宋" w:hAnsi="仿宋" w:eastAsia="仿宋"/>
          <w:color w:val="auto"/>
          <w:highlight w:val="none"/>
        </w:rPr>
        <w:t>2.1.1交货地点：用户指定地点。</w:t>
      </w:r>
    </w:p>
    <w:p>
      <w:pPr>
        <w:pStyle w:val="12"/>
        <w:widowControl w:val="0"/>
        <w:tabs>
          <w:tab w:val="clear" w:pos="1697"/>
        </w:tabs>
        <w:spacing w:afterLines="0" w:line="440" w:lineRule="exact"/>
        <w:ind w:left="0" w:firstLine="0"/>
        <w:rPr>
          <w:rFonts w:ascii="仿宋" w:hAnsi="仿宋" w:eastAsia="仿宋"/>
          <w:color w:val="auto"/>
          <w:highlight w:val="none"/>
        </w:rPr>
      </w:pPr>
      <w:r>
        <w:rPr>
          <w:rFonts w:hint="eastAsia" w:ascii="仿宋" w:hAnsi="仿宋" w:eastAsia="仿宋"/>
          <w:color w:val="auto"/>
          <w:szCs w:val="24"/>
          <w:highlight w:val="none"/>
        </w:rPr>
        <w:t>2.1.2</w:t>
      </w:r>
      <w:r>
        <w:rPr>
          <w:rFonts w:hint="eastAsia" w:ascii="仿宋" w:hAnsi="仿宋" w:eastAsia="仿宋"/>
          <w:color w:val="auto"/>
          <w:highlight w:val="none"/>
        </w:rPr>
        <w:t>到货期：按标项内具体要求执行。</w:t>
      </w:r>
    </w:p>
    <w:p>
      <w:pPr>
        <w:pStyle w:val="12"/>
        <w:widowControl w:val="0"/>
        <w:tabs>
          <w:tab w:val="clear" w:pos="1697"/>
        </w:tabs>
        <w:spacing w:afterLines="0" w:line="440" w:lineRule="exact"/>
        <w:ind w:left="0" w:firstLine="0"/>
        <w:rPr>
          <w:rFonts w:ascii="仿宋" w:hAnsi="仿宋" w:eastAsia="仿宋"/>
          <w:color w:val="auto"/>
          <w:szCs w:val="24"/>
          <w:highlight w:val="none"/>
        </w:rPr>
      </w:pPr>
      <w:r>
        <w:rPr>
          <w:rFonts w:hint="eastAsia" w:ascii="仿宋" w:hAnsi="仿宋" w:eastAsia="仿宋"/>
          <w:color w:val="auto"/>
          <w:szCs w:val="24"/>
          <w:highlight w:val="none"/>
        </w:rPr>
        <w:t>2.2交货方式：中标人负责运至现场安装调试，在整个设备安装调试验收合格前的所有设备材料的运输、保管、保险均由中标人负责。</w:t>
      </w:r>
    </w:p>
    <w:p>
      <w:pPr>
        <w:pStyle w:val="12"/>
        <w:widowControl w:val="0"/>
        <w:tabs>
          <w:tab w:val="clear" w:pos="1697"/>
        </w:tabs>
        <w:spacing w:afterLines="0" w:line="440" w:lineRule="exact"/>
        <w:ind w:left="0" w:firstLine="0"/>
        <w:rPr>
          <w:rFonts w:ascii="仿宋" w:hAnsi="仿宋" w:eastAsia="仿宋"/>
          <w:color w:val="auto"/>
          <w:szCs w:val="24"/>
          <w:highlight w:val="none"/>
        </w:rPr>
      </w:pPr>
      <w:r>
        <w:rPr>
          <w:rFonts w:hint="eastAsia" w:ascii="仿宋" w:hAnsi="仿宋" w:eastAsia="仿宋"/>
          <w:b/>
          <w:color w:val="auto"/>
          <w:szCs w:val="24"/>
          <w:highlight w:val="none"/>
        </w:rPr>
        <w:t>3.付款方式：</w:t>
      </w:r>
      <w:r>
        <w:rPr>
          <w:rFonts w:hint="eastAsia" w:ascii="仿宋" w:hAnsi="仿宋" w:eastAsia="仿宋"/>
          <w:color w:val="auto"/>
          <w:highlight w:val="none"/>
        </w:rPr>
        <w:t>按标项内具体要求执行。</w:t>
      </w:r>
    </w:p>
    <w:p>
      <w:pPr>
        <w:tabs>
          <w:tab w:val="left" w:pos="7950"/>
        </w:tabs>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4.合同修改</w:t>
      </w:r>
    </w:p>
    <w:p>
      <w:pPr>
        <w:pStyle w:val="12"/>
        <w:widowControl w:val="0"/>
        <w:tabs>
          <w:tab w:val="clear" w:pos="1697"/>
        </w:tabs>
        <w:spacing w:afterLines="0" w:line="440" w:lineRule="exact"/>
        <w:ind w:left="0" w:firstLine="0"/>
        <w:rPr>
          <w:rFonts w:ascii="仿宋" w:hAnsi="仿宋" w:eastAsia="仿宋"/>
          <w:color w:val="auto"/>
          <w:szCs w:val="24"/>
          <w:highlight w:val="none"/>
        </w:rPr>
      </w:pPr>
      <w:r>
        <w:rPr>
          <w:rFonts w:hint="eastAsia" w:ascii="仿宋" w:hAnsi="仿宋" w:eastAsia="仿宋"/>
          <w:color w:val="auto"/>
          <w:szCs w:val="24"/>
          <w:highlight w:val="none"/>
        </w:rPr>
        <w:t>4.1双方的任何一方对合同内容提出修改，均应以书面形式通知对方，并达成由双方签署的合同修改书，须报政府采购管理部门批准。</w:t>
      </w:r>
    </w:p>
    <w:p>
      <w:pPr>
        <w:pStyle w:val="12"/>
        <w:widowControl w:val="0"/>
        <w:tabs>
          <w:tab w:val="clear" w:pos="1697"/>
        </w:tabs>
        <w:spacing w:afterLines="0" w:line="440" w:lineRule="exact"/>
        <w:ind w:left="0" w:firstLine="0"/>
        <w:rPr>
          <w:rFonts w:ascii="仿宋" w:hAnsi="仿宋" w:eastAsia="仿宋"/>
          <w:color w:val="auto"/>
          <w:szCs w:val="24"/>
          <w:highlight w:val="none"/>
        </w:rPr>
      </w:pPr>
      <w:r>
        <w:rPr>
          <w:rFonts w:hint="eastAsia" w:ascii="仿宋" w:hAnsi="仿宋" w:eastAsia="仿宋"/>
          <w:color w:val="auto"/>
          <w:szCs w:val="24"/>
          <w:highlight w:val="none"/>
        </w:rPr>
        <w:t>4.2除非招标人对产品的品牌、型号规格和涉及价格因素的技术参数提出修改，中标人不得对合同价格提出修改要求。</w:t>
      </w:r>
    </w:p>
    <w:p>
      <w:pPr>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5. 质量标准和验收</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5.1中标人提供的产品及服务必须是经合法途径取得的。</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5.2中标人应按现行的国家或行业技术及验收标准和招标文件的规定提供工程、货物或服务，因中标人提供的工程、货物或服务达不到约定的质量标准，中标人承担违约责任。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5.3验收由使用单位按规定组织相关人员或专家进行。</w:t>
      </w:r>
    </w:p>
    <w:p>
      <w:pPr>
        <w:spacing w:line="440" w:lineRule="exact"/>
        <w:ind w:hanging="2"/>
        <w:jc w:val="left"/>
        <w:rPr>
          <w:rFonts w:ascii="仿宋" w:hAnsi="仿宋" w:eastAsia="仿宋"/>
          <w:color w:val="auto"/>
          <w:sz w:val="24"/>
          <w:highlight w:val="none"/>
        </w:rPr>
      </w:pPr>
      <w:r>
        <w:rPr>
          <w:rFonts w:hint="eastAsia" w:ascii="仿宋" w:hAnsi="仿宋" w:eastAsia="仿宋"/>
          <w:color w:val="auto"/>
          <w:sz w:val="24"/>
          <w:highlight w:val="none"/>
        </w:rPr>
        <w:t>5.4双方对工程、货物或服务的质量有争议的，由双方同意的专业检测机构鉴定，所需费及因此造成的损失由责任方承担，双方均有责任的，双方根据其责任分别承担。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auto"/>
          <w:sz w:val="24"/>
          <w:highlight w:val="none"/>
        </w:rPr>
      </w:pPr>
      <w:r>
        <w:rPr>
          <w:rFonts w:hint="eastAsia" w:ascii="仿宋" w:hAnsi="仿宋" w:eastAsia="仿宋"/>
          <w:b/>
          <w:color w:val="auto"/>
          <w:sz w:val="24"/>
          <w:highlight w:val="none"/>
        </w:rPr>
        <w:t>6.违约责任</w:t>
      </w:r>
    </w:p>
    <w:p>
      <w:pPr>
        <w:pStyle w:val="19"/>
        <w:widowControl w:val="0"/>
        <w:tabs>
          <w:tab w:val="left" w:pos="1540"/>
          <w:tab w:val="clear" w:pos="482"/>
        </w:tabs>
        <w:spacing w:afterLines="0" w:line="440" w:lineRule="exact"/>
        <w:ind w:left="-2" w:leftChars="-1" w:firstLine="0"/>
        <w:rPr>
          <w:rFonts w:ascii="仿宋" w:hAnsi="仿宋" w:eastAsia="仿宋"/>
          <w:color w:val="auto"/>
          <w:szCs w:val="24"/>
          <w:highlight w:val="none"/>
        </w:rPr>
      </w:pPr>
      <w:r>
        <w:rPr>
          <w:rFonts w:hint="eastAsia" w:ascii="仿宋" w:hAnsi="仿宋" w:eastAsia="仿宋"/>
          <w:color w:val="auto"/>
          <w:szCs w:val="24"/>
          <w:highlight w:val="none"/>
        </w:rPr>
        <w:t>6.1提供的货物和服务质量必须达到合格，凡安装调试、设备试运转过程中发现的设备质量问题，中标人必须无偿返工直至符合质量要求，承担返工所发生的一切费用和招标人的直接经济损失。</w:t>
      </w:r>
    </w:p>
    <w:p>
      <w:pPr>
        <w:pStyle w:val="19"/>
        <w:widowControl w:val="0"/>
        <w:tabs>
          <w:tab w:val="left" w:pos="1540"/>
          <w:tab w:val="clear" w:pos="482"/>
        </w:tabs>
        <w:spacing w:afterLines="0" w:line="440" w:lineRule="exact"/>
        <w:ind w:left="-2" w:leftChars="-1" w:firstLine="0"/>
        <w:rPr>
          <w:rFonts w:ascii="仿宋" w:hAnsi="仿宋" w:eastAsia="仿宋"/>
          <w:color w:val="auto"/>
          <w:szCs w:val="24"/>
          <w:highlight w:val="none"/>
        </w:rPr>
      </w:pPr>
      <w:r>
        <w:rPr>
          <w:rFonts w:hint="eastAsia" w:ascii="仿宋" w:hAnsi="仿宋" w:eastAsia="仿宋"/>
          <w:color w:val="auto"/>
          <w:szCs w:val="24"/>
          <w:highlight w:val="none"/>
        </w:rPr>
        <w:t>6.2由于招标人保管不善或使用不当造成设备短缺、故障或损坏，中标人协助招标人及时给予补齐或修复。</w:t>
      </w:r>
    </w:p>
    <w:p>
      <w:pPr>
        <w:pStyle w:val="12"/>
        <w:widowControl w:val="0"/>
        <w:tabs>
          <w:tab w:val="left" w:pos="1560"/>
          <w:tab w:val="clear" w:pos="1697"/>
        </w:tabs>
        <w:spacing w:afterLines="0" w:line="440" w:lineRule="exact"/>
        <w:ind w:left="-2" w:leftChars="-1" w:firstLine="0"/>
        <w:rPr>
          <w:rFonts w:ascii="仿宋" w:hAnsi="仿宋" w:eastAsia="仿宋"/>
          <w:b/>
          <w:color w:val="auto"/>
          <w:szCs w:val="24"/>
          <w:highlight w:val="none"/>
        </w:rPr>
      </w:pPr>
      <w:r>
        <w:rPr>
          <w:rFonts w:hint="eastAsia" w:ascii="仿宋" w:hAnsi="仿宋" w:eastAsia="仿宋"/>
          <w:b/>
          <w:color w:val="auto"/>
          <w:szCs w:val="24"/>
          <w:highlight w:val="none"/>
        </w:rPr>
        <w:t>7．违约赔偿</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7.1除不可抗力外，如中标人发生不能按期完成供货任务，招标人发生中途变更等情况，应及时以书面形式通知对方。双方应本着友好的态度进行协商，妥善解决。如协商无效，按规定处以违约金。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auto"/>
          <w:sz w:val="24"/>
          <w:highlight w:val="none"/>
        </w:rPr>
      </w:pPr>
      <w:r>
        <w:rPr>
          <w:rFonts w:hint="eastAsia" w:ascii="仿宋" w:hAnsi="仿宋" w:eastAsia="仿宋"/>
          <w:color w:val="auto"/>
          <w:kern w:val="0"/>
          <w:sz w:val="24"/>
          <w:highlight w:val="none"/>
        </w:rPr>
        <w:t xml:space="preserve">7.2 </w:t>
      </w:r>
      <w:r>
        <w:rPr>
          <w:rFonts w:hint="eastAsia" w:ascii="仿宋" w:hAnsi="仿宋" w:eastAsia="仿宋"/>
          <w:color w:val="auto"/>
          <w:sz w:val="24"/>
          <w:highlight w:val="none"/>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7.3招标人在规定时间无正当理由拒签合同者，以招标违约处理，并赔偿中标人由此造成的直接经济损失。</w:t>
      </w:r>
    </w:p>
    <w:p>
      <w:pPr>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8.不可抗力</w:t>
      </w:r>
    </w:p>
    <w:p>
      <w:pPr>
        <w:pStyle w:val="12"/>
        <w:widowControl w:val="0"/>
        <w:tabs>
          <w:tab w:val="clear" w:pos="1697"/>
        </w:tabs>
        <w:spacing w:afterLines="0" w:line="440" w:lineRule="exact"/>
        <w:ind w:left="0" w:firstLine="0"/>
        <w:rPr>
          <w:rFonts w:ascii="仿宋" w:hAnsi="仿宋" w:eastAsia="仿宋"/>
          <w:color w:val="auto"/>
          <w:szCs w:val="24"/>
          <w:highlight w:val="none"/>
        </w:rPr>
      </w:pPr>
      <w:r>
        <w:rPr>
          <w:rFonts w:hint="eastAsia" w:ascii="仿宋" w:hAnsi="仿宋" w:eastAsia="仿宋"/>
          <w:color w:val="auto"/>
          <w:szCs w:val="24"/>
          <w:highlight w:val="none"/>
        </w:rPr>
        <w:t>8.1如果双方中任何一方由于战争、严重火灾、水灾、台风和地震以及其它经双方同意属于不可抗力的事故，致使合同履行受阻时，履行合同的期限应予延长，延长的期限应相当于事故所影响的时间。</w:t>
      </w:r>
    </w:p>
    <w:p>
      <w:pPr>
        <w:pStyle w:val="12"/>
        <w:widowControl w:val="0"/>
        <w:tabs>
          <w:tab w:val="clear" w:pos="1697"/>
        </w:tabs>
        <w:spacing w:afterLines="0" w:line="440" w:lineRule="exact"/>
        <w:ind w:left="0" w:firstLine="0"/>
        <w:rPr>
          <w:rFonts w:ascii="仿宋" w:hAnsi="仿宋" w:eastAsia="仿宋"/>
          <w:color w:val="auto"/>
          <w:szCs w:val="24"/>
          <w:highlight w:val="none"/>
        </w:rPr>
      </w:pPr>
      <w:r>
        <w:rPr>
          <w:rFonts w:hint="eastAsia" w:ascii="仿宋" w:hAnsi="仿宋" w:eastAsia="仿宋"/>
          <w:color w:val="auto"/>
          <w:szCs w:val="24"/>
          <w:highlight w:val="none"/>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9.解决合同纠纷的方式</w:t>
      </w:r>
    </w:p>
    <w:p>
      <w:pPr>
        <w:pStyle w:val="12"/>
        <w:widowControl w:val="0"/>
        <w:tabs>
          <w:tab w:val="clear" w:pos="1697"/>
        </w:tabs>
        <w:spacing w:afterLines="0" w:line="440" w:lineRule="exact"/>
        <w:ind w:left="0" w:firstLine="0"/>
        <w:rPr>
          <w:rFonts w:ascii="仿宋" w:hAnsi="仿宋" w:eastAsia="仿宋"/>
          <w:color w:val="auto"/>
          <w:szCs w:val="24"/>
          <w:highlight w:val="none"/>
        </w:rPr>
      </w:pPr>
      <w:r>
        <w:rPr>
          <w:rFonts w:hint="eastAsia" w:ascii="仿宋" w:hAnsi="仿宋" w:eastAsia="仿宋"/>
          <w:color w:val="auto"/>
          <w:szCs w:val="24"/>
          <w:highlight w:val="none"/>
        </w:rPr>
        <w:t>9.1凡有关本合同或与本合同中发生的争端，双方应通过友好协商，妥善解决。如通过协商仍不能解决时，可向当地的仲裁机构申请仲裁或人民法院起诉。</w:t>
      </w:r>
    </w:p>
    <w:p>
      <w:pPr>
        <w:pStyle w:val="12"/>
        <w:widowControl w:val="0"/>
        <w:tabs>
          <w:tab w:val="clear" w:pos="1697"/>
        </w:tabs>
        <w:spacing w:afterLines="0" w:line="440" w:lineRule="exact"/>
        <w:ind w:left="0" w:firstLine="0"/>
        <w:rPr>
          <w:rFonts w:ascii="仿宋" w:hAnsi="仿宋" w:eastAsia="仿宋"/>
          <w:color w:val="auto"/>
          <w:szCs w:val="24"/>
          <w:highlight w:val="none"/>
        </w:rPr>
      </w:pPr>
      <w:r>
        <w:rPr>
          <w:rFonts w:hint="eastAsia" w:ascii="仿宋" w:hAnsi="仿宋" w:eastAsia="仿宋"/>
          <w:color w:val="auto"/>
          <w:szCs w:val="24"/>
          <w:highlight w:val="none"/>
        </w:rPr>
        <w:t>9.2仲裁和诉讼费用除仲裁机构和人民法院另有裁决外，由败诉方承担。</w:t>
      </w:r>
    </w:p>
    <w:p>
      <w:pPr>
        <w:pStyle w:val="12"/>
        <w:widowControl w:val="0"/>
        <w:tabs>
          <w:tab w:val="clear" w:pos="1697"/>
        </w:tabs>
        <w:spacing w:afterLines="0" w:line="440" w:lineRule="exact"/>
        <w:ind w:left="0" w:firstLine="0"/>
        <w:rPr>
          <w:rFonts w:ascii="仿宋" w:hAnsi="仿宋" w:eastAsia="仿宋"/>
          <w:color w:val="auto"/>
          <w:szCs w:val="24"/>
          <w:highlight w:val="none"/>
        </w:rPr>
      </w:pPr>
      <w:r>
        <w:rPr>
          <w:rFonts w:hint="eastAsia" w:ascii="仿宋" w:hAnsi="仿宋" w:eastAsia="仿宋"/>
          <w:color w:val="auto"/>
          <w:szCs w:val="24"/>
          <w:highlight w:val="none"/>
        </w:rPr>
        <w:t>9.3在仲裁和诉讼期间，除正在进行裁定的部分外，本合同其他部分应继续执行。</w:t>
      </w:r>
    </w:p>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9.4合同应在双方签字盖章后开始生效。</w:t>
      </w:r>
    </w:p>
    <w:p>
      <w:pPr>
        <w:spacing w:line="440" w:lineRule="exact"/>
        <w:rPr>
          <w:rFonts w:ascii="仿宋" w:hAnsi="仿宋" w:eastAsia="仿宋"/>
          <w:b/>
          <w:color w:val="auto"/>
          <w:sz w:val="36"/>
          <w:szCs w:val="36"/>
          <w:highlight w:val="none"/>
        </w:rPr>
      </w:pPr>
      <w:r>
        <w:rPr>
          <w:rFonts w:hint="eastAsia" w:ascii="仿宋" w:hAnsi="仿宋" w:eastAsia="仿宋"/>
          <w:color w:val="auto"/>
          <w:sz w:val="24"/>
          <w:highlight w:val="none"/>
        </w:rPr>
        <w:t>（注：在正式签约时，根据上述精神应拟就更为详尽的合同书）</w:t>
      </w:r>
    </w:p>
    <w:p>
      <w:pPr>
        <w:pStyle w:val="21"/>
        <w:spacing w:line="800" w:lineRule="exact"/>
        <w:ind w:firstLine="723"/>
        <w:jc w:val="center"/>
        <w:rPr>
          <w:rFonts w:ascii="仿宋" w:hAnsi="仿宋" w:eastAsia="仿宋"/>
          <w:b/>
          <w:color w:val="auto"/>
          <w:sz w:val="36"/>
          <w:szCs w:val="36"/>
          <w:highlight w:val="none"/>
        </w:rPr>
      </w:pPr>
    </w:p>
    <w:p>
      <w:pPr>
        <w:pStyle w:val="21"/>
        <w:spacing w:line="800" w:lineRule="exact"/>
        <w:ind w:firstLine="723"/>
        <w:jc w:val="center"/>
        <w:rPr>
          <w:rFonts w:ascii="仿宋" w:hAnsi="仿宋" w:eastAsia="仿宋"/>
          <w:b/>
          <w:color w:val="auto"/>
          <w:sz w:val="36"/>
          <w:szCs w:val="36"/>
          <w:highlight w:val="none"/>
        </w:rPr>
      </w:pPr>
    </w:p>
    <w:p>
      <w:pPr>
        <w:pStyle w:val="21"/>
        <w:spacing w:line="800" w:lineRule="exact"/>
        <w:ind w:firstLine="723"/>
        <w:jc w:val="center"/>
        <w:rPr>
          <w:rFonts w:ascii="仿宋" w:hAnsi="仿宋" w:eastAsia="仿宋"/>
          <w:b/>
          <w:color w:val="auto"/>
          <w:sz w:val="36"/>
          <w:szCs w:val="36"/>
          <w:highlight w:val="none"/>
        </w:rPr>
      </w:pPr>
    </w:p>
    <w:p>
      <w:pPr>
        <w:pStyle w:val="21"/>
        <w:pageBreakBefore/>
        <w:spacing w:line="800" w:lineRule="exact"/>
        <w:ind w:firstLine="726"/>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第五部分  评标方法及标准</w:t>
      </w:r>
    </w:p>
    <w:p>
      <w:pPr>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1、评标方法：</w:t>
      </w:r>
    </w:p>
    <w:p>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jc w:val="left"/>
        <w:rPr>
          <w:rFonts w:ascii="仿宋" w:hAnsi="仿宋" w:eastAsia="仿宋"/>
          <w:color w:val="auto"/>
          <w:sz w:val="24"/>
          <w:highlight w:val="none"/>
        </w:rPr>
      </w:pPr>
      <w:r>
        <w:rPr>
          <w:rFonts w:hint="eastAsia" w:ascii="仿宋" w:hAnsi="仿宋" w:eastAsia="仿宋"/>
          <w:b/>
          <w:color w:val="auto"/>
          <w:sz w:val="24"/>
          <w:highlight w:val="none"/>
        </w:rPr>
        <w:t>2.评分标准：</w:t>
      </w:r>
      <w:r>
        <w:rPr>
          <w:rFonts w:hint="eastAsia" w:ascii="仿宋" w:hAnsi="仿宋" w:eastAsia="仿宋"/>
          <w:color w:val="auto"/>
          <w:sz w:val="24"/>
          <w:highlight w:val="none"/>
        </w:rPr>
        <w:t>共100分，其中</w:t>
      </w:r>
      <w:r>
        <w:rPr>
          <w:rFonts w:hint="eastAsia" w:ascii="仿宋" w:hAnsi="仿宋" w:eastAsia="仿宋"/>
          <w:color w:val="auto"/>
          <w:sz w:val="24"/>
          <w:highlight w:val="none"/>
          <w:lang w:val="en-US" w:eastAsia="zh-CN"/>
        </w:rPr>
        <w:t>01标</w:t>
      </w:r>
      <w:r>
        <w:rPr>
          <w:rFonts w:hint="eastAsia" w:ascii="仿宋" w:hAnsi="仿宋" w:eastAsia="仿宋"/>
          <w:color w:val="auto"/>
          <w:sz w:val="24"/>
          <w:highlight w:val="none"/>
        </w:rPr>
        <w:t>商务技术分</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0分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02标</w:t>
      </w:r>
      <w:r>
        <w:rPr>
          <w:rFonts w:hint="eastAsia" w:ascii="仿宋" w:hAnsi="仿宋" w:eastAsia="仿宋"/>
          <w:color w:val="auto"/>
          <w:sz w:val="24"/>
          <w:highlight w:val="none"/>
        </w:rPr>
        <w:t>商务技术分70分，</w:t>
      </w:r>
      <w:r>
        <w:rPr>
          <w:rFonts w:hint="eastAsia" w:ascii="仿宋" w:hAnsi="仿宋" w:eastAsia="仿宋"/>
          <w:color w:val="auto"/>
          <w:sz w:val="24"/>
          <w:highlight w:val="none"/>
          <w:lang w:val="en-US" w:eastAsia="zh-CN"/>
        </w:rPr>
        <w:t>01标</w:t>
      </w:r>
      <w:r>
        <w:rPr>
          <w:rFonts w:hint="eastAsia" w:ascii="仿宋" w:hAnsi="仿宋" w:eastAsia="仿宋"/>
          <w:color w:val="auto"/>
          <w:sz w:val="24"/>
          <w:highlight w:val="none"/>
        </w:rPr>
        <w:t>价格分</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0分</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02标</w:t>
      </w:r>
      <w:r>
        <w:rPr>
          <w:rFonts w:hint="eastAsia" w:ascii="仿宋" w:hAnsi="仿宋" w:eastAsia="仿宋"/>
          <w:color w:val="auto"/>
          <w:sz w:val="24"/>
          <w:highlight w:val="none"/>
        </w:rPr>
        <w:t>价格分30分。评分依下述所列为评标打分依据，分值如下（计算分值时，按其算术平均值保留小数2位）。</w:t>
      </w:r>
    </w:p>
    <w:p>
      <w:pPr>
        <w:widowControl/>
        <w:snapToGrid w:val="0"/>
        <w:spacing w:line="480" w:lineRule="exact"/>
        <w:rPr>
          <w:rFonts w:ascii="仿宋" w:hAnsi="仿宋" w:eastAsia="仿宋"/>
          <w:b/>
          <w:bCs/>
          <w:color w:val="auto"/>
          <w:kern w:val="0"/>
          <w:sz w:val="24"/>
          <w:highlight w:val="none"/>
        </w:rPr>
      </w:pPr>
      <w:r>
        <w:rPr>
          <w:rFonts w:hint="eastAsia" w:ascii="仿宋" w:hAnsi="仿宋" w:eastAsia="仿宋"/>
          <w:b/>
          <w:bCs/>
          <w:iCs/>
          <w:color w:val="auto"/>
          <w:sz w:val="24"/>
          <w:highlight w:val="none"/>
        </w:rPr>
        <w:t>2.1</w:t>
      </w:r>
      <w:r>
        <w:rPr>
          <w:rFonts w:hint="eastAsia" w:ascii="仿宋" w:hAnsi="仿宋" w:eastAsia="仿宋"/>
          <w:b/>
          <w:bCs/>
          <w:iCs/>
          <w:color w:val="auto"/>
          <w:sz w:val="24"/>
          <w:highlight w:val="none"/>
          <w:lang w:val="en-US" w:eastAsia="zh-CN"/>
        </w:rPr>
        <w:t xml:space="preserve">  01标 </w:t>
      </w:r>
      <w:r>
        <w:rPr>
          <w:rFonts w:hint="eastAsia" w:ascii="仿宋" w:hAnsi="仿宋" w:eastAsia="仿宋"/>
          <w:b/>
          <w:bCs/>
          <w:iCs/>
          <w:color w:val="auto"/>
          <w:sz w:val="24"/>
          <w:highlight w:val="none"/>
        </w:rPr>
        <w:t>商务技术分：</w:t>
      </w:r>
      <w:r>
        <w:rPr>
          <w:rFonts w:hint="eastAsia" w:ascii="仿宋" w:hAnsi="仿宋" w:eastAsia="仿宋"/>
          <w:b/>
          <w:bCs/>
          <w:color w:val="auto"/>
          <w:kern w:val="0"/>
          <w:sz w:val="24"/>
          <w:highlight w:val="none"/>
        </w:rPr>
        <w:t>60</w:t>
      </w:r>
      <w:r>
        <w:rPr>
          <w:rFonts w:ascii="仿宋" w:hAnsi="仿宋" w:eastAsia="仿宋"/>
          <w:b/>
          <w:bCs/>
          <w:color w:val="auto"/>
          <w:kern w:val="0"/>
          <w:sz w:val="24"/>
          <w:highlight w:val="none"/>
        </w:rPr>
        <w:t>分</w:t>
      </w:r>
    </w:p>
    <w:tbl>
      <w:tblPr>
        <w:tblStyle w:val="39"/>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195"/>
        <w:gridCol w:w="718"/>
        <w:gridCol w:w="4797"/>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267" w:type="dxa"/>
            <w:gridSpan w:val="5"/>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一、实地情况综合评定（20分）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267" w:type="dxa"/>
            <w:gridSpan w:val="5"/>
            <w:noWrap w:val="0"/>
            <w:vAlign w:val="center"/>
          </w:tcPr>
          <w:p>
            <w:pPr>
              <w:pStyle w:val="161"/>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由</w:t>
            </w:r>
            <w:r>
              <w:rPr>
                <w:rFonts w:hint="eastAsia" w:ascii="仿宋" w:hAnsi="仿宋" w:eastAsia="仿宋" w:cs="仿宋"/>
                <w:color w:val="auto"/>
                <w:kern w:val="2"/>
                <w:sz w:val="21"/>
                <w:szCs w:val="21"/>
                <w:highlight w:val="none"/>
                <w:lang w:eastAsia="zh-CN"/>
              </w:rPr>
              <w:t>招标人对</w:t>
            </w:r>
            <w:r>
              <w:rPr>
                <w:rFonts w:hint="eastAsia" w:ascii="仿宋" w:hAnsi="仿宋" w:eastAsia="仿宋" w:cs="仿宋"/>
                <w:color w:val="auto"/>
                <w:kern w:val="2"/>
                <w:sz w:val="21"/>
                <w:szCs w:val="21"/>
                <w:highlight w:val="none"/>
              </w:rPr>
              <w:t>投标人</w:t>
            </w:r>
            <w:r>
              <w:rPr>
                <w:rFonts w:hint="eastAsia" w:ascii="仿宋" w:hAnsi="仿宋" w:eastAsia="仿宋" w:cs="仿宋"/>
                <w:color w:val="auto"/>
                <w:kern w:val="2"/>
                <w:sz w:val="21"/>
                <w:szCs w:val="21"/>
                <w:highlight w:val="none"/>
                <w:lang w:eastAsia="zh-CN"/>
              </w:rPr>
              <w:t>进行实地调查核实情况后综合评定打分</w:t>
            </w:r>
            <w:r>
              <w:rPr>
                <w:rFonts w:hint="eastAsia" w:ascii="仿宋" w:hAnsi="仿宋" w:eastAsia="仿宋" w:cs="仿宋"/>
                <w:color w:val="auto"/>
                <w:kern w:val="2"/>
                <w:sz w:val="21"/>
                <w:szCs w:val="21"/>
                <w:highlight w:val="none"/>
              </w:rPr>
              <w:t>。</w:t>
            </w:r>
          </w:p>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注：投标人需提供实地情况视频（拷入U盘</w:t>
            </w:r>
            <w:r>
              <w:rPr>
                <w:rFonts w:hint="eastAsia" w:ascii="仿宋" w:hAnsi="仿宋" w:eastAsia="仿宋" w:cs="仿宋"/>
                <w:color w:val="auto"/>
                <w:sz w:val="21"/>
                <w:szCs w:val="21"/>
                <w:highlight w:val="none"/>
                <w:lang w:eastAsia="zh-CN"/>
              </w:rPr>
              <w:t>，视频时间不超过</w:t>
            </w:r>
            <w:r>
              <w:rPr>
                <w:rFonts w:hint="eastAsia" w:ascii="仿宋" w:hAnsi="仿宋" w:eastAsia="仿宋" w:cs="仿宋"/>
                <w:color w:val="auto"/>
                <w:sz w:val="21"/>
                <w:szCs w:val="21"/>
                <w:highlight w:val="none"/>
                <w:lang w:val="en-US" w:eastAsia="zh-CN"/>
              </w:rPr>
              <w:t>15分钟</w:t>
            </w:r>
            <w:r>
              <w:rPr>
                <w:rFonts w:hint="eastAsia" w:ascii="仿宋" w:hAnsi="仿宋" w:eastAsia="仿宋" w:cs="仿宋"/>
                <w:color w:val="auto"/>
                <w:sz w:val="21"/>
                <w:szCs w:val="21"/>
                <w:highlight w:val="none"/>
              </w:rPr>
              <w:t>），放入投标文件封装袋中。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99"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1195"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评分项目</w:t>
            </w: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分值</w:t>
            </w:r>
          </w:p>
        </w:tc>
        <w:tc>
          <w:tcPr>
            <w:tcW w:w="4797"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投标评分标准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99"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95"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企业管理（5分）</w:t>
            </w:r>
          </w:p>
        </w:tc>
        <w:tc>
          <w:tcPr>
            <w:tcW w:w="718" w:type="dxa"/>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4797" w:type="dxa"/>
            <w:noWrap w:val="0"/>
            <w:vAlign w:val="center"/>
          </w:tcPr>
          <w:p>
            <w:pPr>
              <w:rPr>
                <w:rFonts w:hint="eastAsia" w:ascii="仿宋" w:hAnsi="仿宋" w:eastAsia="仿宋" w:cs="仿宋"/>
                <w:color w:val="auto"/>
                <w:kern w:val="0"/>
                <w:sz w:val="21"/>
                <w:szCs w:val="21"/>
                <w:highlight w:val="none"/>
              </w:rPr>
            </w:pPr>
            <w:r>
              <w:rPr>
                <w:rStyle w:val="162"/>
                <w:rFonts w:hint="eastAsia" w:ascii="仿宋" w:hAnsi="仿宋" w:eastAsia="仿宋" w:cs="仿宋"/>
                <w:color w:val="auto"/>
                <w:sz w:val="21"/>
                <w:szCs w:val="21"/>
                <w:highlight w:val="none"/>
              </w:rPr>
              <w:t>《食品配送管理制度》、《食品质量控制管理制度》、《食品采购制度》、《配送工用具清洗消毒保洁制度》、《送货不达应急预案》、《食品中毒应急预案》、《产品召回制度》、《岗位职责》等制度齐全，切合企业实际，并上墙公示，酌情评分。优秀（2.1-3.0分）、良好（1.1-2.0分）、一般（0.1-1.0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提供现场视频或照片，提供制度文件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99"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195"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18" w:type="dxa"/>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797" w:type="dxa"/>
            <w:noWrap w:val="0"/>
            <w:vAlign w:val="center"/>
          </w:tcPr>
          <w:p>
            <w:pPr>
              <w:rPr>
                <w:rStyle w:val="162"/>
                <w:rFonts w:hint="eastAsia" w:ascii="仿宋" w:hAnsi="仿宋" w:eastAsia="仿宋" w:cs="仿宋"/>
                <w:color w:val="auto"/>
                <w:sz w:val="21"/>
                <w:szCs w:val="21"/>
                <w:highlight w:val="none"/>
              </w:rPr>
            </w:pPr>
            <w:r>
              <w:rPr>
                <w:rStyle w:val="162"/>
                <w:rFonts w:hint="eastAsia" w:ascii="仿宋" w:hAnsi="仿宋" w:eastAsia="仿宋" w:cs="仿宋"/>
                <w:color w:val="auto"/>
                <w:sz w:val="21"/>
                <w:szCs w:val="21"/>
                <w:highlight w:val="none"/>
              </w:rPr>
              <w:t>设置独立的财务机构，会计、驾驶员、配送人员、检测员等资格证、健康证齐全有效，劳动用工规范，酌情评分。优秀（1.1-2.0分）、良好（0.6-1.0分）、一般（0.1-0.5分）。</w:t>
            </w:r>
          </w:p>
        </w:tc>
        <w:tc>
          <w:tcPr>
            <w:tcW w:w="1958" w:type="dxa"/>
            <w:noWrap w:val="0"/>
            <w:vAlign w:val="center"/>
          </w:tcPr>
          <w:p>
            <w:pPr>
              <w:jc w:val="center"/>
              <w:rPr>
                <w:rFonts w:hint="eastAsia" w:ascii="仿宋" w:hAnsi="仿宋" w:eastAsia="仿宋" w:cs="仿宋"/>
                <w:color w:val="auto"/>
                <w:kern w:val="0"/>
                <w:sz w:val="21"/>
                <w:szCs w:val="21"/>
                <w:highlight w:val="none"/>
              </w:rPr>
            </w:pPr>
            <w:r>
              <w:rPr>
                <w:rStyle w:val="162"/>
                <w:rFonts w:hint="eastAsia" w:ascii="仿宋" w:hAnsi="仿宋" w:eastAsia="仿宋" w:cs="仿宋"/>
                <w:color w:val="auto"/>
                <w:sz w:val="21"/>
                <w:szCs w:val="21"/>
                <w:highlight w:val="none"/>
              </w:rPr>
              <w:t>提供相关资料及证明（如会计资格证、驾驶证、食品检验上岗证、健康证、社保证明等）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99"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95"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企业实力</w:t>
            </w:r>
          </w:p>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（7分）</w:t>
            </w: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797" w:type="dxa"/>
            <w:noWrap w:val="0"/>
            <w:vAlign w:val="center"/>
          </w:tcPr>
          <w:p>
            <w:pPr>
              <w:widowControl/>
              <w:rPr>
                <w:rFonts w:hint="eastAsia" w:ascii="仿宋" w:hAnsi="仿宋" w:eastAsia="仿宋" w:cs="仿宋"/>
                <w:color w:val="auto"/>
                <w:kern w:val="0"/>
                <w:sz w:val="21"/>
                <w:szCs w:val="21"/>
                <w:highlight w:val="none"/>
              </w:rPr>
            </w:pPr>
            <w:r>
              <w:rPr>
                <w:rStyle w:val="162"/>
                <w:rFonts w:hint="eastAsia" w:ascii="仿宋" w:hAnsi="仿宋" w:eastAsia="仿宋" w:cs="仿宋"/>
                <w:color w:val="auto"/>
                <w:sz w:val="21"/>
                <w:szCs w:val="21"/>
                <w:highlight w:val="none"/>
              </w:rPr>
              <w:t>投标</w:t>
            </w:r>
            <w:r>
              <w:rPr>
                <w:rStyle w:val="162"/>
                <w:rFonts w:hint="eastAsia" w:ascii="仿宋" w:hAnsi="仿宋" w:eastAsia="仿宋" w:cs="仿宋"/>
                <w:color w:val="auto"/>
                <w:sz w:val="21"/>
                <w:szCs w:val="21"/>
                <w:highlight w:val="none"/>
                <w:lang w:eastAsia="zh-CN"/>
              </w:rPr>
              <w:t>人</w:t>
            </w:r>
            <w:r>
              <w:rPr>
                <w:rStyle w:val="162"/>
                <w:rFonts w:hint="eastAsia" w:ascii="仿宋" w:hAnsi="仿宋" w:eastAsia="仿宋" w:cs="仿宋"/>
                <w:color w:val="auto"/>
                <w:sz w:val="21"/>
                <w:szCs w:val="21"/>
                <w:highlight w:val="none"/>
              </w:rPr>
              <w:t>有固定的专用储备仓库面积达300平方米得1分，每增加50平方米加0.5分，以此类推，该项最高得分2分。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现场查看，提供产权证</w:t>
            </w:r>
            <w:r>
              <w:rPr>
                <w:rFonts w:hint="eastAsia" w:ascii="仿宋" w:hAnsi="仿宋" w:eastAsia="仿宋" w:cs="仿宋"/>
                <w:color w:val="auto"/>
                <w:kern w:val="0"/>
                <w:sz w:val="21"/>
                <w:szCs w:val="21"/>
                <w:highlight w:val="none"/>
                <w:lang w:eastAsia="zh-CN"/>
              </w:rPr>
              <w:t>或</w:t>
            </w:r>
            <w:r>
              <w:rPr>
                <w:rFonts w:hint="eastAsia" w:ascii="仿宋" w:hAnsi="仿宋" w:eastAsia="仿宋" w:cs="仿宋"/>
                <w:color w:val="auto"/>
                <w:kern w:val="0"/>
                <w:sz w:val="21"/>
                <w:szCs w:val="21"/>
                <w:highlight w:val="none"/>
              </w:rPr>
              <w:t>租赁合同、或其它证明材料。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99"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195"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4797" w:type="dxa"/>
            <w:noWrap w:val="0"/>
            <w:vAlign w:val="center"/>
          </w:tcPr>
          <w:p>
            <w:pPr>
              <w:widowControl/>
              <w:rPr>
                <w:rStyle w:val="162"/>
                <w:rFonts w:hint="eastAsia" w:ascii="仿宋" w:hAnsi="仿宋" w:eastAsia="仿宋" w:cs="仿宋"/>
                <w:color w:val="auto"/>
                <w:sz w:val="21"/>
                <w:szCs w:val="21"/>
                <w:highlight w:val="none"/>
                <w:lang w:eastAsia="zh-CN"/>
              </w:rPr>
            </w:pPr>
            <w:r>
              <w:rPr>
                <w:rStyle w:val="162"/>
                <w:rFonts w:hint="eastAsia" w:ascii="仿宋" w:hAnsi="仿宋" w:eastAsia="仿宋" w:cs="仿宋"/>
                <w:color w:val="auto"/>
                <w:sz w:val="21"/>
                <w:szCs w:val="21"/>
                <w:highlight w:val="none"/>
              </w:rPr>
              <w:t>根据投标企业仓库内商品库存量及保障相关食品安全的设施设备（如：通风防盗设施、防潮防四害设施等）、卫生情况（防尘、配送场地清洁卫生），酌情给分。优秀（2.1-4.0分）、良好（1.1-2.0分）、一般（0.1-1.0分）</w:t>
            </w:r>
            <w:r>
              <w:rPr>
                <w:rStyle w:val="162"/>
                <w:rFonts w:hint="eastAsia" w:ascii="仿宋" w:hAnsi="仿宋" w:eastAsia="仿宋" w:cs="仿宋"/>
                <w:color w:val="auto"/>
                <w:sz w:val="21"/>
                <w:szCs w:val="21"/>
                <w:highlight w:val="none"/>
                <w:lang w:eastAsia="zh-CN"/>
              </w:rPr>
              <w:t>。</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99"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195"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797" w:type="dxa"/>
            <w:noWrap w:val="0"/>
            <w:vAlign w:val="center"/>
          </w:tcPr>
          <w:p>
            <w:pPr>
              <w:widowControl/>
              <w:rPr>
                <w:rStyle w:val="162"/>
                <w:rFonts w:hint="eastAsia" w:ascii="仿宋" w:hAnsi="仿宋" w:eastAsia="仿宋" w:cs="仿宋"/>
                <w:color w:val="auto"/>
                <w:sz w:val="21"/>
                <w:szCs w:val="21"/>
                <w:highlight w:val="none"/>
                <w:lang w:val="en-US" w:eastAsia="zh-CN"/>
              </w:rPr>
            </w:pPr>
            <w:r>
              <w:rPr>
                <w:rStyle w:val="162"/>
                <w:rFonts w:hint="eastAsia" w:ascii="仿宋" w:hAnsi="仿宋" w:eastAsia="仿宋" w:cs="仿宋"/>
                <w:color w:val="auto"/>
                <w:sz w:val="21"/>
                <w:szCs w:val="21"/>
                <w:highlight w:val="none"/>
                <w:lang w:val="en-US" w:eastAsia="zh-CN"/>
              </w:rPr>
              <w:t>根据投标人的仓库远近情况进行打分，最高得1分。</w:t>
            </w:r>
          </w:p>
          <w:p>
            <w:pPr>
              <w:widowControl/>
              <w:rPr>
                <w:rStyle w:val="162"/>
                <w:rFonts w:hint="eastAsia" w:ascii="仿宋" w:hAnsi="仿宋" w:eastAsia="仿宋" w:cs="仿宋"/>
                <w:color w:val="auto"/>
                <w:sz w:val="21"/>
                <w:szCs w:val="21"/>
                <w:highlight w:val="none"/>
                <w:lang w:val="en-US" w:eastAsia="zh-CN"/>
              </w:rPr>
            </w:pPr>
            <w:r>
              <w:rPr>
                <w:rStyle w:val="162"/>
                <w:rFonts w:hint="eastAsia" w:ascii="仿宋" w:hAnsi="仿宋" w:eastAsia="仿宋" w:cs="仿宋"/>
                <w:color w:val="auto"/>
                <w:sz w:val="21"/>
                <w:szCs w:val="21"/>
                <w:highlight w:val="none"/>
                <w:lang w:val="en-US" w:eastAsia="zh-CN"/>
              </w:rPr>
              <w:t>1.方圆5公里（含）内得1分；</w:t>
            </w:r>
          </w:p>
          <w:p>
            <w:pPr>
              <w:widowControl/>
              <w:rPr>
                <w:rStyle w:val="162"/>
                <w:rFonts w:hint="eastAsia" w:ascii="仿宋" w:hAnsi="仿宋" w:eastAsia="仿宋" w:cs="仿宋"/>
                <w:color w:val="auto"/>
                <w:sz w:val="21"/>
                <w:szCs w:val="21"/>
                <w:highlight w:val="none"/>
                <w:lang w:val="en-US" w:eastAsia="zh-CN"/>
              </w:rPr>
            </w:pPr>
            <w:r>
              <w:rPr>
                <w:rStyle w:val="162"/>
                <w:rFonts w:hint="eastAsia" w:ascii="仿宋" w:hAnsi="仿宋" w:eastAsia="仿宋" w:cs="仿宋"/>
                <w:color w:val="auto"/>
                <w:sz w:val="21"/>
                <w:szCs w:val="21"/>
                <w:highlight w:val="none"/>
                <w:lang w:val="en-US" w:eastAsia="zh-CN"/>
              </w:rPr>
              <w:t>2.方圆10公里（含）内得0.5分；</w:t>
            </w:r>
          </w:p>
          <w:p>
            <w:pPr>
              <w:widowControl/>
              <w:rPr>
                <w:rStyle w:val="162"/>
                <w:rFonts w:hint="eastAsia" w:ascii="仿宋" w:hAnsi="仿宋" w:eastAsia="仿宋" w:cs="仿宋"/>
                <w:color w:val="auto"/>
                <w:sz w:val="21"/>
                <w:szCs w:val="21"/>
                <w:highlight w:val="none"/>
              </w:rPr>
            </w:pPr>
            <w:r>
              <w:rPr>
                <w:rStyle w:val="162"/>
                <w:rFonts w:hint="eastAsia" w:ascii="仿宋" w:hAnsi="仿宋" w:eastAsia="仿宋" w:cs="仿宋"/>
                <w:color w:val="auto"/>
                <w:sz w:val="21"/>
                <w:szCs w:val="21"/>
                <w:highlight w:val="none"/>
                <w:lang w:val="en-US" w:eastAsia="zh-CN"/>
              </w:rPr>
              <w:t>3.超出10公里不得分。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599"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195"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安全保障</w:t>
            </w:r>
          </w:p>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（6分）</w:t>
            </w: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797" w:type="dxa"/>
            <w:noWrap w:val="0"/>
            <w:vAlign w:val="center"/>
          </w:tcPr>
          <w:p>
            <w:pPr>
              <w:widowControl/>
              <w:textAlignment w:val="top"/>
              <w:rPr>
                <w:rFonts w:hint="eastAsia" w:ascii="仿宋" w:hAnsi="仿宋" w:eastAsia="仿宋" w:cs="仿宋"/>
                <w:color w:val="auto"/>
                <w:sz w:val="21"/>
                <w:szCs w:val="21"/>
                <w:highlight w:val="none"/>
              </w:rPr>
            </w:pPr>
            <w:r>
              <w:rPr>
                <w:rStyle w:val="162"/>
                <w:rFonts w:hint="eastAsia" w:ascii="仿宋" w:hAnsi="仿宋" w:eastAsia="仿宋" w:cs="仿宋"/>
                <w:color w:val="auto"/>
                <w:sz w:val="21"/>
                <w:szCs w:val="21"/>
                <w:highlight w:val="none"/>
              </w:rPr>
              <w:t>有专业检测设备设施: 大米水份含量检测设备、新陈度、黄曲美素快速检测设施等，每增加1台得0.5分，最高2分。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599" w:type="dxa"/>
            <w:vMerge w:val="continue"/>
            <w:noWrap w:val="0"/>
            <w:vAlign w:val="center"/>
          </w:tcPr>
          <w:p>
            <w:pPr>
              <w:widowControl/>
              <w:jc w:val="left"/>
              <w:rPr>
                <w:rFonts w:hint="eastAsia" w:ascii="仿宋" w:hAnsi="仿宋" w:eastAsia="仿宋" w:cs="仿宋"/>
                <w:color w:val="auto"/>
                <w:kern w:val="0"/>
                <w:sz w:val="21"/>
                <w:szCs w:val="21"/>
                <w:highlight w:val="none"/>
              </w:rPr>
            </w:pPr>
          </w:p>
        </w:tc>
        <w:tc>
          <w:tcPr>
            <w:tcW w:w="1195" w:type="dxa"/>
            <w:vMerge w:val="continue"/>
            <w:noWrap w:val="0"/>
            <w:vAlign w:val="center"/>
          </w:tcPr>
          <w:p>
            <w:pPr>
              <w:widowControl/>
              <w:jc w:val="left"/>
              <w:rPr>
                <w:rFonts w:hint="eastAsia" w:ascii="仿宋" w:hAnsi="仿宋" w:eastAsia="仿宋" w:cs="仿宋"/>
                <w:color w:val="auto"/>
                <w:kern w:val="0"/>
                <w:sz w:val="21"/>
                <w:szCs w:val="21"/>
                <w:highlight w:val="none"/>
              </w:rPr>
            </w:pP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797"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投保食品安全责任险得1分，单次赔偿额1000万及以上得1分。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提供保单资料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99" w:type="dxa"/>
            <w:vMerge w:val="continue"/>
            <w:noWrap w:val="0"/>
            <w:vAlign w:val="center"/>
          </w:tcPr>
          <w:p>
            <w:pPr>
              <w:widowControl/>
              <w:jc w:val="left"/>
              <w:rPr>
                <w:rFonts w:hint="eastAsia" w:ascii="仿宋" w:hAnsi="仿宋" w:eastAsia="仿宋" w:cs="仿宋"/>
                <w:color w:val="auto"/>
                <w:kern w:val="0"/>
                <w:sz w:val="21"/>
                <w:szCs w:val="21"/>
                <w:highlight w:val="none"/>
              </w:rPr>
            </w:pPr>
          </w:p>
        </w:tc>
        <w:tc>
          <w:tcPr>
            <w:tcW w:w="1195" w:type="dxa"/>
            <w:vMerge w:val="continue"/>
            <w:noWrap w:val="0"/>
            <w:vAlign w:val="center"/>
          </w:tcPr>
          <w:p>
            <w:pPr>
              <w:widowControl/>
              <w:jc w:val="left"/>
              <w:rPr>
                <w:rFonts w:hint="eastAsia" w:ascii="仿宋" w:hAnsi="仿宋" w:eastAsia="仿宋" w:cs="仿宋"/>
                <w:color w:val="auto"/>
                <w:kern w:val="0"/>
                <w:sz w:val="21"/>
                <w:szCs w:val="21"/>
                <w:highlight w:val="none"/>
              </w:rPr>
            </w:pP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797" w:type="dxa"/>
            <w:noWrap w:val="0"/>
            <w:vAlign w:val="center"/>
          </w:tcPr>
          <w:p>
            <w:pPr>
              <w:widowControl/>
              <w:rPr>
                <w:rFonts w:hint="eastAsia" w:ascii="仿宋" w:hAnsi="仿宋" w:eastAsia="仿宋" w:cs="仿宋"/>
                <w:color w:val="auto"/>
                <w:kern w:val="0"/>
                <w:sz w:val="21"/>
                <w:szCs w:val="21"/>
                <w:highlight w:val="none"/>
              </w:rPr>
            </w:pPr>
            <w:r>
              <w:rPr>
                <w:rStyle w:val="162"/>
                <w:rFonts w:hint="eastAsia" w:ascii="仿宋" w:hAnsi="仿宋" w:eastAsia="仿宋" w:cs="仿宋"/>
                <w:color w:val="auto"/>
                <w:sz w:val="21"/>
                <w:szCs w:val="21"/>
                <w:highlight w:val="none"/>
              </w:rPr>
              <w:t>有食品安全管理员，索证索票齐全，</w:t>
            </w:r>
            <w:r>
              <w:rPr>
                <w:rFonts w:hint="eastAsia" w:ascii="仿宋" w:hAnsi="仿宋" w:eastAsia="仿宋" w:cs="仿宋"/>
                <w:color w:val="auto"/>
                <w:kern w:val="0"/>
                <w:sz w:val="21"/>
                <w:szCs w:val="21"/>
                <w:highlight w:val="none"/>
              </w:rPr>
              <w:t>提供近三年（2018年</w:t>
            </w:r>
            <w:r>
              <w:rPr>
                <w:rFonts w:hint="eastAsia" w:ascii="仿宋" w:hAnsi="仿宋" w:eastAsia="仿宋" w:cs="仿宋"/>
                <w:color w:val="auto"/>
                <w:kern w:val="0"/>
                <w:sz w:val="21"/>
                <w:szCs w:val="21"/>
                <w:highlight w:val="none"/>
                <w:lang w:val="en-US" w:eastAsia="zh-CN"/>
              </w:rPr>
              <w:t>1月</w:t>
            </w:r>
            <w:r>
              <w:rPr>
                <w:rFonts w:hint="eastAsia" w:ascii="仿宋" w:hAnsi="仿宋" w:eastAsia="仿宋" w:cs="仿宋"/>
                <w:color w:val="auto"/>
                <w:kern w:val="0"/>
                <w:sz w:val="21"/>
                <w:szCs w:val="21"/>
                <w:highlight w:val="none"/>
              </w:rPr>
              <w:t>至今）</w:t>
            </w:r>
            <w:r>
              <w:rPr>
                <w:rStyle w:val="162"/>
                <w:rFonts w:hint="eastAsia" w:ascii="仿宋" w:hAnsi="仿宋" w:eastAsia="仿宋" w:cs="仿宋"/>
                <w:color w:val="auto"/>
                <w:sz w:val="21"/>
                <w:szCs w:val="21"/>
                <w:highlight w:val="none"/>
              </w:rPr>
              <w:t>每批次检验合格报告，食品进出库记录齐全，酌情评分。</w:t>
            </w:r>
            <w:r>
              <w:rPr>
                <w:rFonts w:hint="eastAsia" w:ascii="仿宋" w:hAnsi="仿宋" w:eastAsia="仿宋" w:cs="仿宋"/>
                <w:color w:val="auto"/>
                <w:kern w:val="0"/>
                <w:sz w:val="21"/>
                <w:szCs w:val="21"/>
                <w:highlight w:val="none"/>
              </w:rPr>
              <w:t>优秀（1.1-2.0分）、良好（0.6-1.0分）、一般（0.1-0.5分）。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99"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195"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配送保障</w:t>
            </w:r>
          </w:p>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（2分）</w:t>
            </w: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797"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投标企业</w:t>
            </w:r>
            <w:r>
              <w:rPr>
                <w:rStyle w:val="162"/>
                <w:rFonts w:hint="eastAsia" w:ascii="仿宋" w:hAnsi="仿宋" w:eastAsia="仿宋" w:cs="仿宋"/>
                <w:color w:val="auto"/>
                <w:sz w:val="21"/>
                <w:szCs w:val="21"/>
                <w:highlight w:val="none"/>
              </w:rPr>
              <w:t>自有足够符合标准的配送专用车辆，车辆整洁、经常消毒</w:t>
            </w:r>
            <w:r>
              <w:rPr>
                <w:rFonts w:hint="eastAsia" w:ascii="仿宋" w:hAnsi="仿宋" w:eastAsia="仿宋" w:cs="仿宋"/>
                <w:color w:val="auto"/>
                <w:kern w:val="0"/>
                <w:sz w:val="21"/>
                <w:szCs w:val="21"/>
                <w:highlight w:val="none"/>
              </w:rPr>
              <w:t>，</w:t>
            </w:r>
            <w:r>
              <w:rPr>
                <w:rStyle w:val="162"/>
                <w:rFonts w:hint="eastAsia" w:ascii="仿宋" w:hAnsi="仿宋" w:eastAsia="仿宋" w:cs="仿宋"/>
                <w:color w:val="auto"/>
                <w:sz w:val="21"/>
                <w:szCs w:val="21"/>
                <w:highlight w:val="none"/>
              </w:rPr>
              <w:t>1辆得1分，每增加1辆加0.5分。最高得2分。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提供现场视频或照片，提供单位行驶证件及消毒记录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67" w:type="dxa"/>
            <w:gridSpan w:val="5"/>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二、基本情况（40分）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9"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1195"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评分项目</w:t>
            </w: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分值</w:t>
            </w:r>
          </w:p>
        </w:tc>
        <w:tc>
          <w:tcPr>
            <w:tcW w:w="4797"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投标评分标准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9"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195" w:type="dxa"/>
            <w:vMerge w:val="restart"/>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企业资质（9分）</w:t>
            </w: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4797"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区（县、市）级、市级、省级龙头企业或主要合作单位为市级、省级、国企级龙头企业分别得1、2、3分，不累加，最高得3分。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9"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195" w:type="dxa"/>
            <w:vMerge w:val="continue"/>
            <w:noWrap w:val="0"/>
            <w:vAlign w:val="center"/>
          </w:tcPr>
          <w:p>
            <w:pPr>
              <w:widowControl/>
              <w:jc w:val="center"/>
              <w:textAlignment w:val="center"/>
              <w:rPr>
                <w:rFonts w:hint="eastAsia" w:ascii="仿宋" w:hAnsi="仿宋" w:eastAsia="仿宋" w:cs="仿宋"/>
                <w:color w:val="auto"/>
                <w:kern w:val="0"/>
                <w:sz w:val="21"/>
                <w:szCs w:val="21"/>
                <w:highlight w:val="none"/>
              </w:rPr>
            </w:pP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797"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具有ISO9001质量管理体系认证。有得1分，无不得分。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9"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195" w:type="dxa"/>
            <w:vMerge w:val="continue"/>
            <w:noWrap w:val="0"/>
            <w:vAlign w:val="center"/>
          </w:tcPr>
          <w:p>
            <w:pPr>
              <w:widowControl/>
              <w:jc w:val="center"/>
              <w:textAlignment w:val="center"/>
              <w:rPr>
                <w:rFonts w:hint="eastAsia" w:ascii="仿宋" w:hAnsi="仿宋" w:eastAsia="仿宋" w:cs="仿宋"/>
                <w:color w:val="auto"/>
                <w:kern w:val="0"/>
                <w:sz w:val="21"/>
                <w:szCs w:val="21"/>
                <w:highlight w:val="none"/>
              </w:rPr>
            </w:pP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797"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具有ISO22000食品安全管理体系认证。有得1分，无不得分。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9"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195" w:type="dxa"/>
            <w:vMerge w:val="continue"/>
            <w:noWrap w:val="0"/>
            <w:vAlign w:val="center"/>
          </w:tcPr>
          <w:p>
            <w:pPr>
              <w:widowControl/>
              <w:jc w:val="center"/>
              <w:textAlignment w:val="center"/>
              <w:rPr>
                <w:rFonts w:hint="eastAsia" w:ascii="仿宋" w:hAnsi="仿宋" w:eastAsia="仿宋" w:cs="仿宋"/>
                <w:color w:val="auto"/>
                <w:kern w:val="0"/>
                <w:sz w:val="21"/>
                <w:szCs w:val="21"/>
                <w:highlight w:val="none"/>
              </w:rPr>
            </w:pP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797"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具有ISO18001职业健康安全管理体系认证。有得1分，无不得分。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9"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195" w:type="dxa"/>
            <w:vMerge w:val="continue"/>
            <w:noWrap w:val="0"/>
            <w:vAlign w:val="center"/>
          </w:tcPr>
          <w:p>
            <w:pPr>
              <w:widowControl/>
              <w:jc w:val="center"/>
              <w:textAlignment w:val="center"/>
              <w:rPr>
                <w:rFonts w:hint="eastAsia" w:ascii="仿宋" w:hAnsi="仿宋" w:eastAsia="仿宋" w:cs="仿宋"/>
                <w:color w:val="auto"/>
                <w:kern w:val="0"/>
                <w:sz w:val="21"/>
                <w:szCs w:val="21"/>
                <w:highlight w:val="none"/>
              </w:rPr>
            </w:pP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797"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具有AAA及以上企业证书。有得1分，无不得分。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9"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195" w:type="dxa"/>
            <w:vMerge w:val="continue"/>
            <w:noWrap w:val="0"/>
            <w:vAlign w:val="center"/>
          </w:tcPr>
          <w:p>
            <w:pPr>
              <w:widowControl/>
              <w:jc w:val="center"/>
              <w:textAlignment w:val="center"/>
              <w:rPr>
                <w:rFonts w:hint="eastAsia" w:ascii="仿宋" w:hAnsi="仿宋" w:eastAsia="仿宋" w:cs="仿宋"/>
                <w:color w:val="auto"/>
                <w:kern w:val="0"/>
                <w:sz w:val="21"/>
                <w:szCs w:val="21"/>
                <w:highlight w:val="none"/>
              </w:rPr>
            </w:pP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797"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eastAsia="zh-CN"/>
              </w:rPr>
              <w:t>单位人员在</w:t>
            </w:r>
            <w:r>
              <w:rPr>
                <w:rFonts w:hint="eastAsia" w:ascii="仿宋" w:hAnsi="仿宋" w:eastAsia="仿宋" w:cs="仿宋"/>
                <w:color w:val="auto"/>
                <w:kern w:val="0"/>
                <w:sz w:val="21"/>
                <w:szCs w:val="21"/>
                <w:highlight w:val="none"/>
              </w:rPr>
              <w:t>2018年6月</w:t>
            </w:r>
            <w:r>
              <w:rPr>
                <w:rFonts w:hint="eastAsia" w:ascii="仿宋" w:hAnsi="仿宋" w:eastAsia="仿宋" w:cs="仿宋"/>
                <w:color w:val="auto"/>
                <w:kern w:val="0"/>
                <w:sz w:val="21"/>
                <w:szCs w:val="21"/>
                <w:highlight w:val="none"/>
                <w:lang w:eastAsia="zh-CN"/>
              </w:rPr>
              <w:t>至今</w:t>
            </w:r>
            <w:r>
              <w:rPr>
                <w:rFonts w:hint="eastAsia" w:ascii="仿宋" w:hAnsi="仿宋" w:eastAsia="仿宋" w:cs="仿宋"/>
                <w:color w:val="auto"/>
                <w:kern w:val="0"/>
                <w:sz w:val="21"/>
                <w:szCs w:val="21"/>
                <w:highlight w:val="none"/>
              </w:rPr>
              <w:t>参加社会保险人数，5人</w:t>
            </w:r>
            <w:r>
              <w:rPr>
                <w:rFonts w:hint="eastAsia" w:ascii="仿宋" w:hAnsi="仿宋" w:eastAsia="仿宋" w:cs="仿宋"/>
                <w:color w:val="auto"/>
                <w:kern w:val="0"/>
                <w:sz w:val="21"/>
                <w:szCs w:val="21"/>
                <w:highlight w:val="none"/>
                <w:lang w:eastAsia="zh-CN"/>
              </w:rPr>
              <w:t>及以上</w:t>
            </w:r>
            <w:r>
              <w:rPr>
                <w:rFonts w:hint="eastAsia" w:ascii="仿宋" w:hAnsi="仿宋" w:eastAsia="仿宋" w:cs="仿宋"/>
                <w:color w:val="auto"/>
                <w:kern w:val="0"/>
                <w:sz w:val="21"/>
                <w:szCs w:val="21"/>
                <w:highlight w:val="none"/>
              </w:rPr>
              <w:t>得1分，以后每增加1人，加0.1分，最高2分。5人以下，每有1人，得0.2分。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提供公司社保证明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9"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195" w:type="dxa"/>
            <w:vMerge w:val="restart"/>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企业信誉（4分）</w:t>
            </w:r>
          </w:p>
        </w:tc>
        <w:tc>
          <w:tcPr>
            <w:tcW w:w="718" w:type="dxa"/>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797" w:type="dxa"/>
            <w:noWrap w:val="0"/>
            <w:vAlign w:val="center"/>
          </w:tcPr>
          <w:p>
            <w:pPr>
              <w:widowControl/>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eastAsia="zh-CN"/>
              </w:rPr>
              <w:t>人</w:t>
            </w:r>
            <w:r>
              <w:rPr>
                <w:rFonts w:hint="eastAsia" w:ascii="仿宋" w:hAnsi="仿宋" w:eastAsia="仿宋" w:cs="仿宋"/>
                <w:color w:val="auto"/>
                <w:kern w:val="0"/>
                <w:sz w:val="21"/>
                <w:szCs w:val="21"/>
                <w:highlight w:val="none"/>
              </w:rPr>
              <w:t>近三年（2018年</w:t>
            </w:r>
            <w:r>
              <w:rPr>
                <w:rFonts w:hint="eastAsia" w:ascii="仿宋" w:hAnsi="仿宋" w:eastAsia="仿宋" w:cs="仿宋"/>
                <w:color w:val="auto"/>
                <w:kern w:val="0"/>
                <w:sz w:val="21"/>
                <w:szCs w:val="21"/>
                <w:highlight w:val="none"/>
                <w:lang w:val="en-US" w:eastAsia="zh-CN"/>
              </w:rPr>
              <w:t>1月</w:t>
            </w:r>
            <w:r>
              <w:rPr>
                <w:rFonts w:hint="eastAsia" w:ascii="仿宋" w:hAnsi="仿宋" w:eastAsia="仿宋" w:cs="仿宋"/>
                <w:color w:val="auto"/>
                <w:kern w:val="0"/>
                <w:sz w:val="21"/>
                <w:szCs w:val="21"/>
                <w:highlight w:val="none"/>
              </w:rPr>
              <w:t>至今）在本行业获区（县、市）、市、省、国家级荣誉（含先进、示范单位、百名农产品经销商、诚信、信用等级A级）分别得0.5、1、1.5、2分，不累加，最高得2分。</w:t>
            </w:r>
          </w:p>
        </w:tc>
        <w:tc>
          <w:tcPr>
            <w:tcW w:w="1958" w:type="dxa"/>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99"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195" w:type="dxa"/>
            <w:vMerge w:val="continue"/>
            <w:noWrap w:val="0"/>
            <w:vAlign w:val="center"/>
          </w:tcPr>
          <w:p>
            <w:pPr>
              <w:widowControl/>
              <w:jc w:val="center"/>
              <w:textAlignment w:val="center"/>
              <w:rPr>
                <w:rFonts w:hint="eastAsia" w:ascii="仿宋" w:hAnsi="仿宋" w:eastAsia="仿宋" w:cs="仿宋"/>
                <w:color w:val="auto"/>
                <w:kern w:val="0"/>
                <w:sz w:val="21"/>
                <w:szCs w:val="21"/>
                <w:highlight w:val="none"/>
              </w:rPr>
            </w:pPr>
          </w:p>
        </w:tc>
        <w:tc>
          <w:tcPr>
            <w:tcW w:w="718" w:type="dxa"/>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797"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经营至今无食品安全事故发生，得2分。</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提供主管部门证明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9" w:type="dxa"/>
            <w:vMerge w:val="restart"/>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1195" w:type="dxa"/>
            <w:vMerge w:val="restart"/>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产品品牌（5分）</w:t>
            </w: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4797" w:type="dxa"/>
            <w:noWrap w:val="0"/>
            <w:vAlign w:val="center"/>
          </w:tcPr>
          <w:p>
            <w:pPr>
              <w:widowControl/>
              <w:jc w:val="left"/>
              <w:textAlignment w:val="center"/>
              <w:rPr>
                <w:rFonts w:hint="eastAsia" w:ascii="仿宋" w:hAnsi="仿宋" w:eastAsia="仿宋" w:cs="仿宋"/>
                <w:color w:val="auto"/>
                <w:kern w:val="0"/>
                <w:sz w:val="21"/>
                <w:szCs w:val="21"/>
                <w:highlight w:val="none"/>
              </w:rPr>
            </w:pPr>
            <w:r>
              <w:rPr>
                <w:rStyle w:val="163"/>
                <w:rFonts w:hint="eastAsia" w:ascii="仿宋" w:hAnsi="仿宋" w:eastAsia="仿宋" w:cs="仿宋"/>
                <w:color w:val="auto"/>
                <w:sz w:val="21"/>
                <w:szCs w:val="21"/>
                <w:highlight w:val="none"/>
              </w:rPr>
              <w:t>配送企业提供的产品</w:t>
            </w:r>
            <w:r>
              <w:rPr>
                <w:rFonts w:hint="eastAsia" w:ascii="仿宋" w:hAnsi="仿宋" w:eastAsia="仿宋" w:cs="仿宋"/>
                <w:color w:val="auto"/>
                <w:sz w:val="21"/>
                <w:szCs w:val="21"/>
                <w:highlight w:val="none"/>
              </w:rPr>
              <w:t>具有SC食品质量安全生产许可证</w:t>
            </w:r>
            <w:r>
              <w:rPr>
                <w:rStyle w:val="163"/>
                <w:rFonts w:hint="eastAsia" w:ascii="仿宋" w:hAnsi="仿宋" w:eastAsia="仿宋" w:cs="仿宋"/>
                <w:color w:val="auto"/>
                <w:sz w:val="21"/>
                <w:szCs w:val="21"/>
                <w:highlight w:val="none"/>
              </w:rPr>
              <w:t>及省级以上著名品牌或为省级农业龙头，且拥有该商品在区（县、市）及以上的经销权（包括总经销、代理权或是指定渠道提供商），1只品牌得1分，该项评分最高得3分。</w:t>
            </w:r>
          </w:p>
        </w:tc>
        <w:tc>
          <w:tcPr>
            <w:tcW w:w="1958"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提供配送物品的品牌证明及授权信息；提供相关文件资料、证书原件及复印件。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9" w:type="dxa"/>
            <w:vMerge w:val="continue"/>
            <w:noWrap w:val="0"/>
            <w:vAlign w:val="center"/>
          </w:tcPr>
          <w:p>
            <w:pPr>
              <w:jc w:val="center"/>
              <w:rPr>
                <w:rFonts w:hint="eastAsia" w:ascii="仿宋" w:hAnsi="仿宋" w:eastAsia="仿宋" w:cs="仿宋"/>
                <w:color w:val="auto"/>
                <w:kern w:val="0"/>
                <w:sz w:val="21"/>
                <w:szCs w:val="21"/>
                <w:highlight w:val="none"/>
              </w:rPr>
            </w:pPr>
          </w:p>
        </w:tc>
        <w:tc>
          <w:tcPr>
            <w:tcW w:w="1195" w:type="dxa"/>
            <w:vMerge w:val="continue"/>
            <w:noWrap w:val="0"/>
            <w:vAlign w:val="center"/>
          </w:tcPr>
          <w:p>
            <w:pPr>
              <w:jc w:val="center"/>
              <w:rPr>
                <w:rFonts w:hint="eastAsia" w:ascii="仿宋" w:hAnsi="仿宋" w:eastAsia="仿宋" w:cs="仿宋"/>
                <w:color w:val="auto"/>
                <w:kern w:val="0"/>
                <w:sz w:val="21"/>
                <w:szCs w:val="21"/>
                <w:highlight w:val="none"/>
              </w:rPr>
            </w:pPr>
          </w:p>
        </w:tc>
        <w:tc>
          <w:tcPr>
            <w:tcW w:w="71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797" w:type="dxa"/>
            <w:noWrap w:val="0"/>
            <w:vAlign w:val="center"/>
          </w:tcPr>
          <w:p>
            <w:pPr>
              <w:widowControl/>
              <w:jc w:val="left"/>
              <w:textAlignment w:val="center"/>
              <w:rPr>
                <w:rStyle w:val="163"/>
                <w:rFonts w:hint="eastAsia" w:ascii="仿宋" w:hAnsi="仿宋" w:eastAsia="仿宋" w:cs="仿宋"/>
                <w:color w:val="auto"/>
                <w:sz w:val="21"/>
                <w:szCs w:val="21"/>
                <w:highlight w:val="none"/>
              </w:rPr>
            </w:pPr>
            <w:r>
              <w:rPr>
                <w:rStyle w:val="163"/>
                <w:rFonts w:hint="eastAsia" w:ascii="仿宋" w:hAnsi="仿宋" w:eastAsia="仿宋" w:cs="仿宋"/>
                <w:color w:val="auto"/>
                <w:sz w:val="21"/>
                <w:szCs w:val="21"/>
                <w:highlight w:val="none"/>
              </w:rPr>
              <w:t>配送企业提供的调味品拥有市级及以上著名品牌，且拥有该商品在</w:t>
            </w:r>
            <w:r>
              <w:rPr>
                <w:rFonts w:hint="eastAsia" w:ascii="仿宋" w:hAnsi="仿宋" w:eastAsia="仿宋" w:cs="仿宋"/>
                <w:color w:val="auto"/>
                <w:kern w:val="0"/>
                <w:sz w:val="21"/>
                <w:szCs w:val="21"/>
                <w:highlight w:val="none"/>
              </w:rPr>
              <w:t>区（县、市）</w:t>
            </w:r>
            <w:r>
              <w:rPr>
                <w:rStyle w:val="163"/>
                <w:rFonts w:hint="eastAsia" w:ascii="仿宋" w:hAnsi="仿宋" w:eastAsia="仿宋" w:cs="仿宋"/>
                <w:color w:val="auto"/>
                <w:sz w:val="21"/>
                <w:szCs w:val="21"/>
                <w:highlight w:val="none"/>
              </w:rPr>
              <w:t>及以上的经销权（包括总经销、代理权或是指定渠道供货商），1只品牌得1分，该项评分最高得2分。</w:t>
            </w:r>
          </w:p>
        </w:tc>
        <w:tc>
          <w:tcPr>
            <w:tcW w:w="1958" w:type="dxa"/>
            <w:vMerge w:val="continue"/>
            <w:noWrap w:val="0"/>
            <w:vAlign w:val="center"/>
          </w:tcPr>
          <w:p>
            <w:pPr>
              <w:widowControl/>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9"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195" w:type="dxa"/>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样品</w:t>
            </w:r>
          </w:p>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（10分）</w:t>
            </w:r>
          </w:p>
        </w:tc>
        <w:tc>
          <w:tcPr>
            <w:tcW w:w="718" w:type="dxa"/>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4797" w:type="dxa"/>
            <w:noWrap w:val="0"/>
            <w:vAlign w:val="center"/>
          </w:tcPr>
          <w:p>
            <w:pPr>
              <w:ind w:left="71" w:leftChars="34" w:right="71" w:rightChars="34"/>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根据样品情况进行综合评价：优7.1-10.0分、良4.1-7.0分、一般0.1-4.0分。</w:t>
            </w:r>
          </w:p>
        </w:tc>
        <w:tc>
          <w:tcPr>
            <w:tcW w:w="1958" w:type="dxa"/>
            <w:noWrap w:val="0"/>
            <w:vAlign w:val="center"/>
          </w:tcPr>
          <w:p>
            <w:pPr>
              <w:spacing w:line="360" w:lineRule="auto"/>
              <w:ind w:left="-15" w:leftChars="-7" w:right="42" w:rightChars="20" w:firstLine="14" w:firstLineChars="7"/>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599"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1195"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配送业绩</w:t>
            </w:r>
          </w:p>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（7分）</w:t>
            </w:r>
          </w:p>
        </w:tc>
        <w:tc>
          <w:tcPr>
            <w:tcW w:w="718" w:type="dxa"/>
            <w:noWrap w:val="0"/>
            <w:vAlign w:val="center"/>
          </w:tcPr>
          <w:p>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4797"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eastAsia="zh-CN"/>
              </w:rPr>
              <w:t>人</w:t>
            </w:r>
            <w:r>
              <w:rPr>
                <w:rFonts w:hint="eastAsia" w:ascii="仿宋" w:hAnsi="仿宋" w:eastAsia="仿宋" w:cs="仿宋"/>
                <w:color w:val="auto"/>
                <w:kern w:val="0"/>
                <w:sz w:val="21"/>
                <w:szCs w:val="21"/>
                <w:highlight w:val="none"/>
              </w:rPr>
              <w:t>近三年（2018年</w:t>
            </w:r>
            <w:r>
              <w:rPr>
                <w:rFonts w:hint="eastAsia" w:ascii="仿宋" w:hAnsi="仿宋" w:eastAsia="仿宋" w:cs="仿宋"/>
                <w:color w:val="auto"/>
                <w:kern w:val="0"/>
                <w:sz w:val="21"/>
                <w:szCs w:val="21"/>
                <w:highlight w:val="none"/>
                <w:lang w:val="en-US" w:eastAsia="zh-CN"/>
              </w:rPr>
              <w:t>1月</w:t>
            </w:r>
            <w:r>
              <w:rPr>
                <w:rFonts w:hint="eastAsia" w:ascii="仿宋" w:hAnsi="仿宋" w:eastAsia="仿宋" w:cs="仿宋"/>
                <w:color w:val="auto"/>
                <w:kern w:val="0"/>
                <w:sz w:val="21"/>
                <w:szCs w:val="21"/>
                <w:highlight w:val="none"/>
              </w:rPr>
              <w:t>至今</w:t>
            </w:r>
            <w:r>
              <w:rPr>
                <w:rFonts w:hint="eastAsia" w:ascii="仿宋" w:hAnsi="仿宋" w:eastAsia="仿宋" w:cs="仿宋"/>
                <w:color w:val="auto"/>
                <w:kern w:val="0"/>
                <w:sz w:val="21"/>
                <w:szCs w:val="21"/>
                <w:highlight w:val="none"/>
                <w:lang w:eastAsia="zh-CN"/>
              </w:rPr>
              <w:t>，以合同签订时间为准</w:t>
            </w:r>
            <w:r>
              <w:rPr>
                <w:rFonts w:hint="eastAsia" w:ascii="仿宋" w:hAnsi="仿宋" w:eastAsia="仿宋" w:cs="仿宋"/>
                <w:color w:val="auto"/>
                <w:kern w:val="0"/>
                <w:sz w:val="21"/>
                <w:szCs w:val="21"/>
                <w:highlight w:val="none"/>
              </w:rPr>
              <w:t>）有</w:t>
            </w:r>
            <w:r>
              <w:rPr>
                <w:rFonts w:hint="eastAsia" w:ascii="仿宋" w:hAnsi="仿宋" w:eastAsia="仿宋" w:cs="仿宋"/>
                <w:color w:val="auto"/>
                <w:kern w:val="0"/>
                <w:sz w:val="21"/>
                <w:szCs w:val="21"/>
                <w:highlight w:val="none"/>
                <w:lang w:eastAsia="zh-CN"/>
              </w:rPr>
              <w:t>本项目同规模类似配送业绩</w:t>
            </w:r>
            <w:r>
              <w:rPr>
                <w:rFonts w:hint="eastAsia" w:ascii="仿宋" w:hAnsi="仿宋" w:eastAsia="仿宋" w:cs="仿宋"/>
                <w:color w:val="auto"/>
                <w:kern w:val="0"/>
                <w:sz w:val="21"/>
                <w:szCs w:val="21"/>
                <w:highlight w:val="none"/>
              </w:rPr>
              <w:t>（机关事业或医院或学校单位等）达10家以上得2分，每递增10家加</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分，以此类推，最高</w:t>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 xml:space="preserve">分。 </w:t>
            </w:r>
            <w:r>
              <w:rPr>
                <w:rFonts w:hint="eastAsia" w:ascii="仿宋" w:hAnsi="仿宋" w:eastAsia="仿宋" w:cs="仿宋"/>
                <w:color w:val="auto"/>
                <w:kern w:val="0"/>
                <w:sz w:val="21"/>
                <w:szCs w:val="21"/>
                <w:highlight w:val="none"/>
                <w:lang w:eastAsia="zh-CN"/>
              </w:rPr>
              <w:t>（未满</w:t>
            </w:r>
            <w:r>
              <w:rPr>
                <w:rFonts w:hint="eastAsia" w:ascii="仿宋" w:hAnsi="仿宋" w:eastAsia="仿宋" w:cs="仿宋"/>
                <w:color w:val="auto"/>
                <w:kern w:val="0"/>
                <w:sz w:val="21"/>
                <w:szCs w:val="21"/>
                <w:highlight w:val="none"/>
                <w:lang w:val="en-US" w:eastAsia="zh-CN"/>
              </w:rPr>
              <w:t>10家不得分）</w:t>
            </w:r>
            <w:r>
              <w:rPr>
                <w:rFonts w:hint="eastAsia" w:ascii="仿宋" w:hAnsi="仿宋" w:eastAsia="仿宋" w:cs="仿宋"/>
                <w:color w:val="auto"/>
                <w:kern w:val="0"/>
                <w:sz w:val="21"/>
                <w:szCs w:val="21"/>
                <w:highlight w:val="none"/>
              </w:rPr>
              <w:t xml:space="preserve">                                                                                                                                                                                          </w:t>
            </w:r>
          </w:p>
        </w:tc>
        <w:tc>
          <w:tcPr>
            <w:tcW w:w="195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提供配送单位合同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599"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1195" w:type="dxa"/>
            <w:noWrap w:val="0"/>
            <w:vAlign w:val="center"/>
          </w:tcPr>
          <w:p>
            <w:pPr>
              <w:widowControl/>
              <w:jc w:val="center"/>
              <w:rPr>
                <w:rFonts w:hint="eastAsia" w:ascii="仿宋" w:hAnsi="仿宋" w:eastAsia="仿宋" w:cs="仿宋"/>
                <w:color w:val="auto"/>
                <w:kern w:val="0"/>
                <w:sz w:val="21"/>
                <w:szCs w:val="21"/>
                <w:highlight w:val="none"/>
              </w:rPr>
            </w:pPr>
            <w:r>
              <w:rPr>
                <w:rStyle w:val="163"/>
                <w:rFonts w:hint="eastAsia" w:ascii="仿宋" w:hAnsi="仿宋" w:eastAsia="仿宋" w:cs="仿宋"/>
                <w:color w:val="auto"/>
                <w:sz w:val="21"/>
                <w:szCs w:val="21"/>
                <w:highlight w:val="none"/>
              </w:rPr>
              <w:t>应急措施</w:t>
            </w:r>
            <w:r>
              <w:rPr>
                <w:rFonts w:hint="eastAsia" w:ascii="仿宋" w:hAnsi="仿宋" w:eastAsia="仿宋" w:cs="仿宋"/>
                <w:color w:val="auto"/>
                <w:kern w:val="0"/>
                <w:sz w:val="21"/>
                <w:szCs w:val="21"/>
                <w:highlight w:val="none"/>
              </w:rPr>
              <w:t>（5分）</w:t>
            </w:r>
          </w:p>
        </w:tc>
        <w:tc>
          <w:tcPr>
            <w:tcW w:w="718" w:type="dxa"/>
            <w:noWrap w:val="0"/>
            <w:vAlign w:val="center"/>
          </w:tcPr>
          <w:p>
            <w:pPr>
              <w:widowControl/>
              <w:jc w:val="center"/>
              <w:textAlignment w:val="center"/>
              <w:rPr>
                <w:rFonts w:hint="eastAsia" w:ascii="仿宋" w:hAnsi="仿宋" w:eastAsia="仿宋" w:cs="仿宋"/>
                <w:color w:val="auto"/>
                <w:kern w:val="0"/>
                <w:sz w:val="21"/>
                <w:szCs w:val="21"/>
                <w:highlight w:val="none"/>
              </w:rPr>
            </w:pPr>
            <w:r>
              <w:rPr>
                <w:rStyle w:val="163"/>
                <w:rFonts w:hint="eastAsia" w:ascii="仿宋" w:hAnsi="仿宋" w:eastAsia="仿宋" w:cs="仿宋"/>
                <w:color w:val="auto"/>
                <w:sz w:val="21"/>
                <w:szCs w:val="21"/>
                <w:highlight w:val="none"/>
              </w:rPr>
              <w:t>5</w:t>
            </w:r>
          </w:p>
        </w:tc>
        <w:tc>
          <w:tcPr>
            <w:tcW w:w="4797" w:type="dxa"/>
            <w:noWrap w:val="0"/>
            <w:vAlign w:val="top"/>
          </w:tcPr>
          <w:p>
            <w:pPr>
              <w:widowControl/>
              <w:jc w:val="left"/>
              <w:textAlignment w:val="center"/>
              <w:rPr>
                <w:rStyle w:val="163"/>
                <w:rFonts w:hint="eastAsia" w:ascii="仿宋" w:hAnsi="仿宋" w:eastAsia="仿宋" w:cs="仿宋"/>
                <w:color w:val="auto"/>
                <w:sz w:val="21"/>
                <w:szCs w:val="21"/>
                <w:highlight w:val="none"/>
              </w:rPr>
            </w:pPr>
            <w:r>
              <w:rPr>
                <w:rStyle w:val="163"/>
                <w:rFonts w:hint="eastAsia" w:ascii="仿宋" w:hAnsi="仿宋" w:eastAsia="仿宋" w:cs="仿宋"/>
                <w:color w:val="auto"/>
                <w:sz w:val="21"/>
                <w:szCs w:val="21"/>
                <w:highlight w:val="none"/>
              </w:rPr>
              <w:t xml:space="preserve">根据招标人食堂特殊情况或零星食材应急配送要求，投标人必须随时随地做好保障，应急食材必须在半小时内送达到位，食材品质达到食堂要求。评标委员会对投标文件进行横向比较。优秀（4.1-5.0分）、良好（2.1-4.0分）、一般（0.1-2.0分），未提供的不得分。  </w:t>
            </w:r>
          </w:p>
        </w:tc>
        <w:tc>
          <w:tcPr>
            <w:tcW w:w="1958" w:type="dxa"/>
            <w:noWrap w:val="0"/>
            <w:vAlign w:val="center"/>
          </w:tcPr>
          <w:p>
            <w:pPr>
              <w:widowControl/>
              <w:rPr>
                <w:rFonts w:hint="eastAsia" w:ascii="仿宋" w:hAnsi="仿宋" w:eastAsia="仿宋" w:cs="仿宋"/>
                <w:color w:val="auto"/>
                <w:kern w:val="0"/>
                <w:sz w:val="21"/>
                <w:szCs w:val="21"/>
                <w:highlight w:val="none"/>
              </w:rPr>
            </w:pPr>
          </w:p>
        </w:tc>
      </w:tr>
    </w:tbl>
    <w:p>
      <w:pPr>
        <w:spacing w:line="360" w:lineRule="auto"/>
        <w:ind w:firstLine="413" w:firstLineChars="196"/>
        <w:rPr>
          <w:rFonts w:hint="eastAsia" w:ascii="仿宋_GB2312" w:hAnsi="宋体" w:eastAsia="仿宋_GB2312"/>
          <w:b/>
          <w:bCs/>
          <w:iCs/>
          <w:color w:val="auto"/>
          <w:sz w:val="21"/>
          <w:szCs w:val="21"/>
          <w:highlight w:val="none"/>
          <w:lang w:eastAsia="zh-CN"/>
        </w:rPr>
      </w:pPr>
      <w:r>
        <w:rPr>
          <w:rFonts w:hint="eastAsia" w:ascii="仿宋_GB2312" w:hAnsi="宋体" w:eastAsia="仿宋_GB2312"/>
          <w:b/>
          <w:bCs/>
          <w:iCs/>
          <w:color w:val="auto"/>
          <w:sz w:val="21"/>
          <w:szCs w:val="21"/>
          <w:highlight w:val="none"/>
          <w:lang w:val="en-US" w:eastAsia="zh-CN"/>
        </w:rPr>
        <w:t xml:space="preserve">2.2 02标 </w:t>
      </w:r>
      <w:r>
        <w:rPr>
          <w:rFonts w:hint="eastAsia" w:ascii="仿宋_GB2312" w:hAnsi="宋体" w:eastAsia="仿宋_GB2312"/>
          <w:b/>
          <w:bCs/>
          <w:iCs/>
          <w:color w:val="auto"/>
          <w:sz w:val="21"/>
          <w:szCs w:val="21"/>
          <w:highlight w:val="none"/>
        </w:rPr>
        <w:t>商务技术分</w:t>
      </w:r>
      <w:r>
        <w:rPr>
          <w:rFonts w:hint="eastAsia" w:ascii="仿宋_GB2312" w:hAnsi="宋体" w:eastAsia="仿宋_GB2312"/>
          <w:b/>
          <w:bCs/>
          <w:iCs/>
          <w:color w:val="auto"/>
          <w:sz w:val="21"/>
          <w:szCs w:val="21"/>
          <w:highlight w:val="none"/>
          <w:lang w:eastAsia="zh-CN"/>
        </w:rPr>
        <w:t>（</w:t>
      </w:r>
      <w:r>
        <w:rPr>
          <w:rFonts w:hint="eastAsia" w:ascii="仿宋_GB2312" w:hAnsi="宋体" w:eastAsia="仿宋_GB2312"/>
          <w:b/>
          <w:bCs/>
          <w:iCs/>
          <w:color w:val="auto"/>
          <w:sz w:val="21"/>
          <w:szCs w:val="21"/>
          <w:highlight w:val="none"/>
        </w:rPr>
        <w:t>70分</w:t>
      </w:r>
      <w:r>
        <w:rPr>
          <w:rFonts w:hint="eastAsia" w:ascii="仿宋_GB2312" w:hAnsi="宋体" w:eastAsia="仿宋_GB2312"/>
          <w:b/>
          <w:bCs/>
          <w:iCs/>
          <w:color w:val="auto"/>
          <w:sz w:val="21"/>
          <w:szCs w:val="21"/>
          <w:highlight w:val="none"/>
          <w:lang w:eastAsia="zh-CN"/>
        </w:rPr>
        <w:t>）</w:t>
      </w:r>
    </w:p>
    <w:tbl>
      <w:tblPr>
        <w:tblStyle w:val="3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36"/>
        <w:gridCol w:w="744"/>
        <w:gridCol w:w="4662"/>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88" w:type="dxa"/>
            <w:gridSpan w:val="5"/>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一、实地情况综合评定（40分）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288" w:type="dxa"/>
            <w:gridSpan w:val="5"/>
            <w:noWrap w:val="0"/>
            <w:vAlign w:val="center"/>
          </w:tcPr>
          <w:p>
            <w:pPr>
              <w:pStyle w:val="161"/>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由</w:t>
            </w:r>
            <w:r>
              <w:rPr>
                <w:rFonts w:hint="eastAsia" w:ascii="仿宋" w:hAnsi="仿宋" w:eastAsia="仿宋" w:cs="仿宋"/>
                <w:color w:val="auto"/>
                <w:kern w:val="2"/>
                <w:sz w:val="21"/>
                <w:szCs w:val="21"/>
                <w:highlight w:val="none"/>
                <w:lang w:eastAsia="zh-CN"/>
              </w:rPr>
              <w:t>招标人对</w:t>
            </w:r>
            <w:r>
              <w:rPr>
                <w:rFonts w:hint="eastAsia" w:ascii="仿宋" w:hAnsi="仿宋" w:eastAsia="仿宋" w:cs="仿宋"/>
                <w:color w:val="auto"/>
                <w:kern w:val="2"/>
                <w:sz w:val="21"/>
                <w:szCs w:val="21"/>
                <w:highlight w:val="none"/>
              </w:rPr>
              <w:t>投标人</w:t>
            </w:r>
            <w:r>
              <w:rPr>
                <w:rFonts w:hint="eastAsia" w:ascii="仿宋" w:hAnsi="仿宋" w:eastAsia="仿宋" w:cs="仿宋"/>
                <w:color w:val="auto"/>
                <w:kern w:val="2"/>
                <w:sz w:val="21"/>
                <w:szCs w:val="21"/>
                <w:highlight w:val="none"/>
                <w:lang w:eastAsia="zh-CN"/>
              </w:rPr>
              <w:t>进行实地调查核实情况后综合评定打分</w:t>
            </w:r>
            <w:r>
              <w:rPr>
                <w:rFonts w:hint="eastAsia" w:ascii="仿宋" w:hAnsi="仿宋" w:eastAsia="仿宋" w:cs="仿宋"/>
                <w:color w:val="auto"/>
                <w:kern w:val="2"/>
                <w:sz w:val="21"/>
                <w:szCs w:val="21"/>
                <w:highlight w:val="none"/>
              </w:rPr>
              <w:t>。</w:t>
            </w:r>
          </w:p>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注：投标人需提供实地情况视频（拷入U盘</w:t>
            </w:r>
            <w:r>
              <w:rPr>
                <w:rFonts w:hint="eastAsia" w:ascii="仿宋" w:hAnsi="仿宋" w:eastAsia="仿宋" w:cs="仿宋"/>
                <w:color w:val="auto"/>
                <w:sz w:val="21"/>
                <w:szCs w:val="21"/>
                <w:highlight w:val="none"/>
                <w:lang w:eastAsia="zh-CN"/>
              </w:rPr>
              <w:t>，视频时间不超过</w:t>
            </w:r>
            <w:r>
              <w:rPr>
                <w:rFonts w:hint="eastAsia" w:ascii="仿宋" w:hAnsi="仿宋" w:eastAsia="仿宋" w:cs="仿宋"/>
                <w:color w:val="auto"/>
                <w:sz w:val="21"/>
                <w:szCs w:val="21"/>
                <w:highlight w:val="none"/>
                <w:lang w:val="en-US" w:eastAsia="zh-CN"/>
              </w:rPr>
              <w:t>15分钟</w:t>
            </w:r>
            <w:r>
              <w:rPr>
                <w:rFonts w:hint="eastAsia" w:ascii="仿宋" w:hAnsi="仿宋" w:eastAsia="仿宋" w:cs="仿宋"/>
                <w:color w:val="auto"/>
                <w:sz w:val="21"/>
                <w:szCs w:val="21"/>
                <w:highlight w:val="none"/>
              </w:rPr>
              <w:t>），放入投标文件封装袋中。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1236"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评分项目</w:t>
            </w: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分值</w:t>
            </w:r>
          </w:p>
        </w:tc>
        <w:tc>
          <w:tcPr>
            <w:tcW w:w="4662"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投标评分标准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48"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236"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企业管理（9分）</w:t>
            </w:r>
          </w:p>
        </w:tc>
        <w:tc>
          <w:tcPr>
            <w:tcW w:w="744" w:type="dxa"/>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4662" w:type="dxa"/>
            <w:noWrap w:val="0"/>
            <w:vAlign w:val="center"/>
          </w:tcPr>
          <w:p>
            <w:pPr>
              <w:rPr>
                <w:rFonts w:hint="eastAsia" w:ascii="仿宋" w:hAnsi="仿宋" w:eastAsia="仿宋" w:cs="仿宋"/>
                <w:color w:val="auto"/>
                <w:kern w:val="0"/>
                <w:sz w:val="21"/>
                <w:szCs w:val="21"/>
                <w:highlight w:val="none"/>
              </w:rPr>
            </w:pPr>
            <w:r>
              <w:rPr>
                <w:rStyle w:val="162"/>
                <w:rFonts w:hint="default" w:ascii="仿宋" w:hAnsi="仿宋" w:eastAsia="仿宋" w:cs="仿宋"/>
                <w:color w:val="auto"/>
                <w:sz w:val="21"/>
                <w:szCs w:val="21"/>
                <w:highlight w:val="none"/>
              </w:rPr>
              <w:t>《食品配送管理制度》、《食品质量控制管理制度》、《食品采购制度》、《配送工用具清洗消毒保洁制度》、《送货不达应急预案》、《食品中毒应急预案》、《产品召回制度》、《岗位职责》等制度齐全，切合企业实际，并上墙公示，酌情评分。优秀（2.1-3.0分）、良好（1.1-2.0分）、一般（0.1-1.0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提供现场视频或照片，提供制度文件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44" w:type="dxa"/>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rPr>
                <w:rStyle w:val="162"/>
                <w:rFonts w:hint="default" w:ascii="仿宋" w:hAnsi="仿宋" w:eastAsia="仿宋" w:cs="仿宋"/>
                <w:color w:val="auto"/>
                <w:sz w:val="21"/>
                <w:szCs w:val="21"/>
                <w:highlight w:val="none"/>
              </w:rPr>
            </w:pPr>
            <w:r>
              <w:rPr>
                <w:rStyle w:val="162"/>
                <w:rFonts w:hint="default" w:ascii="仿宋" w:hAnsi="仿宋" w:eastAsia="仿宋" w:cs="仿宋"/>
                <w:color w:val="auto"/>
                <w:sz w:val="21"/>
                <w:szCs w:val="21"/>
                <w:highlight w:val="none"/>
              </w:rPr>
              <w:t>设置独立的财务机构，会计、驾驶员、配送人员、检测员等资格证、健康证齐全有效，劳动用工规范，酌情评分。优秀（1.1-2.0分）、良好（0.6-1.0分）、一般（0.1-0.5分）。</w:t>
            </w:r>
          </w:p>
        </w:tc>
        <w:tc>
          <w:tcPr>
            <w:tcW w:w="1998" w:type="dxa"/>
            <w:noWrap w:val="0"/>
            <w:vAlign w:val="center"/>
          </w:tcPr>
          <w:p>
            <w:pPr>
              <w:jc w:val="center"/>
              <w:rPr>
                <w:rFonts w:hint="eastAsia" w:ascii="仿宋" w:hAnsi="仿宋" w:eastAsia="仿宋" w:cs="仿宋"/>
                <w:color w:val="auto"/>
                <w:kern w:val="0"/>
                <w:sz w:val="21"/>
                <w:szCs w:val="21"/>
                <w:highlight w:val="none"/>
              </w:rPr>
            </w:pPr>
            <w:r>
              <w:rPr>
                <w:rStyle w:val="162"/>
                <w:rFonts w:hint="default" w:ascii="仿宋" w:hAnsi="仿宋" w:eastAsia="仿宋" w:cs="仿宋"/>
                <w:color w:val="auto"/>
                <w:sz w:val="21"/>
                <w:szCs w:val="21"/>
                <w:highlight w:val="none"/>
              </w:rPr>
              <w:t>提供相关资料及证明（如会计资格证、驾驶证、食品检验上岗证、健康证、社保证明等）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rPr>
                <w:rStyle w:val="162"/>
                <w:rFonts w:hint="default"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eastAsia="zh-CN"/>
              </w:rPr>
              <w:t>单位人员在</w:t>
            </w:r>
            <w:r>
              <w:rPr>
                <w:rFonts w:hint="eastAsia" w:ascii="仿宋" w:hAnsi="仿宋" w:eastAsia="仿宋" w:cs="仿宋"/>
                <w:color w:val="auto"/>
                <w:kern w:val="0"/>
                <w:sz w:val="21"/>
                <w:szCs w:val="21"/>
                <w:highlight w:val="none"/>
              </w:rPr>
              <w:t>2018年6月</w:t>
            </w:r>
            <w:r>
              <w:rPr>
                <w:rFonts w:hint="eastAsia" w:ascii="仿宋" w:hAnsi="仿宋" w:eastAsia="仿宋" w:cs="仿宋"/>
                <w:color w:val="auto"/>
                <w:kern w:val="0"/>
                <w:sz w:val="21"/>
                <w:szCs w:val="21"/>
                <w:highlight w:val="none"/>
                <w:lang w:eastAsia="zh-CN"/>
              </w:rPr>
              <w:t>至今</w:t>
            </w:r>
            <w:r>
              <w:rPr>
                <w:rFonts w:hint="eastAsia" w:ascii="仿宋" w:hAnsi="仿宋" w:eastAsia="仿宋" w:cs="仿宋"/>
                <w:color w:val="auto"/>
                <w:kern w:val="0"/>
                <w:sz w:val="21"/>
                <w:szCs w:val="21"/>
                <w:highlight w:val="none"/>
              </w:rPr>
              <w:t>参加社会保险人数达20人得2分，不足20人不得分。</w:t>
            </w:r>
          </w:p>
        </w:tc>
        <w:tc>
          <w:tcPr>
            <w:tcW w:w="1998" w:type="dxa"/>
            <w:noWrap w:val="0"/>
            <w:vAlign w:val="center"/>
          </w:tcPr>
          <w:p>
            <w:pPr>
              <w:widowControl/>
              <w:jc w:val="center"/>
              <w:rPr>
                <w:rStyle w:val="162"/>
                <w:rFonts w:hint="default"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提供公司社保证明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8" w:type="dxa"/>
            <w:vMerge w:val="continue"/>
            <w:noWrap w:val="0"/>
            <w:vAlign w:val="center"/>
          </w:tcPr>
          <w:p>
            <w:pPr>
              <w:widowControl/>
              <w:jc w:val="right"/>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left"/>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rPr>
                <w:rStyle w:val="162"/>
                <w:rFonts w:hint="default"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eastAsia="zh-CN"/>
              </w:rPr>
              <w:t>人</w:t>
            </w:r>
            <w:r>
              <w:rPr>
                <w:rFonts w:hint="eastAsia" w:ascii="仿宋" w:hAnsi="仿宋" w:eastAsia="仿宋" w:cs="仿宋"/>
                <w:color w:val="auto"/>
                <w:kern w:val="0"/>
                <w:sz w:val="21"/>
                <w:szCs w:val="21"/>
                <w:highlight w:val="none"/>
              </w:rPr>
              <w:t>具备配送电子账单设备，有互联网下单操作平台，能分品类便于下单并能提供电子稿的，得2分。</w:t>
            </w:r>
          </w:p>
        </w:tc>
        <w:tc>
          <w:tcPr>
            <w:tcW w:w="1998" w:type="dxa"/>
            <w:noWrap w:val="0"/>
            <w:vAlign w:val="center"/>
          </w:tcPr>
          <w:p>
            <w:pPr>
              <w:widowControl/>
              <w:jc w:val="center"/>
              <w:rPr>
                <w:rStyle w:val="162"/>
                <w:rFonts w:hint="default"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8"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236"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企业实力</w:t>
            </w:r>
          </w:p>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（14分）</w:t>
            </w: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eastAsia="zh-CN"/>
              </w:rPr>
              <w:t>人</w:t>
            </w:r>
            <w:r>
              <w:rPr>
                <w:rFonts w:hint="eastAsia" w:ascii="仿宋" w:hAnsi="仿宋" w:eastAsia="仿宋" w:cs="仿宋"/>
                <w:color w:val="auto"/>
                <w:kern w:val="0"/>
                <w:sz w:val="21"/>
                <w:szCs w:val="21"/>
                <w:highlight w:val="none"/>
              </w:rPr>
              <w:t>自有或控股或租赁蔬菜种植基地100亩得0.5分，每增加100亩加0.5分，以此类推，最高1分。</w:t>
            </w:r>
          </w:p>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eastAsia="zh-CN"/>
              </w:rPr>
              <w:t>人</w:t>
            </w:r>
            <w:r>
              <w:rPr>
                <w:rFonts w:hint="eastAsia" w:ascii="仿宋" w:hAnsi="仿宋" w:eastAsia="仿宋" w:cs="仿宋"/>
                <w:color w:val="auto"/>
                <w:kern w:val="0"/>
                <w:sz w:val="21"/>
                <w:szCs w:val="21"/>
                <w:highlight w:val="none"/>
              </w:rPr>
              <w:t>自有或控股或租赁生猪养殖基地年出栏量1000头得0.5分，每增加500头加0.5 分，以此类推，最高1分。</w:t>
            </w:r>
          </w:p>
        </w:tc>
        <w:tc>
          <w:tcPr>
            <w:tcW w:w="1998"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现场查看，提供产权证</w:t>
            </w:r>
            <w:r>
              <w:rPr>
                <w:rFonts w:hint="eastAsia" w:ascii="仿宋" w:hAnsi="仿宋" w:eastAsia="仿宋" w:cs="仿宋"/>
                <w:color w:val="auto"/>
                <w:kern w:val="0"/>
                <w:sz w:val="21"/>
                <w:szCs w:val="21"/>
                <w:highlight w:val="none"/>
                <w:lang w:eastAsia="zh-CN"/>
              </w:rPr>
              <w:t>或</w:t>
            </w:r>
            <w:r>
              <w:rPr>
                <w:rFonts w:hint="eastAsia" w:ascii="仿宋" w:hAnsi="仿宋" w:eastAsia="仿宋" w:cs="仿宋"/>
                <w:color w:val="auto"/>
                <w:kern w:val="0"/>
                <w:sz w:val="21"/>
                <w:szCs w:val="21"/>
                <w:highlight w:val="none"/>
              </w:rPr>
              <w:t>租赁合同、或其它证明材料。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rPr>
                <w:rFonts w:hint="eastAsia" w:ascii="仿宋" w:hAnsi="仿宋" w:eastAsia="仿宋" w:cs="仿宋"/>
                <w:color w:val="auto"/>
                <w:kern w:val="0"/>
                <w:sz w:val="21"/>
                <w:szCs w:val="21"/>
                <w:highlight w:val="none"/>
              </w:rPr>
            </w:pPr>
            <w:r>
              <w:rPr>
                <w:rStyle w:val="162"/>
                <w:rFonts w:hint="default" w:ascii="仿宋" w:hAnsi="仿宋" w:eastAsia="仿宋" w:cs="仿宋"/>
                <w:color w:val="auto"/>
                <w:sz w:val="21"/>
                <w:szCs w:val="21"/>
                <w:highlight w:val="none"/>
              </w:rPr>
              <w:t>投标</w:t>
            </w:r>
            <w:r>
              <w:rPr>
                <w:rStyle w:val="162"/>
                <w:rFonts w:hint="eastAsia" w:ascii="仿宋" w:hAnsi="仿宋" w:eastAsia="仿宋" w:cs="仿宋"/>
                <w:color w:val="auto"/>
                <w:sz w:val="21"/>
                <w:szCs w:val="21"/>
                <w:highlight w:val="none"/>
                <w:lang w:eastAsia="zh-CN"/>
              </w:rPr>
              <w:t>人</w:t>
            </w:r>
            <w:r>
              <w:rPr>
                <w:rStyle w:val="162"/>
                <w:rFonts w:hint="default" w:ascii="仿宋" w:hAnsi="仿宋" w:eastAsia="仿宋" w:cs="仿宋"/>
                <w:color w:val="auto"/>
                <w:sz w:val="21"/>
                <w:szCs w:val="21"/>
                <w:highlight w:val="none"/>
              </w:rPr>
              <w:t>有固定的专用储备仓库面积达300平方米得1分，每增加50平方米加0.5分，以此类推，该项最高得分2分。</w:t>
            </w:r>
          </w:p>
        </w:tc>
        <w:tc>
          <w:tcPr>
            <w:tcW w:w="1998" w:type="dxa"/>
            <w:vMerge w:val="continue"/>
            <w:noWrap w:val="0"/>
            <w:vAlign w:val="center"/>
          </w:tcPr>
          <w:p>
            <w:pPr>
              <w:widowControl/>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rPr>
                <w:rStyle w:val="162"/>
                <w:rFonts w:hint="default" w:ascii="仿宋" w:hAnsi="仿宋" w:eastAsia="仿宋" w:cs="仿宋"/>
                <w:color w:val="auto"/>
                <w:sz w:val="21"/>
                <w:szCs w:val="21"/>
                <w:highlight w:val="none"/>
              </w:rPr>
            </w:pPr>
            <w:r>
              <w:rPr>
                <w:rStyle w:val="162"/>
                <w:rFonts w:hint="default" w:ascii="仿宋" w:hAnsi="仿宋" w:eastAsia="仿宋" w:cs="仿宋"/>
                <w:color w:val="auto"/>
                <w:sz w:val="21"/>
                <w:szCs w:val="21"/>
                <w:highlight w:val="none"/>
              </w:rPr>
              <w:t>投标</w:t>
            </w:r>
            <w:r>
              <w:rPr>
                <w:rStyle w:val="162"/>
                <w:rFonts w:hint="eastAsia" w:ascii="仿宋" w:hAnsi="仿宋" w:eastAsia="仿宋" w:cs="仿宋"/>
                <w:color w:val="auto"/>
                <w:sz w:val="21"/>
                <w:szCs w:val="21"/>
                <w:highlight w:val="none"/>
                <w:lang w:eastAsia="zh-CN"/>
              </w:rPr>
              <w:t>人</w:t>
            </w:r>
            <w:r>
              <w:rPr>
                <w:rStyle w:val="162"/>
                <w:rFonts w:hint="default" w:ascii="仿宋" w:hAnsi="仿宋" w:eastAsia="仿宋" w:cs="仿宋"/>
                <w:color w:val="auto"/>
                <w:sz w:val="21"/>
                <w:szCs w:val="21"/>
                <w:highlight w:val="none"/>
              </w:rPr>
              <w:t>有固定配送发货准备区面积达到300平米得1分，每增加100平方米得0.5分，以此类推最高2分。</w:t>
            </w:r>
          </w:p>
        </w:tc>
        <w:tc>
          <w:tcPr>
            <w:tcW w:w="1998" w:type="dxa"/>
            <w:vMerge w:val="continue"/>
            <w:noWrap w:val="0"/>
            <w:vAlign w:val="center"/>
          </w:tcPr>
          <w:p>
            <w:pPr>
              <w:widowControl/>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textAlignment w:val="top"/>
              <w:rPr>
                <w:rStyle w:val="162"/>
                <w:rFonts w:hint="default"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eastAsia="zh-CN"/>
              </w:rPr>
              <w:t>人</w:t>
            </w:r>
            <w:r>
              <w:rPr>
                <w:rFonts w:hint="eastAsia" w:ascii="仿宋" w:hAnsi="仿宋" w:eastAsia="仿宋" w:cs="仿宋"/>
                <w:color w:val="auto"/>
                <w:kern w:val="0"/>
                <w:sz w:val="21"/>
                <w:szCs w:val="21"/>
                <w:highlight w:val="none"/>
              </w:rPr>
              <w:t>冷冻库、冷藏库容积达到500 立方米得1分，每增加 100立方米得0.5分，以此类推，最高2分。</w:t>
            </w:r>
          </w:p>
        </w:tc>
        <w:tc>
          <w:tcPr>
            <w:tcW w:w="1998" w:type="dxa"/>
            <w:vMerge w:val="continue"/>
            <w:noWrap w:val="0"/>
            <w:vAlign w:val="center"/>
          </w:tcPr>
          <w:p>
            <w:pPr>
              <w:widowControl/>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662" w:type="dxa"/>
            <w:noWrap w:val="0"/>
            <w:vAlign w:val="center"/>
          </w:tcPr>
          <w:p>
            <w:pPr>
              <w:widowControl/>
              <w:textAlignment w:val="top"/>
              <w:rPr>
                <w:rStyle w:val="162"/>
                <w:rFonts w:hint="default"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投标企业有独立规范的猪肉分割间，得1分。</w:t>
            </w:r>
          </w:p>
        </w:tc>
        <w:tc>
          <w:tcPr>
            <w:tcW w:w="1998" w:type="dxa"/>
            <w:vMerge w:val="continue"/>
            <w:noWrap w:val="0"/>
            <w:vAlign w:val="center"/>
          </w:tcPr>
          <w:p>
            <w:pPr>
              <w:widowControl/>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4662" w:type="dxa"/>
            <w:noWrap w:val="0"/>
            <w:vAlign w:val="center"/>
          </w:tcPr>
          <w:p>
            <w:pPr>
              <w:widowControl/>
              <w:rPr>
                <w:rStyle w:val="162"/>
                <w:rFonts w:hint="default" w:ascii="仿宋" w:hAnsi="仿宋" w:eastAsia="仿宋" w:cs="仿宋"/>
                <w:color w:val="auto"/>
                <w:sz w:val="21"/>
                <w:szCs w:val="21"/>
                <w:highlight w:val="none"/>
              </w:rPr>
            </w:pPr>
            <w:r>
              <w:rPr>
                <w:rStyle w:val="162"/>
                <w:rFonts w:hint="default" w:ascii="仿宋" w:hAnsi="仿宋" w:eastAsia="仿宋" w:cs="仿宋"/>
                <w:color w:val="auto"/>
                <w:sz w:val="21"/>
                <w:szCs w:val="21"/>
                <w:highlight w:val="none"/>
              </w:rPr>
              <w:t>根据投标</w:t>
            </w:r>
            <w:r>
              <w:rPr>
                <w:rStyle w:val="162"/>
                <w:rFonts w:hint="eastAsia" w:ascii="仿宋" w:hAnsi="仿宋" w:eastAsia="仿宋" w:cs="仿宋"/>
                <w:color w:val="auto"/>
                <w:sz w:val="21"/>
                <w:szCs w:val="21"/>
                <w:highlight w:val="none"/>
                <w:lang w:eastAsia="zh-CN"/>
              </w:rPr>
              <w:t>人</w:t>
            </w:r>
            <w:r>
              <w:rPr>
                <w:rStyle w:val="162"/>
                <w:rFonts w:hint="default" w:ascii="仿宋" w:hAnsi="仿宋" w:eastAsia="仿宋" w:cs="仿宋"/>
                <w:color w:val="auto"/>
                <w:sz w:val="21"/>
                <w:szCs w:val="21"/>
                <w:highlight w:val="none"/>
              </w:rPr>
              <w:t>仓库内商品库存量及保障相关食品安全的设施设备（如：通风防盗设施、防潮防四害设施等）、卫生情况（防尘、配送场地清洁卫生），酌情给分。优秀（2.1-4.0分）、良好（1.1-2.0分）、一般（0.1-1.0分）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662" w:type="dxa"/>
            <w:noWrap w:val="0"/>
            <w:vAlign w:val="center"/>
          </w:tcPr>
          <w:p>
            <w:pPr>
              <w:widowControl/>
              <w:rPr>
                <w:rStyle w:val="162"/>
                <w:rFonts w:hint="eastAsia" w:ascii="仿宋" w:hAnsi="仿宋" w:eastAsia="仿宋" w:cs="仿宋"/>
                <w:color w:val="auto"/>
                <w:sz w:val="21"/>
                <w:szCs w:val="21"/>
                <w:highlight w:val="none"/>
                <w:lang w:val="en-US" w:eastAsia="zh-CN"/>
              </w:rPr>
            </w:pPr>
            <w:r>
              <w:rPr>
                <w:rStyle w:val="162"/>
                <w:rFonts w:hint="default" w:ascii="仿宋" w:hAnsi="仿宋" w:eastAsia="仿宋" w:cs="仿宋"/>
                <w:color w:val="auto"/>
                <w:sz w:val="21"/>
                <w:szCs w:val="21"/>
                <w:highlight w:val="none"/>
                <w:lang w:val="en-US" w:eastAsia="zh-CN"/>
              </w:rPr>
              <w:t>根据投标</w:t>
            </w:r>
            <w:r>
              <w:rPr>
                <w:rStyle w:val="162"/>
                <w:rFonts w:hint="eastAsia" w:ascii="仿宋" w:hAnsi="仿宋" w:eastAsia="仿宋" w:cs="仿宋"/>
                <w:color w:val="auto"/>
                <w:sz w:val="21"/>
                <w:szCs w:val="21"/>
                <w:highlight w:val="none"/>
                <w:lang w:val="en-US" w:eastAsia="zh-CN"/>
              </w:rPr>
              <w:t>人仓库</w:t>
            </w:r>
            <w:r>
              <w:rPr>
                <w:rStyle w:val="162"/>
                <w:rFonts w:hint="default" w:ascii="仿宋" w:hAnsi="仿宋" w:eastAsia="仿宋" w:cs="仿宋"/>
                <w:color w:val="auto"/>
                <w:sz w:val="21"/>
                <w:szCs w:val="21"/>
                <w:highlight w:val="none"/>
                <w:lang w:val="en-US" w:eastAsia="zh-CN"/>
              </w:rPr>
              <w:t>远近情况进行打分，最高得1分。</w:t>
            </w:r>
          </w:p>
          <w:p>
            <w:pPr>
              <w:widowControl/>
              <w:rPr>
                <w:rStyle w:val="162"/>
                <w:rFonts w:hint="eastAsia" w:ascii="仿宋" w:hAnsi="仿宋" w:eastAsia="仿宋" w:cs="仿宋"/>
                <w:color w:val="auto"/>
                <w:sz w:val="21"/>
                <w:szCs w:val="21"/>
                <w:highlight w:val="none"/>
                <w:lang w:val="en-US" w:eastAsia="zh-CN"/>
              </w:rPr>
            </w:pPr>
            <w:r>
              <w:rPr>
                <w:rStyle w:val="162"/>
                <w:rFonts w:hint="eastAsia" w:ascii="仿宋" w:hAnsi="仿宋" w:eastAsia="仿宋" w:cs="仿宋"/>
                <w:color w:val="auto"/>
                <w:sz w:val="21"/>
                <w:szCs w:val="21"/>
                <w:highlight w:val="none"/>
                <w:lang w:val="en-US" w:eastAsia="zh-CN"/>
              </w:rPr>
              <w:t>1.方圆5公里（含）内得1分；</w:t>
            </w:r>
          </w:p>
          <w:p>
            <w:pPr>
              <w:widowControl/>
              <w:rPr>
                <w:rStyle w:val="162"/>
                <w:rFonts w:hint="eastAsia" w:ascii="仿宋" w:hAnsi="仿宋" w:eastAsia="仿宋" w:cs="仿宋"/>
                <w:color w:val="auto"/>
                <w:sz w:val="21"/>
                <w:szCs w:val="21"/>
                <w:highlight w:val="none"/>
                <w:lang w:val="en-US" w:eastAsia="zh-CN"/>
              </w:rPr>
            </w:pPr>
            <w:r>
              <w:rPr>
                <w:rStyle w:val="162"/>
                <w:rFonts w:hint="eastAsia" w:ascii="仿宋" w:hAnsi="仿宋" w:eastAsia="仿宋" w:cs="仿宋"/>
                <w:color w:val="auto"/>
                <w:sz w:val="21"/>
                <w:szCs w:val="21"/>
                <w:highlight w:val="none"/>
                <w:lang w:val="en-US" w:eastAsia="zh-CN"/>
              </w:rPr>
              <w:t>2.方圆10公里（含）内得0.5分；</w:t>
            </w:r>
          </w:p>
          <w:p>
            <w:pPr>
              <w:widowControl/>
              <w:rPr>
                <w:rStyle w:val="162"/>
                <w:rFonts w:hint="default" w:ascii="仿宋" w:hAnsi="仿宋" w:eastAsia="仿宋" w:cs="仿宋"/>
                <w:color w:val="auto"/>
                <w:sz w:val="21"/>
                <w:szCs w:val="21"/>
                <w:highlight w:val="none"/>
              </w:rPr>
            </w:pPr>
            <w:r>
              <w:rPr>
                <w:rStyle w:val="162"/>
                <w:rFonts w:hint="eastAsia" w:ascii="仿宋" w:hAnsi="仿宋" w:eastAsia="仿宋" w:cs="仿宋"/>
                <w:color w:val="auto"/>
                <w:sz w:val="21"/>
                <w:szCs w:val="21"/>
                <w:highlight w:val="none"/>
                <w:lang w:val="en-US" w:eastAsia="zh-CN"/>
              </w:rPr>
              <w:t>3.超出10公里不得分。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648"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236"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安全保障</w:t>
            </w:r>
          </w:p>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（14分）</w:t>
            </w: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rPr>
                <w:rFonts w:hint="eastAsia" w:ascii="仿宋" w:hAnsi="仿宋" w:eastAsia="仿宋" w:cs="仿宋"/>
                <w:color w:val="auto"/>
                <w:sz w:val="21"/>
                <w:szCs w:val="21"/>
                <w:highlight w:val="none"/>
              </w:rPr>
            </w:pPr>
            <w:r>
              <w:rPr>
                <w:rStyle w:val="162"/>
                <w:rFonts w:hint="default" w:ascii="仿宋" w:hAnsi="仿宋" w:eastAsia="仿宋" w:cs="仿宋"/>
                <w:color w:val="auto"/>
                <w:sz w:val="21"/>
                <w:szCs w:val="21"/>
                <w:highlight w:val="none"/>
              </w:rPr>
              <w:t>有独立的检测室，</w:t>
            </w:r>
            <w:r>
              <w:rPr>
                <w:rFonts w:hint="eastAsia" w:ascii="仿宋" w:hAnsi="仿宋" w:eastAsia="仿宋" w:cs="仿宋"/>
                <w:color w:val="auto"/>
                <w:sz w:val="21"/>
                <w:szCs w:val="21"/>
                <w:highlight w:val="none"/>
              </w:rPr>
              <w:t>面积不小于 20平米，</w:t>
            </w:r>
            <w:r>
              <w:rPr>
                <w:rStyle w:val="162"/>
                <w:rFonts w:hint="default" w:ascii="仿宋" w:hAnsi="仿宋" w:eastAsia="仿宋" w:cs="仿宋"/>
                <w:color w:val="auto"/>
                <w:sz w:val="21"/>
                <w:szCs w:val="21"/>
                <w:highlight w:val="none"/>
              </w:rPr>
              <w:t>得1分。配备专业检测员、检测操作规程及检测记录齐全，酌情评分，最高1分。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textAlignment w:val="top"/>
              <w:rPr>
                <w:rStyle w:val="162"/>
                <w:rFonts w:hint="default" w:ascii="仿宋" w:hAnsi="仿宋" w:eastAsia="仿宋" w:cs="仿宋"/>
                <w:color w:val="auto"/>
                <w:sz w:val="21"/>
                <w:szCs w:val="21"/>
                <w:highlight w:val="none"/>
              </w:rPr>
            </w:pPr>
            <w:r>
              <w:rPr>
                <w:rStyle w:val="162"/>
                <w:rFonts w:hint="default" w:ascii="仿宋" w:hAnsi="仿宋" w:eastAsia="仿宋" w:cs="仿宋"/>
                <w:color w:val="auto"/>
                <w:sz w:val="21"/>
                <w:szCs w:val="21"/>
                <w:highlight w:val="none"/>
              </w:rPr>
              <w:t>有专业检测设备设施: 农药残留快速测试仪得1分；电热恒温鼓风干燥箱、万分之一天平、重金属快速检测、酱油氨基酸态氮速测、过氧化值检测、快速蒸馏提取仪、</w:t>
            </w:r>
            <w:r>
              <w:rPr>
                <w:rFonts w:hint="eastAsia" w:ascii="仿宋" w:hAnsi="仿宋" w:eastAsia="仿宋" w:cs="仿宋"/>
                <w:color w:val="auto"/>
                <w:sz w:val="21"/>
                <w:szCs w:val="21"/>
                <w:highlight w:val="none"/>
              </w:rPr>
              <w:t>盐酸克伦</w:t>
            </w:r>
            <w:r>
              <w:rPr>
                <w:rFonts w:hint="eastAsia" w:ascii="仿宋" w:hAnsi="仿宋" w:eastAsia="仿宋" w:cs="仿宋"/>
                <w:color w:val="auto"/>
                <w:kern w:val="0"/>
                <w:sz w:val="21"/>
                <w:szCs w:val="21"/>
                <w:highlight w:val="none"/>
              </w:rPr>
              <w:t>特罗快速检测、肉注水快速检测、二氧化硫检测、吊白块检测、恒温水浴锅</w:t>
            </w:r>
            <w:r>
              <w:rPr>
                <w:rStyle w:val="162"/>
                <w:rFonts w:hint="default" w:ascii="仿宋" w:hAnsi="仿宋" w:eastAsia="仿宋" w:cs="仿宋"/>
                <w:color w:val="auto"/>
                <w:sz w:val="21"/>
                <w:szCs w:val="21"/>
                <w:highlight w:val="none"/>
              </w:rPr>
              <w:t>等，每增加1台得0.5分，最高2分。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textAlignment w:val="top"/>
              <w:rPr>
                <w:rStyle w:val="162"/>
                <w:rFonts w:hint="default"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配备蔬菜清洗机、去皮机、切菜机、锯骨机、除湿机等设施设备，每台得0.5，最高得2分。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648" w:type="dxa"/>
            <w:vMerge w:val="continue"/>
            <w:noWrap w:val="0"/>
            <w:vAlign w:val="center"/>
          </w:tcPr>
          <w:p>
            <w:pPr>
              <w:widowControl/>
              <w:jc w:val="left"/>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left"/>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投保食品安全责任险得1分，单次赔偿额1000万及以上得1分。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提供保单资料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648" w:type="dxa"/>
            <w:vMerge w:val="continue"/>
            <w:noWrap w:val="0"/>
            <w:vAlign w:val="center"/>
          </w:tcPr>
          <w:p>
            <w:pPr>
              <w:widowControl/>
              <w:jc w:val="left"/>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left"/>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rPr>
                <w:rFonts w:hint="eastAsia" w:ascii="仿宋" w:hAnsi="仿宋" w:eastAsia="仿宋" w:cs="仿宋"/>
                <w:color w:val="auto"/>
                <w:kern w:val="0"/>
                <w:sz w:val="21"/>
                <w:szCs w:val="21"/>
                <w:highlight w:val="none"/>
              </w:rPr>
            </w:pPr>
            <w:r>
              <w:rPr>
                <w:rStyle w:val="162"/>
                <w:rFonts w:hint="default" w:ascii="仿宋" w:hAnsi="仿宋" w:eastAsia="仿宋" w:cs="仿宋"/>
                <w:color w:val="auto"/>
                <w:sz w:val="21"/>
                <w:szCs w:val="21"/>
                <w:highlight w:val="none"/>
              </w:rPr>
              <w:t>有食品安全管理员，索证索票齐全，</w:t>
            </w:r>
            <w:r>
              <w:rPr>
                <w:rFonts w:hint="eastAsia" w:ascii="仿宋" w:hAnsi="仿宋" w:eastAsia="仿宋" w:cs="仿宋"/>
                <w:color w:val="auto"/>
                <w:kern w:val="0"/>
                <w:sz w:val="21"/>
                <w:szCs w:val="21"/>
                <w:highlight w:val="none"/>
              </w:rPr>
              <w:t>提供近三年（2018年至今，下同）</w:t>
            </w:r>
            <w:r>
              <w:rPr>
                <w:rStyle w:val="162"/>
                <w:rFonts w:hint="default" w:ascii="仿宋" w:hAnsi="仿宋" w:eastAsia="仿宋" w:cs="仿宋"/>
                <w:color w:val="auto"/>
                <w:sz w:val="21"/>
                <w:szCs w:val="21"/>
                <w:highlight w:val="none"/>
              </w:rPr>
              <w:t>每批次检验合格报告，食品进出库记录齐全，酌情评分。</w:t>
            </w:r>
            <w:r>
              <w:rPr>
                <w:rFonts w:hint="eastAsia" w:ascii="仿宋" w:hAnsi="仿宋" w:eastAsia="仿宋" w:cs="仿宋"/>
                <w:color w:val="auto"/>
                <w:kern w:val="0"/>
                <w:sz w:val="21"/>
                <w:szCs w:val="21"/>
                <w:highlight w:val="none"/>
              </w:rPr>
              <w:t>优秀（1.1-2.0分）、良好（0.6-1.0分）、一般（0.1-0.5分）。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现场查看，查看蔬菜的批次自检报告和豆制品、鲜肉的合格证明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648" w:type="dxa"/>
            <w:vMerge w:val="continue"/>
            <w:noWrap w:val="0"/>
            <w:vAlign w:val="center"/>
          </w:tcPr>
          <w:p>
            <w:pPr>
              <w:widowControl/>
              <w:jc w:val="left"/>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left"/>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提供近三年（2018年</w:t>
            </w:r>
            <w:r>
              <w:rPr>
                <w:rFonts w:hint="eastAsia" w:ascii="仿宋" w:hAnsi="仿宋" w:eastAsia="仿宋" w:cs="仿宋"/>
                <w:color w:val="auto"/>
                <w:kern w:val="0"/>
                <w:sz w:val="21"/>
                <w:szCs w:val="21"/>
                <w:highlight w:val="none"/>
                <w:lang w:val="en-US" w:eastAsia="zh-CN"/>
              </w:rPr>
              <w:t>1月</w:t>
            </w:r>
            <w:r>
              <w:rPr>
                <w:rFonts w:hint="eastAsia" w:ascii="仿宋" w:hAnsi="仿宋" w:eastAsia="仿宋" w:cs="仿宋"/>
                <w:color w:val="auto"/>
                <w:kern w:val="0"/>
                <w:sz w:val="21"/>
                <w:szCs w:val="21"/>
                <w:highlight w:val="none"/>
              </w:rPr>
              <w:t>至今）由第三方出具的检测报告（不同产品），每有一份，得0.5分。最高得2分。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648" w:type="dxa"/>
            <w:vMerge w:val="continue"/>
            <w:noWrap w:val="0"/>
            <w:vAlign w:val="center"/>
          </w:tcPr>
          <w:p>
            <w:pPr>
              <w:widowControl/>
              <w:jc w:val="left"/>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left"/>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提供近三年（2018年</w:t>
            </w:r>
            <w:r>
              <w:rPr>
                <w:rFonts w:hint="eastAsia" w:ascii="仿宋" w:hAnsi="仿宋" w:eastAsia="仿宋" w:cs="仿宋"/>
                <w:color w:val="auto"/>
                <w:kern w:val="0"/>
                <w:sz w:val="21"/>
                <w:szCs w:val="21"/>
                <w:highlight w:val="none"/>
                <w:lang w:val="en-US" w:eastAsia="zh-CN"/>
              </w:rPr>
              <w:t>1月</w:t>
            </w:r>
            <w:r>
              <w:rPr>
                <w:rFonts w:hint="eastAsia" w:ascii="仿宋" w:hAnsi="仿宋" w:eastAsia="仿宋" w:cs="仿宋"/>
                <w:color w:val="auto"/>
                <w:kern w:val="0"/>
                <w:sz w:val="21"/>
                <w:szCs w:val="21"/>
                <w:highlight w:val="none"/>
              </w:rPr>
              <w:t>至今）记录。投标企业有留样制度及冷柜、冰箱等专用留样设备，留样记录齐全，酌情评分。优秀（1.1-2.0分）、良好（0.6-1.0分）、一般（0.1-0.5分）。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4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236"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配送保障</w:t>
            </w:r>
          </w:p>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（3分）</w:t>
            </w: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eastAsia="zh-CN"/>
              </w:rPr>
              <w:t>人</w:t>
            </w:r>
            <w:r>
              <w:rPr>
                <w:rStyle w:val="162"/>
                <w:rFonts w:hint="default" w:ascii="仿宋" w:hAnsi="仿宋" w:eastAsia="仿宋" w:cs="仿宋"/>
                <w:color w:val="auto"/>
                <w:sz w:val="21"/>
                <w:szCs w:val="21"/>
                <w:highlight w:val="none"/>
              </w:rPr>
              <w:t>自有足够符合标准的配送专用车辆，车辆整洁、经常消毒</w:t>
            </w:r>
            <w:r>
              <w:rPr>
                <w:rFonts w:hint="eastAsia" w:ascii="仿宋" w:hAnsi="仿宋" w:eastAsia="仿宋" w:cs="仿宋"/>
                <w:color w:val="auto"/>
                <w:kern w:val="0"/>
                <w:sz w:val="21"/>
                <w:szCs w:val="21"/>
                <w:highlight w:val="none"/>
              </w:rPr>
              <w:t>，</w:t>
            </w:r>
            <w:r>
              <w:rPr>
                <w:rStyle w:val="162"/>
                <w:rFonts w:hint="default" w:ascii="仿宋" w:hAnsi="仿宋" w:eastAsia="仿宋" w:cs="仿宋"/>
                <w:color w:val="auto"/>
                <w:sz w:val="21"/>
                <w:szCs w:val="21"/>
                <w:highlight w:val="none"/>
              </w:rPr>
              <w:t>3辆得2分，每增加1辆加0.5分。最高得3分。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提供现场视频或照片，提供单位行驶证件及消毒记录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88" w:type="dxa"/>
            <w:gridSpan w:val="5"/>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二、基本情况（30分）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1236"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评分项目</w:t>
            </w: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分值</w:t>
            </w:r>
          </w:p>
        </w:tc>
        <w:tc>
          <w:tcPr>
            <w:tcW w:w="4662"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投标评分标准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8"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236" w:type="dxa"/>
            <w:vMerge w:val="restart"/>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企业资质（6分）</w:t>
            </w: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区（县、市）级、市级、省级龙头企业或主要合作单位为市级、省级、国企级龙头企业分别得1、2、3分，不累加，最高得3分。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textAlignment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0.5</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具有ISO9001质量管理体系认证。有得0.5分，无不得分。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textAlignment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0.5</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具有ISO22000食品安全管理体系认证。有得0.5分，无不得分。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textAlignment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0.5</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具有ISO18001职业健康安全管理体系认证。有得0.5分，无不得分。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textAlignment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0.5</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投标企业自有无公害农产品证书。有得0.5分，无不得分。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textAlignment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0.5</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投标企业自有市级篮子基地。有得0.5分，无不得分。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textAlignment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0.5</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具有AAA及以上企业证书。有得0.5分，无不得分。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8"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236" w:type="dxa"/>
            <w:vMerge w:val="restart"/>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企业信誉（4分）</w:t>
            </w:r>
          </w:p>
        </w:tc>
        <w:tc>
          <w:tcPr>
            <w:tcW w:w="744" w:type="dxa"/>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eastAsia="zh-CN"/>
              </w:rPr>
              <w:t>人</w:t>
            </w:r>
            <w:r>
              <w:rPr>
                <w:rFonts w:hint="eastAsia" w:ascii="仿宋" w:hAnsi="仿宋" w:eastAsia="仿宋" w:cs="仿宋"/>
                <w:color w:val="auto"/>
                <w:kern w:val="0"/>
                <w:sz w:val="21"/>
                <w:szCs w:val="21"/>
                <w:highlight w:val="none"/>
              </w:rPr>
              <w:t>近三年（2018年</w:t>
            </w:r>
            <w:r>
              <w:rPr>
                <w:rFonts w:hint="eastAsia" w:ascii="仿宋" w:hAnsi="仿宋" w:eastAsia="仿宋" w:cs="仿宋"/>
                <w:color w:val="auto"/>
                <w:kern w:val="0"/>
                <w:sz w:val="21"/>
                <w:szCs w:val="21"/>
                <w:highlight w:val="none"/>
                <w:lang w:val="en-US" w:eastAsia="zh-CN"/>
              </w:rPr>
              <w:t>1月</w:t>
            </w:r>
            <w:r>
              <w:rPr>
                <w:rFonts w:hint="eastAsia" w:ascii="仿宋" w:hAnsi="仿宋" w:eastAsia="仿宋" w:cs="仿宋"/>
                <w:color w:val="auto"/>
                <w:kern w:val="0"/>
                <w:sz w:val="21"/>
                <w:szCs w:val="21"/>
                <w:highlight w:val="none"/>
              </w:rPr>
              <w:t>至今）在本行业获区（县、市）、市、省、国家级荣誉（含先进、示范单位、百名农产品经销商、诚信、信用等级A级）分别得0.5、1、1.5、2分，不累加，最高得2分。</w:t>
            </w:r>
          </w:p>
        </w:tc>
        <w:tc>
          <w:tcPr>
            <w:tcW w:w="1998" w:type="dxa"/>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textAlignment w:val="center"/>
              <w:rPr>
                <w:rFonts w:hint="eastAsia" w:ascii="仿宋" w:hAnsi="仿宋" w:eastAsia="仿宋" w:cs="仿宋"/>
                <w:color w:val="auto"/>
                <w:kern w:val="0"/>
                <w:sz w:val="21"/>
                <w:szCs w:val="21"/>
                <w:highlight w:val="none"/>
              </w:rPr>
            </w:pPr>
          </w:p>
        </w:tc>
        <w:tc>
          <w:tcPr>
            <w:tcW w:w="744" w:type="dxa"/>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经营至今无食品安全事故发生，得2分。</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提供主管部门证明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1236" w:type="dxa"/>
            <w:vMerge w:val="restart"/>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产品品牌（12分）</w:t>
            </w: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4662" w:type="dxa"/>
            <w:noWrap w:val="0"/>
            <w:vAlign w:val="center"/>
          </w:tcPr>
          <w:p>
            <w:pPr>
              <w:widowControl/>
              <w:rPr>
                <w:rFonts w:hint="eastAsia" w:ascii="仿宋" w:hAnsi="仿宋" w:eastAsia="仿宋" w:cs="仿宋"/>
                <w:color w:val="auto"/>
                <w:kern w:val="0"/>
                <w:sz w:val="21"/>
                <w:szCs w:val="21"/>
                <w:highlight w:val="none"/>
              </w:rPr>
            </w:pPr>
            <w:r>
              <w:rPr>
                <w:rStyle w:val="163"/>
                <w:rFonts w:hint="default" w:ascii="仿宋" w:hAnsi="仿宋" w:eastAsia="仿宋" w:cs="仿宋"/>
                <w:color w:val="auto"/>
                <w:sz w:val="21"/>
                <w:szCs w:val="21"/>
                <w:highlight w:val="none"/>
              </w:rPr>
              <w:t>配送企业拥有的蔬菜种植基地、养猪基地、水产养殖基地获</w:t>
            </w:r>
            <w:r>
              <w:rPr>
                <w:rFonts w:hint="eastAsia" w:ascii="仿宋" w:hAnsi="仿宋" w:eastAsia="仿宋" w:cs="仿宋"/>
                <w:color w:val="auto"/>
                <w:kern w:val="0"/>
                <w:sz w:val="21"/>
                <w:szCs w:val="21"/>
                <w:highlight w:val="none"/>
              </w:rPr>
              <w:t>区（县、市）</w:t>
            </w:r>
            <w:r>
              <w:rPr>
                <w:rStyle w:val="163"/>
                <w:rFonts w:hint="default" w:ascii="仿宋" w:hAnsi="仿宋" w:eastAsia="仿宋" w:cs="仿宋"/>
                <w:color w:val="auto"/>
                <w:sz w:val="21"/>
                <w:szCs w:val="21"/>
                <w:highlight w:val="none"/>
              </w:rPr>
              <w:t xml:space="preserve"> 级以上无公害基地或放心肉品牌基地，各得1分，拥有自主品牌各得1分，该项评分最高6分。</w:t>
            </w:r>
          </w:p>
        </w:tc>
        <w:tc>
          <w:tcPr>
            <w:tcW w:w="1998" w:type="dxa"/>
            <w:vMerge w:val="restar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3</w:t>
            </w:r>
          </w:p>
        </w:tc>
        <w:tc>
          <w:tcPr>
            <w:tcW w:w="4662" w:type="dxa"/>
            <w:noWrap w:val="0"/>
            <w:vAlign w:val="top"/>
          </w:tcPr>
          <w:p>
            <w:pPr>
              <w:widowControl/>
              <w:rPr>
                <w:rFonts w:hint="eastAsia" w:ascii="仿宋" w:hAnsi="仿宋" w:eastAsia="仿宋" w:cs="仿宋"/>
                <w:color w:val="auto"/>
                <w:kern w:val="0"/>
                <w:sz w:val="21"/>
                <w:szCs w:val="21"/>
                <w:highlight w:val="none"/>
              </w:rPr>
            </w:pPr>
            <w:r>
              <w:rPr>
                <w:rStyle w:val="163"/>
                <w:rFonts w:hint="default" w:ascii="仿宋" w:hAnsi="仿宋" w:eastAsia="仿宋" w:cs="仿宋"/>
                <w:color w:val="auto"/>
                <w:sz w:val="21"/>
                <w:szCs w:val="21"/>
                <w:highlight w:val="none"/>
              </w:rPr>
              <w:t>配送企业提供的豆制品为符合国家标准，且拥有该商品在</w:t>
            </w:r>
            <w:r>
              <w:rPr>
                <w:rFonts w:hint="eastAsia" w:ascii="仿宋" w:hAnsi="仿宋" w:eastAsia="仿宋" w:cs="仿宋"/>
                <w:color w:val="auto"/>
                <w:kern w:val="0"/>
                <w:sz w:val="21"/>
                <w:szCs w:val="21"/>
                <w:highlight w:val="none"/>
              </w:rPr>
              <w:t>区（县、市）</w:t>
            </w:r>
            <w:r>
              <w:rPr>
                <w:rStyle w:val="163"/>
                <w:rFonts w:hint="default" w:ascii="仿宋" w:hAnsi="仿宋" w:eastAsia="仿宋" w:cs="仿宋"/>
                <w:color w:val="auto"/>
                <w:sz w:val="21"/>
                <w:szCs w:val="21"/>
                <w:highlight w:val="none"/>
              </w:rPr>
              <w:t>及以上的经销权（包括总经销、代理权或是指定渠道提供商），国家级著名品牌得2分，名牌豆制品得1分；</w:t>
            </w:r>
          </w:p>
        </w:tc>
        <w:tc>
          <w:tcPr>
            <w:tcW w:w="1998" w:type="dxa"/>
            <w:vMerge w:val="continue"/>
            <w:noWrap w:val="0"/>
            <w:vAlign w:val="center"/>
          </w:tcPr>
          <w:p>
            <w:pPr>
              <w:widowControl/>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648"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1236" w:type="dxa"/>
            <w:vMerge w:val="continue"/>
            <w:noWrap w:val="0"/>
            <w:vAlign w:val="center"/>
          </w:tcPr>
          <w:p>
            <w:pPr>
              <w:widowControl/>
              <w:jc w:val="center"/>
              <w:rPr>
                <w:rFonts w:hint="eastAsia" w:ascii="仿宋" w:hAnsi="仿宋" w:eastAsia="仿宋" w:cs="仿宋"/>
                <w:color w:val="auto"/>
                <w:kern w:val="0"/>
                <w:sz w:val="21"/>
                <w:szCs w:val="21"/>
                <w:highlight w:val="none"/>
              </w:rPr>
            </w:pPr>
          </w:p>
        </w:tc>
        <w:tc>
          <w:tcPr>
            <w:tcW w:w="744" w:type="dxa"/>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4662" w:type="dxa"/>
            <w:noWrap w:val="0"/>
            <w:vAlign w:val="top"/>
          </w:tcPr>
          <w:p>
            <w:pPr>
              <w:widowControl/>
              <w:rPr>
                <w:rFonts w:hint="eastAsia" w:ascii="仿宋" w:hAnsi="仿宋" w:eastAsia="仿宋" w:cs="仿宋"/>
                <w:color w:val="auto"/>
                <w:kern w:val="0"/>
                <w:sz w:val="21"/>
                <w:szCs w:val="21"/>
                <w:highlight w:val="none"/>
              </w:rPr>
            </w:pPr>
            <w:r>
              <w:rPr>
                <w:rStyle w:val="163"/>
                <w:rFonts w:hint="default" w:ascii="仿宋" w:hAnsi="仿宋" w:eastAsia="仿宋" w:cs="仿宋"/>
                <w:color w:val="auto"/>
                <w:sz w:val="21"/>
                <w:szCs w:val="21"/>
                <w:highlight w:val="none"/>
              </w:rPr>
              <w:t>配送企业提供的鸡副、鸭副产品生产企业必须为省级以上著名品牌或为省级农业龙头，且拥有该商品在</w:t>
            </w:r>
            <w:r>
              <w:rPr>
                <w:rFonts w:hint="eastAsia" w:ascii="仿宋" w:hAnsi="仿宋" w:eastAsia="仿宋" w:cs="仿宋"/>
                <w:color w:val="auto"/>
                <w:kern w:val="0"/>
                <w:sz w:val="21"/>
                <w:szCs w:val="21"/>
                <w:highlight w:val="none"/>
              </w:rPr>
              <w:t>区（县、市）</w:t>
            </w:r>
            <w:r>
              <w:rPr>
                <w:rStyle w:val="163"/>
                <w:rFonts w:hint="default" w:ascii="仿宋" w:hAnsi="仿宋" w:eastAsia="仿宋" w:cs="仿宋"/>
                <w:color w:val="auto"/>
                <w:sz w:val="21"/>
                <w:szCs w:val="21"/>
                <w:highlight w:val="none"/>
              </w:rPr>
              <w:t>及以上的经销权（包括总经销、代理权或是指定渠道提供商），1只品牌得1分，该项评分最高得3分。</w:t>
            </w:r>
          </w:p>
        </w:tc>
        <w:tc>
          <w:tcPr>
            <w:tcW w:w="1998" w:type="dxa"/>
            <w:vMerge w:val="continue"/>
            <w:noWrap w:val="0"/>
            <w:vAlign w:val="center"/>
          </w:tcPr>
          <w:p>
            <w:pPr>
              <w:widowControl/>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64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236"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配送业绩</w:t>
            </w:r>
          </w:p>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（6分）</w:t>
            </w:r>
          </w:p>
        </w:tc>
        <w:tc>
          <w:tcPr>
            <w:tcW w:w="744" w:type="dxa"/>
            <w:noWrap w:val="0"/>
            <w:vAlign w:val="center"/>
          </w:tcPr>
          <w:p>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4662" w:type="dxa"/>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eastAsia="zh-CN"/>
              </w:rPr>
              <w:t>人</w:t>
            </w:r>
            <w:r>
              <w:rPr>
                <w:rFonts w:hint="eastAsia" w:ascii="仿宋" w:hAnsi="仿宋" w:eastAsia="仿宋" w:cs="仿宋"/>
                <w:color w:val="auto"/>
                <w:kern w:val="0"/>
                <w:sz w:val="21"/>
                <w:szCs w:val="21"/>
                <w:highlight w:val="none"/>
              </w:rPr>
              <w:t>近三年（2018年</w:t>
            </w:r>
            <w:r>
              <w:rPr>
                <w:rFonts w:hint="eastAsia" w:ascii="仿宋" w:hAnsi="仿宋" w:eastAsia="仿宋" w:cs="仿宋"/>
                <w:color w:val="auto"/>
                <w:kern w:val="0"/>
                <w:sz w:val="21"/>
                <w:szCs w:val="21"/>
                <w:highlight w:val="none"/>
                <w:lang w:val="en-US" w:eastAsia="zh-CN"/>
              </w:rPr>
              <w:t>1月</w:t>
            </w:r>
            <w:r>
              <w:rPr>
                <w:rFonts w:hint="eastAsia" w:ascii="仿宋" w:hAnsi="仿宋" w:eastAsia="仿宋" w:cs="仿宋"/>
                <w:color w:val="auto"/>
                <w:kern w:val="0"/>
                <w:sz w:val="21"/>
                <w:szCs w:val="21"/>
                <w:highlight w:val="none"/>
              </w:rPr>
              <w:t>至今</w:t>
            </w:r>
            <w:r>
              <w:rPr>
                <w:rFonts w:hint="eastAsia" w:ascii="仿宋" w:hAnsi="仿宋" w:eastAsia="仿宋" w:cs="仿宋"/>
                <w:color w:val="auto"/>
                <w:kern w:val="0"/>
                <w:sz w:val="21"/>
                <w:szCs w:val="21"/>
                <w:highlight w:val="none"/>
                <w:lang w:eastAsia="zh-CN"/>
              </w:rPr>
              <w:t>，以合同签订时间为准</w:t>
            </w:r>
            <w:r>
              <w:rPr>
                <w:rFonts w:hint="eastAsia" w:ascii="仿宋" w:hAnsi="仿宋" w:eastAsia="仿宋" w:cs="仿宋"/>
                <w:color w:val="auto"/>
                <w:kern w:val="0"/>
                <w:sz w:val="21"/>
                <w:szCs w:val="21"/>
                <w:highlight w:val="none"/>
              </w:rPr>
              <w:t>）有</w:t>
            </w:r>
            <w:r>
              <w:rPr>
                <w:rFonts w:hint="eastAsia" w:ascii="仿宋" w:hAnsi="仿宋" w:eastAsia="仿宋" w:cs="仿宋"/>
                <w:color w:val="auto"/>
                <w:kern w:val="0"/>
                <w:sz w:val="21"/>
                <w:szCs w:val="21"/>
                <w:highlight w:val="none"/>
                <w:lang w:eastAsia="zh-CN"/>
              </w:rPr>
              <w:t>本项目同规模类似配送业绩</w:t>
            </w:r>
            <w:r>
              <w:rPr>
                <w:rFonts w:hint="eastAsia" w:ascii="仿宋" w:hAnsi="仿宋" w:eastAsia="仿宋" w:cs="仿宋"/>
                <w:color w:val="auto"/>
                <w:kern w:val="0"/>
                <w:sz w:val="21"/>
                <w:szCs w:val="21"/>
                <w:highlight w:val="none"/>
              </w:rPr>
              <w:t>（机关事业或医院或学校单位等）达10家以上得2分，每递增10家加</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分，以此类推，最高</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eastAsia="zh-CN"/>
              </w:rPr>
              <w:t>（未满</w:t>
            </w:r>
            <w:r>
              <w:rPr>
                <w:rFonts w:hint="eastAsia" w:ascii="仿宋" w:hAnsi="仿宋" w:eastAsia="仿宋" w:cs="仿宋"/>
                <w:color w:val="auto"/>
                <w:kern w:val="0"/>
                <w:sz w:val="21"/>
                <w:szCs w:val="21"/>
                <w:highlight w:val="none"/>
                <w:lang w:val="en-US" w:eastAsia="zh-CN"/>
              </w:rPr>
              <w:t>10家不得分）</w:t>
            </w:r>
            <w:r>
              <w:rPr>
                <w:rFonts w:hint="eastAsia" w:ascii="仿宋" w:hAnsi="仿宋" w:eastAsia="仿宋" w:cs="仿宋"/>
                <w:color w:val="auto"/>
                <w:kern w:val="0"/>
                <w:sz w:val="21"/>
                <w:szCs w:val="21"/>
                <w:highlight w:val="none"/>
              </w:rPr>
              <w:t xml:space="preserve">      </w:t>
            </w:r>
          </w:p>
        </w:tc>
        <w:tc>
          <w:tcPr>
            <w:tcW w:w="199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提供配送合同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648"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1236" w:type="dxa"/>
            <w:noWrap w:val="0"/>
            <w:vAlign w:val="center"/>
          </w:tcPr>
          <w:p>
            <w:pPr>
              <w:widowControl/>
              <w:jc w:val="center"/>
              <w:rPr>
                <w:rFonts w:hint="eastAsia" w:ascii="仿宋" w:hAnsi="仿宋" w:eastAsia="仿宋" w:cs="仿宋"/>
                <w:color w:val="auto"/>
                <w:kern w:val="0"/>
                <w:sz w:val="21"/>
                <w:szCs w:val="21"/>
                <w:highlight w:val="none"/>
              </w:rPr>
            </w:pPr>
            <w:r>
              <w:rPr>
                <w:rStyle w:val="163"/>
                <w:rFonts w:hint="default" w:ascii="仿宋" w:hAnsi="仿宋" w:eastAsia="仿宋" w:cs="仿宋"/>
                <w:color w:val="auto"/>
                <w:sz w:val="21"/>
                <w:szCs w:val="21"/>
                <w:highlight w:val="none"/>
              </w:rPr>
              <w:t>应急措施</w:t>
            </w:r>
            <w:r>
              <w:rPr>
                <w:rFonts w:hint="eastAsia" w:ascii="仿宋" w:hAnsi="仿宋" w:eastAsia="仿宋" w:cs="仿宋"/>
                <w:color w:val="auto"/>
                <w:kern w:val="0"/>
                <w:sz w:val="21"/>
                <w:szCs w:val="21"/>
                <w:highlight w:val="none"/>
              </w:rPr>
              <w:t>（2分）</w:t>
            </w:r>
          </w:p>
        </w:tc>
        <w:tc>
          <w:tcPr>
            <w:tcW w:w="744" w:type="dxa"/>
            <w:noWrap w:val="0"/>
            <w:vAlign w:val="center"/>
          </w:tcPr>
          <w:p>
            <w:pPr>
              <w:widowControl/>
              <w:jc w:val="center"/>
              <w:textAlignment w:val="center"/>
              <w:rPr>
                <w:rFonts w:hint="eastAsia" w:ascii="仿宋" w:hAnsi="仿宋" w:eastAsia="仿宋" w:cs="仿宋"/>
                <w:color w:val="auto"/>
                <w:kern w:val="0"/>
                <w:sz w:val="21"/>
                <w:szCs w:val="21"/>
                <w:highlight w:val="none"/>
              </w:rPr>
            </w:pPr>
            <w:r>
              <w:rPr>
                <w:rStyle w:val="163"/>
                <w:rFonts w:hint="default" w:ascii="仿宋" w:hAnsi="仿宋" w:eastAsia="仿宋" w:cs="仿宋"/>
                <w:color w:val="auto"/>
                <w:sz w:val="21"/>
                <w:szCs w:val="21"/>
                <w:highlight w:val="none"/>
              </w:rPr>
              <w:t>2</w:t>
            </w:r>
          </w:p>
        </w:tc>
        <w:tc>
          <w:tcPr>
            <w:tcW w:w="4662" w:type="dxa"/>
            <w:noWrap w:val="0"/>
            <w:vAlign w:val="top"/>
          </w:tcPr>
          <w:p>
            <w:pPr>
              <w:widowControl/>
              <w:jc w:val="left"/>
              <w:textAlignment w:val="center"/>
              <w:rPr>
                <w:rStyle w:val="163"/>
                <w:rFonts w:hint="default" w:ascii="仿宋" w:hAnsi="仿宋" w:eastAsia="仿宋" w:cs="仿宋"/>
                <w:color w:val="auto"/>
                <w:sz w:val="21"/>
                <w:szCs w:val="21"/>
                <w:highlight w:val="none"/>
              </w:rPr>
            </w:pPr>
            <w:r>
              <w:rPr>
                <w:rStyle w:val="163"/>
                <w:rFonts w:hint="eastAsia" w:ascii="仿宋" w:hAnsi="仿宋" w:eastAsia="仿宋" w:cs="仿宋"/>
                <w:color w:val="auto"/>
                <w:sz w:val="21"/>
                <w:szCs w:val="21"/>
                <w:highlight w:val="none"/>
              </w:rPr>
              <w:t>根据招标人食堂特殊情况或零星食材应急配送要求，投标人必须随时随地做好保障，应急食材必须在半小时内送达到位，食材品质达到食堂要求。</w:t>
            </w:r>
            <w:r>
              <w:rPr>
                <w:rStyle w:val="163"/>
                <w:rFonts w:hint="default" w:ascii="仿宋" w:hAnsi="仿宋" w:eastAsia="仿宋" w:cs="仿宋"/>
                <w:color w:val="auto"/>
                <w:sz w:val="21"/>
                <w:szCs w:val="21"/>
                <w:highlight w:val="none"/>
              </w:rPr>
              <w:t>评标委员会对投标文件进行横向比较。</w:t>
            </w:r>
            <w:r>
              <w:rPr>
                <w:rStyle w:val="163"/>
                <w:rFonts w:hint="eastAsia" w:ascii="仿宋" w:hAnsi="仿宋" w:eastAsia="仿宋" w:cs="仿宋"/>
                <w:color w:val="auto"/>
                <w:sz w:val="21"/>
                <w:szCs w:val="21"/>
                <w:highlight w:val="none"/>
              </w:rPr>
              <w:t>优秀（1.1-2.0分）、良好（0.6-1.0分）、一般（0.1-0.5分）</w:t>
            </w:r>
            <w:r>
              <w:rPr>
                <w:rStyle w:val="163"/>
                <w:rFonts w:hint="default" w:ascii="仿宋" w:hAnsi="仿宋" w:eastAsia="仿宋" w:cs="仿宋"/>
                <w:color w:val="auto"/>
                <w:sz w:val="21"/>
                <w:szCs w:val="21"/>
                <w:highlight w:val="none"/>
              </w:rPr>
              <w:t>，未提供的不得分。</w:t>
            </w:r>
          </w:p>
        </w:tc>
        <w:tc>
          <w:tcPr>
            <w:tcW w:w="1998" w:type="dxa"/>
            <w:noWrap w:val="0"/>
            <w:vAlign w:val="center"/>
          </w:tcPr>
          <w:p>
            <w:pPr>
              <w:widowControl/>
              <w:rPr>
                <w:rFonts w:hint="eastAsia" w:ascii="仿宋" w:hAnsi="仿宋" w:eastAsia="仿宋" w:cs="仿宋"/>
                <w:color w:val="auto"/>
                <w:kern w:val="0"/>
                <w:sz w:val="21"/>
                <w:szCs w:val="21"/>
                <w:highlight w:val="none"/>
              </w:rPr>
            </w:pPr>
          </w:p>
        </w:tc>
      </w:tr>
    </w:tbl>
    <w:p>
      <w:pPr>
        <w:snapToGrid w:val="0"/>
        <w:rPr>
          <w:rFonts w:ascii="仿宋" w:hAnsi="仿宋" w:eastAsia="仿宋"/>
          <w:b/>
          <w:color w:val="auto"/>
          <w:sz w:val="24"/>
          <w:highlight w:val="none"/>
          <w:u w:val="single"/>
        </w:rPr>
      </w:pPr>
    </w:p>
    <w:p>
      <w:pPr>
        <w:spacing w:line="400" w:lineRule="exact"/>
        <w:rPr>
          <w:rFonts w:hint="eastAsia" w:ascii="仿宋" w:hAnsi="仿宋" w:eastAsia="仿宋"/>
          <w:b/>
          <w:bCs/>
          <w:iCs/>
          <w:color w:val="auto"/>
          <w:sz w:val="24"/>
          <w:highlight w:val="none"/>
        </w:rPr>
      </w:pPr>
      <w:r>
        <w:rPr>
          <w:rFonts w:hint="eastAsia" w:ascii="仿宋" w:hAnsi="仿宋" w:eastAsia="仿宋"/>
          <w:b/>
          <w:bCs/>
          <w:iCs/>
          <w:color w:val="auto"/>
          <w:sz w:val="24"/>
          <w:highlight w:val="none"/>
          <w:lang w:val="en-US" w:eastAsia="zh-CN"/>
        </w:rPr>
        <w:t xml:space="preserve">2.3 01标 </w:t>
      </w:r>
      <w:r>
        <w:rPr>
          <w:rFonts w:hint="eastAsia" w:ascii="仿宋" w:hAnsi="仿宋" w:eastAsia="仿宋"/>
          <w:b/>
          <w:bCs/>
          <w:iCs/>
          <w:color w:val="auto"/>
          <w:sz w:val="24"/>
          <w:highlight w:val="none"/>
          <w:lang w:eastAsia="zh-CN"/>
        </w:rPr>
        <w:t>价格</w:t>
      </w:r>
      <w:r>
        <w:rPr>
          <w:rFonts w:hint="eastAsia" w:ascii="仿宋" w:hAnsi="仿宋" w:eastAsia="仿宋"/>
          <w:b/>
          <w:bCs/>
          <w:iCs/>
          <w:color w:val="auto"/>
          <w:sz w:val="24"/>
          <w:highlight w:val="none"/>
        </w:rPr>
        <w:t xml:space="preserve">分40分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（大米、食品、面粉、牛奶类</w:t>
      </w:r>
      <w:r>
        <w:rPr>
          <w:rFonts w:hint="eastAsia" w:ascii="仿宋" w:hAnsi="仿宋" w:eastAsia="仿宋" w:cs="仿宋"/>
          <w:color w:val="auto"/>
          <w:sz w:val="24"/>
          <w:highlight w:val="none"/>
          <w:lang w:eastAsia="zh-CN"/>
        </w:rPr>
        <w:t>等价格分</w:t>
      </w:r>
      <w:r>
        <w:rPr>
          <w:rFonts w:hint="eastAsia" w:ascii="仿宋" w:hAnsi="仿宋" w:eastAsia="仿宋" w:cs="仿宋"/>
          <w:color w:val="auto"/>
          <w:sz w:val="24"/>
          <w:highlight w:val="none"/>
        </w:rPr>
        <w:t>35分，调味品及日用品类等</w:t>
      </w:r>
      <w:r>
        <w:rPr>
          <w:rFonts w:hint="eastAsia" w:ascii="仿宋" w:hAnsi="仿宋" w:eastAsia="仿宋" w:cs="仿宋"/>
          <w:color w:val="auto"/>
          <w:sz w:val="24"/>
          <w:highlight w:val="none"/>
          <w:lang w:eastAsia="zh-CN"/>
        </w:rPr>
        <w:t>价格分</w:t>
      </w:r>
      <w:r>
        <w:rPr>
          <w:rFonts w:hint="eastAsia" w:ascii="仿宋" w:hAnsi="仿宋" w:eastAsia="仿宋" w:cs="仿宋"/>
          <w:color w:val="auto"/>
          <w:sz w:val="24"/>
          <w:highlight w:val="none"/>
        </w:rPr>
        <w:t>5分，分别计算报价得分，总和为投标报价分）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rPr>
        <w:t>大米、食品、面粉、牛奶类</w:t>
      </w:r>
      <w:r>
        <w:rPr>
          <w:rFonts w:hint="eastAsia" w:ascii="仿宋" w:hAnsi="仿宋" w:eastAsia="仿宋" w:cs="仿宋"/>
          <w:b/>
          <w:bCs/>
          <w:color w:val="auto"/>
          <w:sz w:val="24"/>
          <w:highlight w:val="none"/>
          <w:lang w:eastAsia="zh-CN"/>
        </w:rPr>
        <w:t>等</w:t>
      </w:r>
      <w:r>
        <w:rPr>
          <w:rFonts w:hint="eastAsia" w:ascii="仿宋" w:hAnsi="仿宋" w:eastAsia="仿宋" w:cs="仿宋"/>
          <w:color w:val="auto"/>
          <w:sz w:val="24"/>
          <w:highlight w:val="none"/>
        </w:rPr>
        <w:t>评标基准价：即满足招标文件要求且投标价格最低的投标报价为评标基准价，其价格分为满分。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投标报价得分=(评标基准价／投标报价)×价格权值×100</w:t>
      </w:r>
    </w:p>
    <w:p>
      <w:pPr>
        <w:widowControl/>
        <w:snapToGrid w:val="0"/>
        <w:spacing w:line="480" w:lineRule="exact"/>
        <w:ind w:firstLine="480" w:firstLineChars="200"/>
        <w:rPr>
          <w:rFonts w:hint="default" w:eastAsia="仿宋"/>
          <w:color w:val="auto"/>
          <w:highlight w:val="none"/>
          <w:lang w:val="en-US" w:eastAsia="zh-CN"/>
        </w:rPr>
      </w:pPr>
      <w:r>
        <w:rPr>
          <w:rFonts w:hint="eastAsia" w:ascii="仿宋" w:hAnsi="仿宋" w:eastAsia="仿宋"/>
          <w:bCs/>
          <w:iCs/>
          <w:color w:val="auto"/>
          <w:sz w:val="24"/>
          <w:highlight w:val="none"/>
        </w:rPr>
        <w:t>即：投标报价得分</w:t>
      </w:r>
      <w:r>
        <w:rPr>
          <w:rFonts w:ascii="仿宋" w:hAnsi="仿宋" w:eastAsia="仿宋"/>
          <w:bCs/>
          <w:iCs/>
          <w:color w:val="auto"/>
          <w:sz w:val="24"/>
          <w:highlight w:val="none"/>
        </w:rPr>
        <w:t>=(</w:t>
      </w:r>
      <w:r>
        <w:rPr>
          <w:rFonts w:hint="eastAsia" w:ascii="仿宋" w:hAnsi="仿宋" w:eastAsia="仿宋"/>
          <w:bCs/>
          <w:iCs/>
          <w:color w:val="auto"/>
          <w:sz w:val="24"/>
          <w:highlight w:val="none"/>
        </w:rPr>
        <w:t>评标基准价／投标报价</w:t>
      </w:r>
      <w:r>
        <w:rPr>
          <w:rFonts w:ascii="仿宋" w:hAnsi="仿宋" w:eastAsia="仿宋"/>
          <w:bCs/>
          <w:iCs/>
          <w:color w:val="auto"/>
          <w:sz w:val="24"/>
          <w:highlight w:val="none"/>
        </w:rPr>
        <w:t>)</w:t>
      </w:r>
      <w:r>
        <w:rPr>
          <w:rFonts w:hint="eastAsia" w:ascii="仿宋" w:hAnsi="仿宋" w:eastAsia="仿宋"/>
          <w:bCs/>
          <w:iCs/>
          <w:color w:val="auto"/>
          <w:sz w:val="24"/>
          <w:highlight w:val="none"/>
        </w:rPr>
        <w:t>×</w:t>
      </w:r>
      <w:r>
        <w:rPr>
          <w:rFonts w:hint="eastAsia" w:ascii="仿宋" w:hAnsi="仿宋" w:eastAsia="仿宋"/>
          <w:bCs/>
          <w:iCs/>
          <w:color w:val="auto"/>
          <w:sz w:val="24"/>
          <w:highlight w:val="none"/>
          <w:lang w:val="en-US" w:eastAsia="zh-CN"/>
        </w:rPr>
        <w:t>35</w:t>
      </w:r>
    </w:p>
    <w:p>
      <w:pPr>
        <w:numPr>
          <w:ilvl w:val="0"/>
          <w:numId w:val="0"/>
        </w:numPr>
        <w:spacing w:line="360" w:lineRule="auto"/>
        <w:ind w:leftChars="0"/>
        <w:jc w:val="left"/>
        <w:rPr>
          <w:rFonts w:hint="eastAsia"/>
          <w:color w:val="auto"/>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hint="eastAsia" w:ascii="仿宋" w:hAnsi="仿宋" w:eastAsia="仿宋" w:cs="仿宋"/>
          <w:color w:val="auto"/>
          <w:sz w:val="24"/>
          <w:highlight w:val="none"/>
        </w:rPr>
        <w:t>调味品及日用品类等目录明细表（分值5分）：根据提供目录的规格及型号，由专家综合评分（优4</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良2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分、一般0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rPr>
        <w:t>`</w:t>
      </w:r>
    </w:p>
    <w:p>
      <w:pPr>
        <w:numPr>
          <w:ilvl w:val="0"/>
          <w:numId w:val="0"/>
        </w:numPr>
        <w:spacing w:line="360" w:lineRule="auto"/>
        <w:ind w:leftChars="0"/>
        <w:jc w:val="left"/>
        <w:rPr>
          <w:rFonts w:hint="eastAsia"/>
          <w:b/>
          <w:bCs/>
          <w:color w:val="auto"/>
          <w:highlight w:val="none"/>
        </w:rPr>
      </w:pPr>
      <w:r>
        <w:rPr>
          <w:rFonts w:hint="eastAsia" w:ascii="仿宋" w:hAnsi="仿宋" w:eastAsia="仿宋" w:cs="仿宋"/>
          <w:b/>
          <w:bCs/>
          <w:color w:val="auto"/>
          <w:sz w:val="24"/>
          <w:highlight w:val="none"/>
          <w:lang w:eastAsia="zh-CN"/>
        </w:rPr>
        <w:t>注：</w:t>
      </w:r>
      <w:r>
        <w:rPr>
          <w:rFonts w:hint="eastAsia" w:ascii="仿宋" w:hAnsi="仿宋" w:eastAsia="仿宋" w:cs="仿宋"/>
          <w:b/>
          <w:bCs/>
          <w:color w:val="auto"/>
          <w:sz w:val="24"/>
          <w:highlight w:val="none"/>
          <w:lang w:val="en-US" w:eastAsia="zh-CN"/>
        </w:rPr>
        <w:t>01标价格分（40分）=</w:t>
      </w:r>
      <w:r>
        <w:rPr>
          <w:rFonts w:hint="eastAsia" w:ascii="仿宋" w:hAnsi="仿宋" w:eastAsia="仿宋" w:cs="仿宋"/>
          <w:b/>
          <w:bCs/>
          <w:color w:val="auto"/>
          <w:sz w:val="24"/>
          <w:highlight w:val="none"/>
        </w:rPr>
        <w:t>大米、食品、面粉、牛奶类</w:t>
      </w:r>
      <w:r>
        <w:rPr>
          <w:rFonts w:hint="eastAsia" w:ascii="仿宋" w:hAnsi="仿宋" w:eastAsia="仿宋" w:cs="仿宋"/>
          <w:b/>
          <w:bCs/>
          <w:color w:val="auto"/>
          <w:sz w:val="24"/>
          <w:highlight w:val="none"/>
          <w:lang w:eastAsia="zh-CN"/>
        </w:rPr>
        <w:t>等价格分（</w:t>
      </w:r>
      <w:r>
        <w:rPr>
          <w:rFonts w:hint="eastAsia" w:ascii="仿宋" w:hAnsi="仿宋" w:eastAsia="仿宋" w:cs="仿宋"/>
          <w:b/>
          <w:bCs/>
          <w:color w:val="auto"/>
          <w:sz w:val="24"/>
          <w:highlight w:val="none"/>
        </w:rPr>
        <w:t>35分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调味品及日用品类等</w:t>
      </w:r>
      <w:r>
        <w:rPr>
          <w:rFonts w:hint="eastAsia" w:ascii="仿宋" w:hAnsi="仿宋" w:eastAsia="仿宋" w:cs="仿宋"/>
          <w:b/>
          <w:bCs/>
          <w:color w:val="auto"/>
          <w:sz w:val="24"/>
          <w:highlight w:val="none"/>
          <w:lang w:eastAsia="zh-CN"/>
        </w:rPr>
        <w:t>价格分（</w:t>
      </w:r>
      <w:r>
        <w:rPr>
          <w:rFonts w:hint="eastAsia" w:ascii="仿宋" w:hAnsi="仿宋" w:eastAsia="仿宋" w:cs="仿宋"/>
          <w:b/>
          <w:bCs/>
          <w:color w:val="auto"/>
          <w:sz w:val="24"/>
          <w:highlight w:val="none"/>
        </w:rPr>
        <w:t>5分</w:t>
      </w:r>
      <w:r>
        <w:rPr>
          <w:rFonts w:hint="eastAsia" w:ascii="仿宋" w:hAnsi="仿宋" w:eastAsia="仿宋" w:cs="仿宋"/>
          <w:b/>
          <w:bCs/>
          <w:color w:val="auto"/>
          <w:sz w:val="24"/>
          <w:highlight w:val="none"/>
          <w:lang w:eastAsia="zh-CN"/>
        </w:rPr>
        <w:t>）</w:t>
      </w:r>
    </w:p>
    <w:p>
      <w:pPr>
        <w:spacing w:line="400" w:lineRule="exact"/>
        <w:rPr>
          <w:rFonts w:hint="eastAsia" w:ascii="仿宋" w:hAnsi="仿宋" w:eastAsia="仿宋"/>
          <w:b/>
          <w:bCs/>
          <w:iCs/>
          <w:color w:val="auto"/>
          <w:sz w:val="24"/>
          <w:highlight w:val="none"/>
          <w:lang w:val="en-US" w:eastAsia="zh-CN"/>
        </w:rPr>
      </w:pPr>
      <w:r>
        <w:rPr>
          <w:rFonts w:hint="eastAsia" w:ascii="仿宋" w:hAnsi="仿宋" w:eastAsia="仿宋"/>
          <w:b/>
          <w:bCs/>
          <w:iCs/>
          <w:color w:val="auto"/>
          <w:sz w:val="24"/>
          <w:highlight w:val="none"/>
          <w:lang w:val="en-US" w:eastAsia="zh-CN"/>
        </w:rPr>
        <w:t>2.4 02标 价格分30分</w:t>
      </w:r>
    </w:p>
    <w:tbl>
      <w:tblPr>
        <w:tblStyle w:val="39"/>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36"/>
        <w:gridCol w:w="744"/>
        <w:gridCol w:w="496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23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评分项目</w:t>
            </w:r>
          </w:p>
        </w:tc>
        <w:tc>
          <w:tcPr>
            <w:tcW w:w="7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分值</w:t>
            </w:r>
          </w:p>
        </w:tc>
        <w:tc>
          <w:tcPr>
            <w:tcW w:w="4962"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投标评分标准</w:t>
            </w:r>
          </w:p>
        </w:tc>
        <w:tc>
          <w:tcPr>
            <w:tcW w:w="1500"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648" w:type="dxa"/>
            <w:vMerge w:val="restart"/>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236" w:type="dxa"/>
            <w:vMerge w:val="restart"/>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定价方式</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（30分）</w:t>
            </w:r>
          </w:p>
        </w:tc>
        <w:tc>
          <w:tcPr>
            <w:tcW w:w="7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4962" w:type="dxa"/>
            <w:noWrap w:val="0"/>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认可本项目“所有配送商品价格按照</w:t>
            </w:r>
            <w:r>
              <w:rPr>
                <w:rFonts w:hint="eastAsia" w:ascii="仿宋" w:hAnsi="仿宋" w:eastAsia="仿宋" w:cs="仿宋"/>
                <w:b/>
                <w:bCs/>
                <w:color w:val="auto"/>
                <w:szCs w:val="21"/>
                <w:highlight w:val="none"/>
              </w:rPr>
              <w:t>越城区教育网</w:t>
            </w:r>
            <w:r>
              <w:rPr>
                <w:rFonts w:hint="eastAsia" w:ascii="仿宋" w:hAnsi="仿宋" w:eastAsia="仿宋" w:cs="仿宋"/>
                <w:color w:val="auto"/>
                <w:kern w:val="0"/>
                <w:szCs w:val="21"/>
                <w:highlight w:val="none"/>
              </w:rPr>
              <w:t>上公示指导价计价，寒暑假期间配送的商品价格以</w:t>
            </w:r>
            <w:r>
              <w:rPr>
                <w:rFonts w:hint="eastAsia" w:ascii="仿宋" w:hAnsi="仿宋" w:eastAsia="仿宋" w:cs="仿宋"/>
                <w:b/>
                <w:bCs/>
                <w:color w:val="auto"/>
                <w:szCs w:val="21"/>
                <w:highlight w:val="none"/>
              </w:rPr>
              <w:t>越城区教育网</w:t>
            </w:r>
            <w:r>
              <w:rPr>
                <w:rFonts w:hint="eastAsia" w:ascii="仿宋" w:hAnsi="仿宋" w:eastAsia="仿宋" w:cs="仿宋"/>
                <w:color w:val="auto"/>
                <w:kern w:val="0"/>
                <w:szCs w:val="21"/>
                <w:highlight w:val="none"/>
              </w:rPr>
              <w:t>最后一次网上公示指导价计价”的定价方式得8分；不认可不得分。寒暑假期间如上下浮动超过10%参照绍兴E价通（http://jgjg.sx.gov.cn/）大江农贸市场公布的市场价为基础，在设定范围内下浮。事先需提出书面申请报院方同意。</w:t>
            </w:r>
          </w:p>
        </w:tc>
        <w:tc>
          <w:tcPr>
            <w:tcW w:w="1500" w:type="dxa"/>
            <w:noWrap w:val="0"/>
            <w:vAlign w:val="center"/>
          </w:tcPr>
          <w:p>
            <w:pPr>
              <w:widowControl/>
              <w:jc w:val="center"/>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9" w:hRule="atLeast"/>
        </w:trPr>
        <w:tc>
          <w:tcPr>
            <w:tcW w:w="648" w:type="dxa"/>
            <w:vMerge w:val="continue"/>
            <w:noWrap w:val="0"/>
            <w:vAlign w:val="center"/>
          </w:tcPr>
          <w:p>
            <w:pPr>
              <w:widowControl/>
              <w:jc w:val="center"/>
              <w:rPr>
                <w:rFonts w:hint="eastAsia" w:ascii="仿宋" w:hAnsi="仿宋" w:eastAsia="仿宋" w:cs="仿宋"/>
                <w:color w:val="auto"/>
                <w:kern w:val="0"/>
                <w:sz w:val="24"/>
                <w:highlight w:val="none"/>
              </w:rPr>
            </w:pPr>
          </w:p>
        </w:tc>
        <w:tc>
          <w:tcPr>
            <w:tcW w:w="1236" w:type="dxa"/>
            <w:vMerge w:val="continue"/>
            <w:noWrap w:val="0"/>
            <w:vAlign w:val="center"/>
          </w:tcPr>
          <w:p>
            <w:pPr>
              <w:widowControl/>
              <w:jc w:val="center"/>
              <w:rPr>
                <w:rFonts w:hint="eastAsia" w:ascii="仿宋" w:hAnsi="仿宋" w:eastAsia="仿宋" w:cs="仿宋"/>
                <w:color w:val="auto"/>
                <w:kern w:val="0"/>
                <w:sz w:val="24"/>
                <w:highlight w:val="none"/>
              </w:rPr>
            </w:pPr>
          </w:p>
        </w:tc>
        <w:tc>
          <w:tcPr>
            <w:tcW w:w="7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w:t>
            </w:r>
          </w:p>
        </w:tc>
        <w:tc>
          <w:tcPr>
            <w:tcW w:w="4962" w:type="dxa"/>
            <w:noWrap w:val="0"/>
            <w:vAlign w:val="top"/>
          </w:tcPr>
          <w:p>
            <w:pPr>
              <w:widowControl/>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未公示商品计价办法：按照绍兴E价通（http://jgjg.sx.gov.cn/）大江农贸市场公布的市场价为基础，在设定范围内下浮一定额度。</w:t>
            </w:r>
          </w:p>
          <w:p>
            <w:pPr>
              <w:widowControl/>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蔬菜类：承诺按照绍兴E价通大江农贸市场公布的市场价下浮</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（设定范围20-30%）</w:t>
            </w:r>
            <w:r>
              <w:rPr>
                <w:rFonts w:hint="eastAsia" w:ascii="仿宋" w:hAnsi="仿宋" w:eastAsia="仿宋" w:cs="仿宋"/>
                <w:color w:val="auto"/>
                <w:kern w:val="0"/>
                <w:szCs w:val="21"/>
                <w:highlight w:val="none"/>
              </w:rPr>
              <w:t>。（5分）</w:t>
            </w:r>
          </w:p>
          <w:p>
            <w:pPr>
              <w:widowControl/>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水产类：承诺按照大江市场价下浮</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（设定范围10-20%）</w:t>
            </w:r>
            <w:r>
              <w:rPr>
                <w:rFonts w:hint="eastAsia" w:ascii="仿宋" w:hAnsi="仿宋" w:eastAsia="仿宋" w:cs="仿宋"/>
                <w:color w:val="auto"/>
                <w:kern w:val="0"/>
                <w:szCs w:val="21"/>
                <w:highlight w:val="none"/>
              </w:rPr>
              <w:t>。（5分）</w:t>
            </w:r>
          </w:p>
          <w:p>
            <w:pPr>
              <w:widowControl/>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鲜活家禽：承诺按照大江市场价下浮</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（设定范围5-15%）</w:t>
            </w:r>
            <w:r>
              <w:rPr>
                <w:rFonts w:hint="eastAsia" w:ascii="仿宋" w:hAnsi="仿宋" w:eastAsia="仿宋" w:cs="仿宋"/>
                <w:color w:val="auto"/>
                <w:kern w:val="0"/>
                <w:szCs w:val="21"/>
                <w:highlight w:val="none"/>
              </w:rPr>
              <w:t>（5分）</w:t>
            </w:r>
          </w:p>
          <w:p>
            <w:pPr>
              <w:widowControl/>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豆制品类：承诺按照大江市场价下浮</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（设定范围5-10%）</w:t>
            </w:r>
            <w:r>
              <w:rPr>
                <w:rFonts w:hint="eastAsia" w:ascii="仿宋" w:hAnsi="仿宋" w:eastAsia="仿宋" w:cs="仿宋"/>
                <w:color w:val="auto"/>
                <w:kern w:val="0"/>
                <w:szCs w:val="21"/>
                <w:highlight w:val="none"/>
              </w:rPr>
              <w:t>。（3分）</w:t>
            </w:r>
          </w:p>
          <w:p>
            <w:pPr>
              <w:widowControl/>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冷冻品类：承诺按照大江市场价下浮</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（设定范围10-15%）</w:t>
            </w:r>
            <w:r>
              <w:rPr>
                <w:rFonts w:hint="eastAsia" w:ascii="仿宋" w:hAnsi="仿宋" w:eastAsia="仿宋" w:cs="仿宋"/>
                <w:color w:val="auto"/>
                <w:kern w:val="0"/>
                <w:szCs w:val="21"/>
                <w:highlight w:val="none"/>
              </w:rPr>
              <w:t>。（4分）</w:t>
            </w:r>
          </w:p>
        </w:tc>
        <w:tc>
          <w:tcPr>
            <w:tcW w:w="1500" w:type="dxa"/>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计分方法：以有效投标人的最大下浮数为基准值，其为满分；其他得分=（投标数值/基准值）×分值</w:t>
            </w:r>
          </w:p>
        </w:tc>
      </w:tr>
    </w:tbl>
    <w:p>
      <w:pPr>
        <w:snapToGrid w:val="0"/>
        <w:rPr>
          <w:rFonts w:ascii="仿宋" w:hAnsi="仿宋" w:eastAsia="仿宋"/>
          <w:b/>
          <w:color w:val="auto"/>
          <w:sz w:val="24"/>
          <w:highlight w:val="none"/>
          <w:u w:val="single"/>
        </w:rPr>
      </w:pPr>
    </w:p>
    <w:p>
      <w:pPr>
        <w:snapToGrid w:val="0"/>
        <w:rPr>
          <w:rFonts w:ascii="仿宋" w:hAnsi="仿宋" w:eastAsia="仿宋"/>
          <w:b/>
          <w:color w:val="auto"/>
          <w:sz w:val="24"/>
          <w:highlight w:val="none"/>
          <w:u w:val="single"/>
        </w:rPr>
      </w:pPr>
    </w:p>
    <w:p>
      <w:pPr>
        <w:snapToGrid w:val="0"/>
        <w:rPr>
          <w:rFonts w:ascii="仿宋" w:hAnsi="仿宋" w:eastAsia="仿宋"/>
          <w:b/>
          <w:color w:val="auto"/>
          <w:sz w:val="24"/>
          <w:highlight w:val="none"/>
          <w:u w:val="single"/>
        </w:rPr>
      </w:pPr>
    </w:p>
    <w:bookmarkEnd w:id="7"/>
    <w:bookmarkEnd w:id="8"/>
    <w:bookmarkEnd w:id="9"/>
    <w:bookmarkEnd w:id="10"/>
    <w:p>
      <w:pPr>
        <w:pageBreakBefore/>
        <w:snapToGrid w:val="0"/>
        <w:spacing w:line="360" w:lineRule="auto"/>
        <w:jc w:val="center"/>
        <w:rPr>
          <w:rFonts w:ascii="仿宋" w:hAnsi="仿宋" w:eastAsia="仿宋" w:cs="FangSong_GB2312"/>
          <w:b/>
          <w:color w:val="auto"/>
          <w:sz w:val="36"/>
          <w:szCs w:val="20"/>
          <w:highlight w:val="none"/>
        </w:rPr>
      </w:pPr>
      <w:r>
        <w:rPr>
          <w:rFonts w:hint="eastAsia" w:ascii="仿宋" w:hAnsi="仿宋" w:eastAsia="仿宋" w:cs="FangSong_GB2312"/>
          <w:b/>
          <w:color w:val="auto"/>
          <w:sz w:val="36"/>
          <w:szCs w:val="20"/>
          <w:highlight w:val="none"/>
        </w:rPr>
        <w:t>第六部分</w:t>
      </w:r>
      <w:r>
        <w:rPr>
          <w:rFonts w:hint="eastAsia" w:ascii="仿宋" w:hAnsi="仿宋" w:eastAsia="仿宋"/>
          <w:b/>
          <w:color w:val="auto"/>
          <w:sz w:val="36"/>
          <w:szCs w:val="36"/>
          <w:highlight w:val="none"/>
        </w:rPr>
        <w:t>投标文件</w:t>
      </w:r>
      <w:r>
        <w:rPr>
          <w:rFonts w:hint="eastAsia" w:ascii="仿宋" w:hAnsi="仿宋" w:eastAsia="仿宋" w:cs="FangSong_GB2312"/>
          <w:b/>
          <w:color w:val="auto"/>
          <w:sz w:val="36"/>
          <w:szCs w:val="20"/>
          <w:highlight w:val="none"/>
        </w:rPr>
        <w:t>应提交的有关格式范例</w:t>
      </w:r>
    </w:p>
    <w:p>
      <w:pPr>
        <w:spacing w:line="360" w:lineRule="auto"/>
        <w:ind w:firstLine="480" w:firstLineChars="200"/>
        <w:outlineLvl w:val="0"/>
        <w:rPr>
          <w:rFonts w:ascii="仿宋" w:hAnsi="仿宋" w:eastAsia="仿宋" w:cs="FangSong_GB2312"/>
          <w:color w:val="auto"/>
          <w:sz w:val="24"/>
          <w:highlight w:val="none"/>
        </w:rPr>
      </w:pPr>
      <w:r>
        <w:rPr>
          <w:rFonts w:hint="eastAsia" w:ascii="仿宋" w:hAnsi="仿宋" w:eastAsia="仿宋" w:cs="FangSong_GB2312"/>
          <w:color w:val="auto"/>
          <w:sz w:val="24"/>
          <w:highlight w:val="none"/>
        </w:rPr>
        <w:t>投标人按照以下格式编制投标文件，并将报价文件、商务技术（资信）文件分别装订成册。</w:t>
      </w:r>
    </w:p>
    <w:p>
      <w:pPr>
        <w:spacing w:line="360" w:lineRule="auto"/>
        <w:ind w:firstLine="480" w:firstLineChars="200"/>
        <w:outlineLvl w:val="0"/>
        <w:rPr>
          <w:rFonts w:ascii="仿宋" w:hAnsi="仿宋" w:eastAsia="仿宋" w:cs="FangSong_GB2312"/>
          <w:color w:val="auto"/>
          <w:sz w:val="24"/>
          <w:highlight w:val="none"/>
        </w:rPr>
      </w:pPr>
    </w:p>
    <w:p>
      <w:pPr>
        <w:spacing w:line="360" w:lineRule="auto"/>
        <w:ind w:firstLine="480" w:firstLineChars="200"/>
        <w:outlineLvl w:val="0"/>
        <w:rPr>
          <w:rFonts w:ascii="仿宋" w:hAnsi="仿宋" w:eastAsia="仿宋" w:cs="FangSong_GB2312"/>
          <w:color w:val="auto"/>
          <w:sz w:val="24"/>
          <w:highlight w:val="none"/>
        </w:rPr>
      </w:pPr>
    </w:p>
    <w:p>
      <w:pPr>
        <w:spacing w:line="360" w:lineRule="auto"/>
        <w:ind w:firstLine="480" w:firstLineChars="200"/>
        <w:outlineLvl w:val="0"/>
        <w:rPr>
          <w:rFonts w:ascii="仿宋" w:hAnsi="仿宋" w:eastAsia="仿宋" w:cs="FangSong_GB2312"/>
          <w:color w:val="auto"/>
          <w:sz w:val="24"/>
          <w:highlight w:val="none"/>
        </w:rPr>
      </w:pPr>
    </w:p>
    <w:p>
      <w:pPr>
        <w:spacing w:line="360" w:lineRule="auto"/>
        <w:ind w:firstLine="480" w:firstLineChars="200"/>
        <w:outlineLvl w:val="0"/>
        <w:rPr>
          <w:rFonts w:ascii="仿宋" w:hAnsi="仿宋" w:eastAsia="仿宋" w:cs="FangSong_GB2312"/>
          <w:color w:val="auto"/>
          <w:sz w:val="24"/>
          <w:highlight w:val="none"/>
        </w:rPr>
      </w:pPr>
    </w:p>
    <w:p>
      <w:pPr>
        <w:spacing w:line="360" w:lineRule="auto"/>
        <w:ind w:firstLine="480" w:firstLineChars="200"/>
        <w:outlineLvl w:val="0"/>
        <w:rPr>
          <w:rFonts w:ascii="仿宋" w:hAnsi="仿宋" w:eastAsia="仿宋" w:cs="FangSong_GB2312"/>
          <w:color w:val="auto"/>
          <w:sz w:val="24"/>
          <w:highlight w:val="none"/>
        </w:rPr>
      </w:pPr>
    </w:p>
    <w:p>
      <w:pPr>
        <w:snapToGrid w:val="0"/>
        <w:spacing w:line="360" w:lineRule="auto"/>
        <w:jc w:val="center"/>
        <w:rPr>
          <w:rFonts w:ascii="仿宋" w:hAnsi="仿宋" w:eastAsia="仿宋" w:cs="FangSong_GB2312"/>
          <w:b/>
          <w:color w:val="auto"/>
          <w:kern w:val="0"/>
          <w:sz w:val="36"/>
          <w:szCs w:val="36"/>
          <w:highlight w:val="none"/>
        </w:rPr>
      </w:pPr>
      <w:r>
        <w:rPr>
          <w:rFonts w:hint="eastAsia" w:ascii="仿宋" w:hAnsi="仿宋" w:eastAsia="仿宋" w:cs="FangSong_GB2312"/>
          <w:b/>
          <w:color w:val="auto"/>
          <w:kern w:val="0"/>
          <w:sz w:val="36"/>
          <w:szCs w:val="36"/>
          <w:highlight w:val="none"/>
        </w:rPr>
        <w:t>报价文件部分</w:t>
      </w:r>
    </w:p>
    <w:p>
      <w:pPr>
        <w:spacing w:line="360" w:lineRule="auto"/>
        <w:jc w:val="center"/>
        <w:outlineLvl w:val="0"/>
        <w:rPr>
          <w:rFonts w:ascii="仿宋" w:hAnsi="仿宋" w:eastAsia="仿宋" w:cs="FangSong_GB2312"/>
          <w:b/>
          <w:color w:val="auto"/>
          <w:kern w:val="0"/>
          <w:sz w:val="24"/>
          <w:highlight w:val="none"/>
        </w:rPr>
      </w:pPr>
    </w:p>
    <w:p>
      <w:pPr>
        <w:spacing w:line="360" w:lineRule="auto"/>
        <w:jc w:val="center"/>
        <w:outlineLvl w:val="0"/>
        <w:rPr>
          <w:rFonts w:ascii="仿宋" w:hAnsi="仿宋" w:eastAsia="仿宋" w:cs="FangSong_GB2312"/>
          <w:b/>
          <w:color w:val="auto"/>
          <w:kern w:val="0"/>
          <w:sz w:val="36"/>
          <w:szCs w:val="36"/>
          <w:highlight w:val="none"/>
        </w:rPr>
      </w:pPr>
      <w:r>
        <w:rPr>
          <w:rFonts w:hint="eastAsia" w:ascii="仿宋" w:hAnsi="仿宋" w:eastAsia="仿宋" w:cs="FangSong_GB2312"/>
          <w:b/>
          <w:color w:val="auto"/>
          <w:kern w:val="0"/>
          <w:sz w:val="36"/>
          <w:szCs w:val="36"/>
          <w:highlight w:val="none"/>
        </w:rPr>
        <w:t>目录</w:t>
      </w:r>
    </w:p>
    <w:p>
      <w:pPr>
        <w:spacing w:line="360" w:lineRule="auto"/>
        <w:outlineLvl w:val="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（1）投标响应函……………………………………………………（页码）</w:t>
      </w:r>
    </w:p>
    <w:p>
      <w:pPr>
        <w:spacing w:line="360" w:lineRule="auto"/>
        <w:outlineLvl w:val="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（2）开标一览表……………………………………………………（页码）</w:t>
      </w:r>
    </w:p>
    <w:p>
      <w:pPr>
        <w:spacing w:line="360" w:lineRule="auto"/>
        <w:outlineLvl w:val="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（3）中小企业声明函………………………………………………（页码）</w:t>
      </w:r>
    </w:p>
    <w:p>
      <w:pPr>
        <w:spacing w:line="360" w:lineRule="auto"/>
        <w:outlineLvl w:val="0"/>
        <w:rPr>
          <w:rFonts w:ascii="仿宋" w:hAnsi="仿宋" w:eastAsia="仿宋" w:cs="FangSong_GB2312"/>
          <w:color w:val="auto"/>
          <w:kern w:val="0"/>
          <w:sz w:val="24"/>
          <w:highlight w:val="none"/>
        </w:rPr>
      </w:pPr>
      <w:r>
        <w:rPr>
          <w:rFonts w:hint="eastAsia" w:ascii="仿宋" w:hAnsi="仿宋" w:eastAsia="仿宋" w:cs="FangSong_GB2312"/>
          <w:color w:val="auto"/>
          <w:sz w:val="24"/>
          <w:highlight w:val="none"/>
        </w:rPr>
        <w:t>（4）残疾人福利性单位声明函</w:t>
      </w:r>
      <w:r>
        <w:rPr>
          <w:rFonts w:hint="eastAsia" w:ascii="仿宋" w:hAnsi="仿宋" w:eastAsia="仿宋" w:cs="FangSong_GB2312"/>
          <w:color w:val="auto"/>
          <w:kern w:val="0"/>
          <w:sz w:val="24"/>
          <w:highlight w:val="none"/>
        </w:rPr>
        <w:t>……………………………………（页码）</w:t>
      </w:r>
    </w:p>
    <w:p>
      <w:pPr>
        <w:spacing w:line="360" w:lineRule="auto"/>
        <w:ind w:left="2" w:firstLine="480" w:firstLineChars="200"/>
        <w:rPr>
          <w:rFonts w:ascii="仿宋" w:hAnsi="仿宋" w:eastAsia="仿宋" w:cs="FangSong_GB2312"/>
          <w:color w:val="auto"/>
          <w:kern w:val="0"/>
          <w:sz w:val="24"/>
          <w:highlight w:val="none"/>
        </w:rPr>
      </w:pPr>
    </w:p>
    <w:p>
      <w:pPr>
        <w:spacing w:line="360" w:lineRule="auto"/>
        <w:ind w:left="2" w:firstLine="480" w:firstLineChars="200"/>
        <w:rPr>
          <w:rFonts w:ascii="仿宋" w:hAnsi="仿宋" w:eastAsia="仿宋" w:cs="FangSong_GB2312"/>
          <w:color w:val="auto"/>
          <w:kern w:val="0"/>
          <w:sz w:val="24"/>
          <w:highlight w:val="none"/>
        </w:rPr>
      </w:pPr>
    </w:p>
    <w:p>
      <w:pPr>
        <w:spacing w:line="360" w:lineRule="auto"/>
        <w:ind w:left="2" w:firstLine="480" w:firstLineChars="200"/>
        <w:rPr>
          <w:rFonts w:ascii="仿宋" w:hAnsi="仿宋" w:eastAsia="仿宋" w:cs="FangSong_GB2312"/>
          <w:color w:val="auto"/>
          <w:kern w:val="0"/>
          <w:sz w:val="24"/>
          <w:highlight w:val="none"/>
        </w:rPr>
      </w:pPr>
    </w:p>
    <w:p>
      <w:pPr>
        <w:spacing w:line="360" w:lineRule="auto"/>
        <w:ind w:left="2" w:firstLine="480" w:firstLineChars="200"/>
        <w:rPr>
          <w:rFonts w:ascii="仿宋" w:hAnsi="仿宋" w:eastAsia="仿宋" w:cs="FangSong_GB2312"/>
          <w:color w:val="auto"/>
          <w:sz w:val="24"/>
          <w:highlight w:val="none"/>
        </w:rPr>
      </w:pPr>
    </w:p>
    <w:p>
      <w:pPr>
        <w:pStyle w:val="18"/>
        <w:spacing w:line="800" w:lineRule="atLeast"/>
        <w:ind w:left="0" w:leftChars="0"/>
        <w:rPr>
          <w:rFonts w:ascii="仿宋" w:hAnsi="仿宋" w:eastAsia="仿宋"/>
          <w:b/>
          <w:color w:val="auto"/>
          <w:sz w:val="36"/>
          <w:szCs w:val="36"/>
          <w:highlight w:val="none"/>
        </w:rPr>
      </w:pPr>
    </w:p>
    <w:p>
      <w:pPr>
        <w:pStyle w:val="18"/>
        <w:spacing w:line="800" w:lineRule="atLeast"/>
        <w:ind w:left="0" w:leftChars="0"/>
        <w:rPr>
          <w:rFonts w:ascii="仿宋" w:hAnsi="仿宋" w:eastAsia="仿宋"/>
          <w:b/>
          <w:color w:val="auto"/>
          <w:sz w:val="36"/>
          <w:szCs w:val="36"/>
          <w:highlight w:val="none"/>
        </w:rPr>
      </w:pPr>
    </w:p>
    <w:p>
      <w:pPr>
        <w:pStyle w:val="18"/>
        <w:spacing w:line="800" w:lineRule="atLeast"/>
        <w:ind w:left="0" w:leftChars="0"/>
        <w:rPr>
          <w:rFonts w:ascii="仿宋" w:hAnsi="仿宋" w:eastAsia="仿宋"/>
          <w:b/>
          <w:color w:val="auto"/>
          <w:sz w:val="36"/>
          <w:szCs w:val="36"/>
          <w:highlight w:val="none"/>
        </w:rPr>
      </w:pPr>
    </w:p>
    <w:p>
      <w:pPr>
        <w:pStyle w:val="18"/>
        <w:spacing w:line="800" w:lineRule="atLeast"/>
        <w:ind w:left="0" w:leftChars="0"/>
        <w:rPr>
          <w:rFonts w:ascii="仿宋" w:hAnsi="仿宋" w:eastAsia="仿宋"/>
          <w:b/>
          <w:color w:val="auto"/>
          <w:sz w:val="36"/>
          <w:szCs w:val="36"/>
          <w:highlight w:val="none"/>
        </w:rPr>
      </w:pPr>
    </w:p>
    <w:p>
      <w:pPr>
        <w:rPr>
          <w:rFonts w:ascii="仿宋" w:hAnsi="仿宋" w:eastAsia="仿宋"/>
          <w:b/>
          <w:color w:val="auto"/>
          <w:sz w:val="30"/>
          <w:szCs w:val="30"/>
          <w:highlight w:val="none"/>
        </w:rPr>
      </w:pPr>
    </w:p>
    <w:p>
      <w:pPr>
        <w:pageBreakBefore/>
        <w:rPr>
          <w:rFonts w:ascii="仿宋" w:hAnsi="仿宋" w:eastAsia="仿宋"/>
          <w:color w:val="auto"/>
          <w:szCs w:val="24"/>
          <w:highlight w:val="none"/>
        </w:rPr>
      </w:pPr>
      <w:r>
        <w:rPr>
          <w:rFonts w:hint="eastAsia" w:ascii="仿宋" w:hAnsi="仿宋" w:eastAsia="仿宋"/>
          <w:b/>
          <w:color w:val="auto"/>
          <w:sz w:val="30"/>
          <w:szCs w:val="30"/>
          <w:highlight w:val="none"/>
        </w:rPr>
        <w:t>1、投标响应函（格式）</w:t>
      </w:r>
    </w:p>
    <w:p>
      <w:pPr>
        <w:pStyle w:val="54"/>
        <w:spacing w:afterLines="0" w:line="440" w:lineRule="exact"/>
        <w:ind w:firstLine="0" w:firstLineChars="0"/>
        <w:rPr>
          <w:rFonts w:ascii="仿宋" w:hAnsi="仿宋" w:eastAsia="仿宋"/>
          <w:color w:val="auto"/>
          <w:szCs w:val="24"/>
          <w:highlight w:val="none"/>
        </w:rPr>
      </w:pPr>
      <w:r>
        <w:rPr>
          <w:rFonts w:hint="eastAsia" w:ascii="仿宋" w:hAnsi="仿宋" w:eastAsia="仿宋"/>
          <w:color w:val="auto"/>
          <w:szCs w:val="24"/>
          <w:highlight w:val="none"/>
        </w:rPr>
        <w:t>致：</w:t>
      </w:r>
      <w:r>
        <w:rPr>
          <w:rFonts w:hint="eastAsia" w:ascii="仿宋" w:hAnsi="仿宋" w:eastAsia="仿宋"/>
          <w:color w:val="auto"/>
          <w:szCs w:val="24"/>
          <w:highlight w:val="none"/>
          <w:u w:val="single"/>
          <w:lang w:eastAsia="zh-CN"/>
        </w:rPr>
        <w:t>绍兴市中医院</w:t>
      </w:r>
      <w:r>
        <w:rPr>
          <w:rFonts w:hint="eastAsia" w:ascii="仿宋" w:hAnsi="仿宋" w:eastAsia="仿宋"/>
          <w:color w:val="auto"/>
          <w:szCs w:val="24"/>
          <w:highlight w:val="none"/>
          <w:u w:val="single"/>
        </w:rPr>
        <w:t>、泰宇建筑工程技术咨询有限公司</w:t>
      </w:r>
    </w:p>
    <w:p>
      <w:pPr>
        <w:pStyle w:val="54"/>
        <w:spacing w:afterLines="0" w:line="440" w:lineRule="exact"/>
        <w:ind w:firstLine="480"/>
        <w:rPr>
          <w:rFonts w:ascii="仿宋" w:hAnsi="仿宋" w:eastAsia="仿宋"/>
          <w:color w:val="auto"/>
          <w:szCs w:val="24"/>
          <w:highlight w:val="none"/>
        </w:rPr>
      </w:pPr>
      <w:r>
        <w:rPr>
          <w:rFonts w:hint="eastAsia" w:ascii="仿宋" w:hAnsi="仿宋" w:eastAsia="仿宋"/>
          <w:color w:val="auto"/>
          <w:szCs w:val="24"/>
          <w:highlight w:val="none"/>
        </w:rPr>
        <w:t>根据贵方招标文件（</w:t>
      </w:r>
      <w:r>
        <w:rPr>
          <w:rFonts w:hint="eastAsia" w:ascii="仿宋" w:hAnsi="仿宋" w:eastAsia="仿宋"/>
          <w:b/>
          <w:color w:val="auto"/>
          <w:szCs w:val="24"/>
          <w:highlight w:val="none"/>
          <w:u w:val="single"/>
        </w:rPr>
        <w:t>填写招标编号：</w:t>
      </w:r>
      <w:r>
        <w:rPr>
          <w:rFonts w:hint="eastAsia" w:ascii="仿宋" w:hAnsi="仿宋" w:eastAsia="仿宋"/>
          <w:color w:val="auto"/>
          <w:szCs w:val="24"/>
          <w:highlight w:val="none"/>
        </w:rPr>
        <w:t>）的要求，正式授权下述签字人</w:t>
      </w:r>
      <w:r>
        <w:rPr>
          <w:rFonts w:hint="eastAsia" w:ascii="仿宋" w:hAnsi="仿宋" w:eastAsia="仿宋"/>
          <w:b/>
          <w:color w:val="auto"/>
          <w:szCs w:val="24"/>
          <w:highlight w:val="none"/>
          <w:u w:val="single"/>
        </w:rPr>
        <w:t>（填写姓名    、单位    、职务   ）</w:t>
      </w:r>
      <w:r>
        <w:rPr>
          <w:rFonts w:hint="eastAsia" w:ascii="仿宋" w:hAnsi="仿宋" w:eastAsia="仿宋"/>
          <w:color w:val="auto"/>
          <w:szCs w:val="24"/>
          <w:highlight w:val="none"/>
        </w:rPr>
        <w:t>代表投标人</w:t>
      </w:r>
      <w:r>
        <w:rPr>
          <w:rFonts w:hint="eastAsia" w:ascii="仿宋" w:hAnsi="仿宋" w:eastAsia="仿宋"/>
          <w:color w:val="auto"/>
          <w:szCs w:val="24"/>
          <w:highlight w:val="none"/>
          <w:u w:val="single"/>
        </w:rPr>
        <w:t>（</w:t>
      </w:r>
      <w:r>
        <w:rPr>
          <w:rFonts w:hint="eastAsia" w:ascii="仿宋" w:hAnsi="仿宋" w:eastAsia="仿宋"/>
          <w:b/>
          <w:color w:val="auto"/>
          <w:szCs w:val="24"/>
          <w:highlight w:val="none"/>
          <w:u w:val="single"/>
        </w:rPr>
        <w:t xml:space="preserve">填写单位   、地址   </w:t>
      </w:r>
      <w:r>
        <w:rPr>
          <w:rFonts w:hint="eastAsia" w:ascii="仿宋" w:hAnsi="仿宋" w:eastAsia="仿宋"/>
          <w:color w:val="auto"/>
          <w:szCs w:val="24"/>
          <w:highlight w:val="none"/>
          <w:u w:val="single"/>
        </w:rPr>
        <w:t>）</w:t>
      </w:r>
      <w:r>
        <w:rPr>
          <w:rFonts w:hint="eastAsia" w:ascii="仿宋" w:hAnsi="仿宋" w:eastAsia="仿宋"/>
          <w:color w:val="auto"/>
          <w:szCs w:val="24"/>
          <w:highlight w:val="none"/>
        </w:rPr>
        <w:t>提交以下文件。</w:t>
      </w:r>
    </w:p>
    <w:p>
      <w:pPr>
        <w:pStyle w:val="54"/>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我方已完全明白招标文件的所有条款要求，兹声明同意如下：</w:t>
      </w:r>
    </w:p>
    <w:p>
      <w:pPr>
        <w:pStyle w:val="12"/>
        <w:tabs>
          <w:tab w:val="clear" w:pos="1697"/>
        </w:tabs>
        <w:spacing w:afterLines="0" w:line="440" w:lineRule="exact"/>
        <w:ind w:left="0" w:firstLine="480" w:firstLineChars="200"/>
        <w:rPr>
          <w:rFonts w:ascii="仿宋_GB2312" w:hAnsi="宋体" w:eastAsia="仿宋_GB2312"/>
          <w:color w:val="auto"/>
          <w:szCs w:val="24"/>
          <w:highlight w:val="none"/>
        </w:rPr>
      </w:pPr>
      <w:r>
        <w:rPr>
          <w:rFonts w:hint="eastAsia" w:ascii="仿宋_GB2312" w:hAnsi="宋体" w:eastAsia="仿宋_GB2312"/>
          <w:color w:val="auto"/>
          <w:szCs w:val="24"/>
          <w:highlight w:val="none"/>
        </w:rPr>
        <w:t>1.</w:t>
      </w:r>
      <w:r>
        <w:rPr>
          <w:rFonts w:hint="eastAsia" w:ascii="仿宋_GB2312" w:hAnsi="仿宋" w:eastAsia="仿宋_GB2312" w:cs="仿宋_GB2312"/>
          <w:color w:val="auto"/>
          <w:highlight w:val="none"/>
        </w:rPr>
        <w:t>我方同意在投标人</w:t>
      </w:r>
      <w:r>
        <w:rPr>
          <w:rFonts w:hint="eastAsia" w:ascii="仿宋_GB2312" w:hAnsi="仿宋" w:eastAsia="仿宋_GB2312" w:cs="仿宋_GB2312"/>
          <w:color w:val="auto"/>
          <w:kern w:val="44"/>
          <w:highlight w:val="none"/>
        </w:rPr>
        <w:t>须知</w:t>
      </w:r>
      <w:r>
        <w:rPr>
          <w:rFonts w:hint="eastAsia" w:ascii="仿宋_GB2312" w:hAnsi="仿宋" w:eastAsia="仿宋_GB2312" w:cs="仿宋_GB2312"/>
          <w:color w:val="auto"/>
          <w:highlight w:val="none"/>
        </w:rPr>
        <w:t>规定的开标日期起遵守本投标文件中的承诺且在投标有效期满之前均具有约束力</w:t>
      </w:r>
      <w:r>
        <w:rPr>
          <w:rFonts w:hint="eastAsia" w:ascii="仿宋_GB2312" w:hAnsi="宋体" w:eastAsia="仿宋_GB2312"/>
          <w:color w:val="auto"/>
          <w:szCs w:val="24"/>
          <w:highlight w:val="none"/>
        </w:rPr>
        <w:t>。</w:t>
      </w:r>
    </w:p>
    <w:p>
      <w:pPr>
        <w:pStyle w:val="54"/>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2.我方承诺已经具备《中华人民共和国政府采购法》中规定的参加政府采购活动的供应商应当具备的条件。</w:t>
      </w:r>
    </w:p>
    <w:p>
      <w:pPr>
        <w:pStyle w:val="54"/>
        <w:spacing w:afterLines="0" w:line="440" w:lineRule="exact"/>
        <w:ind w:firstLine="480"/>
        <w:rPr>
          <w:rFonts w:ascii="仿宋_GB2312" w:eastAsia="仿宋_GB2312"/>
          <w:color w:val="auto"/>
          <w:highlight w:val="none"/>
        </w:rPr>
      </w:pPr>
      <w:r>
        <w:rPr>
          <w:rFonts w:hint="eastAsia" w:ascii="仿宋_GB2312" w:hAnsi="宋体" w:eastAsia="仿宋_GB2312"/>
          <w:color w:val="auto"/>
          <w:szCs w:val="24"/>
          <w:highlight w:val="none"/>
        </w:rPr>
        <w:t>3.</w:t>
      </w:r>
      <w:r>
        <w:rPr>
          <w:rFonts w:hint="eastAsia" w:ascii="仿宋_GB2312" w:eastAsia="仿宋_GB2312"/>
          <w:color w:val="auto"/>
          <w:highlight w:val="none"/>
        </w:rPr>
        <w:t>本公司投标文件中填列的技术参数、配置、服务、数量等相关内容都是真实、准确的。保证在本次项目中所提供的资料全部真实和合法。同意向采购代理机构提供可能另外要求的与投标有关的任何数据或资料。</w:t>
      </w:r>
    </w:p>
    <w:p>
      <w:pPr>
        <w:pStyle w:val="54"/>
        <w:spacing w:afterLines="0" w:line="440" w:lineRule="exact"/>
        <w:ind w:firstLine="480"/>
        <w:rPr>
          <w:rFonts w:ascii="仿宋_GB2312" w:hAnsi="宋体" w:eastAsia="仿宋_GB2312"/>
          <w:color w:val="auto"/>
          <w:szCs w:val="24"/>
          <w:highlight w:val="none"/>
        </w:rPr>
      </w:pPr>
      <w:r>
        <w:rPr>
          <w:rFonts w:hint="eastAsia" w:ascii="仿宋_GB2312" w:hAnsi="宋体" w:eastAsia="仿宋_GB2312"/>
          <w:color w:val="auto"/>
          <w:szCs w:val="24"/>
          <w:highlight w:val="none"/>
        </w:rPr>
        <w:t>4.我方理解贵方将不受你们所收到的最低报价的约束。</w:t>
      </w:r>
    </w:p>
    <w:p>
      <w:pPr>
        <w:pStyle w:val="12"/>
        <w:tabs>
          <w:tab w:val="clear" w:pos="1697"/>
        </w:tabs>
        <w:spacing w:afterLines="0" w:line="440" w:lineRule="exact"/>
        <w:ind w:left="0" w:firstLine="480" w:firstLineChars="200"/>
        <w:rPr>
          <w:rFonts w:ascii="仿宋_GB2312" w:hAnsi="宋体" w:eastAsia="仿宋_GB2312"/>
          <w:color w:val="auto"/>
          <w:szCs w:val="24"/>
          <w:highlight w:val="none"/>
        </w:rPr>
      </w:pPr>
      <w:r>
        <w:rPr>
          <w:rFonts w:hint="eastAsia" w:ascii="仿宋_GB2312" w:hAnsi="宋体" w:eastAsia="仿宋_GB2312"/>
          <w:color w:val="auto"/>
          <w:highlight w:val="none"/>
        </w:rPr>
        <w:t>5.</w:t>
      </w:r>
      <w:r>
        <w:rPr>
          <w:rFonts w:hint="eastAsia" w:ascii="仿宋_GB2312" w:hAnsi="宋体" w:eastAsia="仿宋_GB2312"/>
          <w:color w:val="auto"/>
          <w:szCs w:val="24"/>
          <w:highlight w:val="none"/>
        </w:rPr>
        <w:t>本投标自开标之日（投标截止之日）起90天内有效。</w:t>
      </w:r>
    </w:p>
    <w:p>
      <w:pPr>
        <w:pStyle w:val="54"/>
        <w:spacing w:afterLines="0" w:line="440" w:lineRule="exact"/>
        <w:ind w:firstLine="480"/>
        <w:rPr>
          <w:rFonts w:ascii="仿宋_GB2312" w:hAnsi="仿宋_GB2312" w:eastAsia="仿宋_GB2312" w:cs="仿宋_GB2312"/>
          <w:color w:val="auto"/>
          <w:highlight w:val="none"/>
        </w:rPr>
      </w:pPr>
      <w:r>
        <w:rPr>
          <w:rFonts w:hint="eastAsia" w:ascii="仿宋_GB2312" w:hAnsi="宋体" w:eastAsia="仿宋_GB2312"/>
          <w:color w:val="auto"/>
          <w:szCs w:val="24"/>
          <w:highlight w:val="none"/>
        </w:rPr>
        <w:t>6</w:t>
      </w:r>
      <w:r>
        <w:rPr>
          <w:rFonts w:hint="eastAsia" w:ascii="仿宋_GB2312" w:hAnsi="仿宋_GB2312" w:eastAsia="仿宋_GB2312" w:cs="仿宋_GB2312"/>
          <w:color w:val="auto"/>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a)提供虚假材料谋取中标、成交的；</w:t>
      </w:r>
    </w:p>
    <w:p>
      <w:pPr>
        <w:snapToGrid w:val="0"/>
        <w:spacing w:line="44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b)采取不正当手段诋毁、排挤其他供应商的；</w:t>
      </w:r>
    </w:p>
    <w:p>
      <w:pPr>
        <w:snapToGrid w:val="0"/>
        <w:spacing w:line="44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c)与采购人、其它供应商或者采购代理机构恶意串通的；</w:t>
      </w:r>
    </w:p>
    <w:p>
      <w:pPr>
        <w:snapToGrid w:val="0"/>
        <w:spacing w:line="44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d)向采购人、采购代理机构行贿或者提供其他不正当利益的；</w:t>
      </w:r>
    </w:p>
    <w:p>
      <w:pPr>
        <w:snapToGrid w:val="0"/>
        <w:spacing w:line="44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e)在招标采购过程中与采购人进行协商谈判的；</w:t>
      </w:r>
    </w:p>
    <w:p>
      <w:pPr>
        <w:snapToGrid w:val="0"/>
        <w:spacing w:line="44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f)拒绝有关部门监督检查或提供虚假情况的。</w:t>
      </w:r>
    </w:p>
    <w:p>
      <w:pPr>
        <w:pStyle w:val="54"/>
        <w:spacing w:afterLines="0" w:line="440" w:lineRule="exact"/>
        <w:ind w:firstLine="480"/>
        <w:rPr>
          <w:rFonts w:ascii="仿宋" w:hAnsi="仿宋" w:eastAsia="仿宋"/>
          <w:color w:val="auto"/>
          <w:szCs w:val="24"/>
          <w:highlight w:val="none"/>
        </w:rPr>
      </w:pPr>
      <w:r>
        <w:rPr>
          <w:rFonts w:hint="eastAsia" w:ascii="仿宋_GB2312" w:hAnsi="仿宋_GB2312" w:eastAsia="仿宋_GB2312" w:cs="仿宋_GB2312"/>
          <w:color w:val="auto"/>
          <w:sz w:val="24"/>
          <w:highlight w:val="none"/>
        </w:rPr>
        <w:t>供应商有前款第a)至e)项情形之一的，中标、成交无效。</w:t>
      </w:r>
    </w:p>
    <w:p>
      <w:pPr>
        <w:pStyle w:val="54"/>
        <w:spacing w:afterLines="0" w:line="440" w:lineRule="exact"/>
        <w:ind w:firstLine="480"/>
        <w:rPr>
          <w:rFonts w:ascii="仿宋" w:hAnsi="仿宋" w:eastAsia="仿宋"/>
          <w:color w:val="auto"/>
          <w:szCs w:val="24"/>
          <w:highlight w:val="none"/>
        </w:rPr>
      </w:pPr>
      <w:r>
        <w:rPr>
          <w:rFonts w:hint="eastAsia" w:ascii="仿宋" w:hAnsi="仿宋" w:eastAsia="仿宋"/>
          <w:color w:val="auto"/>
          <w:szCs w:val="24"/>
          <w:highlight w:val="none"/>
        </w:rPr>
        <w:t>地址：　　　　　　　　　　　　　　　邮政编码：</w:t>
      </w:r>
    </w:p>
    <w:p>
      <w:pPr>
        <w:pStyle w:val="54"/>
        <w:spacing w:afterLines="0" w:line="440" w:lineRule="exact"/>
        <w:ind w:firstLine="480"/>
        <w:rPr>
          <w:rFonts w:ascii="仿宋" w:hAnsi="仿宋" w:eastAsia="仿宋"/>
          <w:color w:val="auto"/>
          <w:szCs w:val="24"/>
          <w:highlight w:val="none"/>
        </w:rPr>
      </w:pPr>
      <w:r>
        <w:rPr>
          <w:rFonts w:hint="eastAsia" w:ascii="仿宋" w:hAnsi="仿宋" w:eastAsia="仿宋"/>
          <w:color w:val="auto"/>
          <w:szCs w:val="24"/>
          <w:highlight w:val="none"/>
        </w:rPr>
        <w:t>电话：                              传真：</w:t>
      </w:r>
    </w:p>
    <w:p>
      <w:pPr>
        <w:pStyle w:val="54"/>
        <w:spacing w:afterLines="0" w:line="440" w:lineRule="exact"/>
        <w:ind w:firstLine="480"/>
        <w:rPr>
          <w:rFonts w:hint="eastAsia" w:ascii="仿宋" w:hAnsi="仿宋" w:eastAsia="仿宋"/>
          <w:color w:val="auto"/>
          <w:szCs w:val="24"/>
          <w:highlight w:val="none"/>
        </w:rPr>
      </w:pPr>
      <w:r>
        <w:rPr>
          <w:rFonts w:hint="eastAsia" w:ascii="仿宋" w:hAnsi="仿宋" w:eastAsia="仿宋"/>
          <w:color w:val="auto"/>
          <w:szCs w:val="24"/>
          <w:highlight w:val="none"/>
        </w:rPr>
        <w:t>开户银行：                          帐号：</w:t>
      </w:r>
    </w:p>
    <w:p>
      <w:pPr>
        <w:pStyle w:val="54"/>
        <w:spacing w:afterLines="0" w:line="440" w:lineRule="exact"/>
        <w:ind w:firstLine="480"/>
        <w:rPr>
          <w:rFonts w:ascii="仿宋" w:hAnsi="仿宋" w:eastAsia="仿宋"/>
          <w:color w:val="auto"/>
          <w:szCs w:val="24"/>
          <w:highlight w:val="none"/>
        </w:rPr>
      </w:pPr>
      <w:r>
        <w:rPr>
          <w:rFonts w:hint="eastAsia" w:ascii="仿宋" w:hAnsi="仿宋" w:eastAsia="仿宋"/>
          <w:color w:val="auto"/>
          <w:szCs w:val="24"/>
          <w:highlight w:val="none"/>
        </w:rPr>
        <w:t>法定代表人或其授权代表(签字或签章)：</w:t>
      </w:r>
    </w:p>
    <w:p>
      <w:pPr>
        <w:pStyle w:val="54"/>
        <w:spacing w:afterLines="0" w:line="440" w:lineRule="exact"/>
        <w:rPr>
          <w:rFonts w:hint="eastAsia" w:ascii="仿宋" w:hAnsi="仿宋" w:eastAsia="仿宋"/>
          <w:b/>
          <w:color w:val="auto"/>
          <w:sz w:val="30"/>
          <w:szCs w:val="30"/>
          <w:highlight w:val="none"/>
        </w:rPr>
        <w:sectPr>
          <w:footerReference r:id="rId5" w:type="first"/>
          <w:headerReference r:id="rId3" w:type="default"/>
          <w:footerReference r:id="rId4" w:type="default"/>
          <w:type w:val="continuous"/>
          <w:pgSz w:w="11906" w:h="16838"/>
          <w:pgMar w:top="1440" w:right="1406" w:bottom="1686" w:left="1758" w:header="1021" w:footer="902" w:gutter="0"/>
          <w:cols w:space="425" w:num="1"/>
          <w:titlePg/>
          <w:docGrid w:type="lines" w:linePitch="312" w:charSpace="0"/>
        </w:sectPr>
      </w:pPr>
      <w:r>
        <w:rPr>
          <w:rFonts w:hint="eastAsia" w:ascii="仿宋" w:hAnsi="仿宋" w:eastAsia="仿宋"/>
          <w:color w:val="auto"/>
          <w:szCs w:val="24"/>
          <w:highlight w:val="none"/>
        </w:rPr>
        <w:t>投标人(盖章)：　　　　　　　　　　　　　　　　　　　　日期：</w:t>
      </w:r>
    </w:p>
    <w:p>
      <w:pPr>
        <w:rPr>
          <w:rFonts w:ascii="仿宋" w:hAnsi="仿宋" w:eastAsia="仿宋"/>
          <w:b/>
          <w:color w:val="auto"/>
          <w:sz w:val="30"/>
          <w:szCs w:val="30"/>
          <w:highlight w:val="none"/>
        </w:rPr>
      </w:pPr>
      <w:r>
        <w:rPr>
          <w:rFonts w:hint="eastAsia" w:ascii="仿宋" w:hAnsi="仿宋" w:eastAsia="仿宋"/>
          <w:b/>
          <w:color w:val="auto"/>
          <w:sz w:val="30"/>
          <w:szCs w:val="30"/>
          <w:highlight w:val="none"/>
        </w:rPr>
        <w:t>2、01标大米、食品、面粉、牛奶类</w:t>
      </w:r>
      <w:r>
        <w:rPr>
          <w:rFonts w:hint="eastAsia" w:ascii="仿宋" w:hAnsi="仿宋" w:eastAsia="仿宋"/>
          <w:b/>
          <w:color w:val="auto"/>
          <w:sz w:val="30"/>
          <w:szCs w:val="30"/>
          <w:highlight w:val="none"/>
          <w:lang w:eastAsia="zh-CN"/>
        </w:rPr>
        <w:t>等</w:t>
      </w:r>
      <w:r>
        <w:rPr>
          <w:rFonts w:hint="eastAsia" w:ascii="仿宋" w:hAnsi="仿宋" w:eastAsia="仿宋"/>
          <w:b/>
          <w:color w:val="auto"/>
          <w:sz w:val="30"/>
          <w:szCs w:val="30"/>
          <w:highlight w:val="none"/>
          <w:lang w:val="en-US" w:eastAsia="zh-CN"/>
        </w:rPr>
        <w:t xml:space="preserve"> </w:t>
      </w:r>
      <w:r>
        <w:rPr>
          <w:rFonts w:hint="eastAsia" w:ascii="仿宋" w:hAnsi="仿宋" w:eastAsia="仿宋"/>
          <w:b/>
          <w:color w:val="auto"/>
          <w:sz w:val="30"/>
          <w:szCs w:val="30"/>
          <w:highlight w:val="none"/>
        </w:rPr>
        <w:t>开标一览表（格式）</w:t>
      </w:r>
    </w:p>
    <w:p>
      <w:pPr>
        <w:spacing w:line="400" w:lineRule="exact"/>
        <w:rPr>
          <w:rFonts w:ascii="仿宋" w:hAnsi="仿宋" w:eastAsia="仿宋"/>
          <w:color w:val="auto"/>
          <w:sz w:val="24"/>
          <w:highlight w:val="none"/>
        </w:rPr>
      </w:pPr>
    </w:p>
    <w:p>
      <w:pPr>
        <w:spacing w:line="400" w:lineRule="exact"/>
        <w:ind w:left="420" w:leftChars="200"/>
        <w:rPr>
          <w:rFonts w:ascii="仿宋" w:hAnsi="仿宋" w:eastAsia="仿宋"/>
          <w:color w:val="auto"/>
          <w:sz w:val="24"/>
          <w:highlight w:val="none"/>
        </w:rPr>
      </w:pPr>
      <w:r>
        <w:rPr>
          <w:rFonts w:hint="eastAsia" w:ascii="仿宋" w:hAnsi="仿宋" w:eastAsia="仿宋"/>
          <w:color w:val="auto"/>
          <w:sz w:val="24"/>
          <w:highlight w:val="none"/>
        </w:rPr>
        <w:t>投标人名称：</w:t>
      </w:r>
    </w:p>
    <w:p>
      <w:pPr>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标    项：</w:t>
      </w:r>
    </w:p>
    <w:p>
      <w:pPr>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招标编号：</w:t>
      </w:r>
    </w:p>
    <w:p>
      <w:pPr>
        <w:snapToGrid w:val="0"/>
        <w:spacing w:line="400" w:lineRule="exact"/>
        <w:jc w:val="right"/>
        <w:rPr>
          <w:rFonts w:ascii="仿宋" w:hAnsi="仿宋" w:eastAsia="仿宋"/>
          <w:color w:val="auto"/>
          <w:sz w:val="24"/>
          <w:highlight w:val="none"/>
        </w:rPr>
      </w:pPr>
      <w:r>
        <w:rPr>
          <w:rFonts w:hint="eastAsia" w:ascii="仿宋" w:hAnsi="仿宋" w:eastAsia="仿宋"/>
          <w:color w:val="auto"/>
          <w:sz w:val="24"/>
          <w:highlight w:val="none"/>
        </w:rPr>
        <w:t>单位：元</w:t>
      </w:r>
    </w:p>
    <w:tbl>
      <w:tblPr>
        <w:tblStyle w:val="39"/>
        <w:tblpPr w:leftFromText="180" w:rightFromText="180" w:vertAnchor="text" w:horzAnchor="page" w:tblpXSpec="center" w:tblpY="487"/>
        <w:tblOverlap w:val="never"/>
        <w:tblW w:w="97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377"/>
        <w:gridCol w:w="2344"/>
        <w:gridCol w:w="1347"/>
        <w:gridCol w:w="1326"/>
        <w:gridCol w:w="1421"/>
        <w:gridCol w:w="10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shd w:val="clear" w:color="auto" w:fill="D9D9D9"/>
            <w:noWrap w:val="0"/>
            <w:vAlign w:val="center"/>
          </w:tcPr>
          <w:p>
            <w:pPr>
              <w:widowControl/>
              <w:spacing w:line="280" w:lineRule="exact"/>
              <w:ind w:left="58" w:hanging="57" w:hangingChars="2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标段</w:t>
            </w:r>
          </w:p>
        </w:tc>
        <w:tc>
          <w:tcPr>
            <w:tcW w:w="1377" w:type="dxa"/>
            <w:shd w:val="clear" w:color="auto" w:fill="D9D9D9"/>
            <w:noWrap w:val="0"/>
            <w:vAlign w:val="center"/>
          </w:tcPr>
          <w:p>
            <w:pPr>
              <w:widowControl/>
              <w:spacing w:line="280" w:lineRule="exact"/>
              <w:ind w:left="58" w:hanging="57" w:hangingChars="24"/>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产品名称</w:t>
            </w:r>
          </w:p>
        </w:tc>
        <w:tc>
          <w:tcPr>
            <w:tcW w:w="2344" w:type="dxa"/>
            <w:shd w:val="clear" w:color="auto" w:fill="D9D9D9"/>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品牌品名</w:t>
            </w:r>
          </w:p>
        </w:tc>
        <w:tc>
          <w:tcPr>
            <w:tcW w:w="1347" w:type="dxa"/>
            <w:shd w:val="clear" w:color="auto" w:fill="D9D9D9"/>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规格</w:t>
            </w:r>
          </w:p>
        </w:tc>
        <w:tc>
          <w:tcPr>
            <w:tcW w:w="1326" w:type="dxa"/>
            <w:shd w:val="clear" w:color="auto" w:fill="D9D9D9"/>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年采购量</w:t>
            </w:r>
          </w:p>
        </w:tc>
        <w:tc>
          <w:tcPr>
            <w:tcW w:w="1421" w:type="dxa"/>
            <w:shd w:val="clear" w:color="auto" w:fill="D9D9D9"/>
            <w:noWrap w:val="0"/>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投标单价</w:t>
            </w:r>
          </w:p>
        </w:tc>
        <w:tc>
          <w:tcPr>
            <w:tcW w:w="1086" w:type="dxa"/>
            <w:shd w:val="clear" w:color="auto" w:fill="D9D9D9"/>
            <w:noWrap w:val="0"/>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restart"/>
            <w:noWrap w:val="0"/>
            <w:vAlign w:val="center"/>
          </w:tcPr>
          <w:p>
            <w:pPr>
              <w:widowControl/>
              <w:spacing w:line="2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01标</w:t>
            </w:r>
          </w:p>
        </w:tc>
        <w:tc>
          <w:tcPr>
            <w:tcW w:w="1377" w:type="dxa"/>
            <w:vMerge w:val="restart"/>
            <w:noWrap w:val="0"/>
            <w:vAlign w:val="center"/>
          </w:tcPr>
          <w:p>
            <w:pPr>
              <w:widowControl/>
              <w:spacing w:line="2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大米</w:t>
            </w: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贤人太湖人家</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25KG/包</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continue"/>
            <w:noWrap w:val="0"/>
            <w:vAlign w:val="center"/>
          </w:tcPr>
          <w:p>
            <w:pPr>
              <w:widowControl/>
              <w:spacing w:line="280" w:lineRule="exact"/>
              <w:jc w:val="center"/>
              <w:rPr>
                <w:rFonts w:hint="eastAsia" w:ascii="仿宋" w:hAnsi="仿宋" w:eastAsia="仿宋" w:cs="仿宋"/>
                <w:color w:val="auto"/>
                <w:kern w:val="0"/>
                <w:sz w:val="24"/>
                <w:highlight w:val="none"/>
              </w:rPr>
            </w:pP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稻花香五常大米</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10KG/包</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continue"/>
            <w:noWrap w:val="0"/>
            <w:vAlign w:val="center"/>
          </w:tcPr>
          <w:p>
            <w:pPr>
              <w:widowControl/>
              <w:spacing w:line="280" w:lineRule="exact"/>
              <w:jc w:val="center"/>
              <w:rPr>
                <w:rFonts w:hint="eastAsia" w:ascii="仿宋" w:hAnsi="仿宋" w:eastAsia="仿宋" w:cs="仿宋"/>
                <w:color w:val="auto"/>
                <w:kern w:val="0"/>
                <w:sz w:val="24"/>
                <w:highlight w:val="none"/>
              </w:rPr>
            </w:pP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秋田小町</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10KG/包</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restart"/>
            <w:noWrap w:val="0"/>
            <w:vAlign w:val="center"/>
          </w:tcPr>
          <w:p>
            <w:pPr>
              <w:spacing w:line="2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面粉</w:t>
            </w: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神人助特级高精面粉</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25KG/包</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continue"/>
            <w:noWrap w:val="0"/>
            <w:vAlign w:val="center"/>
          </w:tcPr>
          <w:p>
            <w:pPr>
              <w:spacing w:line="280" w:lineRule="exact"/>
              <w:jc w:val="center"/>
              <w:rPr>
                <w:rFonts w:hint="eastAsia" w:ascii="仿宋" w:hAnsi="仿宋" w:eastAsia="仿宋" w:cs="仿宋"/>
                <w:color w:val="auto"/>
                <w:sz w:val="24"/>
                <w:highlight w:val="none"/>
              </w:rPr>
            </w:pP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越丰雪花面粉</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25KG/包</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restart"/>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食用油</w:t>
            </w: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福临门非转基因菜籽油</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10L/壶</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continue"/>
            <w:noWrap w:val="0"/>
            <w:vAlign w:val="center"/>
          </w:tcPr>
          <w:p>
            <w:pPr>
              <w:widowControl/>
              <w:jc w:val="center"/>
              <w:rPr>
                <w:rFonts w:hint="eastAsia" w:ascii="仿宋" w:hAnsi="仿宋" w:eastAsia="仿宋" w:cs="仿宋"/>
                <w:color w:val="auto"/>
                <w:kern w:val="0"/>
                <w:sz w:val="24"/>
                <w:highlight w:val="none"/>
              </w:rPr>
            </w:pPr>
          </w:p>
        </w:tc>
        <w:tc>
          <w:tcPr>
            <w:tcW w:w="2344" w:type="dxa"/>
            <w:tcBorders>
              <w:bottom w:val="single" w:color="auto" w:sz="4" w:space="0"/>
            </w:tcBorders>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金龙鱼非转玉米胚芽油</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5L/壶</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continue"/>
            <w:noWrap w:val="0"/>
            <w:vAlign w:val="center"/>
          </w:tcPr>
          <w:p>
            <w:pPr>
              <w:widowControl/>
              <w:jc w:val="center"/>
              <w:rPr>
                <w:rFonts w:hint="eastAsia" w:ascii="仿宋" w:hAnsi="仿宋" w:eastAsia="仿宋" w:cs="仿宋"/>
                <w:color w:val="auto"/>
                <w:kern w:val="0"/>
                <w:sz w:val="24"/>
                <w:highlight w:val="none"/>
              </w:rPr>
            </w:pP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金龙鱼非转基因玉米油</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5L/壶</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restart"/>
            <w:noWrap w:val="0"/>
            <w:vAlign w:val="center"/>
          </w:tcPr>
          <w:p>
            <w:pPr>
              <w:widowControl/>
              <w:spacing w:line="2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牛奶</w:t>
            </w: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伊利金典纯牛奶</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250G*12/提</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continue"/>
            <w:noWrap w:val="0"/>
            <w:vAlign w:val="center"/>
          </w:tcPr>
          <w:p>
            <w:pPr>
              <w:widowControl/>
              <w:jc w:val="center"/>
              <w:rPr>
                <w:rFonts w:hint="eastAsia" w:ascii="仿宋" w:hAnsi="仿宋" w:eastAsia="仿宋" w:cs="仿宋"/>
                <w:color w:val="auto"/>
                <w:kern w:val="0"/>
                <w:sz w:val="24"/>
                <w:highlight w:val="none"/>
              </w:rPr>
            </w:pP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蒙牛特仑苏纯牛奶</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250G*12/提</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continue"/>
            <w:noWrap w:val="0"/>
            <w:vAlign w:val="center"/>
          </w:tcPr>
          <w:p>
            <w:pPr>
              <w:widowControl/>
              <w:jc w:val="center"/>
              <w:rPr>
                <w:rFonts w:hint="eastAsia" w:ascii="仿宋" w:hAnsi="仿宋" w:eastAsia="仿宋" w:cs="仿宋"/>
                <w:color w:val="auto"/>
                <w:kern w:val="0"/>
                <w:sz w:val="24"/>
                <w:highlight w:val="none"/>
              </w:rPr>
            </w:pP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光明莫斯利安酸奶</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250G*12/提</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restart"/>
            <w:noWrap w:val="0"/>
            <w:vAlign w:val="center"/>
          </w:tcPr>
          <w:p>
            <w:pPr>
              <w:spacing w:line="2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酱油</w:t>
            </w:r>
          </w:p>
        </w:tc>
        <w:tc>
          <w:tcPr>
            <w:tcW w:w="2344" w:type="dxa"/>
            <w:noWrap w:val="0"/>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厨邦美味鲜</w:t>
            </w:r>
          </w:p>
        </w:tc>
        <w:tc>
          <w:tcPr>
            <w:tcW w:w="1347" w:type="dxa"/>
            <w:noWrap w:val="0"/>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1.68L*6/箱</w:t>
            </w:r>
          </w:p>
        </w:tc>
        <w:tc>
          <w:tcPr>
            <w:tcW w:w="1326" w:type="dxa"/>
            <w:noWrap w:val="0"/>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w:t>
            </w:r>
          </w:p>
        </w:tc>
        <w:tc>
          <w:tcPr>
            <w:tcW w:w="1421" w:type="dxa"/>
            <w:noWrap w:val="0"/>
            <w:vAlign w:val="center"/>
          </w:tcPr>
          <w:p>
            <w:pPr>
              <w:jc w:val="center"/>
              <w:rPr>
                <w:rFonts w:hint="eastAsia" w:ascii="仿宋" w:hAnsi="仿宋" w:eastAsia="仿宋" w:cs="仿宋"/>
                <w:color w:val="auto"/>
                <w:kern w:val="0"/>
                <w:sz w:val="24"/>
                <w:highlight w:val="none"/>
              </w:rPr>
            </w:pPr>
          </w:p>
        </w:tc>
        <w:tc>
          <w:tcPr>
            <w:tcW w:w="1086" w:type="dxa"/>
            <w:noWrap w:val="0"/>
            <w:vAlign w:val="center"/>
          </w:tcPr>
          <w:p>
            <w:pPr>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continue"/>
            <w:noWrap w:val="0"/>
            <w:vAlign w:val="center"/>
          </w:tcPr>
          <w:p>
            <w:pPr>
              <w:spacing w:line="280" w:lineRule="exact"/>
              <w:jc w:val="center"/>
              <w:rPr>
                <w:rFonts w:hint="eastAsia" w:ascii="仿宋" w:hAnsi="仿宋" w:eastAsia="仿宋" w:cs="仿宋"/>
                <w:color w:val="auto"/>
                <w:sz w:val="24"/>
                <w:highlight w:val="none"/>
              </w:rPr>
            </w:pP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海天老抽王</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1.9L*6/箱</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continue"/>
            <w:noWrap w:val="0"/>
            <w:vAlign w:val="center"/>
          </w:tcPr>
          <w:p>
            <w:pPr>
              <w:spacing w:line="280" w:lineRule="exact"/>
              <w:jc w:val="center"/>
              <w:rPr>
                <w:rFonts w:hint="eastAsia" w:ascii="仿宋" w:hAnsi="仿宋" w:eastAsia="仿宋" w:cs="仿宋"/>
                <w:color w:val="auto"/>
                <w:sz w:val="24"/>
                <w:highlight w:val="none"/>
              </w:rPr>
            </w:pP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至味母子酱油</w:t>
            </w:r>
          </w:p>
        </w:tc>
        <w:tc>
          <w:tcPr>
            <w:tcW w:w="1347" w:type="dxa"/>
            <w:noWrap w:val="0"/>
            <w:vAlign w:val="center"/>
          </w:tcPr>
          <w:p>
            <w:pPr>
              <w:widowControl/>
              <w:spacing w:line="30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5KG*4/箱</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restart"/>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盐</w:t>
            </w: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雪涛精制矿盐</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500g*40包/箱</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continue"/>
            <w:noWrap w:val="0"/>
            <w:vAlign w:val="center"/>
          </w:tcPr>
          <w:p>
            <w:pPr>
              <w:widowControl/>
              <w:jc w:val="center"/>
              <w:rPr>
                <w:rFonts w:hint="eastAsia" w:ascii="仿宋" w:hAnsi="仿宋" w:eastAsia="仿宋" w:cs="仿宋"/>
                <w:color w:val="auto"/>
                <w:kern w:val="0"/>
                <w:sz w:val="24"/>
                <w:highlight w:val="none"/>
              </w:rPr>
            </w:pPr>
          </w:p>
        </w:tc>
        <w:tc>
          <w:tcPr>
            <w:tcW w:w="2344" w:type="dxa"/>
            <w:tcBorders>
              <w:bottom w:val="single" w:color="auto" w:sz="4" w:space="0"/>
            </w:tcBorders>
            <w:noWrap w:val="0"/>
            <w:vAlign w:val="center"/>
          </w:tcPr>
          <w:p>
            <w:pPr>
              <w:widowControl/>
              <w:ind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雪涛加碘日晒盐</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300g*60包/箱</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restart"/>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味精</w:t>
            </w: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莱克无盐味精</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2.25kg*10/袋</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6" w:type="dxa"/>
            <w:vMerge w:val="continue"/>
            <w:noWrap w:val="0"/>
            <w:vAlign w:val="center"/>
          </w:tcPr>
          <w:p>
            <w:pPr>
              <w:widowControl/>
              <w:spacing w:line="280" w:lineRule="exact"/>
              <w:jc w:val="center"/>
              <w:rPr>
                <w:rFonts w:hint="eastAsia" w:ascii="仿宋" w:hAnsi="仿宋" w:eastAsia="仿宋" w:cs="仿宋"/>
                <w:color w:val="auto"/>
                <w:sz w:val="24"/>
                <w:highlight w:val="none"/>
              </w:rPr>
            </w:pPr>
          </w:p>
        </w:tc>
        <w:tc>
          <w:tcPr>
            <w:tcW w:w="1377" w:type="dxa"/>
            <w:vMerge w:val="continue"/>
            <w:noWrap w:val="0"/>
            <w:vAlign w:val="center"/>
          </w:tcPr>
          <w:p>
            <w:pPr>
              <w:widowControl/>
              <w:jc w:val="center"/>
              <w:rPr>
                <w:rFonts w:hint="eastAsia" w:ascii="仿宋" w:hAnsi="仿宋" w:eastAsia="仿宋" w:cs="仿宋"/>
                <w:color w:val="auto"/>
                <w:kern w:val="0"/>
                <w:sz w:val="24"/>
                <w:highlight w:val="none"/>
              </w:rPr>
            </w:pPr>
          </w:p>
        </w:tc>
        <w:tc>
          <w:tcPr>
            <w:tcW w:w="2344"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太太乐无盐味精</w:t>
            </w:r>
          </w:p>
        </w:tc>
        <w:tc>
          <w:tcPr>
            <w:tcW w:w="1347"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1kg*10/袋</w:t>
            </w:r>
          </w:p>
        </w:tc>
        <w:tc>
          <w:tcPr>
            <w:tcW w:w="1326" w:type="dxa"/>
            <w:noWrap w:val="0"/>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421" w:type="dxa"/>
            <w:noWrap w:val="0"/>
            <w:vAlign w:val="center"/>
          </w:tcPr>
          <w:p>
            <w:pPr>
              <w:widowControl/>
              <w:jc w:val="center"/>
              <w:rPr>
                <w:rFonts w:hint="eastAsia" w:ascii="仿宋" w:hAnsi="仿宋" w:eastAsia="仿宋" w:cs="仿宋"/>
                <w:color w:val="auto"/>
                <w:kern w:val="0"/>
                <w:sz w:val="24"/>
                <w:highlight w:val="none"/>
              </w:rPr>
            </w:pPr>
          </w:p>
        </w:tc>
        <w:tc>
          <w:tcPr>
            <w:tcW w:w="1086" w:type="dxa"/>
            <w:noWrap w:val="0"/>
            <w:vAlign w:val="center"/>
          </w:tcPr>
          <w:p>
            <w:pPr>
              <w:widowControl/>
              <w:jc w:val="center"/>
              <w:rPr>
                <w:rFonts w:hint="eastAsia" w:ascii="仿宋" w:hAnsi="仿宋" w:eastAsia="仿宋" w:cs="仿宋"/>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567" w:type="dxa"/>
            <w:gridSpan w:val="3"/>
            <w:vMerge w:val="restart"/>
            <w:noWrap w:val="0"/>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投标报价</w:t>
            </w:r>
          </w:p>
        </w:tc>
        <w:tc>
          <w:tcPr>
            <w:tcW w:w="5180" w:type="dxa"/>
            <w:gridSpan w:val="4"/>
            <w:noWrap w:val="0"/>
            <w:vAlign w:val="center"/>
          </w:tcPr>
          <w:p>
            <w:pPr>
              <w:widowControl/>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小写：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567" w:type="dxa"/>
            <w:gridSpan w:val="3"/>
            <w:vMerge w:val="continue"/>
            <w:noWrap w:val="0"/>
            <w:vAlign w:val="center"/>
          </w:tcPr>
          <w:p>
            <w:pPr>
              <w:widowControl/>
              <w:jc w:val="center"/>
              <w:rPr>
                <w:rFonts w:hint="eastAsia" w:ascii="仿宋" w:hAnsi="仿宋" w:eastAsia="仿宋" w:cs="仿宋"/>
                <w:color w:val="auto"/>
                <w:kern w:val="0"/>
                <w:sz w:val="24"/>
                <w:highlight w:val="none"/>
              </w:rPr>
            </w:pPr>
          </w:p>
        </w:tc>
        <w:tc>
          <w:tcPr>
            <w:tcW w:w="5180" w:type="dxa"/>
            <w:gridSpan w:val="4"/>
            <w:noWrap w:val="0"/>
            <w:vAlign w:val="center"/>
          </w:tcPr>
          <w:p>
            <w:pPr>
              <w:widowControl/>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大写：</w:t>
            </w:r>
          </w:p>
        </w:tc>
      </w:tr>
    </w:tbl>
    <w:p>
      <w:pPr>
        <w:snapToGrid w:val="0"/>
        <w:jc w:val="left"/>
        <w:rPr>
          <w:rFonts w:ascii="仿宋" w:hAnsi="仿宋" w:eastAsia="仿宋"/>
          <w:b/>
          <w:color w:val="auto"/>
          <w:szCs w:val="21"/>
          <w:highlight w:val="none"/>
        </w:rPr>
      </w:pPr>
    </w:p>
    <w:p>
      <w:pPr>
        <w:snapToGrid w:val="0"/>
        <w:ind w:firstLine="422" w:firstLineChars="200"/>
        <w:jc w:val="left"/>
        <w:rPr>
          <w:rFonts w:ascii="仿宋" w:hAnsi="仿宋" w:eastAsia="仿宋"/>
          <w:color w:val="auto"/>
          <w:sz w:val="24"/>
          <w:highlight w:val="none"/>
        </w:rPr>
      </w:pPr>
      <w:r>
        <w:rPr>
          <w:rFonts w:hint="eastAsia" w:ascii="仿宋" w:hAnsi="仿宋" w:eastAsia="仿宋"/>
          <w:b/>
          <w:color w:val="auto"/>
          <w:szCs w:val="21"/>
          <w:highlight w:val="none"/>
        </w:rPr>
        <w:t>(各投标单位根据自己的投标标项进行报价，最终结算按照采购人实际采购数量*投标单价为准)</w:t>
      </w:r>
    </w:p>
    <w:p>
      <w:pPr>
        <w:snapToGrid w:val="0"/>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注:</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.招标人不接受某一标项中有2个(含)以上的报价或方案，若投标人在此表中有2个（含）以上的报价或方案，其投标作无效投标处理。</w:t>
      </w:r>
    </w:p>
    <w:p>
      <w:pPr>
        <w:ind w:firstLine="480" w:firstLineChars="200"/>
        <w:rPr>
          <w:rFonts w:ascii="仿宋" w:hAnsi="仿宋" w:eastAsia="仿宋" w:cs="FangSong_GB2312"/>
          <w:b/>
          <w:color w:val="auto"/>
          <w:sz w:val="24"/>
          <w:highlight w:val="none"/>
        </w:rPr>
      </w:pPr>
      <w:r>
        <w:rPr>
          <w:rFonts w:hint="eastAsia" w:ascii="仿宋" w:hAnsi="仿宋" w:eastAsia="仿宋" w:cs="FangSong_GB2312"/>
          <w:color w:val="auto"/>
          <w:kern w:val="0"/>
          <w:sz w:val="24"/>
          <w:highlight w:val="none"/>
          <w:lang w:val="en-US" w:eastAsia="zh-CN"/>
        </w:rPr>
        <w:t>3</w:t>
      </w:r>
      <w:r>
        <w:rPr>
          <w:rFonts w:hint="eastAsia" w:ascii="仿宋" w:hAnsi="仿宋" w:eastAsia="仿宋" w:cs="FangSong_GB2312"/>
          <w:color w:val="auto"/>
          <w:kern w:val="0"/>
          <w:sz w:val="24"/>
          <w:highlight w:val="none"/>
          <w:lang w:val="zh-CN"/>
        </w:rPr>
        <w:t>.投标人需按本表格式填写，如无对应内容，则填写：“无或/”。</w:t>
      </w:r>
    </w:p>
    <w:p>
      <w:pPr>
        <w:snapToGrid w:val="0"/>
        <w:ind w:left="480"/>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en-US" w:eastAsia="zh-CN"/>
        </w:rPr>
        <w:t>4</w:t>
      </w:r>
      <w:r>
        <w:rPr>
          <w:rFonts w:hint="eastAsia" w:ascii="仿宋" w:hAnsi="仿宋" w:eastAsia="仿宋" w:cs="FangSong_GB2312"/>
          <w:color w:val="auto"/>
          <w:kern w:val="0"/>
          <w:sz w:val="24"/>
          <w:highlight w:val="none"/>
          <w:lang w:val="zh-CN"/>
        </w:rPr>
        <w:t>.有关本项目实施所涉及的一切费用均计入报价。</w:t>
      </w:r>
    </w:p>
    <w:p>
      <w:pPr>
        <w:spacing w:line="360" w:lineRule="auto"/>
        <w:ind w:right="-817" w:rightChars="-389"/>
        <w:rPr>
          <w:rFonts w:hint="eastAsia" w:ascii="仿宋" w:hAnsi="仿宋" w:eastAsia="仿宋"/>
          <w:color w:val="auto"/>
          <w:sz w:val="24"/>
          <w:highlight w:val="none"/>
        </w:rPr>
      </w:pPr>
    </w:p>
    <w:p>
      <w:pPr>
        <w:spacing w:line="360" w:lineRule="auto"/>
        <w:ind w:right="-817" w:rightChars="-389"/>
        <w:rPr>
          <w:rFonts w:ascii="仿宋" w:hAnsi="仿宋" w:eastAsia="仿宋"/>
          <w:color w:val="auto"/>
          <w:sz w:val="24"/>
          <w:highlight w:val="none"/>
        </w:rPr>
      </w:pPr>
      <w:r>
        <w:rPr>
          <w:rFonts w:hint="eastAsia" w:ascii="仿宋" w:hAnsi="仿宋" w:eastAsia="仿宋"/>
          <w:color w:val="auto"/>
          <w:sz w:val="24"/>
          <w:highlight w:val="none"/>
        </w:rPr>
        <w:t>投标人名称（盖章）：</w:t>
      </w:r>
    </w:p>
    <w:p>
      <w:pPr>
        <w:spacing w:line="360" w:lineRule="auto"/>
        <w:ind w:right="-817" w:rightChars="-389"/>
        <w:rPr>
          <w:rFonts w:ascii="仿宋" w:hAnsi="仿宋" w:eastAsia="仿宋"/>
          <w:color w:val="auto"/>
          <w:sz w:val="24"/>
          <w:highlight w:val="none"/>
        </w:rPr>
      </w:pPr>
    </w:p>
    <w:p>
      <w:pPr>
        <w:spacing w:line="360" w:lineRule="auto"/>
        <w:outlineLvl w:val="0"/>
        <w:rPr>
          <w:rFonts w:ascii="仿宋" w:hAnsi="仿宋" w:eastAsia="仿宋"/>
          <w:color w:val="auto"/>
          <w:sz w:val="24"/>
          <w:highlight w:val="none"/>
        </w:rPr>
      </w:pPr>
      <w:r>
        <w:rPr>
          <w:rFonts w:hint="eastAsia" w:ascii="仿宋" w:hAnsi="仿宋" w:eastAsia="仿宋"/>
          <w:color w:val="auto"/>
          <w:sz w:val="24"/>
          <w:highlight w:val="none"/>
        </w:rPr>
        <w:t xml:space="preserve">法定代表人或其授权代表（签字或盖章）：          </w:t>
      </w:r>
    </w:p>
    <w:p>
      <w:pPr>
        <w:spacing w:line="360" w:lineRule="auto"/>
        <w:jc w:val="center"/>
        <w:outlineLvl w:val="0"/>
        <w:rPr>
          <w:rFonts w:ascii="仿宋" w:hAnsi="仿宋" w:eastAsia="仿宋"/>
          <w:color w:val="auto"/>
          <w:sz w:val="24"/>
          <w:highlight w:val="none"/>
        </w:rPr>
      </w:pPr>
    </w:p>
    <w:p>
      <w:pPr>
        <w:spacing w:line="360" w:lineRule="auto"/>
        <w:jc w:val="center"/>
        <w:outlineLvl w:val="0"/>
        <w:rPr>
          <w:rFonts w:hint="eastAsia" w:ascii="仿宋" w:hAnsi="仿宋" w:eastAsia="仿宋"/>
          <w:color w:val="auto"/>
          <w:sz w:val="24"/>
          <w:highlight w:val="none"/>
        </w:rPr>
      </w:pPr>
      <w:r>
        <w:rPr>
          <w:rFonts w:hint="eastAsia" w:ascii="仿宋" w:hAnsi="仿宋" w:eastAsia="仿宋"/>
          <w:color w:val="auto"/>
          <w:sz w:val="24"/>
          <w:highlight w:val="none"/>
        </w:rPr>
        <w:t xml:space="preserve">                                            日期：    年   月   日</w:t>
      </w:r>
    </w:p>
    <w:p>
      <w:pPr>
        <w:rPr>
          <w:rFonts w:hint="eastAsia" w:ascii="仿宋" w:hAnsi="仿宋" w:eastAsia="仿宋"/>
          <w:b/>
          <w:color w:val="auto"/>
          <w:sz w:val="30"/>
          <w:szCs w:val="30"/>
          <w:highlight w:val="none"/>
        </w:rPr>
      </w:pPr>
    </w:p>
    <w:p>
      <w:pPr>
        <w:rPr>
          <w:rFonts w:hint="eastAsia" w:ascii="仿宋" w:hAnsi="仿宋" w:eastAsia="仿宋"/>
          <w:b/>
          <w:color w:val="auto"/>
          <w:sz w:val="30"/>
          <w:szCs w:val="30"/>
          <w:highlight w:val="none"/>
        </w:rPr>
      </w:pPr>
    </w:p>
    <w:p>
      <w:pPr>
        <w:rPr>
          <w:rFonts w:hint="eastAsia" w:ascii="仿宋" w:hAnsi="仿宋" w:eastAsia="仿宋"/>
          <w:b/>
          <w:color w:val="auto"/>
          <w:sz w:val="30"/>
          <w:szCs w:val="30"/>
          <w:highlight w:val="none"/>
        </w:rPr>
      </w:pPr>
    </w:p>
    <w:p>
      <w:pPr>
        <w:rPr>
          <w:rFonts w:hint="eastAsia" w:ascii="仿宋" w:hAnsi="仿宋" w:eastAsia="仿宋"/>
          <w:b/>
          <w:color w:val="auto"/>
          <w:sz w:val="30"/>
          <w:szCs w:val="30"/>
          <w:highlight w:val="none"/>
        </w:rPr>
      </w:pPr>
    </w:p>
    <w:p>
      <w:pPr>
        <w:rPr>
          <w:rFonts w:hint="eastAsia" w:ascii="仿宋" w:hAnsi="仿宋" w:eastAsia="仿宋"/>
          <w:b/>
          <w:color w:val="auto"/>
          <w:sz w:val="30"/>
          <w:szCs w:val="30"/>
          <w:highlight w:val="none"/>
        </w:rPr>
      </w:pPr>
    </w:p>
    <w:p>
      <w:pPr>
        <w:rPr>
          <w:rFonts w:hint="eastAsia" w:ascii="仿宋" w:hAnsi="仿宋" w:eastAsia="仿宋"/>
          <w:b/>
          <w:color w:val="auto"/>
          <w:sz w:val="30"/>
          <w:szCs w:val="30"/>
          <w:highlight w:val="none"/>
        </w:rPr>
      </w:pPr>
    </w:p>
    <w:p>
      <w:pPr>
        <w:rPr>
          <w:rFonts w:hint="eastAsia" w:ascii="仿宋" w:hAnsi="仿宋" w:eastAsia="仿宋"/>
          <w:b/>
          <w:color w:val="auto"/>
          <w:sz w:val="30"/>
          <w:szCs w:val="30"/>
          <w:highlight w:val="none"/>
        </w:rPr>
      </w:pPr>
    </w:p>
    <w:p>
      <w:pPr>
        <w:rPr>
          <w:rFonts w:hint="eastAsia" w:ascii="仿宋" w:hAnsi="仿宋" w:eastAsia="仿宋"/>
          <w:b/>
          <w:color w:val="auto"/>
          <w:sz w:val="30"/>
          <w:szCs w:val="30"/>
          <w:highlight w:val="none"/>
        </w:rPr>
      </w:pPr>
    </w:p>
    <w:p>
      <w:pPr>
        <w:rPr>
          <w:rFonts w:hint="eastAsia" w:ascii="仿宋" w:hAnsi="仿宋" w:eastAsia="仿宋"/>
          <w:b/>
          <w:color w:val="auto"/>
          <w:sz w:val="30"/>
          <w:szCs w:val="30"/>
          <w:highlight w:val="none"/>
        </w:rPr>
      </w:pPr>
    </w:p>
    <w:p>
      <w:pPr>
        <w:pStyle w:val="160"/>
        <w:rPr>
          <w:rFonts w:hint="eastAsia" w:ascii="仿宋" w:hAnsi="仿宋" w:eastAsia="仿宋"/>
          <w:b/>
          <w:color w:val="auto"/>
          <w:sz w:val="30"/>
          <w:szCs w:val="30"/>
          <w:highlight w:val="none"/>
        </w:rPr>
      </w:pPr>
    </w:p>
    <w:p>
      <w:pPr>
        <w:pStyle w:val="160"/>
        <w:rPr>
          <w:rFonts w:hint="eastAsia" w:ascii="仿宋" w:hAnsi="仿宋" w:eastAsia="仿宋"/>
          <w:b/>
          <w:color w:val="auto"/>
          <w:sz w:val="30"/>
          <w:szCs w:val="30"/>
          <w:highlight w:val="none"/>
        </w:rPr>
      </w:pPr>
    </w:p>
    <w:p>
      <w:pPr>
        <w:rPr>
          <w:rFonts w:ascii="仿宋" w:hAnsi="仿宋" w:eastAsia="仿宋"/>
          <w:b/>
          <w:color w:val="auto"/>
          <w:sz w:val="30"/>
          <w:szCs w:val="30"/>
          <w:highlight w:val="none"/>
        </w:rPr>
      </w:pPr>
      <w:r>
        <w:rPr>
          <w:rFonts w:hint="eastAsia" w:ascii="仿宋" w:hAnsi="仿宋" w:eastAsia="仿宋"/>
          <w:b/>
          <w:color w:val="auto"/>
          <w:sz w:val="30"/>
          <w:szCs w:val="30"/>
          <w:highlight w:val="none"/>
        </w:rPr>
        <w:t>01标</w:t>
      </w:r>
      <w:r>
        <w:rPr>
          <w:rFonts w:hint="eastAsia" w:ascii="仿宋" w:hAnsi="仿宋" w:eastAsia="仿宋"/>
          <w:b/>
          <w:color w:val="auto"/>
          <w:sz w:val="30"/>
          <w:szCs w:val="30"/>
          <w:highlight w:val="none"/>
          <w:lang w:val="en-US" w:eastAsia="zh-CN"/>
        </w:rPr>
        <w:t xml:space="preserve"> </w:t>
      </w:r>
      <w:r>
        <w:rPr>
          <w:rFonts w:hint="eastAsia" w:ascii="仿宋" w:hAnsi="仿宋" w:eastAsia="仿宋"/>
          <w:b/>
          <w:color w:val="auto"/>
          <w:sz w:val="30"/>
          <w:szCs w:val="30"/>
          <w:highlight w:val="none"/>
        </w:rPr>
        <w:t>调味品及日用品类等</w:t>
      </w:r>
      <w:r>
        <w:rPr>
          <w:rFonts w:hint="eastAsia" w:ascii="仿宋" w:hAnsi="仿宋" w:eastAsia="仿宋"/>
          <w:b/>
          <w:color w:val="auto"/>
          <w:sz w:val="30"/>
          <w:szCs w:val="30"/>
          <w:highlight w:val="none"/>
          <w:lang w:val="en-US" w:eastAsia="zh-CN"/>
        </w:rPr>
        <w:t xml:space="preserve"> </w:t>
      </w:r>
      <w:r>
        <w:rPr>
          <w:rFonts w:hint="eastAsia" w:ascii="仿宋" w:hAnsi="仿宋" w:eastAsia="仿宋"/>
          <w:b/>
          <w:color w:val="auto"/>
          <w:sz w:val="30"/>
          <w:szCs w:val="30"/>
          <w:highlight w:val="none"/>
        </w:rPr>
        <w:t>开标一览表（格式）</w:t>
      </w:r>
    </w:p>
    <w:p>
      <w:pPr>
        <w:spacing w:line="400" w:lineRule="exact"/>
        <w:rPr>
          <w:rFonts w:ascii="仿宋" w:hAnsi="仿宋" w:eastAsia="仿宋"/>
          <w:color w:val="auto"/>
          <w:sz w:val="24"/>
          <w:highlight w:val="none"/>
        </w:rPr>
      </w:pPr>
    </w:p>
    <w:p>
      <w:pPr>
        <w:spacing w:line="400" w:lineRule="exact"/>
        <w:ind w:left="420" w:leftChars="200"/>
        <w:rPr>
          <w:rFonts w:ascii="仿宋" w:hAnsi="仿宋" w:eastAsia="仿宋"/>
          <w:color w:val="auto"/>
          <w:sz w:val="24"/>
          <w:highlight w:val="none"/>
        </w:rPr>
      </w:pPr>
      <w:r>
        <w:rPr>
          <w:rFonts w:hint="eastAsia" w:ascii="仿宋" w:hAnsi="仿宋" w:eastAsia="仿宋"/>
          <w:color w:val="auto"/>
          <w:sz w:val="24"/>
          <w:highlight w:val="none"/>
        </w:rPr>
        <w:t>投标人名称：</w:t>
      </w:r>
    </w:p>
    <w:p>
      <w:pPr>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标    项：</w:t>
      </w:r>
    </w:p>
    <w:p>
      <w:pPr>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招标编号：</w:t>
      </w:r>
    </w:p>
    <w:p>
      <w:pPr>
        <w:snapToGrid w:val="0"/>
        <w:spacing w:line="400" w:lineRule="exact"/>
        <w:jc w:val="right"/>
        <w:rPr>
          <w:rFonts w:ascii="仿宋" w:hAnsi="仿宋" w:eastAsia="仿宋"/>
          <w:color w:val="auto"/>
          <w:sz w:val="24"/>
          <w:highlight w:val="none"/>
        </w:rPr>
      </w:pPr>
      <w:r>
        <w:rPr>
          <w:rFonts w:hint="eastAsia" w:ascii="仿宋" w:hAnsi="仿宋" w:eastAsia="仿宋"/>
          <w:color w:val="auto"/>
          <w:sz w:val="24"/>
          <w:highlight w:val="none"/>
        </w:rPr>
        <w:t>单位：元</w:t>
      </w:r>
    </w:p>
    <w:tbl>
      <w:tblPr>
        <w:tblStyle w:val="39"/>
        <w:tblW w:w="8736" w:type="dxa"/>
        <w:jc w:val="center"/>
        <w:tblLayout w:type="fixed"/>
        <w:tblCellMar>
          <w:top w:w="0" w:type="dxa"/>
          <w:left w:w="108" w:type="dxa"/>
          <w:bottom w:w="0" w:type="dxa"/>
          <w:right w:w="108" w:type="dxa"/>
        </w:tblCellMar>
      </w:tblPr>
      <w:tblGrid>
        <w:gridCol w:w="708"/>
        <w:gridCol w:w="1474"/>
        <w:gridCol w:w="1197"/>
        <w:gridCol w:w="1635"/>
        <w:gridCol w:w="750"/>
        <w:gridCol w:w="1305"/>
        <w:gridCol w:w="1667"/>
      </w:tblGrid>
      <w:tr>
        <w:tblPrEx>
          <w:tblCellMar>
            <w:top w:w="0" w:type="dxa"/>
            <w:left w:w="108" w:type="dxa"/>
            <w:bottom w:w="0" w:type="dxa"/>
            <w:right w:w="108" w:type="dxa"/>
          </w:tblCellMar>
        </w:tblPrEx>
        <w:trPr>
          <w:trHeight w:val="662"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物资名称</w:t>
            </w:r>
          </w:p>
        </w:tc>
        <w:tc>
          <w:tcPr>
            <w:tcW w:w="1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所投产品品牌</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规格/型号  （包装）</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参考单价</w:t>
            </w:r>
          </w:p>
        </w:tc>
        <w:tc>
          <w:tcPr>
            <w:tcW w:w="16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投标单位</w:t>
            </w:r>
          </w:p>
        </w:tc>
      </w:tr>
      <w:tr>
        <w:tblPrEx>
          <w:tblCellMar>
            <w:top w:w="0" w:type="dxa"/>
            <w:left w:w="108" w:type="dxa"/>
            <w:bottom w:w="0" w:type="dxa"/>
            <w:right w:w="108" w:type="dxa"/>
          </w:tblCellMar>
        </w:tblPrEx>
        <w:trPr>
          <w:trHeight w:val="285" w:hRule="atLeast"/>
          <w:jc w:val="center"/>
        </w:trPr>
        <w:tc>
          <w:tcPr>
            <w:tcW w:w="70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米醋</w:t>
            </w:r>
          </w:p>
        </w:tc>
        <w:tc>
          <w:tcPr>
            <w:tcW w:w="119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500ML/瓶</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瓶</w:t>
            </w:r>
          </w:p>
        </w:tc>
        <w:tc>
          <w:tcPr>
            <w:tcW w:w="13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2.00 </w:t>
            </w:r>
          </w:p>
        </w:tc>
        <w:tc>
          <w:tcPr>
            <w:tcW w:w="16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3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白糖</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100斤/包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348.00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南乳汁</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500g/瓶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7.50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雪碧可乐</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300ml*12/箱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21.00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简加饭</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500ml/瓶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5.00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鸡蛋</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5.40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咸蛋</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100只/箱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145.00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桂皮</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15.00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茴香</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50.00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花椒</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47.00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香菇</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45.00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陈年干菜</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6.00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奉化海带</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7.00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黄花菜（干）</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33.00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紫菜</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黑木耳</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45.00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干辣椒</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12.00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香叶</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17.50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绿豆</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6.00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安琪酵母</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500克/包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19.00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500纸桶</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1000只/箱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148.00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625圆碗</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300只/箱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105.00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31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三格套餐盒</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800只/箱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330.00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四格套餐盒</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800只/箱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330.00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四格加厚餐盒</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150只/箱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160.00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快餐盒</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1600只/箱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290.00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快餐筷</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50小袋/袋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袋</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90.00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700圆碗带盖</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300套/箱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箱</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135.00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橡皮筋</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17.00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3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洗洁精</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30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餐巾纸</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2.00 </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300" w:hRule="atLeast"/>
          <w:jc w:val="center"/>
        </w:trPr>
        <w:tc>
          <w:tcPr>
            <w:tcW w:w="3379" w:type="dxa"/>
            <w:gridSpan w:val="3"/>
            <w:vMerge w:val="restart"/>
            <w:tcBorders>
              <w:top w:val="single" w:color="000000" w:sz="4" w:space="0"/>
              <w:left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投标报价（所有产品单价之和）</w:t>
            </w:r>
          </w:p>
        </w:tc>
        <w:tc>
          <w:tcPr>
            <w:tcW w:w="53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小写：</w:t>
            </w:r>
          </w:p>
        </w:tc>
      </w:tr>
      <w:tr>
        <w:tblPrEx>
          <w:tblCellMar>
            <w:top w:w="0" w:type="dxa"/>
            <w:left w:w="108" w:type="dxa"/>
            <w:bottom w:w="0" w:type="dxa"/>
            <w:right w:w="108" w:type="dxa"/>
          </w:tblCellMar>
        </w:tblPrEx>
        <w:trPr>
          <w:trHeight w:val="300" w:hRule="atLeast"/>
          <w:jc w:val="center"/>
        </w:trPr>
        <w:tc>
          <w:tcPr>
            <w:tcW w:w="3379" w:type="dxa"/>
            <w:gridSpan w:val="3"/>
            <w:vMerge w:val="continue"/>
            <w:tcBorders>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rPr>
            </w:pPr>
          </w:p>
        </w:tc>
        <w:tc>
          <w:tcPr>
            <w:tcW w:w="53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大写：</w:t>
            </w:r>
          </w:p>
        </w:tc>
      </w:tr>
    </w:tbl>
    <w:p>
      <w:pPr>
        <w:snapToGrid w:val="0"/>
        <w:jc w:val="left"/>
        <w:rPr>
          <w:rFonts w:ascii="仿宋" w:hAnsi="仿宋" w:eastAsia="仿宋"/>
          <w:b/>
          <w:color w:val="auto"/>
          <w:szCs w:val="21"/>
          <w:highlight w:val="none"/>
        </w:rPr>
      </w:pPr>
    </w:p>
    <w:p>
      <w:pPr>
        <w:snapToGrid w:val="0"/>
        <w:ind w:firstLine="422" w:firstLineChars="200"/>
        <w:jc w:val="left"/>
        <w:rPr>
          <w:rFonts w:ascii="仿宋" w:hAnsi="仿宋" w:eastAsia="仿宋"/>
          <w:color w:val="auto"/>
          <w:sz w:val="24"/>
          <w:highlight w:val="none"/>
        </w:rPr>
      </w:pPr>
      <w:r>
        <w:rPr>
          <w:rFonts w:hint="eastAsia" w:ascii="仿宋" w:hAnsi="仿宋" w:eastAsia="仿宋"/>
          <w:b/>
          <w:color w:val="auto"/>
          <w:szCs w:val="21"/>
          <w:highlight w:val="none"/>
        </w:rPr>
        <w:t>(各投标单位根据自己的投标标项进行报价，最终结算按照采购人实际采购数量*投标单价为准)</w:t>
      </w:r>
    </w:p>
    <w:p>
      <w:pPr>
        <w:snapToGrid w:val="0"/>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注:</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.招标人不接受某一标项中有2个(含)以上的报价或方案，若投标人在此表中有2个（含）以上的报价或方案，其投标作无效投标处理。</w:t>
      </w:r>
    </w:p>
    <w:p>
      <w:pPr>
        <w:ind w:firstLine="480" w:firstLineChars="200"/>
        <w:rPr>
          <w:rFonts w:ascii="仿宋" w:hAnsi="仿宋" w:eastAsia="仿宋" w:cs="FangSong_GB2312"/>
          <w:b/>
          <w:color w:val="auto"/>
          <w:sz w:val="24"/>
          <w:highlight w:val="none"/>
        </w:rPr>
      </w:pPr>
      <w:r>
        <w:rPr>
          <w:rFonts w:hint="eastAsia" w:ascii="仿宋" w:hAnsi="仿宋" w:eastAsia="仿宋" w:cs="FangSong_GB2312"/>
          <w:color w:val="auto"/>
          <w:kern w:val="0"/>
          <w:sz w:val="24"/>
          <w:highlight w:val="none"/>
          <w:lang w:val="en-US" w:eastAsia="zh-CN"/>
        </w:rPr>
        <w:t>3</w:t>
      </w:r>
      <w:r>
        <w:rPr>
          <w:rFonts w:hint="eastAsia" w:ascii="仿宋" w:hAnsi="仿宋" w:eastAsia="仿宋" w:cs="FangSong_GB2312"/>
          <w:color w:val="auto"/>
          <w:kern w:val="0"/>
          <w:sz w:val="24"/>
          <w:highlight w:val="none"/>
          <w:lang w:val="zh-CN"/>
        </w:rPr>
        <w:t>.投标人需按本表格式填写，如无对应内容，则填写：“无或/”。</w:t>
      </w:r>
    </w:p>
    <w:p>
      <w:pPr>
        <w:snapToGrid w:val="0"/>
        <w:ind w:left="480"/>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en-US" w:eastAsia="zh-CN"/>
        </w:rPr>
        <w:t>4</w:t>
      </w:r>
      <w:r>
        <w:rPr>
          <w:rFonts w:hint="eastAsia" w:ascii="仿宋" w:hAnsi="仿宋" w:eastAsia="仿宋" w:cs="FangSong_GB2312"/>
          <w:color w:val="auto"/>
          <w:kern w:val="0"/>
          <w:sz w:val="24"/>
          <w:highlight w:val="none"/>
          <w:lang w:val="zh-CN"/>
        </w:rPr>
        <w:t>.有关本项目实施所涉及的一切费用均计入报价。</w:t>
      </w:r>
    </w:p>
    <w:p>
      <w:pPr>
        <w:spacing w:line="360" w:lineRule="auto"/>
        <w:ind w:right="-817" w:rightChars="-389"/>
        <w:rPr>
          <w:rFonts w:hint="eastAsia" w:ascii="仿宋" w:hAnsi="仿宋" w:eastAsia="仿宋"/>
          <w:color w:val="auto"/>
          <w:sz w:val="24"/>
          <w:highlight w:val="none"/>
        </w:rPr>
      </w:pPr>
    </w:p>
    <w:p>
      <w:pPr>
        <w:spacing w:line="360" w:lineRule="auto"/>
        <w:ind w:right="-817" w:rightChars="-389"/>
        <w:rPr>
          <w:rFonts w:ascii="仿宋" w:hAnsi="仿宋" w:eastAsia="仿宋"/>
          <w:color w:val="auto"/>
          <w:sz w:val="24"/>
          <w:highlight w:val="none"/>
        </w:rPr>
      </w:pPr>
      <w:r>
        <w:rPr>
          <w:rFonts w:hint="eastAsia" w:ascii="仿宋" w:hAnsi="仿宋" w:eastAsia="仿宋"/>
          <w:color w:val="auto"/>
          <w:sz w:val="24"/>
          <w:highlight w:val="none"/>
        </w:rPr>
        <w:t>投标人名称（盖章）：</w:t>
      </w:r>
    </w:p>
    <w:p>
      <w:pPr>
        <w:spacing w:line="360" w:lineRule="auto"/>
        <w:ind w:right="-817" w:rightChars="-389"/>
        <w:rPr>
          <w:rFonts w:ascii="仿宋" w:hAnsi="仿宋" w:eastAsia="仿宋"/>
          <w:color w:val="auto"/>
          <w:sz w:val="24"/>
          <w:highlight w:val="none"/>
        </w:rPr>
      </w:pPr>
    </w:p>
    <w:p>
      <w:pPr>
        <w:spacing w:line="360" w:lineRule="auto"/>
        <w:outlineLvl w:val="0"/>
        <w:rPr>
          <w:rFonts w:ascii="仿宋" w:hAnsi="仿宋" w:eastAsia="仿宋"/>
          <w:color w:val="auto"/>
          <w:sz w:val="24"/>
          <w:highlight w:val="none"/>
        </w:rPr>
      </w:pPr>
      <w:r>
        <w:rPr>
          <w:rFonts w:hint="eastAsia" w:ascii="仿宋" w:hAnsi="仿宋" w:eastAsia="仿宋"/>
          <w:color w:val="auto"/>
          <w:sz w:val="24"/>
          <w:highlight w:val="none"/>
        </w:rPr>
        <w:t xml:space="preserve">法定代表人或其授权代表（签字或盖章）：          </w:t>
      </w:r>
    </w:p>
    <w:p>
      <w:pPr>
        <w:spacing w:line="360" w:lineRule="auto"/>
        <w:jc w:val="center"/>
        <w:outlineLvl w:val="0"/>
        <w:rPr>
          <w:rFonts w:ascii="仿宋" w:hAnsi="仿宋" w:eastAsia="仿宋"/>
          <w:color w:val="auto"/>
          <w:sz w:val="24"/>
          <w:highlight w:val="none"/>
        </w:rPr>
      </w:pPr>
    </w:p>
    <w:p>
      <w:pPr>
        <w:spacing w:line="360" w:lineRule="auto"/>
        <w:jc w:val="center"/>
        <w:outlineLvl w:val="0"/>
        <w:rPr>
          <w:rFonts w:ascii="仿宋" w:hAnsi="仿宋" w:eastAsia="仿宋"/>
          <w:color w:val="auto"/>
          <w:sz w:val="24"/>
          <w:highlight w:val="none"/>
        </w:rPr>
        <w:sectPr>
          <w:pgSz w:w="11906" w:h="16838"/>
          <w:pgMar w:top="1440" w:right="1406" w:bottom="1686" w:left="1758" w:header="1021" w:footer="902" w:gutter="0"/>
          <w:cols w:space="425" w:num="1"/>
          <w:titlePg/>
          <w:docGrid w:type="lines" w:linePitch="312" w:charSpace="0"/>
        </w:sectPr>
      </w:pPr>
      <w:r>
        <w:rPr>
          <w:rFonts w:hint="eastAsia" w:ascii="仿宋" w:hAnsi="仿宋" w:eastAsia="仿宋"/>
          <w:color w:val="auto"/>
          <w:sz w:val="24"/>
          <w:highlight w:val="none"/>
        </w:rPr>
        <w:t xml:space="preserve">                                            日期：    年   月   日</w:t>
      </w:r>
    </w:p>
    <w:p>
      <w:pP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w:t>
      </w:r>
      <w:r>
        <w:rPr>
          <w:rFonts w:hint="eastAsia" w:ascii="仿宋" w:hAnsi="仿宋" w:eastAsia="仿宋" w:cs="仿宋"/>
          <w:b/>
          <w:color w:val="auto"/>
          <w:sz w:val="30"/>
          <w:szCs w:val="30"/>
          <w:highlight w:val="none"/>
          <w:lang w:val="en-US" w:eastAsia="zh-CN"/>
        </w:rPr>
        <w:t xml:space="preserve">02标 公示商品 </w:t>
      </w:r>
      <w:r>
        <w:rPr>
          <w:rFonts w:hint="eastAsia" w:ascii="仿宋" w:hAnsi="仿宋" w:eastAsia="仿宋" w:cs="仿宋"/>
          <w:b/>
          <w:color w:val="auto"/>
          <w:sz w:val="30"/>
          <w:szCs w:val="30"/>
          <w:highlight w:val="none"/>
        </w:rPr>
        <w:t>开标一览表（格式）</w:t>
      </w:r>
    </w:p>
    <w:p>
      <w:pPr>
        <w:spacing w:line="400" w:lineRule="exact"/>
        <w:rPr>
          <w:rFonts w:ascii="仿宋" w:hAnsi="仿宋" w:eastAsia="仿宋" w:cs="仿宋"/>
          <w:color w:val="auto"/>
          <w:sz w:val="24"/>
          <w:highlight w:val="none"/>
        </w:rPr>
      </w:pP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w:t>
      </w:r>
    </w:p>
    <w:p>
      <w:pPr>
        <w:spacing w:line="360" w:lineRule="auto"/>
        <w:ind w:right="-817" w:rightChars="-389"/>
        <w:rPr>
          <w:rFonts w:ascii="仿宋" w:hAnsi="仿宋" w:eastAsia="仿宋" w:cs="仿宋"/>
          <w:color w:val="auto"/>
          <w:sz w:val="24"/>
          <w:highlight w:val="none"/>
        </w:rPr>
      </w:pPr>
      <w:r>
        <w:rPr>
          <w:rFonts w:hint="eastAsia" w:ascii="仿宋" w:hAnsi="仿宋" w:eastAsia="仿宋" w:cs="仿宋"/>
          <w:color w:val="auto"/>
          <w:sz w:val="24"/>
          <w:highlight w:val="none"/>
        </w:rPr>
        <w:t>招标编号：</w:t>
      </w:r>
    </w:p>
    <w:p>
      <w:pPr>
        <w:spacing w:line="360" w:lineRule="auto"/>
        <w:ind w:right="-817" w:rightChars="-389"/>
        <w:rPr>
          <w:rFonts w:hint="eastAsia" w:ascii="仿宋" w:hAnsi="仿宋" w:eastAsia="仿宋" w:cs="仿宋"/>
          <w:color w:val="auto"/>
          <w:sz w:val="24"/>
          <w:highlight w:val="none"/>
        </w:rPr>
      </w:pPr>
    </w:p>
    <w:tbl>
      <w:tblPr>
        <w:tblStyle w:val="39"/>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5250"/>
        <w:gridCol w:w="1405"/>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528" w:type="dxa"/>
            <w:noWrap w:val="0"/>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w:t>
            </w:r>
          </w:p>
        </w:tc>
        <w:tc>
          <w:tcPr>
            <w:tcW w:w="5250" w:type="dxa"/>
            <w:noWrap w:val="0"/>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招标文件要求</w:t>
            </w:r>
          </w:p>
        </w:tc>
        <w:tc>
          <w:tcPr>
            <w:tcW w:w="1405" w:type="dxa"/>
            <w:noWrap w:val="0"/>
            <w:vAlign w:val="center"/>
          </w:tcPr>
          <w:p>
            <w:pPr>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是否</w:t>
            </w:r>
            <w:r>
              <w:rPr>
                <w:rFonts w:hint="eastAsia" w:ascii="仿宋" w:hAnsi="仿宋" w:eastAsia="仿宋" w:cs="仿宋"/>
                <w:color w:val="auto"/>
                <w:kern w:val="0"/>
                <w:szCs w:val="21"/>
                <w:highlight w:val="none"/>
                <w:lang w:eastAsia="zh-CN"/>
              </w:rPr>
              <w:t>认可</w:t>
            </w:r>
          </w:p>
        </w:tc>
        <w:tc>
          <w:tcPr>
            <w:tcW w:w="1512" w:type="dxa"/>
            <w:noWrap w:val="0"/>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528" w:type="dxa"/>
            <w:noWrap w:val="0"/>
            <w:vAlign w:val="center"/>
          </w:tcPr>
          <w:p>
            <w:pPr>
              <w:jc w:val="center"/>
              <w:rPr>
                <w:rFonts w:hint="eastAsia" w:ascii="宋体" w:cs="仿宋_GB2312"/>
                <w:color w:val="auto"/>
                <w:sz w:val="32"/>
                <w:szCs w:val="32"/>
                <w:highlight w:val="none"/>
                <w:lang w:bidi="ar-SA"/>
              </w:rPr>
            </w:pPr>
            <w:r>
              <w:rPr>
                <w:rFonts w:hint="eastAsia" w:ascii="仿宋" w:hAnsi="仿宋" w:eastAsia="仿宋" w:cs="仿宋"/>
                <w:color w:val="auto"/>
                <w:kern w:val="0"/>
                <w:szCs w:val="21"/>
                <w:highlight w:val="none"/>
              </w:rPr>
              <w:t>所有配送商品价格</w:t>
            </w:r>
          </w:p>
        </w:tc>
        <w:tc>
          <w:tcPr>
            <w:tcW w:w="5250" w:type="dxa"/>
            <w:noWrap w:val="0"/>
            <w:vAlign w:val="center"/>
          </w:tcPr>
          <w:p>
            <w:pPr>
              <w:rPr>
                <w:rFonts w:hint="eastAsia" w:ascii="宋体" w:cs="仿宋_GB2312"/>
                <w:color w:val="auto"/>
                <w:sz w:val="32"/>
                <w:szCs w:val="32"/>
                <w:highlight w:val="none"/>
                <w:lang w:bidi="ar-SA"/>
              </w:rPr>
            </w:pPr>
            <w:r>
              <w:rPr>
                <w:rFonts w:hint="eastAsia" w:ascii="仿宋" w:hAnsi="仿宋" w:eastAsia="仿宋" w:cs="仿宋"/>
                <w:color w:val="auto"/>
                <w:kern w:val="0"/>
                <w:szCs w:val="21"/>
                <w:highlight w:val="none"/>
              </w:rPr>
              <w:t>本项目“所有配送商品价格按照</w:t>
            </w:r>
            <w:r>
              <w:rPr>
                <w:rFonts w:hint="eastAsia" w:ascii="仿宋" w:hAnsi="仿宋" w:eastAsia="仿宋" w:cs="仿宋"/>
                <w:b/>
                <w:bCs/>
                <w:color w:val="auto"/>
                <w:szCs w:val="21"/>
                <w:highlight w:val="none"/>
              </w:rPr>
              <w:t>越城区教育网</w:t>
            </w:r>
            <w:r>
              <w:rPr>
                <w:rFonts w:hint="eastAsia" w:ascii="仿宋" w:hAnsi="仿宋" w:eastAsia="仿宋" w:cs="仿宋"/>
                <w:color w:val="auto"/>
                <w:kern w:val="0"/>
                <w:szCs w:val="21"/>
                <w:highlight w:val="none"/>
              </w:rPr>
              <w:t>上公示指导价计价，寒暑假期间配送的商品价格以</w:t>
            </w:r>
            <w:r>
              <w:rPr>
                <w:rFonts w:hint="eastAsia" w:ascii="仿宋" w:hAnsi="仿宋" w:eastAsia="仿宋" w:cs="仿宋"/>
                <w:b/>
                <w:bCs/>
                <w:color w:val="auto"/>
                <w:szCs w:val="21"/>
                <w:highlight w:val="none"/>
              </w:rPr>
              <w:t>越城区教育网</w:t>
            </w:r>
            <w:r>
              <w:rPr>
                <w:rFonts w:hint="eastAsia" w:ascii="仿宋" w:hAnsi="仿宋" w:eastAsia="仿宋" w:cs="仿宋"/>
                <w:color w:val="auto"/>
                <w:kern w:val="0"/>
                <w:szCs w:val="21"/>
                <w:highlight w:val="none"/>
              </w:rPr>
              <w:t>最后一次网上公示指导价计价”的定价方式</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寒暑假期间如上下浮动超过10%参照绍兴E价通（http://jgjg.sx.gov.cn/）大江农贸市场公布的市场价为基础，在设定范围内下浮。事先需提出书面申请报院方同意。</w:t>
            </w:r>
          </w:p>
        </w:tc>
        <w:tc>
          <w:tcPr>
            <w:tcW w:w="1405" w:type="dxa"/>
            <w:noWrap w:val="0"/>
            <w:vAlign w:val="top"/>
          </w:tcPr>
          <w:p>
            <w:pPr>
              <w:jc w:val="center"/>
              <w:rPr>
                <w:rFonts w:hint="eastAsia" w:ascii="宋体" w:cs="仿宋_GB2312"/>
                <w:color w:val="auto"/>
                <w:sz w:val="32"/>
                <w:szCs w:val="32"/>
                <w:highlight w:val="none"/>
                <w:lang w:bidi="ar-SA"/>
              </w:rPr>
            </w:pPr>
          </w:p>
        </w:tc>
        <w:tc>
          <w:tcPr>
            <w:tcW w:w="1512" w:type="dxa"/>
            <w:noWrap w:val="0"/>
            <w:vAlign w:val="center"/>
          </w:tcPr>
          <w:p>
            <w:pPr>
              <w:rPr>
                <w:rFonts w:hint="eastAsia" w:ascii="宋体" w:cs="仿宋_GB2312"/>
                <w:color w:val="auto"/>
                <w:sz w:val="32"/>
                <w:szCs w:val="32"/>
                <w:highlight w:val="none"/>
                <w:lang w:bidi="ar-SA"/>
              </w:rPr>
            </w:pPr>
          </w:p>
        </w:tc>
      </w:tr>
    </w:tbl>
    <w:p>
      <w:pPr>
        <w:spacing w:line="360" w:lineRule="auto"/>
        <w:ind w:right="-817" w:rightChars="-389"/>
        <w:rPr>
          <w:rFonts w:ascii="仿宋" w:hAnsi="仿宋" w:eastAsia="仿宋" w:cs="仿宋"/>
          <w:color w:val="auto"/>
          <w:sz w:val="24"/>
          <w:highlight w:val="none"/>
        </w:rPr>
      </w:pPr>
      <w:r>
        <w:rPr>
          <w:rFonts w:hint="eastAsia" w:ascii="仿宋" w:hAnsi="仿宋" w:eastAsia="仿宋" w:cs="仿宋"/>
          <w:color w:val="auto"/>
          <w:sz w:val="24"/>
          <w:highlight w:val="none"/>
        </w:rPr>
        <w:t>注：1.报价一经涂改，应在涂改处加盖单位公章或者由法定代表人或授权委托人签字或盖章，否则其投标作无效标处理。</w:t>
      </w:r>
    </w:p>
    <w:p>
      <w:pPr>
        <w:spacing w:line="360" w:lineRule="auto"/>
        <w:ind w:right="-817" w:rightChars="-389"/>
        <w:rPr>
          <w:rFonts w:ascii="仿宋" w:hAnsi="仿宋" w:eastAsia="仿宋" w:cs="仿宋"/>
          <w:color w:val="auto"/>
          <w:sz w:val="24"/>
          <w:highlight w:val="none"/>
        </w:rPr>
      </w:pPr>
      <w:r>
        <w:rPr>
          <w:rFonts w:hint="eastAsia" w:ascii="仿宋" w:hAnsi="仿宋" w:eastAsia="仿宋" w:cs="仿宋"/>
          <w:color w:val="auto"/>
          <w:sz w:val="24"/>
          <w:highlight w:val="none"/>
        </w:rPr>
        <w:t xml:space="preserve">  2.所有单价包括货值、售后服务费、税费等一切费用，买方不需支付任何其它费用。</w:t>
      </w:r>
    </w:p>
    <w:p>
      <w:pPr>
        <w:spacing w:line="360" w:lineRule="auto"/>
        <w:ind w:right="-817" w:rightChars="-389"/>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spacing w:line="360" w:lineRule="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法定代表人或其授权代表（签字或盖章）：</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日期：年月日</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160"/>
        <w:rPr>
          <w:rFonts w:hint="eastAsia" w:ascii="仿宋" w:hAnsi="仿宋" w:eastAsia="仿宋" w:cs="仿宋"/>
          <w:color w:val="auto"/>
          <w:sz w:val="24"/>
          <w:highlight w:val="none"/>
        </w:rPr>
      </w:pPr>
    </w:p>
    <w:p>
      <w:pPr>
        <w:pStyle w:val="160"/>
        <w:rPr>
          <w:rFonts w:hint="eastAsia" w:ascii="仿宋" w:hAnsi="仿宋" w:eastAsia="仿宋" w:cs="仿宋"/>
          <w:color w:val="auto"/>
          <w:sz w:val="24"/>
          <w:highlight w:val="none"/>
        </w:rPr>
      </w:pPr>
    </w:p>
    <w:p>
      <w:pPr>
        <w:pStyle w:val="160"/>
        <w:rPr>
          <w:rFonts w:hint="eastAsia" w:ascii="仿宋" w:hAnsi="仿宋" w:eastAsia="仿宋" w:cs="仿宋"/>
          <w:color w:val="auto"/>
          <w:sz w:val="24"/>
          <w:highlight w:val="none"/>
        </w:rPr>
      </w:pPr>
    </w:p>
    <w:p>
      <w:pPr>
        <w:pStyle w:val="160"/>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w:t>
      </w:r>
      <w:r>
        <w:rPr>
          <w:rFonts w:hint="eastAsia" w:ascii="仿宋" w:hAnsi="仿宋" w:eastAsia="仿宋" w:cs="仿宋"/>
          <w:b/>
          <w:color w:val="auto"/>
          <w:sz w:val="30"/>
          <w:szCs w:val="30"/>
          <w:highlight w:val="none"/>
          <w:lang w:val="en-US" w:eastAsia="zh-CN"/>
        </w:rPr>
        <w:t xml:space="preserve">02标 未公示商品 </w:t>
      </w:r>
      <w:r>
        <w:rPr>
          <w:rFonts w:hint="eastAsia" w:ascii="仿宋" w:hAnsi="仿宋" w:eastAsia="仿宋" w:cs="仿宋"/>
          <w:b/>
          <w:color w:val="auto"/>
          <w:sz w:val="30"/>
          <w:szCs w:val="30"/>
          <w:highlight w:val="none"/>
        </w:rPr>
        <w:t>开标一览表（格式）</w:t>
      </w:r>
    </w:p>
    <w:p>
      <w:pPr>
        <w:spacing w:line="400" w:lineRule="exact"/>
        <w:rPr>
          <w:rFonts w:ascii="仿宋" w:hAnsi="仿宋" w:eastAsia="仿宋" w:cs="仿宋"/>
          <w:color w:val="auto"/>
          <w:sz w:val="24"/>
          <w:highlight w:val="none"/>
        </w:rPr>
      </w:pP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w:t>
      </w:r>
    </w:p>
    <w:p>
      <w:pPr>
        <w:spacing w:line="360" w:lineRule="auto"/>
        <w:ind w:right="-817" w:rightChars="-389"/>
        <w:rPr>
          <w:rFonts w:ascii="仿宋" w:hAnsi="仿宋" w:eastAsia="仿宋" w:cs="仿宋"/>
          <w:color w:val="auto"/>
          <w:sz w:val="24"/>
          <w:highlight w:val="none"/>
        </w:rPr>
      </w:pPr>
      <w:r>
        <w:rPr>
          <w:rFonts w:hint="eastAsia" w:ascii="仿宋" w:hAnsi="仿宋" w:eastAsia="仿宋" w:cs="仿宋"/>
          <w:color w:val="auto"/>
          <w:sz w:val="24"/>
          <w:highlight w:val="none"/>
        </w:rPr>
        <w:t>招标编号：</w:t>
      </w:r>
    </w:p>
    <w:tbl>
      <w:tblPr>
        <w:tblStyle w:val="39"/>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92"/>
        <w:gridCol w:w="1664"/>
        <w:gridCol w:w="3300"/>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92" w:type="dxa"/>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kern w:val="0"/>
                <w:szCs w:val="21"/>
                <w:highlight w:val="none"/>
              </w:rPr>
              <w:t>未公示商品</w:t>
            </w:r>
          </w:p>
        </w:tc>
        <w:tc>
          <w:tcPr>
            <w:tcW w:w="1664" w:type="dxa"/>
            <w:vAlign w:val="center"/>
          </w:tcPr>
          <w:p>
            <w:pPr>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配送品类</w:t>
            </w:r>
          </w:p>
        </w:tc>
        <w:tc>
          <w:tcPr>
            <w:tcW w:w="3300" w:type="dxa"/>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投标费率报价</w:t>
            </w:r>
          </w:p>
        </w:tc>
        <w:tc>
          <w:tcPr>
            <w:tcW w:w="2086" w:type="dxa"/>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41" w:type="dxa"/>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92" w:type="dxa"/>
            <w:vMerge w:val="restart"/>
            <w:vAlign w:val="center"/>
          </w:tcPr>
          <w:p>
            <w:pPr>
              <w:widowControl/>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未公示商品计价办法：按照绍兴E价通（http://jgjg.sx.gov.cn/）大江农贸市场公布的市场价为基础，在设定范围内下浮一定额度。</w:t>
            </w:r>
          </w:p>
          <w:p>
            <w:pPr>
              <w:jc w:val="center"/>
              <w:rPr>
                <w:rFonts w:hint="eastAsia" w:ascii="仿宋" w:hAnsi="仿宋" w:eastAsia="仿宋" w:cs="仿宋"/>
                <w:color w:val="auto"/>
                <w:szCs w:val="21"/>
                <w:highlight w:val="none"/>
              </w:rPr>
            </w:pPr>
          </w:p>
        </w:tc>
        <w:tc>
          <w:tcPr>
            <w:tcW w:w="1664"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kern w:val="0"/>
                <w:szCs w:val="21"/>
                <w:highlight w:val="none"/>
              </w:rPr>
              <w:t>蔬菜类</w:t>
            </w:r>
          </w:p>
        </w:tc>
        <w:tc>
          <w:tcPr>
            <w:tcW w:w="3300" w:type="dxa"/>
            <w:vAlign w:val="center"/>
          </w:tcPr>
          <w:p>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Cs w:val="21"/>
                <w:highlight w:val="none"/>
              </w:rPr>
              <w:t>承诺按照绍兴E价通大江农贸市场公布的市场价下浮</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tc>
        <w:tc>
          <w:tcPr>
            <w:tcW w:w="2086" w:type="dxa"/>
            <w:vAlign w:val="center"/>
          </w:tcPr>
          <w:p>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（设定范围20-30%）</w:t>
            </w:r>
            <w:r>
              <w:rPr>
                <w:rFonts w:hint="eastAsia" w:ascii="仿宋" w:hAnsi="仿宋" w:eastAsia="仿宋" w:cs="仿宋"/>
                <w:color w:val="auto"/>
                <w:kern w:val="0"/>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1" w:type="dxa"/>
            <w:vAlign w:val="center"/>
          </w:tcPr>
          <w:p>
            <w:pPr>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992" w:type="dxa"/>
            <w:vMerge w:val="continue"/>
            <w:vAlign w:val="center"/>
          </w:tcPr>
          <w:p>
            <w:pPr>
              <w:spacing w:line="440" w:lineRule="exact"/>
              <w:jc w:val="center"/>
              <w:rPr>
                <w:rFonts w:hint="eastAsia" w:ascii="仿宋" w:hAnsi="仿宋" w:eastAsia="仿宋" w:cs="仿宋"/>
                <w:color w:val="auto"/>
                <w:sz w:val="24"/>
                <w:highlight w:val="none"/>
              </w:rPr>
            </w:pPr>
          </w:p>
        </w:tc>
        <w:tc>
          <w:tcPr>
            <w:tcW w:w="1664" w:type="dxa"/>
            <w:vAlign w:val="center"/>
          </w:tcPr>
          <w:p>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kern w:val="0"/>
                <w:szCs w:val="21"/>
                <w:highlight w:val="none"/>
              </w:rPr>
              <w:t>水产类</w:t>
            </w:r>
          </w:p>
        </w:tc>
        <w:tc>
          <w:tcPr>
            <w:tcW w:w="3300" w:type="dxa"/>
            <w:vAlign w:val="center"/>
          </w:tcPr>
          <w:p>
            <w:pPr>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承诺按照大江市场价下浮</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tc>
        <w:tc>
          <w:tcPr>
            <w:tcW w:w="2086" w:type="dxa"/>
          </w:tcPr>
          <w:p>
            <w:pPr>
              <w:spacing w:line="44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t>（设定范围10-20%）</w:t>
            </w:r>
            <w:r>
              <w:rPr>
                <w:rFonts w:hint="eastAsia" w:ascii="仿宋" w:hAnsi="仿宋" w:eastAsia="仿宋" w:cs="仿宋"/>
                <w:color w:val="auto"/>
                <w:kern w:val="0"/>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1" w:type="dxa"/>
            <w:vAlign w:val="center"/>
          </w:tcPr>
          <w:p>
            <w:pPr>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992" w:type="dxa"/>
            <w:vMerge w:val="continue"/>
            <w:vAlign w:val="center"/>
          </w:tcPr>
          <w:p>
            <w:pPr>
              <w:spacing w:line="440" w:lineRule="exact"/>
              <w:jc w:val="center"/>
              <w:rPr>
                <w:rFonts w:hint="eastAsia" w:ascii="仿宋" w:hAnsi="仿宋" w:eastAsia="仿宋" w:cs="仿宋"/>
                <w:color w:val="auto"/>
                <w:sz w:val="24"/>
                <w:highlight w:val="none"/>
              </w:rPr>
            </w:pPr>
          </w:p>
        </w:tc>
        <w:tc>
          <w:tcPr>
            <w:tcW w:w="1664" w:type="dxa"/>
            <w:vAlign w:val="center"/>
          </w:tcPr>
          <w:p>
            <w:pPr>
              <w:widowControl/>
              <w:ind w:firstLine="420" w:firstLineChars="200"/>
              <w:rPr>
                <w:rFonts w:hint="eastAsia" w:ascii="仿宋" w:hAnsi="仿宋" w:eastAsia="仿宋" w:cs="仿宋"/>
                <w:color w:val="auto"/>
                <w:sz w:val="24"/>
                <w:highlight w:val="none"/>
              </w:rPr>
            </w:pPr>
            <w:r>
              <w:rPr>
                <w:rFonts w:hint="eastAsia" w:ascii="仿宋" w:hAnsi="仿宋" w:eastAsia="仿宋" w:cs="仿宋"/>
                <w:color w:val="auto"/>
                <w:kern w:val="0"/>
                <w:szCs w:val="21"/>
                <w:highlight w:val="none"/>
              </w:rPr>
              <w:t>鲜活家禽</w:t>
            </w:r>
          </w:p>
        </w:tc>
        <w:tc>
          <w:tcPr>
            <w:tcW w:w="3300" w:type="dxa"/>
            <w:vAlign w:val="center"/>
          </w:tcPr>
          <w:p>
            <w:pPr>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承诺按照大江市场价下浮</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tc>
        <w:tc>
          <w:tcPr>
            <w:tcW w:w="2086" w:type="dxa"/>
          </w:tcPr>
          <w:p>
            <w:pPr>
              <w:spacing w:line="44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t>（设定范围5-15%）</w:t>
            </w:r>
            <w:r>
              <w:rPr>
                <w:rFonts w:hint="eastAsia" w:ascii="仿宋" w:hAnsi="仿宋" w:eastAsia="仿宋" w:cs="仿宋"/>
                <w:color w:val="auto"/>
                <w:kern w:val="0"/>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1" w:type="dxa"/>
            <w:vAlign w:val="center"/>
          </w:tcPr>
          <w:p>
            <w:pPr>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992" w:type="dxa"/>
            <w:vMerge w:val="continue"/>
            <w:vAlign w:val="center"/>
          </w:tcPr>
          <w:p>
            <w:pPr>
              <w:spacing w:line="440" w:lineRule="exact"/>
              <w:jc w:val="center"/>
              <w:rPr>
                <w:rFonts w:hint="eastAsia" w:ascii="仿宋" w:hAnsi="仿宋" w:eastAsia="仿宋" w:cs="仿宋"/>
                <w:color w:val="auto"/>
                <w:sz w:val="24"/>
                <w:highlight w:val="none"/>
              </w:rPr>
            </w:pPr>
          </w:p>
        </w:tc>
        <w:tc>
          <w:tcPr>
            <w:tcW w:w="1664" w:type="dxa"/>
            <w:vAlign w:val="center"/>
          </w:tcPr>
          <w:p>
            <w:pPr>
              <w:widowControl/>
              <w:ind w:firstLine="420" w:firstLineChars="200"/>
              <w:rPr>
                <w:rFonts w:hint="eastAsia" w:ascii="仿宋" w:hAnsi="仿宋" w:eastAsia="仿宋" w:cs="仿宋"/>
                <w:color w:val="auto"/>
                <w:sz w:val="24"/>
                <w:highlight w:val="none"/>
              </w:rPr>
            </w:pPr>
            <w:r>
              <w:rPr>
                <w:rFonts w:hint="eastAsia" w:ascii="仿宋" w:hAnsi="仿宋" w:eastAsia="仿宋" w:cs="仿宋"/>
                <w:color w:val="auto"/>
                <w:kern w:val="0"/>
                <w:szCs w:val="21"/>
                <w:highlight w:val="none"/>
              </w:rPr>
              <w:t>豆制品类</w:t>
            </w:r>
          </w:p>
        </w:tc>
        <w:tc>
          <w:tcPr>
            <w:tcW w:w="3300" w:type="dxa"/>
            <w:vAlign w:val="center"/>
          </w:tcPr>
          <w:p>
            <w:pPr>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承诺按照大江市场价下浮</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tc>
        <w:tc>
          <w:tcPr>
            <w:tcW w:w="2086" w:type="dxa"/>
          </w:tcPr>
          <w:p>
            <w:pPr>
              <w:spacing w:line="44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t>（设定范围5-10%）</w:t>
            </w:r>
            <w:r>
              <w:rPr>
                <w:rFonts w:hint="eastAsia" w:ascii="仿宋" w:hAnsi="仿宋" w:eastAsia="仿宋" w:cs="仿宋"/>
                <w:color w:val="auto"/>
                <w:kern w:val="0"/>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1" w:type="dxa"/>
            <w:vAlign w:val="center"/>
          </w:tcPr>
          <w:p>
            <w:pPr>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992" w:type="dxa"/>
            <w:vMerge w:val="continue"/>
            <w:vAlign w:val="center"/>
          </w:tcPr>
          <w:p>
            <w:pPr>
              <w:spacing w:line="440" w:lineRule="exact"/>
              <w:jc w:val="center"/>
              <w:rPr>
                <w:rFonts w:hint="eastAsia" w:ascii="仿宋" w:hAnsi="仿宋" w:eastAsia="仿宋" w:cs="仿宋"/>
                <w:color w:val="auto"/>
                <w:sz w:val="24"/>
                <w:highlight w:val="none"/>
              </w:rPr>
            </w:pPr>
          </w:p>
        </w:tc>
        <w:tc>
          <w:tcPr>
            <w:tcW w:w="1664" w:type="dxa"/>
            <w:vAlign w:val="center"/>
          </w:tcPr>
          <w:p>
            <w:pPr>
              <w:widowControl/>
              <w:ind w:firstLine="420" w:firstLineChars="200"/>
              <w:rPr>
                <w:rFonts w:hint="eastAsia" w:ascii="仿宋" w:hAnsi="仿宋" w:eastAsia="仿宋" w:cs="仿宋"/>
                <w:color w:val="auto"/>
                <w:sz w:val="24"/>
                <w:highlight w:val="none"/>
              </w:rPr>
            </w:pPr>
            <w:r>
              <w:rPr>
                <w:rFonts w:hint="eastAsia" w:ascii="仿宋" w:hAnsi="仿宋" w:eastAsia="仿宋" w:cs="仿宋"/>
                <w:color w:val="auto"/>
                <w:kern w:val="0"/>
                <w:szCs w:val="21"/>
                <w:highlight w:val="none"/>
              </w:rPr>
              <w:t>冷冻品类</w:t>
            </w:r>
          </w:p>
        </w:tc>
        <w:tc>
          <w:tcPr>
            <w:tcW w:w="3300" w:type="dxa"/>
            <w:vAlign w:val="center"/>
          </w:tcPr>
          <w:p>
            <w:pPr>
              <w:spacing w:line="440" w:lineRule="exac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承诺按照大江市场价下浮</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tc>
        <w:tc>
          <w:tcPr>
            <w:tcW w:w="2086" w:type="dxa"/>
          </w:tcPr>
          <w:p>
            <w:pPr>
              <w:spacing w:line="44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t>（设定范围10-15%）</w:t>
            </w:r>
            <w:r>
              <w:rPr>
                <w:rFonts w:hint="eastAsia" w:ascii="仿宋" w:hAnsi="仿宋" w:eastAsia="仿宋" w:cs="仿宋"/>
                <w:color w:val="auto"/>
                <w:kern w:val="0"/>
                <w:szCs w:val="21"/>
                <w:highlight w:val="none"/>
              </w:rPr>
              <w:t>。（4分）</w:t>
            </w:r>
          </w:p>
        </w:tc>
      </w:tr>
    </w:tbl>
    <w:p>
      <w:pPr>
        <w:pStyle w:val="160"/>
        <w:rPr>
          <w:color w:val="auto"/>
          <w:highlight w:val="none"/>
        </w:rPr>
      </w:pPr>
    </w:p>
    <w:p>
      <w:pPr>
        <w:spacing w:line="360" w:lineRule="auto"/>
        <w:ind w:right="-817" w:rightChars="-389"/>
        <w:rPr>
          <w:rFonts w:ascii="仿宋" w:hAnsi="仿宋" w:eastAsia="仿宋" w:cs="仿宋"/>
          <w:color w:val="auto"/>
          <w:sz w:val="24"/>
          <w:highlight w:val="none"/>
        </w:rPr>
      </w:pPr>
      <w:r>
        <w:rPr>
          <w:rFonts w:hint="eastAsia" w:ascii="仿宋" w:hAnsi="仿宋" w:eastAsia="仿宋" w:cs="仿宋"/>
          <w:color w:val="auto"/>
          <w:sz w:val="24"/>
          <w:highlight w:val="none"/>
        </w:rPr>
        <w:t>注：1.报价一经涂改，应在涂改处加盖单位公章或者由法定代表人或授权委托人签字或盖章，否则其投标作无效标处理。</w:t>
      </w:r>
    </w:p>
    <w:p>
      <w:pPr>
        <w:spacing w:line="360" w:lineRule="auto"/>
        <w:ind w:right="-817" w:rightChars="-389"/>
        <w:rPr>
          <w:rFonts w:ascii="仿宋" w:hAnsi="仿宋" w:eastAsia="仿宋" w:cs="仿宋"/>
          <w:color w:val="auto"/>
          <w:sz w:val="24"/>
          <w:highlight w:val="none"/>
        </w:rPr>
      </w:pPr>
      <w:r>
        <w:rPr>
          <w:rFonts w:hint="eastAsia" w:ascii="仿宋" w:hAnsi="仿宋" w:eastAsia="仿宋" w:cs="仿宋"/>
          <w:color w:val="auto"/>
          <w:sz w:val="24"/>
          <w:highlight w:val="none"/>
        </w:rPr>
        <w:t xml:space="preserve">  2.所有单价包括货值、售后服务费、税费等一切费用，买方不需支付任何其它费用。</w:t>
      </w:r>
    </w:p>
    <w:p>
      <w:pPr>
        <w:spacing w:line="360" w:lineRule="auto"/>
        <w:ind w:right="-817" w:rightChars="-389"/>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spacing w:line="360" w:lineRule="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法定代表人或其授权代表（签字或盖章）：</w:t>
      </w:r>
    </w:p>
    <w:p>
      <w:pPr>
        <w:spacing w:line="360" w:lineRule="auto"/>
        <w:jc w:val="right"/>
        <w:outlineLvl w:val="0"/>
        <w:rPr>
          <w:rFonts w:ascii="仿宋" w:hAnsi="仿宋" w:eastAsia="仿宋" w:cs="仿宋"/>
          <w:color w:val="auto"/>
          <w:sz w:val="24"/>
          <w:highlight w:val="none"/>
        </w:rPr>
      </w:pPr>
      <w:r>
        <w:rPr>
          <w:rFonts w:hint="eastAsia" w:ascii="仿宋" w:hAnsi="仿宋" w:eastAsia="仿宋" w:cs="仿宋"/>
          <w:color w:val="auto"/>
          <w:sz w:val="24"/>
          <w:highlight w:val="none"/>
        </w:rPr>
        <w:t>日期：年月日</w:t>
      </w:r>
    </w:p>
    <w:p>
      <w:pPr>
        <w:ind w:firstLine="480" w:firstLineChars="200"/>
        <w:rPr>
          <w:rFonts w:ascii="仿宋" w:hAnsi="仿宋" w:eastAsia="仿宋" w:cs="仿宋"/>
          <w:color w:val="auto"/>
          <w:sz w:val="24"/>
          <w:highlight w:val="none"/>
        </w:rPr>
      </w:pPr>
    </w:p>
    <w:p>
      <w:pPr>
        <w:rPr>
          <w:color w:val="auto"/>
          <w:highlight w:val="none"/>
        </w:rPr>
        <w:sectPr>
          <w:pgSz w:w="11906" w:h="16838"/>
          <w:pgMar w:top="1440" w:right="1406" w:bottom="1686" w:left="1758" w:header="1021" w:footer="902" w:gutter="0"/>
          <w:cols w:space="425" w:num="1"/>
          <w:titlePg/>
          <w:docGrid w:type="lines" w:linePitch="312" w:charSpace="0"/>
        </w:sectPr>
      </w:pPr>
    </w:p>
    <w:p>
      <w:pPr>
        <w:pageBreakBefore/>
        <w:spacing w:line="360" w:lineRule="auto"/>
        <w:jc w:val="center"/>
        <w:outlineLvl w:val="0"/>
        <w:rPr>
          <w:rFonts w:ascii="仿宋" w:hAnsi="仿宋" w:eastAsia="仿宋" w:cs="FangSong_GB2312"/>
          <w:b/>
          <w:color w:val="auto"/>
          <w:kern w:val="0"/>
          <w:sz w:val="36"/>
          <w:szCs w:val="36"/>
          <w:highlight w:val="none"/>
        </w:rPr>
      </w:pPr>
      <w:r>
        <w:rPr>
          <w:rFonts w:hint="eastAsia" w:ascii="仿宋" w:hAnsi="仿宋" w:eastAsia="仿宋" w:cs="FangSong_GB2312"/>
          <w:b/>
          <w:color w:val="auto"/>
          <w:kern w:val="0"/>
          <w:sz w:val="36"/>
          <w:szCs w:val="36"/>
          <w:highlight w:val="none"/>
        </w:rPr>
        <w:t>商务技术（资信）文件部分</w:t>
      </w:r>
    </w:p>
    <w:p>
      <w:pPr>
        <w:spacing w:line="360" w:lineRule="auto"/>
        <w:jc w:val="center"/>
        <w:outlineLvl w:val="0"/>
        <w:rPr>
          <w:rFonts w:ascii="仿宋" w:hAnsi="仿宋" w:eastAsia="仿宋" w:cs="FangSong_GB2312"/>
          <w:b/>
          <w:color w:val="auto"/>
          <w:kern w:val="0"/>
          <w:sz w:val="24"/>
          <w:highlight w:val="none"/>
        </w:rPr>
      </w:pPr>
    </w:p>
    <w:p>
      <w:pPr>
        <w:spacing w:line="360" w:lineRule="auto"/>
        <w:jc w:val="center"/>
        <w:outlineLvl w:val="0"/>
        <w:rPr>
          <w:rFonts w:ascii="仿宋" w:hAnsi="仿宋" w:eastAsia="仿宋" w:cs="FangSong_GB2312"/>
          <w:b/>
          <w:color w:val="auto"/>
          <w:kern w:val="0"/>
          <w:sz w:val="28"/>
          <w:szCs w:val="28"/>
          <w:highlight w:val="none"/>
        </w:rPr>
      </w:pPr>
      <w:r>
        <w:rPr>
          <w:rFonts w:hint="eastAsia" w:ascii="仿宋" w:hAnsi="仿宋" w:eastAsia="仿宋" w:cs="FangSong_GB2312"/>
          <w:b/>
          <w:color w:val="auto"/>
          <w:kern w:val="0"/>
          <w:sz w:val="28"/>
          <w:szCs w:val="28"/>
          <w:highlight w:val="none"/>
        </w:rPr>
        <w:t>目录</w:t>
      </w:r>
    </w:p>
    <w:p>
      <w:pPr>
        <w:pStyle w:val="153"/>
        <w:spacing w:line="360" w:lineRule="auto"/>
        <w:ind w:left="0" w:firstLine="0" w:firstLineChars="0"/>
        <w:rPr>
          <w:rFonts w:ascii="仿宋" w:eastAsia="仿宋" w:cs="FangSong_GB2312"/>
          <w:color w:val="auto"/>
          <w:highlight w:val="none"/>
        </w:rPr>
      </w:pPr>
      <w:r>
        <w:rPr>
          <w:rFonts w:hint="eastAsia" w:ascii="仿宋" w:eastAsia="仿宋" w:cs="FangSong_GB2312"/>
          <w:color w:val="auto"/>
          <w:highlight w:val="none"/>
        </w:rPr>
        <w:t>（1）法定代表人授权书 …………………………………………………………（页码）</w:t>
      </w:r>
    </w:p>
    <w:p>
      <w:pPr>
        <w:pStyle w:val="153"/>
        <w:spacing w:line="360" w:lineRule="auto"/>
        <w:ind w:left="0" w:firstLine="0" w:firstLineChars="0"/>
        <w:rPr>
          <w:rFonts w:ascii="仿宋" w:eastAsia="仿宋" w:cs="FangSong_GB2312"/>
          <w:color w:val="auto"/>
          <w:highlight w:val="none"/>
        </w:rPr>
      </w:pPr>
      <w:r>
        <w:rPr>
          <w:rFonts w:hint="eastAsia" w:ascii="仿宋" w:eastAsia="仿宋" w:cs="FangSong_GB2312"/>
          <w:color w:val="auto"/>
          <w:highlight w:val="none"/>
        </w:rPr>
        <w:t>（2）授权代表社保证明（复印件）………………………………………………（页码）</w:t>
      </w:r>
    </w:p>
    <w:p>
      <w:pPr>
        <w:pStyle w:val="153"/>
        <w:spacing w:line="360" w:lineRule="auto"/>
        <w:ind w:left="0" w:firstLine="0" w:firstLineChars="0"/>
        <w:rPr>
          <w:rFonts w:ascii="仿宋" w:eastAsia="仿宋" w:cs="FangSong_GB2312"/>
          <w:color w:val="auto"/>
          <w:highlight w:val="none"/>
        </w:rPr>
      </w:pPr>
      <w:r>
        <w:rPr>
          <w:rFonts w:hint="eastAsia" w:ascii="仿宋" w:eastAsia="仿宋" w:cs="FangSong_GB2312"/>
          <w:color w:val="auto"/>
          <w:highlight w:val="none"/>
        </w:rPr>
        <w:t>（3）法定代表人及其授权代表的身份证（复印件）……………………………（页码）（4）法定代表人身份证明书………………………………………………………（页码）</w:t>
      </w:r>
    </w:p>
    <w:p>
      <w:pPr>
        <w:spacing w:line="360" w:lineRule="auto"/>
        <w:outlineLvl w:val="0"/>
        <w:rPr>
          <w:rFonts w:ascii="仿宋" w:hAnsi="仿宋" w:eastAsia="仿宋" w:cs="FangSong_GB2312"/>
          <w:color w:val="auto"/>
          <w:sz w:val="24"/>
          <w:highlight w:val="none"/>
        </w:rPr>
      </w:pPr>
      <w:r>
        <w:rPr>
          <w:rFonts w:hint="eastAsia" w:ascii="仿宋" w:hAnsi="仿宋" w:eastAsia="仿宋" w:cs="FangSong_GB2312"/>
          <w:color w:val="auto"/>
          <w:sz w:val="24"/>
          <w:highlight w:val="none"/>
        </w:rPr>
        <w:t>（5）营业执照(或事业法人登记证或其他登记证明材料)复印件</w:t>
      </w:r>
      <w:r>
        <w:rPr>
          <w:rFonts w:hint="eastAsia" w:ascii="仿宋" w:hAnsi="仿宋" w:eastAsia="仿宋" w:cs="FangSong_GB2312"/>
          <w:color w:val="auto"/>
          <w:highlight w:val="none"/>
        </w:rPr>
        <w:t>…………………</w:t>
      </w:r>
      <w:r>
        <w:rPr>
          <w:rFonts w:hint="eastAsia" w:ascii="仿宋" w:hAnsi="仿宋" w:eastAsia="仿宋" w:cs="FangSong_GB2312"/>
          <w:color w:val="auto"/>
          <w:kern w:val="0"/>
          <w:sz w:val="24"/>
          <w:highlight w:val="none"/>
        </w:rPr>
        <w:t>（页码）</w:t>
      </w:r>
    </w:p>
    <w:p>
      <w:pPr>
        <w:snapToGrid w:val="0"/>
        <w:spacing w:line="360" w:lineRule="auto"/>
        <w:rPr>
          <w:rFonts w:ascii="仿宋" w:hAnsi="仿宋" w:eastAsia="仿宋" w:cs="FangSong_GB2312"/>
          <w:color w:val="auto"/>
          <w:sz w:val="24"/>
          <w:highlight w:val="none"/>
        </w:rPr>
      </w:pPr>
      <w:r>
        <w:rPr>
          <w:rFonts w:hint="eastAsia" w:ascii="仿宋" w:hAnsi="仿宋" w:eastAsia="仿宋" w:cs="FangSong_GB2312"/>
          <w:color w:val="auto"/>
          <w:sz w:val="24"/>
          <w:highlight w:val="none"/>
        </w:rPr>
        <w:t>（6）</w:t>
      </w:r>
      <w:r>
        <w:rPr>
          <w:rFonts w:hint="eastAsia" w:ascii="仿宋" w:hAnsi="仿宋" w:eastAsia="仿宋" w:cs="FangSong_GB2312"/>
          <w:color w:val="auto"/>
          <w:sz w:val="24"/>
          <w:highlight w:val="none"/>
          <w:lang w:eastAsia="zh-CN"/>
        </w:rPr>
        <w:t>2020年度资产负债表等</w:t>
      </w:r>
      <w:r>
        <w:rPr>
          <w:rFonts w:hint="eastAsia" w:ascii="仿宋" w:hAnsi="仿宋" w:eastAsia="仿宋" w:cs="FangSong_GB2312"/>
          <w:color w:val="auto"/>
          <w:sz w:val="24"/>
          <w:highlight w:val="none"/>
        </w:rPr>
        <w:t>财务报表资料文件(新成立的公司，提供情况说明)</w:t>
      </w:r>
      <w:r>
        <w:rPr>
          <w:rFonts w:hint="eastAsia" w:ascii="仿宋" w:hAnsi="仿宋" w:eastAsia="仿宋" w:cs="FangSong_GB2312"/>
          <w:color w:val="auto"/>
          <w:kern w:val="0"/>
          <w:sz w:val="24"/>
          <w:highlight w:val="none"/>
        </w:rPr>
        <w:t>…页码）</w:t>
      </w:r>
    </w:p>
    <w:p>
      <w:pPr>
        <w:snapToGrid w:val="0"/>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sz w:val="24"/>
          <w:highlight w:val="none"/>
        </w:rPr>
        <w:t>（7）具有履</w:t>
      </w:r>
      <w:r>
        <w:rPr>
          <w:rFonts w:hint="eastAsia" w:ascii="仿宋" w:hAnsi="仿宋" w:eastAsia="仿宋" w:cs="FangSong_GB2312"/>
          <w:color w:val="auto"/>
          <w:kern w:val="0"/>
          <w:sz w:val="24"/>
          <w:highlight w:val="none"/>
        </w:rPr>
        <w:t>行合同所必需的设备和专业技术能力的承诺函……………………（页码）</w:t>
      </w:r>
    </w:p>
    <w:p>
      <w:pPr>
        <w:pStyle w:val="153"/>
        <w:spacing w:line="360" w:lineRule="auto"/>
        <w:ind w:firstLine="0" w:firstLineChars="0"/>
        <w:rPr>
          <w:rFonts w:ascii="仿宋" w:eastAsia="仿宋" w:cs="FangSong_GB2312"/>
          <w:color w:val="auto"/>
          <w:highlight w:val="none"/>
        </w:rPr>
      </w:pPr>
      <w:r>
        <w:rPr>
          <w:rFonts w:hint="eastAsia" w:ascii="仿宋" w:eastAsia="仿宋" w:cs="FangSong_GB2312"/>
          <w:color w:val="auto"/>
          <w:highlight w:val="none"/>
        </w:rPr>
        <w:t>（8）重大违法记录的声明</w:t>
      </w:r>
      <w:r>
        <w:rPr>
          <w:rFonts w:hint="eastAsia" w:ascii="仿宋" w:eastAsia="仿宋" w:cs="FangSong_GB2312"/>
          <w:color w:val="auto"/>
          <w:kern w:val="0"/>
          <w:highlight w:val="none"/>
        </w:rPr>
        <w:t xml:space="preserve"> …</w:t>
      </w:r>
      <w:r>
        <w:rPr>
          <w:rFonts w:hint="eastAsia" w:ascii="仿宋" w:eastAsia="仿宋" w:cs="FangSong_GB2312"/>
          <w:color w:val="auto"/>
          <w:highlight w:val="none"/>
        </w:rPr>
        <w:t>……………………………………………………</w:t>
      </w:r>
      <w:r>
        <w:rPr>
          <w:rFonts w:hint="eastAsia" w:ascii="仿宋" w:eastAsia="仿宋" w:cs="FangSong_GB2312"/>
          <w:color w:val="auto"/>
          <w:kern w:val="0"/>
          <w:highlight w:val="none"/>
        </w:rPr>
        <w:t>（页码）</w:t>
      </w:r>
      <w:r>
        <w:rPr>
          <w:rFonts w:hint="eastAsia" w:ascii="仿宋" w:eastAsia="仿宋" w:cs="FangSong_GB2312"/>
          <w:color w:val="auto"/>
          <w:highlight w:val="none"/>
        </w:rPr>
        <w:t>（9）符合特定资格条件（如果项目要求）的有关证明材料（复印件）………（页码）</w:t>
      </w:r>
    </w:p>
    <w:p>
      <w:pPr>
        <w:pStyle w:val="153"/>
        <w:spacing w:line="360" w:lineRule="auto"/>
        <w:ind w:left="0" w:firstLine="0" w:firstLineChars="0"/>
        <w:rPr>
          <w:rFonts w:ascii="仿宋" w:eastAsia="仿宋" w:cs="FangSong_GB2312"/>
          <w:color w:val="auto"/>
          <w:highlight w:val="none"/>
        </w:rPr>
      </w:pPr>
      <w:r>
        <w:rPr>
          <w:rFonts w:hint="eastAsia" w:ascii="仿宋" w:eastAsia="仿宋" w:cs="FangSong_GB2312"/>
          <w:color w:val="auto"/>
          <w:highlight w:val="none"/>
        </w:rPr>
        <w:t>（10）</w:t>
      </w:r>
      <w:r>
        <w:rPr>
          <w:rFonts w:hint="eastAsia" w:ascii="仿宋" w:eastAsia="仿宋" w:cs="FangSong_GB2312"/>
          <w:snapToGrid w:val="0"/>
          <w:color w:val="auto"/>
          <w:highlight w:val="none"/>
        </w:rPr>
        <w:t>非本地投标人售后服务机构证明材料</w:t>
      </w:r>
      <w:r>
        <w:rPr>
          <w:rFonts w:hint="eastAsia" w:ascii="仿宋" w:eastAsia="仿宋" w:cs="FangSong_GB2312"/>
          <w:color w:val="auto"/>
          <w:highlight w:val="none"/>
        </w:rPr>
        <w:t>……………………………………（页码）</w:t>
      </w:r>
    </w:p>
    <w:p>
      <w:pPr>
        <w:pStyle w:val="153"/>
        <w:spacing w:line="360" w:lineRule="auto"/>
        <w:ind w:left="0" w:firstLine="0" w:firstLineChars="0"/>
        <w:rPr>
          <w:rFonts w:ascii="仿宋" w:eastAsia="仿宋" w:cs="FangSong_GB2312"/>
          <w:color w:val="auto"/>
          <w:highlight w:val="none"/>
        </w:rPr>
      </w:pPr>
      <w:r>
        <w:rPr>
          <w:rFonts w:hint="eastAsia" w:ascii="仿宋" w:eastAsia="仿宋" w:cs="FangSong_GB2312"/>
          <w:color w:val="auto"/>
          <w:highlight w:val="none"/>
        </w:rPr>
        <w:t>（11）所有与符合性审查有关的资信文件（复印件） ………………………（页码）</w:t>
      </w:r>
    </w:p>
    <w:p>
      <w:pPr>
        <w:pStyle w:val="153"/>
        <w:spacing w:line="360" w:lineRule="auto"/>
        <w:ind w:left="0" w:firstLine="0" w:firstLineChars="0"/>
        <w:rPr>
          <w:rFonts w:ascii="仿宋" w:eastAsia="仿宋" w:cs="FangSong_GB2312"/>
          <w:color w:val="auto"/>
          <w:highlight w:val="none"/>
        </w:rPr>
      </w:pPr>
      <w:r>
        <w:rPr>
          <w:rFonts w:hint="eastAsia" w:ascii="仿宋" w:eastAsia="仿宋" w:cs="FangSong_GB2312"/>
          <w:color w:val="auto"/>
          <w:highlight w:val="none"/>
        </w:rPr>
        <w:t>（12）</w:t>
      </w:r>
      <w:r>
        <w:rPr>
          <w:rFonts w:hint="eastAsia" w:ascii="仿宋" w:eastAsia="仿宋" w:cs="FangSong_GB2312"/>
          <w:color w:val="auto"/>
          <w:highlight w:val="none"/>
          <w:lang w:val="zh-CN"/>
        </w:rPr>
        <w:t>主要业绩证明… ………………………………………………</w:t>
      </w:r>
      <w:r>
        <w:rPr>
          <w:rFonts w:hint="eastAsia" w:ascii="仿宋" w:eastAsia="仿宋" w:cs="FangSong_GB2312"/>
          <w:color w:val="auto"/>
          <w:highlight w:val="none"/>
        </w:rPr>
        <w:t>…………</w:t>
      </w:r>
      <w:r>
        <w:rPr>
          <w:rFonts w:hint="eastAsia" w:ascii="仿宋" w:eastAsia="仿宋" w:cs="FangSong_GB2312"/>
          <w:color w:val="auto"/>
          <w:highlight w:val="none"/>
          <w:lang w:val="zh-CN"/>
        </w:rPr>
        <w:t>…</w:t>
      </w:r>
      <w:r>
        <w:rPr>
          <w:rFonts w:hint="eastAsia" w:ascii="仿宋" w:eastAsia="仿宋" w:cs="FangSong_GB2312"/>
          <w:color w:val="auto"/>
          <w:highlight w:val="none"/>
        </w:rPr>
        <w:t>（页码）</w:t>
      </w:r>
    </w:p>
    <w:p>
      <w:pPr>
        <w:pStyle w:val="153"/>
        <w:spacing w:line="360" w:lineRule="auto"/>
        <w:ind w:left="0" w:firstLine="0" w:firstLineChars="0"/>
        <w:rPr>
          <w:rFonts w:ascii="仿宋" w:eastAsia="仿宋" w:cs="FangSong_GB2312"/>
          <w:color w:val="auto"/>
          <w:highlight w:val="none"/>
        </w:rPr>
      </w:pPr>
      <w:r>
        <w:rPr>
          <w:rFonts w:hint="eastAsia" w:ascii="仿宋" w:eastAsia="仿宋" w:cs="FangSong_GB2312"/>
          <w:color w:val="auto"/>
          <w:highlight w:val="none"/>
        </w:rPr>
        <w:t>（13）廉政承诺书 …………………………………………………………………（页码）</w:t>
      </w:r>
    </w:p>
    <w:p>
      <w:pPr>
        <w:spacing w:line="360" w:lineRule="auto"/>
        <w:outlineLvl w:val="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（14）技术解决方案…………………………………………………</w:t>
      </w:r>
      <w:r>
        <w:rPr>
          <w:rFonts w:hint="eastAsia" w:ascii="仿宋" w:hAnsi="仿宋" w:eastAsia="仿宋" w:cs="FangSong_GB2312"/>
          <w:color w:val="auto"/>
          <w:highlight w:val="none"/>
        </w:rPr>
        <w:t>…………</w:t>
      </w:r>
      <w:r>
        <w:rPr>
          <w:rFonts w:hint="eastAsia" w:ascii="仿宋" w:hAnsi="仿宋" w:eastAsia="仿宋" w:cs="FangSong_GB2312"/>
          <w:color w:val="auto"/>
          <w:kern w:val="0"/>
          <w:sz w:val="24"/>
          <w:highlight w:val="none"/>
        </w:rPr>
        <w:t>…（页码）</w:t>
      </w:r>
    </w:p>
    <w:p>
      <w:pPr>
        <w:spacing w:line="360" w:lineRule="auto"/>
        <w:outlineLvl w:val="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（15）技术偏离说明表………………………………………………</w:t>
      </w:r>
      <w:r>
        <w:rPr>
          <w:rFonts w:hint="eastAsia" w:ascii="仿宋" w:hAnsi="仿宋" w:eastAsia="仿宋" w:cs="FangSong_GB2312"/>
          <w:color w:val="auto"/>
          <w:highlight w:val="none"/>
        </w:rPr>
        <w:t>…………</w:t>
      </w:r>
      <w:r>
        <w:rPr>
          <w:rFonts w:hint="eastAsia" w:ascii="仿宋" w:hAnsi="仿宋" w:eastAsia="仿宋" w:cs="FangSong_GB2312"/>
          <w:color w:val="auto"/>
          <w:kern w:val="0"/>
          <w:sz w:val="24"/>
          <w:highlight w:val="none"/>
        </w:rPr>
        <w:t>…（页码）</w:t>
      </w:r>
    </w:p>
    <w:p>
      <w:pPr>
        <w:spacing w:line="360" w:lineRule="auto"/>
        <w:outlineLvl w:val="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（16）组织实施方案……………………………………………</w:t>
      </w:r>
      <w:r>
        <w:rPr>
          <w:rFonts w:hint="eastAsia" w:ascii="仿宋" w:hAnsi="仿宋" w:eastAsia="仿宋" w:cs="FangSong_GB2312"/>
          <w:color w:val="auto"/>
          <w:highlight w:val="none"/>
        </w:rPr>
        <w:t>…………</w:t>
      </w:r>
      <w:r>
        <w:rPr>
          <w:rFonts w:hint="eastAsia" w:ascii="仿宋" w:hAnsi="仿宋" w:eastAsia="仿宋" w:cs="FangSong_GB2312"/>
          <w:color w:val="auto"/>
          <w:kern w:val="0"/>
          <w:sz w:val="24"/>
          <w:highlight w:val="none"/>
        </w:rPr>
        <w:t>………（页码）</w:t>
      </w:r>
    </w:p>
    <w:p>
      <w:pPr>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（17）售后服务方案……………………………………………</w:t>
      </w:r>
      <w:r>
        <w:rPr>
          <w:rFonts w:hint="eastAsia" w:ascii="仿宋" w:hAnsi="仿宋" w:eastAsia="仿宋" w:cs="FangSong_GB2312"/>
          <w:color w:val="auto"/>
          <w:highlight w:val="none"/>
        </w:rPr>
        <w:t>…………</w:t>
      </w:r>
      <w:r>
        <w:rPr>
          <w:rFonts w:hint="eastAsia" w:ascii="仿宋" w:hAnsi="仿宋" w:eastAsia="仿宋" w:cs="FangSong_GB2312"/>
          <w:color w:val="auto"/>
          <w:kern w:val="0"/>
          <w:sz w:val="24"/>
          <w:highlight w:val="none"/>
        </w:rPr>
        <w:t>………（页码）</w:t>
      </w:r>
    </w:p>
    <w:p>
      <w:pPr>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（18）项目小组人员名单………………………………………</w:t>
      </w:r>
      <w:r>
        <w:rPr>
          <w:rFonts w:hint="eastAsia" w:ascii="仿宋" w:hAnsi="仿宋" w:eastAsia="仿宋" w:cs="FangSong_GB2312"/>
          <w:color w:val="auto"/>
          <w:highlight w:val="none"/>
        </w:rPr>
        <w:t>…………</w:t>
      </w:r>
      <w:r>
        <w:rPr>
          <w:rFonts w:hint="eastAsia" w:ascii="仿宋" w:hAnsi="仿宋" w:eastAsia="仿宋" w:cs="FangSong_GB2312"/>
          <w:color w:val="auto"/>
          <w:kern w:val="0"/>
          <w:sz w:val="24"/>
          <w:highlight w:val="none"/>
        </w:rPr>
        <w:t>………（页码）</w:t>
      </w:r>
    </w:p>
    <w:p>
      <w:pPr>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（19）</w:t>
      </w:r>
      <w:r>
        <w:rPr>
          <w:rFonts w:hint="eastAsia" w:ascii="仿宋" w:hAnsi="仿宋" w:eastAsia="仿宋" w:cs="FangSong_GB2312"/>
          <w:color w:val="auto"/>
          <w:kern w:val="0"/>
          <w:sz w:val="24"/>
          <w:highlight w:val="none"/>
          <w:lang w:val="zh-CN"/>
        </w:rPr>
        <w:t>优惠条件及特殊承诺……………………………………</w:t>
      </w:r>
      <w:r>
        <w:rPr>
          <w:rFonts w:hint="eastAsia" w:ascii="仿宋" w:hAnsi="仿宋" w:eastAsia="仿宋" w:cs="FangSong_GB2312"/>
          <w:color w:val="auto"/>
          <w:highlight w:val="none"/>
        </w:rPr>
        <w:t>…………</w:t>
      </w:r>
      <w:r>
        <w:rPr>
          <w:rFonts w:hint="eastAsia" w:ascii="仿宋" w:hAnsi="仿宋" w:eastAsia="仿宋" w:cs="FangSong_GB2312"/>
          <w:color w:val="auto"/>
          <w:kern w:val="0"/>
          <w:sz w:val="24"/>
          <w:highlight w:val="none"/>
          <w:lang w:val="zh-CN"/>
        </w:rPr>
        <w:t>………</w:t>
      </w:r>
      <w:r>
        <w:rPr>
          <w:rFonts w:hint="eastAsia" w:ascii="仿宋" w:hAnsi="仿宋" w:eastAsia="仿宋" w:cs="FangSong_GB2312"/>
          <w:color w:val="auto"/>
          <w:kern w:val="0"/>
          <w:sz w:val="24"/>
          <w:highlight w:val="none"/>
        </w:rPr>
        <w:t>（页码）</w:t>
      </w:r>
    </w:p>
    <w:p>
      <w:pPr>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（20）</w:t>
      </w:r>
      <w:r>
        <w:rPr>
          <w:rFonts w:hint="eastAsia" w:ascii="仿宋" w:hAnsi="仿宋" w:eastAsia="仿宋" w:cs="FangSong_GB2312"/>
          <w:color w:val="auto"/>
          <w:kern w:val="0"/>
          <w:sz w:val="24"/>
          <w:highlight w:val="none"/>
          <w:lang w:val="zh-CN"/>
        </w:rPr>
        <w:t>备品备件及供选择的配套零部件清单………………………</w:t>
      </w:r>
      <w:r>
        <w:rPr>
          <w:rFonts w:hint="eastAsia" w:ascii="仿宋" w:hAnsi="仿宋" w:eastAsia="仿宋" w:cs="FangSong_GB2312"/>
          <w:color w:val="auto"/>
          <w:highlight w:val="none"/>
        </w:rPr>
        <w:t>…………</w:t>
      </w:r>
      <w:r>
        <w:rPr>
          <w:rFonts w:hint="eastAsia" w:ascii="仿宋" w:hAnsi="仿宋" w:eastAsia="仿宋" w:cs="FangSong_GB2312"/>
          <w:color w:val="auto"/>
          <w:kern w:val="0"/>
          <w:sz w:val="24"/>
          <w:highlight w:val="none"/>
          <w:lang w:val="zh-CN"/>
        </w:rPr>
        <w:t>…</w:t>
      </w:r>
      <w:r>
        <w:rPr>
          <w:rFonts w:hint="eastAsia" w:ascii="仿宋" w:hAnsi="仿宋" w:eastAsia="仿宋" w:cs="FangSong_GB2312"/>
          <w:color w:val="auto"/>
          <w:kern w:val="0"/>
          <w:sz w:val="24"/>
          <w:highlight w:val="none"/>
        </w:rPr>
        <w:t>（页码）</w:t>
      </w:r>
    </w:p>
    <w:p>
      <w:pPr>
        <w:spacing w:line="360" w:lineRule="auto"/>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rPr>
        <w:t>（21）</w:t>
      </w:r>
      <w:r>
        <w:rPr>
          <w:rFonts w:hint="eastAsia" w:ascii="仿宋" w:hAnsi="仿宋" w:eastAsia="仿宋" w:cs="FangSong_GB2312"/>
          <w:color w:val="auto"/>
          <w:kern w:val="0"/>
          <w:sz w:val="24"/>
          <w:highlight w:val="none"/>
          <w:lang w:val="zh-CN"/>
        </w:rPr>
        <w:t>消耗品、维修零配件购买价格清单…………………………</w:t>
      </w:r>
      <w:r>
        <w:rPr>
          <w:rFonts w:hint="eastAsia" w:ascii="仿宋" w:hAnsi="仿宋" w:eastAsia="仿宋" w:cs="FangSong_GB2312"/>
          <w:color w:val="auto"/>
          <w:highlight w:val="none"/>
        </w:rPr>
        <w:t>…………</w:t>
      </w:r>
      <w:r>
        <w:rPr>
          <w:rFonts w:hint="eastAsia" w:ascii="仿宋" w:hAnsi="仿宋" w:eastAsia="仿宋" w:cs="FangSong_GB2312"/>
          <w:color w:val="auto"/>
          <w:kern w:val="0"/>
          <w:sz w:val="24"/>
          <w:highlight w:val="none"/>
          <w:lang w:val="zh-CN"/>
        </w:rPr>
        <w:t>…</w:t>
      </w:r>
      <w:r>
        <w:rPr>
          <w:rFonts w:hint="eastAsia" w:ascii="仿宋" w:hAnsi="仿宋" w:eastAsia="仿宋" w:cs="FangSong_GB2312"/>
          <w:color w:val="auto"/>
          <w:kern w:val="0"/>
          <w:sz w:val="24"/>
          <w:highlight w:val="none"/>
        </w:rPr>
        <w:t>（页码）</w:t>
      </w:r>
    </w:p>
    <w:p>
      <w:pPr>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lang w:val="zh-CN"/>
        </w:rPr>
        <w:t>（22）培训计划………………………………………………………</w:t>
      </w:r>
      <w:r>
        <w:rPr>
          <w:rFonts w:hint="eastAsia" w:ascii="仿宋" w:hAnsi="仿宋" w:eastAsia="仿宋" w:cs="FangSong_GB2312"/>
          <w:color w:val="auto"/>
          <w:highlight w:val="none"/>
        </w:rPr>
        <w:t>…………</w:t>
      </w:r>
      <w:r>
        <w:rPr>
          <w:rFonts w:hint="eastAsia" w:ascii="仿宋" w:hAnsi="仿宋" w:eastAsia="仿宋" w:cs="FangSong_GB2312"/>
          <w:color w:val="auto"/>
          <w:kern w:val="0"/>
          <w:sz w:val="24"/>
          <w:highlight w:val="none"/>
          <w:lang w:val="zh-CN"/>
        </w:rPr>
        <w:t>…</w:t>
      </w:r>
      <w:r>
        <w:rPr>
          <w:rFonts w:hint="eastAsia" w:ascii="仿宋" w:hAnsi="仿宋" w:eastAsia="仿宋" w:cs="FangSong_GB2312"/>
          <w:color w:val="auto"/>
          <w:kern w:val="0"/>
          <w:sz w:val="24"/>
          <w:highlight w:val="none"/>
        </w:rPr>
        <w:t>（页码）</w:t>
      </w:r>
    </w:p>
    <w:p>
      <w:pPr>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（23）</w:t>
      </w:r>
      <w:r>
        <w:rPr>
          <w:rFonts w:hint="eastAsia" w:ascii="仿宋" w:hAnsi="仿宋" w:eastAsia="仿宋" w:cs="FangSong_GB2312"/>
          <w:color w:val="auto"/>
          <w:kern w:val="0"/>
          <w:sz w:val="24"/>
          <w:highlight w:val="none"/>
          <w:lang w:val="zh-CN"/>
        </w:rPr>
        <w:t>验收方案…………………………………………………………</w:t>
      </w:r>
      <w:r>
        <w:rPr>
          <w:rFonts w:hint="eastAsia" w:ascii="仿宋" w:hAnsi="仿宋" w:eastAsia="仿宋" w:cs="FangSong_GB2312"/>
          <w:color w:val="auto"/>
          <w:highlight w:val="none"/>
        </w:rPr>
        <w:t>…………</w:t>
      </w:r>
      <w:r>
        <w:rPr>
          <w:rFonts w:hint="eastAsia" w:ascii="仿宋" w:hAnsi="仿宋" w:eastAsia="仿宋" w:cs="FangSong_GB2312"/>
          <w:color w:val="auto"/>
          <w:kern w:val="0"/>
          <w:sz w:val="24"/>
          <w:highlight w:val="none"/>
        </w:rPr>
        <w:t>（页码）</w:t>
      </w:r>
    </w:p>
    <w:p>
      <w:pPr>
        <w:spacing w:line="360" w:lineRule="auto"/>
        <w:rPr>
          <w:rFonts w:ascii="仿宋" w:hAnsi="仿宋" w:eastAsia="仿宋" w:cs="FangSong_GB2312"/>
          <w:b/>
          <w:bCs/>
          <w:color w:val="auto"/>
          <w:sz w:val="24"/>
          <w:highlight w:val="none"/>
        </w:rPr>
      </w:pPr>
      <w:r>
        <w:rPr>
          <w:rFonts w:hint="eastAsia" w:ascii="仿宋" w:hAnsi="仿宋" w:eastAsia="仿宋" w:cs="FangSong_GB2312"/>
          <w:color w:val="auto"/>
          <w:kern w:val="0"/>
          <w:sz w:val="24"/>
          <w:highlight w:val="none"/>
        </w:rPr>
        <w:t>（24）</w:t>
      </w:r>
      <w:r>
        <w:rPr>
          <w:rFonts w:hint="eastAsia" w:ascii="仿宋" w:hAnsi="仿宋" w:eastAsia="仿宋" w:cs="FangSong_GB2312"/>
          <w:color w:val="auto"/>
          <w:kern w:val="0"/>
          <w:sz w:val="24"/>
          <w:highlight w:val="none"/>
          <w:lang w:val="zh-CN"/>
        </w:rPr>
        <w:t>认为需要的其他商务技术（资信）文件或说明……………………</w:t>
      </w:r>
      <w:r>
        <w:rPr>
          <w:rFonts w:hint="eastAsia" w:ascii="仿宋" w:hAnsi="仿宋" w:eastAsia="仿宋" w:cs="FangSong_GB2312"/>
          <w:color w:val="auto"/>
          <w:highlight w:val="none"/>
        </w:rPr>
        <w:t>…</w:t>
      </w:r>
      <w:r>
        <w:rPr>
          <w:rFonts w:hint="eastAsia" w:ascii="仿宋" w:hAnsi="仿宋" w:eastAsia="仿宋" w:cs="FangSong_GB2312"/>
          <w:color w:val="auto"/>
          <w:kern w:val="0"/>
          <w:sz w:val="24"/>
          <w:highlight w:val="none"/>
          <w:lang w:val="zh-CN"/>
        </w:rPr>
        <w:t>…</w:t>
      </w:r>
      <w:r>
        <w:rPr>
          <w:rFonts w:hint="eastAsia" w:ascii="仿宋" w:hAnsi="仿宋" w:eastAsia="仿宋" w:cs="FangSong_GB2312"/>
          <w:color w:val="auto"/>
          <w:kern w:val="0"/>
          <w:sz w:val="24"/>
          <w:highlight w:val="none"/>
        </w:rPr>
        <w:t>（页码）</w:t>
      </w:r>
    </w:p>
    <w:p>
      <w:pPr>
        <w:spacing w:line="360" w:lineRule="auto"/>
        <w:rPr>
          <w:rFonts w:ascii="仿宋" w:hAnsi="仿宋" w:eastAsia="仿宋" w:cs="FangSong_GB2312"/>
          <w:b/>
          <w:bCs/>
          <w:color w:val="auto"/>
          <w:sz w:val="24"/>
          <w:highlight w:val="none"/>
        </w:rPr>
      </w:pPr>
      <w:r>
        <w:rPr>
          <w:rFonts w:hint="eastAsia" w:ascii="仿宋" w:hAnsi="仿宋" w:eastAsia="仿宋" w:cs="FangSong_GB2312"/>
          <w:b/>
          <w:bCs/>
          <w:color w:val="auto"/>
          <w:sz w:val="24"/>
          <w:highlight w:val="none"/>
        </w:rPr>
        <w:t>注：以上目录是基本格式要求，各投标人可根据自身情况进一步细化。</w:t>
      </w:r>
    </w:p>
    <w:p>
      <w:pPr>
        <w:pageBreakBefore/>
        <w:spacing w:line="800" w:lineRule="exact"/>
        <w:rPr>
          <w:rFonts w:ascii="仿宋" w:hAnsi="仿宋" w:eastAsia="仿宋"/>
          <w:b/>
          <w:color w:val="auto"/>
          <w:sz w:val="30"/>
          <w:szCs w:val="30"/>
          <w:highlight w:val="none"/>
        </w:rPr>
      </w:pPr>
      <w:r>
        <w:rPr>
          <w:rFonts w:hint="eastAsia" w:ascii="仿宋" w:hAnsi="仿宋" w:eastAsia="仿宋"/>
          <w:b/>
          <w:color w:val="auto"/>
          <w:sz w:val="30"/>
          <w:szCs w:val="30"/>
          <w:highlight w:val="none"/>
        </w:rPr>
        <w:t xml:space="preserve">1、法定代表人授权委托书（格式） </w:t>
      </w:r>
    </w:p>
    <w:p>
      <w:pPr>
        <w:jc w:val="center"/>
        <w:rPr>
          <w:rFonts w:ascii="仿宋" w:hAnsi="仿宋" w:eastAsia="仿宋"/>
          <w:b/>
          <w:color w:val="auto"/>
          <w:sz w:val="24"/>
          <w:highlight w:val="none"/>
        </w:rPr>
      </w:pPr>
    </w:p>
    <w:p>
      <w:pPr>
        <w:snapToGrid w:val="0"/>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本授权委托书声明：我</w:t>
      </w:r>
      <w:r>
        <w:rPr>
          <w:rFonts w:hint="eastAsia" w:ascii="仿宋" w:hAnsi="仿宋" w:eastAsia="仿宋"/>
          <w:color w:val="auto"/>
          <w:sz w:val="24"/>
          <w:highlight w:val="none"/>
          <w:u w:val="single"/>
        </w:rPr>
        <w:t xml:space="preserve">         (填写姓名)</w:t>
      </w: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（填写投标人单位全称）</w:t>
      </w:r>
      <w:r>
        <w:rPr>
          <w:rFonts w:hint="eastAsia" w:ascii="仿宋" w:hAnsi="仿宋" w:eastAsia="仿宋"/>
          <w:color w:val="auto"/>
          <w:sz w:val="24"/>
          <w:highlight w:val="none"/>
        </w:rPr>
        <w:t>的法定代表人，现授权委托</w:t>
      </w:r>
      <w:r>
        <w:rPr>
          <w:rFonts w:hint="eastAsia" w:ascii="仿宋" w:hAnsi="仿宋" w:eastAsia="仿宋"/>
          <w:color w:val="auto"/>
          <w:sz w:val="24"/>
          <w:highlight w:val="none"/>
          <w:u w:val="single"/>
        </w:rPr>
        <w:t xml:space="preserve">                  （填写单位全称）</w:t>
      </w:r>
      <w:r>
        <w:rPr>
          <w:rFonts w:hint="eastAsia" w:ascii="仿宋" w:hAnsi="仿宋" w:eastAsia="仿宋"/>
          <w:color w:val="auto"/>
          <w:sz w:val="24"/>
          <w:highlight w:val="none"/>
        </w:rPr>
        <w:t>的（填写姓名）为我公司授权代表，</w:t>
      </w:r>
      <w:r>
        <w:rPr>
          <w:rFonts w:hint="eastAsia" w:ascii="仿宋" w:hAnsi="仿宋" w:eastAsia="仿宋"/>
          <w:color w:val="auto"/>
          <w:sz w:val="24"/>
          <w:highlight w:val="none"/>
          <w:u w:val="single"/>
        </w:rPr>
        <w:t>（填写身份证号码：                       ）</w:t>
      </w:r>
      <w:r>
        <w:rPr>
          <w:rFonts w:hint="eastAsia" w:ascii="仿宋" w:hAnsi="仿宋" w:eastAsia="仿宋"/>
          <w:color w:val="auto"/>
          <w:sz w:val="24"/>
          <w:highlight w:val="none"/>
        </w:rPr>
        <w:t>。以本公司的名义参加</w:t>
      </w:r>
      <w:r>
        <w:rPr>
          <w:rFonts w:hint="eastAsia" w:ascii="仿宋" w:hAnsi="仿宋" w:eastAsia="仿宋"/>
          <w:color w:val="auto"/>
          <w:sz w:val="24"/>
          <w:highlight w:val="none"/>
          <w:u w:val="single"/>
          <w:lang w:eastAsia="zh-CN"/>
        </w:rPr>
        <w:t>绍兴市中医院</w:t>
      </w:r>
      <w:r>
        <w:rPr>
          <w:rFonts w:hint="eastAsia" w:ascii="仿宋" w:hAnsi="仿宋" w:eastAsia="仿宋"/>
          <w:color w:val="auto"/>
          <w:sz w:val="24"/>
          <w:highlight w:val="none"/>
          <w:u w:val="single"/>
        </w:rPr>
        <w:t>、泰宇建筑工程技术咨询有限公司</w:t>
      </w:r>
      <w:r>
        <w:rPr>
          <w:rFonts w:hint="eastAsia" w:ascii="仿宋" w:hAnsi="仿宋" w:eastAsia="仿宋"/>
          <w:color w:val="auto"/>
          <w:sz w:val="24"/>
          <w:highlight w:val="none"/>
        </w:rPr>
        <w:t>组织的</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授权代表无转委托权。特此委托。</w:t>
      </w:r>
    </w:p>
    <w:p>
      <w:pPr>
        <w:snapToGrid w:val="0"/>
        <w:spacing w:line="600" w:lineRule="exact"/>
        <w:jc w:val="left"/>
        <w:rPr>
          <w:rFonts w:ascii="仿宋" w:hAnsi="仿宋" w:eastAsia="仿宋"/>
          <w:color w:val="auto"/>
          <w:sz w:val="24"/>
          <w:highlight w:val="none"/>
        </w:rPr>
      </w:pPr>
    </w:p>
    <w:p>
      <w:pPr>
        <w:spacing w:line="360" w:lineRule="exact"/>
        <w:rPr>
          <w:rFonts w:ascii="仿宋" w:hAnsi="仿宋" w:eastAsia="仿宋"/>
          <w:color w:val="auto"/>
          <w:sz w:val="24"/>
          <w:highlight w:val="none"/>
        </w:rPr>
      </w:pPr>
      <w:r>
        <w:rPr>
          <w:rFonts w:hint="eastAsia" w:ascii="仿宋" w:hAnsi="仿宋" w:eastAsia="仿宋"/>
          <w:color w:val="auto"/>
          <w:sz w:val="24"/>
          <w:highlight w:val="none"/>
        </w:rPr>
        <w:t>授权代表姓名：              性别：               年龄：</w:t>
      </w:r>
    </w:p>
    <w:p>
      <w:pPr>
        <w:spacing w:line="360" w:lineRule="exact"/>
        <w:rPr>
          <w:rFonts w:ascii="仿宋" w:hAnsi="仿宋" w:eastAsia="仿宋"/>
          <w:color w:val="auto"/>
          <w:sz w:val="24"/>
          <w:highlight w:val="none"/>
        </w:rPr>
      </w:pPr>
    </w:p>
    <w:p>
      <w:pPr>
        <w:spacing w:line="360" w:lineRule="exact"/>
        <w:rPr>
          <w:rFonts w:ascii="仿宋" w:hAnsi="仿宋" w:eastAsia="仿宋"/>
          <w:color w:val="auto"/>
          <w:sz w:val="24"/>
          <w:highlight w:val="none"/>
        </w:rPr>
      </w:pPr>
      <w:r>
        <w:rPr>
          <w:rFonts w:hint="eastAsia" w:ascii="仿宋" w:hAnsi="仿宋" w:eastAsia="仿宋"/>
          <w:color w:val="auto"/>
          <w:sz w:val="24"/>
          <w:highlight w:val="none"/>
        </w:rPr>
        <w:t>单位：                      部门：               职务：</w:t>
      </w:r>
    </w:p>
    <w:p>
      <w:pPr>
        <w:spacing w:line="360" w:lineRule="exact"/>
        <w:rPr>
          <w:rFonts w:ascii="仿宋" w:hAnsi="仿宋" w:eastAsia="仿宋"/>
          <w:color w:val="auto"/>
          <w:sz w:val="24"/>
          <w:highlight w:val="none"/>
        </w:rPr>
      </w:pPr>
    </w:p>
    <w:p>
      <w:pPr>
        <w:widowControl/>
        <w:snapToGrid w:val="0"/>
        <w:spacing w:line="440" w:lineRule="exact"/>
        <w:rPr>
          <w:rFonts w:ascii="仿宋" w:hAnsi="仿宋" w:eastAsia="仿宋"/>
          <w:color w:val="auto"/>
          <w:sz w:val="24"/>
          <w:highlight w:val="none"/>
        </w:rPr>
      </w:pPr>
      <w:r>
        <w:rPr>
          <w:rFonts w:hint="eastAsia" w:ascii="仿宋" w:hAnsi="仿宋" w:eastAsia="仿宋"/>
          <w:color w:val="auto"/>
          <w:kern w:val="0"/>
          <w:sz w:val="24"/>
          <w:highlight w:val="none"/>
        </w:rPr>
        <w:t>办公地址：                  联系电话：           传真：</w:t>
      </w:r>
    </w:p>
    <w:p>
      <w:pPr>
        <w:spacing w:line="360" w:lineRule="exact"/>
        <w:rPr>
          <w:rFonts w:ascii="仿宋" w:hAnsi="仿宋" w:eastAsia="仿宋"/>
          <w:color w:val="auto"/>
          <w:sz w:val="24"/>
          <w:highlight w:val="none"/>
        </w:rPr>
      </w:pPr>
    </w:p>
    <w:p>
      <w:pPr>
        <w:spacing w:line="360" w:lineRule="exact"/>
        <w:rPr>
          <w:rFonts w:ascii="仿宋" w:hAnsi="仿宋" w:eastAsia="仿宋"/>
          <w:color w:val="auto"/>
          <w:sz w:val="24"/>
          <w:highlight w:val="none"/>
        </w:rPr>
      </w:pPr>
    </w:p>
    <w:p>
      <w:pPr>
        <w:spacing w:line="360" w:lineRule="exact"/>
        <w:rPr>
          <w:rFonts w:ascii="仿宋" w:hAnsi="仿宋" w:eastAsia="仿宋"/>
          <w:color w:val="auto"/>
          <w:sz w:val="24"/>
          <w:highlight w:val="none"/>
        </w:rPr>
      </w:pPr>
      <w:r>
        <w:rPr>
          <w:rFonts w:hint="eastAsia" w:ascii="仿宋" w:hAnsi="仿宋" w:eastAsia="仿宋"/>
          <w:color w:val="auto"/>
          <w:sz w:val="24"/>
          <w:highlight w:val="none"/>
        </w:rPr>
        <w:t>投标人名称（盖章）：</w:t>
      </w:r>
    </w:p>
    <w:p>
      <w:pPr>
        <w:spacing w:line="360" w:lineRule="exact"/>
        <w:rPr>
          <w:rFonts w:ascii="仿宋" w:hAnsi="仿宋" w:eastAsia="仿宋"/>
          <w:color w:val="auto"/>
          <w:sz w:val="24"/>
          <w:highlight w:val="none"/>
        </w:rPr>
      </w:pPr>
    </w:p>
    <w:p>
      <w:pPr>
        <w:spacing w:line="360" w:lineRule="exact"/>
        <w:rPr>
          <w:rFonts w:ascii="仿宋" w:hAnsi="仿宋" w:eastAsia="仿宋"/>
          <w:color w:val="auto"/>
          <w:sz w:val="24"/>
          <w:highlight w:val="none"/>
        </w:rPr>
      </w:pPr>
    </w:p>
    <w:p>
      <w:pPr>
        <w:spacing w:line="360" w:lineRule="exact"/>
        <w:rPr>
          <w:rFonts w:ascii="仿宋" w:hAnsi="仿宋" w:eastAsia="仿宋"/>
          <w:color w:val="auto"/>
          <w:sz w:val="24"/>
          <w:highlight w:val="none"/>
        </w:rPr>
      </w:pPr>
      <w:r>
        <w:rPr>
          <w:rFonts w:hint="eastAsia" w:ascii="仿宋" w:hAnsi="仿宋" w:eastAsia="仿宋"/>
          <w:color w:val="auto"/>
          <w:sz w:val="24"/>
          <w:highlight w:val="none"/>
        </w:rPr>
        <w:t>法定代表人（签字或盖章）：</w:t>
      </w:r>
    </w:p>
    <w:p>
      <w:pPr>
        <w:spacing w:line="360" w:lineRule="exact"/>
        <w:rPr>
          <w:rFonts w:ascii="仿宋" w:hAnsi="仿宋" w:eastAsia="仿宋"/>
          <w:color w:val="auto"/>
          <w:sz w:val="24"/>
          <w:highlight w:val="none"/>
        </w:rPr>
      </w:pPr>
    </w:p>
    <w:p>
      <w:pPr>
        <w:spacing w:line="360" w:lineRule="exact"/>
        <w:rPr>
          <w:rFonts w:ascii="仿宋" w:hAnsi="仿宋" w:eastAsia="仿宋"/>
          <w:color w:val="auto"/>
          <w:sz w:val="24"/>
          <w:highlight w:val="none"/>
        </w:rPr>
      </w:pPr>
    </w:p>
    <w:p>
      <w:pPr>
        <w:ind w:firstLine="5280" w:firstLineChars="2200"/>
        <w:jc w:val="left"/>
        <w:rPr>
          <w:rFonts w:ascii="仿宋" w:hAnsi="仿宋" w:eastAsia="仿宋"/>
          <w:color w:val="auto"/>
          <w:sz w:val="24"/>
          <w:highlight w:val="none"/>
        </w:rPr>
      </w:pPr>
      <w:r>
        <w:rPr>
          <w:rFonts w:hint="eastAsia" w:ascii="仿宋" w:hAnsi="仿宋" w:eastAsia="仿宋"/>
          <w:color w:val="auto"/>
          <w:sz w:val="24"/>
          <w:highlight w:val="none"/>
        </w:rPr>
        <w:t>日期：    年   月   日</w:t>
      </w:r>
    </w:p>
    <w:p>
      <w:pPr>
        <w:ind w:firstLine="4920" w:firstLineChars="2050"/>
        <w:jc w:val="left"/>
        <w:rPr>
          <w:rFonts w:ascii="仿宋" w:hAnsi="仿宋" w:eastAsia="仿宋"/>
          <w:color w:val="auto"/>
          <w:sz w:val="24"/>
          <w:highlight w:val="none"/>
        </w:rPr>
      </w:pPr>
    </w:p>
    <w:p>
      <w:pPr>
        <w:spacing w:line="800" w:lineRule="exact"/>
        <w:rPr>
          <w:rFonts w:ascii="仿宋" w:hAnsi="仿宋" w:eastAsia="仿宋"/>
          <w:b/>
          <w:color w:val="auto"/>
          <w:sz w:val="24"/>
          <w:highlight w:val="none"/>
        </w:rPr>
      </w:pPr>
    </w:p>
    <w:p>
      <w:pPr>
        <w:pageBreakBefore/>
        <w:spacing w:line="800" w:lineRule="exact"/>
        <w:rPr>
          <w:rFonts w:ascii="仿宋" w:hAnsi="仿宋" w:eastAsia="仿宋"/>
          <w:b/>
          <w:color w:val="auto"/>
          <w:sz w:val="30"/>
          <w:szCs w:val="30"/>
          <w:highlight w:val="none"/>
        </w:rPr>
      </w:pPr>
      <w:r>
        <w:rPr>
          <w:rFonts w:hint="eastAsia" w:ascii="仿宋" w:hAnsi="仿宋" w:eastAsia="仿宋"/>
          <w:b/>
          <w:color w:val="auto"/>
          <w:sz w:val="30"/>
          <w:szCs w:val="30"/>
          <w:highlight w:val="none"/>
        </w:rPr>
        <w:t>2、授权代表社保证明（复印件）</w:t>
      </w:r>
    </w:p>
    <w:p>
      <w:pPr>
        <w:spacing w:line="800" w:lineRule="exact"/>
        <w:ind w:firstLine="480" w:firstLineChars="200"/>
        <w:rPr>
          <w:rFonts w:ascii="仿宋" w:hAnsi="仿宋" w:eastAsia="仿宋"/>
          <w:color w:val="auto"/>
          <w:sz w:val="24"/>
          <w:highlight w:val="none"/>
          <w:u w:val="wave"/>
        </w:rPr>
      </w:pPr>
      <w:r>
        <w:rPr>
          <w:rFonts w:hint="eastAsia" w:ascii="仿宋" w:hAnsi="仿宋" w:eastAsia="仿宋"/>
          <w:color w:val="auto"/>
          <w:sz w:val="24"/>
          <w:highlight w:val="none"/>
          <w:u w:val="wave"/>
        </w:rPr>
        <w:t>出具距投标截止时间一个月以内的社保机构盖公章的授权代表社保缴纳证明（如授权代表为</w:t>
      </w:r>
      <w:r>
        <w:rPr>
          <w:rFonts w:ascii="仿宋" w:hAnsi="仿宋" w:eastAsia="仿宋"/>
          <w:color w:val="auto"/>
          <w:sz w:val="24"/>
          <w:highlight w:val="none"/>
          <w:u w:val="wave"/>
        </w:rPr>
        <w:t>离退休返聘人员的，投标响应文件技术部分内</w:t>
      </w:r>
      <w:r>
        <w:rPr>
          <w:rFonts w:hint="eastAsia" w:ascii="仿宋" w:hAnsi="仿宋" w:eastAsia="仿宋"/>
          <w:color w:val="auto"/>
          <w:sz w:val="24"/>
          <w:highlight w:val="none"/>
          <w:u w:val="wave"/>
        </w:rPr>
        <w:t>需提供</w:t>
      </w:r>
      <w:r>
        <w:rPr>
          <w:rFonts w:ascii="仿宋" w:hAnsi="仿宋" w:eastAsia="仿宋"/>
          <w:color w:val="auto"/>
          <w:sz w:val="24"/>
          <w:highlight w:val="none"/>
          <w:u w:val="wave"/>
        </w:rPr>
        <w:t>退休证明及单位聘用证明</w:t>
      </w:r>
      <w:r>
        <w:rPr>
          <w:rFonts w:hint="eastAsia" w:ascii="仿宋" w:hAnsi="仿宋" w:eastAsia="仿宋"/>
          <w:color w:val="auto"/>
          <w:sz w:val="24"/>
          <w:highlight w:val="none"/>
          <w:u w:val="wave"/>
        </w:rPr>
        <w:t>；如由第三方代理社保事项的，则需提供加盖投标人公章的委托代理协议复印件），格式自拟。</w:t>
      </w:r>
      <w:r>
        <w:rPr>
          <w:rFonts w:ascii="仿宋" w:hAnsi="仿宋" w:eastAsia="仿宋"/>
          <w:b/>
          <w:color w:val="auto"/>
          <w:sz w:val="24"/>
          <w:highlight w:val="none"/>
        </w:rPr>
        <w:t>未提供</w:t>
      </w:r>
      <w:r>
        <w:rPr>
          <w:rFonts w:hint="eastAsia" w:ascii="仿宋" w:hAnsi="仿宋" w:eastAsia="仿宋"/>
          <w:b/>
          <w:color w:val="auto"/>
          <w:sz w:val="24"/>
          <w:highlight w:val="none"/>
        </w:rPr>
        <w:t>上述</w:t>
      </w:r>
      <w:r>
        <w:rPr>
          <w:rFonts w:ascii="仿宋" w:hAnsi="仿宋" w:eastAsia="仿宋"/>
          <w:b/>
          <w:color w:val="auto"/>
          <w:sz w:val="24"/>
          <w:highlight w:val="none"/>
        </w:rPr>
        <w:t>证明的投标</w:t>
      </w:r>
      <w:r>
        <w:rPr>
          <w:rFonts w:hint="eastAsia" w:ascii="仿宋" w:hAnsi="仿宋" w:eastAsia="仿宋"/>
          <w:b/>
          <w:color w:val="auto"/>
          <w:sz w:val="24"/>
          <w:highlight w:val="none"/>
        </w:rPr>
        <w:t>做无效投标处理</w:t>
      </w:r>
      <w:r>
        <w:rPr>
          <w:rFonts w:ascii="仿宋" w:hAnsi="仿宋" w:eastAsia="仿宋"/>
          <w:b/>
          <w:color w:val="auto"/>
          <w:sz w:val="24"/>
          <w:highlight w:val="none"/>
        </w:rPr>
        <w:t>。</w:t>
      </w:r>
    </w:p>
    <w:p>
      <w:pPr>
        <w:spacing w:line="800" w:lineRule="exact"/>
        <w:ind w:firstLine="4320" w:firstLineChars="1800"/>
        <w:rPr>
          <w:rFonts w:ascii="仿宋" w:hAnsi="仿宋" w:eastAsia="仿宋"/>
          <w:color w:val="auto"/>
          <w:sz w:val="24"/>
          <w:highlight w:val="none"/>
        </w:rPr>
      </w:pPr>
    </w:p>
    <w:p>
      <w:pPr>
        <w:spacing w:line="800" w:lineRule="exact"/>
        <w:ind w:firstLine="4337" w:firstLineChars="1800"/>
        <w:rPr>
          <w:rFonts w:ascii="仿宋" w:hAnsi="仿宋" w:eastAsia="仿宋"/>
          <w:b/>
          <w:color w:val="auto"/>
          <w:sz w:val="24"/>
          <w:highlight w:val="none"/>
        </w:rPr>
      </w:pPr>
    </w:p>
    <w:p>
      <w:pPr>
        <w:spacing w:line="800" w:lineRule="exact"/>
        <w:rPr>
          <w:rFonts w:ascii="仿宋" w:hAnsi="仿宋" w:eastAsia="仿宋"/>
          <w:b/>
          <w:color w:val="auto"/>
          <w:sz w:val="30"/>
          <w:szCs w:val="30"/>
          <w:highlight w:val="none"/>
        </w:rPr>
      </w:pPr>
      <w:r>
        <w:rPr>
          <w:rFonts w:hint="eastAsia" w:ascii="仿宋" w:hAnsi="仿宋" w:eastAsia="仿宋"/>
          <w:b/>
          <w:color w:val="auto"/>
          <w:sz w:val="30"/>
          <w:szCs w:val="30"/>
          <w:highlight w:val="none"/>
        </w:rPr>
        <w:t>3、法定代表人及其授权代表身份证复印件（正反面）</w:t>
      </w:r>
    </w:p>
    <w:p>
      <w:pPr>
        <w:spacing w:line="800" w:lineRule="exact"/>
        <w:rPr>
          <w:rFonts w:ascii="仿宋" w:hAnsi="仿宋" w:eastAsia="仿宋"/>
          <w:b/>
          <w:color w:val="auto"/>
          <w:sz w:val="24"/>
          <w:highlight w:val="none"/>
        </w:rPr>
      </w:pPr>
    </w:p>
    <w:p>
      <w:pPr>
        <w:spacing w:line="800" w:lineRule="exact"/>
        <w:rPr>
          <w:rFonts w:ascii="仿宋" w:hAnsi="仿宋" w:eastAsia="仿宋"/>
          <w:b/>
          <w:color w:val="auto"/>
          <w:sz w:val="30"/>
          <w:szCs w:val="30"/>
          <w:highlight w:val="none"/>
        </w:rPr>
      </w:pPr>
      <w:r>
        <w:rPr>
          <w:rFonts w:hint="eastAsia" w:ascii="仿宋" w:hAnsi="仿宋" w:eastAsia="仿宋"/>
          <w:b/>
          <w:color w:val="auto"/>
          <w:sz w:val="30"/>
          <w:szCs w:val="30"/>
          <w:highlight w:val="none"/>
        </w:rPr>
        <w:t>4、法定代表人身份证明书(格式)</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投 标 人：</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地    址：</w:t>
      </w:r>
    </w:p>
    <w:p>
      <w:pPr>
        <w:spacing w:line="440" w:lineRule="exact"/>
        <w:ind w:right="281" w:rightChars="134"/>
        <w:rPr>
          <w:rFonts w:ascii="仿宋" w:hAnsi="仿宋" w:eastAsia="仿宋"/>
          <w:color w:val="auto"/>
          <w:sz w:val="24"/>
          <w:highlight w:val="none"/>
          <w:u w:val="single"/>
        </w:rPr>
      </w:pPr>
      <w:r>
        <w:rPr>
          <w:rFonts w:hint="eastAsia" w:ascii="仿宋" w:hAnsi="仿宋" w:eastAsia="仿宋"/>
          <w:color w:val="auto"/>
          <w:sz w:val="24"/>
          <w:highlight w:val="none"/>
        </w:rPr>
        <w:t>姓    名：</w:t>
      </w:r>
    </w:p>
    <w:p>
      <w:pPr>
        <w:spacing w:line="440" w:lineRule="exact"/>
        <w:ind w:right="281" w:rightChars="134"/>
        <w:rPr>
          <w:rFonts w:ascii="仿宋" w:hAnsi="仿宋" w:eastAsia="仿宋"/>
          <w:color w:val="auto"/>
          <w:sz w:val="24"/>
          <w:highlight w:val="none"/>
          <w:u w:val="single"/>
        </w:rPr>
      </w:pPr>
      <w:r>
        <w:rPr>
          <w:rFonts w:hint="eastAsia" w:ascii="仿宋" w:hAnsi="仿宋" w:eastAsia="仿宋"/>
          <w:color w:val="auto"/>
          <w:sz w:val="24"/>
          <w:highlight w:val="none"/>
        </w:rPr>
        <w:t>身份证号码：</w:t>
      </w:r>
    </w:p>
    <w:p>
      <w:pPr>
        <w:spacing w:line="440" w:lineRule="exact"/>
        <w:ind w:right="281" w:rightChars="134"/>
        <w:rPr>
          <w:rFonts w:ascii="仿宋" w:hAnsi="仿宋" w:eastAsia="仿宋"/>
          <w:color w:val="auto"/>
          <w:sz w:val="24"/>
          <w:highlight w:val="none"/>
        </w:rPr>
      </w:pPr>
      <w:r>
        <w:rPr>
          <w:rFonts w:hint="eastAsia" w:ascii="仿宋" w:hAnsi="仿宋" w:eastAsia="仿宋"/>
          <w:color w:val="auto"/>
          <w:sz w:val="24"/>
          <w:highlight w:val="none"/>
        </w:rPr>
        <w:t>职   务：</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（填写投标人名称）</w:t>
      </w:r>
      <w:r>
        <w:rPr>
          <w:rFonts w:hint="eastAsia" w:ascii="仿宋" w:hAnsi="仿宋" w:eastAsia="仿宋"/>
          <w:color w:val="auto"/>
          <w:sz w:val="24"/>
          <w:highlight w:val="none"/>
        </w:rPr>
        <w:t>的法定代表人。</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特此证明。</w:t>
      </w:r>
    </w:p>
    <w:p>
      <w:pPr>
        <w:spacing w:line="440" w:lineRule="exact"/>
        <w:rPr>
          <w:rFonts w:ascii="仿宋" w:hAnsi="仿宋" w:eastAsia="仿宋"/>
          <w:color w:val="auto"/>
          <w:sz w:val="24"/>
          <w:highlight w:val="none"/>
        </w:rPr>
      </w:pP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投标人：                             （盖章）</w:t>
      </w:r>
    </w:p>
    <w:p>
      <w:pPr>
        <w:spacing w:line="440" w:lineRule="exact"/>
        <w:ind w:right="480"/>
        <w:rPr>
          <w:rFonts w:ascii="仿宋" w:hAnsi="仿宋" w:eastAsia="仿宋"/>
          <w:color w:val="auto"/>
          <w:sz w:val="24"/>
          <w:highlight w:val="none"/>
        </w:rPr>
      </w:pPr>
    </w:p>
    <w:p>
      <w:pPr>
        <w:wordWrap w:val="0"/>
        <w:spacing w:line="440" w:lineRule="exact"/>
        <w:ind w:right="720"/>
        <w:jc w:val="right"/>
        <w:rPr>
          <w:rFonts w:ascii="仿宋" w:hAnsi="仿宋" w:eastAsia="仿宋"/>
          <w:color w:val="auto"/>
          <w:sz w:val="24"/>
          <w:highlight w:val="none"/>
        </w:rPr>
      </w:pPr>
      <w:r>
        <w:rPr>
          <w:rFonts w:hint="eastAsia" w:ascii="仿宋" w:hAnsi="仿宋" w:eastAsia="仿宋"/>
          <w:color w:val="auto"/>
          <w:sz w:val="24"/>
          <w:highlight w:val="none"/>
        </w:rPr>
        <w:t>年月日</w:t>
      </w:r>
    </w:p>
    <w:p>
      <w:pPr>
        <w:spacing w:line="360" w:lineRule="auto"/>
        <w:jc w:val="center"/>
        <w:rPr>
          <w:rFonts w:ascii="仿宋" w:hAnsi="仿宋" w:eastAsia="仿宋"/>
          <w:b/>
          <w:color w:val="auto"/>
          <w:sz w:val="30"/>
          <w:szCs w:val="30"/>
          <w:highlight w:val="none"/>
        </w:rPr>
      </w:pPr>
    </w:p>
    <w:p>
      <w:pPr>
        <w:pageBreakBefore/>
        <w:spacing w:line="360" w:lineRule="auto"/>
        <w:rPr>
          <w:rFonts w:ascii="仿宋" w:hAnsi="仿宋" w:eastAsia="仿宋" w:cs="FangSong_GB2312"/>
          <w:b/>
          <w:color w:val="auto"/>
          <w:sz w:val="30"/>
          <w:szCs w:val="30"/>
          <w:highlight w:val="none"/>
        </w:rPr>
      </w:pPr>
      <w:r>
        <w:rPr>
          <w:rFonts w:hint="eastAsia" w:ascii="仿宋" w:hAnsi="仿宋" w:eastAsia="仿宋"/>
          <w:b/>
          <w:color w:val="auto"/>
          <w:sz w:val="30"/>
          <w:szCs w:val="30"/>
          <w:highlight w:val="none"/>
        </w:rPr>
        <w:t>5</w:t>
      </w:r>
      <w:r>
        <w:rPr>
          <w:rFonts w:hint="eastAsia" w:ascii="仿宋" w:hAnsi="仿宋" w:eastAsia="仿宋" w:cs="FangSong_GB2312"/>
          <w:b/>
          <w:color w:val="auto"/>
          <w:kern w:val="0"/>
          <w:sz w:val="30"/>
          <w:szCs w:val="30"/>
          <w:highlight w:val="none"/>
          <w:lang w:val="zh-CN"/>
        </w:rPr>
        <w:t>、</w:t>
      </w:r>
      <w:r>
        <w:rPr>
          <w:rFonts w:hint="eastAsia" w:ascii="仿宋" w:hAnsi="仿宋" w:eastAsia="仿宋" w:cs="FangSong_GB2312"/>
          <w:b/>
          <w:color w:val="auto"/>
          <w:sz w:val="30"/>
          <w:szCs w:val="30"/>
          <w:highlight w:val="none"/>
        </w:rPr>
        <w:t>营业执照（或事业法人登记证或其他登记证明材料）（复印件）</w:t>
      </w:r>
    </w:p>
    <w:p>
      <w:pPr>
        <w:spacing w:line="360" w:lineRule="auto"/>
        <w:jc w:val="center"/>
        <w:rPr>
          <w:rFonts w:ascii="仿宋" w:hAnsi="仿宋" w:eastAsia="仿宋" w:cs="FangSong_GB2312"/>
          <w:b/>
          <w:color w:val="auto"/>
          <w:sz w:val="30"/>
          <w:szCs w:val="30"/>
          <w:highlight w:val="none"/>
        </w:rPr>
      </w:pPr>
    </w:p>
    <w:p>
      <w:pPr>
        <w:spacing w:line="360" w:lineRule="auto"/>
        <w:jc w:val="center"/>
        <w:rPr>
          <w:rFonts w:ascii="仿宋" w:hAnsi="仿宋" w:eastAsia="仿宋" w:cs="FangSong_GB2312"/>
          <w:b/>
          <w:color w:val="auto"/>
          <w:sz w:val="30"/>
          <w:szCs w:val="30"/>
          <w:highlight w:val="none"/>
        </w:rPr>
      </w:pPr>
    </w:p>
    <w:p>
      <w:pPr>
        <w:spacing w:line="360" w:lineRule="auto"/>
        <w:jc w:val="center"/>
        <w:rPr>
          <w:rFonts w:ascii="仿宋" w:hAnsi="仿宋" w:eastAsia="仿宋" w:cs="FangSong_GB2312"/>
          <w:b/>
          <w:color w:val="auto"/>
          <w:sz w:val="30"/>
          <w:szCs w:val="30"/>
          <w:highlight w:val="none"/>
        </w:rPr>
      </w:pPr>
    </w:p>
    <w:p>
      <w:pPr>
        <w:spacing w:line="360" w:lineRule="auto"/>
        <w:jc w:val="center"/>
        <w:rPr>
          <w:rFonts w:ascii="仿宋" w:hAnsi="仿宋" w:eastAsia="仿宋" w:cs="FangSong_GB2312"/>
          <w:b/>
          <w:color w:val="auto"/>
          <w:sz w:val="30"/>
          <w:szCs w:val="30"/>
          <w:highlight w:val="none"/>
        </w:rPr>
      </w:pPr>
    </w:p>
    <w:p>
      <w:pPr>
        <w:spacing w:line="360" w:lineRule="auto"/>
        <w:jc w:val="center"/>
        <w:rPr>
          <w:rFonts w:ascii="仿宋" w:hAnsi="仿宋" w:eastAsia="仿宋" w:cs="FangSong_GB2312"/>
          <w:b/>
          <w:color w:val="auto"/>
          <w:sz w:val="30"/>
          <w:szCs w:val="30"/>
          <w:highlight w:val="none"/>
        </w:rPr>
      </w:pPr>
    </w:p>
    <w:p>
      <w:pPr>
        <w:spacing w:line="360" w:lineRule="auto"/>
        <w:rPr>
          <w:rFonts w:ascii="仿宋" w:hAnsi="仿宋" w:eastAsia="仿宋" w:cs="FangSong_GB2312"/>
          <w:b/>
          <w:color w:val="auto"/>
          <w:sz w:val="30"/>
          <w:szCs w:val="30"/>
          <w:highlight w:val="none"/>
        </w:rPr>
      </w:pPr>
      <w:r>
        <w:rPr>
          <w:rFonts w:hint="eastAsia" w:ascii="仿宋" w:hAnsi="仿宋" w:eastAsia="仿宋" w:cs="FangSong_GB2312"/>
          <w:b/>
          <w:color w:val="auto"/>
          <w:sz w:val="30"/>
          <w:szCs w:val="30"/>
          <w:highlight w:val="none"/>
        </w:rPr>
        <w:t>6、财务报表资料文件（</w:t>
      </w:r>
      <w:r>
        <w:rPr>
          <w:rFonts w:hint="eastAsia" w:ascii="仿宋" w:hAnsi="仿宋" w:eastAsia="仿宋" w:cs="FangSong_GB2312"/>
          <w:b/>
          <w:color w:val="auto"/>
          <w:sz w:val="30"/>
          <w:szCs w:val="30"/>
          <w:highlight w:val="none"/>
          <w:lang w:eastAsia="zh-CN"/>
        </w:rPr>
        <w:t>2020年度资产负债表等</w:t>
      </w:r>
      <w:r>
        <w:rPr>
          <w:rFonts w:hint="eastAsia" w:ascii="仿宋" w:hAnsi="仿宋" w:eastAsia="仿宋" w:cs="FangSong_GB2312"/>
          <w:b/>
          <w:color w:val="auto"/>
          <w:sz w:val="30"/>
          <w:szCs w:val="30"/>
          <w:highlight w:val="none"/>
        </w:rPr>
        <w:t>财务报表资料文件(新成立的公司，提供情况说明，格式自拟)）</w:t>
      </w:r>
    </w:p>
    <w:p>
      <w:pPr>
        <w:spacing w:line="360" w:lineRule="auto"/>
        <w:rPr>
          <w:rFonts w:ascii="仿宋" w:hAnsi="仿宋" w:eastAsia="仿宋" w:cs="FangSong_GB2312"/>
          <w:b/>
          <w:color w:val="auto"/>
          <w:sz w:val="30"/>
          <w:szCs w:val="30"/>
          <w:highlight w:val="none"/>
        </w:rPr>
      </w:pPr>
    </w:p>
    <w:p>
      <w:pPr>
        <w:snapToGrid w:val="0"/>
        <w:spacing w:line="360" w:lineRule="auto"/>
        <w:ind w:right="480"/>
        <w:jc w:val="center"/>
        <w:rPr>
          <w:rFonts w:ascii="仿宋" w:hAnsi="仿宋" w:eastAsia="仿宋" w:cs="FangSong_GB2312"/>
          <w:b/>
          <w:color w:val="auto"/>
          <w:kern w:val="0"/>
          <w:sz w:val="32"/>
          <w:szCs w:val="32"/>
          <w:highlight w:val="none"/>
          <w:lang w:val="zh-CN"/>
        </w:rPr>
      </w:pPr>
    </w:p>
    <w:p>
      <w:pPr>
        <w:snapToGrid w:val="0"/>
        <w:spacing w:line="360" w:lineRule="auto"/>
        <w:ind w:right="480"/>
        <w:jc w:val="center"/>
        <w:rPr>
          <w:rFonts w:ascii="仿宋" w:hAnsi="仿宋" w:eastAsia="仿宋" w:cs="FangSong_GB2312"/>
          <w:b/>
          <w:color w:val="auto"/>
          <w:kern w:val="0"/>
          <w:sz w:val="32"/>
          <w:szCs w:val="32"/>
          <w:highlight w:val="none"/>
          <w:lang w:val="zh-CN"/>
        </w:rPr>
      </w:pPr>
    </w:p>
    <w:p>
      <w:pPr>
        <w:snapToGrid w:val="0"/>
        <w:spacing w:line="360" w:lineRule="auto"/>
        <w:ind w:right="480"/>
        <w:jc w:val="center"/>
        <w:rPr>
          <w:rFonts w:ascii="仿宋" w:hAnsi="仿宋" w:eastAsia="仿宋" w:cs="FangSong_GB2312"/>
          <w:b/>
          <w:color w:val="auto"/>
          <w:kern w:val="0"/>
          <w:sz w:val="32"/>
          <w:szCs w:val="32"/>
          <w:highlight w:val="none"/>
          <w:lang w:val="zh-CN"/>
        </w:rPr>
      </w:pPr>
    </w:p>
    <w:p>
      <w:pPr>
        <w:snapToGrid w:val="0"/>
        <w:spacing w:line="360" w:lineRule="auto"/>
        <w:ind w:right="480"/>
        <w:jc w:val="center"/>
        <w:rPr>
          <w:rFonts w:ascii="仿宋" w:hAnsi="仿宋" w:eastAsia="仿宋" w:cs="FangSong_GB2312"/>
          <w:b/>
          <w:color w:val="auto"/>
          <w:kern w:val="0"/>
          <w:sz w:val="32"/>
          <w:szCs w:val="32"/>
          <w:highlight w:val="none"/>
          <w:lang w:val="zh-CN"/>
        </w:rPr>
      </w:pPr>
    </w:p>
    <w:p>
      <w:pPr>
        <w:snapToGrid w:val="0"/>
        <w:spacing w:line="360" w:lineRule="auto"/>
        <w:ind w:right="480"/>
        <w:rPr>
          <w:rFonts w:ascii="仿宋" w:hAnsi="仿宋" w:eastAsia="仿宋" w:cs="FangSong_GB2312"/>
          <w:b/>
          <w:color w:val="auto"/>
          <w:kern w:val="0"/>
          <w:sz w:val="32"/>
          <w:szCs w:val="32"/>
          <w:highlight w:val="none"/>
        </w:rPr>
      </w:pPr>
      <w:r>
        <w:rPr>
          <w:rFonts w:hint="eastAsia" w:ascii="仿宋" w:hAnsi="仿宋" w:eastAsia="仿宋" w:cs="FangSong_GB2312"/>
          <w:b/>
          <w:color w:val="auto"/>
          <w:kern w:val="0"/>
          <w:sz w:val="32"/>
          <w:szCs w:val="32"/>
          <w:highlight w:val="none"/>
        </w:rPr>
        <w:t>7、具有履行合同所必需的设备和专业技术能力的承诺函</w:t>
      </w:r>
    </w:p>
    <w:p>
      <w:pPr>
        <w:snapToGrid w:val="0"/>
        <w:spacing w:line="360" w:lineRule="auto"/>
        <w:rPr>
          <w:rFonts w:ascii="仿宋" w:hAnsi="仿宋" w:eastAsia="仿宋" w:cs="FangSong_GB2312"/>
          <w:color w:val="auto"/>
          <w:sz w:val="24"/>
          <w:highlight w:val="none"/>
        </w:rPr>
      </w:pPr>
      <w:r>
        <w:rPr>
          <w:rFonts w:hint="eastAsia" w:ascii="仿宋" w:hAnsi="仿宋" w:eastAsia="仿宋" w:cs="FangSong_GB2312"/>
          <w:color w:val="auto"/>
          <w:sz w:val="24"/>
          <w:highlight w:val="none"/>
          <w:lang w:eastAsia="zh-CN"/>
        </w:rPr>
        <w:t>绍兴市中医院</w:t>
      </w:r>
      <w:r>
        <w:rPr>
          <w:rFonts w:hint="eastAsia" w:ascii="仿宋" w:hAnsi="仿宋" w:eastAsia="仿宋" w:cs="FangSong_GB2312"/>
          <w:color w:val="auto"/>
          <w:sz w:val="24"/>
          <w:highlight w:val="none"/>
        </w:rPr>
        <w:t>、泰宇建筑工程技术咨询有限公司</w:t>
      </w:r>
      <w:r>
        <w:rPr>
          <w:rFonts w:hint="eastAsia" w:ascii="仿宋" w:hAnsi="仿宋" w:eastAsia="仿宋" w:cs="FangSong_GB2312"/>
          <w:color w:val="auto"/>
          <w:kern w:val="0"/>
          <w:sz w:val="24"/>
          <w:highlight w:val="none"/>
          <w:lang w:val="zh-CN"/>
        </w:rPr>
        <w:t>：</w:t>
      </w:r>
    </w:p>
    <w:p>
      <w:pPr>
        <w:snapToGrid w:val="0"/>
        <w:spacing w:line="360" w:lineRule="auto"/>
        <w:ind w:firstLine="480" w:firstLineChars="200"/>
        <w:rPr>
          <w:rFonts w:ascii="仿宋" w:hAnsi="仿宋" w:eastAsia="仿宋" w:cs="FangSong_GB2312"/>
          <w:color w:val="auto"/>
          <w:sz w:val="24"/>
          <w:highlight w:val="none"/>
        </w:rPr>
      </w:pPr>
      <w:r>
        <w:rPr>
          <w:rFonts w:hint="eastAsia" w:ascii="仿宋" w:hAnsi="仿宋" w:eastAsia="仿宋" w:cs="FangSong_GB2312"/>
          <w:color w:val="auto"/>
          <w:sz w:val="24"/>
          <w:highlight w:val="none"/>
        </w:rPr>
        <w:t>我方郑重承诺，我方具有履行</w:t>
      </w:r>
      <w:r>
        <w:rPr>
          <w:rFonts w:hint="eastAsia" w:ascii="仿宋" w:hAnsi="仿宋" w:eastAsia="仿宋" w:cs="FangSong_GB2312"/>
          <w:color w:val="auto"/>
          <w:sz w:val="24"/>
          <w:highlight w:val="none"/>
          <w:lang w:eastAsia="zh-CN"/>
        </w:rPr>
        <w:t>绍兴市中医院2021-2023年度食堂大宗食品用品配送准入项目</w:t>
      </w:r>
      <w:r>
        <w:rPr>
          <w:rFonts w:hint="eastAsia" w:ascii="仿宋" w:hAnsi="仿宋" w:eastAsia="仿宋" w:cs="FangSong_GB2312"/>
          <w:color w:val="auto"/>
          <w:sz w:val="24"/>
          <w:highlight w:val="none"/>
        </w:rPr>
        <w:t>（招标编号:）合同所必需的设备和专业技术能力。如中标，我方将保证合同顺利履行。</w:t>
      </w:r>
    </w:p>
    <w:p>
      <w:pPr>
        <w:snapToGrid w:val="0"/>
        <w:spacing w:line="360" w:lineRule="auto"/>
        <w:rPr>
          <w:rFonts w:ascii="仿宋" w:hAnsi="仿宋" w:eastAsia="仿宋" w:cs="FangSong_GB2312"/>
          <w:color w:val="auto"/>
          <w:kern w:val="0"/>
          <w:sz w:val="24"/>
          <w:highlight w:val="none"/>
          <w:lang w:val="zh-CN"/>
        </w:rPr>
      </w:pPr>
    </w:p>
    <w:p>
      <w:pPr>
        <w:snapToGrid w:val="0"/>
        <w:spacing w:line="360" w:lineRule="auto"/>
        <w:rPr>
          <w:rFonts w:ascii="仿宋" w:hAnsi="仿宋" w:eastAsia="仿宋" w:cs="FangSong_GB2312"/>
          <w:color w:val="auto"/>
          <w:kern w:val="0"/>
          <w:sz w:val="24"/>
          <w:highlight w:val="none"/>
          <w:lang w:val="zh-CN"/>
        </w:rPr>
      </w:pPr>
    </w:p>
    <w:p>
      <w:pPr>
        <w:snapToGrid w:val="0"/>
        <w:spacing w:line="360" w:lineRule="auto"/>
        <w:rPr>
          <w:rFonts w:ascii="仿宋" w:hAnsi="仿宋" w:eastAsia="仿宋" w:cs="FangSong_GB2312"/>
          <w:color w:val="auto"/>
          <w:kern w:val="0"/>
          <w:sz w:val="24"/>
          <w:highlight w:val="none"/>
          <w:lang w:val="zh-CN"/>
        </w:rPr>
      </w:pPr>
    </w:p>
    <w:p>
      <w:pPr>
        <w:snapToGrid w:val="0"/>
        <w:spacing w:line="360" w:lineRule="auto"/>
        <w:ind w:firstLine="5040" w:firstLineChars="210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lang w:val="zh-CN"/>
        </w:rPr>
        <w:t xml:space="preserve"> 投标人名称(盖章)：</w:t>
      </w:r>
    </w:p>
    <w:p>
      <w:pPr>
        <w:snapToGrid w:val="0"/>
        <w:spacing w:line="360" w:lineRule="auto"/>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 xml:space="preserve">                                           日期</w:t>
      </w:r>
      <w:r>
        <w:rPr>
          <w:rFonts w:hint="eastAsia" w:ascii="仿宋" w:hAnsi="仿宋" w:eastAsia="仿宋" w:cs="FangSong_GB2312"/>
          <w:color w:val="auto"/>
          <w:kern w:val="0"/>
          <w:sz w:val="24"/>
          <w:highlight w:val="none"/>
        </w:rPr>
        <w:t xml:space="preserve">：  年  </w:t>
      </w:r>
      <w:r>
        <w:rPr>
          <w:rFonts w:hint="eastAsia" w:ascii="仿宋" w:hAnsi="仿宋" w:eastAsia="仿宋" w:cs="FangSong_GB2312"/>
          <w:color w:val="auto"/>
          <w:kern w:val="0"/>
          <w:sz w:val="24"/>
          <w:highlight w:val="none"/>
          <w:lang w:val="zh-CN"/>
        </w:rPr>
        <w:t>月日</w:t>
      </w:r>
    </w:p>
    <w:p>
      <w:pPr>
        <w:spacing w:line="360" w:lineRule="auto"/>
        <w:jc w:val="center"/>
        <w:rPr>
          <w:rFonts w:ascii="仿宋" w:hAnsi="仿宋" w:eastAsia="仿宋" w:cs="FangSong_GB2312"/>
          <w:b/>
          <w:color w:val="auto"/>
          <w:kern w:val="0"/>
          <w:sz w:val="32"/>
          <w:szCs w:val="32"/>
          <w:highlight w:val="none"/>
        </w:rPr>
      </w:pPr>
    </w:p>
    <w:p>
      <w:pPr>
        <w:spacing w:line="360" w:lineRule="auto"/>
        <w:jc w:val="center"/>
        <w:rPr>
          <w:rFonts w:ascii="仿宋" w:hAnsi="仿宋" w:eastAsia="仿宋" w:cs="FangSong_GB2312"/>
          <w:b/>
          <w:color w:val="auto"/>
          <w:kern w:val="0"/>
          <w:sz w:val="32"/>
          <w:szCs w:val="32"/>
          <w:highlight w:val="none"/>
        </w:rPr>
      </w:pPr>
    </w:p>
    <w:p>
      <w:pPr>
        <w:pageBreakBefore/>
        <w:spacing w:line="360" w:lineRule="auto"/>
        <w:rPr>
          <w:rFonts w:ascii="仿宋" w:hAnsi="仿宋" w:eastAsia="仿宋" w:cs="FangSong_GB2312"/>
          <w:b/>
          <w:color w:val="auto"/>
          <w:kern w:val="0"/>
          <w:sz w:val="32"/>
          <w:szCs w:val="32"/>
          <w:highlight w:val="none"/>
          <w:lang w:val="zh-CN"/>
        </w:rPr>
      </w:pPr>
      <w:r>
        <w:rPr>
          <w:rFonts w:hint="eastAsia" w:ascii="仿宋" w:hAnsi="仿宋" w:eastAsia="仿宋" w:cs="FangSong_GB2312"/>
          <w:b/>
          <w:color w:val="auto"/>
          <w:kern w:val="0"/>
          <w:sz w:val="32"/>
          <w:szCs w:val="32"/>
          <w:highlight w:val="none"/>
        </w:rPr>
        <w:t>8、重大违法记录的声明</w:t>
      </w:r>
    </w:p>
    <w:p>
      <w:pPr>
        <w:snapToGrid w:val="0"/>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sz w:val="24"/>
          <w:highlight w:val="none"/>
          <w:lang w:eastAsia="zh-CN"/>
        </w:rPr>
        <w:t>绍兴市中医院</w:t>
      </w:r>
      <w:r>
        <w:rPr>
          <w:rFonts w:hint="eastAsia" w:ascii="仿宋" w:hAnsi="仿宋" w:eastAsia="仿宋" w:cs="FangSong_GB2312"/>
          <w:color w:val="auto"/>
          <w:sz w:val="24"/>
          <w:highlight w:val="none"/>
        </w:rPr>
        <w:t>、泰宇建筑工程技术咨询有限公司</w:t>
      </w:r>
      <w:r>
        <w:rPr>
          <w:rFonts w:hint="eastAsia" w:ascii="仿宋" w:hAnsi="仿宋" w:eastAsia="仿宋" w:cs="FangSong_GB2312"/>
          <w:color w:val="auto"/>
          <w:kern w:val="0"/>
          <w:sz w:val="24"/>
          <w:highlight w:val="none"/>
          <w:lang w:val="zh-CN"/>
        </w:rPr>
        <w:t>：</w:t>
      </w:r>
    </w:p>
    <w:p>
      <w:pPr>
        <w:spacing w:line="360" w:lineRule="auto"/>
        <w:ind w:firstLine="480" w:firstLineChars="200"/>
        <w:rPr>
          <w:rFonts w:ascii="仿宋" w:hAnsi="仿宋" w:eastAsia="仿宋" w:cs="FangSong_GB2312"/>
          <w:color w:val="auto"/>
          <w:sz w:val="24"/>
          <w:szCs w:val="20"/>
          <w:highlight w:val="none"/>
        </w:rPr>
      </w:pPr>
      <w:r>
        <w:rPr>
          <w:rFonts w:hint="eastAsia" w:ascii="仿宋" w:hAnsi="仿宋" w:eastAsia="仿宋" w:cs="FangSong_GB2312"/>
          <w:color w:val="auto"/>
          <w:kern w:val="0"/>
          <w:sz w:val="24"/>
          <w:highlight w:val="none"/>
          <w:lang w:val="zh-CN"/>
        </w:rPr>
        <w:t>我公司</w:t>
      </w:r>
      <w:r>
        <w:rPr>
          <w:rFonts w:hint="eastAsia" w:ascii="仿宋" w:hAnsi="仿宋" w:eastAsia="仿宋" w:cs="FangSong_GB2312"/>
          <w:color w:val="auto"/>
          <w:sz w:val="24"/>
          <w:highlight w:val="none"/>
        </w:rPr>
        <w:t>声明参加本次政府采购活动前三年内，在</w:t>
      </w:r>
      <w:r>
        <w:rPr>
          <w:rFonts w:hint="eastAsia" w:ascii="仿宋" w:hAnsi="仿宋" w:eastAsia="仿宋" w:cs="FangSong_GB2312"/>
          <w:color w:val="auto"/>
          <w:kern w:val="0"/>
          <w:sz w:val="24"/>
          <w:highlight w:val="none"/>
        </w:rPr>
        <w:t>经营活动中</w:t>
      </w:r>
      <w:r>
        <w:rPr>
          <w:rFonts w:hint="eastAsia" w:ascii="仿宋" w:hAnsi="仿宋" w:eastAsia="仿宋" w:cs="FangSong_GB2312"/>
          <w:color w:val="auto"/>
          <w:sz w:val="24"/>
          <w:highlight w:val="none"/>
        </w:rPr>
        <w:t>没有重大违法记录；也</w:t>
      </w:r>
      <w:r>
        <w:rPr>
          <w:rFonts w:hint="eastAsia" w:ascii="仿宋" w:hAnsi="仿宋" w:eastAsia="仿宋" w:cs="FangSong_GB2312"/>
          <w:color w:val="auto"/>
          <w:sz w:val="24"/>
          <w:szCs w:val="20"/>
          <w:highlight w:val="none"/>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pPr>
        <w:spacing w:line="360" w:lineRule="auto"/>
        <w:ind w:firstLine="480" w:firstLineChars="200"/>
        <w:rPr>
          <w:rFonts w:ascii="仿宋" w:hAnsi="仿宋" w:eastAsia="仿宋" w:cs="FangSong_GB2312"/>
          <w:color w:val="auto"/>
          <w:sz w:val="24"/>
          <w:szCs w:val="20"/>
          <w:highlight w:val="none"/>
        </w:rPr>
      </w:pPr>
    </w:p>
    <w:p>
      <w:pPr>
        <w:spacing w:line="360" w:lineRule="auto"/>
        <w:ind w:firstLine="480" w:firstLineChars="200"/>
        <w:rPr>
          <w:rFonts w:ascii="仿宋" w:hAnsi="仿宋" w:eastAsia="仿宋" w:cs="FangSong_GB2312"/>
          <w:color w:val="auto"/>
          <w:sz w:val="24"/>
          <w:szCs w:val="20"/>
          <w:highlight w:val="none"/>
        </w:rPr>
      </w:pPr>
    </w:p>
    <w:p>
      <w:pPr>
        <w:snapToGrid w:val="0"/>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lang w:val="zh-CN"/>
        </w:rPr>
        <w:t xml:space="preserve">                                           投标人名称(盖章)：</w:t>
      </w:r>
    </w:p>
    <w:p>
      <w:pPr>
        <w:snapToGrid w:val="0"/>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lang w:val="zh-CN"/>
        </w:rPr>
        <w:t xml:space="preserve">                                     法定代表人或其授权代表(签字或盖章)：</w:t>
      </w:r>
    </w:p>
    <w:p>
      <w:pPr>
        <w:snapToGrid w:val="0"/>
        <w:spacing w:line="360" w:lineRule="auto"/>
        <w:ind w:firstLine="5160" w:firstLineChars="2150"/>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日期</w:t>
      </w:r>
      <w:r>
        <w:rPr>
          <w:rFonts w:hint="eastAsia" w:ascii="仿宋" w:hAnsi="仿宋" w:eastAsia="仿宋" w:cs="FangSong_GB2312"/>
          <w:color w:val="auto"/>
          <w:kern w:val="0"/>
          <w:sz w:val="24"/>
          <w:highlight w:val="none"/>
        </w:rPr>
        <w:t xml:space="preserve">：  年  </w:t>
      </w:r>
      <w:r>
        <w:rPr>
          <w:rFonts w:hint="eastAsia" w:ascii="仿宋" w:hAnsi="仿宋" w:eastAsia="仿宋" w:cs="FangSong_GB2312"/>
          <w:color w:val="auto"/>
          <w:kern w:val="0"/>
          <w:sz w:val="24"/>
          <w:highlight w:val="none"/>
          <w:lang w:val="zh-CN"/>
        </w:rPr>
        <w:t>月</w:t>
      </w:r>
      <w:r>
        <w:rPr>
          <w:rFonts w:hint="eastAsia" w:ascii="仿宋" w:hAnsi="仿宋" w:eastAsia="仿宋" w:cs="FangSong_GB2312"/>
          <w:color w:val="auto"/>
          <w:kern w:val="0"/>
          <w:sz w:val="24"/>
          <w:highlight w:val="none"/>
          <w:lang w:val="en-US" w:eastAsia="zh-CN"/>
        </w:rPr>
        <w:t xml:space="preserve">  </w:t>
      </w:r>
      <w:r>
        <w:rPr>
          <w:rFonts w:hint="eastAsia" w:ascii="仿宋" w:hAnsi="仿宋" w:eastAsia="仿宋" w:cs="FangSong_GB2312"/>
          <w:color w:val="auto"/>
          <w:kern w:val="0"/>
          <w:sz w:val="24"/>
          <w:highlight w:val="none"/>
          <w:lang w:val="zh-CN"/>
        </w:rPr>
        <w:t>日</w:t>
      </w:r>
    </w:p>
    <w:p>
      <w:pPr>
        <w:spacing w:line="360" w:lineRule="auto"/>
        <w:jc w:val="center"/>
        <w:rPr>
          <w:rFonts w:ascii="仿宋" w:hAnsi="仿宋" w:eastAsia="仿宋" w:cs="FangSong_GB2312"/>
          <w:b/>
          <w:color w:val="auto"/>
          <w:sz w:val="30"/>
          <w:szCs w:val="30"/>
          <w:highlight w:val="none"/>
        </w:rPr>
      </w:pPr>
    </w:p>
    <w:p>
      <w:pPr>
        <w:spacing w:line="360" w:lineRule="auto"/>
        <w:jc w:val="center"/>
        <w:rPr>
          <w:rFonts w:ascii="仿宋" w:hAnsi="仿宋" w:eastAsia="仿宋" w:cs="FangSong_GB2312"/>
          <w:b/>
          <w:color w:val="auto"/>
          <w:sz w:val="30"/>
          <w:szCs w:val="30"/>
          <w:highlight w:val="none"/>
        </w:rPr>
      </w:pPr>
    </w:p>
    <w:p>
      <w:pPr>
        <w:spacing w:line="360" w:lineRule="auto"/>
        <w:jc w:val="center"/>
        <w:rPr>
          <w:rFonts w:ascii="仿宋" w:hAnsi="仿宋" w:eastAsia="仿宋" w:cs="FangSong_GB2312"/>
          <w:b/>
          <w:color w:val="auto"/>
          <w:sz w:val="30"/>
          <w:szCs w:val="30"/>
          <w:highlight w:val="none"/>
        </w:rPr>
      </w:pPr>
    </w:p>
    <w:p>
      <w:pPr>
        <w:spacing w:line="360" w:lineRule="auto"/>
        <w:rPr>
          <w:rFonts w:ascii="仿宋" w:hAnsi="仿宋" w:eastAsia="仿宋" w:cs="FangSong_GB2312"/>
          <w:b/>
          <w:color w:val="auto"/>
          <w:sz w:val="32"/>
          <w:szCs w:val="32"/>
          <w:highlight w:val="none"/>
        </w:rPr>
      </w:pPr>
      <w:r>
        <w:rPr>
          <w:rFonts w:hint="eastAsia" w:ascii="仿宋" w:hAnsi="仿宋" w:eastAsia="仿宋" w:cs="FangSong_GB2312"/>
          <w:b/>
          <w:color w:val="auto"/>
          <w:sz w:val="32"/>
          <w:szCs w:val="32"/>
          <w:highlight w:val="none"/>
        </w:rPr>
        <w:t>9、特定资格条件要求的资质文件（复印件）</w:t>
      </w:r>
    </w:p>
    <w:p>
      <w:pPr>
        <w:widowControl/>
        <w:spacing w:line="360" w:lineRule="auto"/>
        <w:ind w:firstLine="480" w:firstLineChars="200"/>
        <w:jc w:val="left"/>
        <w:rPr>
          <w:rFonts w:ascii="仿宋" w:hAnsi="仿宋" w:eastAsia="仿宋" w:cs="FangSong_GB2312"/>
          <w:b/>
          <w:bCs/>
          <w:color w:val="auto"/>
          <w:sz w:val="32"/>
          <w:szCs w:val="32"/>
          <w:highlight w:val="none"/>
        </w:rPr>
      </w:pPr>
      <w:r>
        <w:rPr>
          <w:rFonts w:hint="eastAsia" w:ascii="仿宋" w:hAnsi="仿宋" w:eastAsia="仿宋" w:cs="FangSong_GB2312"/>
          <w:color w:val="auto"/>
          <w:sz w:val="24"/>
          <w:highlight w:val="none"/>
        </w:rPr>
        <w:t>（由投标人根据招标公告合格的投标人应具备的特定资格要求编制）</w:t>
      </w:r>
    </w:p>
    <w:p>
      <w:pPr>
        <w:spacing w:line="360" w:lineRule="auto"/>
        <w:rPr>
          <w:rFonts w:ascii="仿宋" w:hAnsi="仿宋" w:eastAsia="仿宋" w:cs="FangSong_GB2312"/>
          <w:b/>
          <w:color w:val="auto"/>
          <w:sz w:val="30"/>
          <w:szCs w:val="30"/>
          <w:highlight w:val="none"/>
        </w:rPr>
      </w:pPr>
    </w:p>
    <w:p>
      <w:pPr>
        <w:spacing w:line="360" w:lineRule="auto"/>
        <w:rPr>
          <w:rFonts w:ascii="仿宋" w:hAnsi="仿宋" w:eastAsia="仿宋" w:cs="FangSong_GB2312"/>
          <w:b/>
          <w:color w:val="auto"/>
          <w:sz w:val="30"/>
          <w:szCs w:val="30"/>
          <w:highlight w:val="none"/>
        </w:rPr>
      </w:pPr>
    </w:p>
    <w:p>
      <w:pPr>
        <w:spacing w:line="360" w:lineRule="auto"/>
        <w:rPr>
          <w:rFonts w:ascii="仿宋" w:hAnsi="仿宋" w:eastAsia="仿宋" w:cs="FangSong_GB2312"/>
          <w:b/>
          <w:color w:val="auto"/>
          <w:sz w:val="30"/>
          <w:szCs w:val="30"/>
          <w:highlight w:val="none"/>
        </w:rPr>
      </w:pPr>
    </w:p>
    <w:p>
      <w:pPr>
        <w:spacing w:line="360" w:lineRule="auto"/>
        <w:rPr>
          <w:rFonts w:ascii="仿宋" w:hAnsi="仿宋" w:eastAsia="仿宋" w:cs="FangSong_GB2312"/>
          <w:b/>
          <w:color w:val="auto"/>
          <w:sz w:val="30"/>
          <w:szCs w:val="30"/>
          <w:highlight w:val="none"/>
        </w:rPr>
      </w:pPr>
      <w:r>
        <w:rPr>
          <w:rFonts w:hint="eastAsia" w:ascii="仿宋" w:hAnsi="仿宋" w:eastAsia="仿宋" w:cs="FangSong_GB2312"/>
          <w:b/>
          <w:color w:val="auto"/>
          <w:sz w:val="30"/>
          <w:szCs w:val="30"/>
          <w:highlight w:val="none"/>
        </w:rPr>
        <w:t>10、非本地投标人售后服务机构证明材料</w:t>
      </w:r>
    </w:p>
    <w:p>
      <w:pPr>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（由非本地投标人根据采购需求及招标文件要求编制）</w:t>
      </w:r>
    </w:p>
    <w:p>
      <w:pPr>
        <w:spacing w:line="360" w:lineRule="auto"/>
        <w:jc w:val="center"/>
        <w:rPr>
          <w:rFonts w:ascii="仿宋" w:hAnsi="仿宋" w:eastAsia="仿宋" w:cs="FangSong_GB2312"/>
          <w:b/>
          <w:color w:val="auto"/>
          <w:sz w:val="32"/>
          <w:szCs w:val="32"/>
          <w:highlight w:val="none"/>
        </w:rPr>
      </w:pPr>
    </w:p>
    <w:p>
      <w:pPr>
        <w:spacing w:line="360" w:lineRule="auto"/>
        <w:jc w:val="center"/>
        <w:rPr>
          <w:rFonts w:ascii="仿宋" w:hAnsi="仿宋" w:eastAsia="仿宋" w:cs="FangSong_GB2312"/>
          <w:b/>
          <w:color w:val="auto"/>
          <w:sz w:val="32"/>
          <w:szCs w:val="32"/>
          <w:highlight w:val="none"/>
        </w:rPr>
      </w:pPr>
    </w:p>
    <w:p>
      <w:pPr>
        <w:spacing w:line="360" w:lineRule="auto"/>
        <w:jc w:val="center"/>
        <w:rPr>
          <w:rFonts w:ascii="仿宋" w:hAnsi="仿宋" w:eastAsia="仿宋" w:cs="FangSong_GB2312"/>
          <w:b/>
          <w:color w:val="auto"/>
          <w:sz w:val="32"/>
          <w:szCs w:val="32"/>
          <w:highlight w:val="none"/>
        </w:rPr>
      </w:pPr>
    </w:p>
    <w:p>
      <w:pPr>
        <w:pageBreakBefore/>
        <w:spacing w:line="360" w:lineRule="auto"/>
        <w:rPr>
          <w:rFonts w:ascii="仿宋" w:hAnsi="仿宋" w:eastAsia="仿宋" w:cs="FangSong_GB2312"/>
          <w:b/>
          <w:color w:val="auto"/>
          <w:sz w:val="32"/>
          <w:szCs w:val="32"/>
          <w:highlight w:val="none"/>
        </w:rPr>
      </w:pPr>
      <w:r>
        <w:rPr>
          <w:rFonts w:hint="eastAsia" w:ascii="仿宋" w:hAnsi="仿宋" w:eastAsia="仿宋" w:cs="FangSong_GB2312"/>
          <w:b/>
          <w:color w:val="auto"/>
          <w:sz w:val="32"/>
          <w:szCs w:val="32"/>
          <w:highlight w:val="none"/>
        </w:rPr>
        <w:t>11、所有与符合性审查有关的资信文件（复印件）</w:t>
      </w:r>
    </w:p>
    <w:p>
      <w:pPr>
        <w:spacing w:line="360" w:lineRule="auto"/>
        <w:rPr>
          <w:rFonts w:ascii="仿宋" w:hAnsi="仿宋" w:eastAsia="仿宋" w:cs="FangSong_GB2312"/>
          <w:b/>
          <w:bCs/>
          <w:color w:val="auto"/>
          <w:sz w:val="32"/>
          <w:szCs w:val="32"/>
          <w:highlight w:val="none"/>
        </w:rPr>
      </w:pPr>
      <w:r>
        <w:rPr>
          <w:rFonts w:hint="eastAsia" w:ascii="仿宋" w:hAnsi="仿宋" w:eastAsia="仿宋" w:cs="FangSong_GB2312"/>
          <w:b/>
          <w:color w:val="auto"/>
          <w:sz w:val="24"/>
          <w:highlight w:val="none"/>
        </w:rPr>
        <w:t>（1. 提供依法缴纳税收和社会保障资金的良好记录证明，税收和社保证明打印时间不得早于投标截止时间前1个月；2.</w:t>
      </w:r>
      <w:r>
        <w:rPr>
          <w:rFonts w:hint="eastAsia" w:ascii="仿宋" w:hAnsi="仿宋" w:eastAsia="仿宋" w:cs="FangSong_GB2312"/>
          <w:color w:val="auto"/>
          <w:sz w:val="24"/>
          <w:highlight w:val="none"/>
        </w:rPr>
        <w:t>其他资料由投标人根据采购需求及招标文件要求编制。</w:t>
      </w:r>
      <w:r>
        <w:rPr>
          <w:rFonts w:hint="eastAsia" w:ascii="仿宋" w:hAnsi="仿宋" w:eastAsia="仿宋" w:cs="FangSong_GB2312"/>
          <w:b/>
          <w:color w:val="auto"/>
          <w:sz w:val="24"/>
          <w:highlight w:val="none"/>
        </w:rPr>
        <w:t>）</w:t>
      </w:r>
    </w:p>
    <w:p>
      <w:pPr>
        <w:spacing w:line="360" w:lineRule="auto"/>
        <w:rPr>
          <w:rFonts w:ascii="仿宋" w:hAnsi="仿宋" w:eastAsia="仿宋" w:cs="FangSong_GB2312"/>
          <w:b/>
          <w:bCs/>
          <w:color w:val="auto"/>
          <w:sz w:val="32"/>
          <w:szCs w:val="32"/>
          <w:highlight w:val="none"/>
        </w:rPr>
      </w:pPr>
    </w:p>
    <w:p>
      <w:pPr>
        <w:spacing w:line="360" w:lineRule="auto"/>
        <w:rPr>
          <w:rFonts w:ascii="仿宋" w:hAnsi="仿宋" w:eastAsia="仿宋" w:cs="FangSong_GB2312"/>
          <w:b/>
          <w:bCs/>
          <w:color w:val="auto"/>
          <w:sz w:val="32"/>
          <w:szCs w:val="32"/>
          <w:highlight w:val="none"/>
        </w:rPr>
      </w:pPr>
    </w:p>
    <w:p>
      <w:pPr>
        <w:spacing w:line="360" w:lineRule="auto"/>
        <w:rPr>
          <w:rFonts w:ascii="仿宋" w:hAnsi="仿宋" w:eastAsia="仿宋" w:cs="FangSong_GB2312"/>
          <w:b/>
          <w:bCs/>
          <w:color w:val="auto"/>
          <w:sz w:val="32"/>
          <w:szCs w:val="32"/>
          <w:highlight w:val="none"/>
        </w:rPr>
      </w:pPr>
    </w:p>
    <w:p>
      <w:pPr>
        <w:spacing w:line="360" w:lineRule="auto"/>
        <w:rPr>
          <w:rFonts w:ascii="仿宋" w:hAnsi="仿宋" w:eastAsia="仿宋" w:cs="FangSong_GB2312"/>
          <w:b/>
          <w:bCs/>
          <w:color w:val="auto"/>
          <w:sz w:val="32"/>
          <w:szCs w:val="32"/>
          <w:highlight w:val="none"/>
        </w:rPr>
      </w:pPr>
    </w:p>
    <w:p>
      <w:pPr>
        <w:spacing w:line="360" w:lineRule="auto"/>
        <w:rPr>
          <w:rFonts w:ascii="仿宋" w:hAnsi="仿宋" w:eastAsia="仿宋" w:cs="FangSong_GB2312"/>
          <w:b/>
          <w:bCs/>
          <w:color w:val="auto"/>
          <w:sz w:val="32"/>
          <w:szCs w:val="32"/>
          <w:highlight w:val="none"/>
        </w:rPr>
      </w:pPr>
      <w:r>
        <w:rPr>
          <w:rFonts w:hint="eastAsia" w:ascii="仿宋" w:hAnsi="仿宋" w:eastAsia="仿宋" w:cs="FangSong_GB2312"/>
          <w:b/>
          <w:bCs/>
          <w:color w:val="auto"/>
          <w:sz w:val="32"/>
          <w:szCs w:val="32"/>
          <w:highlight w:val="none"/>
        </w:rPr>
        <w:t>12、</w:t>
      </w:r>
      <w:r>
        <w:rPr>
          <w:rFonts w:hint="eastAsia" w:ascii="仿宋" w:hAnsi="仿宋" w:eastAsia="仿宋" w:cs="FangSong_GB2312"/>
          <w:b/>
          <w:color w:val="auto"/>
          <w:kern w:val="0"/>
          <w:sz w:val="32"/>
          <w:szCs w:val="32"/>
          <w:highlight w:val="none"/>
          <w:lang w:val="zh-CN"/>
        </w:rPr>
        <w:t>主要业绩证明</w:t>
      </w:r>
    </w:p>
    <w:p>
      <w:pPr>
        <w:autoSpaceDE w:val="0"/>
        <w:autoSpaceDN w:val="0"/>
        <w:spacing w:line="360" w:lineRule="auto"/>
        <w:ind w:firstLine="120"/>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附表 :相关项目建设业绩一览表</w:t>
      </w:r>
    </w:p>
    <w:tbl>
      <w:tblPr>
        <w:tblStyle w:val="39"/>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项目</w:t>
            </w:r>
          </w:p>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合同</w:t>
            </w:r>
          </w:p>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金额</w:t>
            </w:r>
          </w:p>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r>
    </w:tbl>
    <w:p>
      <w:pPr>
        <w:autoSpaceDE w:val="0"/>
        <w:autoSpaceDN w:val="0"/>
        <w:spacing w:line="360" w:lineRule="auto"/>
        <w:rPr>
          <w:rFonts w:ascii="仿宋" w:hAnsi="仿宋" w:eastAsia="仿宋" w:cs="FangSong_GB2312"/>
          <w:color w:val="auto"/>
          <w:sz w:val="24"/>
          <w:highlight w:val="none"/>
        </w:rPr>
      </w:pPr>
      <w:r>
        <w:rPr>
          <w:rFonts w:hint="eastAsia" w:ascii="仿宋" w:hAnsi="仿宋" w:eastAsia="仿宋" w:cs="FangSong_GB2312"/>
          <w:b/>
          <w:color w:val="auto"/>
          <w:sz w:val="24"/>
          <w:highlight w:val="none"/>
        </w:rPr>
        <w:t>注：投标人可按上述的格式自行编制，须随表提交相应的合同复印件和用户单位验收证明并注明页码。</w:t>
      </w:r>
    </w:p>
    <w:p>
      <w:pPr>
        <w:autoSpaceDE w:val="0"/>
        <w:autoSpaceDN w:val="0"/>
        <w:spacing w:line="360" w:lineRule="auto"/>
        <w:ind w:firstLine="4560" w:firstLineChars="190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投标人名称（</w:t>
      </w:r>
      <w:r>
        <w:rPr>
          <w:rFonts w:hint="eastAsia" w:ascii="仿宋" w:hAnsi="仿宋" w:eastAsia="仿宋" w:cs="FangSong_GB2312"/>
          <w:color w:val="auto"/>
          <w:kern w:val="0"/>
          <w:sz w:val="24"/>
          <w:highlight w:val="none"/>
          <w:lang w:eastAsia="zh-CN"/>
        </w:rPr>
        <w:t>盖</w:t>
      </w:r>
      <w:r>
        <w:rPr>
          <w:rFonts w:hint="eastAsia" w:ascii="仿宋" w:hAnsi="仿宋" w:eastAsia="仿宋" w:cs="FangSong_GB2312"/>
          <w:color w:val="auto"/>
          <w:kern w:val="0"/>
          <w:sz w:val="24"/>
          <w:highlight w:val="none"/>
        </w:rPr>
        <w:t xml:space="preserve">章）：                       </w:t>
      </w:r>
    </w:p>
    <w:p>
      <w:pPr>
        <w:autoSpaceDE w:val="0"/>
        <w:autoSpaceDN w:val="0"/>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 xml:space="preserve">                                    法定代表人或其授权代表（签字</w:t>
      </w:r>
      <w:r>
        <w:rPr>
          <w:rFonts w:hint="eastAsia" w:ascii="仿宋" w:hAnsi="仿宋" w:eastAsia="仿宋" w:cs="FangSong_GB2312"/>
          <w:color w:val="auto"/>
          <w:kern w:val="0"/>
          <w:sz w:val="24"/>
          <w:highlight w:val="none"/>
          <w:lang w:eastAsia="zh-CN"/>
        </w:rPr>
        <w:t>或盖章</w:t>
      </w:r>
      <w:r>
        <w:rPr>
          <w:rFonts w:hint="eastAsia" w:ascii="仿宋" w:hAnsi="仿宋" w:eastAsia="仿宋" w:cs="FangSong_GB2312"/>
          <w:color w:val="auto"/>
          <w:kern w:val="0"/>
          <w:sz w:val="24"/>
          <w:highlight w:val="none"/>
        </w:rPr>
        <w:t xml:space="preserve">）：                   </w:t>
      </w:r>
    </w:p>
    <w:p>
      <w:pPr>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 xml:space="preserve">                                      日期：  年  月   日</w:t>
      </w:r>
    </w:p>
    <w:p>
      <w:pPr>
        <w:pStyle w:val="154"/>
        <w:ind w:firstLine="0"/>
        <w:jc w:val="both"/>
        <w:rPr>
          <w:rFonts w:ascii="仿宋" w:eastAsia="仿宋" w:cs="FangSong_GB2312"/>
          <w:color w:val="auto"/>
          <w:highlight w:val="none"/>
        </w:rPr>
      </w:pPr>
    </w:p>
    <w:p>
      <w:pPr>
        <w:pStyle w:val="154"/>
        <w:ind w:firstLine="0"/>
        <w:jc w:val="both"/>
        <w:rPr>
          <w:rFonts w:ascii="仿宋" w:eastAsia="仿宋" w:cs="FangSong_GB2312"/>
          <w:color w:val="auto"/>
          <w:highlight w:val="none"/>
        </w:rPr>
      </w:pPr>
    </w:p>
    <w:p>
      <w:pPr>
        <w:pStyle w:val="154"/>
        <w:ind w:firstLine="0"/>
        <w:jc w:val="both"/>
        <w:rPr>
          <w:rFonts w:ascii="仿宋" w:eastAsia="仿宋" w:cs="FangSong_GB2312"/>
          <w:color w:val="auto"/>
          <w:highlight w:val="none"/>
        </w:rPr>
      </w:pPr>
    </w:p>
    <w:p>
      <w:pPr>
        <w:pStyle w:val="154"/>
        <w:ind w:firstLine="0"/>
        <w:jc w:val="both"/>
        <w:rPr>
          <w:rFonts w:ascii="仿宋" w:eastAsia="仿宋" w:cs="FangSong_GB2312"/>
          <w:color w:val="auto"/>
          <w:highlight w:val="none"/>
        </w:rPr>
      </w:pPr>
    </w:p>
    <w:p>
      <w:pPr>
        <w:pStyle w:val="154"/>
        <w:pageBreakBefore/>
        <w:ind w:firstLine="0"/>
        <w:jc w:val="both"/>
        <w:rPr>
          <w:rFonts w:ascii="仿宋" w:eastAsia="仿宋" w:cs="FangSong_GB2312"/>
          <w:color w:val="auto"/>
          <w:highlight w:val="none"/>
        </w:rPr>
      </w:pPr>
      <w:r>
        <w:rPr>
          <w:rFonts w:hint="eastAsia" w:ascii="仿宋" w:eastAsia="仿宋" w:cs="FangSong_GB2312"/>
          <w:color w:val="auto"/>
          <w:highlight w:val="none"/>
        </w:rPr>
        <w:t>13、廉政承诺书</w:t>
      </w:r>
    </w:p>
    <w:p>
      <w:pPr>
        <w:autoSpaceDE w:val="0"/>
        <w:autoSpaceDN w:val="0"/>
        <w:spacing w:line="360" w:lineRule="auto"/>
        <w:ind w:left="2"/>
        <w:jc w:val="left"/>
        <w:rPr>
          <w:rFonts w:ascii="仿宋" w:hAnsi="仿宋" w:eastAsia="仿宋" w:cs="FangSong_GB2312"/>
          <w:color w:val="auto"/>
          <w:kern w:val="0"/>
          <w:sz w:val="24"/>
          <w:highlight w:val="none"/>
          <w:lang w:val="zh-CN"/>
        </w:rPr>
      </w:pPr>
      <w:r>
        <w:rPr>
          <w:rFonts w:hint="eastAsia" w:ascii="仿宋" w:hAnsi="仿宋" w:eastAsia="仿宋" w:cs="FangSong_GB2312"/>
          <w:color w:val="auto"/>
          <w:sz w:val="24"/>
          <w:highlight w:val="none"/>
          <w:lang w:eastAsia="zh-CN"/>
        </w:rPr>
        <w:t>绍兴市中医院</w:t>
      </w:r>
      <w:r>
        <w:rPr>
          <w:rFonts w:hint="eastAsia" w:ascii="仿宋" w:hAnsi="仿宋" w:eastAsia="仿宋" w:cs="FangSong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我单位响应你</w:t>
      </w:r>
      <w:r>
        <w:rPr>
          <w:rFonts w:hint="eastAsia" w:ascii="仿宋" w:hAnsi="仿宋" w:eastAsia="仿宋" w:cs="FangSong_GB2312"/>
          <w:color w:val="auto"/>
          <w:sz w:val="24"/>
          <w:highlight w:val="none"/>
        </w:rPr>
        <w:t>单位</w:t>
      </w:r>
      <w:r>
        <w:rPr>
          <w:rFonts w:hint="eastAsia" w:ascii="仿宋" w:hAnsi="仿宋" w:eastAsia="仿宋" w:cs="FangSong_GB2312"/>
          <w:color w:val="auto"/>
          <w:kern w:val="0"/>
          <w:sz w:val="24"/>
          <w:highlight w:val="none"/>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 xml:space="preserve">四、不为项目有关人员及部门出国（境）、旅游等提供方便；    </w:t>
      </w:r>
    </w:p>
    <w:p>
      <w:pPr>
        <w:autoSpaceDE w:val="0"/>
        <w:autoSpaceDN w:val="0"/>
        <w:spacing w:line="360" w:lineRule="auto"/>
        <w:ind w:firstLine="480" w:firstLineChars="200"/>
        <w:jc w:val="lef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如违反上述承诺，你</w:t>
      </w:r>
      <w:r>
        <w:rPr>
          <w:rFonts w:hint="eastAsia" w:ascii="仿宋" w:hAnsi="仿宋" w:eastAsia="仿宋" w:cs="FangSong_GB2312"/>
          <w:color w:val="auto"/>
          <w:sz w:val="24"/>
          <w:highlight w:val="none"/>
        </w:rPr>
        <w:t>单位</w:t>
      </w:r>
      <w:r>
        <w:rPr>
          <w:rFonts w:hint="eastAsia" w:ascii="仿宋" w:hAnsi="仿宋" w:eastAsia="仿宋" w:cs="FangSong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FangSong_GB2312"/>
          <w:color w:val="auto"/>
          <w:sz w:val="24"/>
          <w:highlight w:val="none"/>
        </w:rPr>
        <w:t>单位</w:t>
      </w:r>
      <w:r>
        <w:rPr>
          <w:rFonts w:hint="eastAsia" w:ascii="仿宋" w:hAnsi="仿宋" w:eastAsia="仿宋" w:cs="FangSong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FangSong_GB2312"/>
          <w:color w:val="auto"/>
          <w:kern w:val="0"/>
          <w:sz w:val="24"/>
          <w:highlight w:val="none"/>
          <w:lang w:val="zh-CN"/>
        </w:rPr>
      </w:pPr>
    </w:p>
    <w:p>
      <w:pPr>
        <w:autoSpaceDE w:val="0"/>
        <w:autoSpaceDN w:val="0"/>
        <w:spacing w:line="360" w:lineRule="auto"/>
        <w:ind w:left="2"/>
        <w:jc w:val="left"/>
        <w:rPr>
          <w:rFonts w:ascii="仿宋" w:hAnsi="仿宋" w:eastAsia="仿宋" w:cs="FangSong_GB2312"/>
          <w:color w:val="auto"/>
          <w:kern w:val="0"/>
          <w:sz w:val="24"/>
          <w:highlight w:val="none"/>
          <w:lang w:val="zh-CN"/>
        </w:rPr>
      </w:pPr>
    </w:p>
    <w:p>
      <w:pPr>
        <w:autoSpaceDE w:val="0"/>
        <w:autoSpaceDN w:val="0"/>
        <w:spacing w:line="360" w:lineRule="auto"/>
        <w:ind w:left="2"/>
        <w:jc w:val="left"/>
        <w:rPr>
          <w:rFonts w:ascii="仿宋" w:hAnsi="仿宋" w:eastAsia="仿宋" w:cs="FangSong_GB2312"/>
          <w:color w:val="auto"/>
          <w:kern w:val="0"/>
          <w:sz w:val="24"/>
          <w:highlight w:val="none"/>
          <w:lang w:val="zh-CN"/>
        </w:rPr>
      </w:pPr>
    </w:p>
    <w:p>
      <w:pPr>
        <w:autoSpaceDE w:val="0"/>
        <w:autoSpaceDN w:val="0"/>
        <w:spacing w:line="360" w:lineRule="auto"/>
        <w:ind w:left="2" w:leftChars="1" w:right="1120" w:firstLine="5037" w:firstLineChars="2099"/>
        <w:jc w:val="left"/>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 xml:space="preserve">投标人名称（盖章）：                </w:t>
      </w:r>
    </w:p>
    <w:p>
      <w:pPr>
        <w:spacing w:line="360" w:lineRule="auto"/>
        <w:ind w:left="5040" w:hanging="5040" w:hangingChars="2100"/>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 xml:space="preserve">                                   法定代表人或其授权代表（签字或盖章）：                                                                                                                                                                    日期</w:t>
      </w:r>
      <w:r>
        <w:rPr>
          <w:rFonts w:hint="eastAsia" w:ascii="仿宋" w:hAnsi="仿宋" w:eastAsia="仿宋" w:cs="FangSong_GB2312"/>
          <w:color w:val="auto"/>
          <w:kern w:val="0"/>
          <w:sz w:val="24"/>
          <w:highlight w:val="none"/>
        </w:rPr>
        <w:t>：</w:t>
      </w:r>
      <w:r>
        <w:rPr>
          <w:rFonts w:hint="eastAsia" w:ascii="仿宋" w:hAnsi="仿宋" w:eastAsia="仿宋" w:cs="FangSong_GB2312"/>
          <w:color w:val="auto"/>
          <w:kern w:val="0"/>
          <w:sz w:val="24"/>
          <w:highlight w:val="none"/>
          <w:lang w:val="zh-CN"/>
        </w:rPr>
        <w:t xml:space="preserve">   年   月   日</w:t>
      </w:r>
    </w:p>
    <w:p>
      <w:pPr>
        <w:spacing w:line="360" w:lineRule="auto"/>
        <w:jc w:val="center"/>
        <w:rPr>
          <w:rFonts w:ascii="仿宋" w:hAnsi="仿宋" w:eastAsia="仿宋" w:cs="FangSong_GB2312"/>
          <w:b/>
          <w:bCs/>
          <w:color w:val="auto"/>
          <w:sz w:val="32"/>
          <w:szCs w:val="32"/>
          <w:highlight w:val="none"/>
        </w:rPr>
      </w:pPr>
    </w:p>
    <w:p>
      <w:pPr>
        <w:spacing w:line="360" w:lineRule="auto"/>
        <w:jc w:val="center"/>
        <w:rPr>
          <w:rFonts w:ascii="仿宋" w:hAnsi="仿宋" w:eastAsia="仿宋" w:cs="FangSong_GB2312"/>
          <w:b/>
          <w:bCs/>
          <w:color w:val="auto"/>
          <w:sz w:val="32"/>
          <w:szCs w:val="32"/>
          <w:highlight w:val="none"/>
        </w:rPr>
      </w:pPr>
    </w:p>
    <w:p>
      <w:pPr>
        <w:spacing w:line="360" w:lineRule="auto"/>
        <w:jc w:val="center"/>
        <w:rPr>
          <w:rFonts w:ascii="仿宋" w:hAnsi="仿宋" w:eastAsia="仿宋" w:cs="FangSong_GB2312"/>
          <w:b/>
          <w:bCs/>
          <w:color w:val="auto"/>
          <w:sz w:val="32"/>
          <w:szCs w:val="32"/>
          <w:highlight w:val="none"/>
        </w:rPr>
      </w:pPr>
    </w:p>
    <w:p>
      <w:pPr>
        <w:spacing w:line="360" w:lineRule="auto"/>
        <w:jc w:val="center"/>
        <w:rPr>
          <w:rFonts w:ascii="仿宋" w:hAnsi="仿宋" w:eastAsia="仿宋" w:cs="FangSong_GB2312"/>
          <w:b/>
          <w:bCs/>
          <w:color w:val="auto"/>
          <w:sz w:val="32"/>
          <w:szCs w:val="32"/>
          <w:highlight w:val="none"/>
        </w:rPr>
      </w:pPr>
    </w:p>
    <w:p>
      <w:pPr>
        <w:spacing w:line="360" w:lineRule="auto"/>
        <w:jc w:val="center"/>
        <w:rPr>
          <w:rFonts w:ascii="仿宋" w:hAnsi="仿宋" w:eastAsia="仿宋" w:cs="FangSong_GB2312"/>
          <w:b/>
          <w:bCs/>
          <w:color w:val="auto"/>
          <w:sz w:val="32"/>
          <w:szCs w:val="32"/>
          <w:highlight w:val="none"/>
        </w:rPr>
      </w:pPr>
    </w:p>
    <w:p>
      <w:pPr>
        <w:spacing w:line="360" w:lineRule="auto"/>
        <w:jc w:val="center"/>
        <w:rPr>
          <w:rFonts w:ascii="仿宋" w:hAnsi="仿宋" w:eastAsia="仿宋" w:cs="FangSong_GB2312"/>
          <w:b/>
          <w:bCs/>
          <w:color w:val="auto"/>
          <w:sz w:val="32"/>
          <w:szCs w:val="32"/>
          <w:highlight w:val="none"/>
        </w:rPr>
      </w:pPr>
    </w:p>
    <w:p>
      <w:pPr>
        <w:pageBreakBefore/>
        <w:spacing w:line="360" w:lineRule="auto"/>
        <w:rPr>
          <w:rFonts w:ascii="仿宋" w:hAnsi="仿宋" w:eastAsia="仿宋" w:cs="FangSong_GB2312"/>
          <w:b/>
          <w:bCs/>
          <w:color w:val="auto"/>
          <w:sz w:val="32"/>
          <w:szCs w:val="32"/>
          <w:highlight w:val="none"/>
        </w:rPr>
      </w:pPr>
      <w:r>
        <w:rPr>
          <w:rFonts w:hint="eastAsia" w:ascii="仿宋" w:hAnsi="仿宋" w:eastAsia="仿宋" w:cs="FangSong_GB2312"/>
          <w:b/>
          <w:bCs/>
          <w:color w:val="auto"/>
          <w:sz w:val="32"/>
          <w:szCs w:val="32"/>
          <w:highlight w:val="none"/>
        </w:rPr>
        <w:t>14、技术解决方案</w:t>
      </w:r>
    </w:p>
    <w:p>
      <w:pPr>
        <w:spacing w:line="360" w:lineRule="auto"/>
        <w:rPr>
          <w:rFonts w:ascii="仿宋" w:hAnsi="仿宋" w:eastAsia="仿宋" w:cs="FangSong_GB2312"/>
          <w:color w:val="auto"/>
          <w:sz w:val="24"/>
          <w:highlight w:val="none"/>
        </w:rPr>
      </w:pPr>
      <w:r>
        <w:rPr>
          <w:rFonts w:hint="eastAsia" w:ascii="仿宋" w:hAnsi="仿宋" w:eastAsia="仿宋" w:cs="FangSong_GB2312"/>
          <w:color w:val="auto"/>
          <w:sz w:val="24"/>
          <w:highlight w:val="none"/>
        </w:rPr>
        <w:t>（由投标人根据采购需求及招标文件要求编制）</w:t>
      </w:r>
    </w:p>
    <w:p>
      <w:pPr>
        <w:spacing w:line="360" w:lineRule="auto"/>
        <w:jc w:val="center"/>
        <w:rPr>
          <w:rFonts w:ascii="仿宋" w:hAnsi="仿宋" w:eastAsia="仿宋" w:cs="FangSong_GB2312"/>
          <w:color w:val="auto"/>
          <w:sz w:val="24"/>
          <w:highlight w:val="none"/>
        </w:rPr>
      </w:pPr>
    </w:p>
    <w:p>
      <w:pPr>
        <w:snapToGrid w:val="0"/>
        <w:spacing w:line="360" w:lineRule="auto"/>
        <w:jc w:val="center"/>
        <w:rPr>
          <w:rFonts w:ascii="仿宋" w:hAnsi="仿宋" w:eastAsia="仿宋" w:cs="FangSong_GB2312"/>
          <w:b/>
          <w:color w:val="auto"/>
          <w:sz w:val="32"/>
          <w:szCs w:val="32"/>
          <w:highlight w:val="none"/>
        </w:rPr>
      </w:pPr>
      <w:r>
        <w:rPr>
          <w:rFonts w:hint="eastAsia" w:ascii="仿宋" w:hAnsi="仿宋" w:eastAsia="仿宋" w:cs="FangSong_GB2312"/>
          <w:b/>
          <w:color w:val="auto"/>
          <w:sz w:val="32"/>
          <w:szCs w:val="32"/>
          <w:highlight w:val="none"/>
        </w:rPr>
        <w:t>投标产品规格配置清单</w:t>
      </w:r>
    </w:p>
    <w:tbl>
      <w:tblPr>
        <w:tblStyle w:val="3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序号</w:t>
            </w:r>
          </w:p>
        </w:tc>
        <w:tc>
          <w:tcPr>
            <w:tcW w:w="1531" w:type="dxa"/>
            <w:vAlign w:val="center"/>
          </w:tcPr>
          <w:p>
            <w:pPr>
              <w:spacing w:line="360" w:lineRule="auto"/>
              <w:jc w:val="center"/>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设备名称</w:t>
            </w:r>
          </w:p>
        </w:tc>
        <w:tc>
          <w:tcPr>
            <w:tcW w:w="2160" w:type="dxa"/>
            <w:vAlign w:val="center"/>
          </w:tcPr>
          <w:p>
            <w:pPr>
              <w:spacing w:line="360" w:lineRule="auto"/>
              <w:jc w:val="center"/>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投标品牌及型号</w:t>
            </w:r>
          </w:p>
        </w:tc>
        <w:tc>
          <w:tcPr>
            <w:tcW w:w="2340" w:type="dxa"/>
            <w:vAlign w:val="center"/>
          </w:tcPr>
          <w:p>
            <w:pPr>
              <w:spacing w:line="360" w:lineRule="auto"/>
              <w:jc w:val="center"/>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规格配置详细说明</w:t>
            </w:r>
          </w:p>
        </w:tc>
        <w:tc>
          <w:tcPr>
            <w:tcW w:w="1080" w:type="dxa"/>
            <w:vAlign w:val="center"/>
          </w:tcPr>
          <w:p>
            <w:pPr>
              <w:spacing w:line="360" w:lineRule="auto"/>
              <w:jc w:val="center"/>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数量</w:t>
            </w:r>
          </w:p>
        </w:tc>
        <w:tc>
          <w:tcPr>
            <w:tcW w:w="1332" w:type="dxa"/>
            <w:vAlign w:val="center"/>
          </w:tcPr>
          <w:p>
            <w:pPr>
              <w:spacing w:line="360" w:lineRule="auto"/>
              <w:jc w:val="center"/>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1</w:t>
            </w:r>
          </w:p>
        </w:tc>
        <w:tc>
          <w:tcPr>
            <w:tcW w:w="1531" w:type="dxa"/>
            <w:vAlign w:val="center"/>
          </w:tcPr>
          <w:p>
            <w:pPr>
              <w:snapToGrid w:val="0"/>
              <w:spacing w:line="360" w:lineRule="auto"/>
              <w:jc w:val="center"/>
              <w:rPr>
                <w:rFonts w:ascii="仿宋" w:hAnsi="仿宋" w:eastAsia="仿宋" w:cs="FangSong_GB2312"/>
                <w:color w:val="auto"/>
                <w:sz w:val="24"/>
                <w:highlight w:val="none"/>
              </w:rPr>
            </w:pPr>
          </w:p>
        </w:tc>
        <w:tc>
          <w:tcPr>
            <w:tcW w:w="2160" w:type="dxa"/>
            <w:vAlign w:val="center"/>
          </w:tcPr>
          <w:p>
            <w:pPr>
              <w:snapToGrid w:val="0"/>
              <w:spacing w:line="360" w:lineRule="auto"/>
              <w:jc w:val="center"/>
              <w:rPr>
                <w:rFonts w:ascii="仿宋" w:hAnsi="仿宋" w:eastAsia="仿宋" w:cs="FangSong_GB2312"/>
                <w:color w:val="auto"/>
                <w:sz w:val="24"/>
                <w:highlight w:val="none"/>
              </w:rPr>
            </w:pPr>
          </w:p>
        </w:tc>
        <w:tc>
          <w:tcPr>
            <w:tcW w:w="2340" w:type="dxa"/>
            <w:vAlign w:val="center"/>
          </w:tcPr>
          <w:p>
            <w:pPr>
              <w:spacing w:line="360" w:lineRule="auto"/>
              <w:jc w:val="center"/>
              <w:rPr>
                <w:rFonts w:ascii="仿宋" w:hAnsi="仿宋" w:eastAsia="仿宋" w:cs="FangSong_GB2312"/>
                <w:color w:val="auto"/>
                <w:sz w:val="24"/>
                <w:highlight w:val="none"/>
              </w:rPr>
            </w:pPr>
          </w:p>
        </w:tc>
        <w:tc>
          <w:tcPr>
            <w:tcW w:w="1080" w:type="dxa"/>
            <w:vAlign w:val="center"/>
          </w:tcPr>
          <w:p>
            <w:pPr>
              <w:spacing w:line="360" w:lineRule="auto"/>
              <w:jc w:val="center"/>
              <w:rPr>
                <w:rFonts w:ascii="仿宋" w:hAnsi="仿宋" w:eastAsia="仿宋" w:cs="FangSong_GB2312"/>
                <w:color w:val="auto"/>
                <w:sz w:val="24"/>
                <w:highlight w:val="none"/>
              </w:rPr>
            </w:pPr>
          </w:p>
        </w:tc>
        <w:tc>
          <w:tcPr>
            <w:tcW w:w="1332" w:type="dxa"/>
            <w:vAlign w:val="center"/>
          </w:tcPr>
          <w:p>
            <w:pPr>
              <w:spacing w:line="360" w:lineRule="auto"/>
              <w:jc w:val="center"/>
              <w:rPr>
                <w:rFonts w:ascii="仿宋" w:hAnsi="仿宋" w:eastAsia="仿宋" w:cs="FangSong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2</w:t>
            </w:r>
          </w:p>
        </w:tc>
        <w:tc>
          <w:tcPr>
            <w:tcW w:w="1531" w:type="dxa"/>
            <w:vAlign w:val="center"/>
          </w:tcPr>
          <w:p>
            <w:pPr>
              <w:snapToGrid w:val="0"/>
              <w:spacing w:line="360" w:lineRule="auto"/>
              <w:jc w:val="center"/>
              <w:rPr>
                <w:rFonts w:ascii="仿宋" w:hAnsi="仿宋" w:eastAsia="仿宋" w:cs="FangSong_GB2312"/>
                <w:color w:val="auto"/>
                <w:sz w:val="24"/>
                <w:highlight w:val="none"/>
              </w:rPr>
            </w:pPr>
          </w:p>
        </w:tc>
        <w:tc>
          <w:tcPr>
            <w:tcW w:w="2160" w:type="dxa"/>
            <w:vAlign w:val="center"/>
          </w:tcPr>
          <w:p>
            <w:pPr>
              <w:snapToGrid w:val="0"/>
              <w:spacing w:line="360" w:lineRule="auto"/>
              <w:jc w:val="center"/>
              <w:rPr>
                <w:rFonts w:ascii="仿宋" w:hAnsi="仿宋" w:eastAsia="仿宋" w:cs="FangSong_GB2312"/>
                <w:color w:val="auto"/>
                <w:sz w:val="24"/>
                <w:highlight w:val="none"/>
              </w:rPr>
            </w:pPr>
          </w:p>
        </w:tc>
        <w:tc>
          <w:tcPr>
            <w:tcW w:w="2340" w:type="dxa"/>
            <w:vAlign w:val="center"/>
          </w:tcPr>
          <w:p>
            <w:pPr>
              <w:spacing w:line="360" w:lineRule="auto"/>
              <w:jc w:val="center"/>
              <w:rPr>
                <w:rFonts w:ascii="仿宋" w:hAnsi="仿宋" w:eastAsia="仿宋" w:cs="FangSong_GB2312"/>
                <w:color w:val="auto"/>
                <w:sz w:val="24"/>
                <w:highlight w:val="none"/>
              </w:rPr>
            </w:pPr>
          </w:p>
        </w:tc>
        <w:tc>
          <w:tcPr>
            <w:tcW w:w="1080" w:type="dxa"/>
            <w:vAlign w:val="center"/>
          </w:tcPr>
          <w:p>
            <w:pPr>
              <w:spacing w:line="360" w:lineRule="auto"/>
              <w:jc w:val="center"/>
              <w:rPr>
                <w:rFonts w:ascii="仿宋" w:hAnsi="仿宋" w:eastAsia="仿宋" w:cs="FangSong_GB2312"/>
                <w:color w:val="auto"/>
                <w:sz w:val="24"/>
                <w:highlight w:val="none"/>
              </w:rPr>
            </w:pPr>
          </w:p>
        </w:tc>
        <w:tc>
          <w:tcPr>
            <w:tcW w:w="1332" w:type="dxa"/>
            <w:vAlign w:val="center"/>
          </w:tcPr>
          <w:p>
            <w:pPr>
              <w:spacing w:line="360" w:lineRule="auto"/>
              <w:jc w:val="center"/>
              <w:rPr>
                <w:rFonts w:ascii="仿宋" w:hAnsi="仿宋" w:eastAsia="仿宋" w:cs="FangSong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3</w:t>
            </w:r>
          </w:p>
        </w:tc>
        <w:tc>
          <w:tcPr>
            <w:tcW w:w="1531" w:type="dxa"/>
            <w:vAlign w:val="center"/>
          </w:tcPr>
          <w:p>
            <w:pPr>
              <w:snapToGrid w:val="0"/>
              <w:spacing w:line="360" w:lineRule="auto"/>
              <w:jc w:val="center"/>
              <w:rPr>
                <w:rFonts w:ascii="仿宋" w:hAnsi="仿宋" w:eastAsia="仿宋" w:cs="FangSong_GB2312"/>
                <w:color w:val="auto"/>
                <w:sz w:val="24"/>
                <w:highlight w:val="none"/>
              </w:rPr>
            </w:pPr>
          </w:p>
        </w:tc>
        <w:tc>
          <w:tcPr>
            <w:tcW w:w="2160" w:type="dxa"/>
            <w:vAlign w:val="center"/>
          </w:tcPr>
          <w:p>
            <w:pPr>
              <w:snapToGrid w:val="0"/>
              <w:spacing w:line="360" w:lineRule="auto"/>
              <w:jc w:val="center"/>
              <w:rPr>
                <w:rFonts w:ascii="仿宋" w:hAnsi="仿宋" w:eastAsia="仿宋" w:cs="FangSong_GB2312"/>
                <w:color w:val="auto"/>
                <w:sz w:val="24"/>
                <w:highlight w:val="none"/>
              </w:rPr>
            </w:pPr>
          </w:p>
        </w:tc>
        <w:tc>
          <w:tcPr>
            <w:tcW w:w="2340" w:type="dxa"/>
            <w:vAlign w:val="center"/>
          </w:tcPr>
          <w:p>
            <w:pPr>
              <w:spacing w:line="360" w:lineRule="auto"/>
              <w:jc w:val="center"/>
              <w:rPr>
                <w:rFonts w:ascii="仿宋" w:hAnsi="仿宋" w:eastAsia="仿宋" w:cs="FangSong_GB2312"/>
                <w:color w:val="auto"/>
                <w:sz w:val="24"/>
                <w:highlight w:val="none"/>
              </w:rPr>
            </w:pPr>
          </w:p>
        </w:tc>
        <w:tc>
          <w:tcPr>
            <w:tcW w:w="1080" w:type="dxa"/>
            <w:vAlign w:val="center"/>
          </w:tcPr>
          <w:p>
            <w:pPr>
              <w:spacing w:line="360" w:lineRule="auto"/>
              <w:jc w:val="center"/>
              <w:rPr>
                <w:rFonts w:ascii="仿宋" w:hAnsi="仿宋" w:eastAsia="仿宋" w:cs="FangSong_GB2312"/>
                <w:color w:val="auto"/>
                <w:sz w:val="24"/>
                <w:highlight w:val="none"/>
              </w:rPr>
            </w:pPr>
          </w:p>
        </w:tc>
        <w:tc>
          <w:tcPr>
            <w:tcW w:w="1332" w:type="dxa"/>
            <w:vAlign w:val="center"/>
          </w:tcPr>
          <w:p>
            <w:pPr>
              <w:spacing w:line="360" w:lineRule="auto"/>
              <w:jc w:val="center"/>
              <w:rPr>
                <w:rFonts w:ascii="仿宋" w:hAnsi="仿宋" w:eastAsia="仿宋" w:cs="FangSong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4</w:t>
            </w:r>
          </w:p>
        </w:tc>
        <w:tc>
          <w:tcPr>
            <w:tcW w:w="1531" w:type="dxa"/>
            <w:vAlign w:val="center"/>
          </w:tcPr>
          <w:p>
            <w:pPr>
              <w:snapToGrid w:val="0"/>
              <w:spacing w:line="360" w:lineRule="auto"/>
              <w:jc w:val="center"/>
              <w:rPr>
                <w:rFonts w:ascii="仿宋" w:hAnsi="仿宋" w:eastAsia="仿宋" w:cs="FangSong_GB2312"/>
                <w:color w:val="auto"/>
                <w:sz w:val="24"/>
                <w:highlight w:val="none"/>
              </w:rPr>
            </w:pPr>
          </w:p>
        </w:tc>
        <w:tc>
          <w:tcPr>
            <w:tcW w:w="2160" w:type="dxa"/>
            <w:vAlign w:val="center"/>
          </w:tcPr>
          <w:p>
            <w:pPr>
              <w:snapToGrid w:val="0"/>
              <w:spacing w:line="360" w:lineRule="auto"/>
              <w:jc w:val="center"/>
              <w:rPr>
                <w:rFonts w:ascii="仿宋" w:hAnsi="仿宋" w:eastAsia="仿宋" w:cs="FangSong_GB2312"/>
                <w:color w:val="auto"/>
                <w:sz w:val="24"/>
                <w:highlight w:val="none"/>
              </w:rPr>
            </w:pPr>
          </w:p>
        </w:tc>
        <w:tc>
          <w:tcPr>
            <w:tcW w:w="2340" w:type="dxa"/>
            <w:vAlign w:val="center"/>
          </w:tcPr>
          <w:p>
            <w:pPr>
              <w:spacing w:line="360" w:lineRule="auto"/>
              <w:jc w:val="center"/>
              <w:rPr>
                <w:rFonts w:ascii="仿宋" w:hAnsi="仿宋" w:eastAsia="仿宋" w:cs="FangSong_GB2312"/>
                <w:color w:val="auto"/>
                <w:sz w:val="24"/>
                <w:highlight w:val="none"/>
              </w:rPr>
            </w:pPr>
          </w:p>
        </w:tc>
        <w:tc>
          <w:tcPr>
            <w:tcW w:w="1080" w:type="dxa"/>
            <w:vAlign w:val="center"/>
          </w:tcPr>
          <w:p>
            <w:pPr>
              <w:spacing w:line="360" w:lineRule="auto"/>
              <w:jc w:val="center"/>
              <w:rPr>
                <w:rFonts w:ascii="仿宋" w:hAnsi="仿宋" w:eastAsia="仿宋" w:cs="FangSong_GB2312"/>
                <w:color w:val="auto"/>
                <w:sz w:val="24"/>
                <w:highlight w:val="none"/>
              </w:rPr>
            </w:pPr>
          </w:p>
        </w:tc>
        <w:tc>
          <w:tcPr>
            <w:tcW w:w="1332" w:type="dxa"/>
            <w:vAlign w:val="center"/>
          </w:tcPr>
          <w:p>
            <w:pPr>
              <w:spacing w:line="360" w:lineRule="auto"/>
              <w:jc w:val="center"/>
              <w:rPr>
                <w:rFonts w:ascii="仿宋" w:hAnsi="仿宋" w:eastAsia="仿宋" w:cs="FangSong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5</w:t>
            </w:r>
          </w:p>
        </w:tc>
        <w:tc>
          <w:tcPr>
            <w:tcW w:w="1531" w:type="dxa"/>
            <w:vAlign w:val="center"/>
          </w:tcPr>
          <w:p>
            <w:pPr>
              <w:snapToGrid w:val="0"/>
              <w:spacing w:line="360" w:lineRule="auto"/>
              <w:jc w:val="center"/>
              <w:rPr>
                <w:rFonts w:ascii="仿宋" w:hAnsi="仿宋" w:eastAsia="仿宋" w:cs="FangSong_GB2312"/>
                <w:color w:val="auto"/>
                <w:sz w:val="24"/>
                <w:highlight w:val="none"/>
              </w:rPr>
            </w:pPr>
          </w:p>
        </w:tc>
        <w:tc>
          <w:tcPr>
            <w:tcW w:w="2160" w:type="dxa"/>
            <w:vAlign w:val="center"/>
          </w:tcPr>
          <w:p>
            <w:pPr>
              <w:snapToGrid w:val="0"/>
              <w:spacing w:line="360" w:lineRule="auto"/>
              <w:jc w:val="center"/>
              <w:rPr>
                <w:rFonts w:ascii="仿宋" w:hAnsi="仿宋" w:eastAsia="仿宋" w:cs="FangSong_GB2312"/>
                <w:color w:val="auto"/>
                <w:sz w:val="24"/>
                <w:highlight w:val="none"/>
              </w:rPr>
            </w:pPr>
          </w:p>
        </w:tc>
        <w:tc>
          <w:tcPr>
            <w:tcW w:w="2340" w:type="dxa"/>
            <w:vAlign w:val="center"/>
          </w:tcPr>
          <w:p>
            <w:pPr>
              <w:spacing w:line="360" w:lineRule="auto"/>
              <w:jc w:val="center"/>
              <w:rPr>
                <w:rFonts w:ascii="仿宋" w:hAnsi="仿宋" w:eastAsia="仿宋" w:cs="FangSong_GB2312"/>
                <w:color w:val="auto"/>
                <w:sz w:val="24"/>
                <w:highlight w:val="none"/>
              </w:rPr>
            </w:pPr>
          </w:p>
        </w:tc>
        <w:tc>
          <w:tcPr>
            <w:tcW w:w="1080" w:type="dxa"/>
            <w:vAlign w:val="center"/>
          </w:tcPr>
          <w:p>
            <w:pPr>
              <w:spacing w:line="360" w:lineRule="auto"/>
              <w:jc w:val="center"/>
              <w:rPr>
                <w:rFonts w:ascii="仿宋" w:hAnsi="仿宋" w:eastAsia="仿宋" w:cs="FangSong_GB2312"/>
                <w:color w:val="auto"/>
                <w:sz w:val="24"/>
                <w:highlight w:val="none"/>
              </w:rPr>
            </w:pPr>
          </w:p>
        </w:tc>
        <w:tc>
          <w:tcPr>
            <w:tcW w:w="1332" w:type="dxa"/>
            <w:vAlign w:val="center"/>
          </w:tcPr>
          <w:p>
            <w:pPr>
              <w:spacing w:line="360" w:lineRule="auto"/>
              <w:jc w:val="center"/>
              <w:rPr>
                <w:rFonts w:ascii="仿宋" w:hAnsi="仿宋" w:eastAsia="仿宋" w:cs="FangSong_GB2312"/>
                <w:color w:val="auto"/>
                <w:sz w:val="24"/>
                <w:highlight w:val="none"/>
              </w:rPr>
            </w:pPr>
          </w:p>
        </w:tc>
      </w:tr>
    </w:tbl>
    <w:p>
      <w:pPr>
        <w:autoSpaceDE w:val="0"/>
        <w:autoSpaceDN w:val="0"/>
        <w:spacing w:line="360" w:lineRule="auto"/>
        <w:rPr>
          <w:rFonts w:ascii="仿宋" w:hAnsi="仿宋" w:eastAsia="仿宋" w:cs="FangSong_GB2312"/>
          <w:b/>
          <w:color w:val="auto"/>
          <w:sz w:val="24"/>
          <w:highlight w:val="none"/>
        </w:rPr>
      </w:pPr>
      <w:r>
        <w:rPr>
          <w:rFonts w:hint="eastAsia" w:ascii="仿宋" w:hAnsi="仿宋" w:eastAsia="仿宋" w:cs="FangSong_GB2312"/>
          <w:b/>
          <w:color w:val="auto"/>
          <w:kern w:val="0"/>
          <w:sz w:val="24"/>
          <w:highlight w:val="none"/>
        </w:rPr>
        <w:t>注：1.</w:t>
      </w:r>
      <w:r>
        <w:rPr>
          <w:rFonts w:hint="eastAsia" w:ascii="仿宋" w:hAnsi="仿宋" w:eastAsia="仿宋" w:cs="FangSong_GB2312"/>
          <w:b/>
          <w:color w:val="auto"/>
          <w:sz w:val="24"/>
          <w:highlight w:val="none"/>
        </w:rPr>
        <w:t>如果本项目涉及硬件设备采购，须在商务技术（资信）文件中提供此配置清单，提供主要投标产品的技术参数证明材料（如官网截图、产品彩页、原厂技术说明等）。</w:t>
      </w:r>
    </w:p>
    <w:p>
      <w:pPr>
        <w:autoSpaceDE w:val="0"/>
        <w:autoSpaceDN w:val="0"/>
        <w:spacing w:line="360" w:lineRule="auto"/>
        <w:ind w:firstLine="4560" w:firstLineChars="190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投标人名称（</w:t>
      </w:r>
      <w:r>
        <w:rPr>
          <w:rFonts w:hint="eastAsia" w:ascii="仿宋" w:hAnsi="仿宋" w:eastAsia="仿宋" w:cs="FangSong_GB2312"/>
          <w:color w:val="auto"/>
          <w:kern w:val="0"/>
          <w:sz w:val="24"/>
          <w:highlight w:val="none"/>
          <w:lang w:eastAsia="zh-CN"/>
        </w:rPr>
        <w:t>盖</w:t>
      </w:r>
      <w:r>
        <w:rPr>
          <w:rFonts w:hint="eastAsia" w:ascii="仿宋" w:hAnsi="仿宋" w:eastAsia="仿宋" w:cs="FangSong_GB2312"/>
          <w:color w:val="auto"/>
          <w:kern w:val="0"/>
          <w:sz w:val="24"/>
          <w:highlight w:val="none"/>
        </w:rPr>
        <w:t>章）：</w:t>
      </w:r>
    </w:p>
    <w:p>
      <w:pPr>
        <w:autoSpaceDE w:val="0"/>
        <w:autoSpaceDN w:val="0"/>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 xml:space="preserve">                                     法定代表人或其授权代表（签字</w:t>
      </w:r>
      <w:r>
        <w:rPr>
          <w:rFonts w:hint="eastAsia" w:ascii="仿宋" w:hAnsi="仿宋" w:eastAsia="仿宋" w:cs="FangSong_GB2312"/>
          <w:color w:val="auto"/>
          <w:kern w:val="0"/>
          <w:sz w:val="24"/>
          <w:highlight w:val="none"/>
          <w:lang w:eastAsia="zh-CN"/>
        </w:rPr>
        <w:t>或盖章</w:t>
      </w:r>
      <w:r>
        <w:rPr>
          <w:rFonts w:hint="eastAsia" w:ascii="仿宋" w:hAnsi="仿宋" w:eastAsia="仿宋" w:cs="FangSong_GB2312"/>
          <w:color w:val="auto"/>
          <w:kern w:val="0"/>
          <w:sz w:val="24"/>
          <w:highlight w:val="none"/>
        </w:rPr>
        <w:t>）：</w:t>
      </w:r>
    </w:p>
    <w:p>
      <w:pPr>
        <w:spacing w:line="360" w:lineRule="auto"/>
        <w:jc w:val="center"/>
        <w:rPr>
          <w:rFonts w:ascii="仿宋" w:hAnsi="仿宋" w:eastAsia="仿宋" w:cs="FangSong_GB2312"/>
          <w:b/>
          <w:bCs/>
          <w:color w:val="auto"/>
          <w:kern w:val="0"/>
          <w:sz w:val="24"/>
          <w:highlight w:val="none"/>
          <w:lang w:val="zh-CN"/>
        </w:rPr>
      </w:pPr>
      <w:r>
        <w:rPr>
          <w:rFonts w:hint="eastAsia" w:ascii="仿宋" w:hAnsi="仿宋" w:eastAsia="仿宋" w:cs="FangSong_GB2312"/>
          <w:color w:val="auto"/>
          <w:kern w:val="0"/>
          <w:sz w:val="24"/>
          <w:highlight w:val="none"/>
        </w:rPr>
        <w:t xml:space="preserve">                     日期：  年  月   日</w:t>
      </w: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FangSong_GB2312"/>
          <w:b/>
          <w:bCs/>
          <w:color w:val="auto"/>
          <w:kern w:val="0"/>
          <w:sz w:val="24"/>
          <w:highlight w:val="none"/>
          <w:lang w:val="zh-CN"/>
        </w:rPr>
      </w:pPr>
      <w:r>
        <w:rPr>
          <w:rFonts w:hint="eastAsia" w:ascii="仿宋" w:hAnsi="仿宋" w:eastAsia="仿宋" w:cs="FangSong_GB2312"/>
          <w:b/>
          <w:bCs/>
          <w:color w:val="auto"/>
          <w:kern w:val="0"/>
          <w:sz w:val="24"/>
          <w:highlight w:val="none"/>
          <w:lang w:val="zh-CN"/>
        </w:rPr>
        <w:tab/>
      </w:r>
      <w:r>
        <w:rPr>
          <w:rFonts w:hint="eastAsia" w:ascii="仿宋" w:hAnsi="仿宋" w:eastAsia="仿宋" w:cs="FangSong_GB2312"/>
          <w:b/>
          <w:bCs/>
          <w:color w:val="auto"/>
          <w:kern w:val="0"/>
          <w:sz w:val="24"/>
          <w:highlight w:val="none"/>
          <w:lang w:val="zh-CN"/>
        </w:rPr>
        <w:tab/>
      </w: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FangSong_GB2312"/>
          <w:b/>
          <w:bCs/>
          <w:color w:val="auto"/>
          <w:kern w:val="0"/>
          <w:sz w:val="24"/>
          <w:highlight w:val="none"/>
          <w:lang w:val="zh-CN"/>
        </w:rPr>
      </w:pP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FangSong_GB2312"/>
          <w:b/>
          <w:bCs/>
          <w:color w:val="auto"/>
          <w:kern w:val="0"/>
          <w:sz w:val="24"/>
          <w:highlight w:val="none"/>
          <w:lang w:val="zh-CN"/>
        </w:rPr>
      </w:pPr>
    </w:p>
    <w:p>
      <w:pPr>
        <w:tabs>
          <w:tab w:val="left" w:pos="2790"/>
          <w:tab w:val="center" w:pos="3835"/>
          <w:tab w:val="left" w:pos="4230"/>
          <w:tab w:val="left" w:pos="4695"/>
        </w:tabs>
        <w:autoSpaceDE w:val="0"/>
        <w:autoSpaceDN w:val="0"/>
        <w:spacing w:line="360" w:lineRule="auto"/>
        <w:ind w:right="1400"/>
        <w:jc w:val="left"/>
        <w:outlineLvl w:val="1"/>
        <w:rPr>
          <w:rFonts w:ascii="仿宋" w:hAnsi="仿宋" w:eastAsia="仿宋" w:cs="FangSong_GB2312"/>
          <w:b/>
          <w:bCs/>
          <w:color w:val="auto"/>
          <w:kern w:val="0"/>
          <w:sz w:val="24"/>
          <w:highlight w:val="none"/>
          <w:lang w:val="zh-CN"/>
        </w:rPr>
      </w:pPr>
    </w:p>
    <w:p>
      <w:pPr>
        <w:pageBreakBefore/>
        <w:spacing w:line="360" w:lineRule="auto"/>
        <w:rPr>
          <w:rFonts w:ascii="仿宋" w:hAnsi="仿宋" w:eastAsia="仿宋" w:cs="FangSong_GB2312"/>
          <w:b/>
          <w:bCs/>
          <w:color w:val="auto"/>
          <w:sz w:val="32"/>
          <w:szCs w:val="32"/>
          <w:highlight w:val="none"/>
        </w:rPr>
      </w:pPr>
      <w:r>
        <w:rPr>
          <w:rFonts w:hint="eastAsia" w:ascii="仿宋" w:hAnsi="仿宋" w:eastAsia="仿宋" w:cs="FangSong_GB2312"/>
          <w:b/>
          <w:bCs/>
          <w:color w:val="auto"/>
          <w:sz w:val="32"/>
          <w:szCs w:val="32"/>
          <w:highlight w:val="none"/>
        </w:rPr>
        <w:t>15、技术偏离说明表</w:t>
      </w:r>
    </w:p>
    <w:p>
      <w:pPr>
        <w:spacing w:line="360" w:lineRule="auto"/>
        <w:rPr>
          <w:rFonts w:ascii="仿宋" w:hAnsi="仿宋" w:eastAsia="仿宋" w:cs="FangSong_GB2312"/>
          <w:b/>
          <w:bCs/>
          <w:color w:val="auto"/>
          <w:sz w:val="32"/>
          <w:szCs w:val="32"/>
          <w:highlight w:val="none"/>
        </w:rPr>
      </w:pPr>
      <w:r>
        <w:rPr>
          <w:rFonts w:hint="eastAsia" w:ascii="仿宋" w:hAnsi="仿宋" w:eastAsia="仿宋" w:cs="FangSong_GB2312"/>
          <w:color w:val="auto"/>
          <w:sz w:val="24"/>
          <w:highlight w:val="none"/>
        </w:rPr>
        <w:t>（由投标人根据采购需求及招标文件要求编制）</w:t>
      </w:r>
    </w:p>
    <w:tbl>
      <w:tblPr>
        <w:tblStyle w:val="39"/>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招标文件技术要求</w:t>
            </w:r>
          </w:p>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请填写保修期要求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请填写验收方式要求(如有)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请填写到货期要求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r>
              <w:rPr>
                <w:rFonts w:hint="eastAsia" w:ascii="仿宋" w:hAnsi="仿宋" w:eastAsia="仿宋"/>
                <w:color w:val="auto"/>
                <w:sz w:val="24"/>
                <w:highlight w:val="none"/>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olor w:val="auto"/>
                <w:sz w:val="24"/>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olor w:val="auto"/>
                <w:sz w:val="24"/>
                <w:highlight w:val="none"/>
              </w:rPr>
            </w:pPr>
          </w:p>
        </w:tc>
      </w:tr>
    </w:tbl>
    <w:p>
      <w:pPr>
        <w:tabs>
          <w:tab w:val="left" w:pos="570"/>
        </w:tabs>
        <w:spacing w:line="440" w:lineRule="exact"/>
        <w:ind w:firstLine="120" w:firstLineChars="50"/>
        <w:jc w:val="left"/>
        <w:rPr>
          <w:rFonts w:ascii="仿宋" w:hAnsi="仿宋" w:eastAsia="仿宋"/>
          <w:color w:val="auto"/>
          <w:sz w:val="24"/>
          <w:highlight w:val="none"/>
        </w:rPr>
      </w:pPr>
      <w:r>
        <w:rPr>
          <w:rFonts w:hint="eastAsia" w:ascii="仿宋" w:hAnsi="仿宋" w:eastAsia="仿宋"/>
          <w:color w:val="auto"/>
          <w:sz w:val="24"/>
          <w:highlight w:val="none"/>
        </w:rPr>
        <w:t>注：1.此表须与</w:t>
      </w:r>
      <w:r>
        <w:rPr>
          <w:rFonts w:hint="eastAsia" w:ascii="仿宋" w:hAnsi="仿宋" w:eastAsia="仿宋"/>
          <w:color w:val="auto"/>
          <w:kern w:val="0"/>
          <w:sz w:val="24"/>
          <w:highlight w:val="none"/>
        </w:rPr>
        <w:t>招标文件“</w:t>
      </w:r>
      <w:r>
        <w:rPr>
          <w:rFonts w:hint="eastAsia" w:ascii="仿宋" w:hAnsi="仿宋" w:eastAsia="仿宋"/>
          <w:color w:val="auto"/>
          <w:sz w:val="24"/>
          <w:highlight w:val="none"/>
        </w:rPr>
        <w:t>招标项目说明及要求</w:t>
      </w:r>
      <w:r>
        <w:rPr>
          <w:rFonts w:hint="eastAsia" w:ascii="仿宋" w:hAnsi="仿宋" w:eastAsia="仿宋"/>
          <w:color w:val="auto"/>
          <w:kern w:val="0"/>
          <w:sz w:val="24"/>
          <w:highlight w:val="none"/>
        </w:rPr>
        <w:t>”</w:t>
      </w:r>
      <w:r>
        <w:rPr>
          <w:rFonts w:hint="eastAsia" w:ascii="仿宋" w:hAnsi="仿宋" w:eastAsia="仿宋"/>
          <w:color w:val="auto"/>
          <w:sz w:val="24"/>
          <w:highlight w:val="none"/>
        </w:rPr>
        <w:t>相应标项内的所有技术规格相比较且一一对应</w:t>
      </w:r>
      <w:r>
        <w:rPr>
          <w:rFonts w:hint="eastAsia" w:ascii="仿宋" w:hAnsi="仿宋" w:eastAsia="仿宋" w:cs="宋体"/>
          <w:color w:val="auto"/>
          <w:sz w:val="24"/>
          <w:highlight w:val="none"/>
        </w:rPr>
        <w:t>真实逐条</w:t>
      </w:r>
      <w:r>
        <w:rPr>
          <w:rFonts w:hint="eastAsia" w:ascii="仿宋" w:hAnsi="仿宋" w:eastAsia="仿宋"/>
          <w:color w:val="auto"/>
          <w:sz w:val="24"/>
          <w:highlight w:val="none"/>
        </w:rPr>
        <w:t>填列。</w:t>
      </w:r>
    </w:p>
    <w:p>
      <w:pPr>
        <w:tabs>
          <w:tab w:val="left" w:pos="570"/>
        </w:tabs>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宋体"/>
          <w:color w:val="auto"/>
          <w:sz w:val="24"/>
          <w:highlight w:val="none"/>
        </w:rPr>
        <w:t>投标人递交的技术规格书中必须真实逐条列明，否则由投标人自行承担相关风险。</w:t>
      </w:r>
    </w:p>
    <w:p>
      <w:pPr>
        <w:autoSpaceDE w:val="0"/>
        <w:autoSpaceDN w:val="0"/>
        <w:spacing w:line="360" w:lineRule="auto"/>
        <w:ind w:firstLine="5040" w:firstLineChars="2100"/>
        <w:rPr>
          <w:rFonts w:ascii="仿宋" w:hAnsi="仿宋" w:eastAsia="仿宋" w:cs="FangSong_GB2312"/>
          <w:color w:val="auto"/>
          <w:kern w:val="0"/>
          <w:sz w:val="24"/>
          <w:highlight w:val="none"/>
          <w:lang w:val="zh-CN"/>
        </w:rPr>
      </w:pPr>
    </w:p>
    <w:p>
      <w:pPr>
        <w:autoSpaceDE w:val="0"/>
        <w:autoSpaceDN w:val="0"/>
        <w:spacing w:line="360" w:lineRule="auto"/>
        <w:ind w:firstLine="5040" w:firstLineChars="210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lang w:val="zh-CN"/>
        </w:rPr>
        <w:t xml:space="preserve">投标人名称（盖章）：      </w:t>
      </w:r>
    </w:p>
    <w:p>
      <w:pPr>
        <w:autoSpaceDE w:val="0"/>
        <w:autoSpaceDN w:val="0"/>
        <w:spacing w:line="360" w:lineRule="auto"/>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 xml:space="preserve">                                    法定代表人或其授权代表（签字或盖章）： </w:t>
      </w:r>
    </w:p>
    <w:p>
      <w:pPr>
        <w:spacing w:line="360" w:lineRule="auto"/>
        <w:jc w:val="center"/>
        <w:rPr>
          <w:rFonts w:ascii="仿宋" w:hAnsi="仿宋" w:eastAsia="仿宋" w:cs="FangSong_GB2312"/>
          <w:b/>
          <w:color w:val="auto"/>
          <w:sz w:val="24"/>
          <w:highlight w:val="none"/>
        </w:rPr>
      </w:pPr>
      <w:r>
        <w:rPr>
          <w:rFonts w:hint="eastAsia" w:ascii="仿宋" w:hAnsi="仿宋" w:eastAsia="仿宋" w:cs="FangSong_GB2312"/>
          <w:color w:val="auto"/>
          <w:kern w:val="0"/>
          <w:sz w:val="24"/>
          <w:highlight w:val="none"/>
          <w:lang w:val="zh-CN"/>
        </w:rPr>
        <w:t xml:space="preserve">                            日期：  年  月   日</w:t>
      </w:r>
    </w:p>
    <w:p>
      <w:pPr>
        <w:tabs>
          <w:tab w:val="left" w:pos="2790"/>
          <w:tab w:val="left" w:pos="4230"/>
        </w:tabs>
        <w:autoSpaceDE w:val="0"/>
        <w:autoSpaceDN w:val="0"/>
        <w:spacing w:line="360" w:lineRule="auto"/>
        <w:ind w:right="1400"/>
        <w:jc w:val="center"/>
        <w:outlineLvl w:val="1"/>
        <w:rPr>
          <w:rFonts w:ascii="仿宋" w:hAnsi="仿宋" w:eastAsia="仿宋" w:cs="FangSong_GB2312"/>
          <w:b/>
          <w:bCs/>
          <w:color w:val="auto"/>
          <w:kern w:val="0"/>
          <w:sz w:val="36"/>
          <w:szCs w:val="36"/>
          <w:highlight w:val="none"/>
          <w:lang w:val="zh-CN"/>
        </w:rPr>
      </w:pPr>
    </w:p>
    <w:p>
      <w:pPr>
        <w:tabs>
          <w:tab w:val="left" w:pos="2790"/>
          <w:tab w:val="left" w:pos="4230"/>
        </w:tabs>
        <w:autoSpaceDE w:val="0"/>
        <w:autoSpaceDN w:val="0"/>
        <w:spacing w:line="360" w:lineRule="auto"/>
        <w:ind w:right="1400"/>
        <w:jc w:val="center"/>
        <w:outlineLvl w:val="1"/>
        <w:rPr>
          <w:rFonts w:ascii="仿宋" w:hAnsi="仿宋" w:eastAsia="仿宋" w:cs="FangSong_GB2312"/>
          <w:b/>
          <w:bCs/>
          <w:color w:val="auto"/>
          <w:kern w:val="0"/>
          <w:sz w:val="36"/>
          <w:szCs w:val="36"/>
          <w:highlight w:val="none"/>
          <w:lang w:val="zh-CN"/>
        </w:rPr>
      </w:pPr>
    </w:p>
    <w:p>
      <w:pPr>
        <w:tabs>
          <w:tab w:val="left" w:pos="2790"/>
          <w:tab w:val="left" w:pos="4230"/>
        </w:tabs>
        <w:autoSpaceDE w:val="0"/>
        <w:autoSpaceDN w:val="0"/>
        <w:spacing w:line="360" w:lineRule="auto"/>
        <w:ind w:right="1400"/>
        <w:jc w:val="center"/>
        <w:outlineLvl w:val="1"/>
        <w:rPr>
          <w:rFonts w:ascii="仿宋" w:hAnsi="仿宋" w:eastAsia="仿宋" w:cs="FangSong_GB2312"/>
          <w:b/>
          <w:bCs/>
          <w:color w:val="auto"/>
          <w:kern w:val="0"/>
          <w:sz w:val="36"/>
          <w:szCs w:val="36"/>
          <w:highlight w:val="none"/>
          <w:lang w:val="zh-CN"/>
        </w:rPr>
      </w:pPr>
    </w:p>
    <w:p>
      <w:pPr>
        <w:tabs>
          <w:tab w:val="left" w:pos="2790"/>
          <w:tab w:val="left" w:pos="4230"/>
        </w:tabs>
        <w:autoSpaceDE w:val="0"/>
        <w:autoSpaceDN w:val="0"/>
        <w:spacing w:line="360" w:lineRule="auto"/>
        <w:ind w:right="1400"/>
        <w:jc w:val="center"/>
        <w:outlineLvl w:val="1"/>
        <w:rPr>
          <w:rFonts w:ascii="仿宋" w:hAnsi="仿宋" w:eastAsia="仿宋" w:cs="FangSong_GB2312"/>
          <w:b/>
          <w:bCs/>
          <w:color w:val="auto"/>
          <w:kern w:val="0"/>
          <w:sz w:val="36"/>
          <w:szCs w:val="36"/>
          <w:highlight w:val="none"/>
          <w:lang w:val="zh-CN"/>
        </w:rPr>
      </w:pPr>
    </w:p>
    <w:p>
      <w:pPr>
        <w:tabs>
          <w:tab w:val="left" w:pos="2790"/>
          <w:tab w:val="left" w:pos="4230"/>
        </w:tabs>
        <w:autoSpaceDE w:val="0"/>
        <w:autoSpaceDN w:val="0"/>
        <w:spacing w:line="360" w:lineRule="auto"/>
        <w:ind w:right="1400"/>
        <w:jc w:val="center"/>
        <w:outlineLvl w:val="1"/>
        <w:rPr>
          <w:rFonts w:ascii="仿宋" w:hAnsi="仿宋" w:eastAsia="仿宋" w:cs="FangSong_GB2312"/>
          <w:b/>
          <w:bCs/>
          <w:color w:val="auto"/>
          <w:kern w:val="0"/>
          <w:sz w:val="36"/>
          <w:szCs w:val="36"/>
          <w:highlight w:val="none"/>
          <w:lang w:val="zh-CN"/>
        </w:rPr>
      </w:pPr>
    </w:p>
    <w:p>
      <w:pPr>
        <w:pageBreakBefore/>
        <w:tabs>
          <w:tab w:val="left" w:pos="2790"/>
          <w:tab w:val="left" w:pos="4230"/>
        </w:tabs>
        <w:autoSpaceDE w:val="0"/>
        <w:autoSpaceDN w:val="0"/>
        <w:spacing w:line="360" w:lineRule="auto"/>
        <w:ind w:right="1400"/>
        <w:outlineLvl w:val="1"/>
        <w:rPr>
          <w:rFonts w:ascii="仿宋" w:hAnsi="仿宋" w:eastAsia="仿宋" w:cs="FangSong_GB2312"/>
          <w:b/>
          <w:bCs/>
          <w:color w:val="auto"/>
          <w:kern w:val="0"/>
          <w:sz w:val="32"/>
          <w:szCs w:val="32"/>
          <w:highlight w:val="none"/>
          <w:lang w:val="zh-CN"/>
        </w:rPr>
      </w:pPr>
      <w:r>
        <w:rPr>
          <w:rFonts w:hint="eastAsia" w:ascii="仿宋" w:hAnsi="仿宋" w:eastAsia="仿宋" w:cs="FangSong_GB2312"/>
          <w:b/>
          <w:bCs/>
          <w:color w:val="auto"/>
          <w:kern w:val="0"/>
          <w:sz w:val="32"/>
          <w:szCs w:val="32"/>
          <w:highlight w:val="none"/>
          <w:lang w:val="zh-CN"/>
        </w:rPr>
        <w:t>16、组织实施方案</w:t>
      </w:r>
    </w:p>
    <w:p>
      <w:pPr>
        <w:autoSpaceDE w:val="0"/>
        <w:autoSpaceDN w:val="0"/>
        <w:spacing w:line="360" w:lineRule="auto"/>
        <w:rPr>
          <w:rFonts w:ascii="仿宋" w:hAnsi="仿宋" w:eastAsia="仿宋" w:cs="FangSong_GB2312"/>
          <w:color w:val="auto"/>
          <w:sz w:val="24"/>
          <w:highlight w:val="none"/>
        </w:rPr>
      </w:pPr>
      <w:r>
        <w:rPr>
          <w:rFonts w:hint="eastAsia" w:ascii="仿宋" w:hAnsi="仿宋" w:eastAsia="仿宋" w:cs="FangSong_GB2312"/>
          <w:color w:val="auto"/>
          <w:sz w:val="24"/>
          <w:highlight w:val="none"/>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FangSong_GB2312"/>
          <w:b/>
          <w:bCs/>
          <w:color w:val="auto"/>
          <w:kern w:val="0"/>
          <w:sz w:val="24"/>
          <w:highlight w:val="none"/>
          <w:lang w:val="zh-CN"/>
        </w:rPr>
      </w:pPr>
      <w:r>
        <w:rPr>
          <w:rFonts w:hint="eastAsia" w:ascii="仿宋" w:hAnsi="仿宋" w:eastAsia="仿宋" w:cs="FangSong_GB2312"/>
          <w:b/>
          <w:bCs/>
          <w:color w:val="auto"/>
          <w:kern w:val="0"/>
          <w:sz w:val="24"/>
          <w:highlight w:val="none"/>
          <w:lang w:val="zh-CN"/>
        </w:rPr>
        <w:t>附表:项目实施进度计划表</w:t>
      </w:r>
      <w:r>
        <w:rPr>
          <w:rFonts w:hint="eastAsia" w:ascii="仿宋" w:hAnsi="仿宋" w:eastAsia="仿宋" w:cs="FangSong_GB2312"/>
          <w:b/>
          <w:color w:val="auto"/>
          <w:sz w:val="24"/>
          <w:highlight w:val="none"/>
        </w:rPr>
        <w:t xml:space="preserve">(以生效日算起) </w:t>
      </w:r>
    </w:p>
    <w:tbl>
      <w:tblPr>
        <w:tblStyle w:val="39"/>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 xml:space="preserve">  工作日</w:t>
            </w:r>
          </w:p>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内容</w:t>
            </w:r>
          </w:p>
        </w:tc>
        <w:tc>
          <w:tcPr>
            <w:tcW w:w="552"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1</w:t>
            </w:r>
          </w:p>
        </w:tc>
        <w:tc>
          <w:tcPr>
            <w:tcW w:w="552"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2</w:t>
            </w:r>
          </w:p>
        </w:tc>
        <w:tc>
          <w:tcPr>
            <w:tcW w:w="552"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3</w:t>
            </w:r>
          </w:p>
        </w:tc>
        <w:tc>
          <w:tcPr>
            <w:tcW w:w="552"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4</w:t>
            </w:r>
          </w:p>
        </w:tc>
        <w:tc>
          <w:tcPr>
            <w:tcW w:w="552"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5</w:t>
            </w:r>
          </w:p>
        </w:tc>
        <w:tc>
          <w:tcPr>
            <w:tcW w:w="552"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6</w:t>
            </w:r>
          </w:p>
        </w:tc>
        <w:tc>
          <w:tcPr>
            <w:tcW w:w="553"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7</w:t>
            </w:r>
          </w:p>
        </w:tc>
        <w:tc>
          <w:tcPr>
            <w:tcW w:w="553"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8</w:t>
            </w:r>
          </w:p>
        </w:tc>
        <w:tc>
          <w:tcPr>
            <w:tcW w:w="553"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9</w:t>
            </w:r>
          </w:p>
        </w:tc>
        <w:tc>
          <w:tcPr>
            <w:tcW w:w="553"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10</w:t>
            </w:r>
          </w:p>
        </w:tc>
        <w:tc>
          <w:tcPr>
            <w:tcW w:w="553"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11</w:t>
            </w:r>
          </w:p>
        </w:tc>
        <w:tc>
          <w:tcPr>
            <w:tcW w:w="553"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12</w:t>
            </w:r>
          </w:p>
        </w:tc>
        <w:tc>
          <w:tcPr>
            <w:tcW w:w="553"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13</w:t>
            </w:r>
          </w:p>
        </w:tc>
        <w:tc>
          <w:tcPr>
            <w:tcW w:w="553"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14</w:t>
            </w:r>
          </w:p>
        </w:tc>
        <w:tc>
          <w:tcPr>
            <w:tcW w:w="553"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15</w:t>
            </w:r>
          </w:p>
        </w:tc>
        <w:tc>
          <w:tcPr>
            <w:tcW w:w="553" w:type="dxa"/>
            <w:vAlign w:val="center"/>
          </w:tcPr>
          <w:p>
            <w:pPr>
              <w:rPr>
                <w:rFonts w:ascii="仿宋" w:hAnsi="仿宋" w:eastAsia="仿宋" w:cs="FangSong_GB2312"/>
                <w:color w:val="auto"/>
                <w:sz w:val="24"/>
                <w:highlight w:val="none"/>
              </w:rPr>
            </w:pPr>
            <w:r>
              <w:rPr>
                <w:rFonts w:hint="eastAsia" w:ascii="仿宋" w:hAnsi="仿宋" w:eastAsia="仿宋" w:cs="FangSong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2"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c>
          <w:tcPr>
            <w:tcW w:w="553" w:type="dxa"/>
          </w:tcPr>
          <w:p>
            <w:pPr>
              <w:spacing w:line="360" w:lineRule="auto"/>
              <w:rPr>
                <w:rFonts w:ascii="仿宋" w:hAnsi="仿宋" w:eastAsia="仿宋" w:cs="FangSong_GB2312"/>
                <w:color w:val="auto"/>
                <w:sz w:val="24"/>
                <w:highlight w:val="none"/>
              </w:rPr>
            </w:pPr>
          </w:p>
        </w:tc>
      </w:tr>
    </w:tbl>
    <w:p>
      <w:pPr>
        <w:autoSpaceDE w:val="0"/>
        <w:autoSpaceDN w:val="0"/>
        <w:spacing w:line="360" w:lineRule="auto"/>
        <w:rPr>
          <w:rFonts w:ascii="仿宋" w:hAnsi="仿宋" w:eastAsia="仿宋" w:cs="FangSong_GB2312"/>
          <w:color w:val="auto"/>
          <w:kern w:val="0"/>
          <w:sz w:val="24"/>
          <w:highlight w:val="none"/>
        </w:rPr>
      </w:pPr>
      <w:r>
        <w:rPr>
          <w:rFonts w:hint="eastAsia" w:ascii="仿宋" w:hAnsi="仿宋" w:eastAsia="仿宋" w:cs="FangSong_GB2312"/>
          <w:b/>
          <w:color w:val="auto"/>
          <w:sz w:val="24"/>
          <w:highlight w:val="none"/>
        </w:rPr>
        <w:t>注：投标人可按上述时间表的格式自行编制切合实际的具体时间表。</w:t>
      </w:r>
    </w:p>
    <w:p>
      <w:pPr>
        <w:autoSpaceDE w:val="0"/>
        <w:autoSpaceDN w:val="0"/>
        <w:spacing w:line="360" w:lineRule="auto"/>
        <w:ind w:firstLine="4440" w:firstLineChars="185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投标人名称（</w:t>
      </w:r>
      <w:r>
        <w:rPr>
          <w:rFonts w:hint="eastAsia" w:ascii="仿宋" w:hAnsi="仿宋" w:eastAsia="仿宋" w:cs="FangSong_GB2312"/>
          <w:color w:val="auto"/>
          <w:kern w:val="0"/>
          <w:sz w:val="24"/>
          <w:highlight w:val="none"/>
          <w:lang w:eastAsia="zh-CN"/>
        </w:rPr>
        <w:t>盖</w:t>
      </w:r>
      <w:r>
        <w:rPr>
          <w:rFonts w:hint="eastAsia" w:ascii="仿宋" w:hAnsi="仿宋" w:eastAsia="仿宋" w:cs="FangSong_GB2312"/>
          <w:color w:val="auto"/>
          <w:kern w:val="0"/>
          <w:sz w:val="24"/>
          <w:highlight w:val="none"/>
        </w:rPr>
        <w:t>章）：</w:t>
      </w:r>
    </w:p>
    <w:p>
      <w:pPr>
        <w:autoSpaceDE w:val="0"/>
        <w:autoSpaceDN w:val="0"/>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 xml:space="preserve">                                     法定代表人或其授权代表（签字</w:t>
      </w:r>
      <w:r>
        <w:rPr>
          <w:rFonts w:hint="eastAsia" w:ascii="仿宋" w:hAnsi="仿宋" w:eastAsia="仿宋" w:cs="FangSong_GB2312"/>
          <w:color w:val="auto"/>
          <w:kern w:val="0"/>
          <w:sz w:val="24"/>
          <w:highlight w:val="none"/>
          <w:lang w:eastAsia="zh-CN"/>
        </w:rPr>
        <w:t>或盖章</w:t>
      </w:r>
      <w:r>
        <w:rPr>
          <w:rFonts w:hint="eastAsia" w:ascii="仿宋" w:hAnsi="仿宋" w:eastAsia="仿宋" w:cs="FangSong_GB2312"/>
          <w:color w:val="auto"/>
          <w:kern w:val="0"/>
          <w:sz w:val="24"/>
          <w:highlight w:val="none"/>
        </w:rPr>
        <w:t>）：</w:t>
      </w:r>
    </w:p>
    <w:p>
      <w:pPr>
        <w:spacing w:line="360" w:lineRule="auto"/>
        <w:rPr>
          <w:rFonts w:ascii="仿宋" w:hAnsi="仿宋" w:eastAsia="仿宋" w:cs="FangSong_GB2312"/>
          <w:b/>
          <w:bCs/>
          <w:color w:val="auto"/>
          <w:sz w:val="24"/>
          <w:highlight w:val="none"/>
        </w:rPr>
      </w:pPr>
      <w:r>
        <w:rPr>
          <w:rFonts w:hint="eastAsia" w:ascii="仿宋" w:hAnsi="仿宋" w:eastAsia="仿宋" w:cs="FangSong_GB2312"/>
          <w:color w:val="auto"/>
          <w:kern w:val="0"/>
          <w:sz w:val="24"/>
          <w:highlight w:val="none"/>
        </w:rPr>
        <w:t xml:space="preserve">                                     日期：  年  月   日</w:t>
      </w:r>
    </w:p>
    <w:p>
      <w:pPr>
        <w:spacing w:line="360" w:lineRule="auto"/>
        <w:jc w:val="center"/>
        <w:rPr>
          <w:rFonts w:ascii="仿宋" w:hAnsi="仿宋" w:eastAsia="仿宋" w:cs="FangSong_GB2312"/>
          <w:b/>
          <w:bCs/>
          <w:color w:val="auto"/>
          <w:sz w:val="32"/>
          <w:szCs w:val="32"/>
          <w:highlight w:val="none"/>
        </w:rPr>
      </w:pPr>
    </w:p>
    <w:p>
      <w:pPr>
        <w:spacing w:line="360" w:lineRule="auto"/>
        <w:rPr>
          <w:rFonts w:ascii="仿宋" w:hAnsi="仿宋" w:eastAsia="仿宋" w:cs="FangSong_GB2312"/>
          <w:b/>
          <w:bCs/>
          <w:color w:val="auto"/>
          <w:sz w:val="32"/>
          <w:szCs w:val="32"/>
          <w:highlight w:val="none"/>
        </w:rPr>
      </w:pPr>
      <w:r>
        <w:rPr>
          <w:rFonts w:hint="eastAsia" w:ascii="仿宋" w:hAnsi="仿宋" w:eastAsia="仿宋" w:cs="FangSong_GB2312"/>
          <w:b/>
          <w:bCs/>
          <w:color w:val="auto"/>
          <w:sz w:val="32"/>
          <w:szCs w:val="32"/>
          <w:highlight w:val="none"/>
        </w:rPr>
        <w:t>17、售后服务方案</w:t>
      </w:r>
    </w:p>
    <w:p>
      <w:pPr>
        <w:autoSpaceDE w:val="0"/>
        <w:autoSpaceDN w:val="0"/>
        <w:spacing w:line="360" w:lineRule="auto"/>
        <w:rPr>
          <w:rFonts w:ascii="仿宋" w:hAnsi="仿宋" w:eastAsia="仿宋" w:cs="FangSong_GB2312"/>
          <w:color w:val="auto"/>
          <w:sz w:val="24"/>
          <w:highlight w:val="none"/>
        </w:rPr>
      </w:pPr>
      <w:r>
        <w:rPr>
          <w:rFonts w:hint="eastAsia" w:ascii="仿宋" w:hAnsi="仿宋" w:eastAsia="仿宋" w:cs="FangSong_GB2312"/>
          <w:color w:val="auto"/>
          <w:sz w:val="24"/>
          <w:highlight w:val="none"/>
        </w:rPr>
        <w:t>（由投标人根据采购需求及招标文件要求编制）</w:t>
      </w:r>
    </w:p>
    <w:p>
      <w:pPr>
        <w:autoSpaceDE w:val="0"/>
        <w:autoSpaceDN w:val="0"/>
        <w:spacing w:line="360" w:lineRule="auto"/>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附表A:售后服务机构情况表</w:t>
      </w:r>
      <w:r>
        <w:rPr>
          <w:rFonts w:hint="eastAsia" w:ascii="仿宋" w:hAnsi="仿宋" w:eastAsia="仿宋" w:cs="FangSong_GB2312"/>
          <w:color w:val="auto"/>
          <w:sz w:val="24"/>
          <w:highlight w:val="none"/>
        </w:rPr>
        <w:t>（按此格式自制）</w:t>
      </w:r>
    </w:p>
    <w:tbl>
      <w:tblPr>
        <w:tblStyle w:val="3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tcPr>
          <w:p>
            <w:pPr>
              <w:autoSpaceDE w:val="0"/>
              <w:autoSpaceDN w:val="0"/>
              <w:spacing w:line="360" w:lineRule="auto"/>
              <w:jc w:val="center"/>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序号</w:t>
            </w:r>
          </w:p>
        </w:tc>
        <w:tc>
          <w:tcPr>
            <w:tcW w:w="2160" w:type="dxa"/>
          </w:tcPr>
          <w:p>
            <w:pPr>
              <w:autoSpaceDE w:val="0"/>
              <w:autoSpaceDN w:val="0"/>
              <w:spacing w:line="360" w:lineRule="auto"/>
              <w:jc w:val="center"/>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机构名称</w:t>
            </w:r>
          </w:p>
        </w:tc>
        <w:tc>
          <w:tcPr>
            <w:tcW w:w="1620" w:type="dxa"/>
          </w:tcPr>
          <w:p>
            <w:pPr>
              <w:autoSpaceDE w:val="0"/>
              <w:autoSpaceDN w:val="0"/>
              <w:spacing w:line="360" w:lineRule="auto"/>
              <w:jc w:val="center"/>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机构性质</w:t>
            </w:r>
          </w:p>
        </w:tc>
        <w:tc>
          <w:tcPr>
            <w:tcW w:w="1245" w:type="dxa"/>
          </w:tcPr>
          <w:p>
            <w:pPr>
              <w:autoSpaceDE w:val="0"/>
              <w:autoSpaceDN w:val="0"/>
              <w:spacing w:line="360" w:lineRule="auto"/>
              <w:jc w:val="center"/>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注册地址</w:t>
            </w:r>
          </w:p>
        </w:tc>
        <w:tc>
          <w:tcPr>
            <w:tcW w:w="2175" w:type="dxa"/>
          </w:tcPr>
          <w:p>
            <w:pPr>
              <w:autoSpaceDE w:val="0"/>
              <w:autoSpaceDN w:val="0"/>
              <w:spacing w:line="360" w:lineRule="auto"/>
              <w:jc w:val="center"/>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服务技术人员数量</w:t>
            </w:r>
          </w:p>
        </w:tc>
        <w:tc>
          <w:tcPr>
            <w:tcW w:w="1260" w:type="dxa"/>
          </w:tcPr>
          <w:p>
            <w:pPr>
              <w:autoSpaceDE w:val="0"/>
              <w:autoSpaceDN w:val="0"/>
              <w:spacing w:line="360" w:lineRule="auto"/>
              <w:jc w:val="center"/>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FangSong_GB2312"/>
                <w:color w:val="auto"/>
                <w:sz w:val="24"/>
                <w:highlight w:val="none"/>
              </w:rPr>
            </w:pPr>
          </w:p>
        </w:tc>
        <w:tc>
          <w:tcPr>
            <w:tcW w:w="2160" w:type="dxa"/>
          </w:tcPr>
          <w:p>
            <w:pPr>
              <w:autoSpaceDE w:val="0"/>
              <w:autoSpaceDN w:val="0"/>
              <w:spacing w:line="360" w:lineRule="auto"/>
              <w:jc w:val="center"/>
              <w:rPr>
                <w:rFonts w:ascii="仿宋" w:hAnsi="仿宋" w:eastAsia="仿宋" w:cs="FangSong_GB2312"/>
                <w:color w:val="auto"/>
                <w:sz w:val="24"/>
                <w:highlight w:val="none"/>
              </w:rPr>
            </w:pPr>
          </w:p>
        </w:tc>
        <w:tc>
          <w:tcPr>
            <w:tcW w:w="1620" w:type="dxa"/>
          </w:tcPr>
          <w:p>
            <w:pPr>
              <w:autoSpaceDE w:val="0"/>
              <w:autoSpaceDN w:val="0"/>
              <w:spacing w:line="360" w:lineRule="auto"/>
              <w:jc w:val="center"/>
              <w:rPr>
                <w:rFonts w:ascii="仿宋" w:hAnsi="仿宋" w:eastAsia="仿宋" w:cs="FangSong_GB2312"/>
                <w:color w:val="auto"/>
                <w:sz w:val="24"/>
                <w:highlight w:val="none"/>
              </w:rPr>
            </w:pPr>
          </w:p>
        </w:tc>
        <w:tc>
          <w:tcPr>
            <w:tcW w:w="1245" w:type="dxa"/>
          </w:tcPr>
          <w:p>
            <w:pPr>
              <w:autoSpaceDE w:val="0"/>
              <w:autoSpaceDN w:val="0"/>
              <w:spacing w:line="360" w:lineRule="auto"/>
              <w:jc w:val="center"/>
              <w:rPr>
                <w:rFonts w:ascii="仿宋" w:hAnsi="仿宋" w:eastAsia="仿宋" w:cs="FangSong_GB2312"/>
                <w:color w:val="auto"/>
                <w:sz w:val="24"/>
                <w:highlight w:val="none"/>
              </w:rPr>
            </w:pPr>
          </w:p>
        </w:tc>
        <w:tc>
          <w:tcPr>
            <w:tcW w:w="2175" w:type="dxa"/>
          </w:tcPr>
          <w:p>
            <w:pPr>
              <w:autoSpaceDE w:val="0"/>
              <w:autoSpaceDN w:val="0"/>
              <w:spacing w:line="360" w:lineRule="auto"/>
              <w:jc w:val="center"/>
              <w:rPr>
                <w:rFonts w:ascii="仿宋" w:hAnsi="仿宋" w:eastAsia="仿宋" w:cs="FangSong_GB2312"/>
                <w:color w:val="auto"/>
                <w:sz w:val="24"/>
                <w:highlight w:val="none"/>
              </w:rPr>
            </w:pPr>
          </w:p>
        </w:tc>
        <w:tc>
          <w:tcPr>
            <w:tcW w:w="1260" w:type="dxa"/>
          </w:tcPr>
          <w:p>
            <w:pPr>
              <w:autoSpaceDE w:val="0"/>
              <w:autoSpaceDN w:val="0"/>
              <w:spacing w:line="360" w:lineRule="auto"/>
              <w:jc w:val="center"/>
              <w:rPr>
                <w:rFonts w:ascii="仿宋" w:hAnsi="仿宋" w:eastAsia="仿宋" w:cs="FangSong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FangSong_GB2312"/>
                <w:color w:val="auto"/>
                <w:sz w:val="24"/>
                <w:highlight w:val="none"/>
              </w:rPr>
            </w:pPr>
          </w:p>
        </w:tc>
        <w:tc>
          <w:tcPr>
            <w:tcW w:w="2160" w:type="dxa"/>
          </w:tcPr>
          <w:p>
            <w:pPr>
              <w:autoSpaceDE w:val="0"/>
              <w:autoSpaceDN w:val="0"/>
              <w:spacing w:line="360" w:lineRule="auto"/>
              <w:jc w:val="center"/>
              <w:rPr>
                <w:rFonts w:ascii="仿宋" w:hAnsi="仿宋" w:eastAsia="仿宋" w:cs="FangSong_GB2312"/>
                <w:color w:val="auto"/>
                <w:sz w:val="24"/>
                <w:highlight w:val="none"/>
              </w:rPr>
            </w:pPr>
          </w:p>
        </w:tc>
        <w:tc>
          <w:tcPr>
            <w:tcW w:w="1620" w:type="dxa"/>
          </w:tcPr>
          <w:p>
            <w:pPr>
              <w:autoSpaceDE w:val="0"/>
              <w:autoSpaceDN w:val="0"/>
              <w:spacing w:line="360" w:lineRule="auto"/>
              <w:jc w:val="center"/>
              <w:rPr>
                <w:rFonts w:ascii="仿宋" w:hAnsi="仿宋" w:eastAsia="仿宋" w:cs="FangSong_GB2312"/>
                <w:color w:val="auto"/>
                <w:sz w:val="24"/>
                <w:highlight w:val="none"/>
              </w:rPr>
            </w:pPr>
          </w:p>
        </w:tc>
        <w:tc>
          <w:tcPr>
            <w:tcW w:w="1245" w:type="dxa"/>
          </w:tcPr>
          <w:p>
            <w:pPr>
              <w:autoSpaceDE w:val="0"/>
              <w:autoSpaceDN w:val="0"/>
              <w:spacing w:line="360" w:lineRule="auto"/>
              <w:jc w:val="center"/>
              <w:rPr>
                <w:rFonts w:ascii="仿宋" w:hAnsi="仿宋" w:eastAsia="仿宋" w:cs="FangSong_GB2312"/>
                <w:color w:val="auto"/>
                <w:sz w:val="24"/>
                <w:highlight w:val="none"/>
              </w:rPr>
            </w:pPr>
          </w:p>
        </w:tc>
        <w:tc>
          <w:tcPr>
            <w:tcW w:w="2175" w:type="dxa"/>
          </w:tcPr>
          <w:p>
            <w:pPr>
              <w:autoSpaceDE w:val="0"/>
              <w:autoSpaceDN w:val="0"/>
              <w:spacing w:line="360" w:lineRule="auto"/>
              <w:jc w:val="center"/>
              <w:rPr>
                <w:rFonts w:ascii="仿宋" w:hAnsi="仿宋" w:eastAsia="仿宋" w:cs="FangSong_GB2312"/>
                <w:color w:val="auto"/>
                <w:sz w:val="24"/>
                <w:highlight w:val="none"/>
              </w:rPr>
            </w:pPr>
          </w:p>
        </w:tc>
        <w:tc>
          <w:tcPr>
            <w:tcW w:w="1260" w:type="dxa"/>
          </w:tcPr>
          <w:p>
            <w:pPr>
              <w:autoSpaceDE w:val="0"/>
              <w:autoSpaceDN w:val="0"/>
              <w:spacing w:line="360" w:lineRule="auto"/>
              <w:jc w:val="center"/>
              <w:rPr>
                <w:rFonts w:ascii="仿宋" w:hAnsi="仿宋" w:eastAsia="仿宋" w:cs="FangSong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 w:hAnsi="仿宋" w:eastAsia="仿宋" w:cs="FangSong_GB2312"/>
                <w:color w:val="auto"/>
                <w:sz w:val="24"/>
                <w:highlight w:val="none"/>
              </w:rPr>
            </w:pPr>
          </w:p>
        </w:tc>
        <w:tc>
          <w:tcPr>
            <w:tcW w:w="2160" w:type="dxa"/>
          </w:tcPr>
          <w:p>
            <w:pPr>
              <w:autoSpaceDE w:val="0"/>
              <w:autoSpaceDN w:val="0"/>
              <w:spacing w:line="360" w:lineRule="auto"/>
              <w:jc w:val="center"/>
              <w:rPr>
                <w:rFonts w:ascii="仿宋" w:hAnsi="仿宋" w:eastAsia="仿宋" w:cs="FangSong_GB2312"/>
                <w:color w:val="auto"/>
                <w:sz w:val="24"/>
                <w:highlight w:val="none"/>
              </w:rPr>
            </w:pPr>
          </w:p>
        </w:tc>
        <w:tc>
          <w:tcPr>
            <w:tcW w:w="1620" w:type="dxa"/>
          </w:tcPr>
          <w:p>
            <w:pPr>
              <w:autoSpaceDE w:val="0"/>
              <w:autoSpaceDN w:val="0"/>
              <w:spacing w:line="360" w:lineRule="auto"/>
              <w:jc w:val="center"/>
              <w:rPr>
                <w:rFonts w:ascii="仿宋" w:hAnsi="仿宋" w:eastAsia="仿宋" w:cs="FangSong_GB2312"/>
                <w:color w:val="auto"/>
                <w:sz w:val="24"/>
                <w:highlight w:val="none"/>
              </w:rPr>
            </w:pPr>
          </w:p>
        </w:tc>
        <w:tc>
          <w:tcPr>
            <w:tcW w:w="1245" w:type="dxa"/>
          </w:tcPr>
          <w:p>
            <w:pPr>
              <w:autoSpaceDE w:val="0"/>
              <w:autoSpaceDN w:val="0"/>
              <w:spacing w:line="360" w:lineRule="auto"/>
              <w:jc w:val="center"/>
              <w:rPr>
                <w:rFonts w:ascii="仿宋" w:hAnsi="仿宋" w:eastAsia="仿宋" w:cs="FangSong_GB2312"/>
                <w:color w:val="auto"/>
                <w:sz w:val="24"/>
                <w:highlight w:val="none"/>
              </w:rPr>
            </w:pPr>
          </w:p>
        </w:tc>
        <w:tc>
          <w:tcPr>
            <w:tcW w:w="2175" w:type="dxa"/>
          </w:tcPr>
          <w:p>
            <w:pPr>
              <w:autoSpaceDE w:val="0"/>
              <w:autoSpaceDN w:val="0"/>
              <w:spacing w:line="360" w:lineRule="auto"/>
              <w:jc w:val="center"/>
              <w:rPr>
                <w:rFonts w:ascii="仿宋" w:hAnsi="仿宋" w:eastAsia="仿宋" w:cs="FangSong_GB2312"/>
                <w:color w:val="auto"/>
                <w:sz w:val="24"/>
                <w:highlight w:val="none"/>
              </w:rPr>
            </w:pPr>
          </w:p>
        </w:tc>
        <w:tc>
          <w:tcPr>
            <w:tcW w:w="1260" w:type="dxa"/>
          </w:tcPr>
          <w:p>
            <w:pPr>
              <w:autoSpaceDE w:val="0"/>
              <w:autoSpaceDN w:val="0"/>
              <w:spacing w:line="360" w:lineRule="auto"/>
              <w:jc w:val="center"/>
              <w:rPr>
                <w:rFonts w:ascii="仿宋" w:hAnsi="仿宋" w:eastAsia="仿宋" w:cs="FangSong_GB2312"/>
                <w:color w:val="auto"/>
                <w:sz w:val="24"/>
                <w:highlight w:val="none"/>
              </w:rPr>
            </w:pPr>
          </w:p>
        </w:tc>
      </w:tr>
    </w:tbl>
    <w:p>
      <w:pPr>
        <w:autoSpaceDE w:val="0"/>
        <w:autoSpaceDN w:val="0"/>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注：关于项目涉及的所有售后服务机构均在本表注明，包括投标人本单位和符合条件的第三方服务机构；</w:t>
      </w:r>
    </w:p>
    <w:p>
      <w:pPr>
        <w:autoSpaceDE w:val="0"/>
        <w:autoSpaceDN w:val="0"/>
        <w:rPr>
          <w:rFonts w:ascii="仿宋" w:hAnsi="仿宋" w:eastAsia="仿宋" w:cs="FangSong_GB2312"/>
          <w:color w:val="auto"/>
          <w:kern w:val="0"/>
          <w:sz w:val="24"/>
          <w:highlight w:val="none"/>
        </w:rPr>
      </w:pPr>
      <w:r>
        <w:rPr>
          <w:rFonts w:hint="eastAsia" w:ascii="仿宋" w:hAnsi="仿宋" w:eastAsia="仿宋" w:cs="FangSong_GB2312"/>
          <w:b/>
          <w:color w:val="auto"/>
          <w:kern w:val="0"/>
          <w:sz w:val="24"/>
          <w:highlight w:val="none"/>
        </w:rPr>
        <w:t>附表B：售后服务人员情况表</w:t>
      </w:r>
      <w:r>
        <w:rPr>
          <w:rFonts w:hint="eastAsia" w:ascii="仿宋" w:hAnsi="仿宋" w:eastAsia="仿宋" w:cs="FangSong_GB2312"/>
          <w:color w:val="auto"/>
          <w:sz w:val="24"/>
          <w:highlight w:val="none"/>
        </w:rPr>
        <w:t>（按此格式自制）</w:t>
      </w:r>
    </w:p>
    <w:tbl>
      <w:tblPr>
        <w:tblStyle w:val="39"/>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ind w:left="-36" w:leftChars="-17" w:right="-181" w:rightChars="-86"/>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 w:hAnsi="仿宋" w:eastAsia="仿宋" w:cs="FangSong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 w:hAnsi="仿宋" w:eastAsia="仿宋" w:cs="FangSong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 w:hAnsi="仿宋" w:eastAsia="仿宋" w:cs="FangSong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 w:hAnsi="仿宋" w:eastAsia="仿宋" w:cs="FangSong_GB2312"/>
                <w:color w:val="auto"/>
                <w:sz w:val="24"/>
                <w:highlight w:val="none"/>
              </w:rPr>
            </w:pPr>
            <w:r>
              <w:rPr>
                <w:rFonts w:ascii="仿宋" w:hAnsi="仿宋" w:eastAsia="仿宋" w:cs="FangSong_GB2312"/>
                <w:color w:val="auto"/>
                <w:sz w:val="24"/>
                <w:highlight w:val="none"/>
              </w:rPr>
              <w:t>…</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 w:hAnsi="仿宋" w:eastAsia="仿宋" w:cs="FangSong_GB2312"/>
                <w:color w:val="auto"/>
                <w:sz w:val="24"/>
                <w:highlight w:val="none"/>
              </w:rPr>
            </w:pPr>
          </w:p>
        </w:tc>
      </w:tr>
    </w:tbl>
    <w:p>
      <w:pPr>
        <w:autoSpaceDE w:val="0"/>
        <w:autoSpaceDN w:val="0"/>
        <w:spacing w:line="360" w:lineRule="auto"/>
        <w:rPr>
          <w:rFonts w:ascii="仿宋" w:hAnsi="仿宋" w:eastAsia="仿宋" w:cs="FangSong_GB2312"/>
          <w:color w:val="auto"/>
          <w:kern w:val="0"/>
          <w:sz w:val="24"/>
          <w:highlight w:val="none"/>
        </w:rPr>
      </w:pPr>
    </w:p>
    <w:p>
      <w:pPr>
        <w:autoSpaceDE w:val="0"/>
        <w:autoSpaceDN w:val="0"/>
        <w:spacing w:line="360" w:lineRule="auto"/>
        <w:ind w:firstLine="4440" w:firstLineChars="185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投标人名称（</w:t>
      </w:r>
      <w:r>
        <w:rPr>
          <w:rFonts w:hint="eastAsia" w:ascii="仿宋" w:hAnsi="仿宋" w:eastAsia="仿宋" w:cs="FangSong_GB2312"/>
          <w:color w:val="auto"/>
          <w:kern w:val="0"/>
          <w:sz w:val="24"/>
          <w:highlight w:val="none"/>
          <w:lang w:eastAsia="zh-CN"/>
        </w:rPr>
        <w:t>盖</w:t>
      </w:r>
      <w:r>
        <w:rPr>
          <w:rFonts w:hint="eastAsia" w:ascii="仿宋" w:hAnsi="仿宋" w:eastAsia="仿宋" w:cs="FangSong_GB2312"/>
          <w:color w:val="auto"/>
          <w:kern w:val="0"/>
          <w:sz w:val="24"/>
          <w:highlight w:val="none"/>
        </w:rPr>
        <w:t>章）：</w:t>
      </w:r>
    </w:p>
    <w:p>
      <w:pPr>
        <w:autoSpaceDE w:val="0"/>
        <w:autoSpaceDN w:val="0"/>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 xml:space="preserve">                                     法定代表人或其授权代表（签字</w:t>
      </w:r>
      <w:r>
        <w:rPr>
          <w:rFonts w:hint="eastAsia" w:ascii="仿宋" w:hAnsi="仿宋" w:eastAsia="仿宋" w:cs="FangSong_GB2312"/>
          <w:color w:val="auto"/>
          <w:kern w:val="0"/>
          <w:sz w:val="24"/>
          <w:highlight w:val="none"/>
          <w:lang w:eastAsia="zh-CN"/>
        </w:rPr>
        <w:t>或盖章</w:t>
      </w:r>
      <w:r>
        <w:rPr>
          <w:rFonts w:hint="eastAsia" w:ascii="仿宋" w:hAnsi="仿宋" w:eastAsia="仿宋" w:cs="FangSong_GB2312"/>
          <w:color w:val="auto"/>
          <w:kern w:val="0"/>
          <w:sz w:val="24"/>
          <w:highlight w:val="none"/>
        </w:rPr>
        <w:t>）：</w:t>
      </w:r>
    </w:p>
    <w:p>
      <w:pPr>
        <w:spacing w:line="360" w:lineRule="auto"/>
        <w:rPr>
          <w:rFonts w:ascii="仿宋" w:hAnsi="仿宋" w:eastAsia="仿宋" w:cs="FangSong_GB2312"/>
          <w:b/>
          <w:bCs/>
          <w:color w:val="auto"/>
          <w:sz w:val="24"/>
          <w:highlight w:val="none"/>
        </w:rPr>
      </w:pPr>
      <w:r>
        <w:rPr>
          <w:rFonts w:hint="eastAsia" w:ascii="仿宋" w:hAnsi="仿宋" w:eastAsia="仿宋" w:cs="FangSong_GB2312"/>
          <w:color w:val="auto"/>
          <w:kern w:val="0"/>
          <w:sz w:val="24"/>
          <w:highlight w:val="none"/>
        </w:rPr>
        <w:t xml:space="preserve">                                     日期：  年  月   日</w:t>
      </w:r>
    </w:p>
    <w:p>
      <w:pPr>
        <w:pageBreakBefore/>
        <w:spacing w:line="360" w:lineRule="auto"/>
        <w:rPr>
          <w:rFonts w:ascii="仿宋" w:hAnsi="仿宋" w:eastAsia="仿宋" w:cs="FangSong_GB2312"/>
          <w:b/>
          <w:bCs/>
          <w:color w:val="auto"/>
          <w:sz w:val="32"/>
          <w:szCs w:val="32"/>
          <w:highlight w:val="none"/>
        </w:rPr>
      </w:pPr>
      <w:r>
        <w:rPr>
          <w:rFonts w:hint="eastAsia" w:ascii="仿宋" w:hAnsi="仿宋" w:eastAsia="仿宋" w:cs="FangSong_GB2312"/>
          <w:b/>
          <w:bCs/>
          <w:color w:val="auto"/>
          <w:sz w:val="32"/>
          <w:szCs w:val="32"/>
          <w:highlight w:val="none"/>
        </w:rPr>
        <w:t>18、项目小组人员名单</w:t>
      </w:r>
    </w:p>
    <w:p>
      <w:pPr>
        <w:spacing w:line="360" w:lineRule="auto"/>
        <w:rPr>
          <w:rFonts w:ascii="仿宋" w:hAnsi="仿宋" w:eastAsia="仿宋" w:cs="FangSong_GB2312"/>
          <w:b/>
          <w:bCs/>
          <w:color w:val="auto"/>
          <w:sz w:val="24"/>
          <w:highlight w:val="none"/>
        </w:rPr>
      </w:pPr>
      <w:r>
        <w:rPr>
          <w:rFonts w:hint="eastAsia" w:ascii="仿宋" w:hAnsi="仿宋" w:eastAsia="仿宋" w:cs="FangSong_GB2312"/>
          <w:color w:val="auto"/>
          <w:sz w:val="24"/>
          <w:highlight w:val="none"/>
        </w:rPr>
        <w:t>（由投标人根据采购需求及招标文件要求编制）</w:t>
      </w:r>
    </w:p>
    <w:p>
      <w:pPr>
        <w:keepNext/>
        <w:autoSpaceDE w:val="0"/>
        <w:autoSpaceDN w:val="0"/>
        <w:spacing w:line="360" w:lineRule="auto"/>
        <w:ind w:firstLine="477"/>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附表A:本项目的项目经理情况表</w:t>
      </w:r>
    </w:p>
    <w:tbl>
      <w:tblPr>
        <w:tblStyle w:val="39"/>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FangSong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FangSong_GB2312"/>
                <w:color w:val="auto"/>
                <w:sz w:val="24"/>
                <w:highlight w:val="none"/>
              </w:rPr>
            </w:pPr>
            <w:r>
              <w:rPr>
                <w:rFonts w:hint="eastAsia" w:ascii="仿宋" w:hAnsi="仿宋" w:eastAsia="仿宋" w:cs="FangSong_GB2312"/>
                <w:color w:val="auto"/>
                <w:sz w:val="24"/>
                <w:highlight w:val="none"/>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FangSong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FangSong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FangSong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FangSong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FangSong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FangSong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FangSong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p>
        </w:tc>
      </w:tr>
    </w:tbl>
    <w:p>
      <w:pPr>
        <w:autoSpaceDE w:val="0"/>
        <w:autoSpaceDN w:val="0"/>
        <w:spacing w:line="360" w:lineRule="auto"/>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注：须随表提交相应的证书复印件并注明所在投标商务技术（资信）文件页码。</w:t>
      </w:r>
    </w:p>
    <w:p>
      <w:pPr>
        <w:autoSpaceDE w:val="0"/>
        <w:autoSpaceDN w:val="0"/>
        <w:spacing w:line="360" w:lineRule="auto"/>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附表B:本项目的项目小组人员情况表</w:t>
      </w:r>
      <w:r>
        <w:rPr>
          <w:rFonts w:hint="eastAsia" w:ascii="仿宋" w:hAnsi="仿宋" w:eastAsia="仿宋" w:cs="FangSong_GB2312"/>
          <w:color w:val="auto"/>
          <w:sz w:val="24"/>
          <w:highlight w:val="none"/>
        </w:rPr>
        <w:t>（按此格式自制）</w:t>
      </w:r>
    </w:p>
    <w:tbl>
      <w:tblPr>
        <w:tblStyle w:val="3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学历</w:t>
            </w:r>
          </w:p>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专业</w:t>
            </w:r>
          </w:p>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职称</w:t>
            </w:r>
          </w:p>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FangSong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FangSong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FangSong_GB2312"/>
                <w:color w:val="auto"/>
                <w:sz w:val="24"/>
                <w:highlight w:val="none"/>
              </w:rPr>
            </w:pPr>
          </w:p>
        </w:tc>
      </w:tr>
    </w:tbl>
    <w:p>
      <w:pPr>
        <w:spacing w:line="360" w:lineRule="auto"/>
        <w:rPr>
          <w:rFonts w:ascii="仿宋" w:hAnsi="仿宋" w:eastAsia="仿宋" w:cs="FangSong_GB2312"/>
          <w:b/>
          <w:bCs/>
          <w:color w:val="auto"/>
          <w:sz w:val="24"/>
          <w:highlight w:val="none"/>
        </w:rPr>
      </w:pPr>
      <w:r>
        <w:rPr>
          <w:rFonts w:hint="eastAsia" w:ascii="仿宋" w:hAnsi="仿宋" w:eastAsia="仿宋" w:cs="FangSong_GB2312"/>
          <w:b/>
          <w:color w:val="auto"/>
          <w:sz w:val="24"/>
          <w:highlight w:val="none"/>
        </w:rPr>
        <w:t>注：投标人可按上述的格式自行编制，须随表提交相应的证书复印件并注明所在投标商务技术（资信）文件页码。</w:t>
      </w:r>
    </w:p>
    <w:p>
      <w:pPr>
        <w:spacing w:line="360" w:lineRule="auto"/>
        <w:rPr>
          <w:rFonts w:ascii="仿宋" w:hAnsi="仿宋" w:eastAsia="仿宋" w:cs="FangSong_GB2312"/>
          <w:b/>
          <w:bCs/>
          <w:color w:val="auto"/>
          <w:sz w:val="24"/>
          <w:highlight w:val="none"/>
        </w:rPr>
      </w:pPr>
      <w:r>
        <w:rPr>
          <w:rFonts w:hint="eastAsia" w:ascii="仿宋" w:hAnsi="仿宋" w:eastAsia="仿宋" w:cs="FangSong_GB2312"/>
          <w:b/>
          <w:color w:val="auto"/>
          <w:sz w:val="24"/>
          <w:highlight w:val="none"/>
        </w:rPr>
        <w:t>附表C:本项目的项目经理和小组人员提供近3个月交纳社保记录情况表</w:t>
      </w:r>
      <w:r>
        <w:rPr>
          <w:rFonts w:hint="eastAsia" w:ascii="仿宋" w:hAnsi="仿宋" w:eastAsia="仿宋" w:cs="FangSong_GB2312"/>
          <w:color w:val="auto"/>
          <w:sz w:val="24"/>
          <w:highlight w:val="none"/>
        </w:rPr>
        <w:t>（以社保局缴纳凭证作附件）</w:t>
      </w:r>
    </w:p>
    <w:p>
      <w:pPr>
        <w:autoSpaceDE w:val="0"/>
        <w:autoSpaceDN w:val="0"/>
        <w:spacing w:line="360" w:lineRule="auto"/>
        <w:ind w:firstLine="4440" w:firstLineChars="185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投标人名称（</w:t>
      </w:r>
      <w:r>
        <w:rPr>
          <w:rFonts w:hint="eastAsia" w:ascii="仿宋" w:hAnsi="仿宋" w:eastAsia="仿宋" w:cs="FangSong_GB2312"/>
          <w:color w:val="auto"/>
          <w:kern w:val="0"/>
          <w:sz w:val="24"/>
          <w:highlight w:val="none"/>
          <w:lang w:eastAsia="zh-CN"/>
        </w:rPr>
        <w:t>盖</w:t>
      </w:r>
      <w:r>
        <w:rPr>
          <w:rFonts w:hint="eastAsia" w:ascii="仿宋" w:hAnsi="仿宋" w:eastAsia="仿宋" w:cs="FangSong_GB2312"/>
          <w:color w:val="auto"/>
          <w:kern w:val="0"/>
          <w:sz w:val="24"/>
          <w:highlight w:val="none"/>
        </w:rPr>
        <w:t>章）：</w:t>
      </w:r>
    </w:p>
    <w:p>
      <w:pPr>
        <w:autoSpaceDE w:val="0"/>
        <w:autoSpaceDN w:val="0"/>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 xml:space="preserve">                                     法定代表人或其授权代表（签字</w:t>
      </w:r>
      <w:r>
        <w:rPr>
          <w:rFonts w:hint="eastAsia" w:ascii="仿宋" w:hAnsi="仿宋" w:eastAsia="仿宋" w:cs="FangSong_GB2312"/>
          <w:color w:val="auto"/>
          <w:kern w:val="0"/>
          <w:sz w:val="24"/>
          <w:highlight w:val="none"/>
          <w:lang w:eastAsia="zh-CN"/>
        </w:rPr>
        <w:t>或盖章</w:t>
      </w:r>
      <w:r>
        <w:rPr>
          <w:rFonts w:hint="eastAsia" w:ascii="仿宋" w:hAnsi="仿宋" w:eastAsia="仿宋" w:cs="FangSong_GB2312"/>
          <w:color w:val="auto"/>
          <w:kern w:val="0"/>
          <w:sz w:val="24"/>
          <w:highlight w:val="none"/>
        </w:rPr>
        <w:t>）：</w:t>
      </w:r>
    </w:p>
    <w:p>
      <w:pPr>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 xml:space="preserve">                                     日期：  年  月   日</w:t>
      </w:r>
    </w:p>
    <w:p>
      <w:pPr>
        <w:spacing w:line="360" w:lineRule="auto"/>
        <w:jc w:val="center"/>
        <w:rPr>
          <w:rFonts w:ascii="仿宋" w:hAnsi="仿宋" w:eastAsia="仿宋" w:cs="FangSong_GB2312"/>
          <w:b/>
          <w:bCs/>
          <w:color w:val="auto"/>
          <w:sz w:val="32"/>
          <w:szCs w:val="32"/>
          <w:highlight w:val="none"/>
        </w:rPr>
      </w:pPr>
    </w:p>
    <w:p>
      <w:pPr>
        <w:pageBreakBefore/>
        <w:spacing w:line="360" w:lineRule="auto"/>
        <w:rPr>
          <w:rFonts w:ascii="仿宋" w:hAnsi="仿宋" w:eastAsia="仿宋" w:cs="FangSong_GB2312"/>
          <w:b/>
          <w:color w:val="auto"/>
          <w:kern w:val="0"/>
          <w:sz w:val="32"/>
          <w:szCs w:val="32"/>
          <w:highlight w:val="none"/>
          <w:lang w:val="zh-CN"/>
        </w:rPr>
      </w:pPr>
      <w:r>
        <w:rPr>
          <w:rFonts w:hint="eastAsia" w:ascii="仿宋" w:hAnsi="仿宋" w:eastAsia="仿宋" w:cs="FangSong_GB2312"/>
          <w:b/>
          <w:bCs/>
          <w:color w:val="auto"/>
          <w:sz w:val="32"/>
          <w:szCs w:val="32"/>
          <w:highlight w:val="none"/>
        </w:rPr>
        <w:t>19、</w:t>
      </w:r>
      <w:r>
        <w:rPr>
          <w:rFonts w:hint="eastAsia" w:ascii="仿宋" w:hAnsi="仿宋" w:eastAsia="仿宋" w:cs="FangSong_GB2312"/>
          <w:b/>
          <w:color w:val="auto"/>
          <w:kern w:val="0"/>
          <w:sz w:val="32"/>
          <w:szCs w:val="32"/>
          <w:highlight w:val="none"/>
          <w:lang w:val="zh-CN"/>
        </w:rPr>
        <w:t>优惠条件及特殊承诺</w:t>
      </w:r>
    </w:p>
    <w:p>
      <w:pPr>
        <w:spacing w:line="360" w:lineRule="auto"/>
        <w:rPr>
          <w:rFonts w:ascii="仿宋" w:hAnsi="仿宋" w:eastAsia="仿宋" w:cs="FangSong_GB2312"/>
          <w:color w:val="auto"/>
          <w:sz w:val="24"/>
          <w:highlight w:val="none"/>
        </w:rPr>
      </w:pPr>
      <w:r>
        <w:rPr>
          <w:rFonts w:hint="eastAsia" w:ascii="仿宋" w:hAnsi="仿宋" w:eastAsia="仿宋" w:cs="FangSong_GB2312"/>
          <w:color w:val="auto"/>
          <w:sz w:val="24"/>
          <w:highlight w:val="none"/>
        </w:rPr>
        <w:t>（由投标人根据采购需求自行编制）</w:t>
      </w:r>
    </w:p>
    <w:p>
      <w:pPr>
        <w:spacing w:line="360" w:lineRule="auto"/>
        <w:rPr>
          <w:rFonts w:ascii="仿宋" w:hAnsi="仿宋" w:eastAsia="仿宋" w:cs="FangSong_GB2312"/>
          <w:color w:val="auto"/>
          <w:sz w:val="18"/>
          <w:szCs w:val="18"/>
          <w:highlight w:val="none"/>
        </w:rPr>
      </w:pPr>
    </w:p>
    <w:p>
      <w:pPr>
        <w:autoSpaceDE w:val="0"/>
        <w:autoSpaceDN w:val="0"/>
        <w:spacing w:line="360" w:lineRule="auto"/>
        <w:ind w:firstLine="4440" w:firstLineChars="185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投标人名称（</w:t>
      </w:r>
      <w:r>
        <w:rPr>
          <w:rFonts w:hint="eastAsia" w:ascii="仿宋" w:hAnsi="仿宋" w:eastAsia="仿宋" w:cs="FangSong_GB2312"/>
          <w:color w:val="auto"/>
          <w:kern w:val="0"/>
          <w:sz w:val="24"/>
          <w:highlight w:val="none"/>
          <w:lang w:eastAsia="zh-CN"/>
        </w:rPr>
        <w:t>盖</w:t>
      </w:r>
      <w:r>
        <w:rPr>
          <w:rFonts w:hint="eastAsia" w:ascii="仿宋" w:hAnsi="仿宋" w:eastAsia="仿宋" w:cs="FangSong_GB2312"/>
          <w:color w:val="auto"/>
          <w:kern w:val="0"/>
          <w:sz w:val="24"/>
          <w:highlight w:val="none"/>
        </w:rPr>
        <w:t>章）：</w:t>
      </w:r>
    </w:p>
    <w:p>
      <w:pPr>
        <w:autoSpaceDE w:val="0"/>
        <w:autoSpaceDN w:val="0"/>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 xml:space="preserve">                                     法定代表人或其授权代表（签字</w:t>
      </w:r>
      <w:r>
        <w:rPr>
          <w:rFonts w:hint="eastAsia" w:ascii="仿宋" w:hAnsi="仿宋" w:eastAsia="仿宋" w:cs="FangSong_GB2312"/>
          <w:color w:val="auto"/>
          <w:kern w:val="0"/>
          <w:sz w:val="24"/>
          <w:highlight w:val="none"/>
          <w:lang w:eastAsia="zh-CN"/>
        </w:rPr>
        <w:t>或盖章</w:t>
      </w:r>
      <w:r>
        <w:rPr>
          <w:rFonts w:hint="eastAsia" w:ascii="仿宋" w:hAnsi="仿宋" w:eastAsia="仿宋" w:cs="FangSong_GB2312"/>
          <w:color w:val="auto"/>
          <w:kern w:val="0"/>
          <w:sz w:val="24"/>
          <w:highlight w:val="none"/>
        </w:rPr>
        <w:t>）：</w:t>
      </w:r>
    </w:p>
    <w:p>
      <w:pPr>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 xml:space="preserve">                                          日期：  年  月   日</w:t>
      </w:r>
    </w:p>
    <w:p>
      <w:pPr>
        <w:spacing w:line="360" w:lineRule="auto"/>
        <w:rPr>
          <w:rFonts w:ascii="仿宋" w:hAnsi="仿宋" w:eastAsia="仿宋" w:cs="FangSong_GB2312"/>
          <w:b/>
          <w:bCs/>
          <w:color w:val="auto"/>
          <w:sz w:val="18"/>
          <w:szCs w:val="18"/>
          <w:highlight w:val="none"/>
        </w:rPr>
      </w:pPr>
    </w:p>
    <w:p>
      <w:pPr>
        <w:spacing w:line="360" w:lineRule="auto"/>
        <w:rPr>
          <w:rFonts w:ascii="仿宋" w:hAnsi="仿宋" w:eastAsia="仿宋" w:cs="FangSong_GB2312"/>
          <w:b/>
          <w:color w:val="auto"/>
          <w:kern w:val="0"/>
          <w:sz w:val="32"/>
          <w:szCs w:val="32"/>
          <w:highlight w:val="none"/>
          <w:lang w:val="zh-CN"/>
        </w:rPr>
      </w:pPr>
      <w:r>
        <w:rPr>
          <w:rFonts w:hint="eastAsia" w:ascii="仿宋" w:hAnsi="仿宋" w:eastAsia="仿宋" w:cs="FangSong_GB2312"/>
          <w:b/>
          <w:bCs/>
          <w:color w:val="auto"/>
          <w:sz w:val="32"/>
          <w:szCs w:val="32"/>
          <w:highlight w:val="none"/>
        </w:rPr>
        <w:t>20、</w:t>
      </w:r>
      <w:r>
        <w:rPr>
          <w:rFonts w:hint="eastAsia" w:ascii="仿宋" w:hAnsi="仿宋" w:eastAsia="仿宋" w:cs="FangSong_GB2312"/>
          <w:b/>
          <w:color w:val="auto"/>
          <w:kern w:val="0"/>
          <w:sz w:val="32"/>
          <w:szCs w:val="32"/>
          <w:highlight w:val="none"/>
          <w:lang w:val="zh-CN"/>
        </w:rPr>
        <w:t>备品备件及供选择的配套零部件清单</w:t>
      </w:r>
    </w:p>
    <w:p>
      <w:pPr>
        <w:spacing w:line="360" w:lineRule="auto"/>
        <w:rPr>
          <w:rFonts w:ascii="仿宋" w:hAnsi="仿宋" w:eastAsia="仿宋" w:cs="FangSong_GB2312"/>
          <w:color w:val="auto"/>
          <w:sz w:val="24"/>
          <w:highlight w:val="none"/>
        </w:rPr>
      </w:pPr>
      <w:r>
        <w:rPr>
          <w:rFonts w:hint="eastAsia" w:ascii="仿宋" w:hAnsi="仿宋" w:eastAsia="仿宋" w:cs="FangSong_GB2312"/>
          <w:color w:val="auto"/>
          <w:sz w:val="24"/>
          <w:highlight w:val="none"/>
        </w:rPr>
        <w:t>（由投标人根据采购需求自行编制）</w:t>
      </w:r>
    </w:p>
    <w:p>
      <w:pPr>
        <w:spacing w:line="360" w:lineRule="auto"/>
        <w:rPr>
          <w:rFonts w:ascii="仿宋" w:hAnsi="仿宋" w:eastAsia="仿宋" w:cs="FangSong_GB2312"/>
          <w:b/>
          <w:bCs/>
          <w:color w:val="auto"/>
          <w:sz w:val="32"/>
          <w:szCs w:val="32"/>
          <w:highlight w:val="none"/>
        </w:rPr>
      </w:pPr>
    </w:p>
    <w:p>
      <w:pPr>
        <w:spacing w:line="360" w:lineRule="auto"/>
        <w:rPr>
          <w:rFonts w:ascii="仿宋" w:hAnsi="仿宋" w:eastAsia="仿宋" w:cs="FangSong_GB2312"/>
          <w:b/>
          <w:bCs/>
          <w:color w:val="auto"/>
          <w:sz w:val="32"/>
          <w:szCs w:val="32"/>
          <w:highlight w:val="none"/>
        </w:rPr>
      </w:pPr>
    </w:p>
    <w:p>
      <w:pPr>
        <w:spacing w:line="440" w:lineRule="exact"/>
        <w:rPr>
          <w:rFonts w:ascii="仿宋" w:hAnsi="仿宋" w:eastAsia="仿宋"/>
          <w:b/>
          <w:color w:val="auto"/>
          <w:spacing w:val="20"/>
          <w:sz w:val="24"/>
          <w:highlight w:val="none"/>
        </w:rPr>
      </w:pPr>
      <w:r>
        <w:rPr>
          <w:rFonts w:hint="eastAsia" w:ascii="仿宋" w:hAnsi="仿宋" w:eastAsia="仿宋"/>
          <w:b/>
          <w:color w:val="auto"/>
          <w:sz w:val="32"/>
          <w:szCs w:val="32"/>
          <w:highlight w:val="none"/>
        </w:rPr>
        <w:t>21、</w:t>
      </w:r>
      <w:r>
        <w:rPr>
          <w:rFonts w:hint="eastAsia" w:ascii="仿宋" w:hAnsi="仿宋" w:eastAsia="仿宋"/>
          <w:b/>
          <w:color w:val="auto"/>
          <w:spacing w:val="20"/>
          <w:sz w:val="32"/>
          <w:szCs w:val="32"/>
          <w:highlight w:val="none"/>
        </w:rPr>
        <w:t>消耗品、维修零配件购买价格清单</w:t>
      </w:r>
      <w:r>
        <w:rPr>
          <w:rFonts w:hint="eastAsia" w:ascii="仿宋" w:hAnsi="仿宋" w:eastAsia="仿宋"/>
          <w:b/>
          <w:color w:val="auto"/>
          <w:spacing w:val="20"/>
          <w:sz w:val="24"/>
          <w:highlight w:val="none"/>
        </w:rPr>
        <w:t>(如有</w:t>
      </w:r>
      <w:r>
        <w:rPr>
          <w:rFonts w:hint="eastAsia" w:ascii="仿宋" w:hAnsi="仿宋" w:eastAsia="仿宋"/>
          <w:b/>
          <w:color w:val="auto"/>
          <w:sz w:val="24"/>
          <w:highlight w:val="none"/>
        </w:rPr>
        <w:t>，放入“技术资料部分”</w:t>
      </w:r>
      <w:r>
        <w:rPr>
          <w:rFonts w:hint="eastAsia" w:ascii="仿宋" w:hAnsi="仿宋" w:eastAsia="仿宋"/>
          <w:b/>
          <w:color w:val="auto"/>
          <w:spacing w:val="20"/>
          <w:sz w:val="24"/>
          <w:highlight w:val="none"/>
        </w:rPr>
        <w:t>)</w:t>
      </w:r>
    </w:p>
    <w:tbl>
      <w:tblPr>
        <w:tblStyle w:val="39"/>
        <w:tblW w:w="8640"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1260"/>
        <w:gridCol w:w="1440"/>
        <w:gridCol w:w="720"/>
        <w:gridCol w:w="1440"/>
        <w:gridCol w:w="900"/>
        <w:gridCol w:w="720"/>
        <w:gridCol w:w="14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double" w:color="000000" w:sz="6" w:space="0"/>
              <w:left w:val="double" w:color="000000" w:sz="6" w:space="0"/>
              <w:bottom w:val="sing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序号</w:t>
            </w:r>
          </w:p>
        </w:tc>
        <w:tc>
          <w:tcPr>
            <w:tcW w:w="1260" w:type="dxa"/>
            <w:tcBorders>
              <w:top w:val="doub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名称</w:t>
            </w:r>
          </w:p>
        </w:tc>
        <w:tc>
          <w:tcPr>
            <w:tcW w:w="1440" w:type="dxa"/>
            <w:tcBorders>
              <w:top w:val="doub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品牌、型号和规格</w:t>
            </w:r>
          </w:p>
        </w:tc>
        <w:tc>
          <w:tcPr>
            <w:tcW w:w="720" w:type="dxa"/>
            <w:tcBorders>
              <w:top w:val="doub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数量</w:t>
            </w:r>
          </w:p>
        </w:tc>
        <w:tc>
          <w:tcPr>
            <w:tcW w:w="1440" w:type="dxa"/>
            <w:tcBorders>
              <w:top w:val="doub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原产地和制造商名称</w:t>
            </w:r>
          </w:p>
        </w:tc>
        <w:tc>
          <w:tcPr>
            <w:tcW w:w="900" w:type="dxa"/>
            <w:tcBorders>
              <w:top w:val="doub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市场价</w:t>
            </w:r>
          </w:p>
        </w:tc>
        <w:tc>
          <w:tcPr>
            <w:tcW w:w="720" w:type="dxa"/>
            <w:tcBorders>
              <w:top w:val="double" w:color="000000" w:sz="6" w:space="0"/>
              <w:left w:val="single" w:color="auto" w:sz="4" w:space="0"/>
              <w:bottom w:val="sing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报价</w:t>
            </w:r>
          </w:p>
        </w:tc>
        <w:tc>
          <w:tcPr>
            <w:tcW w:w="1440" w:type="dxa"/>
            <w:tcBorders>
              <w:top w:val="double" w:color="000000" w:sz="6" w:space="0"/>
              <w:left w:val="single" w:color="000000" w:sz="6" w:space="0"/>
              <w:bottom w:val="single" w:color="000000" w:sz="6" w:space="0"/>
              <w:right w:val="doub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对应的投标设备名称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sing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1.</w:t>
            </w:r>
          </w:p>
        </w:tc>
        <w:tc>
          <w:tcPr>
            <w:tcW w:w="126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auto" w:sz="4"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double" w:color="000000" w:sz="6" w:space="0"/>
            </w:tcBorders>
            <w:vAlign w:val="center"/>
          </w:tcPr>
          <w:p>
            <w:pPr>
              <w:rPr>
                <w:rFonts w:ascii="仿宋" w:hAnsi="仿宋" w:eastAsia="仿宋"/>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sing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2.</w:t>
            </w:r>
          </w:p>
        </w:tc>
        <w:tc>
          <w:tcPr>
            <w:tcW w:w="126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auto" w:sz="4"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double" w:color="000000" w:sz="6" w:space="0"/>
            </w:tcBorders>
            <w:vAlign w:val="center"/>
          </w:tcPr>
          <w:p>
            <w:pPr>
              <w:rPr>
                <w:rFonts w:ascii="仿宋" w:hAnsi="仿宋" w:eastAsia="仿宋"/>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sing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3.</w:t>
            </w:r>
          </w:p>
        </w:tc>
        <w:tc>
          <w:tcPr>
            <w:tcW w:w="126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auto" w:sz="4"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double" w:color="000000" w:sz="6" w:space="0"/>
            </w:tcBorders>
            <w:vAlign w:val="center"/>
          </w:tcPr>
          <w:p>
            <w:pPr>
              <w:rPr>
                <w:rFonts w:ascii="仿宋" w:hAnsi="仿宋" w:eastAsia="仿宋"/>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sing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4.</w:t>
            </w:r>
          </w:p>
        </w:tc>
        <w:tc>
          <w:tcPr>
            <w:tcW w:w="126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auto" w:sz="4"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double" w:color="000000" w:sz="6" w:space="0"/>
            </w:tcBorders>
            <w:vAlign w:val="center"/>
          </w:tcPr>
          <w:p>
            <w:pPr>
              <w:rPr>
                <w:rFonts w:ascii="仿宋" w:hAnsi="仿宋" w:eastAsia="仿宋"/>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sing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5.</w:t>
            </w:r>
          </w:p>
        </w:tc>
        <w:tc>
          <w:tcPr>
            <w:tcW w:w="126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auto" w:sz="4"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double" w:color="000000" w:sz="6" w:space="0"/>
            </w:tcBorders>
            <w:vAlign w:val="center"/>
          </w:tcPr>
          <w:p>
            <w:pPr>
              <w:rPr>
                <w:rFonts w:ascii="仿宋" w:hAnsi="仿宋" w:eastAsia="仿宋"/>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sing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6.</w:t>
            </w:r>
          </w:p>
        </w:tc>
        <w:tc>
          <w:tcPr>
            <w:tcW w:w="126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900" w:type="dxa"/>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auto" w:sz="4" w:space="0"/>
              <w:bottom w:val="sing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single" w:color="000000" w:sz="6" w:space="0"/>
              <w:right w:val="double" w:color="000000" w:sz="6" w:space="0"/>
            </w:tcBorders>
            <w:vAlign w:val="center"/>
          </w:tcPr>
          <w:p>
            <w:pPr>
              <w:rPr>
                <w:rFonts w:ascii="仿宋" w:hAnsi="仿宋" w:eastAsia="仿宋"/>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0" w:type="dxa"/>
            <w:tcBorders>
              <w:top w:val="single" w:color="000000" w:sz="6" w:space="0"/>
              <w:left w:val="double" w:color="000000" w:sz="6" w:space="0"/>
              <w:bottom w:val="double" w:color="000000" w:sz="6" w:space="0"/>
              <w:right w:val="single" w:color="000000" w:sz="6" w:space="0"/>
            </w:tcBorders>
            <w:vAlign w:val="center"/>
          </w:tcPr>
          <w:p>
            <w:pPr>
              <w:rPr>
                <w:rFonts w:ascii="仿宋" w:hAnsi="仿宋" w:eastAsia="仿宋"/>
                <w:color w:val="auto"/>
                <w:highlight w:val="none"/>
              </w:rPr>
            </w:pPr>
            <w:r>
              <w:rPr>
                <w:rFonts w:hint="eastAsia" w:ascii="仿宋" w:hAnsi="仿宋" w:eastAsia="仿宋"/>
                <w:color w:val="auto"/>
                <w:highlight w:val="none"/>
              </w:rPr>
              <w:t>7.</w:t>
            </w:r>
          </w:p>
        </w:tc>
        <w:tc>
          <w:tcPr>
            <w:tcW w:w="1260" w:type="dxa"/>
            <w:tcBorders>
              <w:top w:val="single" w:color="000000" w:sz="6" w:space="0"/>
              <w:left w:val="single" w:color="000000" w:sz="6" w:space="0"/>
              <w:bottom w:val="doub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doub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000000" w:sz="6" w:space="0"/>
              <w:bottom w:val="doub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double" w:color="000000" w:sz="6" w:space="0"/>
              <w:right w:val="single" w:color="000000" w:sz="6" w:space="0"/>
            </w:tcBorders>
            <w:vAlign w:val="center"/>
          </w:tcPr>
          <w:p>
            <w:pPr>
              <w:rPr>
                <w:rFonts w:ascii="仿宋" w:hAnsi="仿宋" w:eastAsia="仿宋"/>
                <w:color w:val="auto"/>
                <w:highlight w:val="none"/>
              </w:rPr>
            </w:pPr>
          </w:p>
        </w:tc>
        <w:tc>
          <w:tcPr>
            <w:tcW w:w="900" w:type="dxa"/>
            <w:tcBorders>
              <w:top w:val="single" w:color="000000" w:sz="6" w:space="0"/>
              <w:left w:val="single" w:color="000000" w:sz="6" w:space="0"/>
              <w:bottom w:val="double" w:color="000000" w:sz="6" w:space="0"/>
              <w:right w:val="single" w:color="000000" w:sz="6" w:space="0"/>
            </w:tcBorders>
            <w:vAlign w:val="center"/>
          </w:tcPr>
          <w:p>
            <w:pPr>
              <w:rPr>
                <w:rFonts w:ascii="仿宋" w:hAnsi="仿宋" w:eastAsia="仿宋"/>
                <w:color w:val="auto"/>
                <w:highlight w:val="none"/>
              </w:rPr>
            </w:pPr>
          </w:p>
        </w:tc>
        <w:tc>
          <w:tcPr>
            <w:tcW w:w="720" w:type="dxa"/>
            <w:tcBorders>
              <w:top w:val="single" w:color="000000" w:sz="6" w:space="0"/>
              <w:left w:val="single" w:color="auto" w:sz="4" w:space="0"/>
              <w:bottom w:val="double" w:color="000000" w:sz="6" w:space="0"/>
              <w:right w:val="single" w:color="000000" w:sz="6" w:space="0"/>
            </w:tcBorders>
            <w:vAlign w:val="center"/>
          </w:tcPr>
          <w:p>
            <w:pPr>
              <w:rPr>
                <w:rFonts w:ascii="仿宋" w:hAnsi="仿宋" w:eastAsia="仿宋"/>
                <w:color w:val="auto"/>
                <w:highlight w:val="none"/>
              </w:rPr>
            </w:pPr>
          </w:p>
        </w:tc>
        <w:tc>
          <w:tcPr>
            <w:tcW w:w="1440" w:type="dxa"/>
            <w:tcBorders>
              <w:top w:val="single" w:color="000000" w:sz="6" w:space="0"/>
              <w:left w:val="single" w:color="000000" w:sz="6" w:space="0"/>
              <w:bottom w:val="double" w:color="000000" w:sz="6" w:space="0"/>
              <w:right w:val="double" w:color="000000" w:sz="6" w:space="0"/>
            </w:tcBorders>
            <w:vAlign w:val="center"/>
          </w:tcPr>
          <w:p>
            <w:pPr>
              <w:rPr>
                <w:rFonts w:ascii="仿宋" w:hAnsi="仿宋" w:eastAsia="仿宋"/>
                <w:color w:val="auto"/>
                <w:highlight w:val="none"/>
              </w:rPr>
            </w:pPr>
          </w:p>
        </w:tc>
      </w:tr>
    </w:tbl>
    <w:p>
      <w:pPr>
        <w:adjustRightInd w:val="0"/>
        <w:snapToGrid w:val="0"/>
        <w:ind w:right="172" w:rightChars="82"/>
        <w:rPr>
          <w:rFonts w:ascii="仿宋" w:hAnsi="仿宋" w:eastAsia="仿宋"/>
          <w:color w:val="auto"/>
          <w:szCs w:val="21"/>
          <w:highlight w:val="none"/>
        </w:rPr>
      </w:pPr>
      <w:r>
        <w:rPr>
          <w:rFonts w:hint="eastAsia" w:ascii="仿宋" w:hAnsi="仿宋" w:eastAsia="仿宋"/>
          <w:color w:val="auto"/>
          <w:szCs w:val="21"/>
          <w:highlight w:val="none"/>
        </w:rPr>
        <w:t>注：消耗品和零配件必须是常用的主要部件类品目，此报价的优惠度将作为综合评标的重要依据之一。</w:t>
      </w:r>
    </w:p>
    <w:p>
      <w:pPr>
        <w:adjustRightInd w:val="0"/>
        <w:snapToGrid w:val="0"/>
        <w:ind w:right="172" w:rightChars="82" w:firstLine="606" w:firstLineChars="202"/>
        <w:rPr>
          <w:rFonts w:ascii="仿宋" w:hAnsi="仿宋" w:eastAsia="仿宋"/>
          <w:color w:val="auto"/>
          <w:sz w:val="30"/>
          <w:highlight w:val="none"/>
        </w:rPr>
      </w:pPr>
    </w:p>
    <w:p>
      <w:pPr>
        <w:adjustRightInd w:val="0"/>
        <w:snapToGrid w:val="0"/>
        <w:ind w:right="172" w:rightChars="82" w:firstLine="606" w:firstLineChars="202"/>
        <w:rPr>
          <w:rFonts w:ascii="仿宋" w:hAnsi="仿宋" w:eastAsia="仿宋"/>
          <w:color w:val="auto"/>
          <w:sz w:val="30"/>
          <w:highlight w:val="none"/>
        </w:rPr>
      </w:pPr>
    </w:p>
    <w:p>
      <w:pPr>
        <w:spacing w:line="440" w:lineRule="exact"/>
        <w:ind w:left="-210" w:leftChars="-100" w:firstLine="120" w:firstLineChars="50"/>
        <w:rPr>
          <w:rFonts w:ascii="仿宋" w:hAnsi="仿宋" w:eastAsia="仿宋"/>
          <w:color w:val="auto"/>
          <w:sz w:val="24"/>
          <w:highlight w:val="none"/>
        </w:rPr>
      </w:pPr>
      <w:r>
        <w:rPr>
          <w:rFonts w:hint="eastAsia" w:ascii="仿宋" w:hAnsi="仿宋" w:eastAsia="仿宋"/>
          <w:color w:val="auto"/>
          <w:sz w:val="24"/>
          <w:highlight w:val="none"/>
        </w:rPr>
        <w:t>投标人名称（盖章）：</w:t>
      </w:r>
    </w:p>
    <w:p>
      <w:pPr>
        <w:spacing w:line="440" w:lineRule="exact"/>
        <w:jc w:val="left"/>
        <w:rPr>
          <w:rFonts w:ascii="仿宋" w:hAnsi="仿宋" w:eastAsia="仿宋"/>
          <w:color w:val="auto"/>
          <w:sz w:val="24"/>
          <w:highlight w:val="none"/>
        </w:rPr>
      </w:pPr>
    </w:p>
    <w:p>
      <w:pPr>
        <w:spacing w:line="440" w:lineRule="exact"/>
        <w:ind w:left="-210" w:leftChars="-100" w:firstLine="120" w:firstLineChars="50"/>
        <w:jc w:val="left"/>
        <w:rPr>
          <w:rFonts w:ascii="仿宋" w:hAnsi="仿宋" w:eastAsia="仿宋"/>
          <w:color w:val="auto"/>
          <w:sz w:val="24"/>
          <w:highlight w:val="none"/>
        </w:rPr>
      </w:pPr>
      <w:r>
        <w:rPr>
          <w:rFonts w:hint="eastAsia" w:ascii="仿宋" w:hAnsi="仿宋" w:eastAsia="仿宋"/>
          <w:color w:val="auto"/>
          <w:sz w:val="24"/>
          <w:highlight w:val="none"/>
        </w:rPr>
        <w:t xml:space="preserve">法定代表人或其授权代表（签字或盖章）：                                      </w:t>
      </w:r>
      <w:r>
        <w:rPr>
          <w:rFonts w:hint="eastAsia" w:ascii="仿宋" w:hAnsi="仿宋" w:eastAsia="仿宋"/>
          <w:color w:val="auto"/>
          <w:sz w:val="24"/>
          <w:highlight w:val="none"/>
        </w:rPr>
        <w:tab/>
      </w:r>
    </w:p>
    <w:p>
      <w:pPr>
        <w:spacing w:line="440" w:lineRule="exact"/>
        <w:rPr>
          <w:rFonts w:ascii="仿宋" w:hAnsi="仿宋" w:eastAsia="仿宋"/>
          <w:b/>
          <w:color w:val="auto"/>
          <w:sz w:val="24"/>
          <w:highlight w:val="none"/>
        </w:rPr>
      </w:pPr>
      <w:r>
        <w:rPr>
          <w:rFonts w:hint="eastAsia" w:ascii="仿宋" w:hAnsi="仿宋" w:eastAsia="仿宋"/>
          <w:color w:val="auto"/>
          <w:sz w:val="24"/>
          <w:highlight w:val="none"/>
        </w:rPr>
        <w:t xml:space="preserve">                                              日期：    年   月   日  </w:t>
      </w:r>
    </w:p>
    <w:p>
      <w:pPr>
        <w:pageBreakBefore/>
        <w:spacing w:line="360" w:lineRule="auto"/>
        <w:rPr>
          <w:rFonts w:ascii="仿宋" w:hAnsi="仿宋" w:eastAsia="仿宋" w:cs="FangSong_GB2312"/>
          <w:b/>
          <w:color w:val="auto"/>
          <w:kern w:val="0"/>
          <w:sz w:val="32"/>
          <w:szCs w:val="32"/>
          <w:highlight w:val="none"/>
          <w:lang w:val="zh-CN"/>
        </w:rPr>
      </w:pPr>
      <w:r>
        <w:rPr>
          <w:rFonts w:hint="eastAsia" w:ascii="仿宋" w:hAnsi="仿宋" w:eastAsia="仿宋" w:cs="FangSong_GB2312"/>
          <w:b/>
          <w:bCs/>
          <w:color w:val="auto"/>
          <w:sz w:val="32"/>
          <w:szCs w:val="32"/>
          <w:highlight w:val="none"/>
        </w:rPr>
        <w:t>22、</w:t>
      </w:r>
      <w:r>
        <w:rPr>
          <w:rFonts w:hint="eastAsia" w:ascii="仿宋" w:hAnsi="仿宋" w:eastAsia="仿宋" w:cs="FangSong_GB2312"/>
          <w:b/>
          <w:color w:val="auto"/>
          <w:kern w:val="0"/>
          <w:sz w:val="32"/>
          <w:szCs w:val="32"/>
          <w:highlight w:val="none"/>
          <w:lang w:val="zh-CN"/>
        </w:rPr>
        <w:t>培训计划</w:t>
      </w:r>
    </w:p>
    <w:p>
      <w:pPr>
        <w:spacing w:line="360" w:lineRule="auto"/>
        <w:rPr>
          <w:rFonts w:ascii="仿宋" w:hAnsi="仿宋" w:eastAsia="仿宋" w:cs="FangSong_GB2312"/>
          <w:color w:val="auto"/>
          <w:sz w:val="24"/>
          <w:highlight w:val="none"/>
        </w:rPr>
      </w:pPr>
      <w:r>
        <w:rPr>
          <w:rFonts w:hint="eastAsia" w:ascii="仿宋" w:hAnsi="仿宋" w:eastAsia="仿宋" w:cs="FangSong_GB2312"/>
          <w:color w:val="auto"/>
          <w:sz w:val="24"/>
          <w:highlight w:val="none"/>
        </w:rPr>
        <w:t>（由投标人根据采购需求自行编制）</w:t>
      </w:r>
    </w:p>
    <w:p>
      <w:pPr>
        <w:keepNext/>
        <w:autoSpaceDE w:val="0"/>
        <w:autoSpaceDN w:val="0"/>
        <w:spacing w:line="360" w:lineRule="auto"/>
        <w:ind w:firstLine="477"/>
        <w:jc w:val="left"/>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附表: 培训日程及费用</w:t>
      </w:r>
    </w:p>
    <w:tbl>
      <w:tblPr>
        <w:tblStyle w:val="39"/>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FangSong_GB2312"/>
                <w:color w:val="auto"/>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FangSong_GB2312"/>
                <w:color w:val="auto"/>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FangSong_GB2312"/>
                <w:color w:val="auto"/>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FangSong_GB2312"/>
                <w:color w:val="auto"/>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 w:hAnsi="仿宋" w:eastAsia="仿宋" w:cs="FangSong_GB2312"/>
                <w:color w:val="auto"/>
                <w:sz w:val="24"/>
                <w:highlight w:val="none"/>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FangSong_GB2312"/>
                <w:color w:val="auto"/>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 w:hAnsi="仿宋" w:eastAsia="仿宋" w:cs="FangSong_GB2312"/>
                <w:color w:val="auto"/>
                <w:sz w:val="24"/>
                <w:highlight w:val="none"/>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FangSong_GB2312"/>
                <w:color w:val="auto"/>
                <w:sz w:val="24"/>
                <w:highlight w:val="none"/>
              </w:rPr>
            </w:pPr>
            <w:r>
              <w:rPr>
                <w:rFonts w:hint="eastAsia" w:ascii="仿宋" w:hAnsi="仿宋" w:eastAsia="仿宋" w:cs="FangSong_GB2312"/>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FangSong_GB2312"/>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FangSong_GB2312"/>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FangSong_GB2312"/>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ascii="仿宋" w:hAnsi="仿宋" w:eastAsia="仿宋" w:cs="FangSong_GB2312"/>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ascii="仿宋" w:hAnsi="仿宋" w:eastAsia="仿宋" w:cs="FangSong_GB2312"/>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ascii="仿宋" w:hAnsi="仿宋" w:eastAsia="仿宋" w:cs="FangSong_GB2312"/>
                <w:color w:val="auto"/>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FangSong_GB2312"/>
          <w:color w:val="auto"/>
          <w:sz w:val="24"/>
          <w:highlight w:val="none"/>
        </w:rPr>
      </w:pPr>
      <w:r>
        <w:rPr>
          <w:rFonts w:hint="eastAsia" w:ascii="仿宋" w:hAnsi="仿宋" w:eastAsia="仿宋" w:cs="FangSong_GB2312"/>
          <w:color w:val="auto"/>
          <w:sz w:val="24"/>
          <w:highlight w:val="none"/>
        </w:rPr>
        <w:t>注解:A</w:t>
      </w:r>
      <w:r>
        <w:rPr>
          <w:rFonts w:hint="eastAsia" w:ascii="仿宋" w:hAnsi="仿宋" w:eastAsia="仿宋" w:cs="FangSong_GB2312"/>
          <w:color w:val="auto"/>
          <w:sz w:val="24"/>
          <w:highlight w:val="none"/>
        </w:rPr>
        <w:tab/>
      </w:r>
      <w:r>
        <w:rPr>
          <w:rFonts w:hint="eastAsia" w:ascii="仿宋" w:hAnsi="仿宋" w:eastAsia="仿宋" w:cs="FangSong_GB2312"/>
          <w:color w:val="auto"/>
          <w:sz w:val="24"/>
          <w:highlight w:val="none"/>
        </w:rPr>
        <w:t>课程清单按时间顺序排列，并提供以下详细资料：</w:t>
      </w:r>
    </w:p>
    <w:p>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FangSong_GB2312"/>
          <w:color w:val="auto"/>
          <w:sz w:val="24"/>
          <w:highlight w:val="none"/>
        </w:rPr>
      </w:pPr>
      <w:r>
        <w:rPr>
          <w:rFonts w:hint="eastAsia" w:ascii="仿宋" w:hAnsi="仿宋" w:eastAsia="仿宋" w:cs="FangSong_GB2312"/>
          <w:color w:val="auto"/>
          <w:sz w:val="24"/>
          <w:highlight w:val="none"/>
        </w:rPr>
        <w:t>课程概要</w:t>
      </w:r>
    </w:p>
    <w:p>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FangSong_GB2312"/>
          <w:color w:val="auto"/>
          <w:sz w:val="24"/>
          <w:highlight w:val="none"/>
        </w:rPr>
      </w:pPr>
      <w:r>
        <w:rPr>
          <w:rFonts w:hint="eastAsia" w:ascii="仿宋" w:hAnsi="仿宋" w:eastAsia="仿宋" w:cs="FangSong_GB2312"/>
          <w:color w:val="auto"/>
          <w:sz w:val="24"/>
          <w:highlight w:val="none"/>
        </w:rPr>
        <w:t>课程目的</w:t>
      </w:r>
    </w:p>
    <w:p>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FangSong_GB2312"/>
          <w:color w:val="auto"/>
          <w:sz w:val="24"/>
          <w:highlight w:val="none"/>
        </w:rPr>
      </w:pPr>
      <w:r>
        <w:rPr>
          <w:rFonts w:hint="eastAsia" w:ascii="仿宋" w:hAnsi="仿宋" w:eastAsia="仿宋" w:cs="FangSong_GB2312"/>
          <w:color w:val="auto"/>
          <w:sz w:val="24"/>
          <w:highlight w:val="none"/>
        </w:rPr>
        <w:t>教学方式</w:t>
      </w:r>
    </w:p>
    <w:p>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FangSong_GB2312"/>
          <w:color w:val="auto"/>
          <w:sz w:val="24"/>
          <w:highlight w:val="none"/>
        </w:rPr>
      </w:pPr>
      <w:r>
        <w:rPr>
          <w:rFonts w:hint="eastAsia" w:ascii="仿宋" w:hAnsi="仿宋" w:eastAsia="仿宋" w:cs="FangSong_GB2312"/>
          <w:color w:val="auto"/>
          <w:sz w:val="24"/>
          <w:highlight w:val="none"/>
        </w:rPr>
        <w:t>先决条件</w:t>
      </w:r>
    </w:p>
    <w:p>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adjustRightInd w:val="0"/>
        <w:spacing w:line="360" w:lineRule="auto"/>
        <w:ind w:left="1069" w:hanging="420"/>
        <w:rPr>
          <w:rFonts w:ascii="仿宋" w:hAnsi="仿宋" w:eastAsia="仿宋" w:cs="FangSong_GB2312"/>
          <w:color w:val="auto"/>
          <w:sz w:val="24"/>
          <w:highlight w:val="none"/>
        </w:rPr>
      </w:pPr>
      <w:r>
        <w:rPr>
          <w:rFonts w:hint="eastAsia" w:ascii="仿宋" w:hAnsi="仿宋" w:eastAsia="仿宋" w:cs="FangSong_GB2312"/>
          <w:color w:val="auto"/>
          <w:sz w:val="24"/>
          <w:highlight w:val="none"/>
        </w:rPr>
        <w:t>教材目录</w:t>
      </w:r>
    </w:p>
    <w:p>
      <w:pPr>
        <w:autoSpaceDE w:val="0"/>
        <w:autoSpaceDN w:val="0"/>
        <w:spacing w:line="360" w:lineRule="auto"/>
        <w:rPr>
          <w:rFonts w:ascii="仿宋" w:hAnsi="仿宋" w:eastAsia="仿宋" w:cs="FangSong_GB2312"/>
          <w:color w:val="auto"/>
          <w:sz w:val="24"/>
          <w:highlight w:val="none"/>
        </w:rPr>
      </w:pPr>
      <w:r>
        <w:rPr>
          <w:rFonts w:hint="eastAsia" w:ascii="仿宋" w:hAnsi="仿宋" w:eastAsia="仿宋" w:cs="FangSong_GB2312"/>
          <w:color w:val="auto"/>
          <w:sz w:val="24"/>
          <w:highlight w:val="none"/>
        </w:rPr>
        <w:t>B  按照附表A提供授课教师的简历</w:t>
      </w:r>
    </w:p>
    <w:p>
      <w:pPr>
        <w:autoSpaceDE w:val="0"/>
        <w:autoSpaceDN w:val="0"/>
        <w:spacing w:line="360" w:lineRule="auto"/>
        <w:rPr>
          <w:rFonts w:ascii="仿宋" w:hAnsi="仿宋" w:eastAsia="仿宋" w:cs="FangSong_GB2312"/>
          <w:b/>
          <w:color w:val="auto"/>
          <w:sz w:val="24"/>
          <w:highlight w:val="none"/>
        </w:rPr>
      </w:pPr>
      <w:r>
        <w:rPr>
          <w:rFonts w:hint="eastAsia" w:ascii="仿宋" w:hAnsi="仿宋" w:eastAsia="仿宋" w:cs="FangSong_GB2312"/>
          <w:b/>
          <w:color w:val="auto"/>
          <w:sz w:val="24"/>
          <w:highlight w:val="none"/>
        </w:rPr>
        <w:t>注：须随表提交相应的证书复印件并注明所在投标商务技术（资信）文件页码。</w:t>
      </w:r>
    </w:p>
    <w:p>
      <w:pPr>
        <w:autoSpaceDE w:val="0"/>
        <w:autoSpaceDN w:val="0"/>
        <w:spacing w:line="360" w:lineRule="auto"/>
        <w:ind w:firstLine="4800" w:firstLineChars="2000"/>
        <w:rPr>
          <w:rFonts w:ascii="仿宋" w:hAnsi="仿宋" w:eastAsia="仿宋" w:cs="FangSong_GB2312"/>
          <w:color w:val="auto"/>
          <w:sz w:val="24"/>
          <w:highlight w:val="none"/>
        </w:rPr>
      </w:pPr>
      <w:r>
        <w:rPr>
          <w:rFonts w:hint="eastAsia" w:ascii="仿宋" w:hAnsi="仿宋" w:eastAsia="仿宋" w:cs="FangSong_GB2312"/>
          <w:color w:val="auto"/>
          <w:kern w:val="0"/>
          <w:sz w:val="24"/>
          <w:highlight w:val="none"/>
        </w:rPr>
        <w:t>投标人名称（</w:t>
      </w:r>
      <w:r>
        <w:rPr>
          <w:rFonts w:hint="eastAsia" w:ascii="仿宋" w:hAnsi="仿宋" w:eastAsia="仿宋" w:cs="FangSong_GB2312"/>
          <w:color w:val="auto"/>
          <w:kern w:val="0"/>
          <w:sz w:val="24"/>
          <w:highlight w:val="none"/>
          <w:lang w:eastAsia="zh-CN"/>
        </w:rPr>
        <w:t>盖</w:t>
      </w:r>
      <w:r>
        <w:rPr>
          <w:rFonts w:hint="eastAsia" w:ascii="仿宋" w:hAnsi="仿宋" w:eastAsia="仿宋" w:cs="FangSong_GB2312"/>
          <w:color w:val="auto"/>
          <w:kern w:val="0"/>
          <w:sz w:val="24"/>
          <w:highlight w:val="none"/>
        </w:rPr>
        <w:t xml:space="preserve">章）：                       </w:t>
      </w:r>
    </w:p>
    <w:p>
      <w:pPr>
        <w:autoSpaceDE w:val="0"/>
        <w:autoSpaceDN w:val="0"/>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 xml:space="preserve">                                     法定代表人或其授权代表（签字</w:t>
      </w:r>
      <w:r>
        <w:rPr>
          <w:rFonts w:hint="eastAsia" w:ascii="仿宋" w:hAnsi="仿宋" w:eastAsia="仿宋" w:cs="FangSong_GB2312"/>
          <w:color w:val="auto"/>
          <w:kern w:val="0"/>
          <w:sz w:val="24"/>
          <w:highlight w:val="none"/>
          <w:lang w:eastAsia="zh-CN"/>
        </w:rPr>
        <w:t>或盖章</w:t>
      </w:r>
      <w:r>
        <w:rPr>
          <w:rFonts w:hint="eastAsia" w:ascii="仿宋" w:hAnsi="仿宋" w:eastAsia="仿宋" w:cs="FangSong_GB2312"/>
          <w:color w:val="auto"/>
          <w:kern w:val="0"/>
          <w:sz w:val="24"/>
          <w:highlight w:val="none"/>
        </w:rPr>
        <w:t xml:space="preserve">）：                   </w:t>
      </w:r>
    </w:p>
    <w:p>
      <w:pPr>
        <w:autoSpaceDE w:val="0"/>
        <w:autoSpaceDN w:val="0"/>
        <w:spacing w:line="360" w:lineRule="auto"/>
        <w:ind w:firstLine="12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 xml:space="preserve">                                       日期：  年  月   日</w:t>
      </w:r>
    </w:p>
    <w:p>
      <w:pPr>
        <w:spacing w:line="360" w:lineRule="auto"/>
        <w:rPr>
          <w:rFonts w:ascii="仿宋" w:hAnsi="仿宋" w:eastAsia="仿宋" w:cs="FangSong_GB2312"/>
          <w:b/>
          <w:bCs/>
          <w:color w:val="auto"/>
          <w:sz w:val="32"/>
          <w:szCs w:val="32"/>
          <w:highlight w:val="none"/>
        </w:rPr>
      </w:pPr>
      <w:r>
        <w:rPr>
          <w:rFonts w:hint="eastAsia" w:ascii="仿宋" w:hAnsi="仿宋" w:eastAsia="仿宋" w:cs="FangSong_GB2312"/>
          <w:b/>
          <w:bCs/>
          <w:color w:val="auto"/>
          <w:sz w:val="32"/>
          <w:szCs w:val="32"/>
          <w:highlight w:val="none"/>
        </w:rPr>
        <w:t>23、验收方案</w:t>
      </w:r>
    </w:p>
    <w:p>
      <w:pPr>
        <w:spacing w:line="360" w:lineRule="auto"/>
        <w:rPr>
          <w:rFonts w:ascii="仿宋" w:hAnsi="仿宋" w:eastAsia="仿宋" w:cs="FangSong_GB2312"/>
          <w:color w:val="auto"/>
          <w:sz w:val="24"/>
          <w:highlight w:val="none"/>
        </w:rPr>
      </w:pPr>
      <w:r>
        <w:rPr>
          <w:rFonts w:hint="eastAsia" w:ascii="仿宋" w:hAnsi="仿宋" w:eastAsia="仿宋" w:cs="FangSong_GB2312"/>
          <w:color w:val="auto"/>
          <w:sz w:val="24"/>
          <w:highlight w:val="none"/>
        </w:rPr>
        <w:t>（由投标人根据采购需求自行编制）</w:t>
      </w:r>
    </w:p>
    <w:p>
      <w:pPr>
        <w:spacing w:line="360" w:lineRule="auto"/>
        <w:jc w:val="center"/>
        <w:rPr>
          <w:rFonts w:ascii="仿宋" w:hAnsi="仿宋" w:eastAsia="仿宋" w:cs="FangSong_GB2312"/>
          <w:color w:val="auto"/>
          <w:sz w:val="24"/>
          <w:highlight w:val="none"/>
        </w:rPr>
      </w:pPr>
    </w:p>
    <w:p>
      <w:pPr>
        <w:autoSpaceDE w:val="0"/>
        <w:autoSpaceDN w:val="0"/>
        <w:spacing w:line="360" w:lineRule="auto"/>
        <w:ind w:firstLine="4800" w:firstLineChars="2000"/>
        <w:rPr>
          <w:rFonts w:ascii="仿宋" w:hAnsi="仿宋" w:eastAsia="仿宋" w:cs="FangSong_GB2312"/>
          <w:color w:val="auto"/>
          <w:sz w:val="24"/>
          <w:highlight w:val="none"/>
        </w:rPr>
      </w:pPr>
      <w:r>
        <w:rPr>
          <w:rFonts w:hint="eastAsia" w:ascii="仿宋" w:hAnsi="仿宋" w:eastAsia="仿宋" w:cs="FangSong_GB2312"/>
          <w:color w:val="auto"/>
          <w:kern w:val="0"/>
          <w:sz w:val="24"/>
          <w:highlight w:val="none"/>
        </w:rPr>
        <w:t>投标人名称（</w:t>
      </w:r>
      <w:r>
        <w:rPr>
          <w:rFonts w:hint="eastAsia" w:ascii="仿宋" w:hAnsi="仿宋" w:eastAsia="仿宋" w:cs="FangSong_GB2312"/>
          <w:color w:val="auto"/>
          <w:kern w:val="0"/>
          <w:sz w:val="24"/>
          <w:highlight w:val="none"/>
          <w:lang w:eastAsia="zh-CN"/>
        </w:rPr>
        <w:t>盖</w:t>
      </w:r>
      <w:r>
        <w:rPr>
          <w:rFonts w:hint="eastAsia" w:ascii="仿宋" w:hAnsi="仿宋" w:eastAsia="仿宋" w:cs="FangSong_GB2312"/>
          <w:color w:val="auto"/>
          <w:kern w:val="0"/>
          <w:sz w:val="24"/>
          <w:highlight w:val="none"/>
        </w:rPr>
        <w:t xml:space="preserve">章）：                       </w:t>
      </w:r>
    </w:p>
    <w:p>
      <w:pPr>
        <w:autoSpaceDE w:val="0"/>
        <w:autoSpaceDN w:val="0"/>
        <w:spacing w:line="360" w:lineRule="auto"/>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 xml:space="preserve">                                     法定代表人或其授权代表（签字</w:t>
      </w:r>
      <w:r>
        <w:rPr>
          <w:rFonts w:hint="eastAsia" w:ascii="仿宋" w:hAnsi="仿宋" w:eastAsia="仿宋" w:cs="FangSong_GB2312"/>
          <w:color w:val="auto"/>
          <w:kern w:val="0"/>
          <w:sz w:val="24"/>
          <w:highlight w:val="none"/>
          <w:lang w:eastAsia="zh-CN"/>
        </w:rPr>
        <w:t>或盖章</w:t>
      </w:r>
      <w:r>
        <w:rPr>
          <w:rFonts w:hint="eastAsia" w:ascii="仿宋" w:hAnsi="仿宋" w:eastAsia="仿宋" w:cs="FangSong_GB2312"/>
          <w:color w:val="auto"/>
          <w:kern w:val="0"/>
          <w:sz w:val="24"/>
          <w:highlight w:val="none"/>
        </w:rPr>
        <w:t xml:space="preserve">）：                   </w:t>
      </w:r>
    </w:p>
    <w:p>
      <w:pPr>
        <w:spacing w:line="360" w:lineRule="auto"/>
        <w:jc w:val="center"/>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rPr>
        <w:t xml:space="preserve">                          日期：   年  月   日</w:t>
      </w:r>
    </w:p>
    <w:p>
      <w:pPr>
        <w:spacing w:line="360" w:lineRule="auto"/>
        <w:jc w:val="center"/>
        <w:rPr>
          <w:rFonts w:ascii="仿宋" w:hAnsi="仿宋" w:eastAsia="仿宋" w:cs="FangSong_GB2312"/>
          <w:b/>
          <w:bCs/>
          <w:color w:val="auto"/>
          <w:sz w:val="30"/>
          <w:szCs w:val="30"/>
          <w:highlight w:val="none"/>
        </w:rPr>
      </w:pPr>
    </w:p>
    <w:p>
      <w:pPr>
        <w:spacing w:line="360" w:lineRule="auto"/>
        <w:jc w:val="center"/>
        <w:rPr>
          <w:rFonts w:ascii="仿宋" w:hAnsi="仿宋" w:eastAsia="仿宋" w:cs="FangSong_GB2312"/>
          <w:b/>
          <w:bCs/>
          <w:color w:val="auto"/>
          <w:sz w:val="30"/>
          <w:szCs w:val="30"/>
          <w:highlight w:val="none"/>
        </w:rPr>
      </w:pPr>
    </w:p>
    <w:p>
      <w:pPr>
        <w:spacing w:line="360" w:lineRule="auto"/>
        <w:jc w:val="center"/>
        <w:rPr>
          <w:rFonts w:ascii="仿宋" w:hAnsi="仿宋" w:eastAsia="仿宋" w:cs="FangSong_GB2312"/>
          <w:b/>
          <w:bCs/>
          <w:color w:val="auto"/>
          <w:sz w:val="24"/>
          <w:highlight w:val="none"/>
        </w:rPr>
      </w:pPr>
    </w:p>
    <w:p>
      <w:pPr>
        <w:spacing w:line="360" w:lineRule="auto"/>
        <w:jc w:val="center"/>
        <w:rPr>
          <w:rFonts w:ascii="仿宋" w:hAnsi="仿宋" w:eastAsia="仿宋" w:cs="FangSong_GB2312"/>
          <w:b/>
          <w:bCs/>
          <w:color w:val="auto"/>
          <w:sz w:val="24"/>
          <w:highlight w:val="none"/>
        </w:rPr>
      </w:pPr>
    </w:p>
    <w:p>
      <w:pPr>
        <w:pageBreakBefore/>
        <w:spacing w:line="360" w:lineRule="auto"/>
        <w:rPr>
          <w:rFonts w:ascii="仿宋" w:hAnsi="仿宋" w:eastAsia="仿宋" w:cs="FangSong_GB2312"/>
          <w:b/>
          <w:color w:val="auto"/>
          <w:kern w:val="0"/>
          <w:sz w:val="32"/>
          <w:szCs w:val="32"/>
          <w:highlight w:val="none"/>
          <w:lang w:val="zh-CN"/>
        </w:rPr>
      </w:pPr>
      <w:r>
        <w:rPr>
          <w:rFonts w:hint="eastAsia" w:ascii="仿宋" w:hAnsi="仿宋" w:eastAsia="仿宋" w:cs="FangSong_GB2312"/>
          <w:b/>
          <w:bCs/>
          <w:color w:val="auto"/>
          <w:sz w:val="32"/>
          <w:szCs w:val="32"/>
          <w:highlight w:val="none"/>
        </w:rPr>
        <w:t>24、认为需要的</w:t>
      </w:r>
      <w:r>
        <w:rPr>
          <w:rFonts w:hint="eastAsia" w:ascii="仿宋" w:hAnsi="仿宋" w:eastAsia="仿宋" w:cs="FangSong_GB2312"/>
          <w:b/>
          <w:color w:val="auto"/>
          <w:kern w:val="0"/>
          <w:sz w:val="32"/>
          <w:szCs w:val="32"/>
          <w:highlight w:val="none"/>
          <w:lang w:val="zh-CN"/>
        </w:rPr>
        <w:t>其他商务技术（资信）文件或说明</w:t>
      </w:r>
    </w:p>
    <w:p>
      <w:pPr>
        <w:spacing w:line="360" w:lineRule="auto"/>
        <w:rPr>
          <w:rFonts w:ascii="仿宋" w:hAnsi="仿宋" w:eastAsia="仿宋" w:cs="FangSong_GB2312"/>
          <w:color w:val="auto"/>
          <w:sz w:val="24"/>
          <w:highlight w:val="none"/>
        </w:rPr>
      </w:pPr>
      <w:r>
        <w:rPr>
          <w:rFonts w:hint="eastAsia" w:ascii="仿宋" w:hAnsi="仿宋" w:eastAsia="仿宋" w:cs="FangSong_GB2312"/>
          <w:color w:val="auto"/>
          <w:sz w:val="24"/>
          <w:highlight w:val="none"/>
        </w:rPr>
        <w:t>（由投标人根据采购需求自行编制）</w:t>
      </w:r>
    </w:p>
    <w:p>
      <w:pPr>
        <w:spacing w:line="360" w:lineRule="auto"/>
        <w:rPr>
          <w:rFonts w:ascii="仿宋" w:hAnsi="仿宋" w:eastAsia="仿宋" w:cs="FangSong_GB2312"/>
          <w:color w:val="auto"/>
          <w:sz w:val="24"/>
          <w:highlight w:val="none"/>
        </w:rPr>
      </w:pPr>
    </w:p>
    <w:p>
      <w:pPr>
        <w:autoSpaceDE w:val="0"/>
        <w:autoSpaceDN w:val="0"/>
        <w:spacing w:line="360" w:lineRule="auto"/>
        <w:ind w:firstLine="5040" w:firstLineChars="2100"/>
        <w:rPr>
          <w:rFonts w:ascii="仿宋" w:hAnsi="仿宋" w:eastAsia="仿宋" w:cs="FangSong_GB2312"/>
          <w:color w:val="auto"/>
          <w:kern w:val="0"/>
          <w:sz w:val="24"/>
          <w:highlight w:val="none"/>
        </w:rPr>
      </w:pPr>
      <w:r>
        <w:rPr>
          <w:rFonts w:hint="eastAsia" w:ascii="仿宋" w:hAnsi="仿宋" w:eastAsia="仿宋" w:cs="FangSong_GB2312"/>
          <w:color w:val="auto"/>
          <w:kern w:val="0"/>
          <w:sz w:val="24"/>
          <w:highlight w:val="none"/>
          <w:lang w:val="zh-CN"/>
        </w:rPr>
        <w:t xml:space="preserve">投标人名称（盖章）：      </w:t>
      </w:r>
    </w:p>
    <w:p>
      <w:pPr>
        <w:autoSpaceDE w:val="0"/>
        <w:autoSpaceDN w:val="0"/>
        <w:spacing w:line="360" w:lineRule="auto"/>
        <w:rPr>
          <w:rFonts w:ascii="仿宋" w:hAnsi="仿宋" w:eastAsia="仿宋" w:cs="FangSong_GB2312"/>
          <w:color w:val="auto"/>
          <w:kern w:val="0"/>
          <w:sz w:val="24"/>
          <w:highlight w:val="none"/>
          <w:lang w:val="zh-CN"/>
        </w:rPr>
      </w:pPr>
      <w:r>
        <w:rPr>
          <w:rFonts w:hint="eastAsia" w:ascii="仿宋" w:hAnsi="仿宋" w:eastAsia="仿宋" w:cs="FangSong_GB2312"/>
          <w:color w:val="auto"/>
          <w:kern w:val="0"/>
          <w:sz w:val="24"/>
          <w:highlight w:val="none"/>
          <w:lang w:val="zh-CN"/>
        </w:rPr>
        <w:t xml:space="preserve">                                    法定代表人或其授权代表（签字或盖章）： </w:t>
      </w:r>
    </w:p>
    <w:p>
      <w:pPr>
        <w:spacing w:line="360" w:lineRule="auto"/>
        <w:rPr>
          <w:rFonts w:ascii="仿宋" w:hAnsi="仿宋" w:eastAsia="仿宋" w:cs="FangSong_GB2312"/>
          <w:color w:val="auto"/>
          <w:kern w:val="0"/>
          <w:sz w:val="24"/>
          <w:highlight w:val="none"/>
          <w:lang w:val="zh-CN"/>
        </w:rPr>
        <w:sectPr>
          <w:pgSz w:w="11906" w:h="16838"/>
          <w:pgMar w:top="1440" w:right="1406" w:bottom="1246" w:left="1758" w:header="1021" w:footer="902" w:gutter="0"/>
          <w:cols w:space="425" w:num="1"/>
          <w:titlePg/>
          <w:docGrid w:type="lines" w:linePitch="312" w:charSpace="0"/>
        </w:sectPr>
      </w:pPr>
      <w:r>
        <w:rPr>
          <w:rFonts w:hint="eastAsia" w:ascii="仿宋" w:hAnsi="仿宋" w:eastAsia="仿宋" w:cs="FangSong_GB2312"/>
          <w:color w:val="auto"/>
          <w:kern w:val="0"/>
          <w:sz w:val="24"/>
          <w:highlight w:val="none"/>
          <w:lang w:val="zh-CN"/>
        </w:rPr>
        <w:t xml:space="preserve">                                        日期：  年  月   日</w:t>
      </w:r>
    </w:p>
    <w:p>
      <w:pPr>
        <w:rPr>
          <w:rFonts w:ascii="仿宋" w:hAnsi="仿宋" w:eastAsia="仿宋" w:cs="FangSong_GB2312"/>
          <w:color w:val="auto"/>
          <w:kern w:val="0"/>
          <w:sz w:val="24"/>
          <w:highlight w:val="none"/>
          <w:lang w:val="zh-CN"/>
        </w:rPr>
      </w:pPr>
    </w:p>
    <w:sectPr>
      <w:type w:val="continuous"/>
      <w:pgSz w:w="11906" w:h="16838"/>
      <w:pgMar w:top="1440" w:right="1406" w:bottom="1246" w:left="1758" w:header="1021" w:footer="90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27</w:t>
                </w:r>
                <w:r>
                  <w:rPr>
                    <w:kern w:val="0"/>
                    <w:szCs w:val="21"/>
                  </w:rPr>
                  <w:fldChar w:fldCharType="end"/>
                </w:r>
                <w:r>
                  <w:rPr>
                    <w:kern w:val="0"/>
                    <w:szCs w:val="21"/>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4983"/>
        <w:tab w:val="clear" w:pos="4153"/>
      </w:tabs>
    </w:pPr>
    <w:r>
      <w:pict>
        <v:shape id="_x0000_s4097" o:spid="_x0000_s4097" o:spt="202" type="#_x0000_t202" style="position:absolute;left:0pt;margin-left:216.3pt;margin-top:-0.75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5"/>
                </w:pPr>
                <w:r>
                  <w:fldChar w:fldCharType="begin"/>
                </w:r>
                <w:r>
                  <w:instrText xml:space="preserve"> PAGE  \* MERGEFORMAT </w:instrText>
                </w:r>
                <w:r>
                  <w:fldChar w:fldCharType="separate"/>
                </w:r>
                <w:r>
                  <w:t>37</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hint="eastAsia" w:eastAsia="宋体"/>
        <w:lang w:eastAsia="zh-CN"/>
      </w:rPr>
    </w:pPr>
    <w:r>
      <w:rPr>
        <w:rFonts w:hint="eastAsia"/>
      </w:rPr>
      <w:t xml:space="preserve">泰宇建筑工程技术咨询有限公司招标文件                        招标编号: </w:t>
    </w:r>
    <w:r>
      <w:rPr>
        <w:rFonts w:hint="eastAsia"/>
        <w:lang w:eastAsia="zh-CN"/>
      </w:rPr>
      <w:t>TYJZ2021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3"/>
      <w:lvlText w:val="%1."/>
      <w:lvlJc w:val="left"/>
      <w:pPr>
        <w:tabs>
          <w:tab w:val="left" w:pos="360"/>
        </w:tabs>
        <w:ind w:left="360" w:hanging="360" w:hangingChars="200"/>
      </w:pPr>
    </w:lvl>
  </w:abstractNum>
  <w:abstractNum w:abstractNumId="2">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3">
    <w:nsid w:val="0CFE12CA"/>
    <w:multiLevelType w:val="multilevel"/>
    <w:tmpl w:val="0CFE12CA"/>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upperLetter"/>
      <w:lvlText w:val="%3、"/>
      <w:lvlJc w:val="left"/>
      <w:pPr>
        <w:tabs>
          <w:tab w:val="left" w:pos="1260"/>
        </w:tabs>
        <w:ind w:left="1260" w:hanging="360"/>
      </w:pPr>
      <w:rPr>
        <w:rFonts w:hint="default"/>
      </w:rPr>
    </w:lvl>
    <w:lvl w:ilvl="3" w:tentative="0">
      <w:start w:val="1"/>
      <w:numFmt w:val="decimal"/>
      <w:pStyle w:val="126"/>
      <w:lvlText w:val="%4．"/>
      <w:lvlJc w:val="left"/>
      <w:pPr>
        <w:tabs>
          <w:tab w:val="left" w:pos="1620"/>
        </w:tabs>
        <w:ind w:left="1620" w:hanging="360"/>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6">
    <w:nsid w:val="6CAC619C"/>
    <w:multiLevelType w:val="multilevel"/>
    <w:tmpl w:val="6CAC619C"/>
    <w:lvl w:ilvl="0" w:tentative="0">
      <w:start w:val="1"/>
      <w:numFmt w:val="bullet"/>
      <w:pStyle w:val="120"/>
      <w:lvlText w:val=""/>
      <w:lvlJc w:val="left"/>
      <w:pPr>
        <w:tabs>
          <w:tab w:val="left" w:pos="840"/>
        </w:tabs>
        <w:ind w:left="840" w:hanging="420"/>
      </w:pPr>
      <w:rPr>
        <w:rFonts w:hint="default" w:ascii="Wingdings" w:hAnsi="Wingdings"/>
      </w:rPr>
    </w:lvl>
    <w:lvl w:ilvl="1" w:tentative="0">
      <w:start w:val="1"/>
      <w:numFmt w:val="none"/>
      <w:isLgl/>
      <w:suff w:val="space"/>
      <w:lvlText w:val="  2.2.1.1"/>
      <w:lvlJc w:val="left"/>
      <w:pPr>
        <w:ind w:left="567" w:hanging="567"/>
      </w:pPr>
      <w:rPr>
        <w:rFonts w:hint="eastAsia"/>
      </w:rPr>
    </w:lvl>
    <w:lvl w:ilvl="2" w:tentative="0">
      <w:start w:val="1"/>
      <w:numFmt w:val="none"/>
      <w:isLgl/>
      <w:suff w:val="space"/>
      <w:lvlText w:val="  2.2.1.3"/>
      <w:lvlJc w:val="left"/>
      <w:pPr>
        <w:ind w:left="0" w:firstLine="0"/>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suff w:val="space"/>
      <w:lvlText w:val="%1.%2.%3.%4.%5"/>
      <w:lvlJc w:val="left"/>
      <w:pPr>
        <w:ind w:left="992" w:hanging="992"/>
      </w:pPr>
      <w:rPr>
        <w:rFonts w:hint="eastAsia"/>
      </w:rPr>
    </w:lvl>
    <w:lvl w:ilvl="5" w:tentative="0">
      <w:start w:val="1"/>
      <w:numFmt w:val="decimal"/>
      <w:suff w:val="space"/>
      <w:lvlText w:val="%1.%2.%3.%4.%5.%6."/>
      <w:lvlJc w:val="left"/>
      <w:pPr>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6023716"/>
    <w:multiLevelType w:val="singleLevel"/>
    <w:tmpl w:val="76023716"/>
    <w:lvl w:ilvl="0" w:tentative="0">
      <w:start w:val="6"/>
      <w:numFmt w:val="chineseCounting"/>
      <w:suff w:val="nothing"/>
      <w:lvlText w:val="%1、"/>
      <w:lvlJc w:val="left"/>
      <w:rPr>
        <w:rFonts w:hint="eastAsia"/>
      </w:r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7C8A"/>
    <w:rsid w:val="00000288"/>
    <w:rsid w:val="00001407"/>
    <w:rsid w:val="00014C26"/>
    <w:rsid w:val="000213BD"/>
    <w:rsid w:val="0002203D"/>
    <w:rsid w:val="0002468D"/>
    <w:rsid w:val="00027D17"/>
    <w:rsid w:val="00031F75"/>
    <w:rsid w:val="000329A7"/>
    <w:rsid w:val="00034829"/>
    <w:rsid w:val="00035491"/>
    <w:rsid w:val="00036451"/>
    <w:rsid w:val="000367D4"/>
    <w:rsid w:val="00037850"/>
    <w:rsid w:val="00040A03"/>
    <w:rsid w:val="000413A3"/>
    <w:rsid w:val="00042FFF"/>
    <w:rsid w:val="000434EF"/>
    <w:rsid w:val="00043952"/>
    <w:rsid w:val="00047957"/>
    <w:rsid w:val="000503EC"/>
    <w:rsid w:val="000517D0"/>
    <w:rsid w:val="00051C47"/>
    <w:rsid w:val="00051F2D"/>
    <w:rsid w:val="00054AAA"/>
    <w:rsid w:val="00061571"/>
    <w:rsid w:val="00062966"/>
    <w:rsid w:val="00065248"/>
    <w:rsid w:val="00065AAC"/>
    <w:rsid w:val="00065EFB"/>
    <w:rsid w:val="00067179"/>
    <w:rsid w:val="00074373"/>
    <w:rsid w:val="00077669"/>
    <w:rsid w:val="000778C5"/>
    <w:rsid w:val="00083E93"/>
    <w:rsid w:val="000879BD"/>
    <w:rsid w:val="000933A2"/>
    <w:rsid w:val="00094E92"/>
    <w:rsid w:val="00097868"/>
    <w:rsid w:val="000A1105"/>
    <w:rsid w:val="000A2858"/>
    <w:rsid w:val="000A4F03"/>
    <w:rsid w:val="000A5AC0"/>
    <w:rsid w:val="000A6E1E"/>
    <w:rsid w:val="000B121D"/>
    <w:rsid w:val="000B625B"/>
    <w:rsid w:val="000C1A63"/>
    <w:rsid w:val="000C1F3C"/>
    <w:rsid w:val="000C21A5"/>
    <w:rsid w:val="000C3344"/>
    <w:rsid w:val="000C4DBA"/>
    <w:rsid w:val="000C4E2F"/>
    <w:rsid w:val="000C74D4"/>
    <w:rsid w:val="000D0DAB"/>
    <w:rsid w:val="000D0E6C"/>
    <w:rsid w:val="000D110F"/>
    <w:rsid w:val="000D44B1"/>
    <w:rsid w:val="000D4D0E"/>
    <w:rsid w:val="000D4FB6"/>
    <w:rsid w:val="000D64D4"/>
    <w:rsid w:val="000E4A4F"/>
    <w:rsid w:val="000E5A4E"/>
    <w:rsid w:val="000F0C2D"/>
    <w:rsid w:val="000F6060"/>
    <w:rsid w:val="00104663"/>
    <w:rsid w:val="00111C9B"/>
    <w:rsid w:val="00112B08"/>
    <w:rsid w:val="0011449B"/>
    <w:rsid w:val="00114B03"/>
    <w:rsid w:val="00114C81"/>
    <w:rsid w:val="00115E6F"/>
    <w:rsid w:val="00116EDA"/>
    <w:rsid w:val="0012018C"/>
    <w:rsid w:val="001218E0"/>
    <w:rsid w:val="0012458E"/>
    <w:rsid w:val="001249CB"/>
    <w:rsid w:val="00130D54"/>
    <w:rsid w:val="001345B3"/>
    <w:rsid w:val="0013565E"/>
    <w:rsid w:val="00137525"/>
    <w:rsid w:val="00142AA1"/>
    <w:rsid w:val="00150D5E"/>
    <w:rsid w:val="00157269"/>
    <w:rsid w:val="00161E6C"/>
    <w:rsid w:val="00165068"/>
    <w:rsid w:val="00165C06"/>
    <w:rsid w:val="00166E3E"/>
    <w:rsid w:val="00173659"/>
    <w:rsid w:val="001737BE"/>
    <w:rsid w:val="001751A8"/>
    <w:rsid w:val="00182BCE"/>
    <w:rsid w:val="001841D9"/>
    <w:rsid w:val="00184C15"/>
    <w:rsid w:val="00187E3F"/>
    <w:rsid w:val="0019064E"/>
    <w:rsid w:val="00190DB7"/>
    <w:rsid w:val="00191263"/>
    <w:rsid w:val="00191EE1"/>
    <w:rsid w:val="00192A2F"/>
    <w:rsid w:val="00193494"/>
    <w:rsid w:val="001A0C24"/>
    <w:rsid w:val="001A15C0"/>
    <w:rsid w:val="001A40E8"/>
    <w:rsid w:val="001A5CA3"/>
    <w:rsid w:val="001A622E"/>
    <w:rsid w:val="001A6712"/>
    <w:rsid w:val="001B16E2"/>
    <w:rsid w:val="001B2770"/>
    <w:rsid w:val="001B485F"/>
    <w:rsid w:val="001B4A44"/>
    <w:rsid w:val="001B70E5"/>
    <w:rsid w:val="001C07C7"/>
    <w:rsid w:val="001C1E8B"/>
    <w:rsid w:val="001C3739"/>
    <w:rsid w:val="001C5267"/>
    <w:rsid w:val="001C6042"/>
    <w:rsid w:val="001D108D"/>
    <w:rsid w:val="001D24BB"/>
    <w:rsid w:val="001D509C"/>
    <w:rsid w:val="001D643E"/>
    <w:rsid w:val="001D6ED7"/>
    <w:rsid w:val="001D7C85"/>
    <w:rsid w:val="001E0576"/>
    <w:rsid w:val="001E3B20"/>
    <w:rsid w:val="001E4A9F"/>
    <w:rsid w:val="001E6F45"/>
    <w:rsid w:val="001F16E2"/>
    <w:rsid w:val="001F2767"/>
    <w:rsid w:val="001F3859"/>
    <w:rsid w:val="001F429B"/>
    <w:rsid w:val="001F43C6"/>
    <w:rsid w:val="001F4C63"/>
    <w:rsid w:val="001F7E31"/>
    <w:rsid w:val="002008FA"/>
    <w:rsid w:val="002020B2"/>
    <w:rsid w:val="0020567D"/>
    <w:rsid w:val="002056F9"/>
    <w:rsid w:val="002062F2"/>
    <w:rsid w:val="00210CAC"/>
    <w:rsid w:val="00211374"/>
    <w:rsid w:val="00212F85"/>
    <w:rsid w:val="00231CB7"/>
    <w:rsid w:val="00231D98"/>
    <w:rsid w:val="00233356"/>
    <w:rsid w:val="0023638E"/>
    <w:rsid w:val="00241007"/>
    <w:rsid w:val="00247AB8"/>
    <w:rsid w:val="00250440"/>
    <w:rsid w:val="0025749B"/>
    <w:rsid w:val="00264FFB"/>
    <w:rsid w:val="00265A28"/>
    <w:rsid w:val="00266447"/>
    <w:rsid w:val="00274841"/>
    <w:rsid w:val="0028096B"/>
    <w:rsid w:val="002825DA"/>
    <w:rsid w:val="00283617"/>
    <w:rsid w:val="00285EAD"/>
    <w:rsid w:val="002860D2"/>
    <w:rsid w:val="00286495"/>
    <w:rsid w:val="002945E5"/>
    <w:rsid w:val="002A0921"/>
    <w:rsid w:val="002A13E9"/>
    <w:rsid w:val="002A168D"/>
    <w:rsid w:val="002A2871"/>
    <w:rsid w:val="002A4A75"/>
    <w:rsid w:val="002A586E"/>
    <w:rsid w:val="002A62AE"/>
    <w:rsid w:val="002A683A"/>
    <w:rsid w:val="002A6B48"/>
    <w:rsid w:val="002B006C"/>
    <w:rsid w:val="002B186A"/>
    <w:rsid w:val="002B3711"/>
    <w:rsid w:val="002B3943"/>
    <w:rsid w:val="002B4A4B"/>
    <w:rsid w:val="002B6B66"/>
    <w:rsid w:val="002C2C53"/>
    <w:rsid w:val="002C6529"/>
    <w:rsid w:val="002C6C46"/>
    <w:rsid w:val="002D27C4"/>
    <w:rsid w:val="002D442B"/>
    <w:rsid w:val="002D57AF"/>
    <w:rsid w:val="002D5FB2"/>
    <w:rsid w:val="002D7F99"/>
    <w:rsid w:val="002E09A1"/>
    <w:rsid w:val="002E2947"/>
    <w:rsid w:val="002E2D73"/>
    <w:rsid w:val="002E34F4"/>
    <w:rsid w:val="002E35C4"/>
    <w:rsid w:val="002E46AD"/>
    <w:rsid w:val="002E4DCA"/>
    <w:rsid w:val="002E7ADA"/>
    <w:rsid w:val="002F0014"/>
    <w:rsid w:val="002F1672"/>
    <w:rsid w:val="002F2363"/>
    <w:rsid w:val="002F34ED"/>
    <w:rsid w:val="002F3755"/>
    <w:rsid w:val="002F72E9"/>
    <w:rsid w:val="003000A1"/>
    <w:rsid w:val="003006C3"/>
    <w:rsid w:val="00302514"/>
    <w:rsid w:val="00307917"/>
    <w:rsid w:val="003103BE"/>
    <w:rsid w:val="00310479"/>
    <w:rsid w:val="0031459C"/>
    <w:rsid w:val="00315E77"/>
    <w:rsid w:val="00316329"/>
    <w:rsid w:val="0031638C"/>
    <w:rsid w:val="00323D3C"/>
    <w:rsid w:val="0032484A"/>
    <w:rsid w:val="003263C0"/>
    <w:rsid w:val="0032789C"/>
    <w:rsid w:val="00327BE3"/>
    <w:rsid w:val="00330D20"/>
    <w:rsid w:val="003341BC"/>
    <w:rsid w:val="00334AE8"/>
    <w:rsid w:val="00335134"/>
    <w:rsid w:val="00346756"/>
    <w:rsid w:val="0036433A"/>
    <w:rsid w:val="00365E4D"/>
    <w:rsid w:val="003676AE"/>
    <w:rsid w:val="00367EAB"/>
    <w:rsid w:val="00371214"/>
    <w:rsid w:val="00372A03"/>
    <w:rsid w:val="0037368A"/>
    <w:rsid w:val="00374D6C"/>
    <w:rsid w:val="00375107"/>
    <w:rsid w:val="0037517D"/>
    <w:rsid w:val="00375265"/>
    <w:rsid w:val="00381405"/>
    <w:rsid w:val="00383216"/>
    <w:rsid w:val="00384E3C"/>
    <w:rsid w:val="0039130B"/>
    <w:rsid w:val="00393589"/>
    <w:rsid w:val="00393A4C"/>
    <w:rsid w:val="003945B2"/>
    <w:rsid w:val="00396148"/>
    <w:rsid w:val="003A2040"/>
    <w:rsid w:val="003A25EB"/>
    <w:rsid w:val="003A74F5"/>
    <w:rsid w:val="003B0045"/>
    <w:rsid w:val="003B2B02"/>
    <w:rsid w:val="003B2E46"/>
    <w:rsid w:val="003B6B82"/>
    <w:rsid w:val="003C0638"/>
    <w:rsid w:val="003C2D53"/>
    <w:rsid w:val="003C4BA8"/>
    <w:rsid w:val="003C637D"/>
    <w:rsid w:val="003C7D51"/>
    <w:rsid w:val="003D1A22"/>
    <w:rsid w:val="003D7052"/>
    <w:rsid w:val="003D7693"/>
    <w:rsid w:val="003E074D"/>
    <w:rsid w:val="003E4007"/>
    <w:rsid w:val="003E551F"/>
    <w:rsid w:val="003E6757"/>
    <w:rsid w:val="003E6C02"/>
    <w:rsid w:val="003F4084"/>
    <w:rsid w:val="003F4F31"/>
    <w:rsid w:val="003F5EF9"/>
    <w:rsid w:val="003F61F8"/>
    <w:rsid w:val="003F77E0"/>
    <w:rsid w:val="00400057"/>
    <w:rsid w:val="0040050B"/>
    <w:rsid w:val="004014F5"/>
    <w:rsid w:val="00405C1A"/>
    <w:rsid w:val="00407D88"/>
    <w:rsid w:val="004109FD"/>
    <w:rsid w:val="004126B4"/>
    <w:rsid w:val="004138A3"/>
    <w:rsid w:val="0041394C"/>
    <w:rsid w:val="0041468F"/>
    <w:rsid w:val="004169D9"/>
    <w:rsid w:val="00417C8A"/>
    <w:rsid w:val="00420156"/>
    <w:rsid w:val="00423A07"/>
    <w:rsid w:val="00426003"/>
    <w:rsid w:val="00426E6F"/>
    <w:rsid w:val="004307B2"/>
    <w:rsid w:val="00431F99"/>
    <w:rsid w:val="004350B7"/>
    <w:rsid w:val="00442935"/>
    <w:rsid w:val="0044422F"/>
    <w:rsid w:val="00445C1C"/>
    <w:rsid w:val="004531C3"/>
    <w:rsid w:val="00454A5B"/>
    <w:rsid w:val="00454E74"/>
    <w:rsid w:val="00460753"/>
    <w:rsid w:val="00461637"/>
    <w:rsid w:val="004627E0"/>
    <w:rsid w:val="00464359"/>
    <w:rsid w:val="00471407"/>
    <w:rsid w:val="00471778"/>
    <w:rsid w:val="00476C0B"/>
    <w:rsid w:val="00477EFE"/>
    <w:rsid w:val="004823E8"/>
    <w:rsid w:val="00485E04"/>
    <w:rsid w:val="00487128"/>
    <w:rsid w:val="00491792"/>
    <w:rsid w:val="00493946"/>
    <w:rsid w:val="004951CA"/>
    <w:rsid w:val="00495B26"/>
    <w:rsid w:val="00495E49"/>
    <w:rsid w:val="004964DA"/>
    <w:rsid w:val="00496C56"/>
    <w:rsid w:val="00497699"/>
    <w:rsid w:val="00497DB2"/>
    <w:rsid w:val="004A0174"/>
    <w:rsid w:val="004A19C4"/>
    <w:rsid w:val="004A236E"/>
    <w:rsid w:val="004A72A2"/>
    <w:rsid w:val="004A7A78"/>
    <w:rsid w:val="004B5136"/>
    <w:rsid w:val="004C0238"/>
    <w:rsid w:val="004C1A9C"/>
    <w:rsid w:val="004D0EA8"/>
    <w:rsid w:val="004D2D24"/>
    <w:rsid w:val="004D314A"/>
    <w:rsid w:val="004D42D8"/>
    <w:rsid w:val="004D4938"/>
    <w:rsid w:val="004D508B"/>
    <w:rsid w:val="004D5BFF"/>
    <w:rsid w:val="004D6FCA"/>
    <w:rsid w:val="004E04D2"/>
    <w:rsid w:val="004E1AB8"/>
    <w:rsid w:val="004E22FC"/>
    <w:rsid w:val="004E4899"/>
    <w:rsid w:val="004E6920"/>
    <w:rsid w:val="004F46C2"/>
    <w:rsid w:val="004F5E51"/>
    <w:rsid w:val="004F63C8"/>
    <w:rsid w:val="004F69CA"/>
    <w:rsid w:val="004F7507"/>
    <w:rsid w:val="005017DB"/>
    <w:rsid w:val="005041C0"/>
    <w:rsid w:val="005042A7"/>
    <w:rsid w:val="00511FD6"/>
    <w:rsid w:val="00513E17"/>
    <w:rsid w:val="005144B2"/>
    <w:rsid w:val="005148A4"/>
    <w:rsid w:val="0051634D"/>
    <w:rsid w:val="00516C98"/>
    <w:rsid w:val="0051705E"/>
    <w:rsid w:val="00517C86"/>
    <w:rsid w:val="005228D8"/>
    <w:rsid w:val="005240D9"/>
    <w:rsid w:val="00524F0F"/>
    <w:rsid w:val="00524FD6"/>
    <w:rsid w:val="005314CB"/>
    <w:rsid w:val="005345EF"/>
    <w:rsid w:val="00536FBF"/>
    <w:rsid w:val="0054018C"/>
    <w:rsid w:val="0054254A"/>
    <w:rsid w:val="00544130"/>
    <w:rsid w:val="00547EBF"/>
    <w:rsid w:val="0055182F"/>
    <w:rsid w:val="00555780"/>
    <w:rsid w:val="0056065C"/>
    <w:rsid w:val="00565B4B"/>
    <w:rsid w:val="0057066B"/>
    <w:rsid w:val="00572BAD"/>
    <w:rsid w:val="00573BCB"/>
    <w:rsid w:val="00576529"/>
    <w:rsid w:val="00577014"/>
    <w:rsid w:val="00585E68"/>
    <w:rsid w:val="00586C3A"/>
    <w:rsid w:val="00587796"/>
    <w:rsid w:val="005879E7"/>
    <w:rsid w:val="00590E09"/>
    <w:rsid w:val="00591584"/>
    <w:rsid w:val="00594CDD"/>
    <w:rsid w:val="005A0348"/>
    <w:rsid w:val="005A32FB"/>
    <w:rsid w:val="005A38C6"/>
    <w:rsid w:val="005A3E6E"/>
    <w:rsid w:val="005A7A4A"/>
    <w:rsid w:val="005B185C"/>
    <w:rsid w:val="005B280F"/>
    <w:rsid w:val="005B5915"/>
    <w:rsid w:val="005C1CD8"/>
    <w:rsid w:val="005C3154"/>
    <w:rsid w:val="005C3A22"/>
    <w:rsid w:val="005C54A7"/>
    <w:rsid w:val="005C6F10"/>
    <w:rsid w:val="005D238D"/>
    <w:rsid w:val="005D2551"/>
    <w:rsid w:val="005D2C66"/>
    <w:rsid w:val="005D2F62"/>
    <w:rsid w:val="005D6253"/>
    <w:rsid w:val="005D7D2C"/>
    <w:rsid w:val="005E282B"/>
    <w:rsid w:val="005E68E7"/>
    <w:rsid w:val="005F26CD"/>
    <w:rsid w:val="005F2EC2"/>
    <w:rsid w:val="005F37E8"/>
    <w:rsid w:val="005F5691"/>
    <w:rsid w:val="00600E63"/>
    <w:rsid w:val="006050C1"/>
    <w:rsid w:val="00605DB2"/>
    <w:rsid w:val="0060696F"/>
    <w:rsid w:val="006120C0"/>
    <w:rsid w:val="00615A32"/>
    <w:rsid w:val="00625BC2"/>
    <w:rsid w:val="0063038E"/>
    <w:rsid w:val="006329C9"/>
    <w:rsid w:val="00632B52"/>
    <w:rsid w:val="006351A3"/>
    <w:rsid w:val="006366FE"/>
    <w:rsid w:val="00651C90"/>
    <w:rsid w:val="00655480"/>
    <w:rsid w:val="00655744"/>
    <w:rsid w:val="00656E00"/>
    <w:rsid w:val="00660A99"/>
    <w:rsid w:val="00660F54"/>
    <w:rsid w:val="00667E4E"/>
    <w:rsid w:val="0067526F"/>
    <w:rsid w:val="00675C4B"/>
    <w:rsid w:val="006839B6"/>
    <w:rsid w:val="006854BE"/>
    <w:rsid w:val="0069421B"/>
    <w:rsid w:val="00694B34"/>
    <w:rsid w:val="00697E44"/>
    <w:rsid w:val="006A1906"/>
    <w:rsid w:val="006A5BE7"/>
    <w:rsid w:val="006A69A8"/>
    <w:rsid w:val="006A6E74"/>
    <w:rsid w:val="006B009C"/>
    <w:rsid w:val="006B183A"/>
    <w:rsid w:val="006B1AA2"/>
    <w:rsid w:val="006B456B"/>
    <w:rsid w:val="006B4C67"/>
    <w:rsid w:val="006B502C"/>
    <w:rsid w:val="006B6B67"/>
    <w:rsid w:val="006B70D2"/>
    <w:rsid w:val="006B773E"/>
    <w:rsid w:val="006C02F5"/>
    <w:rsid w:val="006C5FEF"/>
    <w:rsid w:val="006D5294"/>
    <w:rsid w:val="006D6840"/>
    <w:rsid w:val="006E64A5"/>
    <w:rsid w:val="006E6C77"/>
    <w:rsid w:val="006E797A"/>
    <w:rsid w:val="006F0A0C"/>
    <w:rsid w:val="006F10EE"/>
    <w:rsid w:val="006F2510"/>
    <w:rsid w:val="007014C0"/>
    <w:rsid w:val="007020D9"/>
    <w:rsid w:val="00702458"/>
    <w:rsid w:val="0070332B"/>
    <w:rsid w:val="00703A32"/>
    <w:rsid w:val="00705E50"/>
    <w:rsid w:val="00707395"/>
    <w:rsid w:val="007122EB"/>
    <w:rsid w:val="0071292E"/>
    <w:rsid w:val="00715B4B"/>
    <w:rsid w:val="00721BF4"/>
    <w:rsid w:val="00722CB9"/>
    <w:rsid w:val="00727E2C"/>
    <w:rsid w:val="00727FEB"/>
    <w:rsid w:val="007367B3"/>
    <w:rsid w:val="007402C2"/>
    <w:rsid w:val="00743C5C"/>
    <w:rsid w:val="0074525D"/>
    <w:rsid w:val="00746B00"/>
    <w:rsid w:val="007474FA"/>
    <w:rsid w:val="0075094E"/>
    <w:rsid w:val="0075233B"/>
    <w:rsid w:val="00757BAC"/>
    <w:rsid w:val="007626A0"/>
    <w:rsid w:val="00762B5C"/>
    <w:rsid w:val="0076314B"/>
    <w:rsid w:val="00763A08"/>
    <w:rsid w:val="0077137D"/>
    <w:rsid w:val="00772AC2"/>
    <w:rsid w:val="00775269"/>
    <w:rsid w:val="0077587F"/>
    <w:rsid w:val="007762DB"/>
    <w:rsid w:val="00777C1A"/>
    <w:rsid w:val="00780334"/>
    <w:rsid w:val="007822C3"/>
    <w:rsid w:val="0078258D"/>
    <w:rsid w:val="00782AB5"/>
    <w:rsid w:val="00791C5A"/>
    <w:rsid w:val="00794F1B"/>
    <w:rsid w:val="007954F2"/>
    <w:rsid w:val="00795702"/>
    <w:rsid w:val="007977F6"/>
    <w:rsid w:val="007A06F3"/>
    <w:rsid w:val="007A3154"/>
    <w:rsid w:val="007A5361"/>
    <w:rsid w:val="007A74DD"/>
    <w:rsid w:val="007C2B7A"/>
    <w:rsid w:val="007C5716"/>
    <w:rsid w:val="007D0704"/>
    <w:rsid w:val="007D3E95"/>
    <w:rsid w:val="007D4361"/>
    <w:rsid w:val="007D4726"/>
    <w:rsid w:val="007D4C69"/>
    <w:rsid w:val="007D59FE"/>
    <w:rsid w:val="007D610F"/>
    <w:rsid w:val="007D7005"/>
    <w:rsid w:val="007E765C"/>
    <w:rsid w:val="007F0976"/>
    <w:rsid w:val="007F4A8F"/>
    <w:rsid w:val="007F52CF"/>
    <w:rsid w:val="007F542C"/>
    <w:rsid w:val="00804990"/>
    <w:rsid w:val="00811C45"/>
    <w:rsid w:val="008125CD"/>
    <w:rsid w:val="00812A93"/>
    <w:rsid w:val="00813057"/>
    <w:rsid w:val="008130EB"/>
    <w:rsid w:val="0081363F"/>
    <w:rsid w:val="00815230"/>
    <w:rsid w:val="00817564"/>
    <w:rsid w:val="0082016A"/>
    <w:rsid w:val="0082176B"/>
    <w:rsid w:val="00821954"/>
    <w:rsid w:val="008219AD"/>
    <w:rsid w:val="00822021"/>
    <w:rsid w:val="00822072"/>
    <w:rsid w:val="00822430"/>
    <w:rsid w:val="008231ED"/>
    <w:rsid w:val="0082403F"/>
    <w:rsid w:val="00824851"/>
    <w:rsid w:val="008249F4"/>
    <w:rsid w:val="008325F0"/>
    <w:rsid w:val="008363F7"/>
    <w:rsid w:val="00836EC6"/>
    <w:rsid w:val="00840769"/>
    <w:rsid w:val="008419D8"/>
    <w:rsid w:val="008423DF"/>
    <w:rsid w:val="00842C80"/>
    <w:rsid w:val="00845510"/>
    <w:rsid w:val="0084613D"/>
    <w:rsid w:val="00850FEA"/>
    <w:rsid w:val="008532F1"/>
    <w:rsid w:val="008557E8"/>
    <w:rsid w:val="00856440"/>
    <w:rsid w:val="008564BD"/>
    <w:rsid w:val="0085672E"/>
    <w:rsid w:val="00857B1C"/>
    <w:rsid w:val="00863478"/>
    <w:rsid w:val="00863945"/>
    <w:rsid w:val="008730BE"/>
    <w:rsid w:val="008737A3"/>
    <w:rsid w:val="008829FD"/>
    <w:rsid w:val="0088347A"/>
    <w:rsid w:val="00886234"/>
    <w:rsid w:val="008863A7"/>
    <w:rsid w:val="008863D4"/>
    <w:rsid w:val="00886634"/>
    <w:rsid w:val="00887B85"/>
    <w:rsid w:val="00890DCD"/>
    <w:rsid w:val="00896FB1"/>
    <w:rsid w:val="00897356"/>
    <w:rsid w:val="00897AF3"/>
    <w:rsid w:val="008A357F"/>
    <w:rsid w:val="008A5161"/>
    <w:rsid w:val="008B1F5C"/>
    <w:rsid w:val="008B43D4"/>
    <w:rsid w:val="008C4974"/>
    <w:rsid w:val="008C4A9E"/>
    <w:rsid w:val="008C4E5B"/>
    <w:rsid w:val="008C6DCD"/>
    <w:rsid w:val="008D18FD"/>
    <w:rsid w:val="008D1CE8"/>
    <w:rsid w:val="008D1F65"/>
    <w:rsid w:val="008D2080"/>
    <w:rsid w:val="008D23C5"/>
    <w:rsid w:val="008D4AB1"/>
    <w:rsid w:val="008D69B8"/>
    <w:rsid w:val="008D71A8"/>
    <w:rsid w:val="008D7398"/>
    <w:rsid w:val="008D7B31"/>
    <w:rsid w:val="008E0F6F"/>
    <w:rsid w:val="008E19EE"/>
    <w:rsid w:val="008E316D"/>
    <w:rsid w:val="008E4C9A"/>
    <w:rsid w:val="008E5F0C"/>
    <w:rsid w:val="008E612F"/>
    <w:rsid w:val="008F03D5"/>
    <w:rsid w:val="008F07DF"/>
    <w:rsid w:val="008F08A0"/>
    <w:rsid w:val="008F1219"/>
    <w:rsid w:val="008F72AE"/>
    <w:rsid w:val="008F7DDE"/>
    <w:rsid w:val="0090287D"/>
    <w:rsid w:val="00907974"/>
    <w:rsid w:val="00912BD2"/>
    <w:rsid w:val="00912D79"/>
    <w:rsid w:val="00916794"/>
    <w:rsid w:val="0092030F"/>
    <w:rsid w:val="00920F72"/>
    <w:rsid w:val="00926541"/>
    <w:rsid w:val="009271D3"/>
    <w:rsid w:val="00930220"/>
    <w:rsid w:val="009309E4"/>
    <w:rsid w:val="00931C04"/>
    <w:rsid w:val="00933465"/>
    <w:rsid w:val="00933FD9"/>
    <w:rsid w:val="00934ED5"/>
    <w:rsid w:val="00936426"/>
    <w:rsid w:val="00936632"/>
    <w:rsid w:val="009415ED"/>
    <w:rsid w:val="009431CB"/>
    <w:rsid w:val="00943A31"/>
    <w:rsid w:val="00946CEA"/>
    <w:rsid w:val="0094780E"/>
    <w:rsid w:val="00947F2D"/>
    <w:rsid w:val="00947FE6"/>
    <w:rsid w:val="00950D07"/>
    <w:rsid w:val="00954C7E"/>
    <w:rsid w:val="009557D2"/>
    <w:rsid w:val="009568D3"/>
    <w:rsid w:val="009568DF"/>
    <w:rsid w:val="00957895"/>
    <w:rsid w:val="0096188D"/>
    <w:rsid w:val="00963B11"/>
    <w:rsid w:val="0096450C"/>
    <w:rsid w:val="00966F91"/>
    <w:rsid w:val="00970F9E"/>
    <w:rsid w:val="00976C85"/>
    <w:rsid w:val="009829FC"/>
    <w:rsid w:val="00984887"/>
    <w:rsid w:val="009921C2"/>
    <w:rsid w:val="009924D5"/>
    <w:rsid w:val="00995623"/>
    <w:rsid w:val="00995FD6"/>
    <w:rsid w:val="00996130"/>
    <w:rsid w:val="009A266F"/>
    <w:rsid w:val="009A2D5B"/>
    <w:rsid w:val="009A5E9D"/>
    <w:rsid w:val="009A749C"/>
    <w:rsid w:val="009B1C17"/>
    <w:rsid w:val="009B206E"/>
    <w:rsid w:val="009B2ADF"/>
    <w:rsid w:val="009B3D13"/>
    <w:rsid w:val="009B44CF"/>
    <w:rsid w:val="009B55F5"/>
    <w:rsid w:val="009C3597"/>
    <w:rsid w:val="009C3B05"/>
    <w:rsid w:val="009C725B"/>
    <w:rsid w:val="009C76D3"/>
    <w:rsid w:val="009D0231"/>
    <w:rsid w:val="009D1860"/>
    <w:rsid w:val="009D384E"/>
    <w:rsid w:val="009D3E5A"/>
    <w:rsid w:val="009D4270"/>
    <w:rsid w:val="009D4691"/>
    <w:rsid w:val="009D5067"/>
    <w:rsid w:val="009D5C27"/>
    <w:rsid w:val="009D7183"/>
    <w:rsid w:val="009D744F"/>
    <w:rsid w:val="009E3626"/>
    <w:rsid w:val="009E6D86"/>
    <w:rsid w:val="009E7112"/>
    <w:rsid w:val="009F5CDD"/>
    <w:rsid w:val="009F6F5D"/>
    <w:rsid w:val="00A0299D"/>
    <w:rsid w:val="00A107B9"/>
    <w:rsid w:val="00A12612"/>
    <w:rsid w:val="00A140B8"/>
    <w:rsid w:val="00A15C91"/>
    <w:rsid w:val="00A2031E"/>
    <w:rsid w:val="00A20F2A"/>
    <w:rsid w:val="00A216B1"/>
    <w:rsid w:val="00A21F10"/>
    <w:rsid w:val="00A23D3B"/>
    <w:rsid w:val="00A25DE2"/>
    <w:rsid w:val="00A26379"/>
    <w:rsid w:val="00A27EE2"/>
    <w:rsid w:val="00A32EA8"/>
    <w:rsid w:val="00A41EAC"/>
    <w:rsid w:val="00A41EDA"/>
    <w:rsid w:val="00A42B9E"/>
    <w:rsid w:val="00A4718E"/>
    <w:rsid w:val="00A546F9"/>
    <w:rsid w:val="00A551BB"/>
    <w:rsid w:val="00A55AF4"/>
    <w:rsid w:val="00A55F87"/>
    <w:rsid w:val="00A56E2E"/>
    <w:rsid w:val="00A62C6F"/>
    <w:rsid w:val="00A714BB"/>
    <w:rsid w:val="00A7154B"/>
    <w:rsid w:val="00A733D2"/>
    <w:rsid w:val="00A81059"/>
    <w:rsid w:val="00A87265"/>
    <w:rsid w:val="00A9044C"/>
    <w:rsid w:val="00A90951"/>
    <w:rsid w:val="00A9106B"/>
    <w:rsid w:val="00A915BC"/>
    <w:rsid w:val="00A91F9A"/>
    <w:rsid w:val="00A926FB"/>
    <w:rsid w:val="00A93AC6"/>
    <w:rsid w:val="00A94E40"/>
    <w:rsid w:val="00A95DBC"/>
    <w:rsid w:val="00A967EF"/>
    <w:rsid w:val="00A96926"/>
    <w:rsid w:val="00A97D3D"/>
    <w:rsid w:val="00AA17DC"/>
    <w:rsid w:val="00AA3B9C"/>
    <w:rsid w:val="00AB2650"/>
    <w:rsid w:val="00AB29D3"/>
    <w:rsid w:val="00AB370A"/>
    <w:rsid w:val="00AB39F3"/>
    <w:rsid w:val="00AB7BA4"/>
    <w:rsid w:val="00AC2B19"/>
    <w:rsid w:val="00AC346A"/>
    <w:rsid w:val="00AC49B7"/>
    <w:rsid w:val="00AC4A89"/>
    <w:rsid w:val="00AD212B"/>
    <w:rsid w:val="00AD5414"/>
    <w:rsid w:val="00AD5F30"/>
    <w:rsid w:val="00AE2286"/>
    <w:rsid w:val="00AE2ED6"/>
    <w:rsid w:val="00AE3A86"/>
    <w:rsid w:val="00AE7E12"/>
    <w:rsid w:val="00AF039F"/>
    <w:rsid w:val="00AF4A99"/>
    <w:rsid w:val="00AF65F7"/>
    <w:rsid w:val="00B00F7A"/>
    <w:rsid w:val="00B012D5"/>
    <w:rsid w:val="00B01A6C"/>
    <w:rsid w:val="00B0332B"/>
    <w:rsid w:val="00B127DA"/>
    <w:rsid w:val="00B12ECD"/>
    <w:rsid w:val="00B138A5"/>
    <w:rsid w:val="00B14C0B"/>
    <w:rsid w:val="00B2146D"/>
    <w:rsid w:val="00B22071"/>
    <w:rsid w:val="00B30374"/>
    <w:rsid w:val="00B3313A"/>
    <w:rsid w:val="00B34302"/>
    <w:rsid w:val="00B36043"/>
    <w:rsid w:val="00B37781"/>
    <w:rsid w:val="00B37BCC"/>
    <w:rsid w:val="00B475BB"/>
    <w:rsid w:val="00B54A1C"/>
    <w:rsid w:val="00B55791"/>
    <w:rsid w:val="00B56FBC"/>
    <w:rsid w:val="00B61CB2"/>
    <w:rsid w:val="00B63318"/>
    <w:rsid w:val="00B66525"/>
    <w:rsid w:val="00B668B3"/>
    <w:rsid w:val="00B729E1"/>
    <w:rsid w:val="00B75B14"/>
    <w:rsid w:val="00B76E24"/>
    <w:rsid w:val="00B80D7D"/>
    <w:rsid w:val="00B8314C"/>
    <w:rsid w:val="00B850D2"/>
    <w:rsid w:val="00B91124"/>
    <w:rsid w:val="00B91C47"/>
    <w:rsid w:val="00B925C9"/>
    <w:rsid w:val="00B936D8"/>
    <w:rsid w:val="00B94480"/>
    <w:rsid w:val="00B95673"/>
    <w:rsid w:val="00BA093C"/>
    <w:rsid w:val="00BA1AF6"/>
    <w:rsid w:val="00BA4929"/>
    <w:rsid w:val="00BA63C5"/>
    <w:rsid w:val="00BC02D7"/>
    <w:rsid w:val="00BC37AA"/>
    <w:rsid w:val="00BC3D6F"/>
    <w:rsid w:val="00BC4DE1"/>
    <w:rsid w:val="00BC6117"/>
    <w:rsid w:val="00BC61AC"/>
    <w:rsid w:val="00BC73B9"/>
    <w:rsid w:val="00BC7E9B"/>
    <w:rsid w:val="00BD0550"/>
    <w:rsid w:val="00BD0EBD"/>
    <w:rsid w:val="00BD312A"/>
    <w:rsid w:val="00BD4F3D"/>
    <w:rsid w:val="00BD504E"/>
    <w:rsid w:val="00BD5BF9"/>
    <w:rsid w:val="00BD6622"/>
    <w:rsid w:val="00BD72D6"/>
    <w:rsid w:val="00BE6FA5"/>
    <w:rsid w:val="00BF15C0"/>
    <w:rsid w:val="00BF28ED"/>
    <w:rsid w:val="00BF63C6"/>
    <w:rsid w:val="00C0150B"/>
    <w:rsid w:val="00C01E03"/>
    <w:rsid w:val="00C036EC"/>
    <w:rsid w:val="00C0598F"/>
    <w:rsid w:val="00C13CEC"/>
    <w:rsid w:val="00C13CF5"/>
    <w:rsid w:val="00C1781A"/>
    <w:rsid w:val="00C20683"/>
    <w:rsid w:val="00C20DC8"/>
    <w:rsid w:val="00C24B6E"/>
    <w:rsid w:val="00C256B4"/>
    <w:rsid w:val="00C31EB2"/>
    <w:rsid w:val="00C329C3"/>
    <w:rsid w:val="00C40CD1"/>
    <w:rsid w:val="00C41A15"/>
    <w:rsid w:val="00C607B3"/>
    <w:rsid w:val="00C62563"/>
    <w:rsid w:val="00C628DA"/>
    <w:rsid w:val="00C62A52"/>
    <w:rsid w:val="00C6395F"/>
    <w:rsid w:val="00C667E7"/>
    <w:rsid w:val="00C66EE6"/>
    <w:rsid w:val="00C670AB"/>
    <w:rsid w:val="00C715CB"/>
    <w:rsid w:val="00C721C3"/>
    <w:rsid w:val="00C73213"/>
    <w:rsid w:val="00C7421C"/>
    <w:rsid w:val="00C75DA4"/>
    <w:rsid w:val="00C765AF"/>
    <w:rsid w:val="00C81E0D"/>
    <w:rsid w:val="00C83068"/>
    <w:rsid w:val="00C83429"/>
    <w:rsid w:val="00C84785"/>
    <w:rsid w:val="00C8637A"/>
    <w:rsid w:val="00C87311"/>
    <w:rsid w:val="00C87F1E"/>
    <w:rsid w:val="00C93022"/>
    <w:rsid w:val="00C96B1D"/>
    <w:rsid w:val="00CA27AA"/>
    <w:rsid w:val="00CA374D"/>
    <w:rsid w:val="00CA45AE"/>
    <w:rsid w:val="00CA6080"/>
    <w:rsid w:val="00CA627A"/>
    <w:rsid w:val="00CA6806"/>
    <w:rsid w:val="00CA70BF"/>
    <w:rsid w:val="00CA7348"/>
    <w:rsid w:val="00CB16E8"/>
    <w:rsid w:val="00CB7229"/>
    <w:rsid w:val="00CC1D36"/>
    <w:rsid w:val="00CC3BA2"/>
    <w:rsid w:val="00CD0FBA"/>
    <w:rsid w:val="00CD1CAB"/>
    <w:rsid w:val="00CD3947"/>
    <w:rsid w:val="00CD3E5C"/>
    <w:rsid w:val="00CD62C7"/>
    <w:rsid w:val="00CD6DE5"/>
    <w:rsid w:val="00CE10A2"/>
    <w:rsid w:val="00CE3AD7"/>
    <w:rsid w:val="00CE50F5"/>
    <w:rsid w:val="00CE5EE3"/>
    <w:rsid w:val="00CE6C87"/>
    <w:rsid w:val="00CF33C3"/>
    <w:rsid w:val="00CF3431"/>
    <w:rsid w:val="00CF37D2"/>
    <w:rsid w:val="00CF7251"/>
    <w:rsid w:val="00CF7F2A"/>
    <w:rsid w:val="00CF7F8F"/>
    <w:rsid w:val="00D002D2"/>
    <w:rsid w:val="00D01299"/>
    <w:rsid w:val="00D026F7"/>
    <w:rsid w:val="00D056B2"/>
    <w:rsid w:val="00D05BBB"/>
    <w:rsid w:val="00D10648"/>
    <w:rsid w:val="00D1373D"/>
    <w:rsid w:val="00D200E4"/>
    <w:rsid w:val="00D2049A"/>
    <w:rsid w:val="00D212FB"/>
    <w:rsid w:val="00D23BFA"/>
    <w:rsid w:val="00D24803"/>
    <w:rsid w:val="00D353FF"/>
    <w:rsid w:val="00D369AC"/>
    <w:rsid w:val="00D40795"/>
    <w:rsid w:val="00D41C06"/>
    <w:rsid w:val="00D460AD"/>
    <w:rsid w:val="00D47043"/>
    <w:rsid w:val="00D47694"/>
    <w:rsid w:val="00D51479"/>
    <w:rsid w:val="00D56345"/>
    <w:rsid w:val="00D56B35"/>
    <w:rsid w:val="00D625F8"/>
    <w:rsid w:val="00D643EF"/>
    <w:rsid w:val="00D703F2"/>
    <w:rsid w:val="00D71AFA"/>
    <w:rsid w:val="00D72324"/>
    <w:rsid w:val="00D73693"/>
    <w:rsid w:val="00D7431B"/>
    <w:rsid w:val="00D74A49"/>
    <w:rsid w:val="00D75066"/>
    <w:rsid w:val="00D832F2"/>
    <w:rsid w:val="00D840D8"/>
    <w:rsid w:val="00D93A13"/>
    <w:rsid w:val="00D97508"/>
    <w:rsid w:val="00DA1E37"/>
    <w:rsid w:val="00DA3FC7"/>
    <w:rsid w:val="00DA4EC4"/>
    <w:rsid w:val="00DA55DB"/>
    <w:rsid w:val="00DA5D11"/>
    <w:rsid w:val="00DA5F2F"/>
    <w:rsid w:val="00DA68FB"/>
    <w:rsid w:val="00DA7361"/>
    <w:rsid w:val="00DA7BFE"/>
    <w:rsid w:val="00DB3061"/>
    <w:rsid w:val="00DB663C"/>
    <w:rsid w:val="00DB6D0E"/>
    <w:rsid w:val="00DB6F25"/>
    <w:rsid w:val="00DC10A7"/>
    <w:rsid w:val="00DC4AA0"/>
    <w:rsid w:val="00DC6EE6"/>
    <w:rsid w:val="00DD29D3"/>
    <w:rsid w:val="00DD4B24"/>
    <w:rsid w:val="00DD5C85"/>
    <w:rsid w:val="00DD62B4"/>
    <w:rsid w:val="00DE12F4"/>
    <w:rsid w:val="00DE1DFC"/>
    <w:rsid w:val="00DF000E"/>
    <w:rsid w:val="00DF1475"/>
    <w:rsid w:val="00DF18AE"/>
    <w:rsid w:val="00DF3A90"/>
    <w:rsid w:val="00DF3E27"/>
    <w:rsid w:val="00DF4624"/>
    <w:rsid w:val="00DF46D3"/>
    <w:rsid w:val="00DF4743"/>
    <w:rsid w:val="00DF532C"/>
    <w:rsid w:val="00DF6295"/>
    <w:rsid w:val="00DF7A21"/>
    <w:rsid w:val="00DF7B2B"/>
    <w:rsid w:val="00E01909"/>
    <w:rsid w:val="00E032F3"/>
    <w:rsid w:val="00E04FDF"/>
    <w:rsid w:val="00E05F15"/>
    <w:rsid w:val="00E0608C"/>
    <w:rsid w:val="00E07D2B"/>
    <w:rsid w:val="00E10531"/>
    <w:rsid w:val="00E17D79"/>
    <w:rsid w:val="00E20A02"/>
    <w:rsid w:val="00E21681"/>
    <w:rsid w:val="00E239A5"/>
    <w:rsid w:val="00E27A41"/>
    <w:rsid w:val="00E30390"/>
    <w:rsid w:val="00E35D90"/>
    <w:rsid w:val="00E3742A"/>
    <w:rsid w:val="00E41FB0"/>
    <w:rsid w:val="00E42DE4"/>
    <w:rsid w:val="00E45909"/>
    <w:rsid w:val="00E46623"/>
    <w:rsid w:val="00E473B7"/>
    <w:rsid w:val="00E47EEF"/>
    <w:rsid w:val="00E51C1B"/>
    <w:rsid w:val="00E533C4"/>
    <w:rsid w:val="00E53964"/>
    <w:rsid w:val="00E56E06"/>
    <w:rsid w:val="00E56FC4"/>
    <w:rsid w:val="00E57296"/>
    <w:rsid w:val="00E575C3"/>
    <w:rsid w:val="00E622B2"/>
    <w:rsid w:val="00E65A9B"/>
    <w:rsid w:val="00E66918"/>
    <w:rsid w:val="00E70C93"/>
    <w:rsid w:val="00E72A91"/>
    <w:rsid w:val="00E85789"/>
    <w:rsid w:val="00E91B94"/>
    <w:rsid w:val="00E93089"/>
    <w:rsid w:val="00E93356"/>
    <w:rsid w:val="00E938AF"/>
    <w:rsid w:val="00E9512A"/>
    <w:rsid w:val="00E96A92"/>
    <w:rsid w:val="00EA3654"/>
    <w:rsid w:val="00EA37AB"/>
    <w:rsid w:val="00EA4736"/>
    <w:rsid w:val="00EA62B8"/>
    <w:rsid w:val="00EA6B0D"/>
    <w:rsid w:val="00EB0AE3"/>
    <w:rsid w:val="00EB72A5"/>
    <w:rsid w:val="00EB7E69"/>
    <w:rsid w:val="00EC075C"/>
    <w:rsid w:val="00EC155E"/>
    <w:rsid w:val="00EC209C"/>
    <w:rsid w:val="00EC2864"/>
    <w:rsid w:val="00EC3182"/>
    <w:rsid w:val="00EC57BD"/>
    <w:rsid w:val="00EC7697"/>
    <w:rsid w:val="00EC77D6"/>
    <w:rsid w:val="00ED1F25"/>
    <w:rsid w:val="00ED29D1"/>
    <w:rsid w:val="00ED3A96"/>
    <w:rsid w:val="00EE2519"/>
    <w:rsid w:val="00EE54FE"/>
    <w:rsid w:val="00EE5E15"/>
    <w:rsid w:val="00EF0648"/>
    <w:rsid w:val="00EF0988"/>
    <w:rsid w:val="00EF394B"/>
    <w:rsid w:val="00EF40B3"/>
    <w:rsid w:val="00F00275"/>
    <w:rsid w:val="00F01C96"/>
    <w:rsid w:val="00F02181"/>
    <w:rsid w:val="00F0661F"/>
    <w:rsid w:val="00F07BDA"/>
    <w:rsid w:val="00F12CBB"/>
    <w:rsid w:val="00F1355C"/>
    <w:rsid w:val="00F15F80"/>
    <w:rsid w:val="00F2566F"/>
    <w:rsid w:val="00F26477"/>
    <w:rsid w:val="00F27259"/>
    <w:rsid w:val="00F33527"/>
    <w:rsid w:val="00F33DF7"/>
    <w:rsid w:val="00F35DF7"/>
    <w:rsid w:val="00F360DB"/>
    <w:rsid w:val="00F37C1A"/>
    <w:rsid w:val="00F405B5"/>
    <w:rsid w:val="00F41632"/>
    <w:rsid w:val="00F42267"/>
    <w:rsid w:val="00F454C9"/>
    <w:rsid w:val="00F46AE7"/>
    <w:rsid w:val="00F515FC"/>
    <w:rsid w:val="00F5295B"/>
    <w:rsid w:val="00F541CB"/>
    <w:rsid w:val="00F54935"/>
    <w:rsid w:val="00F57CCC"/>
    <w:rsid w:val="00F62528"/>
    <w:rsid w:val="00F63771"/>
    <w:rsid w:val="00F63922"/>
    <w:rsid w:val="00F65BA4"/>
    <w:rsid w:val="00F6668D"/>
    <w:rsid w:val="00F70C83"/>
    <w:rsid w:val="00F738A2"/>
    <w:rsid w:val="00F7581A"/>
    <w:rsid w:val="00F76826"/>
    <w:rsid w:val="00F76A15"/>
    <w:rsid w:val="00F77CA1"/>
    <w:rsid w:val="00F80190"/>
    <w:rsid w:val="00F82E38"/>
    <w:rsid w:val="00F9250E"/>
    <w:rsid w:val="00F940BD"/>
    <w:rsid w:val="00F95492"/>
    <w:rsid w:val="00FA4846"/>
    <w:rsid w:val="00FA4E95"/>
    <w:rsid w:val="00FB0CF2"/>
    <w:rsid w:val="00FB1EB6"/>
    <w:rsid w:val="00FB28F5"/>
    <w:rsid w:val="00FB466D"/>
    <w:rsid w:val="00FB4E10"/>
    <w:rsid w:val="00FB57EB"/>
    <w:rsid w:val="00FB5905"/>
    <w:rsid w:val="00FB5FF6"/>
    <w:rsid w:val="00FB6FF9"/>
    <w:rsid w:val="00FC066F"/>
    <w:rsid w:val="00FC16C6"/>
    <w:rsid w:val="00FC3901"/>
    <w:rsid w:val="00FC5B79"/>
    <w:rsid w:val="00FC7E58"/>
    <w:rsid w:val="00FD4AC3"/>
    <w:rsid w:val="00FD65DA"/>
    <w:rsid w:val="00FD69EA"/>
    <w:rsid w:val="00FD714E"/>
    <w:rsid w:val="00FE5780"/>
    <w:rsid w:val="00FE5E89"/>
    <w:rsid w:val="00FE7260"/>
    <w:rsid w:val="00FF0866"/>
    <w:rsid w:val="00FF21AE"/>
    <w:rsid w:val="00FF3329"/>
    <w:rsid w:val="00FF724C"/>
    <w:rsid w:val="00FF7A04"/>
    <w:rsid w:val="00FF7BD2"/>
    <w:rsid w:val="01767918"/>
    <w:rsid w:val="066C0EBB"/>
    <w:rsid w:val="096A0DB3"/>
    <w:rsid w:val="10265728"/>
    <w:rsid w:val="1133769A"/>
    <w:rsid w:val="138F580D"/>
    <w:rsid w:val="13994698"/>
    <w:rsid w:val="14311D96"/>
    <w:rsid w:val="1AC27DDA"/>
    <w:rsid w:val="1AF571A7"/>
    <w:rsid w:val="2071329A"/>
    <w:rsid w:val="244C1862"/>
    <w:rsid w:val="2AD1144F"/>
    <w:rsid w:val="2E6B3AC8"/>
    <w:rsid w:val="2FC1495C"/>
    <w:rsid w:val="310F5C87"/>
    <w:rsid w:val="33B05C54"/>
    <w:rsid w:val="362D50BE"/>
    <w:rsid w:val="42F862AA"/>
    <w:rsid w:val="4A8B6933"/>
    <w:rsid w:val="4D473578"/>
    <w:rsid w:val="4D8E7DF6"/>
    <w:rsid w:val="4E9C0EDA"/>
    <w:rsid w:val="50EC2028"/>
    <w:rsid w:val="52644C66"/>
    <w:rsid w:val="53CE78AB"/>
    <w:rsid w:val="53D81D34"/>
    <w:rsid w:val="5484154D"/>
    <w:rsid w:val="54A6462D"/>
    <w:rsid w:val="575F2E65"/>
    <w:rsid w:val="5EF219ED"/>
    <w:rsid w:val="5F332A04"/>
    <w:rsid w:val="5F365329"/>
    <w:rsid w:val="632A54CB"/>
    <w:rsid w:val="652B60D5"/>
    <w:rsid w:val="71E06781"/>
    <w:rsid w:val="732D11A2"/>
    <w:rsid w:val="74453B8F"/>
    <w:rsid w:val="7677706F"/>
    <w:rsid w:val="76F50441"/>
    <w:rsid w:val="79145B1F"/>
    <w:rsid w:val="7D7A3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numPr>
        <w:ilvl w:val="0"/>
        <w:numId w:val="1"/>
      </w:numPr>
      <w:spacing w:before="340" w:after="330" w:line="578" w:lineRule="auto"/>
      <w:outlineLvl w:val="0"/>
    </w:pPr>
    <w:rPr>
      <w:rFonts w:eastAsia="FangSong_GB2312"/>
      <w:b/>
      <w:kern w:val="44"/>
      <w:sz w:val="44"/>
      <w:szCs w:val="20"/>
    </w:rPr>
  </w:style>
  <w:style w:type="paragraph" w:styleId="3">
    <w:name w:val="heading 2"/>
    <w:basedOn w:val="1"/>
    <w:next w:val="4"/>
    <w:link w:val="104"/>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5">
    <w:name w:val="heading 3"/>
    <w:basedOn w:val="1"/>
    <w:next w:val="4"/>
    <w:link w:val="105"/>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FangSong_GB2312"/>
      <w:b/>
      <w:sz w:val="32"/>
      <w:szCs w:val="20"/>
    </w:rPr>
  </w:style>
  <w:style w:type="paragraph" w:styleId="6">
    <w:name w:val="heading 4"/>
    <w:basedOn w:val="1"/>
    <w:next w:val="4"/>
    <w:link w:val="50"/>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4"/>
    <w:link w:val="51"/>
    <w:qFormat/>
    <w:uiPriority w:val="0"/>
    <w:pPr>
      <w:keepNext/>
      <w:widowControl/>
      <w:numPr>
        <w:ilvl w:val="0"/>
        <w:numId w:val="4"/>
      </w:numPr>
      <w:jc w:val="left"/>
      <w:outlineLvl w:val="4"/>
    </w:pPr>
    <w:rPr>
      <w:kern w:val="0"/>
      <w:sz w:val="24"/>
      <w:szCs w:val="20"/>
    </w:rPr>
  </w:style>
  <w:style w:type="paragraph" w:styleId="8">
    <w:name w:val="heading 6"/>
    <w:basedOn w:val="1"/>
    <w:next w:val="1"/>
    <w:link w:val="108"/>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link w:val="109"/>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link w:val="11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11"/>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9"/>
    <w:qFormat/>
    <w:uiPriority w:val="0"/>
    <w:pPr>
      <w:ind w:firstLine="420" w:firstLineChars="200"/>
    </w:pPr>
  </w:style>
  <w:style w:type="paragraph" w:styleId="12">
    <w:name w:val="List Number 2"/>
    <w:basedOn w:val="1"/>
    <w:qFormat/>
    <w:uiPriority w:val="0"/>
    <w:pPr>
      <w:widowControl/>
      <w:tabs>
        <w:tab w:val="left" w:pos="1697"/>
      </w:tabs>
      <w:spacing w:afterLines="50"/>
      <w:ind w:left="1697" w:hanging="420"/>
      <w:jc w:val="left"/>
    </w:pPr>
    <w:rPr>
      <w:kern w:val="0"/>
      <w:sz w:val="24"/>
      <w:szCs w:val="20"/>
    </w:rPr>
  </w:style>
  <w:style w:type="paragraph" w:styleId="13">
    <w:name w:val="List Number"/>
    <w:basedOn w:val="1"/>
    <w:qFormat/>
    <w:uiPriority w:val="0"/>
    <w:pPr>
      <w:widowControl/>
      <w:tabs>
        <w:tab w:val="left" w:pos="454"/>
      </w:tabs>
      <w:spacing w:afterLines="50"/>
      <w:ind w:left="454" w:hanging="284"/>
      <w:jc w:val="left"/>
    </w:pPr>
    <w:rPr>
      <w:kern w:val="0"/>
      <w:sz w:val="24"/>
      <w:szCs w:val="20"/>
    </w:rPr>
  </w:style>
  <w:style w:type="paragraph" w:styleId="14">
    <w:name w:val="caption"/>
    <w:basedOn w:val="1"/>
    <w:next w:val="1"/>
    <w:qFormat/>
    <w:uiPriority w:val="0"/>
    <w:pPr>
      <w:spacing w:line="360" w:lineRule="auto"/>
      <w:jc w:val="center"/>
    </w:pPr>
    <w:rPr>
      <w:rFonts w:ascii="Calibri" w:hAnsi="Calibri"/>
      <w:sz w:val="20"/>
      <w:szCs w:val="20"/>
    </w:rPr>
  </w:style>
  <w:style w:type="paragraph" w:styleId="15">
    <w:name w:val="Document Map"/>
    <w:basedOn w:val="1"/>
    <w:link w:val="117"/>
    <w:semiHidden/>
    <w:qFormat/>
    <w:uiPriority w:val="0"/>
    <w:pPr>
      <w:shd w:val="clear" w:color="auto" w:fill="000080"/>
    </w:pPr>
  </w:style>
  <w:style w:type="paragraph" w:styleId="16">
    <w:name w:val="annotation text"/>
    <w:basedOn w:val="1"/>
    <w:link w:val="119"/>
    <w:semiHidden/>
    <w:qFormat/>
    <w:uiPriority w:val="0"/>
    <w:pPr>
      <w:jc w:val="left"/>
    </w:pPr>
  </w:style>
  <w:style w:type="paragraph" w:styleId="17">
    <w:name w:val="Body Text"/>
    <w:basedOn w:val="1"/>
    <w:link w:val="66"/>
    <w:qFormat/>
    <w:uiPriority w:val="0"/>
    <w:pPr>
      <w:spacing w:line="360" w:lineRule="auto"/>
    </w:pPr>
    <w:rPr>
      <w:rFonts w:eastAsia="FangSong_GB2312"/>
      <w:sz w:val="28"/>
    </w:rPr>
  </w:style>
  <w:style w:type="paragraph" w:styleId="18">
    <w:name w:val="Body Text Indent"/>
    <w:basedOn w:val="1"/>
    <w:link w:val="101"/>
    <w:qFormat/>
    <w:uiPriority w:val="0"/>
    <w:pPr>
      <w:spacing w:after="120"/>
      <w:ind w:left="420" w:leftChars="200"/>
    </w:pPr>
  </w:style>
  <w:style w:type="paragraph" w:styleId="19">
    <w:name w:val="List Number 3"/>
    <w:basedOn w:val="1"/>
    <w:qFormat/>
    <w:uiPriority w:val="0"/>
    <w:pPr>
      <w:widowControl/>
      <w:tabs>
        <w:tab w:val="left" w:pos="482"/>
      </w:tabs>
      <w:spacing w:afterLines="50"/>
      <w:ind w:left="482" w:hanging="340"/>
      <w:jc w:val="left"/>
    </w:pPr>
    <w:rPr>
      <w:kern w:val="0"/>
      <w:sz w:val="24"/>
      <w:szCs w:val="20"/>
    </w:rPr>
  </w:style>
  <w:style w:type="paragraph" w:styleId="20">
    <w:name w:val="Block Text"/>
    <w:basedOn w:val="1"/>
    <w:qFormat/>
    <w:uiPriority w:val="0"/>
    <w:pPr>
      <w:spacing w:before="120" w:line="360" w:lineRule="auto"/>
      <w:ind w:left="824" w:right="202"/>
    </w:pPr>
    <w:rPr>
      <w:rFonts w:ascii="宋体" w:hAnsi="宋体"/>
      <w:sz w:val="24"/>
      <w:szCs w:val="21"/>
    </w:rPr>
  </w:style>
  <w:style w:type="paragraph" w:styleId="21">
    <w:name w:val="Plain Text"/>
    <w:basedOn w:val="1"/>
    <w:link w:val="52"/>
    <w:qFormat/>
    <w:uiPriority w:val="0"/>
    <w:rPr>
      <w:rFonts w:ascii="宋体" w:hAnsi="Courier New"/>
      <w:szCs w:val="20"/>
    </w:rPr>
  </w:style>
  <w:style w:type="paragraph" w:styleId="22">
    <w:name w:val="Date"/>
    <w:basedOn w:val="1"/>
    <w:next w:val="1"/>
    <w:link w:val="112"/>
    <w:qFormat/>
    <w:uiPriority w:val="0"/>
    <w:rPr>
      <w:rFonts w:ascii="楷体_GB2312" w:eastAsia="楷体_GB2312"/>
      <w:b/>
      <w:sz w:val="28"/>
      <w:szCs w:val="20"/>
    </w:rPr>
  </w:style>
  <w:style w:type="paragraph" w:styleId="23">
    <w:name w:val="Body Text Indent 2"/>
    <w:basedOn w:val="1"/>
    <w:link w:val="62"/>
    <w:qFormat/>
    <w:uiPriority w:val="0"/>
    <w:pPr>
      <w:spacing w:after="120" w:line="480" w:lineRule="auto"/>
      <w:ind w:left="420" w:leftChars="200"/>
    </w:pPr>
  </w:style>
  <w:style w:type="paragraph" w:styleId="24">
    <w:name w:val="Balloon Text"/>
    <w:basedOn w:val="1"/>
    <w:link w:val="157"/>
    <w:semiHidden/>
    <w:qFormat/>
    <w:uiPriority w:val="99"/>
    <w:rPr>
      <w:sz w:val="18"/>
      <w:szCs w:val="18"/>
    </w:rPr>
  </w:style>
  <w:style w:type="paragraph" w:styleId="25">
    <w:name w:val="footer"/>
    <w:basedOn w:val="1"/>
    <w:link w:val="156"/>
    <w:qFormat/>
    <w:uiPriority w:val="99"/>
    <w:pPr>
      <w:tabs>
        <w:tab w:val="center" w:pos="4153"/>
        <w:tab w:val="right" w:pos="8306"/>
      </w:tabs>
      <w:snapToGrid w:val="0"/>
      <w:jc w:val="left"/>
    </w:pPr>
    <w:rPr>
      <w:sz w:val="18"/>
      <w:szCs w:val="18"/>
    </w:rPr>
  </w:style>
  <w:style w:type="paragraph" w:styleId="26">
    <w:name w:val="header"/>
    <w:basedOn w:val="1"/>
    <w:link w:val="116"/>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style>
  <w:style w:type="paragraph" w:styleId="28">
    <w:name w:val="toc 4"/>
    <w:basedOn w:val="1"/>
    <w:next w:val="1"/>
    <w:semiHidden/>
    <w:qFormat/>
    <w:uiPriority w:val="0"/>
    <w:pPr>
      <w:tabs>
        <w:tab w:val="right" w:leader="dot" w:pos="8314"/>
      </w:tabs>
      <w:ind w:firstLine="588" w:firstLineChars="245"/>
    </w:p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semiHidden/>
    <w:qFormat/>
    <w:uiPriority w:val="0"/>
    <w:pPr>
      <w:ind w:left="420" w:leftChars="200"/>
    </w:pPr>
  </w:style>
  <w:style w:type="paragraph" w:styleId="31">
    <w:name w:val="Body Text 2"/>
    <w:basedOn w:val="1"/>
    <w:link w:val="124"/>
    <w:qFormat/>
    <w:uiPriority w:val="0"/>
    <w:pPr>
      <w:widowControl/>
      <w:spacing w:afterLines="50" w:line="216" w:lineRule="auto"/>
      <w:jc w:val="center"/>
    </w:pPr>
    <w:rPr>
      <w:rFonts w:ascii="隶书" w:eastAsia="隶书"/>
      <w:bCs/>
      <w:kern w:val="0"/>
      <w:sz w:val="72"/>
      <w:szCs w:val="84"/>
    </w:rPr>
  </w:style>
  <w:style w:type="paragraph" w:styleId="32">
    <w:name w:val="List Continue 2"/>
    <w:basedOn w:val="1"/>
    <w:qFormat/>
    <w:uiPriority w:val="0"/>
    <w:pPr>
      <w:spacing w:after="120"/>
      <w:ind w:left="840" w:leftChars="400"/>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5">
    <w:name w:val="index 1"/>
    <w:basedOn w:val="1"/>
    <w:next w:val="1"/>
    <w:semiHidden/>
    <w:qFormat/>
    <w:uiPriority w:val="0"/>
    <w:pPr>
      <w:spacing w:line="320" w:lineRule="exact"/>
    </w:pPr>
    <w:rPr>
      <w:b/>
      <w:snapToGrid w:val="0"/>
      <w:color w:val="FF6600"/>
      <w:kern w:val="0"/>
      <w:sz w:val="18"/>
      <w:szCs w:val="21"/>
    </w:rPr>
  </w:style>
  <w:style w:type="paragraph" w:styleId="36">
    <w:name w:val="annotation subject"/>
    <w:basedOn w:val="16"/>
    <w:next w:val="16"/>
    <w:semiHidden/>
    <w:qFormat/>
    <w:uiPriority w:val="0"/>
    <w:pPr>
      <w:widowControl/>
      <w:spacing w:afterLines="50"/>
    </w:pPr>
    <w:rPr>
      <w:b/>
      <w:bCs/>
      <w:kern w:val="0"/>
      <w:sz w:val="24"/>
      <w:szCs w:val="20"/>
    </w:rPr>
  </w:style>
  <w:style w:type="paragraph" w:styleId="37">
    <w:name w:val="Body Text First Indent"/>
    <w:basedOn w:val="17"/>
    <w:qFormat/>
    <w:uiPriority w:val="0"/>
    <w:pPr>
      <w:spacing w:after="120" w:line="240" w:lineRule="auto"/>
      <w:ind w:firstLine="420" w:firstLineChars="100"/>
    </w:pPr>
    <w:rPr>
      <w:rFonts w:eastAsia="宋体"/>
      <w:sz w:val="21"/>
    </w:rPr>
  </w:style>
  <w:style w:type="paragraph" w:styleId="38">
    <w:name w:val="Body Text First Indent 2"/>
    <w:basedOn w:val="18"/>
    <w:qFormat/>
    <w:uiPriority w:val="0"/>
    <w:pPr>
      <w:ind w:firstLine="420" w:firstLineChars="2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800080"/>
      <w:u w:val="none"/>
    </w:rPr>
  </w:style>
  <w:style w:type="character" w:styleId="45">
    <w:name w:val="Emphasis"/>
    <w:basedOn w:val="41"/>
    <w:qFormat/>
    <w:uiPriority w:val="0"/>
    <w:rPr>
      <w:color w:val="CC0000"/>
    </w:rPr>
  </w:style>
  <w:style w:type="character" w:styleId="46">
    <w:name w:val="Hyperlink"/>
    <w:basedOn w:val="41"/>
    <w:qFormat/>
    <w:uiPriority w:val="0"/>
    <w:rPr>
      <w:color w:val="0000FF"/>
      <w:u w:val="none"/>
    </w:rPr>
  </w:style>
  <w:style w:type="character" w:styleId="47">
    <w:name w:val="annotation reference"/>
    <w:basedOn w:val="41"/>
    <w:semiHidden/>
    <w:qFormat/>
    <w:uiPriority w:val="0"/>
    <w:rPr>
      <w:sz w:val="21"/>
      <w:szCs w:val="21"/>
    </w:rPr>
  </w:style>
  <w:style w:type="character" w:customStyle="1" w:styleId="48">
    <w:name w:val="标题 1 Char"/>
    <w:link w:val="2"/>
    <w:qFormat/>
    <w:uiPriority w:val="0"/>
    <w:rPr>
      <w:rFonts w:eastAsia="FangSong_GB2312"/>
      <w:b/>
      <w:kern w:val="44"/>
      <w:sz w:val="44"/>
      <w:lang w:val="en-US" w:eastAsia="zh-CN" w:bidi="ar-SA"/>
    </w:rPr>
  </w:style>
  <w:style w:type="character" w:customStyle="1" w:styleId="49">
    <w:name w:val="正文缩进 Char"/>
    <w:basedOn w:val="41"/>
    <w:link w:val="4"/>
    <w:qFormat/>
    <w:uiPriority w:val="0"/>
    <w:rPr>
      <w:rFonts w:eastAsia="宋体"/>
      <w:kern w:val="2"/>
      <w:sz w:val="21"/>
      <w:szCs w:val="24"/>
      <w:lang w:val="en-US" w:eastAsia="zh-CN" w:bidi="ar-SA"/>
    </w:rPr>
  </w:style>
  <w:style w:type="character" w:customStyle="1" w:styleId="50">
    <w:name w:val="标题 4 Char"/>
    <w:link w:val="6"/>
    <w:qFormat/>
    <w:uiPriority w:val="0"/>
    <w:rPr>
      <w:rFonts w:ascii="Arial" w:hAnsi="Arial" w:eastAsia="黑体"/>
      <w:b/>
      <w:kern w:val="2"/>
      <w:sz w:val="28"/>
      <w:lang w:val="en-US" w:eastAsia="zh-CN" w:bidi="ar-SA"/>
    </w:rPr>
  </w:style>
  <w:style w:type="character" w:customStyle="1" w:styleId="51">
    <w:name w:val="标题 5 Char"/>
    <w:link w:val="7"/>
    <w:qFormat/>
    <w:uiPriority w:val="0"/>
    <w:rPr>
      <w:rFonts w:eastAsia="宋体"/>
      <w:sz w:val="24"/>
      <w:lang w:val="en-US" w:eastAsia="zh-CN" w:bidi="ar-SA"/>
    </w:rPr>
  </w:style>
  <w:style w:type="character" w:customStyle="1" w:styleId="52">
    <w:name w:val="纯文本 Char"/>
    <w:basedOn w:val="41"/>
    <w:link w:val="21"/>
    <w:qFormat/>
    <w:uiPriority w:val="0"/>
    <w:rPr>
      <w:rFonts w:ascii="宋体" w:hAnsi="Courier New" w:eastAsia="宋体"/>
      <w:kern w:val="2"/>
      <w:sz w:val="21"/>
      <w:lang w:val="en-US" w:eastAsia="zh-CN" w:bidi="ar-SA"/>
    </w:rPr>
  </w:style>
  <w:style w:type="paragraph" w:customStyle="1" w:styleId="53">
    <w:name w:val="表正文"/>
    <w:basedOn w:val="1"/>
    <w:next w:val="21"/>
    <w:qFormat/>
    <w:uiPriority w:val="0"/>
    <w:rPr>
      <w:rFonts w:ascii="宋体" w:hAnsi="Courier New"/>
      <w:szCs w:val="20"/>
    </w:rPr>
  </w:style>
  <w:style w:type="paragraph" w:customStyle="1" w:styleId="54">
    <w:name w:val="正文段"/>
    <w:basedOn w:val="1"/>
    <w:link w:val="150"/>
    <w:qFormat/>
    <w:uiPriority w:val="0"/>
    <w:pPr>
      <w:widowControl/>
      <w:snapToGrid w:val="0"/>
      <w:spacing w:afterLines="50"/>
      <w:ind w:firstLine="200" w:firstLineChars="200"/>
    </w:pPr>
    <w:rPr>
      <w:kern w:val="0"/>
      <w:sz w:val="24"/>
      <w:szCs w:val="20"/>
    </w:rPr>
  </w:style>
  <w:style w:type="paragraph" w:customStyle="1" w:styleId="55">
    <w:name w:val="Char"/>
    <w:basedOn w:val="1"/>
    <w:qFormat/>
    <w:uiPriority w:val="0"/>
    <w:rPr>
      <w:rFonts w:ascii="FangSong_GB2312" w:eastAsia="FangSong_GB2312"/>
      <w:b/>
      <w:sz w:val="32"/>
      <w:szCs w:val="32"/>
    </w:rPr>
  </w:style>
  <w:style w:type="paragraph" w:customStyle="1" w:styleId="56">
    <w:name w:val="Table Text"/>
    <w:link w:val="57"/>
    <w:qFormat/>
    <w:uiPriority w:val="0"/>
    <w:pPr>
      <w:snapToGrid w:val="0"/>
      <w:spacing w:before="80" w:after="80"/>
    </w:pPr>
    <w:rPr>
      <w:rFonts w:ascii="Arial" w:hAnsi="Arial" w:eastAsia="宋体" w:cs="Times New Roman"/>
      <w:sz w:val="18"/>
      <w:lang w:val="en-US" w:eastAsia="zh-CN" w:bidi="ar-SA"/>
    </w:rPr>
  </w:style>
  <w:style w:type="character" w:customStyle="1" w:styleId="57">
    <w:name w:val="Table Text Char1"/>
    <w:basedOn w:val="41"/>
    <w:link w:val="56"/>
    <w:qFormat/>
    <w:uiPriority w:val="0"/>
    <w:rPr>
      <w:rFonts w:ascii="Arial" w:hAnsi="Arial"/>
      <w:sz w:val="18"/>
      <w:lang w:val="en-US" w:eastAsia="zh-CN" w:bidi="ar-SA"/>
    </w:rPr>
  </w:style>
  <w:style w:type="character" w:customStyle="1" w:styleId="58">
    <w:name w:val="正文（缩进2汉字） Char"/>
    <w:basedOn w:val="41"/>
    <w:link w:val="59"/>
    <w:qFormat/>
    <w:uiPriority w:val="0"/>
    <w:rPr>
      <w:rFonts w:ascii="宋体"/>
      <w:kern w:val="2"/>
      <w:sz w:val="21"/>
      <w:lang w:bidi="ar-SA"/>
    </w:rPr>
  </w:style>
  <w:style w:type="paragraph" w:customStyle="1" w:styleId="59">
    <w:name w:val="正文（缩进2汉字）"/>
    <w:basedOn w:val="1"/>
    <w:link w:val="58"/>
    <w:qFormat/>
    <w:uiPriority w:val="0"/>
    <w:pPr>
      <w:tabs>
        <w:tab w:val="left" w:pos="525"/>
      </w:tabs>
      <w:spacing w:before="100" w:beforeAutospacing="1" w:after="100" w:afterAutospacing="1"/>
      <w:ind w:left="120" w:leftChars="50" w:firstLine="494" w:firstLineChars="206"/>
    </w:pPr>
    <w:rPr>
      <w:rFonts w:ascii="宋体" w:eastAsia="Times New Roman"/>
      <w:szCs w:val="20"/>
    </w:rPr>
  </w:style>
  <w:style w:type="paragraph" w:customStyle="1" w:styleId="60">
    <w:name w:val="Char11"/>
    <w:basedOn w:val="1"/>
    <w:qFormat/>
    <w:uiPriority w:val="0"/>
    <w:pPr>
      <w:tabs>
        <w:tab w:val="left" w:pos="432"/>
      </w:tabs>
      <w:spacing w:beforeLines="50" w:afterLines="50"/>
      <w:ind w:left="432" w:hanging="432"/>
      <w:jc w:val="center"/>
    </w:pPr>
    <w:rPr>
      <w:sz w:val="24"/>
    </w:rPr>
  </w:style>
  <w:style w:type="paragraph" w:customStyle="1" w:styleId="61">
    <w:name w:val="模板普通正文"/>
    <w:basedOn w:val="18"/>
    <w:qFormat/>
    <w:uiPriority w:val="0"/>
    <w:pPr>
      <w:spacing w:beforeLines="50" w:after="10" w:line="360" w:lineRule="auto"/>
      <w:ind w:left="0" w:leftChars="0" w:firstLine="175" w:firstLineChars="175"/>
      <w:jc w:val="left"/>
    </w:pPr>
    <w:rPr>
      <w:sz w:val="24"/>
    </w:rPr>
  </w:style>
  <w:style w:type="character" w:customStyle="1" w:styleId="62">
    <w:name w:val="正文文本缩进 2 Char"/>
    <w:link w:val="23"/>
    <w:qFormat/>
    <w:locked/>
    <w:uiPriority w:val="0"/>
    <w:rPr>
      <w:rFonts w:eastAsia="宋体"/>
      <w:kern w:val="2"/>
      <w:sz w:val="21"/>
      <w:szCs w:val="24"/>
      <w:lang w:val="en-US" w:eastAsia="zh-CN" w:bidi="ar-SA"/>
    </w:rPr>
  </w:style>
  <w:style w:type="paragraph" w:customStyle="1" w:styleId="63">
    <w:name w:val="缺省文本"/>
    <w:basedOn w:val="1"/>
    <w:qFormat/>
    <w:uiPriority w:val="0"/>
    <w:pPr>
      <w:autoSpaceDE w:val="0"/>
      <w:autoSpaceDN w:val="0"/>
      <w:adjustRightInd w:val="0"/>
      <w:jc w:val="left"/>
    </w:pPr>
    <w:rPr>
      <w:kern w:val="0"/>
      <w:sz w:val="24"/>
    </w:rPr>
  </w:style>
  <w:style w:type="paragraph" w:customStyle="1" w:styleId="64">
    <w:name w:val="WW-正文文字缩进 2"/>
    <w:basedOn w:val="1"/>
    <w:qFormat/>
    <w:uiPriority w:val="0"/>
    <w:pPr>
      <w:suppressAutoHyphens/>
      <w:ind w:firstLine="420"/>
    </w:pPr>
    <w:rPr>
      <w:kern w:val="1"/>
      <w:szCs w:val="20"/>
    </w:rPr>
  </w:style>
  <w:style w:type="paragraph" w:customStyle="1" w:styleId="65">
    <w:name w:val="默认段落字体 Para Char Char Char Char Char Char Char Char Char1 Char Char Char Char"/>
    <w:basedOn w:val="1"/>
    <w:qFormat/>
    <w:uiPriority w:val="0"/>
    <w:rPr>
      <w:rFonts w:ascii="Tahoma" w:hAnsi="Tahoma"/>
      <w:sz w:val="24"/>
      <w:szCs w:val="20"/>
    </w:rPr>
  </w:style>
  <w:style w:type="character" w:customStyle="1" w:styleId="66">
    <w:name w:val="正文文本 Char"/>
    <w:link w:val="17"/>
    <w:qFormat/>
    <w:locked/>
    <w:uiPriority w:val="0"/>
    <w:rPr>
      <w:rFonts w:eastAsia="FangSong_GB2312"/>
      <w:kern w:val="2"/>
      <w:sz w:val="28"/>
      <w:szCs w:val="24"/>
      <w:lang w:val="en-US" w:eastAsia="zh-CN" w:bidi="ar-SA"/>
    </w:rPr>
  </w:style>
  <w:style w:type="paragraph" w:customStyle="1" w:styleId="67">
    <w:name w:val="项目排列"/>
    <w:basedOn w:val="1"/>
    <w:link w:val="68"/>
    <w:qFormat/>
    <w:uiPriority w:val="0"/>
    <w:pPr>
      <w:tabs>
        <w:tab w:val="left" w:pos="900"/>
      </w:tabs>
      <w:spacing w:beforeLines="50" w:afterLines="50" w:line="300" w:lineRule="auto"/>
      <w:ind w:left="900" w:hanging="420"/>
    </w:pPr>
    <w:rPr>
      <w:sz w:val="24"/>
    </w:rPr>
  </w:style>
  <w:style w:type="character" w:customStyle="1" w:styleId="68">
    <w:name w:val="项目排列 Char"/>
    <w:basedOn w:val="41"/>
    <w:link w:val="67"/>
    <w:qFormat/>
    <w:uiPriority w:val="0"/>
    <w:rPr>
      <w:kern w:val="2"/>
      <w:sz w:val="24"/>
      <w:szCs w:val="24"/>
    </w:rPr>
  </w:style>
  <w:style w:type="character" w:customStyle="1" w:styleId="69">
    <w:name w:val="style21"/>
    <w:basedOn w:val="41"/>
    <w:qFormat/>
    <w:uiPriority w:val="0"/>
    <w:rPr>
      <w:sz w:val="15"/>
      <w:szCs w:val="15"/>
    </w:rPr>
  </w:style>
  <w:style w:type="paragraph" w:customStyle="1" w:styleId="70">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71">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72">
    <w:name w:val="Char1"/>
    <w:basedOn w:val="1"/>
    <w:qFormat/>
    <w:uiPriority w:val="0"/>
    <w:rPr>
      <w:szCs w:val="20"/>
    </w:rPr>
  </w:style>
  <w:style w:type="paragraph" w:customStyle="1" w:styleId="73">
    <w:name w:val="列出段落1"/>
    <w:basedOn w:val="1"/>
    <w:qFormat/>
    <w:uiPriority w:val="0"/>
    <w:pPr>
      <w:ind w:firstLine="420" w:firstLineChars="200"/>
    </w:pPr>
    <w:rPr>
      <w:rFonts w:ascii="Calibri" w:hAnsi="Calibri"/>
      <w:szCs w:val="22"/>
    </w:rPr>
  </w:style>
  <w:style w:type="paragraph" w:customStyle="1" w:styleId="74">
    <w:name w:val="默认段落字体 Para Char Char Char Char"/>
    <w:basedOn w:val="1"/>
    <w:qFormat/>
    <w:uiPriority w:val="0"/>
  </w:style>
  <w:style w:type="paragraph" w:customStyle="1" w:styleId="75">
    <w:name w:val="Char Char Char1 Char Char Char1 Char Char Char Char"/>
    <w:basedOn w:val="1"/>
    <w:qFormat/>
    <w:uiPriority w:val="0"/>
  </w:style>
  <w:style w:type="character" w:customStyle="1" w:styleId="76">
    <w:name w:val="font1"/>
    <w:basedOn w:val="41"/>
    <w:qFormat/>
    <w:uiPriority w:val="0"/>
    <w:rPr>
      <w:color w:val="999999"/>
      <w:sz w:val="18"/>
      <w:szCs w:val="18"/>
      <w:u w:val="none"/>
    </w:rPr>
  </w:style>
  <w:style w:type="paragraph" w:customStyle="1" w:styleId="7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Char Char Char Char Char Char Char Char Char Char"/>
    <w:basedOn w:val="1"/>
    <w:qFormat/>
    <w:uiPriority w:val="0"/>
    <w:rPr>
      <w:rFonts w:ascii="Tahoma" w:hAnsi="Tahoma"/>
      <w:sz w:val="24"/>
      <w:szCs w:val="20"/>
    </w:rPr>
  </w:style>
  <w:style w:type="character" w:customStyle="1" w:styleId="79">
    <w:name w:val="apple-style-span"/>
    <w:basedOn w:val="41"/>
    <w:qFormat/>
    <w:uiPriority w:val="0"/>
  </w:style>
  <w:style w:type="paragraph" w:customStyle="1" w:styleId="80">
    <w:name w:val="正文无缩进"/>
    <w:basedOn w:val="1"/>
    <w:link w:val="81"/>
    <w:qFormat/>
    <w:uiPriority w:val="0"/>
    <w:pPr>
      <w:spacing w:line="360" w:lineRule="auto"/>
    </w:pPr>
    <w:rPr>
      <w:rFonts w:ascii="宋体"/>
      <w:color w:val="000000"/>
      <w:sz w:val="24"/>
    </w:rPr>
  </w:style>
  <w:style w:type="character" w:customStyle="1" w:styleId="81">
    <w:name w:val="正文无缩进 Char"/>
    <w:basedOn w:val="41"/>
    <w:link w:val="80"/>
    <w:qFormat/>
    <w:uiPriority w:val="0"/>
    <w:rPr>
      <w:rFonts w:ascii="宋体" w:eastAsia="宋体"/>
      <w:color w:val="000000"/>
      <w:kern w:val="2"/>
      <w:sz w:val="24"/>
      <w:szCs w:val="24"/>
      <w:lang w:val="en-US" w:eastAsia="zh-CN" w:bidi="ar-SA"/>
    </w:rPr>
  </w:style>
  <w:style w:type="paragraph" w:customStyle="1" w:styleId="8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83">
    <w:name w:val="ca-3"/>
    <w:basedOn w:val="41"/>
    <w:qFormat/>
    <w:uiPriority w:val="0"/>
  </w:style>
  <w:style w:type="paragraph" w:customStyle="1" w:styleId="84">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85">
    <w:name w:val="表格 Char Char"/>
    <w:link w:val="86"/>
    <w:qFormat/>
    <w:locked/>
    <w:uiPriority w:val="0"/>
    <w:rPr>
      <w:rFonts w:ascii="宋体" w:hAnsi="宋体" w:eastAsia="宋体"/>
      <w:lang w:val="en-US" w:eastAsia="zh-CN" w:bidi="ar-SA"/>
    </w:rPr>
  </w:style>
  <w:style w:type="paragraph" w:customStyle="1" w:styleId="86">
    <w:name w:val="表格"/>
    <w:basedOn w:val="1"/>
    <w:link w:val="85"/>
    <w:qFormat/>
    <w:uiPriority w:val="0"/>
    <w:pPr>
      <w:snapToGrid w:val="0"/>
      <w:ind w:firstLine="42" w:firstLineChars="21"/>
    </w:pPr>
    <w:rPr>
      <w:rFonts w:ascii="宋体" w:hAnsi="宋体"/>
      <w:kern w:val="0"/>
      <w:sz w:val="20"/>
      <w:szCs w:val="20"/>
    </w:rPr>
  </w:style>
  <w:style w:type="paragraph" w:customStyle="1" w:styleId="87">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88">
    <w:name w:val="Char Char1 Char Char Char Char Char Char"/>
    <w:basedOn w:val="1"/>
    <w:qFormat/>
    <w:uiPriority w:val="0"/>
    <w:pPr>
      <w:widowControl/>
      <w:spacing w:after="160" w:line="240" w:lineRule="exact"/>
      <w:jc w:val="left"/>
    </w:pPr>
  </w:style>
  <w:style w:type="character" w:customStyle="1" w:styleId="89">
    <w:name w:val="Char Char"/>
    <w:qFormat/>
    <w:uiPriority w:val="0"/>
    <w:rPr>
      <w:rFonts w:hint="eastAsia" w:ascii="宋体" w:hAnsi="Courier New" w:eastAsia="宋体"/>
      <w:kern w:val="2"/>
      <w:sz w:val="21"/>
      <w:lang w:val="en-US" w:eastAsia="zh-CN" w:bidi="ar-SA"/>
    </w:rPr>
  </w:style>
  <w:style w:type="character" w:customStyle="1" w:styleId="90">
    <w:name w:val="style51"/>
    <w:basedOn w:val="41"/>
    <w:qFormat/>
    <w:uiPriority w:val="0"/>
    <w:rPr>
      <w:sz w:val="21"/>
      <w:szCs w:val="21"/>
    </w:rPr>
  </w:style>
  <w:style w:type="paragraph" w:customStyle="1" w:styleId="91">
    <w:name w:val="标书_正文"/>
    <w:basedOn w:val="1"/>
    <w:qFormat/>
    <w:uiPriority w:val="0"/>
    <w:pPr>
      <w:adjustRightInd w:val="0"/>
      <w:snapToGrid w:val="0"/>
      <w:spacing w:line="400" w:lineRule="exact"/>
      <w:ind w:firstLine="560" w:firstLineChars="200"/>
    </w:pPr>
    <w:rPr>
      <w:rFonts w:ascii="FangSong_GB2312" w:eastAsia="FangSong_GB2312" w:cs="宋体"/>
      <w:bCs/>
      <w:color w:val="000000"/>
      <w:kern w:val="0"/>
      <w:sz w:val="28"/>
      <w:szCs w:val="28"/>
    </w:rPr>
  </w:style>
  <w:style w:type="paragraph" w:customStyle="1" w:styleId="92">
    <w:name w:val="标准文本"/>
    <w:basedOn w:val="1"/>
    <w:link w:val="93"/>
    <w:qFormat/>
    <w:uiPriority w:val="0"/>
    <w:pPr>
      <w:spacing w:line="360" w:lineRule="auto"/>
      <w:ind w:firstLine="480" w:firstLineChars="200"/>
    </w:pPr>
    <w:rPr>
      <w:rFonts w:cs="宋体"/>
      <w:sz w:val="24"/>
      <w:szCs w:val="20"/>
    </w:rPr>
  </w:style>
  <w:style w:type="character" w:customStyle="1" w:styleId="93">
    <w:name w:val="标准文本 Char"/>
    <w:basedOn w:val="41"/>
    <w:link w:val="92"/>
    <w:qFormat/>
    <w:uiPriority w:val="0"/>
    <w:rPr>
      <w:rFonts w:eastAsia="宋体" w:cs="宋体"/>
      <w:kern w:val="2"/>
      <w:sz w:val="24"/>
      <w:lang w:val="en-US" w:eastAsia="zh-CN" w:bidi="ar-SA"/>
    </w:rPr>
  </w:style>
  <w:style w:type="paragraph" w:customStyle="1" w:styleId="9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5">
    <w:name w:val="自定义正文"/>
    <w:basedOn w:val="1"/>
    <w:link w:val="96"/>
    <w:qFormat/>
    <w:uiPriority w:val="0"/>
    <w:pPr>
      <w:spacing w:line="480" w:lineRule="exact"/>
      <w:ind w:firstLine="200" w:firstLineChars="200"/>
      <w:jc w:val="left"/>
    </w:pPr>
    <w:rPr>
      <w:rFonts w:ascii="FangSong_GB2312" w:eastAsia="FangSong_GB2312"/>
      <w:sz w:val="28"/>
    </w:rPr>
  </w:style>
  <w:style w:type="character" w:customStyle="1" w:styleId="96">
    <w:name w:val="自定义正文 Char"/>
    <w:basedOn w:val="41"/>
    <w:link w:val="95"/>
    <w:qFormat/>
    <w:uiPriority w:val="0"/>
    <w:rPr>
      <w:rFonts w:ascii="FangSong_GB2312" w:eastAsia="FangSong_GB2312"/>
      <w:kern w:val="2"/>
      <w:sz w:val="28"/>
      <w:szCs w:val="24"/>
      <w:lang w:val="en-US" w:eastAsia="zh-CN" w:bidi="ar-SA"/>
    </w:rPr>
  </w:style>
  <w:style w:type="paragraph" w:customStyle="1" w:styleId="97">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98">
    <w:name w:val="自定义表格文字"/>
    <w:basedOn w:val="1"/>
    <w:qFormat/>
    <w:uiPriority w:val="0"/>
    <w:pPr>
      <w:spacing w:before="60" w:after="60" w:line="320" w:lineRule="exact"/>
      <w:jc w:val="left"/>
    </w:pPr>
    <w:rPr>
      <w:rFonts w:ascii="宋体" w:eastAsia="楷体_GB2312"/>
    </w:rPr>
  </w:style>
  <w:style w:type="paragraph" w:customStyle="1" w:styleId="99">
    <w:name w:val="Char Char Char1 Char"/>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100">
    <w:name w:val="Char Char Char1 Char1"/>
    <w:basedOn w:val="1"/>
    <w:qFormat/>
    <w:uiPriority w:val="0"/>
    <w:pPr>
      <w:widowControl/>
      <w:spacing w:after="160" w:line="240" w:lineRule="exact"/>
      <w:jc w:val="left"/>
    </w:pPr>
    <w:rPr>
      <w:rFonts w:ascii="Verdana" w:hAnsi="Verdana" w:eastAsia="FangSong_GB2312"/>
      <w:kern w:val="0"/>
      <w:sz w:val="24"/>
      <w:szCs w:val="20"/>
      <w:lang w:eastAsia="en-US"/>
    </w:rPr>
  </w:style>
  <w:style w:type="character" w:customStyle="1" w:styleId="101">
    <w:name w:val="正文文本缩进 Char"/>
    <w:link w:val="18"/>
    <w:qFormat/>
    <w:uiPriority w:val="0"/>
    <w:rPr>
      <w:rFonts w:eastAsia="宋体"/>
      <w:kern w:val="2"/>
      <w:sz w:val="21"/>
      <w:szCs w:val="24"/>
      <w:lang w:val="en-US" w:eastAsia="zh-CN" w:bidi="ar-SA"/>
    </w:rPr>
  </w:style>
  <w:style w:type="character" w:customStyle="1" w:styleId="102">
    <w:name w:val="Char Char1"/>
    <w:qFormat/>
    <w:uiPriority w:val="0"/>
    <w:rPr>
      <w:rFonts w:ascii="宋体" w:hAnsi="Courier New" w:eastAsia="宋体"/>
      <w:kern w:val="2"/>
      <w:sz w:val="21"/>
      <w:lang w:val="en-US" w:eastAsia="zh-CN" w:bidi="ar-SA"/>
    </w:rPr>
  </w:style>
  <w:style w:type="paragraph" w:customStyle="1" w:styleId="103">
    <w:name w:val="Char Char Char Char1"/>
    <w:basedOn w:val="1"/>
    <w:qFormat/>
    <w:uiPriority w:val="0"/>
    <w:rPr>
      <w:rFonts w:ascii="Tahoma" w:hAnsi="Tahoma"/>
      <w:sz w:val="24"/>
      <w:szCs w:val="20"/>
    </w:rPr>
  </w:style>
  <w:style w:type="character" w:customStyle="1" w:styleId="104">
    <w:name w:val="标题 2 Char"/>
    <w:link w:val="3"/>
    <w:qFormat/>
    <w:uiPriority w:val="0"/>
    <w:rPr>
      <w:rFonts w:ascii="Arial" w:hAnsi="Arial" w:eastAsia="黑体"/>
      <w:b/>
      <w:kern w:val="2"/>
      <w:sz w:val="32"/>
      <w:lang w:val="en-US" w:eastAsia="zh-CN" w:bidi="ar-SA"/>
    </w:rPr>
  </w:style>
  <w:style w:type="character" w:customStyle="1" w:styleId="105">
    <w:name w:val="标题 3 Char"/>
    <w:link w:val="5"/>
    <w:qFormat/>
    <w:uiPriority w:val="0"/>
    <w:rPr>
      <w:rFonts w:eastAsia="FangSong_GB2312"/>
      <w:b/>
      <w:kern w:val="2"/>
      <w:sz w:val="32"/>
      <w:lang w:val="en-US" w:eastAsia="zh-CN" w:bidi="ar-SA"/>
    </w:rPr>
  </w:style>
  <w:style w:type="character" w:customStyle="1" w:styleId="106">
    <w:name w:val="H4 Char"/>
    <w:qFormat/>
    <w:uiPriority w:val="0"/>
    <w:rPr>
      <w:rFonts w:ascii="宋体" w:hAnsi="宋体" w:eastAsia="黑体"/>
      <w:b/>
      <w:bCs/>
      <w:color w:val="000000"/>
      <w:spacing w:val="-4"/>
      <w:kern w:val="2"/>
      <w:sz w:val="24"/>
      <w:szCs w:val="30"/>
      <w:lang w:val="en-US" w:eastAsia="zh-CN" w:bidi="ar-SA"/>
    </w:rPr>
  </w:style>
  <w:style w:type="character" w:customStyle="1" w:styleId="107">
    <w:name w:val="H5 Char"/>
    <w:qFormat/>
    <w:uiPriority w:val="0"/>
    <w:rPr>
      <w:rFonts w:ascii="Arial" w:hAnsi="Arial" w:eastAsia="宋体"/>
      <w:sz w:val="24"/>
      <w:lang w:val="en-US" w:eastAsia="zh-CN" w:bidi="ar-SA"/>
    </w:rPr>
  </w:style>
  <w:style w:type="character" w:customStyle="1" w:styleId="108">
    <w:name w:val="标题 6 Char"/>
    <w:link w:val="8"/>
    <w:qFormat/>
    <w:uiPriority w:val="0"/>
    <w:rPr>
      <w:rFonts w:ascii="宋体" w:hAnsi="Arial" w:eastAsia="宋体"/>
      <w:sz w:val="24"/>
      <w:lang w:val="en-US" w:eastAsia="zh-CN" w:bidi="ar-SA"/>
    </w:rPr>
  </w:style>
  <w:style w:type="character" w:customStyle="1" w:styleId="109">
    <w:name w:val="标题 7 Char"/>
    <w:link w:val="9"/>
    <w:qFormat/>
    <w:uiPriority w:val="0"/>
    <w:rPr>
      <w:rFonts w:ascii="宋体" w:hAnsi="Arial" w:eastAsia="宋体"/>
      <w:b/>
      <w:sz w:val="24"/>
      <w:lang w:val="en-US" w:eastAsia="zh-CN" w:bidi="ar-SA"/>
    </w:rPr>
  </w:style>
  <w:style w:type="character" w:customStyle="1" w:styleId="110">
    <w:name w:val="标题 8 Char"/>
    <w:link w:val="10"/>
    <w:qFormat/>
    <w:uiPriority w:val="0"/>
    <w:rPr>
      <w:rFonts w:ascii="Arial" w:hAnsi="Arial" w:eastAsia="黑体"/>
      <w:sz w:val="24"/>
      <w:lang w:val="en-US" w:eastAsia="zh-CN" w:bidi="ar-SA"/>
    </w:rPr>
  </w:style>
  <w:style w:type="character" w:customStyle="1" w:styleId="111">
    <w:name w:val="标题 9 Char"/>
    <w:link w:val="11"/>
    <w:qFormat/>
    <w:uiPriority w:val="0"/>
    <w:rPr>
      <w:rFonts w:ascii="Arial" w:hAnsi="Arial" w:eastAsia="黑体"/>
      <w:sz w:val="24"/>
      <w:lang w:val="en-US" w:eastAsia="zh-CN" w:bidi="ar-SA"/>
    </w:rPr>
  </w:style>
  <w:style w:type="character" w:customStyle="1" w:styleId="112">
    <w:name w:val="日期 Char"/>
    <w:link w:val="22"/>
    <w:qFormat/>
    <w:uiPriority w:val="0"/>
    <w:rPr>
      <w:rFonts w:ascii="楷体_GB2312" w:eastAsia="楷体_GB2312"/>
      <w:b/>
      <w:kern w:val="2"/>
      <w:sz w:val="28"/>
      <w:lang w:val="en-US" w:eastAsia="zh-CN" w:bidi="ar-SA"/>
    </w:rPr>
  </w:style>
  <w:style w:type="character" w:customStyle="1" w:styleId="113">
    <w:name w:val="Char Char8"/>
    <w:qFormat/>
    <w:uiPriority w:val="0"/>
    <w:rPr>
      <w:rFonts w:ascii="宋体" w:eastAsia="宋体"/>
      <w:kern w:val="2"/>
      <w:sz w:val="28"/>
      <w:lang w:val="en-US" w:eastAsia="zh-CN" w:bidi="ar-SA"/>
    </w:rPr>
  </w:style>
  <w:style w:type="character" w:customStyle="1" w:styleId="114">
    <w:name w:val="Char Char7"/>
    <w:qFormat/>
    <w:uiPriority w:val="0"/>
    <w:rPr>
      <w:rFonts w:eastAsia="FangSong_GB2312"/>
      <w:kern w:val="2"/>
      <w:sz w:val="24"/>
      <w:szCs w:val="24"/>
      <w:lang w:val="en-US" w:eastAsia="zh-CN" w:bidi="ar-SA"/>
    </w:rPr>
  </w:style>
  <w:style w:type="paragraph" w:customStyle="1" w:styleId="115">
    <w:name w:val="表内文字"/>
    <w:basedOn w:val="1"/>
    <w:qFormat/>
    <w:uiPriority w:val="0"/>
    <w:pPr>
      <w:jc w:val="center"/>
    </w:pPr>
    <w:rPr>
      <w:color w:val="FF0000"/>
      <w:kern w:val="0"/>
      <w:sz w:val="24"/>
    </w:rPr>
  </w:style>
  <w:style w:type="character" w:customStyle="1" w:styleId="116">
    <w:name w:val="页眉 Char"/>
    <w:link w:val="26"/>
    <w:qFormat/>
    <w:uiPriority w:val="99"/>
    <w:rPr>
      <w:rFonts w:eastAsia="宋体"/>
      <w:kern w:val="2"/>
      <w:sz w:val="18"/>
      <w:szCs w:val="18"/>
      <w:lang w:val="en-US" w:eastAsia="zh-CN" w:bidi="ar-SA"/>
    </w:rPr>
  </w:style>
  <w:style w:type="character" w:customStyle="1" w:styleId="117">
    <w:name w:val="文档结构图 Char"/>
    <w:link w:val="15"/>
    <w:semiHidden/>
    <w:qFormat/>
    <w:uiPriority w:val="0"/>
    <w:rPr>
      <w:rFonts w:eastAsia="宋体"/>
      <w:kern w:val="2"/>
      <w:sz w:val="21"/>
      <w:szCs w:val="24"/>
      <w:lang w:val="en-US" w:eastAsia="zh-CN" w:bidi="ar-SA"/>
    </w:rPr>
  </w:style>
  <w:style w:type="character" w:customStyle="1" w:styleId="118">
    <w:name w:val="Char Char3"/>
    <w:qFormat/>
    <w:uiPriority w:val="0"/>
    <w:rPr>
      <w:rFonts w:eastAsia="FangSong_GB2312"/>
      <w:kern w:val="2"/>
      <w:sz w:val="28"/>
      <w:szCs w:val="24"/>
      <w:lang w:val="en-US" w:eastAsia="zh-CN" w:bidi="ar-SA"/>
    </w:rPr>
  </w:style>
  <w:style w:type="character" w:customStyle="1" w:styleId="119">
    <w:name w:val="批注文字 Char"/>
    <w:link w:val="16"/>
    <w:semiHidden/>
    <w:qFormat/>
    <w:uiPriority w:val="0"/>
    <w:rPr>
      <w:rFonts w:eastAsia="宋体"/>
      <w:kern w:val="2"/>
      <w:sz w:val="21"/>
      <w:szCs w:val="24"/>
      <w:lang w:val="en-US" w:eastAsia="zh-CN" w:bidi="ar-SA"/>
    </w:rPr>
  </w:style>
  <w:style w:type="paragraph" w:customStyle="1" w:styleId="120">
    <w:name w:val="xl25"/>
    <w:basedOn w:val="1"/>
    <w:qFormat/>
    <w:uiPriority w:val="0"/>
    <w:pPr>
      <w:widowControl/>
      <w:numPr>
        <w:ilvl w:val="0"/>
        <w:numId w:val="5"/>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121">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22">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23">
    <w:name w:val="font6"/>
    <w:basedOn w:val="1"/>
    <w:qFormat/>
    <w:uiPriority w:val="0"/>
    <w:pPr>
      <w:widowControl/>
      <w:spacing w:before="100" w:beforeAutospacing="1" w:after="100" w:afterAutospacing="1"/>
      <w:jc w:val="left"/>
    </w:pPr>
    <w:rPr>
      <w:rFonts w:hint="eastAsia" w:ascii="宋体" w:hAnsi="宋体"/>
      <w:kern w:val="0"/>
      <w:sz w:val="18"/>
      <w:szCs w:val="18"/>
    </w:rPr>
  </w:style>
  <w:style w:type="character" w:customStyle="1" w:styleId="124">
    <w:name w:val="正文文本 2 Char"/>
    <w:link w:val="31"/>
    <w:qFormat/>
    <w:uiPriority w:val="0"/>
    <w:rPr>
      <w:rFonts w:ascii="隶书" w:eastAsia="隶书"/>
      <w:bCs/>
      <w:sz w:val="72"/>
      <w:szCs w:val="84"/>
      <w:lang w:val="en-US" w:eastAsia="zh-CN" w:bidi="ar-SA"/>
    </w:rPr>
  </w:style>
  <w:style w:type="paragraph" w:customStyle="1" w:styleId="125">
    <w:name w:val="项目1"/>
    <w:basedOn w:val="1"/>
    <w:qFormat/>
    <w:uiPriority w:val="0"/>
    <w:pPr>
      <w:tabs>
        <w:tab w:val="left" w:pos="840"/>
      </w:tabs>
      <w:spacing w:after="60"/>
      <w:ind w:left="840" w:hanging="420"/>
    </w:pPr>
    <w:rPr>
      <w:rFonts w:ascii="宋体"/>
      <w:spacing w:val="4"/>
      <w:szCs w:val="20"/>
    </w:rPr>
  </w:style>
  <w:style w:type="paragraph" w:customStyle="1" w:styleId="126">
    <w:name w:val="编10号"/>
    <w:basedOn w:val="1"/>
    <w:qFormat/>
    <w:uiPriority w:val="0"/>
    <w:pPr>
      <w:numPr>
        <w:ilvl w:val="3"/>
        <w:numId w:val="6"/>
      </w:numPr>
    </w:pPr>
  </w:style>
  <w:style w:type="paragraph" w:customStyle="1" w:styleId="127">
    <w:name w:val="段"/>
    <w:basedOn w:val="1"/>
    <w:qFormat/>
    <w:uiPriority w:val="0"/>
    <w:pPr>
      <w:ind w:firstLine="425"/>
    </w:pPr>
    <w:rPr>
      <w:rFonts w:ascii="宋体"/>
      <w:szCs w:val="20"/>
    </w:rPr>
  </w:style>
  <w:style w:type="paragraph" w:customStyle="1" w:styleId="128">
    <w:name w:val="Char Char Char Char"/>
    <w:basedOn w:val="1"/>
    <w:qFormat/>
    <w:uiPriority w:val="0"/>
    <w:pPr>
      <w:widowControl/>
      <w:spacing w:after="160" w:line="240" w:lineRule="exact"/>
      <w:jc w:val="left"/>
    </w:pPr>
    <w:rPr>
      <w:kern w:val="0"/>
      <w:sz w:val="24"/>
    </w:rPr>
  </w:style>
  <w:style w:type="paragraph" w:customStyle="1" w:styleId="129">
    <w:name w:val="Char Char1 Char Char Char Char Char Char Char Char Char Char"/>
    <w:basedOn w:val="1"/>
    <w:qFormat/>
    <w:uiPriority w:val="0"/>
    <w:pPr>
      <w:widowControl/>
      <w:spacing w:after="160" w:line="240" w:lineRule="exact"/>
      <w:jc w:val="left"/>
    </w:pPr>
    <w:rPr>
      <w:rFonts w:ascii="Verdana" w:hAnsi="Verdana" w:eastAsia="FangSong_GB2312"/>
      <w:kern w:val="0"/>
      <w:sz w:val="24"/>
      <w:szCs w:val="20"/>
      <w:lang w:eastAsia="en-US"/>
    </w:rPr>
  </w:style>
  <w:style w:type="character" w:customStyle="1" w:styleId="130">
    <w:name w:val="bulletintext1"/>
    <w:qFormat/>
    <w:uiPriority w:val="0"/>
    <w:rPr>
      <w:rFonts w:hint="eastAsia" w:ascii="宋体" w:hAnsi="宋体" w:eastAsia="宋体"/>
      <w:sz w:val="18"/>
      <w:szCs w:val="18"/>
    </w:rPr>
  </w:style>
  <w:style w:type="paragraph" w:customStyle="1" w:styleId="131">
    <w:name w:val="Char1 Char Char Char Char Char Char"/>
    <w:basedOn w:val="1"/>
    <w:qFormat/>
    <w:uiPriority w:val="0"/>
    <w:rPr>
      <w:rFonts w:ascii="Tahoma" w:hAnsi="Tahoma"/>
      <w:sz w:val="24"/>
      <w:szCs w:val="20"/>
    </w:rPr>
  </w:style>
  <w:style w:type="paragraph" w:customStyle="1" w:styleId="132">
    <w:name w:val="Char Char2 Char Char Char Char"/>
    <w:basedOn w:val="15"/>
    <w:qFormat/>
    <w:uiPriority w:val="0"/>
    <w:rPr>
      <w:rFonts w:ascii="Tahoma" w:hAnsi="Tahoma"/>
      <w:sz w:val="24"/>
    </w:rPr>
  </w:style>
  <w:style w:type="paragraph" w:customStyle="1" w:styleId="133">
    <w:name w:val="Char Char Char"/>
    <w:basedOn w:val="15"/>
    <w:qFormat/>
    <w:uiPriority w:val="0"/>
    <w:rPr>
      <w:rFonts w:ascii="Tahoma" w:hAnsi="Tahoma"/>
      <w:sz w:val="24"/>
    </w:rPr>
  </w:style>
  <w:style w:type="paragraph" w:customStyle="1" w:styleId="134">
    <w:name w:val="正文缩进 New"/>
    <w:basedOn w:val="1"/>
    <w:qFormat/>
    <w:uiPriority w:val="0"/>
    <w:pPr>
      <w:ind w:firstLine="420" w:firstLineChars="200"/>
    </w:pPr>
    <w:rPr>
      <w:szCs w:val="20"/>
    </w:rPr>
  </w:style>
  <w:style w:type="paragraph" w:customStyle="1" w:styleId="135">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36">
    <w:name w:val="tpc_content1"/>
    <w:qFormat/>
    <w:uiPriority w:val="0"/>
    <w:rPr>
      <w:sz w:val="20"/>
      <w:szCs w:val="20"/>
    </w:rPr>
  </w:style>
  <w:style w:type="character" w:customStyle="1" w:styleId="137">
    <w:name w:val="Char Char11"/>
    <w:qFormat/>
    <w:uiPriority w:val="0"/>
    <w:rPr>
      <w:b/>
      <w:kern w:val="44"/>
      <w:sz w:val="44"/>
    </w:rPr>
  </w:style>
  <w:style w:type="character" w:customStyle="1" w:styleId="138">
    <w:name w:val="Char Char10"/>
    <w:qFormat/>
    <w:uiPriority w:val="0"/>
    <w:rPr>
      <w:b/>
      <w:kern w:val="2"/>
      <w:sz w:val="28"/>
      <w:szCs w:val="28"/>
    </w:rPr>
  </w:style>
  <w:style w:type="character" w:customStyle="1" w:styleId="139">
    <w:name w:val="Char Char9"/>
    <w:qFormat/>
    <w:uiPriority w:val="0"/>
    <w:rPr>
      <w:b/>
      <w:kern w:val="2"/>
      <w:sz w:val="24"/>
      <w:szCs w:val="24"/>
    </w:rPr>
  </w:style>
  <w:style w:type="paragraph" w:customStyle="1" w:styleId="140">
    <w:name w:val="Char Char Char 字元 字元"/>
    <w:basedOn w:val="1"/>
    <w:qFormat/>
    <w:uiPriority w:val="0"/>
    <w:pPr>
      <w:spacing w:line="360" w:lineRule="auto"/>
      <w:ind w:firstLine="200" w:firstLineChars="200"/>
    </w:pPr>
    <w:rPr>
      <w:szCs w:val="20"/>
    </w:rPr>
  </w:style>
  <w:style w:type="paragraph" w:customStyle="1" w:styleId="14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3">
    <w:name w:val="style11"/>
    <w:basedOn w:val="41"/>
    <w:qFormat/>
    <w:uiPriority w:val="0"/>
    <w:rPr>
      <w:b/>
      <w:bCs/>
      <w:color w:val="FF0000"/>
    </w:rPr>
  </w:style>
  <w:style w:type="character" w:customStyle="1" w:styleId="144">
    <w:name w:val="info"/>
    <w:basedOn w:val="41"/>
    <w:qFormat/>
    <w:uiPriority w:val="0"/>
  </w:style>
  <w:style w:type="paragraph" w:customStyle="1" w:styleId="145">
    <w:name w:val="样式 正文缩进 + 首行缩进:  2 字符"/>
    <w:basedOn w:val="4"/>
    <w:link w:val="146"/>
    <w:qFormat/>
    <w:uiPriority w:val="0"/>
    <w:pPr>
      <w:spacing w:line="360" w:lineRule="auto"/>
      <w:ind w:firstLine="480"/>
    </w:pPr>
    <w:rPr>
      <w:rFonts w:ascii="宋体" w:hAnsi="宋体"/>
      <w:color w:val="000000"/>
      <w:kern w:val="0"/>
      <w:sz w:val="24"/>
      <w:szCs w:val="20"/>
    </w:rPr>
  </w:style>
  <w:style w:type="character" w:customStyle="1" w:styleId="146">
    <w:name w:val="样式 正文缩进 + 首行缩进:  2 字符 Char"/>
    <w:link w:val="145"/>
    <w:qFormat/>
    <w:locked/>
    <w:uiPriority w:val="0"/>
    <w:rPr>
      <w:rFonts w:ascii="宋体" w:hAnsi="宋体" w:eastAsia="宋体"/>
      <w:color w:val="000000"/>
      <w:sz w:val="24"/>
      <w:lang w:bidi="ar-SA"/>
    </w:rPr>
  </w:style>
  <w:style w:type="paragraph" w:customStyle="1" w:styleId="147">
    <w:name w:val="正文2"/>
    <w:basedOn w:val="1"/>
    <w:link w:val="148"/>
    <w:qFormat/>
    <w:uiPriority w:val="0"/>
    <w:pPr>
      <w:spacing w:before="156" w:line="360" w:lineRule="auto"/>
      <w:ind w:firstLine="510" w:firstLineChars="200"/>
    </w:pPr>
    <w:rPr>
      <w:sz w:val="24"/>
      <w:szCs w:val="20"/>
    </w:rPr>
  </w:style>
  <w:style w:type="character" w:customStyle="1" w:styleId="148">
    <w:name w:val="正文2 Char"/>
    <w:link w:val="147"/>
    <w:qFormat/>
    <w:uiPriority w:val="0"/>
    <w:rPr>
      <w:rFonts w:eastAsia="宋体"/>
      <w:kern w:val="2"/>
      <w:sz w:val="24"/>
      <w:lang w:val="en-US" w:eastAsia="zh-CN" w:bidi="ar-SA"/>
    </w:rPr>
  </w:style>
  <w:style w:type="paragraph" w:customStyle="1" w:styleId="149">
    <w:name w:val="p0"/>
    <w:basedOn w:val="1"/>
    <w:qFormat/>
    <w:uiPriority w:val="0"/>
    <w:pPr>
      <w:widowControl/>
    </w:pPr>
    <w:rPr>
      <w:kern w:val="0"/>
      <w:szCs w:val="21"/>
    </w:rPr>
  </w:style>
  <w:style w:type="character" w:customStyle="1" w:styleId="150">
    <w:name w:val="正文段 Char"/>
    <w:link w:val="54"/>
    <w:qFormat/>
    <w:uiPriority w:val="0"/>
    <w:rPr>
      <w:rFonts w:eastAsia="宋体"/>
      <w:sz w:val="24"/>
      <w:lang w:val="en-US" w:eastAsia="zh-CN" w:bidi="ar-SA"/>
    </w:rPr>
  </w:style>
  <w:style w:type="paragraph" w:customStyle="1" w:styleId="15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52">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153">
    <w:name w:val="样式5"/>
    <w:basedOn w:val="1"/>
    <w:qFormat/>
    <w:uiPriority w:val="0"/>
    <w:pPr>
      <w:adjustRightInd w:val="0"/>
      <w:spacing w:line="440" w:lineRule="exact"/>
      <w:ind w:left="2" w:firstLine="480" w:firstLineChars="200"/>
    </w:pPr>
    <w:rPr>
      <w:rFonts w:ascii="FangSong_GB2312" w:hAnsi="仿宋" w:eastAsia="FangSong_GB2312"/>
      <w:sz w:val="24"/>
    </w:rPr>
  </w:style>
  <w:style w:type="paragraph" w:customStyle="1" w:styleId="154">
    <w:name w:val="样式4"/>
    <w:basedOn w:val="1"/>
    <w:qFormat/>
    <w:uiPriority w:val="0"/>
    <w:pPr>
      <w:adjustRightInd w:val="0"/>
      <w:spacing w:line="360" w:lineRule="auto"/>
      <w:ind w:firstLine="420"/>
      <w:jc w:val="center"/>
      <w:outlineLvl w:val="2"/>
    </w:pPr>
    <w:rPr>
      <w:rFonts w:ascii="FangSong_GB2312" w:hAnsi="仿宋" w:eastAsia="FangSong_GB2312"/>
      <w:b/>
      <w:sz w:val="32"/>
      <w:szCs w:val="32"/>
    </w:rPr>
  </w:style>
  <w:style w:type="character" w:customStyle="1" w:styleId="155">
    <w:name w:val="日期 Char2"/>
    <w:qFormat/>
    <w:uiPriority w:val="0"/>
    <w:rPr>
      <w:rFonts w:ascii="楷体_GB2312" w:eastAsia="楷体_GB2312"/>
      <w:b/>
      <w:kern w:val="2"/>
      <w:sz w:val="28"/>
      <w:lang w:val="en-US" w:eastAsia="zh-CN" w:bidi="ar-SA"/>
    </w:rPr>
  </w:style>
  <w:style w:type="character" w:customStyle="1" w:styleId="156">
    <w:name w:val="页脚 Char"/>
    <w:link w:val="25"/>
    <w:qFormat/>
    <w:uiPriority w:val="99"/>
    <w:rPr>
      <w:kern w:val="2"/>
      <w:sz w:val="18"/>
      <w:szCs w:val="18"/>
    </w:rPr>
  </w:style>
  <w:style w:type="character" w:customStyle="1" w:styleId="157">
    <w:name w:val="批注框文本 Char"/>
    <w:link w:val="24"/>
    <w:semiHidden/>
    <w:qFormat/>
    <w:uiPriority w:val="99"/>
    <w:rPr>
      <w:kern w:val="2"/>
      <w:sz w:val="18"/>
      <w:szCs w:val="18"/>
    </w:rPr>
  </w:style>
  <w:style w:type="character" w:customStyle="1" w:styleId="158">
    <w:name w:val="正文文本 2 Char1"/>
    <w:qFormat/>
    <w:uiPriority w:val="0"/>
    <w:rPr>
      <w:rFonts w:ascii="隶书" w:eastAsia="隶书"/>
      <w:bCs/>
      <w:sz w:val="72"/>
      <w:szCs w:val="84"/>
      <w:lang w:val="en-US" w:eastAsia="zh-CN" w:bidi="ar-SA"/>
    </w:rPr>
  </w:style>
  <w:style w:type="paragraph" w:customStyle="1" w:styleId="159">
    <w:name w:val="_Style 2"/>
    <w:basedOn w:val="1"/>
    <w:qFormat/>
    <w:uiPriority w:val="0"/>
    <w:pPr>
      <w:widowControl/>
      <w:ind w:firstLine="420"/>
    </w:pPr>
    <w:rPr>
      <w:rFonts w:ascii="Calibri" w:hAnsi="Calibri" w:eastAsia="Calibri"/>
      <w:kern w:val="0"/>
      <w:sz w:val="20"/>
      <w:szCs w:val="20"/>
    </w:rPr>
  </w:style>
  <w:style w:type="paragraph" w:customStyle="1" w:styleId="160">
    <w:name w:val="首行缩进"/>
    <w:basedOn w:val="1"/>
    <w:qFormat/>
    <w:uiPriority w:val="99"/>
    <w:pPr>
      <w:spacing w:line="360" w:lineRule="auto"/>
      <w:ind w:firstLine="480" w:firstLineChars="200"/>
    </w:pPr>
    <w:rPr>
      <w:sz w:val="24"/>
      <w:szCs w:val="22"/>
      <w:lang w:val="zh-CN"/>
    </w:rPr>
  </w:style>
  <w:style w:type="paragraph" w:customStyle="1" w:styleId="161">
    <w:name w:val="纯文本2"/>
    <w:basedOn w:val="1"/>
    <w:qFormat/>
    <w:uiPriority w:val="99"/>
    <w:rPr>
      <w:rFonts w:ascii="宋体" w:hAnsi="Courier New" w:cs="宋体"/>
      <w:kern w:val="0"/>
    </w:rPr>
  </w:style>
  <w:style w:type="character" w:customStyle="1" w:styleId="162">
    <w:name w:val="font61"/>
    <w:qFormat/>
    <w:uiPriority w:val="0"/>
    <w:rPr>
      <w:rFonts w:hint="eastAsia" w:ascii="宋体" w:hAnsi="宋体" w:eastAsia="宋体" w:cs="宋体"/>
      <w:color w:val="000000"/>
      <w:sz w:val="22"/>
      <w:szCs w:val="22"/>
      <w:u w:val="none"/>
    </w:rPr>
  </w:style>
  <w:style w:type="character" w:customStyle="1" w:styleId="163">
    <w:name w:val="font0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6A35F-8557-41AF-96BB-F789E437811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4950</Words>
  <Characters>28216</Characters>
  <Lines>235</Lines>
  <Paragraphs>66</Paragraphs>
  <TotalTime>5</TotalTime>
  <ScaleCrop>false</ScaleCrop>
  <LinksUpToDate>false</LinksUpToDate>
  <CharactersWithSpaces>33100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2020-05-27T00:15:00Z</dcterms:created>
  <dc:creator>USER</dc:creator>
  <cp:lastModifiedBy>lenovo</cp:lastModifiedBy>
  <cp:lastPrinted>2020-06-16T02:59:00Z</cp:lastPrinted>
  <dcterms:modified xsi:type="dcterms:W3CDTF">2021-07-22T08:23:18Z</dcterms:modified>
  <dc:title>绍兴文理学院计算机机房设备及录播系统供货项目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B634EB76F530466AABA841535FE4EBC0</vt:lpwstr>
  </property>
</Properties>
</file>