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BA00BC">
      <w:pPr>
        <w:spacing w:line="360" w:lineRule="auto"/>
        <w:jc w:val="center"/>
        <w:rPr>
          <w:rFonts w:ascii="宋体" w:hAnsi="宋体" w:cs="宋体"/>
          <w:b/>
          <w:color w:val="auto"/>
          <w:sz w:val="24"/>
          <w:highlight w:val="none"/>
        </w:rPr>
      </w:pPr>
    </w:p>
    <w:p w14:paraId="0265FBBC">
      <w:pPr>
        <w:adjustRightInd/>
        <w:spacing w:line="360" w:lineRule="auto"/>
        <w:jc w:val="both"/>
        <w:rPr>
          <w:rFonts w:ascii="宋体" w:hAnsi="宋体" w:cs="宋体"/>
          <w:b/>
          <w:color w:val="auto"/>
          <w:sz w:val="48"/>
          <w:szCs w:val="48"/>
          <w:highlight w:val="none"/>
        </w:rPr>
      </w:pPr>
    </w:p>
    <w:p w14:paraId="135E6B01">
      <w:pPr>
        <w:adjustRightInd/>
        <w:spacing w:line="360" w:lineRule="auto"/>
        <w:jc w:val="center"/>
        <w:rPr>
          <w:rFonts w:hint="eastAsia" w:ascii="宋体" w:hAnsi="宋体" w:cs="宋体"/>
          <w:b/>
          <w:bCs/>
          <w:color w:val="auto"/>
          <w:sz w:val="48"/>
          <w:szCs w:val="48"/>
          <w:highlight w:val="none"/>
          <w:lang w:eastAsia="zh-CN"/>
        </w:rPr>
      </w:pPr>
      <w:r>
        <w:rPr>
          <w:rFonts w:hint="eastAsia" w:ascii="宋体" w:hAnsi="宋体" w:cs="宋体"/>
          <w:b/>
          <w:bCs/>
          <w:color w:val="auto"/>
          <w:sz w:val="48"/>
          <w:szCs w:val="48"/>
          <w:highlight w:val="none"/>
          <w:lang w:eastAsia="zh-CN"/>
        </w:rPr>
        <w:t>杭州市美术职业学校</w:t>
      </w:r>
    </w:p>
    <w:p w14:paraId="785A8BB9">
      <w:pPr>
        <w:adjustRightInd/>
        <w:spacing w:line="360" w:lineRule="auto"/>
        <w:jc w:val="center"/>
        <w:rPr>
          <w:rFonts w:hint="eastAsia" w:ascii="宋体" w:hAnsi="宋体" w:eastAsia="宋体" w:cs="宋体"/>
          <w:b/>
          <w:bCs/>
          <w:color w:val="auto"/>
          <w:sz w:val="48"/>
          <w:szCs w:val="48"/>
          <w:highlight w:val="none"/>
          <w:lang w:eastAsia="zh-CN"/>
        </w:rPr>
      </w:pPr>
      <w:r>
        <w:rPr>
          <w:rFonts w:hint="eastAsia" w:ascii="宋体" w:hAnsi="宋体" w:cs="宋体"/>
          <w:b/>
          <w:bCs/>
          <w:color w:val="auto"/>
          <w:sz w:val="48"/>
          <w:szCs w:val="48"/>
          <w:highlight w:val="none"/>
          <w:lang w:eastAsia="zh-CN"/>
        </w:rPr>
        <w:t>莫干校区实训楼外立面改造项目</w:t>
      </w:r>
    </w:p>
    <w:p w14:paraId="3C0EE632">
      <w:pPr>
        <w:adjustRightInd/>
        <w:spacing w:line="360" w:lineRule="auto"/>
        <w:jc w:val="center"/>
        <w:rPr>
          <w:rFonts w:hint="eastAsia" w:ascii="宋体" w:hAnsi="宋体" w:cs="宋体"/>
          <w:color w:val="auto"/>
          <w:sz w:val="48"/>
          <w:szCs w:val="48"/>
          <w:highlight w:val="none"/>
        </w:rPr>
      </w:pPr>
    </w:p>
    <w:p w14:paraId="08DA4F32">
      <w:pPr>
        <w:adjustRightInd/>
        <w:spacing w:line="360" w:lineRule="auto"/>
        <w:jc w:val="center"/>
        <w:rPr>
          <w:rFonts w:hint="eastAsia" w:ascii="宋体" w:hAnsi="宋体" w:cs="宋体"/>
          <w:color w:val="auto"/>
          <w:sz w:val="48"/>
          <w:szCs w:val="48"/>
          <w:highlight w:val="none"/>
        </w:rPr>
      </w:pPr>
    </w:p>
    <w:p w14:paraId="7438E8F5">
      <w:pPr>
        <w:adjustRightInd/>
        <w:spacing w:line="360" w:lineRule="auto"/>
        <w:jc w:val="center"/>
        <w:rPr>
          <w:rFonts w:ascii="宋体" w:hAnsi="宋体" w:cs="宋体"/>
          <w:color w:val="auto"/>
          <w:sz w:val="72"/>
          <w:szCs w:val="72"/>
          <w:highlight w:val="none"/>
        </w:rPr>
      </w:pPr>
      <w:r>
        <w:rPr>
          <w:rFonts w:hint="eastAsia" w:ascii="宋体" w:hAnsi="宋体" w:cs="宋体"/>
          <w:color w:val="auto"/>
          <w:sz w:val="72"/>
          <w:szCs w:val="72"/>
          <w:highlight w:val="none"/>
        </w:rPr>
        <w:t>竞争性磋商文件</w:t>
      </w:r>
    </w:p>
    <w:p w14:paraId="0CAAAD0A">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（电子交易）</w:t>
      </w:r>
    </w:p>
    <w:p w14:paraId="32FC7AD9">
      <w:pPr>
        <w:snapToGrid w:val="0"/>
        <w:spacing w:line="360" w:lineRule="auto"/>
        <w:jc w:val="center"/>
        <w:rPr>
          <w:rFonts w:hint="eastAsia" w:ascii="宋体" w:hAnsi="宋体" w:cs="宋体"/>
          <w:color w:val="auto"/>
          <w:sz w:val="30"/>
          <w:szCs w:val="30"/>
          <w:highlight w:val="none"/>
          <w:lang w:val="en-US" w:eastAsia="zh-CN"/>
        </w:rPr>
      </w:pPr>
    </w:p>
    <w:p w14:paraId="2CB58F8B">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lang w:val="en-US" w:eastAsia="zh-CN"/>
        </w:rPr>
        <w:t>项目</w:t>
      </w: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：ZYZB-CS-2025-014</w:t>
      </w:r>
    </w:p>
    <w:p w14:paraId="23456AA6">
      <w:pPr>
        <w:adjustRightInd/>
        <w:spacing w:line="360" w:lineRule="auto"/>
        <w:rPr>
          <w:rFonts w:ascii="宋体" w:hAnsi="宋体" w:cs="宋体"/>
          <w:color w:val="auto"/>
          <w:sz w:val="28"/>
          <w:szCs w:val="20"/>
          <w:highlight w:val="none"/>
        </w:rPr>
      </w:pPr>
    </w:p>
    <w:p w14:paraId="3E4C498B">
      <w:pPr>
        <w:spacing w:line="360" w:lineRule="auto"/>
        <w:jc w:val="both"/>
        <w:rPr>
          <w:rFonts w:hint="eastAsia"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BF6CA00">
      <w:pPr>
        <w:pStyle w:val="79"/>
        <w:rPr>
          <w:color w:val="auto"/>
          <w:highlight w:val="none"/>
        </w:rPr>
      </w:pPr>
    </w:p>
    <w:p w14:paraId="51DCDC19">
      <w:pPr>
        <w:spacing w:line="360" w:lineRule="auto"/>
        <w:jc w:val="center"/>
        <w:rPr>
          <w:rFonts w:ascii="宋体" w:hAnsi="宋体" w:cs="宋体"/>
          <w:color w:val="auto"/>
          <w:sz w:val="24"/>
          <w:highlight w:val="none"/>
        </w:rPr>
      </w:pPr>
    </w:p>
    <w:p w14:paraId="56F3A1EF">
      <w:pPr>
        <w:spacing w:line="360" w:lineRule="auto"/>
        <w:rPr>
          <w:rFonts w:ascii="宋体" w:hAnsi="宋体" w:cs="宋体"/>
          <w:color w:val="auto"/>
          <w:sz w:val="32"/>
          <w:szCs w:val="32"/>
          <w:highlight w:val="none"/>
        </w:rPr>
      </w:pPr>
    </w:p>
    <w:p w14:paraId="0605B1A8">
      <w:pPr>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杭州市美术职业学校</w:t>
      </w:r>
    </w:p>
    <w:p w14:paraId="0C2BA263">
      <w:pPr>
        <w:snapToGrid w:val="0"/>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杭州洲源招标代理有限公司</w:t>
      </w:r>
    </w:p>
    <w:p w14:paraId="2790106B">
      <w:pPr>
        <w:snapToGrid w:val="0"/>
        <w:spacing w:line="360" w:lineRule="auto"/>
        <w:jc w:val="center"/>
        <w:rPr>
          <w:rFonts w:hint="default" w:ascii="宋体" w:hAnsi="宋体" w:eastAsia="宋体" w:cs="宋体"/>
          <w:bCs/>
          <w:color w:val="auto"/>
          <w:sz w:val="32"/>
          <w:szCs w:val="32"/>
          <w:highlight w:val="none"/>
          <w:lang w:val="en-US" w:eastAsia="zh-CN"/>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二十七日</w:t>
      </w:r>
    </w:p>
    <w:p w14:paraId="4D89A131">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166C51AC">
      <w:pPr>
        <w:spacing w:line="360" w:lineRule="auto"/>
        <w:jc w:val="center"/>
        <w:rPr>
          <w:rFonts w:ascii="宋体" w:hAnsi="宋体" w:cs="宋体"/>
          <w:color w:val="auto"/>
          <w:sz w:val="24"/>
          <w:highlight w:val="none"/>
        </w:rPr>
      </w:pPr>
    </w:p>
    <w:p w14:paraId="69206666">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0AB8072C">
      <w:pPr>
        <w:spacing w:line="360" w:lineRule="auto"/>
        <w:rPr>
          <w:rFonts w:ascii="宋体" w:hAnsi="宋体" w:cs="宋体"/>
          <w:color w:val="auto"/>
          <w:sz w:val="32"/>
          <w:szCs w:val="32"/>
          <w:highlight w:val="none"/>
        </w:rPr>
      </w:pPr>
    </w:p>
    <w:p w14:paraId="149FFEE5">
      <w:pPr>
        <w:spacing w:line="360" w:lineRule="auto"/>
        <w:rPr>
          <w:rFonts w:ascii="宋体" w:hAnsi="宋体" w:cs="宋体"/>
          <w:color w:val="auto"/>
          <w:sz w:val="32"/>
          <w:szCs w:val="32"/>
          <w:highlight w:val="none"/>
        </w:rPr>
      </w:pPr>
    </w:p>
    <w:p w14:paraId="28A94D7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竞争性磋商公告</w:t>
      </w:r>
    </w:p>
    <w:p w14:paraId="2F6ED8C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供应商须知</w:t>
      </w:r>
    </w:p>
    <w:p w14:paraId="644F5A0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56088C1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评审办法</w:t>
      </w:r>
    </w:p>
    <w:p w14:paraId="447E43E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2EEBEAF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79B3D938">
      <w:pPr>
        <w:spacing w:line="360" w:lineRule="auto"/>
        <w:ind w:firstLine="1280" w:firstLineChars="400"/>
        <w:rPr>
          <w:rFonts w:ascii="宋体" w:hAnsi="宋体" w:cs="宋体"/>
          <w:color w:val="auto"/>
          <w:sz w:val="32"/>
          <w:szCs w:val="32"/>
          <w:highlight w:val="none"/>
        </w:rPr>
      </w:pPr>
    </w:p>
    <w:p w14:paraId="32203399">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268DB31A">
      <w:pPr>
        <w:spacing w:line="360" w:lineRule="auto"/>
        <w:ind w:firstLine="549" w:firstLineChars="229"/>
        <w:rPr>
          <w:rFonts w:ascii="宋体" w:hAnsi="宋体" w:cs="宋体"/>
          <w:color w:val="auto"/>
          <w:sz w:val="24"/>
          <w:highlight w:val="none"/>
        </w:rPr>
      </w:pPr>
    </w:p>
    <w:p w14:paraId="0837D0AD">
      <w:pPr>
        <w:spacing w:line="360" w:lineRule="auto"/>
        <w:ind w:firstLine="549" w:firstLineChars="229"/>
        <w:rPr>
          <w:rFonts w:ascii="宋体" w:hAnsi="宋体" w:cs="宋体"/>
          <w:color w:val="auto"/>
          <w:sz w:val="24"/>
          <w:highlight w:val="none"/>
        </w:rPr>
      </w:pPr>
    </w:p>
    <w:p w14:paraId="64827849">
      <w:pPr>
        <w:spacing w:line="360" w:lineRule="auto"/>
        <w:ind w:firstLine="549" w:firstLineChars="229"/>
        <w:rPr>
          <w:rFonts w:ascii="宋体" w:hAnsi="宋体" w:cs="宋体"/>
          <w:color w:val="auto"/>
          <w:sz w:val="24"/>
          <w:highlight w:val="none"/>
        </w:rPr>
      </w:pPr>
    </w:p>
    <w:p w14:paraId="5717F3CB">
      <w:pPr>
        <w:spacing w:line="360" w:lineRule="auto"/>
        <w:ind w:firstLine="549" w:firstLineChars="229"/>
        <w:rPr>
          <w:rFonts w:ascii="宋体" w:hAnsi="宋体" w:cs="宋体"/>
          <w:color w:val="auto"/>
          <w:sz w:val="24"/>
          <w:highlight w:val="none"/>
        </w:rPr>
      </w:pPr>
    </w:p>
    <w:p w14:paraId="22940BBD">
      <w:pPr>
        <w:spacing w:line="360" w:lineRule="auto"/>
        <w:ind w:firstLine="549" w:firstLineChars="229"/>
        <w:rPr>
          <w:rFonts w:ascii="宋体" w:hAnsi="宋体" w:cs="宋体"/>
          <w:color w:val="auto"/>
          <w:sz w:val="24"/>
          <w:highlight w:val="none"/>
        </w:rPr>
      </w:pPr>
    </w:p>
    <w:p w14:paraId="69C2AFFA">
      <w:pPr>
        <w:spacing w:line="360" w:lineRule="auto"/>
        <w:ind w:firstLine="549" w:firstLineChars="229"/>
        <w:rPr>
          <w:rFonts w:ascii="宋体" w:hAnsi="宋体" w:cs="宋体"/>
          <w:color w:val="auto"/>
          <w:sz w:val="24"/>
          <w:highlight w:val="none"/>
        </w:rPr>
      </w:pPr>
    </w:p>
    <w:p w14:paraId="58A289A1">
      <w:pPr>
        <w:spacing w:line="360" w:lineRule="auto"/>
        <w:ind w:firstLine="549" w:firstLineChars="229"/>
        <w:rPr>
          <w:rFonts w:ascii="宋体" w:hAnsi="宋体" w:cs="宋体"/>
          <w:color w:val="auto"/>
          <w:sz w:val="24"/>
          <w:highlight w:val="none"/>
        </w:rPr>
      </w:pPr>
    </w:p>
    <w:p w14:paraId="304E7B25">
      <w:pPr>
        <w:spacing w:line="360" w:lineRule="auto"/>
        <w:ind w:firstLine="549" w:firstLineChars="229"/>
        <w:rPr>
          <w:rFonts w:ascii="宋体" w:hAnsi="宋体" w:cs="宋体"/>
          <w:color w:val="auto"/>
          <w:sz w:val="24"/>
          <w:highlight w:val="none"/>
        </w:rPr>
      </w:pPr>
    </w:p>
    <w:p w14:paraId="59CA7670">
      <w:pPr>
        <w:spacing w:line="360" w:lineRule="auto"/>
        <w:ind w:firstLine="549" w:firstLineChars="229"/>
        <w:rPr>
          <w:rFonts w:ascii="宋体" w:hAnsi="宋体" w:cs="宋体"/>
          <w:color w:val="auto"/>
          <w:sz w:val="24"/>
          <w:highlight w:val="none"/>
        </w:rPr>
      </w:pPr>
    </w:p>
    <w:p w14:paraId="47ED0CBD">
      <w:pPr>
        <w:spacing w:line="360" w:lineRule="auto"/>
        <w:ind w:firstLine="549" w:firstLineChars="229"/>
        <w:rPr>
          <w:rFonts w:ascii="宋体" w:hAnsi="宋体" w:cs="宋体"/>
          <w:color w:val="auto"/>
          <w:sz w:val="24"/>
          <w:highlight w:val="none"/>
        </w:rPr>
      </w:pPr>
    </w:p>
    <w:p w14:paraId="4DEF1EAE">
      <w:pPr>
        <w:spacing w:line="360" w:lineRule="auto"/>
        <w:ind w:firstLine="549" w:firstLineChars="229"/>
        <w:rPr>
          <w:rFonts w:ascii="宋体" w:hAnsi="宋体" w:cs="宋体"/>
          <w:color w:val="auto"/>
          <w:sz w:val="24"/>
          <w:highlight w:val="none"/>
        </w:rPr>
      </w:pPr>
    </w:p>
    <w:p w14:paraId="4E9D1947">
      <w:pPr>
        <w:spacing w:line="360" w:lineRule="auto"/>
        <w:ind w:firstLine="549" w:firstLineChars="229"/>
        <w:rPr>
          <w:rFonts w:ascii="宋体" w:hAnsi="宋体" w:cs="宋体"/>
          <w:color w:val="auto"/>
          <w:sz w:val="24"/>
          <w:highlight w:val="none"/>
        </w:rPr>
      </w:pPr>
    </w:p>
    <w:p w14:paraId="7A09CB9C">
      <w:pPr>
        <w:spacing w:line="360" w:lineRule="auto"/>
        <w:rPr>
          <w:rFonts w:ascii="宋体" w:hAnsi="宋体" w:cs="宋体"/>
          <w:color w:val="auto"/>
          <w:sz w:val="24"/>
          <w:highlight w:val="none"/>
        </w:rPr>
      </w:pPr>
    </w:p>
    <w:p w14:paraId="193F9031">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29822"/>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竞争性磋商公告</w:t>
      </w:r>
    </w:p>
    <w:p w14:paraId="65E83FE8">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1A93539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none"/>
        </w:rPr>
      </w:pPr>
      <w:r>
        <w:rPr>
          <w:rFonts w:hint="eastAsia" w:ascii="宋体" w:hAnsi="宋体" w:cs="宋体"/>
          <w:color w:val="auto"/>
          <w:sz w:val="24"/>
          <w:highlight w:val="none"/>
          <w:u w:val="none"/>
          <w:lang w:eastAsia="zh-CN"/>
        </w:rPr>
        <w:t>杭州市美术职业学校莫干校区实训楼外立面改造项目</w:t>
      </w:r>
      <w:r>
        <w:rPr>
          <w:rFonts w:hint="eastAsia" w:ascii="宋体" w:hAnsi="宋体" w:cs="宋体"/>
          <w:color w:val="auto"/>
          <w:sz w:val="24"/>
          <w:highlight w:val="none"/>
          <w:u w:val="none"/>
        </w:rPr>
        <w:t>采购项目的潜在供应商应在政采云平台（</w:t>
      </w:r>
      <w:r>
        <w:rPr>
          <w:color w:val="auto"/>
          <w:highlight w:val="none"/>
          <w:u w:val="none"/>
        </w:rPr>
        <w:fldChar w:fldCharType="begin"/>
      </w:r>
      <w:r>
        <w:rPr>
          <w:color w:val="auto"/>
          <w:highlight w:val="none"/>
          <w:u w:val="none"/>
        </w:rPr>
        <w:instrText xml:space="preserve"> HYPERLINK "https://www.zcygov.cn/）获取（下载）招标文件，并于2021年" </w:instrText>
      </w:r>
      <w:r>
        <w:rPr>
          <w:color w:val="auto"/>
          <w:highlight w:val="none"/>
          <w:u w:val="none"/>
        </w:rPr>
        <w:fldChar w:fldCharType="separate"/>
      </w:r>
      <w:r>
        <w:rPr>
          <w:rStyle w:val="76"/>
          <w:rFonts w:hint="eastAsia" w:ascii="宋体" w:hAnsi="宋体" w:eastAsia="宋体" w:cs="宋体"/>
          <w:snapToGrid/>
          <w:color w:val="auto"/>
          <w:kern w:val="2"/>
          <w:sz w:val="24"/>
          <w:szCs w:val="24"/>
          <w:highlight w:val="none"/>
          <w:u w:val="none"/>
        </w:rPr>
        <w:t>https://www.zcygov.cn/）获取采购文件，并于</w:t>
      </w:r>
      <w:r>
        <w:rPr>
          <w:rFonts w:hint="eastAsia" w:ascii="宋体" w:hAnsi="宋体" w:cs="宋体"/>
          <w:color w:val="FF0000"/>
          <w:sz w:val="24"/>
          <w:highlight w:val="none"/>
          <w:u w:val="none"/>
        </w:rPr>
        <w:t>202</w:t>
      </w:r>
      <w:r>
        <w:rPr>
          <w:rFonts w:hint="eastAsia" w:ascii="宋体" w:hAnsi="宋体" w:cs="宋体"/>
          <w:color w:val="FF0000"/>
          <w:sz w:val="24"/>
          <w:highlight w:val="none"/>
          <w:u w:val="none"/>
          <w:lang w:val="en-US" w:eastAsia="zh-CN"/>
        </w:rPr>
        <w:t>5</w:t>
      </w:r>
      <w:r>
        <w:rPr>
          <w:rFonts w:hint="eastAsia" w:ascii="宋体" w:hAnsi="宋体" w:cs="宋体"/>
          <w:color w:val="FF0000"/>
          <w:sz w:val="24"/>
          <w:highlight w:val="none"/>
          <w:u w:val="none"/>
        </w:rPr>
        <w:t>年</w:t>
      </w:r>
      <w:r>
        <w:rPr>
          <w:rFonts w:hint="eastAsia" w:ascii="宋体" w:hAnsi="宋体" w:cs="宋体"/>
          <w:color w:val="FF0000"/>
          <w:sz w:val="24"/>
          <w:highlight w:val="none"/>
          <w:u w:val="none"/>
          <w:lang w:val="en-US" w:eastAsia="zh-CN"/>
        </w:rPr>
        <w:t>07</w:t>
      </w:r>
      <w:r>
        <w:rPr>
          <w:rFonts w:hint="eastAsia" w:ascii="宋体" w:hAnsi="宋体" w:cs="宋体"/>
          <w:color w:val="FF0000"/>
          <w:sz w:val="24"/>
          <w:highlight w:val="none"/>
          <w:u w:val="none"/>
        </w:rPr>
        <w:t>月</w:t>
      </w:r>
      <w:r>
        <w:rPr>
          <w:rFonts w:hint="eastAsia" w:ascii="宋体" w:hAnsi="宋体" w:cs="宋体"/>
          <w:color w:val="FF0000"/>
          <w:sz w:val="24"/>
          <w:highlight w:val="none"/>
          <w:u w:val="none"/>
          <w:lang w:val="en-US" w:eastAsia="zh-CN"/>
        </w:rPr>
        <w:t>08</w:t>
      </w:r>
      <w:r>
        <w:rPr>
          <w:rFonts w:hint="eastAsia" w:ascii="宋体" w:hAnsi="宋体" w:cs="宋体"/>
          <w:color w:val="FF0000"/>
          <w:sz w:val="24"/>
          <w:highlight w:val="none"/>
          <w:u w:val="none"/>
        </w:rPr>
        <w:t>日</w:t>
      </w:r>
      <w:r>
        <w:rPr>
          <w:rFonts w:hint="eastAsia" w:ascii="宋体" w:hAnsi="宋体" w:cs="宋体"/>
          <w:color w:val="FF0000"/>
          <w:sz w:val="24"/>
          <w:highlight w:val="none"/>
          <w:u w:val="none"/>
          <w:lang w:val="en-US" w:eastAsia="zh-CN"/>
        </w:rPr>
        <w:t>13</w:t>
      </w:r>
      <w:r>
        <w:rPr>
          <w:rFonts w:hint="eastAsia" w:ascii="宋体" w:hAnsi="宋体" w:cs="宋体"/>
          <w:color w:val="FF0000"/>
          <w:sz w:val="24"/>
          <w:highlight w:val="none"/>
          <w:u w:val="none"/>
          <w:lang w:eastAsia="zh-CN"/>
        </w:rPr>
        <w:t>：</w:t>
      </w:r>
      <w:r>
        <w:rPr>
          <w:rFonts w:hint="eastAsia" w:ascii="宋体" w:hAnsi="宋体" w:cs="宋体"/>
          <w:bCs/>
          <w:color w:val="auto"/>
          <w:sz w:val="24"/>
          <w:highlight w:val="none"/>
          <w:u w:val="none"/>
        </w:rPr>
        <w:fldChar w:fldCharType="end"/>
      </w:r>
      <w:r>
        <w:rPr>
          <w:rFonts w:hint="eastAsia" w:ascii="宋体" w:hAnsi="宋体" w:cs="宋体"/>
          <w:bCs/>
          <w:color w:val="FF0000"/>
          <w:sz w:val="24"/>
          <w:highlight w:val="none"/>
          <w:u w:val="none"/>
          <w:lang w:val="en-US" w:eastAsia="zh-CN"/>
        </w:rPr>
        <w:t>00</w:t>
      </w:r>
      <w:r>
        <w:rPr>
          <w:rFonts w:hint="eastAsia" w:ascii="宋体" w:hAnsi="宋体" w:cs="宋体"/>
          <w:bCs/>
          <w:color w:val="auto"/>
          <w:sz w:val="24"/>
          <w:highlight w:val="none"/>
          <w:u w:val="none"/>
        </w:rPr>
        <w:t>（北京时间）前</w:t>
      </w:r>
      <w:r>
        <w:rPr>
          <w:rFonts w:hint="eastAsia" w:ascii="宋体" w:hAnsi="宋体" w:cs="宋体"/>
          <w:color w:val="auto"/>
          <w:sz w:val="24"/>
          <w:highlight w:val="none"/>
          <w:u w:val="none"/>
        </w:rPr>
        <w:t>提交（上传）响应文件。</w:t>
      </w:r>
    </w:p>
    <w:p w14:paraId="484FC99F">
      <w:pPr>
        <w:spacing w:line="360" w:lineRule="auto"/>
        <w:rPr>
          <w:rFonts w:hint="eastAsia" w:ascii="宋体" w:hAnsi="宋体" w:cs="宋体"/>
          <w:b/>
          <w:color w:val="auto"/>
          <w:sz w:val="24"/>
          <w:highlight w:val="none"/>
        </w:rPr>
      </w:pPr>
    </w:p>
    <w:p w14:paraId="10C008DF">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7EAE872A">
      <w:pPr>
        <w:snapToGrid w:val="0"/>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ZYZB-CS-2025-014</w:t>
      </w:r>
    </w:p>
    <w:p w14:paraId="72FF3BEF">
      <w:pPr>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项目名称：</w:t>
      </w:r>
      <w:r>
        <w:rPr>
          <w:rFonts w:hint="eastAsia" w:ascii="宋体" w:hAnsi="宋体" w:cs="宋体"/>
          <w:color w:val="auto"/>
          <w:sz w:val="24"/>
          <w:highlight w:val="none"/>
          <w:lang w:eastAsia="zh-CN"/>
        </w:rPr>
        <w:t>杭州市美术职业学校莫干校区实训楼外立面改造项目</w:t>
      </w:r>
    </w:p>
    <w:p w14:paraId="3136FDD2">
      <w:pPr>
        <w:snapToGrid w:val="0"/>
        <w:spacing w:line="360" w:lineRule="auto"/>
        <w:ind w:firstLine="482" w:firstLineChars="200"/>
        <w:rPr>
          <w:rFonts w:hint="default" w:ascii="宋体" w:hAnsi="宋体" w:cs="宋体"/>
          <w:color w:val="auto"/>
          <w:sz w:val="24"/>
          <w:highlight w:val="none"/>
          <w:lang w:val="en-US"/>
        </w:rPr>
      </w:pPr>
      <w:r>
        <w:rPr>
          <w:rFonts w:hint="eastAsia" w:ascii="宋体" w:hAnsi="宋体" w:cs="宋体"/>
          <w:b/>
          <w:color w:val="auto"/>
          <w:sz w:val="24"/>
          <w:highlight w:val="none"/>
        </w:rPr>
        <w:t>预算金额（元）：</w:t>
      </w:r>
      <w:r>
        <w:rPr>
          <w:rFonts w:hint="eastAsia" w:ascii="宋体" w:hAnsi="宋体" w:cs="宋体"/>
          <w:b w:val="0"/>
          <w:bCs/>
          <w:color w:val="auto"/>
          <w:sz w:val="24"/>
          <w:highlight w:val="none"/>
          <w:lang w:val="en-US" w:eastAsia="zh-CN"/>
        </w:rPr>
        <w:t>1080000</w:t>
      </w:r>
    </w:p>
    <w:p w14:paraId="4169AEC3">
      <w:pPr>
        <w:snapToGrid w:val="0"/>
        <w:spacing w:line="360" w:lineRule="auto"/>
        <w:ind w:firstLine="482" w:firstLineChars="200"/>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1080000</w:t>
      </w:r>
    </w:p>
    <w:p w14:paraId="6E0B0474">
      <w:pPr>
        <w:pStyle w:val="6"/>
        <w:spacing w:line="360" w:lineRule="auto"/>
        <w:ind w:firstLine="482" w:firstLineChars="200"/>
        <w:rPr>
          <w:rFonts w:hint="eastAsia" w:hAnsi="宋体" w:cs="宋体"/>
          <w:b/>
          <w:color w:val="auto"/>
          <w:sz w:val="24"/>
          <w:highlight w:val="none"/>
        </w:rPr>
      </w:pPr>
      <w:r>
        <w:rPr>
          <w:rFonts w:hint="eastAsia" w:hAnsi="宋体" w:cs="宋体"/>
          <w:b/>
          <w:color w:val="auto"/>
          <w:sz w:val="24"/>
          <w:highlight w:val="none"/>
        </w:rPr>
        <w:t>采购需求：</w:t>
      </w:r>
    </w:p>
    <w:p w14:paraId="3B1CB9E0">
      <w:pPr>
        <w:pStyle w:val="25"/>
        <w:spacing w:line="360" w:lineRule="auto"/>
        <w:rPr>
          <w:rFonts w:hint="eastAsia" w:cs="宋体"/>
          <w:color w:val="auto"/>
          <w:highlight w:val="none"/>
        </w:rPr>
      </w:pPr>
    </w:p>
    <w:p w14:paraId="58B3CADA">
      <w:pPr>
        <w:pStyle w:val="25"/>
        <w:spacing w:line="360" w:lineRule="auto"/>
        <w:rPr>
          <w:rFonts w:cs="宋体"/>
          <w:color w:val="auto"/>
          <w:highlight w:val="none"/>
        </w:rPr>
      </w:pPr>
      <w:r>
        <w:rPr>
          <w:rFonts w:hint="eastAsia" w:cs="宋体"/>
          <w:color w:val="auto"/>
          <w:highlight w:val="none"/>
        </w:rPr>
        <w:t>数量：1</w:t>
      </w:r>
    </w:p>
    <w:p w14:paraId="4257725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预算金额（元）：</w:t>
      </w:r>
      <w:r>
        <w:rPr>
          <w:rFonts w:hint="eastAsia" w:ascii="宋体" w:hAnsi="宋体" w:cs="宋体"/>
          <w:b w:val="0"/>
          <w:bCs/>
          <w:color w:val="auto"/>
          <w:sz w:val="24"/>
          <w:highlight w:val="none"/>
          <w:lang w:val="en-US" w:eastAsia="zh-CN"/>
        </w:rPr>
        <w:t>1080000</w:t>
      </w:r>
      <w:r>
        <w:rPr>
          <w:rFonts w:hint="eastAsia" w:ascii="宋体" w:hAnsi="宋体" w:cs="宋体"/>
          <w:b w:val="0"/>
          <w:bCs/>
          <w:color w:val="auto"/>
          <w:sz w:val="24"/>
          <w:highlight w:val="none"/>
        </w:rPr>
        <w:t xml:space="preserve"> </w:t>
      </w:r>
      <w:r>
        <w:rPr>
          <w:rFonts w:hint="eastAsia" w:ascii="宋体" w:hAnsi="宋体" w:cs="宋体"/>
          <w:color w:val="auto"/>
          <w:sz w:val="24"/>
          <w:highlight w:val="none"/>
        </w:rPr>
        <w:t xml:space="preserve"> </w:t>
      </w:r>
    </w:p>
    <w:p w14:paraId="47B4AB02">
      <w:pPr>
        <w:pStyle w:val="25"/>
        <w:spacing w:line="360" w:lineRule="auto"/>
        <w:rPr>
          <w:rFonts w:hint="eastAsia" w:cs="宋体"/>
          <w:color w:val="auto"/>
          <w:highlight w:val="none"/>
        </w:rPr>
      </w:pPr>
      <w:r>
        <w:rPr>
          <w:rFonts w:hint="eastAsia" w:cs="宋体"/>
          <w:color w:val="auto"/>
          <w:highlight w:val="none"/>
        </w:rPr>
        <w:t>单位：项</w:t>
      </w:r>
    </w:p>
    <w:p w14:paraId="1E805E04">
      <w:pPr>
        <w:pStyle w:val="25"/>
        <w:spacing w:line="360" w:lineRule="auto"/>
        <w:rPr>
          <w:rFonts w:hAnsi="宋体" w:cs="宋体"/>
          <w:bCs/>
          <w:snapToGrid/>
          <w:color w:val="auto"/>
          <w:kern w:val="2"/>
          <w:sz w:val="24"/>
          <w:szCs w:val="24"/>
          <w:highlight w:val="none"/>
        </w:rPr>
      </w:pPr>
      <w:r>
        <w:rPr>
          <w:rFonts w:hint="eastAsia" w:ascii="宋体" w:hAnsi="宋体" w:cs="宋体"/>
          <w:color w:val="auto"/>
          <w:sz w:val="24"/>
          <w:highlight w:val="none"/>
        </w:rPr>
        <w:t>简要规格描述：</w:t>
      </w:r>
      <w:r>
        <w:rPr>
          <w:rFonts w:hint="eastAsia" w:cs="宋体"/>
          <w:b w:val="0"/>
          <w:bCs/>
          <w:color w:val="auto"/>
          <w:sz w:val="24"/>
          <w:highlight w:val="none"/>
          <w:lang w:eastAsia="zh-CN"/>
        </w:rPr>
        <w:t>杭州市美术职业学校莫干校区实训楼外立面改造项目，</w:t>
      </w:r>
      <w:r>
        <w:rPr>
          <w:rFonts w:hint="eastAsia" w:hAnsi="宋体" w:cs="宋体"/>
          <w:bCs/>
          <w:snapToGrid/>
          <w:color w:val="auto"/>
          <w:kern w:val="2"/>
          <w:sz w:val="24"/>
          <w:szCs w:val="24"/>
          <w:highlight w:val="none"/>
        </w:rPr>
        <w:t>主要内容</w:t>
      </w:r>
      <w:r>
        <w:rPr>
          <w:rFonts w:hint="eastAsia" w:cs="宋体"/>
          <w:bCs/>
          <w:snapToGrid/>
          <w:color w:val="auto"/>
          <w:kern w:val="2"/>
          <w:sz w:val="24"/>
          <w:szCs w:val="24"/>
          <w:highlight w:val="none"/>
          <w:lang w:val="en-US" w:eastAsia="zh-CN"/>
        </w:rPr>
        <w:t>为实训楼外立面改造，实训楼四层舞蹈室装修等，</w:t>
      </w:r>
      <w:r>
        <w:rPr>
          <w:rFonts w:hint="eastAsia" w:hAnsi="宋体" w:cs="宋体"/>
          <w:bCs/>
          <w:snapToGrid/>
          <w:color w:val="auto"/>
          <w:kern w:val="2"/>
          <w:sz w:val="24"/>
          <w:szCs w:val="24"/>
          <w:highlight w:val="none"/>
        </w:rPr>
        <w:t>详见采购文件第三部分采购需求。</w:t>
      </w:r>
    </w:p>
    <w:p w14:paraId="75068916">
      <w:pPr>
        <w:pStyle w:val="131"/>
        <w:snapToGrid w:val="0"/>
        <w:spacing w:before="0"/>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val="0"/>
          <w:bCs/>
          <w:color w:val="auto"/>
          <w:highlight w:val="none"/>
        </w:rPr>
        <w:t>合同签订接采购人开工通知后</w:t>
      </w:r>
      <w:r>
        <w:rPr>
          <w:rFonts w:hint="eastAsia" w:ascii="宋体" w:hAnsi="宋体" w:cs="宋体"/>
          <w:b w:val="0"/>
          <w:bCs/>
          <w:color w:val="auto"/>
          <w:highlight w:val="none"/>
          <w:lang w:val="en-US" w:eastAsia="zh-CN"/>
        </w:rPr>
        <w:t>40</w:t>
      </w:r>
      <w:r>
        <w:rPr>
          <w:rFonts w:hint="eastAsia" w:ascii="宋体" w:hAnsi="宋体" w:cs="宋体"/>
          <w:b w:val="0"/>
          <w:bCs/>
          <w:color w:val="auto"/>
          <w:highlight w:val="none"/>
        </w:rPr>
        <w:t>日历天内完成工程施工。</w:t>
      </w:r>
    </w:p>
    <w:p w14:paraId="186B3000">
      <w:pPr>
        <w:pStyle w:val="6"/>
        <w:spacing w:line="360" w:lineRule="auto"/>
        <w:ind w:firstLine="482" w:firstLineChars="200"/>
        <w:rPr>
          <w:rFonts w:hAnsi="宋体" w:cs="宋体"/>
          <w:b/>
          <w:color w:val="auto"/>
          <w:sz w:val="24"/>
          <w:highlight w:val="none"/>
        </w:rPr>
      </w:pPr>
      <w:r>
        <w:rPr>
          <w:rFonts w:hint="eastAsia" w:hAnsi="宋体" w:cs="宋体"/>
          <w:b/>
          <w:color w:val="auto"/>
          <w:sz w:val="24"/>
          <w:highlight w:val="none"/>
        </w:rPr>
        <w:t>本项目接受联合体：</w:t>
      </w:r>
    </w:p>
    <w:p w14:paraId="364757A8">
      <w:pPr>
        <w:pStyle w:val="6"/>
        <w:spacing w:line="360" w:lineRule="auto"/>
        <w:ind w:firstLine="480" w:firstLineChars="200"/>
        <w:rPr>
          <w:rFonts w:hAnsi="宋体" w:cs="宋体"/>
          <w:b w:val="0"/>
          <w:bCs w:val="0"/>
          <w:color w:val="auto"/>
          <w:sz w:val="24"/>
          <w:highlight w:val="none"/>
        </w:rPr>
      </w:pPr>
      <w:sdt>
        <w:sdtPr>
          <w:rPr>
            <w:rFonts w:hint="eastAsia" w:hAnsi="宋体" w:cs="宋体"/>
            <w:b w:val="0"/>
            <w:bCs w:val="0"/>
            <w:color w:val="auto"/>
            <w:kern w:val="0"/>
            <w:sz w:val="24"/>
            <w:highlight w:val="none"/>
          </w:rPr>
          <w:id w:val="2035453831"/>
          <w14:checkbox>
            <w14:checked w14:val="0"/>
            <w14:checkedState w14:val="00FE" w14:font="Wingdings"/>
            <w14:uncheckedState w14:val="2610" w14:font="MS Gothic"/>
          </w14:checkbox>
        </w:sdtPr>
        <w:sdtEndPr>
          <w:rPr>
            <w:rFonts w:hint="eastAsia" w:hAnsi="宋体" w:cs="宋体"/>
            <w:b w:val="0"/>
            <w:bCs w:val="0"/>
            <w:color w:val="auto"/>
            <w:kern w:val="0"/>
            <w:sz w:val="24"/>
            <w:highlight w:val="none"/>
          </w:rPr>
        </w:sdtEndPr>
        <w:sdtContent>
          <w:r>
            <w:rPr>
              <w:rFonts w:ascii="MS Gothic" w:hAnsi="MS Gothic" w:eastAsia="宋体" w:cs="宋体"/>
              <w:b w:val="0"/>
              <w:bCs w:val="0"/>
              <w:snapToGrid w:val="0"/>
              <w:color w:val="auto"/>
              <w:kern w:val="0"/>
              <w:sz w:val="24"/>
              <w:szCs w:val="20"/>
              <w:highlight w:val="none"/>
              <w:lang w:val="en-US" w:eastAsia="zh-CN" w:bidi="ar-SA"/>
            </w:rPr>
            <w:t>☐</w:t>
          </w:r>
        </w:sdtContent>
      </w:sdt>
      <w:r>
        <w:rPr>
          <w:rFonts w:hint="eastAsia" w:hAnsi="宋体" w:cs="宋体"/>
          <w:b w:val="0"/>
          <w:bCs w:val="0"/>
          <w:color w:val="auto"/>
          <w:sz w:val="24"/>
          <w:highlight w:val="none"/>
        </w:rPr>
        <w:t>是；</w:t>
      </w:r>
    </w:p>
    <w:p w14:paraId="50005FA6">
      <w:pPr>
        <w:pStyle w:val="6"/>
        <w:spacing w:line="360" w:lineRule="auto"/>
        <w:ind w:firstLine="480" w:firstLineChars="200"/>
        <w:rPr>
          <w:rFonts w:hAnsi="宋体" w:cs="宋体"/>
          <w:color w:val="auto"/>
          <w:kern w:val="0"/>
          <w:sz w:val="24"/>
          <w:highlight w:val="none"/>
        </w:rPr>
      </w:pPr>
      <w:sdt>
        <w:sdtPr>
          <w:rPr>
            <w:rFonts w:hint="eastAsia" w:hAnsi="宋体" w:cs="宋体"/>
            <w:color w:val="auto"/>
            <w:kern w:val="0"/>
            <w:sz w:val="24"/>
            <w:highlight w:val="none"/>
          </w:rPr>
          <w:id w:val="87168129"/>
          <w14:checkbox>
            <w14:checked w14:val="1"/>
            <w14:checkedState w14:val="00FE" w14:font="Wingdings"/>
            <w14:uncheckedState w14:val="2610" w14:font="MS Gothic"/>
          </w14:checkbox>
        </w:sdtPr>
        <w:sdtEndPr>
          <w:rPr>
            <w:rFonts w:hint="eastAsia" w:hAnsi="宋体" w:cs="宋体"/>
            <w:b/>
            <w:bCs/>
            <w:color w:val="auto"/>
            <w:kern w:val="0"/>
            <w:sz w:val="24"/>
            <w:highlight w:val="none"/>
          </w:rPr>
        </w:sdtEndPr>
        <w:sdtContent>
          <w:r>
            <w:rPr>
              <w:rFonts w:ascii="Wingdings" w:hAnsi="Wingdings" w:eastAsia="宋体" w:cs="宋体"/>
              <w:b/>
              <w:bCs/>
              <w:snapToGrid w:val="0"/>
              <w:color w:val="auto"/>
              <w:kern w:val="0"/>
              <w:sz w:val="24"/>
              <w:szCs w:val="20"/>
              <w:highlight w:val="none"/>
              <w:lang w:val="en-US" w:eastAsia="zh-CN" w:bidi="ar-SA"/>
            </w:rPr>
            <w:t>þ</w:t>
          </w:r>
        </w:sdtContent>
      </w:sdt>
      <w:r>
        <w:rPr>
          <w:rFonts w:hint="eastAsia" w:hAnsi="宋体" w:cs="宋体"/>
          <w:b/>
          <w:bCs/>
          <w:color w:val="auto"/>
          <w:sz w:val="24"/>
          <w:highlight w:val="none"/>
        </w:rPr>
        <w:t>否</w:t>
      </w:r>
      <w:r>
        <w:rPr>
          <w:rFonts w:hint="eastAsia" w:hAnsi="宋体" w:cs="宋体"/>
          <w:b/>
          <w:bCs/>
          <w:color w:val="auto"/>
          <w:kern w:val="0"/>
          <w:sz w:val="24"/>
          <w:highlight w:val="none"/>
        </w:rPr>
        <w:t>。</w:t>
      </w:r>
    </w:p>
    <w:p w14:paraId="747F547A">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0280512E">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0431C9F2">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以联合体形式参与的，提供联合协议(本项目不接受联合体或者供应商不以联合体形式参与的，则不需要提供) ；</w:t>
      </w:r>
    </w:p>
    <w:p w14:paraId="4FEA58A7">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07520AEC">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无；</w:t>
      </w:r>
    </w:p>
    <w:p w14:paraId="4F02E5AF">
      <w:pPr>
        <w:spacing w:line="360" w:lineRule="auto"/>
        <w:ind w:firstLine="482" w:firstLineChars="200"/>
        <w:rPr>
          <w:rFonts w:ascii="宋体" w:hAnsi="宋体" w:cs="宋体"/>
          <w:b/>
          <w:bCs/>
          <w:color w:val="auto"/>
          <w:sz w:val="24"/>
          <w:highlight w:val="none"/>
        </w:rPr>
      </w:pPr>
      <w:sdt>
        <w:sdtPr>
          <w:rPr>
            <w:rFonts w:hint="eastAsia" w:ascii="宋体" w:hAnsi="宋体" w:cs="宋体"/>
            <w:b/>
            <w:bCs/>
            <w:color w:val="auto"/>
            <w:kern w:val="0"/>
            <w:sz w:val="24"/>
            <w:highlight w:val="none"/>
          </w:rPr>
          <w:id w:val="609159493"/>
          <w14:checkbox>
            <w14:checked w14:val="1"/>
            <w14:checkedState w14:val="00FE" w14:font="Wingdings"/>
            <w14:uncheckedState w14:val="2610" w14:font="MS Gothic"/>
          </w14:checkbox>
        </w:sdtPr>
        <w:sdtEndPr>
          <w:rPr>
            <w:rFonts w:hint="eastAsia" w:ascii="宋体" w:hAnsi="宋体" w:cs="宋体"/>
            <w:b/>
            <w:bCs/>
            <w:color w:val="auto"/>
            <w:kern w:val="0"/>
            <w:sz w:val="24"/>
            <w:highlight w:val="none"/>
          </w:rPr>
        </w:sdtEndPr>
        <w:sdtContent>
          <w:r>
            <w:rPr>
              <w:rFonts w:hint="eastAsia" w:ascii="宋体" w:hAnsi="宋体" w:cs="宋体"/>
              <w:b/>
              <w:bCs/>
              <w:color w:val="auto"/>
              <w:kern w:val="0"/>
              <w:sz w:val="24"/>
              <w:highlight w:val="none"/>
            </w:rPr>
            <w:sym w:font="Wingdings" w:char="F0FE"/>
          </w:r>
        </w:sdtContent>
      </w:sdt>
      <w:r>
        <w:rPr>
          <w:rFonts w:hint="eastAsia" w:ascii="宋体" w:hAnsi="宋体" w:cs="宋体"/>
          <w:b/>
          <w:bCs/>
          <w:color w:val="auto"/>
          <w:kern w:val="0"/>
          <w:sz w:val="24"/>
          <w:highlight w:val="none"/>
        </w:rPr>
        <w:t>专</w:t>
      </w:r>
      <w:r>
        <w:rPr>
          <w:rFonts w:hint="eastAsia" w:ascii="宋体" w:hAnsi="宋体" w:cs="宋体"/>
          <w:b/>
          <w:bCs/>
          <w:color w:val="auto"/>
          <w:sz w:val="24"/>
          <w:highlight w:val="none"/>
        </w:rPr>
        <w:t>门面向中小企业</w:t>
      </w:r>
    </w:p>
    <w:p w14:paraId="7618A5BF">
      <w:pPr>
        <w:spacing w:line="360" w:lineRule="auto"/>
        <w:ind w:firstLine="897" w:firstLineChars="374"/>
        <w:rPr>
          <w:rFonts w:ascii="宋体" w:hAnsi="宋体" w:cs="宋体"/>
          <w:b w:val="0"/>
          <w:bCs w:val="0"/>
          <w:color w:val="auto"/>
          <w:sz w:val="24"/>
          <w:highlight w:val="none"/>
          <w:u w:val="single"/>
        </w:rPr>
      </w:pPr>
      <w:sdt>
        <w:sdtPr>
          <w:rPr>
            <w:rFonts w:hint="eastAsia" w:ascii="宋体" w:hAnsi="宋体" w:cs="宋体"/>
            <w:b w:val="0"/>
            <w:bCs w:val="0"/>
            <w:color w:val="auto"/>
            <w:kern w:val="0"/>
            <w:sz w:val="24"/>
            <w:highlight w:val="none"/>
          </w:rPr>
          <w:id w:val="228163809"/>
          <w14:checkbox>
            <w14:checked w14:val="0"/>
            <w14:checkedState w14:val="00FE" w14:font="Wingdings"/>
            <w14:uncheckedState w14:val="2610" w14:font="MS Gothic"/>
          </w14:checkbox>
        </w:sdtPr>
        <w:sdtEndPr>
          <w:rPr>
            <w:rFonts w:hint="eastAsia" w:ascii="宋体" w:hAnsi="宋体" w:cs="宋体"/>
            <w:b w:val="0"/>
            <w:bCs w:val="0"/>
            <w:color w:val="auto"/>
            <w:kern w:val="0"/>
            <w:sz w:val="24"/>
            <w:highlight w:val="none"/>
          </w:rPr>
        </w:sdtEndPr>
        <w:sdtContent>
          <w:r>
            <w:rPr>
              <w:rFonts w:hint="eastAsia" w:ascii="MS Gothic" w:hAnsi="MS Gothic" w:eastAsia="宋体" w:cs="宋体"/>
              <w:b w:val="0"/>
              <w:bCs w:val="0"/>
              <w:color w:val="auto"/>
              <w:kern w:val="0"/>
              <w:sz w:val="24"/>
              <w:szCs w:val="24"/>
              <w:highlight w:val="none"/>
              <w:lang w:val="en-US" w:eastAsia="zh-CN" w:bidi="ar-SA"/>
            </w:rPr>
            <w:t>☐</w:t>
          </w:r>
        </w:sdtContent>
      </w:sdt>
      <w:r>
        <w:rPr>
          <w:rFonts w:hint="eastAsia" w:ascii="宋体" w:hAnsi="宋体" w:cs="宋体"/>
          <w:b w:val="0"/>
          <w:bCs w:val="0"/>
          <w:color w:val="auto"/>
          <w:sz w:val="24"/>
          <w:highlight w:val="none"/>
        </w:rPr>
        <w:t>工程全部由符合政策要求的中小企业承建，提供中小企业声明函；</w:t>
      </w:r>
    </w:p>
    <w:p w14:paraId="320E3D8F">
      <w:pPr>
        <w:spacing w:line="360" w:lineRule="auto"/>
        <w:ind w:firstLine="901" w:firstLineChars="374"/>
        <w:rPr>
          <w:rFonts w:ascii="宋体" w:hAnsi="宋体" w:cs="宋体"/>
          <w:b/>
          <w:bCs/>
          <w:color w:val="auto"/>
          <w:sz w:val="24"/>
          <w:highlight w:val="none"/>
        </w:rPr>
      </w:pPr>
      <w:sdt>
        <w:sdtPr>
          <w:rPr>
            <w:rFonts w:hint="eastAsia" w:ascii="宋体" w:hAnsi="宋体" w:cs="宋体"/>
            <w:b/>
            <w:bCs/>
            <w:color w:val="auto"/>
            <w:kern w:val="0"/>
            <w:sz w:val="24"/>
            <w:highlight w:val="none"/>
          </w:rPr>
          <w:id w:val="701143851"/>
          <w14:checkbox>
            <w14:checked w14:val="1"/>
            <w14:checkedState w14:val="00FE" w14:font="Wingdings"/>
            <w14:uncheckedState w14:val="2610" w14:font="MS Gothic"/>
          </w14:checkbox>
        </w:sdtPr>
        <w:sdtEndPr>
          <w:rPr>
            <w:rFonts w:hint="eastAsia" w:ascii="宋体" w:hAnsi="宋体" w:cs="宋体"/>
            <w:b/>
            <w:bCs/>
            <w:color w:val="auto"/>
            <w:kern w:val="0"/>
            <w:sz w:val="24"/>
            <w:highlight w:val="none"/>
          </w:rPr>
        </w:sdtEndPr>
        <w:sdtContent>
          <w:r>
            <w:rPr>
              <w:rFonts w:hint="eastAsia" w:ascii="Wingdings" w:hAnsi="Wingdings" w:eastAsia="宋体" w:cs="宋体"/>
              <w:b/>
              <w:bCs/>
              <w:color w:val="auto"/>
              <w:kern w:val="0"/>
              <w:sz w:val="24"/>
              <w:szCs w:val="24"/>
              <w:highlight w:val="none"/>
              <w:lang w:val="en-US" w:eastAsia="zh-CN" w:bidi="ar-SA"/>
            </w:rPr>
            <w:t>þ</w:t>
          </w:r>
        </w:sdtContent>
      </w:sdt>
      <w:r>
        <w:rPr>
          <w:rFonts w:hint="eastAsia" w:ascii="宋体" w:hAnsi="宋体" w:cs="宋体"/>
          <w:b/>
          <w:bCs/>
          <w:color w:val="auto"/>
          <w:sz w:val="24"/>
          <w:highlight w:val="none"/>
        </w:rPr>
        <w:t>工程全部由符合政策要求的小微企业承建，提供中小企业声明函；</w:t>
      </w:r>
    </w:p>
    <w:p w14:paraId="5ACDAC15">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392801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如果供应商本身提供所有标的均由中小企业承建，并相应达到了前述比例要求，视同符合了资格条件，无需再与其他中小企业组成联合体参加政府采购活动，无需提供联合协议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2"/>
    <w:p w14:paraId="581A4D0B">
      <w:pPr>
        <w:spacing w:line="360" w:lineRule="auto"/>
        <w:ind w:firstLine="480" w:firstLineChars="200"/>
        <w:rPr>
          <w:rFonts w:hint="eastAsia" w:ascii="宋体" w:hAnsi="宋体" w:eastAsia="宋体" w:cs="宋体"/>
          <w:color w:val="auto"/>
          <w:sz w:val="24"/>
          <w:highlight w:val="none"/>
          <w:lang w:eastAsia="zh-CN"/>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如果供应商本身提供所有标的均由中小企业承建，并相应达到了前述比例要求，视同符合了资格条件，无需再向中小企业分包，无需提供分包意向协议</w:t>
      </w:r>
      <w:r>
        <w:rPr>
          <w:rFonts w:hint="eastAsia" w:ascii="宋体" w:hAnsi="宋体" w:cs="宋体"/>
          <w:color w:val="auto"/>
          <w:sz w:val="24"/>
          <w:highlight w:val="none"/>
          <w:lang w:eastAsia="zh-CN"/>
        </w:rPr>
        <w:t>。</w:t>
      </w:r>
    </w:p>
    <w:p w14:paraId="0D5FFD5A">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2CAF18C4">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lang w:val="en-US" w:eastAsia="zh-CN"/>
        </w:rPr>
        <w:t>无。</w:t>
      </w:r>
    </w:p>
    <w:p w14:paraId="57A55F6B">
      <w:pPr>
        <w:snapToGrid w:val="0"/>
        <w:spacing w:line="360" w:lineRule="auto"/>
        <w:ind w:firstLine="482" w:firstLineChars="200"/>
        <w:rPr>
          <w:rFonts w:hint="eastAsia" w:ascii="宋体" w:hAnsi="宋体" w:cs="宋体"/>
          <w:b/>
          <w:bCs/>
          <w:color w:val="auto"/>
          <w:sz w:val="24"/>
          <w:highlight w:val="none"/>
        </w:rPr>
      </w:pPr>
      <w:sdt>
        <w:sdtPr>
          <w:rPr>
            <w:rFonts w:hint="eastAsia" w:ascii="宋体" w:hAnsi="宋体" w:cs="宋体"/>
            <w:b/>
            <w:bCs/>
            <w:color w:val="auto"/>
            <w:kern w:val="0"/>
            <w:sz w:val="24"/>
            <w:highlight w:val="none"/>
          </w:rPr>
          <w:id w:val="900648444"/>
          <w14:checkbox>
            <w14:checked w14:val="1"/>
            <w14:checkedState w14:val="00FE" w14:font="Wingdings"/>
            <w14:uncheckedState w14:val="2610" w14:font="MS Gothic"/>
          </w14:checkbox>
        </w:sdtPr>
        <w:sdtEndPr>
          <w:rPr>
            <w:rFonts w:hint="eastAsia" w:ascii="宋体" w:hAnsi="宋体" w:cs="宋体"/>
            <w:b/>
            <w:bCs/>
            <w:color w:val="auto"/>
            <w:kern w:val="0"/>
            <w:sz w:val="24"/>
            <w:highlight w:val="none"/>
          </w:rPr>
        </w:sdtEndPr>
        <w:sdtContent>
          <w:r>
            <w:rPr>
              <w:rFonts w:hint="eastAsia" w:ascii="Wingdings" w:hAnsi="Wingdings" w:eastAsia="MS Gothic" w:cs="宋体"/>
              <w:b/>
              <w:bCs/>
              <w:color w:val="auto"/>
              <w:kern w:val="0"/>
              <w:sz w:val="24"/>
              <w:szCs w:val="24"/>
              <w:highlight w:val="none"/>
              <w:lang w:val="en-US" w:eastAsia="zh-CN" w:bidi="ar-SA"/>
            </w:rPr>
            <w:t>þ</w:t>
          </w:r>
        </w:sdtContent>
      </w:sdt>
      <w:r>
        <w:rPr>
          <w:rFonts w:hint="eastAsia" w:ascii="宋体" w:hAnsi="宋体" w:cs="宋体"/>
          <w:b/>
          <w:bCs/>
          <w:color w:val="auto"/>
          <w:sz w:val="24"/>
          <w:highlight w:val="none"/>
        </w:rPr>
        <w:t>有特定资格要求：</w:t>
      </w:r>
    </w:p>
    <w:p w14:paraId="0448FE65">
      <w:pPr>
        <w:numPr>
          <w:ilvl w:val="0"/>
          <w:numId w:val="1"/>
        </w:numPr>
        <w:snapToGrid w:val="0"/>
        <w:spacing w:line="360" w:lineRule="auto"/>
        <w:ind w:firstLine="482" w:firstLineChars="200"/>
        <w:rPr>
          <w:rFonts w:hint="eastAsia" w:ascii="宋体" w:hAnsi="宋体" w:cs="宋体"/>
          <w:b/>
          <w:bCs/>
          <w:color w:val="auto"/>
          <w:sz w:val="24"/>
          <w:highlight w:val="none"/>
          <w:u w:val="single"/>
          <w:lang w:eastAsia="zh-CN"/>
        </w:rPr>
      </w:pPr>
      <w:r>
        <w:rPr>
          <w:rFonts w:hint="eastAsia" w:ascii="宋体" w:hAnsi="宋体" w:cs="宋体"/>
          <w:b/>
          <w:bCs/>
          <w:color w:val="auto"/>
          <w:sz w:val="24"/>
          <w:highlight w:val="none"/>
          <w:u w:val="single"/>
          <w:lang w:eastAsia="zh-CN"/>
        </w:rPr>
        <w:t>具备建筑工程施工总承包三级及以上资质，</w:t>
      </w:r>
      <w:r>
        <w:rPr>
          <w:rFonts w:hint="eastAsia" w:ascii="宋体" w:hAnsi="宋体" w:cs="宋体"/>
          <w:b/>
          <w:bCs/>
          <w:color w:val="auto"/>
          <w:sz w:val="24"/>
          <w:highlight w:val="none"/>
        </w:rPr>
        <w:t>该特定条件的法律法规依据：</w:t>
      </w:r>
      <w:r>
        <w:rPr>
          <w:rFonts w:hint="eastAsia" w:ascii="宋体" w:hAnsi="宋体" w:cs="宋体"/>
          <w:b/>
          <w:bCs/>
          <w:color w:val="auto"/>
          <w:sz w:val="24"/>
          <w:highlight w:val="none"/>
          <w:u w:val="single"/>
        </w:rPr>
        <w:t>《中华人民共和国建筑法》</w:t>
      </w:r>
      <w:r>
        <w:rPr>
          <w:rFonts w:hint="eastAsia" w:ascii="宋体" w:hAnsi="宋体" w:cs="宋体"/>
          <w:b/>
          <w:bCs/>
          <w:color w:val="auto"/>
          <w:sz w:val="24"/>
          <w:highlight w:val="none"/>
          <w:u w:val="single"/>
          <w:lang w:eastAsia="zh-CN"/>
        </w:rPr>
        <w:t>、</w:t>
      </w:r>
      <w:r>
        <w:rPr>
          <w:rFonts w:hint="eastAsia" w:ascii="宋体" w:hAnsi="宋体" w:cs="宋体"/>
          <w:b/>
          <w:bCs/>
          <w:color w:val="auto"/>
          <w:sz w:val="24"/>
          <w:highlight w:val="none"/>
          <w:u w:val="single"/>
        </w:rPr>
        <w:t>《建筑业企业资质管理规定》</w:t>
      </w:r>
      <w:r>
        <w:rPr>
          <w:rFonts w:hint="eastAsia" w:ascii="宋体" w:hAnsi="宋体" w:cs="宋体"/>
          <w:b/>
          <w:bCs/>
          <w:color w:val="auto"/>
          <w:sz w:val="24"/>
          <w:highlight w:val="none"/>
          <w:u w:val="none"/>
          <w:lang w:eastAsia="zh-CN"/>
        </w:rPr>
        <w:t>；</w:t>
      </w:r>
    </w:p>
    <w:p w14:paraId="64A8BDF7">
      <w:pPr>
        <w:numPr>
          <w:ilvl w:val="0"/>
          <w:numId w:val="1"/>
        </w:numPr>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u w:val="single"/>
          <w:lang w:val="en-US" w:eastAsia="zh-CN"/>
        </w:rPr>
        <w:t>有效期内的《安全生产许可证》，</w:t>
      </w:r>
      <w:r>
        <w:rPr>
          <w:rFonts w:hint="eastAsia" w:ascii="宋体" w:hAnsi="宋体" w:cs="宋体"/>
          <w:b/>
          <w:bCs/>
          <w:color w:val="auto"/>
          <w:sz w:val="24"/>
          <w:highlight w:val="none"/>
        </w:rPr>
        <w:t>该特定条件的法律法规依据：</w:t>
      </w:r>
      <w:r>
        <w:rPr>
          <w:rFonts w:hint="eastAsia" w:ascii="宋体" w:hAnsi="宋体" w:cs="宋体"/>
          <w:b/>
          <w:bCs/>
          <w:color w:val="auto"/>
          <w:sz w:val="24"/>
          <w:highlight w:val="none"/>
          <w:u w:val="single"/>
        </w:rPr>
        <w:t>《安全生产许可证条例》(国务院令第397号)</w:t>
      </w:r>
      <w:r>
        <w:rPr>
          <w:rFonts w:hint="eastAsia" w:ascii="宋体" w:hAnsi="宋体" w:cs="宋体"/>
          <w:b/>
          <w:bCs/>
          <w:color w:val="auto"/>
          <w:sz w:val="24"/>
          <w:highlight w:val="none"/>
        </w:rPr>
        <w:t>。</w:t>
      </w:r>
    </w:p>
    <w:p w14:paraId="3951214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B1D2FB7">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三、获取采购文件 </w:t>
      </w:r>
    </w:p>
    <w:p w14:paraId="3D0F8F1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至</w:t>
      </w:r>
      <w:r>
        <w:rPr>
          <w:rFonts w:hint="eastAsia" w:ascii="宋体" w:hAnsi="宋体" w:cs="宋体"/>
          <w:color w:val="auto"/>
          <w:sz w:val="24"/>
          <w:highlight w:val="none"/>
          <w:u w:val="none"/>
        </w:rPr>
        <w:t>202</w:t>
      </w:r>
      <w:r>
        <w:rPr>
          <w:rFonts w:hint="eastAsia" w:ascii="宋体" w:hAnsi="宋体" w:cs="宋体"/>
          <w:color w:val="auto"/>
          <w:sz w:val="24"/>
          <w:highlight w:val="none"/>
          <w:u w:val="none"/>
          <w:lang w:val="en-US" w:eastAsia="zh-CN"/>
        </w:rPr>
        <w:t>5</w:t>
      </w:r>
      <w:r>
        <w:rPr>
          <w:rFonts w:hint="eastAsia" w:ascii="宋体" w:hAnsi="宋体" w:cs="宋体"/>
          <w:color w:val="auto"/>
          <w:sz w:val="24"/>
          <w:highlight w:val="none"/>
          <w:u w:val="none"/>
        </w:rPr>
        <w:t>年</w:t>
      </w:r>
      <w:r>
        <w:rPr>
          <w:rFonts w:hint="eastAsia" w:ascii="宋体" w:hAnsi="宋体" w:cs="宋体"/>
          <w:color w:val="auto"/>
          <w:sz w:val="24"/>
          <w:highlight w:val="none"/>
          <w:u w:val="none"/>
          <w:lang w:val="en-US" w:eastAsia="zh-CN"/>
        </w:rPr>
        <w:t>07</w:t>
      </w:r>
      <w:r>
        <w:rPr>
          <w:rFonts w:hint="eastAsia" w:ascii="宋体" w:hAnsi="宋体" w:cs="宋体"/>
          <w:color w:val="auto"/>
          <w:sz w:val="24"/>
          <w:highlight w:val="none"/>
          <w:u w:val="none"/>
        </w:rPr>
        <w:t>月</w:t>
      </w:r>
      <w:r>
        <w:rPr>
          <w:rFonts w:hint="eastAsia" w:ascii="宋体" w:hAnsi="宋体" w:cs="宋体"/>
          <w:color w:val="auto"/>
          <w:sz w:val="24"/>
          <w:highlight w:val="none"/>
          <w:u w:val="none"/>
          <w:lang w:val="en-US" w:eastAsia="zh-CN"/>
        </w:rPr>
        <w:t>08</w:t>
      </w:r>
      <w:r>
        <w:rPr>
          <w:rFonts w:hint="eastAsia" w:ascii="宋体" w:hAnsi="宋体" w:cs="宋体"/>
          <w:color w:val="auto"/>
          <w:sz w:val="24"/>
          <w:highlight w:val="none"/>
          <w:u w:val="non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0166AD8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2B68CD7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0167C069">
      <w:pPr>
        <w:spacing w:line="360" w:lineRule="auto"/>
        <w:ind w:firstLine="482" w:firstLineChars="200"/>
        <w:rPr>
          <w:rFonts w:ascii="宋体" w:hAnsi="宋体" w:cs="宋体"/>
          <w:color w:val="auto"/>
          <w:sz w:val="24"/>
          <w:highlight w:val="none"/>
          <w:u w:val="none"/>
        </w:rPr>
      </w:pPr>
      <w:r>
        <w:rPr>
          <w:rFonts w:hint="eastAsia" w:ascii="宋体" w:hAnsi="宋体" w:cs="宋体"/>
          <w:b/>
          <w:color w:val="auto"/>
          <w:sz w:val="24"/>
          <w:highlight w:val="none"/>
        </w:rPr>
        <w:t>售价（元）：</w:t>
      </w:r>
      <w:r>
        <w:rPr>
          <w:rFonts w:hint="eastAsia" w:ascii="宋体" w:hAnsi="宋体" w:cs="宋体"/>
          <w:color w:val="auto"/>
          <w:sz w:val="24"/>
          <w:highlight w:val="none"/>
        </w:rPr>
        <w:t>0</w:t>
      </w:r>
      <w:r>
        <w:rPr>
          <w:rFonts w:hint="eastAsia" w:ascii="宋体" w:hAnsi="宋体" w:cs="宋体"/>
          <w:color w:val="auto"/>
          <w:sz w:val="24"/>
          <w:highlight w:val="none"/>
          <w:u w:val="none"/>
        </w:rPr>
        <w:t xml:space="preserve"> </w:t>
      </w:r>
      <w:r>
        <w:rPr>
          <w:rFonts w:hint="eastAsia" w:ascii="宋体" w:hAnsi="宋体" w:cs="宋体"/>
          <w:color w:val="auto"/>
          <w:sz w:val="24"/>
          <w:highlight w:val="none"/>
          <w:u w:val="none"/>
        </w:rPr>
        <w:tab/>
      </w:r>
    </w:p>
    <w:p w14:paraId="52A6FE6C">
      <w:pPr>
        <w:spacing w:line="360" w:lineRule="auto"/>
        <w:rPr>
          <w:rFonts w:ascii="宋体" w:hAnsi="宋体" w:cs="宋体"/>
          <w:b/>
          <w:color w:val="auto"/>
          <w:sz w:val="24"/>
          <w:highlight w:val="none"/>
          <w:u w:val="none"/>
        </w:rPr>
      </w:pPr>
      <w:r>
        <w:rPr>
          <w:rFonts w:hint="eastAsia" w:ascii="宋体" w:hAnsi="宋体" w:cs="宋体"/>
          <w:b/>
          <w:color w:val="auto"/>
          <w:sz w:val="24"/>
          <w:highlight w:val="none"/>
          <w:u w:val="none"/>
        </w:rPr>
        <w:t>四、响应文件提交（上传）</w:t>
      </w:r>
    </w:p>
    <w:p w14:paraId="0DDA381C">
      <w:pPr>
        <w:spacing w:line="360" w:lineRule="auto"/>
        <w:ind w:firstLine="482" w:firstLineChars="200"/>
        <w:rPr>
          <w:rFonts w:ascii="宋体" w:hAnsi="宋体" w:cs="宋体"/>
          <w:color w:val="auto"/>
          <w:sz w:val="24"/>
          <w:highlight w:val="none"/>
          <w:u w:val="none"/>
        </w:rPr>
      </w:pPr>
      <w:r>
        <w:rPr>
          <w:rFonts w:hint="eastAsia" w:ascii="宋体" w:hAnsi="宋体" w:cs="宋体"/>
          <w:b/>
          <w:color w:val="auto"/>
          <w:sz w:val="24"/>
          <w:highlight w:val="none"/>
          <w:u w:val="none"/>
        </w:rPr>
        <w:t>截止时间：</w:t>
      </w:r>
      <w:r>
        <w:rPr>
          <w:rFonts w:hint="eastAsia" w:ascii="宋体" w:hAnsi="宋体" w:cs="宋体"/>
          <w:color w:val="FF0000"/>
          <w:sz w:val="24"/>
          <w:highlight w:val="none"/>
          <w:u w:val="none"/>
        </w:rPr>
        <w:t>202</w:t>
      </w:r>
      <w:r>
        <w:rPr>
          <w:rFonts w:hint="eastAsia" w:ascii="宋体" w:hAnsi="宋体" w:cs="宋体"/>
          <w:color w:val="FF0000"/>
          <w:sz w:val="24"/>
          <w:highlight w:val="none"/>
          <w:u w:val="none"/>
          <w:lang w:val="en-US" w:eastAsia="zh-CN"/>
        </w:rPr>
        <w:t>5</w:t>
      </w:r>
      <w:r>
        <w:rPr>
          <w:rFonts w:hint="eastAsia" w:ascii="宋体" w:hAnsi="宋体" w:cs="宋体"/>
          <w:color w:val="FF0000"/>
          <w:sz w:val="24"/>
          <w:highlight w:val="none"/>
          <w:u w:val="none"/>
        </w:rPr>
        <w:t>年</w:t>
      </w:r>
      <w:r>
        <w:rPr>
          <w:rFonts w:hint="eastAsia" w:ascii="宋体" w:hAnsi="宋体" w:cs="宋体"/>
          <w:color w:val="FF0000"/>
          <w:sz w:val="24"/>
          <w:highlight w:val="none"/>
          <w:u w:val="none"/>
          <w:lang w:val="en-US" w:eastAsia="zh-CN"/>
        </w:rPr>
        <w:t>07</w:t>
      </w:r>
      <w:r>
        <w:rPr>
          <w:rFonts w:hint="eastAsia" w:ascii="宋体" w:hAnsi="宋体" w:cs="宋体"/>
          <w:color w:val="FF0000"/>
          <w:sz w:val="24"/>
          <w:highlight w:val="none"/>
          <w:u w:val="none"/>
        </w:rPr>
        <w:t>月</w:t>
      </w:r>
      <w:r>
        <w:rPr>
          <w:rFonts w:hint="eastAsia" w:ascii="宋体" w:hAnsi="宋体" w:cs="宋体"/>
          <w:color w:val="FF0000"/>
          <w:sz w:val="24"/>
          <w:highlight w:val="none"/>
          <w:u w:val="none"/>
          <w:lang w:val="en-US" w:eastAsia="zh-CN"/>
        </w:rPr>
        <w:t>08</w:t>
      </w:r>
      <w:r>
        <w:rPr>
          <w:rFonts w:hint="eastAsia" w:ascii="宋体" w:hAnsi="宋体" w:cs="宋体"/>
          <w:color w:val="FF0000"/>
          <w:sz w:val="24"/>
          <w:highlight w:val="none"/>
          <w:u w:val="none"/>
        </w:rPr>
        <w:t xml:space="preserve">日 </w:t>
      </w:r>
      <w:r>
        <w:rPr>
          <w:rFonts w:hint="eastAsia" w:ascii="宋体" w:hAnsi="宋体" w:cs="宋体"/>
          <w:color w:val="FF0000"/>
          <w:sz w:val="24"/>
          <w:highlight w:val="none"/>
          <w:u w:val="none"/>
          <w:lang w:val="en-US" w:eastAsia="zh-CN"/>
        </w:rPr>
        <w:t>13:00</w:t>
      </w:r>
      <w:r>
        <w:rPr>
          <w:rFonts w:hint="eastAsia" w:ascii="宋体" w:hAnsi="宋体" w:cs="宋体"/>
          <w:color w:val="auto"/>
          <w:sz w:val="24"/>
          <w:highlight w:val="none"/>
          <w:u w:val="none"/>
        </w:rPr>
        <w:t>（北京时间）</w:t>
      </w:r>
    </w:p>
    <w:p w14:paraId="02653E2E">
      <w:pPr>
        <w:spacing w:line="360" w:lineRule="auto"/>
        <w:ind w:firstLine="482" w:firstLineChars="200"/>
        <w:rPr>
          <w:rFonts w:ascii="宋体" w:hAnsi="宋体" w:cs="宋体"/>
          <w:b/>
          <w:color w:val="auto"/>
          <w:sz w:val="24"/>
          <w:highlight w:val="none"/>
          <w:u w:val="none"/>
        </w:rPr>
      </w:pPr>
      <w:r>
        <w:rPr>
          <w:rFonts w:hint="eastAsia" w:ascii="宋体" w:hAnsi="宋体" w:cs="宋体"/>
          <w:b/>
          <w:color w:val="auto"/>
          <w:sz w:val="24"/>
          <w:highlight w:val="none"/>
          <w:u w:val="none"/>
        </w:rPr>
        <w:t>地点（网址）：</w:t>
      </w:r>
      <w:r>
        <w:rPr>
          <w:rFonts w:hint="eastAsia" w:ascii="宋体" w:hAnsi="宋体" w:cs="宋体"/>
          <w:color w:val="auto"/>
          <w:sz w:val="24"/>
          <w:highlight w:val="none"/>
          <w:u w:val="none"/>
        </w:rPr>
        <w:t xml:space="preserve">政采云平台（https://www.zcygov.cn/） </w:t>
      </w:r>
    </w:p>
    <w:p w14:paraId="5103B0D9">
      <w:pPr>
        <w:spacing w:line="360" w:lineRule="auto"/>
        <w:rPr>
          <w:rFonts w:ascii="宋体" w:hAnsi="宋体" w:cs="宋体"/>
          <w:color w:val="auto"/>
          <w:sz w:val="24"/>
          <w:highlight w:val="none"/>
          <w:u w:val="none"/>
        </w:rPr>
      </w:pPr>
      <w:r>
        <w:rPr>
          <w:rFonts w:hint="eastAsia" w:ascii="宋体" w:hAnsi="宋体" w:cs="宋体"/>
          <w:b/>
          <w:color w:val="auto"/>
          <w:sz w:val="24"/>
          <w:highlight w:val="none"/>
          <w:u w:val="none"/>
        </w:rPr>
        <w:t xml:space="preserve">五、响应文件开启 </w:t>
      </w:r>
    </w:p>
    <w:p w14:paraId="12309512">
      <w:pPr>
        <w:spacing w:line="360" w:lineRule="auto"/>
        <w:ind w:firstLine="482" w:firstLineChars="200"/>
        <w:rPr>
          <w:rFonts w:ascii="宋体" w:hAnsi="宋体" w:cs="宋体"/>
          <w:bCs/>
          <w:color w:val="auto"/>
          <w:sz w:val="24"/>
          <w:highlight w:val="none"/>
          <w:u w:val="none"/>
        </w:rPr>
      </w:pPr>
      <w:r>
        <w:rPr>
          <w:rFonts w:hint="eastAsia" w:ascii="宋体" w:hAnsi="宋体" w:cs="宋体"/>
          <w:b/>
          <w:color w:val="auto"/>
          <w:sz w:val="24"/>
          <w:highlight w:val="none"/>
          <w:u w:val="none"/>
        </w:rPr>
        <w:t>开启时间：</w:t>
      </w:r>
      <w:r>
        <w:rPr>
          <w:rFonts w:hint="eastAsia" w:ascii="宋体" w:hAnsi="宋体" w:cs="宋体"/>
          <w:color w:val="FF0000"/>
          <w:sz w:val="24"/>
          <w:highlight w:val="none"/>
          <w:u w:val="none"/>
        </w:rPr>
        <w:t>202</w:t>
      </w:r>
      <w:r>
        <w:rPr>
          <w:rFonts w:hint="eastAsia" w:ascii="宋体" w:hAnsi="宋体" w:cs="宋体"/>
          <w:color w:val="FF0000"/>
          <w:sz w:val="24"/>
          <w:highlight w:val="none"/>
          <w:u w:val="none"/>
          <w:lang w:val="en-US" w:eastAsia="zh-CN"/>
        </w:rPr>
        <w:t>5</w:t>
      </w:r>
      <w:r>
        <w:rPr>
          <w:rFonts w:hint="eastAsia" w:ascii="宋体" w:hAnsi="宋体" w:cs="宋体"/>
          <w:color w:val="FF0000"/>
          <w:sz w:val="24"/>
          <w:highlight w:val="none"/>
          <w:u w:val="none"/>
        </w:rPr>
        <w:t>年</w:t>
      </w:r>
      <w:r>
        <w:rPr>
          <w:rFonts w:hint="eastAsia" w:ascii="宋体" w:hAnsi="宋体" w:cs="宋体"/>
          <w:color w:val="FF0000"/>
          <w:sz w:val="24"/>
          <w:highlight w:val="none"/>
          <w:u w:val="none"/>
          <w:lang w:val="en-US" w:eastAsia="zh-CN"/>
        </w:rPr>
        <w:t>07</w:t>
      </w:r>
      <w:r>
        <w:rPr>
          <w:rFonts w:hint="eastAsia" w:ascii="宋体" w:hAnsi="宋体" w:cs="宋体"/>
          <w:color w:val="FF0000"/>
          <w:sz w:val="24"/>
          <w:highlight w:val="none"/>
          <w:u w:val="none"/>
        </w:rPr>
        <w:t>月</w:t>
      </w:r>
      <w:r>
        <w:rPr>
          <w:rFonts w:hint="eastAsia" w:ascii="宋体" w:hAnsi="宋体" w:cs="宋体"/>
          <w:color w:val="FF0000"/>
          <w:sz w:val="24"/>
          <w:highlight w:val="none"/>
          <w:u w:val="none"/>
          <w:lang w:val="en-US" w:eastAsia="zh-CN"/>
        </w:rPr>
        <w:t>08</w:t>
      </w:r>
      <w:r>
        <w:rPr>
          <w:rFonts w:hint="eastAsia" w:ascii="宋体" w:hAnsi="宋体" w:cs="宋体"/>
          <w:color w:val="FF0000"/>
          <w:sz w:val="24"/>
          <w:highlight w:val="none"/>
          <w:u w:val="none"/>
        </w:rPr>
        <w:t xml:space="preserve">日 </w:t>
      </w:r>
      <w:r>
        <w:rPr>
          <w:rFonts w:hint="eastAsia" w:ascii="宋体" w:hAnsi="宋体" w:cs="宋体"/>
          <w:color w:val="FF0000"/>
          <w:sz w:val="24"/>
          <w:highlight w:val="none"/>
          <w:u w:val="none"/>
          <w:lang w:val="en-US" w:eastAsia="zh-CN"/>
        </w:rPr>
        <w:t>13:00</w:t>
      </w:r>
      <w:r>
        <w:rPr>
          <w:rFonts w:hint="eastAsia" w:ascii="宋体" w:hAnsi="宋体" w:cs="宋体"/>
          <w:color w:val="auto"/>
          <w:sz w:val="24"/>
          <w:highlight w:val="none"/>
          <w:u w:val="none"/>
        </w:rPr>
        <w:t>（北京时间）</w:t>
      </w:r>
    </w:p>
    <w:p w14:paraId="1767C80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Theme="minorEastAsia" w:hAnsiTheme="minorEastAsia" w:eastAsiaTheme="minorEastAsia"/>
          <w:color w:val="auto"/>
          <w:sz w:val="24"/>
          <w:highlight w:val="none"/>
        </w:rPr>
        <w:t>政府采购云平台（http://zfcg.czt.zj.gov.cn/）（线下：杭州市上城区环站东路</w:t>
      </w:r>
      <w:r>
        <w:rPr>
          <w:rFonts w:hint="eastAsia" w:asciiTheme="minorEastAsia" w:hAnsiTheme="minorEastAsia" w:eastAsiaTheme="minorEastAsia"/>
          <w:color w:val="auto"/>
          <w:sz w:val="24"/>
          <w:highlight w:val="none"/>
          <w:lang w:eastAsia="zh-CN"/>
        </w:rPr>
        <w:t>99号云峰大厦1号楼16楼</w:t>
      </w:r>
      <w:r>
        <w:rPr>
          <w:rFonts w:hint="eastAsia" w:asciiTheme="minorEastAsia" w:hAnsiTheme="minorEastAsia" w:eastAsiaTheme="minorEastAsia"/>
          <w:color w:val="auto"/>
          <w:sz w:val="24"/>
          <w:highlight w:val="none"/>
          <w:lang w:val="en-US" w:eastAsia="zh-CN"/>
        </w:rPr>
        <w:t>1608</w:t>
      </w:r>
      <w:r>
        <w:rPr>
          <w:rFonts w:hint="eastAsia" w:asciiTheme="minorEastAsia" w:hAnsiTheme="minorEastAsia" w:eastAsiaTheme="minorEastAsia"/>
          <w:color w:val="auto"/>
          <w:sz w:val="24"/>
          <w:highlight w:val="none"/>
        </w:rPr>
        <w:t>开标室）</w:t>
      </w:r>
    </w:p>
    <w:p w14:paraId="7E9F0138">
      <w:pPr>
        <w:numPr>
          <w:ilvl w:val="0"/>
          <w:numId w:val="2"/>
        </w:numPr>
        <w:spacing w:line="360" w:lineRule="auto"/>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采购意向公示</w:t>
      </w:r>
    </w:p>
    <w:p w14:paraId="7893B327">
      <w:pPr>
        <w:spacing w:line="360" w:lineRule="auto"/>
        <w:ind w:firstLine="480" w:firstLineChars="200"/>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https://zfcg.czt.zj.gov.cn/site/detail?parentId=600007&amp;articleId=79YvB%2FEGMDYESutuQFQF7g%3D%3D</w:t>
      </w:r>
    </w:p>
    <w:p w14:paraId="7AC40C5E">
      <w:pPr>
        <w:spacing w:line="360" w:lineRule="auto"/>
        <w:rPr>
          <w:rFonts w:ascii="宋体" w:hAnsi="宋体" w:cs="宋体"/>
          <w:color w:val="auto"/>
          <w:sz w:val="24"/>
          <w:highlight w:val="none"/>
        </w:rPr>
      </w:pPr>
      <w:r>
        <w:rPr>
          <w:rFonts w:hint="eastAsia" w:ascii="宋体" w:hAnsi="宋体" w:cs="宋体"/>
          <w:b/>
          <w:color w:val="auto"/>
          <w:sz w:val="24"/>
          <w:highlight w:val="none"/>
          <w:lang w:val="en-US" w:eastAsia="zh-CN"/>
        </w:rPr>
        <w:t>七</w:t>
      </w:r>
      <w:r>
        <w:rPr>
          <w:rFonts w:hint="eastAsia" w:ascii="宋体" w:hAnsi="宋体" w:cs="宋体"/>
          <w:b/>
          <w:color w:val="auto"/>
          <w:sz w:val="24"/>
          <w:highlight w:val="none"/>
        </w:rPr>
        <w:t xml:space="preserve">、公告期限 </w:t>
      </w:r>
    </w:p>
    <w:p w14:paraId="071081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自本公告发布之日起3个工作日。</w:t>
      </w:r>
    </w:p>
    <w:p w14:paraId="37A6D2EC">
      <w:pPr>
        <w:spacing w:line="360" w:lineRule="auto"/>
        <w:rPr>
          <w:rFonts w:ascii="宋体" w:hAnsi="宋体" w:cs="宋体"/>
          <w:b/>
          <w:color w:val="auto"/>
          <w:sz w:val="24"/>
          <w:highlight w:val="none"/>
        </w:rPr>
      </w:pPr>
      <w:r>
        <w:rPr>
          <w:rFonts w:hint="eastAsia" w:ascii="宋体" w:hAnsi="宋体" w:cs="宋体"/>
          <w:b/>
          <w:color w:val="auto"/>
          <w:sz w:val="24"/>
          <w:highlight w:val="none"/>
          <w:lang w:val="en-US" w:eastAsia="zh-CN"/>
        </w:rPr>
        <w:t>八</w:t>
      </w:r>
      <w:r>
        <w:rPr>
          <w:rFonts w:hint="eastAsia" w:ascii="宋体" w:hAnsi="宋体" w:cs="宋体"/>
          <w:b/>
          <w:color w:val="auto"/>
          <w:sz w:val="24"/>
          <w:highlight w:val="none"/>
        </w:rPr>
        <w:t>、其他补充事宜</w:t>
      </w:r>
    </w:p>
    <w:p w14:paraId="6568F9C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w:t>
      </w:r>
      <w:r>
        <w:rPr>
          <w:rFonts w:hint="eastAsia" w:ascii="宋体" w:hAnsi="宋体" w:eastAsia="宋体" w:cs="宋体"/>
          <w:color w:val="auto"/>
          <w:sz w:val="24"/>
          <w:highlight w:val="none"/>
          <w:shd w:val="clear" w:color="auto" w:fill="FFFFFF"/>
        </w:rPr>
        <w:t>浙江省财政厅关于进一步加大政府采购 支持中小企业力度 助力扎实稳住经济 的通知》（浙财采监〔2022〕8号）</w:t>
      </w:r>
      <w:r>
        <w:rPr>
          <w:rFonts w:hint="eastAsia" w:ascii="宋体" w:hAnsi="宋体" w:eastAsia="宋体" w:cs="宋体"/>
          <w:color w:val="auto"/>
          <w:sz w:val="24"/>
          <w:highlight w:val="none"/>
        </w:rPr>
        <w:t>已分别于2022年1月29日、2022年2月1日和2022年7月1日开始实施，此前有关规定与上述文件内容不一致的，按上述文件要求执行。</w:t>
      </w:r>
    </w:p>
    <w:p w14:paraId="74B5657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鼓励供应商在线提起质疑，路径为：政采云-项目采购-询问质疑投诉-质疑列表。质疑供应商对在线质疑答复不满意的，可在线提起投诉，路径为：浙江</w:t>
      </w:r>
      <w:r>
        <w:rPr>
          <w:rFonts w:hint="eastAsia" w:ascii="宋体" w:hAnsi="宋体" w:cs="宋体"/>
          <w:color w:val="auto"/>
          <w:sz w:val="24"/>
          <w:highlight w:val="none"/>
          <w:lang w:val="en-US" w:eastAsia="zh-CN"/>
        </w:rPr>
        <w:t>政务</w:t>
      </w:r>
      <w:r>
        <w:rPr>
          <w:rFonts w:hint="eastAsia" w:ascii="宋体" w:hAnsi="宋体" w:eastAsia="宋体" w:cs="宋体"/>
          <w:color w:val="auto"/>
          <w:sz w:val="24"/>
          <w:highlight w:val="none"/>
        </w:rPr>
        <w:t>服务网-政府采购投诉处理-在线办理。</w:t>
      </w:r>
    </w:p>
    <w:p w14:paraId="1523F9E6">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3.供应商认为采购文件使自己的权益受到损害的，可以自获取采购文件之日或者采购文件公告期限届满之日（公告期限届满后获取采购文件的，以公告期限届满</w:t>
      </w:r>
      <w:r>
        <w:rPr>
          <w:rFonts w:hint="eastAsia" w:ascii="宋体" w:hAnsi="宋体" w:cs="宋体"/>
          <w:color w:val="auto"/>
          <w:sz w:val="24"/>
          <w:highlight w:val="none"/>
        </w:rPr>
        <w:t>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69F5437">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4.其他事项：</w:t>
      </w:r>
    </w:p>
    <w:p w14:paraId="0BE4EE6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（1）需要落实的政府采购政策：包括节约资源、保护环境、支持创新、促进中小企业发展等。详见采购文件的第二部分总则。</w:t>
      </w:r>
    </w:p>
    <w:p w14:paraId="77973EC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w:t>
      </w:r>
    </w:p>
    <w:p w14:paraId="06C4276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（3）采购文件公告期限与竞争性磋商公告的公告期限一致。</w:t>
      </w:r>
    </w:p>
    <w:p w14:paraId="0DBDAE73">
      <w:pPr>
        <w:spacing w:line="360" w:lineRule="auto"/>
        <w:rPr>
          <w:rFonts w:ascii="宋体" w:hAnsi="宋体" w:cs="宋体"/>
          <w:b/>
          <w:color w:val="auto"/>
          <w:sz w:val="24"/>
          <w:highlight w:val="none"/>
        </w:rPr>
      </w:pPr>
      <w:r>
        <w:rPr>
          <w:rFonts w:hint="eastAsia" w:ascii="宋体" w:hAnsi="宋体" w:cs="宋体"/>
          <w:b/>
          <w:color w:val="auto"/>
          <w:sz w:val="24"/>
          <w:highlight w:val="none"/>
          <w:lang w:val="en-US" w:eastAsia="zh-CN"/>
        </w:rPr>
        <w:t>九</w:t>
      </w:r>
      <w:r>
        <w:rPr>
          <w:rFonts w:hint="eastAsia" w:ascii="宋体" w:hAnsi="宋体" w:cs="宋体"/>
          <w:b/>
          <w:color w:val="auto"/>
          <w:sz w:val="24"/>
          <w:highlight w:val="none"/>
        </w:rPr>
        <w:t>、对本次采购提出询问、质疑、投诉，请按以下方式联系</w:t>
      </w:r>
    </w:p>
    <w:p w14:paraId="0DF3D16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1.采购人信息</w:t>
      </w:r>
    </w:p>
    <w:p w14:paraId="3021606A">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杭州市美术职业学校</w:t>
      </w:r>
    </w:p>
    <w:p w14:paraId="5E49BB9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lang w:eastAsia="zh-CN"/>
        </w:rPr>
        <w:t>杭州市拱墅区莫干山路142号、杭州市上城区凤凰山脚路166号</w:t>
      </w:r>
      <w:r>
        <w:rPr>
          <w:rFonts w:hint="eastAsia" w:ascii="宋体" w:hAnsi="宋体" w:cs="宋体"/>
          <w:color w:val="auto"/>
          <w:sz w:val="24"/>
          <w:highlight w:val="none"/>
        </w:rPr>
        <w:t xml:space="preserve">                  </w:t>
      </w:r>
    </w:p>
    <w:p w14:paraId="0E0245D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传  真：</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  </w:t>
      </w:r>
      <w:r>
        <w:rPr>
          <w:rFonts w:hint="eastAsia"/>
          <w:color w:val="auto"/>
          <w:sz w:val="24"/>
          <w:highlight w:val="none"/>
        </w:rPr>
        <w:t xml:space="preserve">                                </w:t>
      </w:r>
    </w:p>
    <w:p w14:paraId="27DBC80E">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项目联系人（询问）：诸葛</w:t>
      </w:r>
      <w:r>
        <w:rPr>
          <w:rFonts w:hint="eastAsia" w:ascii="宋体" w:hAnsi="宋体" w:cs="宋体"/>
          <w:color w:val="auto"/>
          <w:sz w:val="24"/>
          <w:highlight w:val="none"/>
          <w:lang w:eastAsia="zh-CN"/>
        </w:rPr>
        <w:t>老师</w:t>
      </w:r>
    </w:p>
    <w:p w14:paraId="5B44B5C0">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eastAsia="zh-CN"/>
        </w:rPr>
        <w:t>0571-</w:t>
      </w:r>
      <w:r>
        <w:rPr>
          <w:rFonts w:hint="eastAsia" w:ascii="宋体" w:hAnsi="宋体" w:cs="宋体"/>
          <w:color w:val="auto"/>
          <w:sz w:val="24"/>
          <w:highlight w:val="none"/>
        </w:rPr>
        <w:t>86069207</w:t>
      </w:r>
    </w:p>
    <w:p w14:paraId="49E1915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周老师</w:t>
      </w:r>
    </w:p>
    <w:p w14:paraId="69C4BF76">
      <w:pPr>
        <w:spacing w:line="360" w:lineRule="auto"/>
        <w:ind w:firstLine="480" w:firstLineChars="200"/>
        <w:rPr>
          <w:rFonts w:hint="default" w:ascii="宋体" w:hAnsi="宋体" w:eastAsia="宋体" w:cs="宋体"/>
          <w:color w:val="auto"/>
          <w:sz w:val="24"/>
          <w:highlight w:val="none"/>
          <w:lang w:eastAsia="zh-CN"/>
        </w:rPr>
      </w:pPr>
      <w:r>
        <w:rPr>
          <w:rFonts w:hint="eastAsia" w:ascii="宋体" w:hAnsi="宋体" w:cs="宋体"/>
          <w:color w:val="auto"/>
          <w:sz w:val="24"/>
          <w:highlight w:val="none"/>
        </w:rPr>
        <w:t>质疑联系方式：</w:t>
      </w:r>
      <w:r>
        <w:rPr>
          <w:rFonts w:hint="eastAsia" w:ascii="宋体" w:hAnsi="宋体" w:cs="宋体"/>
          <w:color w:val="auto"/>
          <w:sz w:val="24"/>
          <w:highlight w:val="none"/>
          <w:lang w:eastAsia="zh-CN"/>
        </w:rPr>
        <w:t>0571-</w:t>
      </w:r>
      <w:r>
        <w:rPr>
          <w:rFonts w:hint="eastAsia" w:ascii="宋体" w:hAnsi="宋体" w:cs="宋体"/>
          <w:color w:val="auto"/>
          <w:sz w:val="24"/>
          <w:highlight w:val="none"/>
        </w:rPr>
        <w:t>87606375</w:t>
      </w:r>
    </w:p>
    <w:p w14:paraId="77BAD20B">
      <w:pPr>
        <w:spacing w:line="360" w:lineRule="auto"/>
        <w:ind w:firstLine="480" w:firstLineChars="200"/>
        <w:rPr>
          <w:rFonts w:hint="eastAsia" w:ascii="宋体" w:hAnsi="宋体" w:cs="宋体"/>
          <w:color w:val="auto"/>
          <w:sz w:val="24"/>
          <w:highlight w:val="none"/>
        </w:rPr>
      </w:pPr>
    </w:p>
    <w:p w14:paraId="028ECA7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2.采购代理机构信息</w:t>
      </w:r>
    </w:p>
    <w:p w14:paraId="1D1FE82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名  称：杭州洲源招标代理有限公司</w:t>
      </w:r>
    </w:p>
    <w:p w14:paraId="5EC0398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  址：杭州市上城区环站东路99号云峰大厦1号楼</w:t>
      </w:r>
      <w:r>
        <w:rPr>
          <w:rFonts w:hint="eastAsia" w:ascii="宋体" w:hAnsi="宋体" w:cs="宋体"/>
          <w:color w:val="auto"/>
          <w:sz w:val="24"/>
          <w:highlight w:val="none"/>
          <w:lang w:val="en-US" w:eastAsia="zh-CN"/>
        </w:rPr>
        <w:t>16</w:t>
      </w:r>
      <w:r>
        <w:rPr>
          <w:rFonts w:hint="eastAsia" w:ascii="宋体" w:hAnsi="宋体" w:cs="宋体"/>
          <w:color w:val="auto"/>
          <w:sz w:val="24"/>
          <w:highlight w:val="none"/>
        </w:rPr>
        <w:t>楼</w:t>
      </w:r>
    </w:p>
    <w:p w14:paraId="77EE187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传  真：0571-85292825</w:t>
      </w:r>
    </w:p>
    <w:p w14:paraId="58889F5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项目联系人（询问）：陈工、羊工</w:t>
      </w:r>
    </w:p>
    <w:p w14:paraId="204EFD6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项目联系方式（询问）：0571-85292825</w:t>
      </w:r>
    </w:p>
    <w:p w14:paraId="443A324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质疑联系人：蓝工</w:t>
      </w:r>
    </w:p>
    <w:p w14:paraId="7BF5A6F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质疑联系方式：0571-85292825</w:t>
      </w:r>
    </w:p>
    <w:p w14:paraId="57E63915">
      <w:pPr>
        <w:spacing w:line="360" w:lineRule="auto"/>
        <w:rPr>
          <w:rFonts w:hint="eastAsia" w:ascii="宋体" w:hAnsi="宋体" w:cs="宋体"/>
          <w:color w:val="auto"/>
          <w:sz w:val="24"/>
          <w:highlight w:val="none"/>
        </w:rPr>
      </w:pPr>
    </w:p>
    <w:p w14:paraId="26DE335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3.同级政府采购监督管理部门</w:t>
      </w:r>
    </w:p>
    <w:p w14:paraId="7C76FE6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名  称：</w:t>
      </w:r>
      <w:r>
        <w:rPr>
          <w:rFonts w:hint="eastAsia" w:asciiTheme="minorEastAsia" w:hAnsiTheme="minorEastAsia" w:eastAsiaTheme="minorEastAsia" w:cstheme="minorEastAsia"/>
          <w:color w:val="auto"/>
          <w:sz w:val="24"/>
          <w:highlight w:val="none"/>
        </w:rPr>
        <w:t>杭州市财政局政府采购监管处/浙江省政府采购行政裁决服务中心</w:t>
      </w:r>
      <w:r>
        <w:rPr>
          <w:rFonts w:hint="eastAsia" w:ascii="宋体" w:hAnsi="宋体" w:cs="宋体"/>
          <w:color w:val="auto"/>
          <w:sz w:val="24"/>
          <w:highlight w:val="none"/>
        </w:rPr>
        <w:t>（杭州）</w:t>
      </w:r>
    </w:p>
    <w:p w14:paraId="44F0E770">
      <w:pPr>
        <w:spacing w:line="360" w:lineRule="auto"/>
        <w:ind w:firstLine="480" w:firstLineChars="200"/>
        <w:rPr>
          <w:rFonts w:hint="eastAsia" w:ascii="宋体" w:hAnsi="宋体" w:cs="宋体" w:eastAsiaTheme="minorEastAsia"/>
          <w:color w:val="auto"/>
          <w:sz w:val="24"/>
          <w:highlight w:val="none"/>
        </w:rPr>
      </w:pPr>
      <w:r>
        <w:rPr>
          <w:rFonts w:hint="eastAsia" w:ascii="宋体" w:hAnsi="宋体" w:cs="宋体"/>
          <w:color w:val="auto"/>
          <w:sz w:val="24"/>
          <w:highlight w:val="none"/>
        </w:rPr>
        <w:t>地  址：</w:t>
      </w:r>
      <w:r>
        <w:rPr>
          <w:rFonts w:hint="eastAsia" w:asciiTheme="minorEastAsia" w:hAnsiTheme="minorEastAsia" w:eastAsiaTheme="minorEastAsia" w:cstheme="minorEastAsia"/>
          <w:color w:val="auto"/>
          <w:sz w:val="24"/>
          <w:highlight w:val="none"/>
        </w:rPr>
        <w:t>杭州市上城区清泰街549号城建综合大楼11楼（快递仅限ems或顺丰）</w:t>
      </w:r>
    </w:p>
    <w:p w14:paraId="202EF6D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传  真：/</w:t>
      </w:r>
    </w:p>
    <w:p w14:paraId="5A22A2B8">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联系人：</w:t>
      </w:r>
      <w:r>
        <w:rPr>
          <w:rFonts w:hint="eastAsia" w:ascii="宋体" w:hAnsi="宋体" w:cs="宋体"/>
          <w:color w:val="auto"/>
          <w:sz w:val="24"/>
          <w:highlight w:val="none"/>
          <w:lang w:eastAsia="zh-CN"/>
        </w:rPr>
        <w:t>朱老师</w:t>
      </w:r>
    </w:p>
    <w:p w14:paraId="7C3BB36E">
      <w:pPr>
        <w:spacing w:line="360" w:lineRule="auto"/>
        <w:ind w:firstLine="480" w:firstLineChars="200"/>
        <w:rPr>
          <w:rFonts w:hint="eastAsia" w:ascii="宋体" w:hAnsi="宋体" w:cs="宋体"/>
          <w:color w:val="auto"/>
          <w:sz w:val="24"/>
          <w:highlight w:val="none"/>
        </w:rPr>
      </w:pPr>
      <w:r>
        <w:rPr>
          <w:rFonts w:hint="eastAsia" w:asciiTheme="minorEastAsia" w:hAnsiTheme="minorEastAsia" w:eastAsiaTheme="minorEastAsia" w:cstheme="minorEastAsia"/>
          <w:color w:val="auto"/>
          <w:sz w:val="24"/>
          <w:highlight w:val="none"/>
        </w:rPr>
        <w:t>监督投诉电话：0571-87800218</w:t>
      </w:r>
    </w:p>
    <w:p w14:paraId="533F4C0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政策咨询：沈先生、陈先生</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0571-89580457、0571-89580460（政府采购监管部门工作人员）</w:t>
      </w:r>
    </w:p>
    <w:p w14:paraId="49E1CD8B">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3D59B9E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w:t>
      </w:r>
      <w:r>
        <w:rPr>
          <w:rFonts w:hint="eastAsia" w:asciiTheme="minorEastAsia" w:hAnsiTheme="minorEastAsia" w:eastAsiaTheme="minorEastAsia"/>
          <w:color w:val="auto"/>
          <w:sz w:val="24"/>
          <w:highlight w:val="none"/>
        </w:rPr>
        <w:t>95763</w:t>
      </w:r>
      <w:r>
        <w:rPr>
          <w:rFonts w:hint="eastAsia" w:ascii="宋体" w:hAnsi="宋体" w:cs="宋体"/>
          <w:color w:val="auto"/>
          <w:sz w:val="24"/>
          <w:highlight w:val="none"/>
        </w:rPr>
        <w:t>获取热线服务帮助。</w:t>
      </w:r>
    </w:p>
    <w:p w14:paraId="620809C1">
      <w:pPr>
        <w:snapToGrid w:val="0"/>
        <w:spacing w:line="360" w:lineRule="auto"/>
        <w:ind w:right="286" w:rightChars="136" w:firstLine="480" w:firstLineChars="200"/>
        <w:rPr>
          <w:rFonts w:ascii="宋体" w:hAnsi="宋体" w:cs="宋体"/>
          <w:color w:val="auto"/>
          <w:sz w:val="24"/>
          <w:highlight w:val="none"/>
        </w:rPr>
        <w:sectPr>
          <w:headerReference r:id="rId4" w:type="first"/>
          <w:footerReference r:id="rId7" w:type="first"/>
          <w:headerReference r:id="rId3" w:type="default"/>
          <w:footerReference r:id="rId5" w:type="default"/>
          <w:footerReference r:id="rId6" w:type="even"/>
          <w:pgSz w:w="11906" w:h="16838"/>
          <w:pgMar w:top="1417" w:right="1417" w:bottom="1417" w:left="1417" w:header="851" w:footer="992" w:gutter="0"/>
          <w:pgNumType w:fmt="decimal"/>
          <w:cols w:space="720" w:num="1"/>
          <w:titlePg/>
          <w:docGrid w:linePitch="312" w:charSpace="0"/>
        </w:sectPr>
      </w:pPr>
      <w:r>
        <w:rPr>
          <w:rFonts w:hint="eastAsia" w:ascii="宋体" w:hAnsi="宋体" w:cs="宋体"/>
          <w:color w:val="auto"/>
          <w:sz w:val="24"/>
          <w:highlight w:val="none"/>
        </w:rPr>
        <w:t>CA问题联系电话（人工）：汇信CA 400-888-4636；天谷CA 400-087-8198。</w:t>
      </w:r>
    </w:p>
    <w:p w14:paraId="76C9A87B">
      <w:pPr>
        <w:pStyle w:val="33"/>
        <w:spacing w:line="360" w:lineRule="auto"/>
        <w:jc w:val="center"/>
        <w:rPr>
          <w:rFonts w:hAnsi="宋体" w:cs="宋体"/>
          <w:b/>
          <w:snapToGrid/>
          <w:color w:val="auto"/>
          <w:sz w:val="36"/>
          <w:szCs w:val="20"/>
          <w:highlight w:val="none"/>
        </w:rPr>
      </w:pPr>
      <w:r>
        <w:rPr>
          <w:rFonts w:hint="eastAsia" w:hAnsi="宋体" w:cs="宋体"/>
          <w:b/>
          <w:snapToGrid/>
          <w:color w:val="auto"/>
          <w:sz w:val="36"/>
          <w:szCs w:val="20"/>
          <w:highlight w:val="none"/>
        </w:rPr>
        <w:t>第二部分</w:t>
      </w:r>
      <w:bookmarkEnd w:id="8"/>
      <w:r>
        <w:rPr>
          <w:rFonts w:hint="eastAsia" w:hAnsi="宋体" w:cs="宋体"/>
          <w:b/>
          <w:snapToGrid/>
          <w:color w:val="auto"/>
          <w:sz w:val="36"/>
          <w:szCs w:val="20"/>
          <w:highlight w:val="none"/>
        </w:rPr>
        <w:t xml:space="preserve"> 供应商须知</w:t>
      </w:r>
      <w:bookmarkEnd w:id="9"/>
    </w:p>
    <w:p w14:paraId="25743C48">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9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327"/>
      </w:tblGrid>
      <w:tr w14:paraId="17007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990B0A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093" w:type="dxa"/>
            <w:vAlign w:val="center"/>
          </w:tcPr>
          <w:p w14:paraId="6D67D2A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327" w:type="dxa"/>
            <w:vAlign w:val="center"/>
          </w:tcPr>
          <w:p w14:paraId="368FDDF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1421C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15A0EE8">
            <w:pPr>
              <w:snapToGrid w:val="0"/>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w:t>
            </w:r>
          </w:p>
        </w:tc>
        <w:tc>
          <w:tcPr>
            <w:tcW w:w="2093" w:type="dxa"/>
            <w:vAlign w:val="center"/>
          </w:tcPr>
          <w:p w14:paraId="562345C6">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项目概述</w:t>
            </w:r>
          </w:p>
        </w:tc>
        <w:tc>
          <w:tcPr>
            <w:tcW w:w="6327" w:type="dxa"/>
            <w:vAlign w:val="center"/>
          </w:tcPr>
          <w:p w14:paraId="05AC15B7">
            <w:pPr>
              <w:pStyle w:val="968"/>
              <w:numPr>
                <w:ilvl w:val="0"/>
                <w:numId w:val="3"/>
              </w:numPr>
              <w:shd w:val="clear" w:fill="FFFFFF" w:themeFill="background1"/>
              <w:snapToGrid w:val="0"/>
              <w:spacing w:line="360" w:lineRule="auto"/>
              <w:ind w:firstLine="0" w:firstLineChars="0"/>
              <w:jc w:val="left"/>
              <w:rPr>
                <w:rFonts w:ascii="宋体" w:hAnsi="宋体" w:cs="宋体"/>
                <w:color w:val="auto"/>
                <w:sz w:val="24"/>
                <w:highlight w:val="none"/>
              </w:rPr>
            </w:pPr>
            <w:r>
              <w:rPr>
                <w:rFonts w:hint="eastAsia" w:ascii="宋体" w:hAnsi="宋体" w:cs="宋体"/>
                <w:bCs/>
                <w:color w:val="auto"/>
                <w:sz w:val="24"/>
                <w:highlight w:val="none"/>
              </w:rPr>
              <w:t>项目名称：</w:t>
            </w:r>
            <w:r>
              <w:rPr>
                <w:rFonts w:hint="eastAsia" w:ascii="宋体" w:hAnsi="宋体" w:cs="宋体"/>
                <w:color w:val="auto"/>
                <w:sz w:val="24"/>
                <w:highlight w:val="none"/>
                <w:lang w:eastAsia="zh-CN"/>
              </w:rPr>
              <w:t>杭州市美术职业学校莫干校区实训楼外立面改造项目</w:t>
            </w:r>
          </w:p>
          <w:p w14:paraId="2E790CF6">
            <w:pPr>
              <w:pStyle w:val="968"/>
              <w:numPr>
                <w:ilvl w:val="0"/>
                <w:numId w:val="3"/>
              </w:numPr>
              <w:shd w:val="clear" w:fill="FFFFFF" w:themeFill="background1"/>
              <w:snapToGrid w:val="0"/>
              <w:spacing w:line="360" w:lineRule="auto"/>
              <w:ind w:firstLine="0" w:firstLineChars="0"/>
              <w:jc w:val="left"/>
              <w:rPr>
                <w:rFonts w:ascii="宋体" w:hAnsi="宋体" w:cs="宋体"/>
                <w:color w:val="auto"/>
                <w:sz w:val="24"/>
                <w:highlight w:val="none"/>
              </w:rPr>
            </w:pP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ZYZB-CS-2025-014</w:t>
            </w:r>
          </w:p>
          <w:p w14:paraId="2B9F31FD">
            <w:pPr>
              <w:pStyle w:val="968"/>
              <w:numPr>
                <w:ilvl w:val="0"/>
                <w:numId w:val="3"/>
              </w:numPr>
              <w:shd w:val="clear" w:fill="FFFFFF" w:themeFill="background1"/>
              <w:snapToGrid w:val="0"/>
              <w:spacing w:line="360" w:lineRule="auto"/>
              <w:ind w:firstLine="0" w:firstLineChars="0"/>
              <w:jc w:val="left"/>
              <w:rPr>
                <w:rFonts w:ascii="宋体" w:hAnsi="宋体" w:cs="宋体"/>
                <w:color w:val="auto"/>
                <w:sz w:val="24"/>
                <w:highlight w:val="none"/>
                <w:shd w:val="clear" w:color="auto" w:fill="FFFFFF" w:themeFill="background1"/>
              </w:rPr>
            </w:pPr>
            <w:r>
              <w:rPr>
                <w:rFonts w:hint="eastAsia" w:ascii="宋体" w:hAnsi="宋体" w:cs="宋体"/>
                <w:color w:val="auto"/>
                <w:sz w:val="24"/>
                <w:highlight w:val="none"/>
              </w:rPr>
              <w:t>项目主要内容：</w:t>
            </w:r>
            <w:r>
              <w:rPr>
                <w:rFonts w:hint="eastAsia" w:ascii="宋体" w:hAnsi="宋体"/>
                <w:color w:val="auto"/>
                <w:sz w:val="24"/>
                <w:highlight w:val="none"/>
                <w:u w:val="none"/>
                <w:lang w:val="en-US" w:eastAsia="zh-CN"/>
              </w:rPr>
              <w:t>实训楼外立面改造，实训楼四层舞蹈室装修等</w:t>
            </w:r>
            <w:r>
              <w:rPr>
                <w:rFonts w:hint="eastAsia" w:ascii="宋体" w:hAnsi="宋体" w:cs="宋体"/>
                <w:color w:val="auto"/>
                <w:sz w:val="24"/>
                <w:highlight w:val="none"/>
                <w:shd w:val="clear" w:color="auto" w:fill="FFFFFF" w:themeFill="background1"/>
              </w:rPr>
              <w:t>，具体详见磋商文件、工程量清单、图纸等材料。</w:t>
            </w:r>
          </w:p>
          <w:p w14:paraId="79D580DD">
            <w:pPr>
              <w:pStyle w:val="968"/>
              <w:numPr>
                <w:ilvl w:val="0"/>
                <w:numId w:val="3"/>
              </w:numPr>
              <w:shd w:val="clear" w:fill="FFFFFF" w:themeFill="background1"/>
              <w:snapToGrid w:val="0"/>
              <w:spacing w:line="360" w:lineRule="auto"/>
              <w:ind w:firstLine="0" w:firstLineChars="0"/>
              <w:jc w:val="left"/>
              <w:rPr>
                <w:rFonts w:ascii="宋体" w:hAnsi="宋体" w:cs="宋体"/>
                <w:color w:val="auto"/>
                <w:sz w:val="24"/>
                <w:highlight w:val="none"/>
              </w:rPr>
            </w:pPr>
            <w:r>
              <w:rPr>
                <w:rFonts w:hint="eastAsia" w:ascii="宋体" w:hAnsi="宋体" w:cs="宋体"/>
                <w:bCs/>
                <w:color w:val="auto"/>
                <w:sz w:val="24"/>
                <w:highlight w:val="none"/>
              </w:rPr>
              <w:t>项目预算：</w:t>
            </w:r>
            <w:r>
              <w:rPr>
                <w:rFonts w:hint="eastAsia" w:ascii="宋体" w:hAnsi="宋体" w:cs="宋体"/>
                <w:bCs/>
                <w:color w:val="auto"/>
                <w:sz w:val="24"/>
                <w:highlight w:val="none"/>
                <w:lang w:eastAsia="zh-CN"/>
              </w:rPr>
              <w:t>1080000</w:t>
            </w:r>
            <w:r>
              <w:rPr>
                <w:rFonts w:hint="eastAsia" w:ascii="宋体" w:hAnsi="宋体" w:cs="宋体"/>
                <w:bCs/>
                <w:color w:val="auto"/>
                <w:sz w:val="24"/>
                <w:highlight w:val="none"/>
              </w:rPr>
              <w:t>元，</w:t>
            </w:r>
            <w:r>
              <w:rPr>
                <w:rFonts w:hint="eastAsia" w:ascii="宋体" w:hAnsi="宋体" w:cs="宋体"/>
                <w:bCs/>
                <w:color w:val="FF0000"/>
                <w:sz w:val="24"/>
                <w:highlight w:val="none"/>
              </w:rPr>
              <w:t>招标控制价：1196557元</w:t>
            </w:r>
            <w:r>
              <w:rPr>
                <w:rFonts w:hint="eastAsia" w:ascii="宋体" w:hAnsi="宋体" w:cs="宋体"/>
                <w:bCs/>
                <w:color w:val="FF0000"/>
                <w:sz w:val="24"/>
                <w:highlight w:val="none"/>
                <w:lang w:eastAsia="zh-CN"/>
              </w:rPr>
              <w:t>，</w:t>
            </w:r>
            <w:r>
              <w:rPr>
                <w:rFonts w:hint="eastAsia" w:ascii="宋体" w:hAnsi="宋体" w:cs="宋体"/>
                <w:bCs/>
                <w:color w:val="auto"/>
                <w:sz w:val="24"/>
                <w:highlight w:val="none"/>
              </w:rPr>
              <w:t>最高限价</w:t>
            </w:r>
            <w:r>
              <w:rPr>
                <w:rFonts w:hint="eastAsia" w:ascii="宋体" w:hAnsi="宋体" w:cs="宋体"/>
                <w:bCs/>
                <w:color w:val="auto"/>
                <w:sz w:val="24"/>
                <w:highlight w:val="none"/>
                <w:lang w:eastAsia="zh-CN"/>
              </w:rPr>
              <w:t>：1080000</w:t>
            </w:r>
            <w:r>
              <w:rPr>
                <w:rFonts w:hint="eastAsia" w:ascii="宋体" w:hAnsi="宋体" w:cs="宋体"/>
                <w:bCs/>
                <w:color w:val="auto"/>
                <w:sz w:val="24"/>
                <w:highlight w:val="none"/>
              </w:rPr>
              <w:t>元，超过最高限价的磋商报价将作为无效响应</w:t>
            </w:r>
            <w:r>
              <w:rPr>
                <w:rFonts w:hint="eastAsia" w:ascii="宋体" w:hAnsi="宋体" w:cs="宋体"/>
                <w:color w:val="auto"/>
                <w:sz w:val="24"/>
                <w:highlight w:val="none"/>
              </w:rPr>
              <w:t>。</w:t>
            </w:r>
          </w:p>
          <w:p w14:paraId="6228C367">
            <w:pPr>
              <w:pStyle w:val="968"/>
              <w:numPr>
                <w:ilvl w:val="0"/>
                <w:numId w:val="3"/>
              </w:numPr>
              <w:shd w:val="clear" w:fill="FFFFFF" w:themeFill="background1"/>
              <w:snapToGrid w:val="0"/>
              <w:spacing w:line="360" w:lineRule="auto"/>
              <w:ind w:firstLine="0" w:firstLineChars="0"/>
              <w:jc w:val="left"/>
              <w:rPr>
                <w:rFonts w:ascii="宋体" w:hAnsi="宋体" w:cs="宋体"/>
                <w:color w:val="auto"/>
                <w:sz w:val="24"/>
                <w:highlight w:val="none"/>
              </w:rPr>
            </w:pPr>
            <w:r>
              <w:rPr>
                <w:rFonts w:hint="eastAsia" w:ascii="宋体" w:hAnsi="宋体" w:cs="宋体"/>
                <w:color w:val="auto"/>
                <w:sz w:val="24"/>
                <w:highlight w:val="none"/>
              </w:rPr>
              <w:t>工期：合同签订接采购人开工通知后4</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日历天内完成工程施工。</w:t>
            </w:r>
          </w:p>
          <w:p w14:paraId="36EBFC07">
            <w:pPr>
              <w:pStyle w:val="968"/>
              <w:numPr>
                <w:ilvl w:val="0"/>
                <w:numId w:val="3"/>
              </w:numPr>
              <w:shd w:val="clear" w:fill="FFFFFF" w:themeFill="background1"/>
              <w:snapToGrid w:val="0"/>
              <w:spacing w:line="360" w:lineRule="auto"/>
              <w:ind w:left="420" w:leftChars="0" w:hanging="420" w:firstLineChars="0"/>
              <w:jc w:val="left"/>
              <w:rPr>
                <w:rFonts w:hint="eastAsia" w:ascii="宋体" w:hAnsi="宋体" w:cs="宋体"/>
                <w:b/>
                <w:color w:val="auto"/>
                <w:sz w:val="24"/>
                <w:highlight w:val="none"/>
              </w:rPr>
            </w:pPr>
            <w:r>
              <w:rPr>
                <w:rFonts w:hint="eastAsia" w:ascii="宋体" w:hAnsi="宋体" w:cs="宋体"/>
                <w:color w:val="auto"/>
                <w:sz w:val="24"/>
                <w:highlight w:val="none"/>
              </w:rPr>
              <w:t>质量标准：按国家施工验收规范验收合格。</w:t>
            </w:r>
          </w:p>
        </w:tc>
      </w:tr>
      <w:tr w14:paraId="44D68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C2D33B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093" w:type="dxa"/>
            <w:vAlign w:val="center"/>
          </w:tcPr>
          <w:p w14:paraId="7CB32E1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327" w:type="dxa"/>
            <w:vAlign w:val="center"/>
          </w:tcPr>
          <w:p w14:paraId="7916362F">
            <w:pPr>
              <w:spacing w:line="360" w:lineRule="auto"/>
              <w:rPr>
                <w:rFonts w:ascii="宋体" w:hAnsi="宋体" w:cs="宋体"/>
                <w:color w:val="auto"/>
                <w:sz w:val="24"/>
                <w:highlight w:val="none"/>
              </w:rPr>
            </w:pPr>
            <w:r>
              <w:rPr>
                <w:rFonts w:hint="eastAsia" w:ascii="宋体" w:hAnsi="宋体" w:cs="宋体"/>
                <w:color w:val="auto"/>
                <w:kern w:val="0"/>
                <w:sz w:val="24"/>
                <w:highlight w:val="none"/>
              </w:rPr>
              <w:t>工程</w:t>
            </w:r>
            <w:r>
              <w:rPr>
                <w:rFonts w:hint="eastAsia" w:ascii="宋体" w:hAnsi="宋体" w:cs="宋体"/>
                <w:color w:val="auto"/>
                <w:sz w:val="24"/>
                <w:highlight w:val="none"/>
              </w:rPr>
              <w:t>类</w:t>
            </w:r>
          </w:p>
        </w:tc>
      </w:tr>
      <w:tr w14:paraId="1EFB4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63E04B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2093" w:type="dxa"/>
            <w:vAlign w:val="center"/>
          </w:tcPr>
          <w:p w14:paraId="6754C99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327" w:type="dxa"/>
            <w:vAlign w:val="center"/>
          </w:tcPr>
          <w:p w14:paraId="7141330D">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标的：</w:t>
            </w:r>
            <w:r>
              <w:rPr>
                <w:rFonts w:hint="eastAsia" w:ascii="宋体" w:hAnsi="宋体" w:cs="宋体"/>
                <w:color w:val="auto"/>
                <w:kern w:val="0"/>
                <w:sz w:val="24"/>
                <w:highlight w:val="none"/>
                <w:u w:val="single"/>
                <w:lang w:eastAsia="zh-CN"/>
              </w:rPr>
              <w:t>杭州市美术职业学校莫干校区实训楼外立面改造项目</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rPr>
              <w:t xml:space="preserve"> 建筑业 </w:t>
            </w:r>
            <w:r>
              <w:rPr>
                <w:rFonts w:hint="eastAsia" w:ascii="宋体" w:hAnsi="宋体" w:eastAsia="宋体" w:cs="宋体"/>
                <w:color w:val="auto"/>
                <w:kern w:val="0"/>
                <w:sz w:val="24"/>
                <w:highlight w:val="none"/>
              </w:rPr>
              <w:t>行业；</w:t>
            </w:r>
          </w:p>
          <w:p w14:paraId="44F807EE">
            <w:pPr>
              <w:pStyle w:val="4"/>
              <w:ind w:left="0" w:firstLine="0"/>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根据《关于印发中小企业划型标准规定的通知》（工信部联企业〔2011〕300号）第四条第（三）项规定：</w:t>
            </w:r>
            <w:r>
              <w:rPr>
                <w:rFonts w:hint="eastAsia" w:ascii="宋体" w:hAnsi="宋体" w:eastAsia="宋体" w:cs="宋体"/>
                <w:b w:val="0"/>
                <w:bCs w:val="0"/>
                <w:color w:val="auto"/>
                <w:kern w:val="0"/>
                <w:sz w:val="24"/>
                <w:szCs w:val="24"/>
                <w:highlight w:val="none"/>
                <w:u w:val="single"/>
                <w:lang w:val="en-US" w:eastAsia="zh-CN" w:bidi="ar-SA"/>
              </w:rPr>
              <w:t>建筑业行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63C7E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6B03F9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2093" w:type="dxa"/>
            <w:vAlign w:val="center"/>
          </w:tcPr>
          <w:p w14:paraId="779BAB1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327" w:type="dxa"/>
            <w:vAlign w:val="center"/>
          </w:tcPr>
          <w:p w14:paraId="1D3EE5B0">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39348121"/>
                <w14:checkbox>
                  <w14:checked w14:val="1"/>
                  <w14:checkedState w14:val="00FE" w14:font="Wingdings"/>
                  <w14:uncheckedState w14:val="2610" w14:font="MS Gothic"/>
                </w14:checkbox>
              </w:sdtPr>
              <w:sdtEndPr>
                <w:rPr>
                  <w:rFonts w:hint="eastAsia" w:ascii="宋体" w:hAnsi="宋体" w:cs="宋体"/>
                  <w:b/>
                  <w:bCs/>
                  <w:color w:val="auto"/>
                  <w:kern w:val="0"/>
                  <w:sz w:val="24"/>
                  <w:highlight w:val="none"/>
                </w:rPr>
              </w:sdtEndPr>
              <w:sdtContent>
                <w:r>
                  <w:rPr>
                    <w:rFonts w:hint="eastAsia" w:ascii="宋体" w:hAnsi="宋体" w:cs="宋体"/>
                    <w:b/>
                    <w:bCs/>
                    <w:color w:val="auto"/>
                    <w:kern w:val="0"/>
                    <w:sz w:val="24"/>
                    <w:highlight w:val="none"/>
                  </w:rPr>
                  <w:sym w:font="Wingdings" w:char="F0FE"/>
                </w:r>
              </w:sdtContent>
            </w:sdt>
            <w:r>
              <w:rPr>
                <w:rFonts w:hint="eastAsia" w:ascii="宋体" w:hAnsi="宋体" w:cs="宋体"/>
                <w:b/>
                <w:bCs/>
                <w:color w:val="auto"/>
                <w:kern w:val="0"/>
                <w:sz w:val="24"/>
                <w:highlight w:val="none"/>
              </w:rPr>
              <w:t>本项目不允许采购进口产品。</w:t>
            </w:r>
          </w:p>
          <w:p w14:paraId="25B81EE1">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93424903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22A36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BE6442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2093" w:type="dxa"/>
            <w:vAlign w:val="center"/>
          </w:tcPr>
          <w:p w14:paraId="14483A3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分包</w:t>
            </w:r>
          </w:p>
        </w:tc>
        <w:tc>
          <w:tcPr>
            <w:tcW w:w="6327" w:type="dxa"/>
            <w:vAlign w:val="center"/>
          </w:tcPr>
          <w:p w14:paraId="5908CBE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830507879"/>
                <w14:checkbox>
                  <w14:checked w14:val="1"/>
                  <w14:checkedState w14:val="00FE" w14:font="Wingdings"/>
                  <w14:uncheckedState w14:val="2610" w14:font="MS Gothic"/>
                </w14:checkbox>
              </w:sdtPr>
              <w:sdtEndPr>
                <w:rPr>
                  <w:rFonts w:hint="eastAsia" w:ascii="宋体" w:hAnsi="宋体" w:cs="宋体"/>
                  <w:b/>
                  <w:bCs/>
                  <w:color w:val="auto"/>
                  <w:kern w:val="0"/>
                  <w:sz w:val="24"/>
                  <w:highlight w:val="none"/>
                </w:rPr>
              </w:sdtEndPr>
              <w:sdtContent>
                <w:r>
                  <w:rPr>
                    <w:rFonts w:ascii="Wingdings" w:hAnsi="Wingdings" w:cs="宋体"/>
                    <w:b/>
                    <w:bCs/>
                    <w:color w:val="auto"/>
                    <w:kern w:val="0"/>
                    <w:sz w:val="24"/>
                    <w:highlight w:val="none"/>
                  </w:rPr>
                  <w:t></w:t>
                </w:r>
              </w:sdtContent>
            </w:sdt>
            <w:r>
              <w:rPr>
                <w:rFonts w:hint="eastAsia" w:ascii="宋体" w:hAnsi="宋体" w:cs="宋体"/>
                <w:b/>
                <w:bCs/>
                <w:color w:val="auto"/>
                <w:kern w:val="0"/>
                <w:sz w:val="24"/>
                <w:highlight w:val="none"/>
              </w:rPr>
              <w:t xml:space="preserve"> A</w:t>
            </w:r>
            <w:r>
              <w:rPr>
                <w:rFonts w:hint="eastAsia" w:ascii="宋体" w:hAnsi="宋体" w:cs="宋体"/>
                <w:b/>
                <w:bCs/>
                <w:color w:val="auto"/>
                <w:sz w:val="24"/>
                <w:highlight w:val="none"/>
              </w:rPr>
              <w:t>同意将非主体、非关键性的工作分包。</w:t>
            </w:r>
          </w:p>
          <w:p w14:paraId="5F388B33">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8957932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不同意分包，具体理由：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94D308C">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322BC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A6F738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2093" w:type="dxa"/>
            <w:vAlign w:val="center"/>
          </w:tcPr>
          <w:p w14:paraId="1008F5A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磋商前答疑会或现场考察</w:t>
            </w:r>
          </w:p>
        </w:tc>
        <w:tc>
          <w:tcPr>
            <w:tcW w:w="6327" w:type="dxa"/>
            <w:vAlign w:val="center"/>
          </w:tcPr>
          <w:p w14:paraId="5FE72C9B">
            <w:pPr>
              <w:pStyle w:val="79"/>
              <w:spacing w:line="360" w:lineRule="auto"/>
              <w:ind w:firstLine="0" w:firstLineChars="0"/>
              <w:rPr>
                <w:rFonts w:hint="eastAsia" w:ascii="宋体" w:hAnsi="宋体" w:eastAsia="宋体" w:cs="宋体"/>
                <w:b w:val="0"/>
                <w:bCs w:val="0"/>
                <w:color w:val="auto"/>
                <w:sz w:val="24"/>
                <w:highlight w:val="none"/>
              </w:rPr>
            </w:pPr>
            <w:sdt>
              <w:sdtPr>
                <w:rPr>
                  <w:rFonts w:hint="eastAsia" w:ascii="宋体" w:hAnsi="宋体" w:cs="宋体"/>
                  <w:color w:val="auto"/>
                  <w:kern w:val="0"/>
                  <w:sz w:val="24"/>
                  <w:highlight w:val="none"/>
                </w:rPr>
                <w:id w:val="688692135"/>
                <w14:checkbox>
                  <w14:checked w14:val="0"/>
                  <w14:checkedState w14:val="00FE" w14:font="Wingdings"/>
                  <w14:uncheckedState w14:val="2610" w14:font="MS Gothic"/>
                </w14:checkbox>
              </w:sdtPr>
              <w:sdtEndPr>
                <w:rPr>
                  <w:rFonts w:hint="eastAsia" w:ascii="宋体" w:hAnsi="宋体" w:eastAsia="宋体" w:cs="宋体"/>
                  <w:b w:val="0"/>
                  <w:bCs w:val="0"/>
                  <w:color w:val="auto"/>
                  <w:kern w:val="0"/>
                  <w:sz w:val="24"/>
                  <w:highlight w:val="none"/>
                </w:rPr>
              </w:sdtEndPr>
              <w:sdtContent>
                <w:r>
                  <w:rPr>
                    <w:rFonts w:hint="eastAsia" w:ascii="宋体" w:hAnsi="宋体" w:eastAsia="宋体" w:cs="宋体"/>
                    <w:b w:val="0"/>
                    <w:bCs w:val="0"/>
                    <w:color w:val="auto"/>
                    <w:kern w:val="0"/>
                    <w:sz w:val="24"/>
                    <w:szCs w:val="21"/>
                    <w:highlight w:val="none"/>
                    <w:lang w:val="en-US" w:eastAsia="zh-CN" w:bidi="ar-SA"/>
                  </w:rPr>
                  <w:t>☐</w:t>
                </w:r>
              </w:sdtContent>
            </w:sdt>
            <w:r>
              <w:rPr>
                <w:rFonts w:hint="eastAsia" w:ascii="宋体" w:hAnsi="宋体" w:eastAsia="宋体" w:cs="宋体"/>
                <w:b w:val="0"/>
                <w:bCs w:val="0"/>
                <w:color w:val="auto"/>
                <w:kern w:val="0"/>
                <w:sz w:val="24"/>
                <w:highlight w:val="none"/>
                <w:lang w:val="en-US" w:eastAsia="zh-CN"/>
              </w:rPr>
              <w:t xml:space="preserve"> </w:t>
            </w:r>
            <w:r>
              <w:rPr>
                <w:rFonts w:hint="eastAsia" w:ascii="宋体" w:hAnsi="宋体" w:eastAsia="宋体" w:cs="宋体"/>
                <w:b w:val="0"/>
                <w:bCs w:val="0"/>
                <w:color w:val="auto"/>
                <w:kern w:val="0"/>
                <w:sz w:val="24"/>
                <w:highlight w:val="none"/>
              </w:rPr>
              <w:t>A</w:t>
            </w:r>
            <w:r>
              <w:rPr>
                <w:rFonts w:hint="eastAsia" w:ascii="宋体" w:hAnsi="宋体" w:eastAsia="宋体" w:cs="宋体"/>
                <w:b w:val="0"/>
                <w:bCs w:val="0"/>
                <w:color w:val="auto"/>
                <w:sz w:val="24"/>
                <w:highlight w:val="none"/>
              </w:rPr>
              <w:t>不组织。</w:t>
            </w:r>
          </w:p>
          <w:p w14:paraId="52462EEC">
            <w:pPr>
              <w:pStyle w:val="79"/>
              <w:spacing w:line="360" w:lineRule="auto"/>
              <w:ind w:firstLine="0" w:firstLineChars="0"/>
              <w:rPr>
                <w:rFonts w:hint="eastAsia" w:ascii="宋体" w:hAnsi="宋体" w:eastAsia="宋体" w:cs="宋体"/>
                <w:b w:val="0"/>
                <w:bCs w:val="0"/>
                <w:color w:val="auto"/>
                <w:sz w:val="24"/>
                <w:szCs w:val="20"/>
                <w:highlight w:val="none"/>
              </w:rPr>
            </w:pPr>
            <w:sdt>
              <w:sdtPr>
                <w:rPr>
                  <w:rFonts w:hint="eastAsia" w:ascii="宋体" w:hAnsi="宋体" w:eastAsia="宋体" w:cs="宋体"/>
                  <w:b w:val="0"/>
                  <w:bCs w:val="0"/>
                  <w:color w:val="auto"/>
                  <w:kern w:val="0"/>
                  <w:sz w:val="24"/>
                  <w:highlight w:val="none"/>
                </w:rPr>
                <w:id w:val="374731186"/>
                <w14:checkbox>
                  <w14:checked w14:val="0"/>
                  <w14:checkedState w14:val="00FE" w14:font="Wingdings"/>
                  <w14:uncheckedState w14:val="2610" w14:font="MS Gothic"/>
                </w14:checkbox>
              </w:sdtPr>
              <w:sdtEndPr>
                <w:rPr>
                  <w:rFonts w:hint="eastAsia" w:ascii="宋体" w:hAnsi="宋体" w:eastAsia="宋体" w:cs="宋体"/>
                  <w:b w:val="0"/>
                  <w:bCs w:val="0"/>
                  <w:color w:val="auto"/>
                  <w:kern w:val="0"/>
                  <w:sz w:val="24"/>
                  <w:highlight w:val="none"/>
                </w:rPr>
              </w:sdtEndPr>
              <w:sdtContent>
                <w:r>
                  <w:rPr>
                    <w:rFonts w:hint="eastAsia" w:ascii="宋体" w:hAnsi="宋体" w:eastAsia="宋体" w:cs="宋体"/>
                    <w:b w:val="0"/>
                    <w:bCs w:val="0"/>
                    <w:color w:val="auto"/>
                    <w:kern w:val="0"/>
                    <w:sz w:val="24"/>
                    <w:highlight w:val="none"/>
                  </w:rPr>
                  <w:t>☐</w:t>
                </w:r>
              </w:sdtContent>
            </w:sdt>
            <w:r>
              <w:rPr>
                <w:rFonts w:hint="eastAsia" w:ascii="宋体" w:hAnsi="宋体" w:eastAsia="宋体" w:cs="宋体"/>
                <w:b w:val="0"/>
                <w:bCs w:val="0"/>
                <w:color w:val="auto"/>
                <w:kern w:val="0"/>
                <w:sz w:val="24"/>
                <w:highlight w:val="none"/>
                <w:lang w:val="en-US" w:eastAsia="zh-CN"/>
              </w:rPr>
              <w:t xml:space="preserve"> </w:t>
            </w:r>
            <w:r>
              <w:rPr>
                <w:rFonts w:hint="eastAsia" w:ascii="宋体" w:hAnsi="宋体" w:eastAsia="宋体" w:cs="宋体"/>
                <w:b w:val="0"/>
                <w:bCs w:val="0"/>
                <w:color w:val="auto"/>
                <w:kern w:val="0"/>
                <w:sz w:val="24"/>
                <w:highlight w:val="none"/>
              </w:rPr>
              <w:t>B组织，</w:t>
            </w:r>
            <w:r>
              <w:rPr>
                <w:rFonts w:hint="eastAsia" w:ascii="宋体" w:hAnsi="宋体" w:eastAsia="宋体" w:cs="宋体"/>
                <w:b w:val="0"/>
                <w:bCs w:val="0"/>
                <w:color w:val="auto"/>
                <w:sz w:val="24"/>
                <w:highlight w:val="none"/>
              </w:rPr>
              <w:t>时间：</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rPr>
              <w:t>,地点：</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rPr>
              <w:t>，联系人：</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rPr>
              <w:t>，联系方式：</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szCs w:val="20"/>
                <w:highlight w:val="none"/>
              </w:rPr>
              <w:t>。</w:t>
            </w:r>
          </w:p>
          <w:p w14:paraId="66E8B434">
            <w:pPr>
              <w:pStyle w:val="79"/>
              <w:spacing w:line="360" w:lineRule="auto"/>
              <w:ind w:firstLine="0" w:firstLineChars="0"/>
              <w:rPr>
                <w:rFonts w:hint="eastAsia" w:ascii="宋体" w:hAnsi="宋体" w:eastAsia="宋体" w:cs="宋体"/>
                <w:b/>
                <w:bCs/>
                <w:color w:val="auto"/>
                <w:kern w:val="0"/>
                <w:sz w:val="24"/>
                <w:highlight w:val="none"/>
              </w:rPr>
            </w:pPr>
            <w:sdt>
              <w:sdtPr>
                <w:rPr>
                  <w:rFonts w:hint="eastAsia" w:ascii="宋体" w:hAnsi="宋体" w:eastAsia="宋体" w:cs="宋体"/>
                  <w:color w:val="auto"/>
                  <w:kern w:val="0"/>
                  <w:sz w:val="24"/>
                  <w:highlight w:val="none"/>
                </w:rPr>
                <w:id w:val="147476514"/>
                <w14:checkbox>
                  <w14:checked w14:val="1"/>
                  <w14:checkedState w14:val="00FE" w14:font="Wingdings"/>
                  <w14:uncheckedState w14:val="2610" w14:font="MS Gothic"/>
                </w14:checkbox>
              </w:sdtPr>
              <w:sdtEndPr>
                <w:rPr>
                  <w:rFonts w:hint="eastAsia" w:ascii="宋体" w:hAnsi="宋体" w:eastAsia="宋体" w:cs="宋体"/>
                  <w:b w:val="0"/>
                  <w:bCs w:val="0"/>
                  <w:color w:val="auto"/>
                  <w:kern w:val="0"/>
                  <w:sz w:val="24"/>
                  <w:highlight w:val="none"/>
                </w:rPr>
              </w:sdtEndPr>
              <w:sdtContent>
                <w:r>
                  <w:rPr>
                    <w:rFonts w:hint="eastAsia" w:ascii="Wingdings" w:hAnsi="Wingdings" w:eastAsia="宋体" w:cs="宋体"/>
                    <w:b w:val="0"/>
                    <w:bCs w:val="0"/>
                    <w:color w:val="auto"/>
                    <w:kern w:val="0"/>
                    <w:sz w:val="24"/>
                    <w:szCs w:val="21"/>
                    <w:highlight w:val="none"/>
                    <w:lang w:val="en-US" w:eastAsia="zh-CN" w:bidi="ar-SA"/>
                  </w:rPr>
                  <w:t>þ</w:t>
                </w:r>
              </w:sdtContent>
            </w:sdt>
            <w:r>
              <w:rPr>
                <w:rFonts w:hint="eastAsia" w:ascii="宋体" w:hAnsi="宋体" w:eastAsia="宋体" w:cs="宋体"/>
                <w:b w:val="0"/>
                <w:bCs w:val="0"/>
                <w:color w:val="auto"/>
                <w:kern w:val="0"/>
                <w:sz w:val="24"/>
                <w:highlight w:val="none"/>
                <w:lang w:val="en-US" w:eastAsia="zh-CN"/>
              </w:rPr>
              <w:t xml:space="preserve"> </w:t>
            </w:r>
            <w:r>
              <w:rPr>
                <w:rFonts w:hint="eastAsia" w:ascii="宋体" w:hAnsi="宋体" w:eastAsia="宋体" w:cs="宋体"/>
                <w:b/>
                <w:bCs/>
                <w:color w:val="auto"/>
                <w:kern w:val="0"/>
                <w:sz w:val="24"/>
                <w:highlight w:val="none"/>
              </w:rPr>
              <w:t>C不统一组织，供应商在获取采购文件后，自行至项目现场考察。以充分了解工地位置、情况、道路、储存空间、装卸限制及任何其他足以影响承包价的情况，任何因忽视或误解工地情况而导致的索赔或工期延长申请将不被批准。</w:t>
            </w:r>
          </w:p>
          <w:p w14:paraId="237948B0">
            <w:pPr>
              <w:pStyle w:val="79"/>
              <w:spacing w:line="360" w:lineRule="auto"/>
              <w:ind w:firstLine="0" w:firstLineChars="0"/>
              <w:rPr>
                <w:rFonts w:hint="default"/>
                <w:color w:val="auto"/>
                <w:highlight w:val="none"/>
                <w:lang w:val="en-US"/>
              </w:rPr>
            </w:pPr>
            <w:r>
              <w:rPr>
                <w:rFonts w:hint="eastAsia" w:ascii="宋体" w:hAnsi="宋体" w:eastAsia="宋体" w:cs="宋体"/>
                <w:b/>
                <w:bCs/>
                <w:color w:val="auto"/>
                <w:kern w:val="0"/>
                <w:sz w:val="24"/>
                <w:highlight w:val="none"/>
              </w:rPr>
              <w:t>地点：</w:t>
            </w:r>
            <w:r>
              <w:rPr>
                <w:rFonts w:hint="eastAsia" w:ascii="宋体" w:hAnsi="宋体" w:eastAsia="宋体" w:cs="宋体"/>
                <w:b/>
                <w:bCs/>
                <w:color w:val="auto"/>
                <w:kern w:val="0"/>
                <w:sz w:val="24"/>
                <w:highlight w:val="none"/>
                <w:u w:val="single"/>
                <w:lang w:eastAsia="zh-CN"/>
              </w:rPr>
              <w:t>杭州市拱墅区莫干山路142号</w:t>
            </w:r>
            <w:r>
              <w:rPr>
                <w:rFonts w:hint="eastAsia" w:ascii="宋体" w:hAnsi="宋体" w:eastAsia="宋体" w:cs="宋体"/>
                <w:b/>
                <w:bCs/>
                <w:color w:val="auto"/>
                <w:kern w:val="0"/>
                <w:sz w:val="24"/>
                <w:highlight w:val="none"/>
                <w:u w:val="single"/>
              </w:rPr>
              <w:t xml:space="preserve"> </w:t>
            </w:r>
            <w:r>
              <w:rPr>
                <w:rFonts w:hint="eastAsia" w:ascii="宋体" w:hAnsi="宋体" w:eastAsia="宋体" w:cs="宋体"/>
                <w:b/>
                <w:bCs/>
                <w:color w:val="auto"/>
                <w:kern w:val="0"/>
                <w:sz w:val="24"/>
                <w:highlight w:val="none"/>
              </w:rPr>
              <w:t>，联系人：</w:t>
            </w:r>
            <w:r>
              <w:rPr>
                <w:rFonts w:hint="eastAsia" w:ascii="宋体" w:hAnsi="宋体" w:eastAsia="宋体" w:cs="宋体"/>
                <w:b/>
                <w:bCs/>
                <w:color w:val="auto"/>
                <w:kern w:val="0"/>
                <w:sz w:val="24"/>
                <w:highlight w:val="none"/>
                <w:u w:val="single"/>
                <w:lang w:val="en-US" w:eastAsia="zh-CN"/>
              </w:rPr>
              <w:t xml:space="preserve">诸葛老师 </w:t>
            </w:r>
            <w:r>
              <w:rPr>
                <w:rFonts w:hint="eastAsia" w:ascii="宋体" w:hAnsi="宋体" w:eastAsia="宋体" w:cs="宋体"/>
                <w:b/>
                <w:bCs/>
                <w:color w:val="auto"/>
                <w:kern w:val="0"/>
                <w:sz w:val="24"/>
                <w:highlight w:val="none"/>
              </w:rPr>
              <w:t>，联系方式：</w:t>
            </w:r>
            <w:r>
              <w:rPr>
                <w:rFonts w:hint="eastAsia" w:ascii="宋体" w:hAnsi="宋体" w:eastAsia="宋体" w:cs="宋体"/>
                <w:b/>
                <w:bCs/>
                <w:color w:val="auto"/>
                <w:kern w:val="0"/>
                <w:sz w:val="24"/>
                <w:highlight w:val="none"/>
                <w:u w:val="single"/>
                <w:lang w:eastAsia="zh-CN"/>
              </w:rPr>
              <w:t>0571-86069207</w:t>
            </w:r>
            <w:r>
              <w:rPr>
                <w:rFonts w:hint="eastAsia" w:ascii="宋体" w:hAnsi="宋体" w:eastAsia="宋体" w:cs="宋体"/>
                <w:b/>
                <w:bCs/>
                <w:color w:val="auto"/>
                <w:kern w:val="0"/>
                <w:sz w:val="24"/>
                <w:highlight w:val="none"/>
                <w:u w:val="single"/>
                <w:lang w:val="en-US" w:eastAsia="zh-CN"/>
              </w:rPr>
              <w:t xml:space="preserve"> </w:t>
            </w:r>
          </w:p>
        </w:tc>
      </w:tr>
      <w:tr w14:paraId="46565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C9C718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2093" w:type="dxa"/>
            <w:vAlign w:val="center"/>
          </w:tcPr>
          <w:p w14:paraId="3959454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327" w:type="dxa"/>
            <w:vAlign w:val="center"/>
          </w:tcPr>
          <w:p w14:paraId="163F003D">
            <w:pPr>
              <w:spacing w:line="360" w:lineRule="auto"/>
              <w:rPr>
                <w:rFonts w:hint="eastAsia" w:ascii="宋体" w:hAnsi="宋体" w:eastAsia="宋体" w:cs="宋体"/>
                <w:b w:val="0"/>
                <w:bCs w:val="0"/>
                <w:color w:val="auto"/>
                <w:sz w:val="24"/>
                <w:highlight w:val="none"/>
                <w:lang w:eastAsia="zh-CN"/>
              </w:rPr>
            </w:pPr>
            <w:sdt>
              <w:sdtPr>
                <w:rPr>
                  <w:rFonts w:hint="eastAsia" w:ascii="宋体" w:hAnsi="宋体" w:cs="宋体"/>
                  <w:b w:val="0"/>
                  <w:bCs w:val="0"/>
                  <w:color w:val="auto"/>
                  <w:kern w:val="0"/>
                  <w:sz w:val="24"/>
                  <w:highlight w:val="none"/>
                </w:rPr>
                <w:id w:val="147455692"/>
                <w14:checkbox>
                  <w14:checked w14:val="0"/>
                  <w14:checkedState w14:val="00FE" w14:font="Wingdings"/>
                  <w14:uncheckedState w14:val="2610" w14:font="MS Gothic"/>
                </w14:checkbox>
              </w:sdtPr>
              <w:sdtEndPr>
                <w:rPr>
                  <w:rFonts w:hint="eastAsia" w:ascii="宋体" w:hAnsi="宋体" w:cs="宋体"/>
                  <w:b w:val="0"/>
                  <w:bCs w:val="0"/>
                  <w:color w:val="auto"/>
                  <w:kern w:val="0"/>
                  <w:sz w:val="24"/>
                  <w:highlight w:val="none"/>
                </w:rPr>
              </w:sdtEndPr>
              <w:sdtContent>
                <w:r>
                  <w:rPr>
                    <w:rFonts w:ascii="MS Gothic" w:hAnsi="MS Gothic" w:eastAsia="宋体" w:cs="宋体"/>
                    <w:b w:val="0"/>
                    <w:bCs w:val="0"/>
                    <w:color w:val="auto"/>
                    <w:kern w:val="0"/>
                    <w:sz w:val="24"/>
                    <w:szCs w:val="24"/>
                    <w:highlight w:val="none"/>
                    <w:lang w:val="en-US" w:eastAsia="zh-CN" w:bidi="ar-SA"/>
                  </w:rPr>
                  <w:t>☐</w:t>
                </w:r>
              </w:sdtContent>
            </w:sdt>
            <w:r>
              <w:rPr>
                <w:rFonts w:hint="eastAsia" w:ascii="宋体" w:hAnsi="宋体" w:cs="宋体"/>
                <w:b w:val="0"/>
                <w:bCs w:val="0"/>
                <w:color w:val="auto"/>
                <w:kern w:val="0"/>
                <w:sz w:val="24"/>
                <w:highlight w:val="none"/>
              </w:rPr>
              <w:t>A</w:t>
            </w:r>
            <w:r>
              <w:rPr>
                <w:rFonts w:hint="eastAsia" w:ascii="宋体" w:hAnsi="宋体" w:cs="宋体"/>
                <w:b w:val="0"/>
                <w:bCs w:val="0"/>
                <w:color w:val="auto"/>
                <w:sz w:val="24"/>
                <w:highlight w:val="none"/>
              </w:rPr>
              <w:t>不要求提供</w:t>
            </w:r>
            <w:r>
              <w:rPr>
                <w:rFonts w:hint="eastAsia" w:ascii="宋体" w:hAnsi="宋体" w:cs="宋体"/>
                <w:b w:val="0"/>
                <w:bCs w:val="0"/>
                <w:color w:val="auto"/>
                <w:sz w:val="24"/>
                <w:highlight w:val="none"/>
                <w:lang w:eastAsia="zh-CN"/>
              </w:rPr>
              <w:t>；</w:t>
            </w:r>
          </w:p>
          <w:p w14:paraId="514C24EA">
            <w:pPr>
              <w:spacing w:line="360" w:lineRule="auto"/>
              <w:rPr>
                <w:rFonts w:hint="eastAsia" w:ascii="宋体" w:hAnsi="宋体" w:eastAsia="宋体" w:cs="宋体"/>
                <w:b/>
                <w:bCs/>
                <w:color w:val="auto"/>
                <w:kern w:val="0"/>
                <w:sz w:val="24"/>
                <w:highlight w:val="none"/>
                <w:lang w:eastAsia="zh-CN"/>
              </w:rPr>
            </w:pPr>
            <w:sdt>
              <w:sdtPr>
                <w:rPr>
                  <w:rFonts w:hint="eastAsia" w:ascii="宋体" w:hAnsi="宋体" w:cs="宋体"/>
                  <w:color w:val="auto"/>
                  <w:kern w:val="0"/>
                  <w:sz w:val="24"/>
                  <w:highlight w:val="none"/>
                </w:rPr>
                <w:id w:val="147464508"/>
                <w14:checkbox>
                  <w14:checked w14:val="1"/>
                  <w14:checkedState w14:val="00FE" w14:font="Wingdings"/>
                  <w14:uncheckedState w14:val="2610" w14:font="MS Gothic"/>
                </w14:checkbox>
              </w:sdtPr>
              <w:sdtEndPr>
                <w:rPr>
                  <w:rFonts w:hint="eastAsia" w:ascii="宋体" w:hAnsi="宋体" w:cs="宋体"/>
                  <w:b/>
                  <w:bCs/>
                  <w:color w:val="auto"/>
                  <w:kern w:val="0"/>
                  <w:sz w:val="24"/>
                  <w:highlight w:val="none"/>
                </w:rPr>
              </w:sdtEndPr>
              <w:sdtContent>
                <w:r>
                  <w:rPr>
                    <w:rFonts w:hint="eastAsia" w:ascii="Wingdings" w:hAnsi="Wingdings" w:eastAsia="宋体" w:cs="宋体"/>
                    <w:b/>
                    <w:bCs/>
                    <w:color w:val="auto"/>
                    <w:kern w:val="0"/>
                    <w:sz w:val="24"/>
                    <w:szCs w:val="24"/>
                    <w:highlight w:val="none"/>
                    <w:lang w:val="en-US" w:eastAsia="zh-CN" w:bidi="ar-SA"/>
                  </w:rPr>
                  <w:t>þ</w:t>
                </w:r>
              </w:sdtContent>
            </w:sdt>
            <w:r>
              <w:rPr>
                <w:rFonts w:hint="eastAsia" w:ascii="宋体" w:hAnsi="宋体" w:cs="宋体"/>
                <w:b/>
                <w:bCs/>
                <w:color w:val="auto"/>
                <w:kern w:val="0"/>
                <w:sz w:val="24"/>
                <w:highlight w:val="none"/>
              </w:rPr>
              <w:t>B要求提供</w:t>
            </w:r>
            <w:r>
              <w:rPr>
                <w:rFonts w:hint="eastAsia" w:ascii="宋体" w:hAnsi="宋体" w:cs="宋体"/>
                <w:b/>
                <w:bCs/>
                <w:color w:val="auto"/>
                <w:kern w:val="0"/>
                <w:sz w:val="24"/>
                <w:highlight w:val="none"/>
                <w:lang w:eastAsia="zh-CN"/>
              </w:rPr>
              <w:t>。</w:t>
            </w:r>
          </w:p>
          <w:p w14:paraId="3ACB5AD9">
            <w:pPr>
              <w:spacing w:line="360" w:lineRule="auto"/>
              <w:rPr>
                <w:rFonts w:ascii="宋体" w:hAnsi="宋体" w:cs="宋体"/>
                <w:b/>
                <w:bCs/>
                <w:color w:val="auto"/>
                <w:kern w:val="0"/>
                <w:sz w:val="24"/>
                <w:highlight w:val="none"/>
                <w:u w:val="single"/>
              </w:rPr>
            </w:pPr>
            <w:r>
              <w:rPr>
                <w:rFonts w:hint="eastAsia" w:ascii="宋体" w:hAnsi="宋体" w:cs="宋体"/>
                <w:b/>
                <w:bCs/>
                <w:color w:val="auto"/>
                <w:kern w:val="0"/>
                <w:sz w:val="24"/>
                <w:highlight w:val="none"/>
              </w:rPr>
              <w:t>（1）</w:t>
            </w:r>
            <w:r>
              <w:rPr>
                <w:rFonts w:hint="eastAsia" w:ascii="宋体" w:hAnsi="宋体" w:cs="宋体"/>
                <w:b/>
                <w:bCs/>
                <w:snapToGrid w:val="0"/>
                <w:color w:val="auto"/>
                <w:kern w:val="28"/>
                <w:sz w:val="24"/>
                <w:highlight w:val="none"/>
              </w:rPr>
              <w:t>样品：</w:t>
            </w:r>
            <w:r>
              <w:rPr>
                <w:rFonts w:hint="eastAsia" w:ascii="宋体" w:hAnsi="宋体" w:cs="宋体"/>
                <w:b/>
                <w:bCs/>
                <w:color w:val="auto"/>
                <w:sz w:val="24"/>
                <w:szCs w:val="24"/>
                <w:highlight w:val="none"/>
                <w:u w:val="single"/>
                <w:lang w:val="en-US" w:eastAsia="zh-CN"/>
              </w:rPr>
              <w:t>①</w:t>
            </w:r>
            <w:r>
              <w:rPr>
                <w:rFonts w:hint="eastAsia" w:ascii="宋体" w:hAnsi="宋体" w:cs="宋体"/>
                <w:b/>
                <w:bCs/>
                <w:color w:val="auto"/>
                <w:kern w:val="0"/>
                <w:sz w:val="24"/>
                <w:szCs w:val="24"/>
                <w:highlight w:val="none"/>
                <w:u w:val="single"/>
              </w:rPr>
              <w:t>外墙真石漆涂料：提供不小于A4纸大小（21</w:t>
            </w:r>
            <w:r>
              <w:rPr>
                <w:rFonts w:hint="eastAsia" w:ascii="宋体" w:hAnsi="宋体" w:cs="宋体"/>
                <w:b/>
                <w:bCs/>
                <w:color w:val="auto"/>
                <w:kern w:val="0"/>
                <w:sz w:val="24"/>
                <w:szCs w:val="24"/>
                <w:highlight w:val="none"/>
                <w:u w:val="single"/>
                <w:lang w:val="en-US" w:eastAsia="zh-CN"/>
              </w:rPr>
              <w:t>0</w:t>
            </w:r>
            <w:r>
              <w:rPr>
                <w:rFonts w:hint="eastAsia" w:ascii="宋体" w:hAnsi="宋体" w:cs="宋体"/>
                <w:b/>
                <w:bCs/>
                <w:color w:val="auto"/>
                <w:kern w:val="0"/>
                <w:sz w:val="24"/>
                <w:szCs w:val="24"/>
                <w:highlight w:val="none"/>
                <w:u w:val="single"/>
              </w:rPr>
              <w:t>*297</w:t>
            </w:r>
            <w:r>
              <w:rPr>
                <w:rFonts w:hint="eastAsia" w:ascii="宋体" w:hAnsi="宋体" w:cs="宋体"/>
                <w:b/>
                <w:bCs/>
                <w:color w:val="auto"/>
                <w:kern w:val="0"/>
                <w:sz w:val="24"/>
                <w:szCs w:val="24"/>
                <w:highlight w:val="none"/>
                <w:u w:val="single"/>
                <w:lang w:val="en-US" w:eastAsia="zh-CN"/>
              </w:rPr>
              <w:t>m</w:t>
            </w:r>
            <w:r>
              <w:rPr>
                <w:rFonts w:hint="eastAsia" w:ascii="宋体" w:hAnsi="宋体" w:cs="宋体"/>
                <w:b/>
                <w:bCs/>
                <w:color w:val="auto"/>
                <w:kern w:val="0"/>
                <w:sz w:val="24"/>
                <w:szCs w:val="24"/>
                <w:highlight w:val="none"/>
                <w:u w:val="single"/>
              </w:rPr>
              <w:t>m)的样板（颜色不限）</w:t>
            </w:r>
            <w:r>
              <w:rPr>
                <w:rFonts w:hint="eastAsia" w:ascii="宋体" w:hAnsi="宋体" w:cs="宋体"/>
                <w:b/>
                <w:bCs/>
                <w:color w:val="auto"/>
                <w:kern w:val="0"/>
                <w:sz w:val="24"/>
                <w:szCs w:val="24"/>
                <w:highlight w:val="none"/>
                <w:u w:val="single"/>
                <w:lang w:eastAsia="zh-CN"/>
              </w:rPr>
              <w:t>；</w:t>
            </w:r>
            <w:r>
              <w:rPr>
                <w:rFonts w:hint="eastAsia" w:ascii="宋体" w:hAnsi="宋体" w:cs="宋体"/>
                <w:b/>
                <w:bCs/>
                <w:color w:val="auto"/>
                <w:sz w:val="24"/>
                <w:szCs w:val="24"/>
                <w:highlight w:val="none"/>
                <w:u w:val="single"/>
                <w:lang w:val="en-US" w:eastAsia="zh-CN"/>
              </w:rPr>
              <w:t>②铝板</w:t>
            </w:r>
            <w:r>
              <w:rPr>
                <w:rFonts w:hint="eastAsia" w:ascii="宋体" w:hAnsi="宋体" w:eastAsia="宋体" w:cs="宋体"/>
                <w:b/>
                <w:bCs/>
                <w:i w:val="0"/>
                <w:iCs w:val="0"/>
                <w:color w:val="auto"/>
                <w:kern w:val="0"/>
                <w:sz w:val="24"/>
                <w:szCs w:val="24"/>
                <w:highlight w:val="none"/>
                <w:u w:val="single"/>
                <w:lang w:val="en-US" w:eastAsia="zh-CN" w:bidi="ar"/>
              </w:rPr>
              <w:t>（厚度按清单描述）</w:t>
            </w:r>
            <w:r>
              <w:rPr>
                <w:rFonts w:hint="eastAsia" w:ascii="宋体" w:hAnsi="宋体" w:cs="宋体"/>
                <w:b/>
                <w:bCs/>
                <w:color w:val="auto"/>
                <w:sz w:val="24"/>
                <w:szCs w:val="24"/>
                <w:highlight w:val="none"/>
                <w:u w:val="single"/>
                <w:lang w:val="en-US" w:eastAsia="zh-CN"/>
              </w:rPr>
              <w:t>：</w:t>
            </w:r>
            <w:r>
              <w:rPr>
                <w:rFonts w:hint="eastAsia" w:ascii="宋体" w:hAnsi="宋体" w:cs="宋体"/>
                <w:b/>
                <w:bCs/>
                <w:color w:val="auto"/>
                <w:kern w:val="0"/>
                <w:sz w:val="24"/>
                <w:szCs w:val="24"/>
                <w:highlight w:val="none"/>
                <w:u w:val="single"/>
              </w:rPr>
              <w:t>提供不小于</w:t>
            </w:r>
            <w:r>
              <w:rPr>
                <w:rFonts w:hint="eastAsia" w:ascii="宋体" w:hAnsi="宋体" w:cs="宋体"/>
                <w:b/>
                <w:bCs/>
                <w:color w:val="auto"/>
                <w:kern w:val="0"/>
                <w:sz w:val="24"/>
                <w:szCs w:val="24"/>
                <w:highlight w:val="none"/>
                <w:u w:val="single"/>
                <w:lang w:val="en-US" w:eastAsia="zh-CN"/>
              </w:rPr>
              <w:t>200</w:t>
            </w:r>
            <w:r>
              <w:rPr>
                <w:rFonts w:hint="eastAsia" w:ascii="宋体" w:hAnsi="宋体" w:cs="宋体"/>
                <w:b/>
                <w:bCs/>
                <w:color w:val="auto"/>
                <w:kern w:val="0"/>
                <w:sz w:val="24"/>
                <w:szCs w:val="24"/>
                <w:highlight w:val="none"/>
                <w:u w:val="single"/>
              </w:rPr>
              <w:t>*</w:t>
            </w:r>
            <w:r>
              <w:rPr>
                <w:rFonts w:hint="eastAsia" w:ascii="宋体" w:hAnsi="宋体" w:cs="宋体"/>
                <w:b/>
                <w:bCs/>
                <w:color w:val="auto"/>
                <w:kern w:val="0"/>
                <w:sz w:val="24"/>
                <w:szCs w:val="24"/>
                <w:highlight w:val="none"/>
                <w:u w:val="single"/>
                <w:lang w:val="en-US" w:eastAsia="zh-CN"/>
              </w:rPr>
              <w:t>300m</w:t>
            </w:r>
            <w:r>
              <w:rPr>
                <w:rFonts w:hint="eastAsia" w:ascii="宋体" w:hAnsi="宋体" w:cs="宋体"/>
                <w:b/>
                <w:bCs/>
                <w:color w:val="auto"/>
                <w:kern w:val="0"/>
                <w:sz w:val="24"/>
                <w:szCs w:val="24"/>
                <w:highlight w:val="none"/>
                <w:u w:val="single"/>
              </w:rPr>
              <w:t>m的样板（颜色不限）</w:t>
            </w:r>
            <w:r>
              <w:rPr>
                <w:rFonts w:hint="eastAsia" w:ascii="宋体" w:hAnsi="宋体" w:cs="宋体"/>
                <w:b/>
                <w:bCs/>
                <w:color w:val="auto"/>
                <w:sz w:val="24"/>
                <w:szCs w:val="24"/>
                <w:highlight w:val="none"/>
                <w:u w:val="single"/>
                <w:lang w:eastAsia="zh-CN"/>
              </w:rPr>
              <w:t>。</w:t>
            </w:r>
          </w:p>
          <w:p w14:paraId="128D06CA">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kern w:val="0"/>
                <w:sz w:val="24"/>
                <w:highlight w:val="none"/>
                <w:u w:val="single"/>
              </w:rPr>
              <w:t>详见需求</w:t>
            </w:r>
            <w:r>
              <w:rPr>
                <w:rFonts w:hint="eastAsia" w:ascii="宋体" w:hAnsi="宋体" w:cs="宋体"/>
                <w:color w:val="auto"/>
                <w:kern w:val="0"/>
                <w:sz w:val="24"/>
                <w:highlight w:val="none"/>
              </w:rPr>
              <w:t>；</w:t>
            </w:r>
          </w:p>
          <w:p w14:paraId="08F0E33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评审办法</w:t>
            </w:r>
            <w:r>
              <w:rPr>
                <w:rFonts w:hint="eastAsia" w:ascii="宋体" w:hAnsi="宋体" w:cs="宋体"/>
                <w:color w:val="auto"/>
                <w:kern w:val="0"/>
                <w:sz w:val="24"/>
                <w:highlight w:val="none"/>
              </w:rPr>
              <w:t>；</w:t>
            </w:r>
          </w:p>
          <w:p w14:paraId="027CCE47">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4747250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4745305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C8ACB00">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截止时间同项目投标截止时间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杭州市环站东路</w:t>
            </w:r>
            <w:r>
              <w:rPr>
                <w:rFonts w:hint="eastAsia" w:ascii="宋体" w:hAnsi="宋体" w:cs="宋体"/>
                <w:color w:val="auto"/>
                <w:sz w:val="24"/>
                <w:highlight w:val="none"/>
                <w:u w:val="single"/>
                <w:lang w:eastAsia="zh-CN"/>
              </w:rPr>
              <w:t>99号云峰大厦</w:t>
            </w:r>
            <w:r>
              <w:rPr>
                <w:rFonts w:hint="eastAsia" w:ascii="宋体" w:hAnsi="宋体" w:cs="宋体"/>
                <w:color w:val="auto"/>
                <w:sz w:val="24"/>
                <w:highlight w:val="none"/>
                <w:u w:val="single"/>
              </w:rPr>
              <w:t>1号楼</w:t>
            </w:r>
            <w:r>
              <w:rPr>
                <w:rFonts w:hint="eastAsia" w:ascii="宋体" w:hAnsi="宋体" w:cs="宋体"/>
                <w:color w:val="auto"/>
                <w:sz w:val="24"/>
                <w:highlight w:val="none"/>
                <w:u w:val="single"/>
                <w:lang w:val="en-US" w:eastAsia="zh-CN"/>
              </w:rPr>
              <w:t>16</w:t>
            </w:r>
            <w:r>
              <w:rPr>
                <w:rFonts w:hint="eastAsia" w:ascii="宋体" w:hAnsi="宋体" w:cs="宋体"/>
                <w:color w:val="auto"/>
                <w:sz w:val="24"/>
                <w:highlight w:val="none"/>
                <w:u w:val="single"/>
              </w:rPr>
              <w:t>楼</w:t>
            </w:r>
            <w:r>
              <w:rPr>
                <w:rFonts w:hint="eastAsia" w:ascii="宋体" w:hAnsi="宋体" w:cs="宋体"/>
                <w:color w:val="auto"/>
                <w:sz w:val="24"/>
                <w:highlight w:val="none"/>
                <w:u w:val="single"/>
                <w:lang w:val="en-US" w:eastAsia="zh-CN"/>
              </w:rPr>
              <w:t>1608开标室</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成晓松</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18221599746</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。请供应商在上述时间内提供样品并按规定位置安装完毕。超过截止时间的，采购人或采购代理机构将不予接收，并将清场并封闭样品现场。</w:t>
            </w:r>
          </w:p>
          <w:p w14:paraId="394F95C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(6)采购活动结束后，对于未成交供应商提供的样品，采购人、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将通知未成交供应商在规定的时间内取回，逾期未取回的，采购人、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不负保管义务；对于成交供应商提供的样品，采购人将进行保管、封存，并作为履约验收的参考。</w:t>
            </w:r>
          </w:p>
          <w:p w14:paraId="02E14665">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（7）制作、运输、安装和保管样品所发生的一切费用由供应商自理。</w:t>
            </w:r>
          </w:p>
        </w:tc>
      </w:tr>
      <w:tr w14:paraId="74249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9B620C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2093" w:type="dxa"/>
            <w:vAlign w:val="center"/>
          </w:tcPr>
          <w:p w14:paraId="54FF4CE8">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327" w:type="dxa"/>
            <w:vAlign w:val="center"/>
          </w:tcPr>
          <w:p w14:paraId="7313D168">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505456896"/>
                <w14:checkbox>
                  <w14:checked w14:val="1"/>
                  <w14:checkedState w14:val="00FE" w14:font="Wingdings"/>
                  <w14:uncheckedState w14:val="2610" w14:font="MS Gothic"/>
                </w14:checkbox>
              </w:sdtPr>
              <w:sdtEndPr>
                <w:rPr>
                  <w:rFonts w:hint="eastAsia" w:ascii="宋体" w:hAnsi="宋体" w:cs="宋体"/>
                  <w:b/>
                  <w:bCs/>
                  <w:color w:val="auto"/>
                  <w:kern w:val="0"/>
                  <w:sz w:val="24"/>
                  <w:highlight w:val="none"/>
                </w:rPr>
              </w:sdtEndPr>
              <w:sdtContent>
                <w:r>
                  <w:rPr>
                    <w:rFonts w:ascii="Wingdings" w:hAnsi="Wingdings" w:cs="宋体"/>
                    <w:b/>
                    <w:bCs/>
                    <w:color w:val="auto"/>
                    <w:kern w:val="0"/>
                    <w:sz w:val="24"/>
                    <w:highlight w:val="none"/>
                  </w:rPr>
                  <w:t></w:t>
                </w:r>
              </w:sdtContent>
            </w:sdt>
            <w:r>
              <w:rPr>
                <w:rFonts w:hint="eastAsia" w:ascii="宋体" w:hAnsi="宋体" w:cs="宋体"/>
                <w:b/>
                <w:bCs/>
                <w:color w:val="auto"/>
                <w:kern w:val="0"/>
                <w:sz w:val="24"/>
                <w:highlight w:val="none"/>
              </w:rPr>
              <w:t>A</w:t>
            </w:r>
            <w:r>
              <w:rPr>
                <w:rFonts w:hint="eastAsia" w:ascii="宋体" w:hAnsi="宋体" w:cs="宋体"/>
                <w:b/>
                <w:bCs/>
                <w:color w:val="auto"/>
                <w:sz w:val="24"/>
                <w:highlight w:val="none"/>
              </w:rPr>
              <w:t>不组织。</w:t>
            </w:r>
          </w:p>
          <w:p w14:paraId="73EB529C">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1CC0D6F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（1）在评审时安排每个供应商进行方案讲解演示。每个供应商时间不超过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分钟，讲解次序以响应文件解密时间先后次序为准，讲解演示人员不超过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人。讲解演示结束后按要求解答磋商小组提问。</w:t>
            </w:r>
          </w:p>
          <w:p w14:paraId="01DFB32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3CBF480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方式一：政采云平台在线讲解演示。政采云平台在线讲解需供应商根据政采云平台操作要求做好准备工作，提前完善软硬件配置环境。</w:t>
            </w:r>
          </w:p>
          <w:p w14:paraId="0DCA8DF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，讲解演示所用电脑等设备由供应商自备。现场讲解演示人员进场时提供讲解人员名单（加盖公章或授权代表签名）及身份证明，否则不得讲解演示。</w:t>
            </w:r>
          </w:p>
          <w:p w14:paraId="3997A151">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36AEF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6B2DA92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2093" w:type="dxa"/>
            <w:vMerge w:val="restart"/>
            <w:vAlign w:val="center"/>
          </w:tcPr>
          <w:p w14:paraId="753EAB5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供应商应当提供的资格、资信证明文件</w:t>
            </w:r>
          </w:p>
        </w:tc>
        <w:tc>
          <w:tcPr>
            <w:tcW w:w="6327" w:type="dxa"/>
            <w:vAlign w:val="center"/>
          </w:tcPr>
          <w:p w14:paraId="21ED110F">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（1）资格证明文件：见采购文件第二部分11.1。</w:t>
            </w:r>
          </w:p>
          <w:p w14:paraId="4146C763">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供应商未提供有效的资格证明文件的，视为供应商不具备采购文件中规定的资格要求，响应文件无效。</w:t>
            </w:r>
          </w:p>
        </w:tc>
      </w:tr>
      <w:tr w14:paraId="538F0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53EEFF8D">
            <w:pPr>
              <w:snapToGrid w:val="0"/>
              <w:spacing w:line="360" w:lineRule="auto"/>
              <w:jc w:val="center"/>
              <w:rPr>
                <w:rFonts w:ascii="宋体" w:hAnsi="宋体" w:cs="宋体"/>
                <w:color w:val="auto"/>
                <w:sz w:val="24"/>
                <w:highlight w:val="none"/>
              </w:rPr>
            </w:pPr>
          </w:p>
        </w:tc>
        <w:tc>
          <w:tcPr>
            <w:tcW w:w="2093" w:type="dxa"/>
            <w:vMerge w:val="continue"/>
            <w:vAlign w:val="center"/>
          </w:tcPr>
          <w:p w14:paraId="443939D8">
            <w:pPr>
              <w:snapToGrid w:val="0"/>
              <w:spacing w:line="360" w:lineRule="auto"/>
              <w:jc w:val="center"/>
              <w:rPr>
                <w:rFonts w:ascii="宋体" w:hAnsi="宋体" w:cs="宋体"/>
                <w:b/>
                <w:color w:val="auto"/>
                <w:sz w:val="24"/>
                <w:highlight w:val="none"/>
              </w:rPr>
            </w:pPr>
          </w:p>
        </w:tc>
        <w:tc>
          <w:tcPr>
            <w:tcW w:w="6327" w:type="dxa"/>
            <w:vAlign w:val="center"/>
          </w:tcPr>
          <w:p w14:paraId="11340204">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（2）资信证明文件：根据采购文件第四部分评审标准提供。</w:t>
            </w:r>
          </w:p>
        </w:tc>
      </w:tr>
      <w:tr w14:paraId="642A4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34901D4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2093" w:type="dxa"/>
            <w:vAlign w:val="center"/>
          </w:tcPr>
          <w:p w14:paraId="395F623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327" w:type="dxa"/>
            <w:vAlign w:val="center"/>
          </w:tcPr>
          <w:p w14:paraId="2A9FB619">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1D239578">
            <w:pPr>
              <w:pStyle w:val="79"/>
              <w:spacing w:line="360" w:lineRule="auto"/>
              <w:rPr>
                <w:rFonts w:hint="eastAsia" w:ascii="宋体" w:hAnsi="宋体" w:eastAsia="宋体" w:cs="宋体"/>
                <w:b w:val="0"/>
                <w:bCs w:val="0"/>
                <w:color w:val="auto"/>
                <w:kern w:val="0"/>
                <w:sz w:val="24"/>
                <w:szCs w:val="24"/>
                <w:highlight w:val="none"/>
                <w:u w:val="single"/>
                <w:lang w:val="en-US" w:eastAsia="zh-CN" w:bidi="ar-SA"/>
              </w:rPr>
            </w:pPr>
            <w:sdt>
              <w:sdtPr>
                <w:rPr>
                  <w:rFonts w:hint="eastAsia" w:ascii="宋体" w:hAnsi="宋体" w:eastAsia="宋体" w:cs="宋体"/>
                  <w:b w:val="0"/>
                  <w:bCs w:val="0"/>
                  <w:color w:val="auto"/>
                  <w:kern w:val="0"/>
                  <w:sz w:val="24"/>
                  <w:szCs w:val="24"/>
                  <w:highlight w:val="none"/>
                  <w:lang w:val="en-US" w:eastAsia="zh-CN" w:bidi="ar-SA"/>
                </w:rPr>
                <w:id w:val="147469313"/>
                <w14:checkbox>
                  <w14:checked w14:val="0"/>
                  <w14:checkedState w14:val="00FE" w14:font="Wingdings"/>
                  <w14:uncheckedState w14:val="2610" w14:font="MS Gothic"/>
                </w14:checkbox>
              </w:sdtPr>
              <w:sdtEndPr>
                <w:rPr>
                  <w:rFonts w:hint="eastAsia" w:ascii="宋体" w:hAnsi="宋体" w:eastAsia="宋体" w:cs="宋体"/>
                  <w:b w:val="0"/>
                  <w:bCs w:val="0"/>
                  <w:color w:val="auto"/>
                  <w:kern w:val="0"/>
                  <w:sz w:val="24"/>
                  <w:szCs w:val="24"/>
                  <w:highlight w:val="none"/>
                  <w:lang w:val="en-US" w:eastAsia="zh-CN" w:bidi="ar-SA"/>
                </w:rPr>
              </w:sdtEndPr>
              <w:sdtContent>
                <w:r>
                  <w:rPr>
                    <w:rFonts w:hint="eastAsia" w:ascii="MS Gothic" w:hAnsi="MS Gothic" w:eastAsia="宋体" w:cs="宋体"/>
                    <w:b w:val="0"/>
                    <w:bCs w:val="0"/>
                    <w:color w:val="auto"/>
                    <w:kern w:val="0"/>
                    <w:sz w:val="24"/>
                    <w:szCs w:val="24"/>
                    <w:highlight w:val="none"/>
                    <w:lang w:val="en-US" w:eastAsia="zh-CN" w:bidi="ar-SA"/>
                  </w:rPr>
                  <w:t>☐</w:t>
                </w:r>
              </w:sdtContent>
            </w:sdt>
            <w:r>
              <w:rPr>
                <w:rFonts w:hint="eastAsia" w:ascii="宋体" w:hAnsi="宋体" w:eastAsia="宋体" w:cs="宋体"/>
                <w:b w:val="0"/>
                <w:bCs w:val="0"/>
                <w:color w:val="auto"/>
                <w:kern w:val="0"/>
                <w:sz w:val="24"/>
                <w:szCs w:val="24"/>
                <w:highlight w:val="none"/>
                <w:lang w:val="en-US" w:eastAsia="zh-CN" w:bidi="ar-SA"/>
              </w:rPr>
              <w:t>强制采购节能产品。产品：</w:t>
            </w:r>
            <w:r>
              <w:rPr>
                <w:rFonts w:hint="eastAsia" w:ascii="宋体" w:hAnsi="宋体" w:eastAsia="宋体" w:cs="宋体"/>
                <w:b w:val="0"/>
                <w:bCs w:val="0"/>
                <w:color w:val="auto"/>
                <w:kern w:val="0"/>
                <w:sz w:val="24"/>
                <w:szCs w:val="24"/>
                <w:highlight w:val="none"/>
                <w:u w:val="single"/>
                <w:lang w:val="en-US" w:eastAsia="zh-CN" w:bidi="ar-SA"/>
              </w:rPr>
              <w:t xml:space="preserve">/ </w:t>
            </w:r>
          </w:p>
          <w:p w14:paraId="7448377A">
            <w:pPr>
              <w:pStyle w:val="79"/>
              <w:spacing w:line="360" w:lineRule="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☑优先采购节能产品。产品：</w:t>
            </w:r>
            <w:r>
              <w:rPr>
                <w:rFonts w:hint="eastAsia" w:ascii="宋体" w:hAnsi="宋体" w:eastAsia="宋体" w:cs="宋体"/>
                <w:b/>
                <w:bCs/>
                <w:color w:val="auto"/>
                <w:kern w:val="0"/>
                <w:sz w:val="24"/>
                <w:szCs w:val="24"/>
                <w:highlight w:val="none"/>
                <w:u w:val="single"/>
                <w:lang w:val="en-US" w:eastAsia="zh-CN" w:bidi="ar-SA"/>
              </w:rPr>
              <w:t xml:space="preserve"> 节能产品政府采购清单LED 筒灯中涉及的产品  </w:t>
            </w:r>
          </w:p>
          <w:p w14:paraId="46239CF6">
            <w:pPr>
              <w:pStyle w:val="79"/>
              <w:spacing w:line="360" w:lineRule="auto"/>
              <w:rPr>
                <w:rFonts w:hint="eastAsia" w:ascii="宋体" w:hAnsi="宋体" w:eastAsia="宋体" w:cs="宋体"/>
                <w:b/>
                <w:bCs/>
                <w:color w:val="auto"/>
                <w:kern w:val="0"/>
                <w:sz w:val="24"/>
                <w:szCs w:val="24"/>
                <w:highlight w:val="none"/>
                <w:u w:val="single"/>
                <w:lang w:val="en-US" w:eastAsia="zh-CN" w:bidi="ar-SA"/>
              </w:rPr>
            </w:pPr>
            <w:r>
              <w:rPr>
                <w:rFonts w:hint="eastAsia" w:ascii="宋体" w:hAnsi="宋体" w:eastAsia="宋体" w:cs="宋体"/>
                <w:b/>
                <w:bCs/>
                <w:color w:val="auto"/>
                <w:kern w:val="0"/>
                <w:sz w:val="24"/>
                <w:szCs w:val="24"/>
                <w:highlight w:val="none"/>
                <w:lang w:val="en-US" w:eastAsia="zh-CN" w:bidi="ar-SA"/>
              </w:rPr>
              <w:t>☑优先采购环保产品。产品：</w:t>
            </w:r>
            <w:r>
              <w:rPr>
                <w:rFonts w:hint="eastAsia" w:ascii="宋体" w:hAnsi="宋体" w:eastAsia="宋体" w:cs="宋体"/>
                <w:b/>
                <w:bCs/>
                <w:color w:val="auto"/>
                <w:kern w:val="0"/>
                <w:sz w:val="24"/>
                <w:szCs w:val="24"/>
                <w:highlight w:val="none"/>
                <w:u w:val="single"/>
                <w:lang w:val="en-US" w:eastAsia="zh-CN" w:bidi="ar-SA"/>
              </w:rPr>
              <w:t xml:space="preserve"> 环境标志产品政府采购清单A100203 人造板、A100204 二次加 工材,相关板材、A100301水泥熟料及水泥、A100303水泥混凝土制品、A100305轻质建筑材料及制品、A100602 墙面涂料中涉及的产品  </w:t>
            </w:r>
          </w:p>
          <w:p w14:paraId="309BE284">
            <w:pPr>
              <w:pStyle w:val="79"/>
              <w:spacing w:line="360" w:lineRule="auto"/>
              <w:rPr>
                <w:color w:val="auto"/>
                <w:highlight w:val="none"/>
              </w:rPr>
            </w:pPr>
            <w:r>
              <w:rPr>
                <w:rFonts w:hint="eastAsia" w:ascii="宋体" w:hAnsi="宋体" w:eastAsia="宋体" w:cs="宋体"/>
                <w:color w:val="auto"/>
                <w:kern w:val="0"/>
                <w:sz w:val="24"/>
                <w:szCs w:val="24"/>
                <w:highlight w:val="none"/>
                <w:lang w:val="en-US" w:eastAsia="zh-CN" w:bidi="ar-SA"/>
              </w:rPr>
              <w:t>□无</w:t>
            </w:r>
          </w:p>
        </w:tc>
      </w:tr>
      <w:tr w14:paraId="301F2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3EC7812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2093" w:type="dxa"/>
            <w:vAlign w:val="center"/>
          </w:tcPr>
          <w:p w14:paraId="2D54F0E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327" w:type="dxa"/>
            <w:vAlign w:val="center"/>
          </w:tcPr>
          <w:p w14:paraId="21F4AA25">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color w:val="auto"/>
                <w:sz w:val="24"/>
                <w:highlight w:val="none"/>
              </w:rPr>
              <w:t>报价单是报价的唯一载体</w:t>
            </w:r>
            <w:r>
              <w:rPr>
                <w:rFonts w:hint="eastAsia" w:ascii="宋体" w:hAnsi="宋体" w:cs="宋体"/>
                <w:color w:val="auto"/>
                <w:kern w:val="0"/>
                <w:sz w:val="24"/>
                <w:highlight w:val="none"/>
                <w:lang w:val="zh-CN"/>
              </w:rPr>
              <w:t>。响应文件中价格全部采用人民币报价。采购文件未列明，而供应商认为必需的费用也需列入报价。</w:t>
            </w:r>
            <w:r>
              <w:rPr>
                <w:rFonts w:hint="eastAsia" w:ascii="宋体" w:hAnsi="宋体" w:cs="宋体"/>
                <w:b/>
                <w:color w:val="auto"/>
                <w:kern w:val="0"/>
                <w:sz w:val="24"/>
                <w:highlight w:val="none"/>
                <w:lang w:val="zh-CN"/>
              </w:rPr>
              <w:t>提醒：验收时检测费用由采购人承担，不包含在总价中。</w:t>
            </w:r>
          </w:p>
          <w:p w14:paraId="5B392926">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最后报价出现下列情形的，响应文件无效：</w:t>
            </w:r>
          </w:p>
          <w:p w14:paraId="301E6A94">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响应文件出现不是唯一的、有选择性最后报价的；</w:t>
            </w:r>
          </w:p>
          <w:p w14:paraId="03FA1B6D">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最后报价超过采购文件中规定的预算金额或者最高限价的；</w:t>
            </w:r>
          </w:p>
          <w:p w14:paraId="59B2B6C3">
            <w:pPr>
              <w:spacing w:line="360" w:lineRule="auto"/>
              <w:ind w:firstLine="241" w:firstLineChars="100"/>
              <w:rPr>
                <w:rFonts w:hint="eastAsia" w:ascii="宋体" w:hAnsi="宋体" w:eastAsia="宋体" w:cs="宋体"/>
                <w:b/>
                <w:color w:val="auto"/>
                <w:sz w:val="24"/>
                <w:highlight w:val="none"/>
                <w:lang w:eastAsia="zh-CN"/>
              </w:rPr>
            </w:pPr>
            <w:r>
              <w:rPr>
                <w:rFonts w:hint="eastAsia" w:ascii="宋体" w:hAnsi="宋体" w:cs="宋体"/>
                <w:b/>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lang w:eastAsia="zh-CN"/>
              </w:rPr>
              <w:t>；</w:t>
            </w:r>
          </w:p>
          <w:p w14:paraId="63E528B2">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供应商对根据修正原则修正后的报价不确认的</w:t>
            </w:r>
            <w:r>
              <w:rPr>
                <w:rFonts w:hint="eastAsia" w:ascii="宋体" w:hAnsi="宋体" w:cs="宋体"/>
                <w:b/>
                <w:color w:val="auto"/>
                <w:sz w:val="24"/>
                <w:highlight w:val="none"/>
              </w:rPr>
              <w:t>。</w:t>
            </w:r>
          </w:p>
        </w:tc>
      </w:tr>
      <w:tr w14:paraId="65620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44" w:hRule="atLeast"/>
        </w:trPr>
        <w:tc>
          <w:tcPr>
            <w:tcW w:w="714" w:type="dxa"/>
            <w:vAlign w:val="center"/>
          </w:tcPr>
          <w:p w14:paraId="17BFA15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2093" w:type="dxa"/>
            <w:vAlign w:val="center"/>
          </w:tcPr>
          <w:p w14:paraId="04E707C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327" w:type="dxa"/>
            <w:vAlign w:val="center"/>
          </w:tcPr>
          <w:p w14:paraId="5E3E1944">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5EEA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3B06D87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2093" w:type="dxa"/>
            <w:vAlign w:val="center"/>
          </w:tcPr>
          <w:p w14:paraId="0281195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备份响应文件送达地点和签收人员</w:t>
            </w:r>
          </w:p>
        </w:tc>
        <w:tc>
          <w:tcPr>
            <w:tcW w:w="6327" w:type="dxa"/>
            <w:vAlign w:val="center"/>
          </w:tcPr>
          <w:p w14:paraId="1284669F">
            <w:pPr>
              <w:pStyle w:val="33"/>
              <w:spacing w:line="360" w:lineRule="auto"/>
              <w:rPr>
                <w:rFonts w:hAnsi="宋体" w:cs="宋体"/>
                <w:color w:val="auto"/>
                <w:kern w:val="28"/>
                <w:sz w:val="24"/>
                <w:szCs w:val="24"/>
                <w:highlight w:val="none"/>
              </w:rPr>
            </w:pPr>
            <w:r>
              <w:rPr>
                <w:rFonts w:hint="eastAsia" w:hAnsi="宋体" w:cs="宋体"/>
                <w:color w:val="auto"/>
                <w:kern w:val="28"/>
                <w:sz w:val="24"/>
                <w:szCs w:val="24"/>
                <w:highlight w:val="none"/>
              </w:rPr>
              <w:t>备份响应文件送达地点：</w:t>
            </w:r>
            <w:r>
              <w:rPr>
                <w:rFonts w:hint="eastAsia" w:hAnsi="宋体" w:cs="宋体"/>
                <w:color w:val="auto"/>
                <w:kern w:val="28"/>
                <w:sz w:val="24"/>
                <w:szCs w:val="24"/>
                <w:highlight w:val="none"/>
                <w:u w:val="single"/>
              </w:rPr>
              <w:t>杭州市环站东路</w:t>
            </w:r>
            <w:r>
              <w:rPr>
                <w:rFonts w:hint="eastAsia" w:hAnsi="宋体" w:cs="宋体"/>
                <w:color w:val="auto"/>
                <w:kern w:val="28"/>
                <w:sz w:val="24"/>
                <w:szCs w:val="24"/>
                <w:highlight w:val="none"/>
                <w:u w:val="single"/>
                <w:lang w:eastAsia="zh-CN"/>
              </w:rPr>
              <w:t>99号云峰大厦1号楼</w:t>
            </w:r>
            <w:r>
              <w:rPr>
                <w:rFonts w:hint="eastAsia" w:hAnsi="宋体" w:cs="宋体"/>
                <w:color w:val="auto"/>
                <w:kern w:val="28"/>
                <w:sz w:val="24"/>
                <w:szCs w:val="24"/>
                <w:highlight w:val="none"/>
                <w:u w:val="single"/>
              </w:rPr>
              <w:t>1</w:t>
            </w:r>
            <w:r>
              <w:rPr>
                <w:rFonts w:hint="eastAsia" w:hAnsi="宋体" w:cs="宋体"/>
                <w:color w:val="auto"/>
                <w:kern w:val="28"/>
                <w:sz w:val="24"/>
                <w:szCs w:val="24"/>
                <w:highlight w:val="none"/>
                <w:u w:val="single"/>
                <w:lang w:val="en-US" w:eastAsia="zh-CN"/>
              </w:rPr>
              <w:t>6</w:t>
            </w:r>
            <w:r>
              <w:rPr>
                <w:rFonts w:hint="eastAsia" w:hAnsi="宋体" w:cs="宋体"/>
                <w:color w:val="auto"/>
                <w:kern w:val="28"/>
                <w:sz w:val="24"/>
                <w:szCs w:val="24"/>
                <w:highlight w:val="none"/>
                <w:u w:val="single"/>
              </w:rPr>
              <w:t>楼</w:t>
            </w:r>
            <w:r>
              <w:rPr>
                <w:rFonts w:hint="eastAsia" w:hAnsi="宋体" w:cs="宋体"/>
                <w:color w:val="auto"/>
                <w:kern w:val="28"/>
                <w:sz w:val="24"/>
                <w:szCs w:val="24"/>
                <w:highlight w:val="none"/>
              </w:rPr>
              <w:t>；</w:t>
            </w:r>
          </w:p>
          <w:p w14:paraId="618102EC">
            <w:pPr>
              <w:pStyle w:val="33"/>
              <w:spacing w:line="360" w:lineRule="auto"/>
              <w:rPr>
                <w:rFonts w:hAnsi="宋体" w:cs="宋体"/>
                <w:color w:val="auto"/>
                <w:sz w:val="24"/>
                <w:szCs w:val="24"/>
                <w:highlight w:val="none"/>
              </w:rPr>
            </w:pPr>
            <w:r>
              <w:rPr>
                <w:rFonts w:hint="eastAsia" w:hAnsi="宋体" w:cs="宋体"/>
                <w:color w:val="auto"/>
                <w:kern w:val="28"/>
                <w:sz w:val="24"/>
                <w:szCs w:val="24"/>
                <w:highlight w:val="none"/>
              </w:rPr>
              <w:t>备份响应文件签收人员联系电话：</w:t>
            </w:r>
            <w:r>
              <w:rPr>
                <w:rFonts w:hint="eastAsia" w:hAnsi="宋体" w:cs="宋体"/>
                <w:color w:val="auto"/>
                <w:sz w:val="24"/>
                <w:highlight w:val="none"/>
                <w:u w:val="single"/>
                <w:lang w:eastAsia="zh-CN"/>
              </w:rPr>
              <w:t>成晓松</w:t>
            </w:r>
            <w:r>
              <w:rPr>
                <w:rFonts w:hint="eastAsia" w:hAnsi="宋体" w:cs="宋体"/>
                <w:color w:val="auto"/>
                <w:sz w:val="24"/>
                <w:highlight w:val="none"/>
                <w:u w:val="single"/>
              </w:rPr>
              <w:t xml:space="preserve"> </w:t>
            </w:r>
            <w:r>
              <w:rPr>
                <w:rFonts w:hint="eastAsia" w:hAnsi="宋体" w:cs="宋体"/>
                <w:color w:val="auto"/>
                <w:sz w:val="24"/>
                <w:highlight w:val="none"/>
                <w:u w:val="single"/>
                <w:lang w:eastAsia="zh-CN"/>
              </w:rPr>
              <w:t>18221599746</w:t>
            </w:r>
            <w:r>
              <w:rPr>
                <w:rFonts w:hint="eastAsia" w:hAnsi="宋体" w:cs="宋体"/>
                <w:color w:val="auto"/>
                <w:sz w:val="24"/>
                <w:szCs w:val="24"/>
                <w:highlight w:val="none"/>
              </w:rPr>
              <w:t>。</w:t>
            </w:r>
          </w:p>
          <w:p w14:paraId="4AAEA0DB">
            <w:pPr>
              <w:pStyle w:val="33"/>
              <w:spacing w:line="360" w:lineRule="auto"/>
              <w:rPr>
                <w:rFonts w:hAnsi="宋体" w:cs="宋体"/>
                <w:color w:val="auto"/>
                <w:kern w:val="28"/>
                <w:sz w:val="24"/>
                <w:highlight w:val="none"/>
              </w:rPr>
            </w:pP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不强制或变相强制供应商提交备份响应文件。</w:t>
            </w:r>
          </w:p>
        </w:tc>
      </w:tr>
      <w:tr w14:paraId="31D52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705281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2093" w:type="dxa"/>
            <w:vAlign w:val="center"/>
          </w:tcPr>
          <w:p w14:paraId="32523FF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其它说明</w:t>
            </w:r>
          </w:p>
        </w:tc>
        <w:tc>
          <w:tcPr>
            <w:tcW w:w="6327" w:type="dxa"/>
            <w:vAlign w:val="center"/>
          </w:tcPr>
          <w:p w14:paraId="3FC42366">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cs="宋体"/>
                <w:b/>
                <w:color w:val="auto"/>
                <w:kern w:val="0"/>
                <w:sz w:val="24"/>
                <w:highlight w:val="none"/>
              </w:rPr>
              <w:t>。</w:t>
            </w:r>
          </w:p>
        </w:tc>
      </w:tr>
      <w:tr w14:paraId="66F67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top"/>
          </w:tcPr>
          <w:p w14:paraId="6AF8724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14</w:t>
            </w:r>
          </w:p>
        </w:tc>
        <w:tc>
          <w:tcPr>
            <w:tcW w:w="2093" w:type="dxa"/>
            <w:vAlign w:val="center"/>
          </w:tcPr>
          <w:p w14:paraId="541A342E">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lang w:val="en" w:eastAsia="zh-CN"/>
              </w:rPr>
              <w:t>成交候选人数量</w:t>
            </w:r>
          </w:p>
        </w:tc>
        <w:tc>
          <w:tcPr>
            <w:tcW w:w="6327" w:type="dxa"/>
            <w:vAlign w:val="center"/>
          </w:tcPr>
          <w:p w14:paraId="0EAF5FE6">
            <w:pPr>
              <w:spacing w:line="360" w:lineRule="auto"/>
              <w:rPr>
                <w:rFonts w:ascii="宋体" w:hAnsi="宋体" w:cs="宋体"/>
                <w:snapToGrid w:val="0"/>
                <w:color w:val="auto"/>
                <w:kern w:val="28"/>
                <w:sz w:val="24"/>
                <w:highlight w:val="none"/>
              </w:rPr>
            </w:pPr>
            <w:r>
              <w:rPr>
                <w:rFonts w:hint="eastAsia" w:ascii="宋体" w:hAnsi="宋体" w:cs="宋体"/>
                <w:color w:val="auto"/>
                <w:kern w:val="0"/>
                <w:sz w:val="24"/>
                <w:highlight w:val="none"/>
                <w:lang w:val="en" w:eastAsia="zh-CN"/>
              </w:rPr>
              <w:t>本项目推荐的成交候选人数量：</w:t>
            </w:r>
            <w:r>
              <w:rPr>
                <w:rFonts w:hint="eastAsia" w:ascii="宋体" w:hAnsi="宋体" w:cs="宋体"/>
                <w:color w:val="auto"/>
                <w:kern w:val="0"/>
                <w:sz w:val="24"/>
                <w:highlight w:val="none"/>
                <w:u w:val="single"/>
                <w:lang w:val="en-US" w:eastAsia="zh-CN"/>
              </w:rPr>
              <w:t>3家</w:t>
            </w:r>
            <w:r>
              <w:rPr>
                <w:rFonts w:hint="eastAsia" w:ascii="宋体" w:hAnsi="宋体" w:cs="宋体"/>
                <w:color w:val="auto"/>
                <w:kern w:val="0"/>
                <w:sz w:val="24"/>
                <w:highlight w:val="none"/>
                <w:lang w:val="en" w:eastAsia="zh-CN"/>
              </w:rPr>
              <w:t>。</w:t>
            </w:r>
          </w:p>
        </w:tc>
      </w:tr>
      <w:tr w14:paraId="06D12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top"/>
          </w:tcPr>
          <w:p w14:paraId="29CFC16B">
            <w:pPr>
              <w:snapToGrid w:val="0"/>
              <w:spacing w:line="360" w:lineRule="auto"/>
              <w:jc w:val="center"/>
              <w:rPr>
                <w:rFonts w:hint="eastAsia" w:ascii="宋体" w:hAnsi="宋体" w:cs="宋体"/>
                <w:color w:val="auto"/>
                <w:sz w:val="24"/>
                <w:highlight w:val="none"/>
                <w:lang w:val="en-US" w:eastAsia="zh-CN"/>
              </w:rPr>
            </w:pPr>
          </w:p>
          <w:p w14:paraId="760B37B8">
            <w:pPr>
              <w:snapToGrid w:val="0"/>
              <w:spacing w:line="360" w:lineRule="auto"/>
              <w:jc w:val="center"/>
              <w:rPr>
                <w:rFonts w:hint="eastAsia" w:ascii="宋体" w:hAnsi="宋体" w:cs="宋体"/>
                <w:color w:val="auto"/>
                <w:sz w:val="24"/>
                <w:highlight w:val="none"/>
                <w:lang w:val="en-US" w:eastAsia="zh-CN"/>
              </w:rPr>
            </w:pPr>
          </w:p>
          <w:p w14:paraId="5AE8A596">
            <w:pPr>
              <w:snapToGrid w:val="0"/>
              <w:spacing w:line="360" w:lineRule="auto"/>
              <w:jc w:val="center"/>
              <w:rPr>
                <w:rFonts w:hint="eastAsia" w:ascii="宋体" w:hAnsi="宋体" w:cs="宋体"/>
                <w:color w:val="auto"/>
                <w:sz w:val="24"/>
                <w:highlight w:val="none"/>
                <w:lang w:val="en-US" w:eastAsia="zh-CN"/>
              </w:rPr>
            </w:pPr>
          </w:p>
          <w:p w14:paraId="74F330F7">
            <w:pPr>
              <w:snapToGrid w:val="0"/>
              <w:spacing w:line="360" w:lineRule="auto"/>
              <w:jc w:val="center"/>
              <w:rPr>
                <w:rFonts w:hint="eastAsia" w:ascii="宋体" w:hAnsi="宋体" w:cs="宋体"/>
                <w:color w:val="auto"/>
                <w:sz w:val="24"/>
                <w:highlight w:val="none"/>
                <w:lang w:val="en-US" w:eastAsia="zh-CN"/>
              </w:rPr>
            </w:pPr>
          </w:p>
          <w:p w14:paraId="2732B43C">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15</w:t>
            </w:r>
          </w:p>
        </w:tc>
        <w:tc>
          <w:tcPr>
            <w:tcW w:w="2093" w:type="dxa"/>
            <w:vAlign w:val="center"/>
          </w:tcPr>
          <w:p w14:paraId="619B9A21">
            <w:pPr>
              <w:snapToGrid w:val="0"/>
              <w:spacing w:line="360" w:lineRule="auto"/>
              <w:jc w:val="center"/>
              <w:rPr>
                <w:rFonts w:hint="eastAsia" w:ascii="宋体" w:hAnsi="宋体" w:cs="宋体"/>
                <w:b/>
                <w:color w:val="auto"/>
                <w:sz w:val="24"/>
                <w:highlight w:val="none"/>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327" w:type="dxa"/>
            <w:vAlign w:val="center"/>
          </w:tcPr>
          <w:p w14:paraId="04B06418">
            <w:pPr>
              <w:widowControl/>
              <w:spacing w:line="360" w:lineRule="auto"/>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1</w:t>
            </w:r>
            <w:r>
              <w:rPr>
                <w:rFonts w:hint="eastAsia" w:ascii="宋体" w:hAnsi="宋体" w:cs="宋体"/>
                <w:b/>
                <w:color w:val="auto"/>
                <w:sz w:val="24"/>
                <w:highlight w:val="none"/>
                <w:lang w:eastAsia="zh-CN"/>
              </w:rPr>
              <w:t>）</w:t>
            </w:r>
            <w:r>
              <w:rPr>
                <w:rFonts w:hint="eastAsia" w:ascii="宋体" w:hAnsi="宋体" w:cs="宋体"/>
                <w:b/>
                <w:color w:val="auto"/>
                <w:sz w:val="24"/>
                <w:highlight w:val="none"/>
              </w:rPr>
              <w:t>本项目招标服务费收费标准</w:t>
            </w:r>
            <w:r>
              <w:rPr>
                <w:rFonts w:hint="eastAsia" w:ascii="宋体" w:hAnsi="宋体" w:cs="宋体"/>
                <w:b/>
                <w:color w:val="auto"/>
                <w:sz w:val="24"/>
                <w:highlight w:val="none"/>
                <w:lang w:eastAsia="zh-CN"/>
              </w:rPr>
              <w:t>：</w:t>
            </w:r>
          </w:p>
          <w:p w14:paraId="794CAEDA">
            <w:pPr>
              <w:widowControl/>
              <w:spacing w:line="360" w:lineRule="auto"/>
              <w:rPr>
                <w:rFonts w:ascii="宋体" w:hAnsi="宋体" w:cs="宋体"/>
                <w:b/>
                <w:color w:val="auto"/>
                <w:sz w:val="24"/>
                <w:highlight w:val="none"/>
              </w:rPr>
            </w:pPr>
            <w:r>
              <w:rPr>
                <w:rFonts w:hint="eastAsia" w:ascii="宋体" w:hAnsi="宋体" w:cs="宋体"/>
                <w:b/>
                <w:color w:val="auto"/>
                <w:sz w:val="24"/>
                <w:highlight w:val="none"/>
              </w:rPr>
              <w:t>招标代理费：参照计价格[2002]1980号文规定八折计取，不足</w:t>
            </w:r>
            <w:r>
              <w:rPr>
                <w:rFonts w:hint="eastAsia" w:ascii="宋体" w:hAnsi="宋体" w:cs="宋体"/>
                <w:b/>
                <w:color w:val="auto"/>
                <w:sz w:val="24"/>
                <w:highlight w:val="none"/>
                <w:lang w:val="en-US" w:eastAsia="zh-CN"/>
              </w:rPr>
              <w:t>陆</w:t>
            </w:r>
            <w:r>
              <w:rPr>
                <w:rFonts w:hint="eastAsia" w:ascii="宋体" w:hAnsi="宋体" w:cs="宋体"/>
                <w:b/>
                <w:color w:val="auto"/>
                <w:sz w:val="24"/>
                <w:highlight w:val="none"/>
              </w:rPr>
              <w:t>仟元按</w:t>
            </w:r>
            <w:r>
              <w:rPr>
                <w:rFonts w:hint="eastAsia" w:ascii="宋体" w:hAnsi="宋体" w:cs="宋体"/>
                <w:b/>
                <w:color w:val="auto"/>
                <w:sz w:val="24"/>
                <w:highlight w:val="none"/>
                <w:lang w:val="en-US" w:eastAsia="zh-CN"/>
              </w:rPr>
              <w:t>陆</w:t>
            </w:r>
            <w:r>
              <w:rPr>
                <w:rFonts w:hint="eastAsia" w:ascii="宋体" w:hAnsi="宋体" w:cs="宋体"/>
                <w:b/>
                <w:color w:val="auto"/>
                <w:sz w:val="24"/>
                <w:highlight w:val="none"/>
              </w:rPr>
              <w:t>仟元计。</w:t>
            </w:r>
          </w:p>
          <w:p w14:paraId="2313BB5C">
            <w:pPr>
              <w:widowControl/>
              <w:spacing w:line="360" w:lineRule="auto"/>
              <w:rPr>
                <w:rFonts w:ascii="宋体" w:hAnsi="宋体" w:cs="宋体"/>
                <w:b/>
                <w:color w:val="auto"/>
                <w:sz w:val="24"/>
                <w:highlight w:val="none"/>
              </w:rPr>
            </w:pPr>
            <w:r>
              <w:rPr>
                <w:rFonts w:hint="eastAsia" w:ascii="宋体" w:hAnsi="宋体" w:cs="宋体"/>
                <w:b/>
                <w:color w:val="auto"/>
                <w:sz w:val="24"/>
                <w:highlight w:val="none"/>
              </w:rPr>
              <w:t>工程造价咨询费：</w:t>
            </w:r>
            <w:r>
              <w:rPr>
                <w:rFonts w:hint="eastAsia" w:ascii="宋体" w:hAnsi="宋体" w:cs="宋体"/>
                <w:b w:val="0"/>
                <w:bCs/>
                <w:color w:val="auto"/>
                <w:sz w:val="24"/>
                <w:highlight w:val="none"/>
              </w:rPr>
              <w:sym w:font="Wingdings" w:char="00A8"/>
            </w:r>
            <w:r>
              <w:rPr>
                <w:rFonts w:hint="eastAsia" w:ascii="宋体" w:hAnsi="宋体" w:cs="宋体"/>
                <w:b w:val="0"/>
                <w:bCs/>
                <w:color w:val="auto"/>
                <w:sz w:val="24"/>
                <w:highlight w:val="none"/>
              </w:rPr>
              <w:t>无；</w:t>
            </w:r>
            <w:r>
              <w:rPr>
                <w:rFonts w:hint="eastAsia" w:ascii="宋体" w:hAnsi="宋体" w:cs="宋体"/>
                <w:b/>
                <w:color w:val="auto"/>
                <w:sz w:val="24"/>
                <w:highlight w:val="none"/>
              </w:rPr>
              <w:sym w:font="Wingdings" w:char="00FE"/>
            </w:r>
            <w:r>
              <w:rPr>
                <w:rFonts w:hint="eastAsia" w:ascii="宋体" w:hAnsi="宋体" w:cs="宋体"/>
                <w:b/>
                <w:bCs/>
                <w:color w:val="auto"/>
                <w:kern w:val="0"/>
                <w:sz w:val="24"/>
                <w:highlight w:val="none"/>
              </w:rPr>
              <w:t>浙建价协〔2021〕13号文件八折，不足叁仟元按叁仟元计</w:t>
            </w:r>
            <w:r>
              <w:rPr>
                <w:rFonts w:hint="eastAsia" w:ascii="宋体" w:hAnsi="宋体" w:cs="宋体"/>
                <w:b/>
                <w:color w:val="auto"/>
                <w:sz w:val="24"/>
                <w:highlight w:val="none"/>
              </w:rPr>
              <w:t>。</w:t>
            </w:r>
          </w:p>
          <w:p w14:paraId="12547D2D">
            <w:pPr>
              <w:widowControl/>
              <w:spacing w:line="360" w:lineRule="auto"/>
              <w:rPr>
                <w:rFonts w:ascii="宋体" w:hAnsi="宋体" w:cs="宋体"/>
                <w:b/>
                <w:bCs/>
                <w:color w:val="auto"/>
                <w:sz w:val="24"/>
                <w:highlight w:val="none"/>
              </w:rPr>
            </w:pP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2</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支付方：</w:t>
            </w:r>
          </w:p>
          <w:p w14:paraId="4A706AB0">
            <w:pPr>
              <w:widowControl/>
              <w:spacing w:line="360" w:lineRule="auto"/>
              <w:rPr>
                <w:rFonts w:ascii="宋体" w:hAnsi="宋体" w:cs="宋体"/>
                <w:b w:val="0"/>
                <w:bCs w:val="0"/>
                <w:color w:val="auto"/>
                <w:sz w:val="24"/>
                <w:highlight w:val="none"/>
              </w:rPr>
            </w:pPr>
            <w:r>
              <w:rPr>
                <w:rFonts w:hint="eastAsia" w:ascii="宋体" w:hAnsi="宋体" w:cs="宋体"/>
                <w:b w:val="0"/>
                <w:bCs w:val="0"/>
                <w:color w:val="auto"/>
                <w:sz w:val="24"/>
                <w:highlight w:val="none"/>
              </w:rPr>
              <w:sym w:font="Wingdings" w:char="00A8"/>
            </w:r>
            <w:r>
              <w:rPr>
                <w:rFonts w:hint="eastAsia" w:ascii="宋体" w:hAnsi="宋体" w:cs="宋体"/>
                <w:b w:val="0"/>
                <w:bCs w:val="0"/>
                <w:color w:val="auto"/>
                <w:sz w:val="24"/>
                <w:highlight w:val="none"/>
              </w:rPr>
              <w:t>由采购人在项目招标完成后一次性支付；</w:t>
            </w:r>
          </w:p>
          <w:p w14:paraId="0BBC6ABF">
            <w:pPr>
              <w:widowControl/>
              <w:spacing w:line="360" w:lineRule="auto"/>
              <w:rPr>
                <w:rFonts w:ascii="宋体" w:hAnsi="宋体" w:cs="宋体"/>
                <w:b/>
                <w:bCs/>
                <w:color w:val="auto"/>
                <w:sz w:val="24"/>
                <w:highlight w:val="none"/>
              </w:rPr>
            </w:pPr>
            <w:r>
              <w:rPr>
                <w:rFonts w:hint="eastAsia" w:ascii="宋体" w:hAnsi="宋体" w:cs="宋体"/>
                <w:b/>
                <w:bCs/>
                <w:color w:val="auto"/>
                <w:sz w:val="24"/>
                <w:highlight w:val="none"/>
              </w:rPr>
              <w:sym w:font="Wingdings" w:char="00FE"/>
            </w:r>
            <w:r>
              <w:rPr>
                <w:rFonts w:hint="eastAsia" w:ascii="宋体" w:hAnsi="宋体" w:cs="宋体"/>
                <w:b/>
                <w:bCs/>
                <w:color w:val="auto"/>
                <w:sz w:val="24"/>
                <w:highlight w:val="none"/>
              </w:rPr>
              <w:t>由中标人在领取中标通知书后7个工作日内一次性缴纳。</w:t>
            </w:r>
          </w:p>
          <w:p w14:paraId="0CA27782">
            <w:pPr>
              <w:widowControl/>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收款单位：</w:t>
            </w:r>
            <w:r>
              <w:rPr>
                <w:rFonts w:hint="eastAsia" w:ascii="宋体" w:hAnsi="宋体" w:cs="宋体"/>
                <w:color w:val="auto"/>
                <w:sz w:val="24"/>
                <w:highlight w:val="none"/>
                <w:lang w:eastAsia="zh-CN"/>
              </w:rPr>
              <w:t>杭州洲源招标代理有限公司</w:t>
            </w:r>
          </w:p>
          <w:p w14:paraId="0DA735E8">
            <w:pPr>
              <w:snapToGrid w:val="0"/>
              <w:spacing w:line="360" w:lineRule="auto"/>
              <w:ind w:right="143" w:rightChars="68"/>
              <w:jc w:val="left"/>
              <w:rPr>
                <w:rFonts w:hint="eastAsia" w:ascii="宋体" w:hAnsi="宋体"/>
                <w:bCs/>
                <w:color w:val="auto"/>
                <w:sz w:val="24"/>
                <w:highlight w:val="none"/>
              </w:rPr>
            </w:pPr>
            <w:r>
              <w:rPr>
                <w:rFonts w:hint="eastAsia" w:ascii="宋体" w:hAnsi="宋体"/>
                <w:bCs/>
                <w:color w:val="auto"/>
                <w:sz w:val="24"/>
                <w:highlight w:val="none"/>
              </w:rPr>
              <w:t>开户银行：</w:t>
            </w:r>
            <w:r>
              <w:rPr>
                <w:rFonts w:hint="eastAsia" w:ascii="宋体" w:hAnsi="宋体" w:cs="宋体"/>
                <w:color w:val="auto"/>
                <w:sz w:val="24"/>
                <w:highlight w:val="none"/>
              </w:rPr>
              <w:t>中信银行杭州西湖支行</w:t>
            </w:r>
          </w:p>
          <w:p w14:paraId="0B27870B">
            <w:pPr>
              <w:spacing w:line="360" w:lineRule="auto"/>
              <w:rPr>
                <w:rFonts w:hint="eastAsia" w:ascii="宋体" w:hAnsi="宋体" w:cs="宋体"/>
                <w:color w:val="auto"/>
                <w:sz w:val="24"/>
                <w:highlight w:val="none"/>
              </w:rPr>
            </w:pPr>
            <w:r>
              <w:rPr>
                <w:rFonts w:hint="eastAsia" w:ascii="宋体" w:hAnsi="宋体"/>
                <w:bCs/>
                <w:color w:val="auto"/>
                <w:sz w:val="24"/>
                <w:highlight w:val="none"/>
                <w:lang w:val="en-US" w:eastAsia="zh-CN"/>
              </w:rPr>
              <w:t>账</w:t>
            </w:r>
            <w:r>
              <w:rPr>
                <w:rFonts w:hint="eastAsia" w:ascii="宋体" w:hAnsi="宋体"/>
                <w:bCs/>
                <w:color w:val="auto"/>
                <w:sz w:val="24"/>
                <w:highlight w:val="none"/>
              </w:rPr>
              <w:t xml:space="preserve">    号：</w:t>
            </w:r>
            <w:r>
              <w:rPr>
                <w:rFonts w:hint="eastAsia" w:ascii="宋体" w:hAnsi="宋体" w:cs="宋体"/>
                <w:color w:val="auto"/>
                <w:sz w:val="24"/>
                <w:highlight w:val="none"/>
              </w:rPr>
              <w:t>8110801012701859954</w:t>
            </w:r>
          </w:p>
          <w:p w14:paraId="4831D899">
            <w:pPr>
              <w:spacing w:line="360" w:lineRule="auto"/>
              <w:rPr>
                <w:rFonts w:ascii="宋体" w:hAnsi="宋体" w:cs="宋体"/>
                <w:snapToGrid w:val="0"/>
                <w:color w:val="auto"/>
                <w:kern w:val="28"/>
                <w:sz w:val="24"/>
                <w:highlight w:val="none"/>
              </w:rPr>
            </w:pPr>
            <w:r>
              <w:rPr>
                <w:rFonts w:hint="eastAsia" w:ascii="宋体" w:hAnsi="宋体" w:cs="宋体"/>
                <w:color w:val="auto"/>
                <w:sz w:val="24"/>
                <w:highlight w:val="none"/>
              </w:rPr>
              <w:t>注：打款时备注项目编号，项目名称等信息。</w:t>
            </w:r>
          </w:p>
        </w:tc>
      </w:tr>
      <w:tr w14:paraId="6BE68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top"/>
          </w:tcPr>
          <w:p w14:paraId="39ED1B2C">
            <w:pPr>
              <w:snapToGrid w:val="0"/>
              <w:spacing w:line="360" w:lineRule="auto"/>
              <w:jc w:val="center"/>
              <w:rPr>
                <w:rFonts w:hint="eastAsia" w:ascii="宋体" w:hAnsi="宋体" w:cs="宋体"/>
                <w:color w:val="auto"/>
                <w:sz w:val="24"/>
                <w:highlight w:val="none"/>
                <w:lang w:val="en-US" w:eastAsia="zh-CN"/>
              </w:rPr>
            </w:pPr>
          </w:p>
          <w:p w14:paraId="60988FB5">
            <w:pPr>
              <w:snapToGrid w:val="0"/>
              <w:spacing w:line="360" w:lineRule="auto"/>
              <w:jc w:val="center"/>
              <w:rPr>
                <w:rFonts w:hint="eastAsia" w:ascii="宋体" w:hAnsi="宋体" w:cs="宋体"/>
                <w:color w:val="auto"/>
                <w:sz w:val="24"/>
                <w:highlight w:val="none"/>
                <w:lang w:val="en-US" w:eastAsia="zh-CN"/>
              </w:rPr>
            </w:pPr>
          </w:p>
          <w:p w14:paraId="2266D2E1">
            <w:pPr>
              <w:snapToGrid w:val="0"/>
              <w:spacing w:line="360" w:lineRule="auto"/>
              <w:jc w:val="center"/>
              <w:rPr>
                <w:rFonts w:hint="eastAsia" w:ascii="宋体" w:hAnsi="宋体" w:cs="宋体"/>
                <w:color w:val="auto"/>
                <w:sz w:val="24"/>
                <w:highlight w:val="none"/>
                <w:lang w:val="en-US" w:eastAsia="zh-CN"/>
              </w:rPr>
            </w:pPr>
          </w:p>
          <w:p w14:paraId="6B5FE7AA">
            <w:pPr>
              <w:snapToGrid w:val="0"/>
              <w:spacing w:line="360" w:lineRule="auto"/>
              <w:jc w:val="center"/>
              <w:rPr>
                <w:rFonts w:hint="eastAsia" w:ascii="宋体" w:hAnsi="宋体" w:cs="宋体"/>
                <w:color w:val="auto"/>
                <w:sz w:val="24"/>
                <w:highlight w:val="none"/>
                <w:lang w:val="en-US" w:eastAsia="zh-CN"/>
              </w:rPr>
            </w:pPr>
          </w:p>
          <w:p w14:paraId="67795494">
            <w:pPr>
              <w:snapToGrid w:val="0"/>
              <w:spacing w:line="360" w:lineRule="auto"/>
              <w:jc w:val="center"/>
              <w:rPr>
                <w:rFonts w:hint="eastAsia" w:ascii="宋体" w:hAnsi="宋体" w:cs="宋体"/>
                <w:color w:val="auto"/>
                <w:sz w:val="24"/>
                <w:highlight w:val="none"/>
                <w:lang w:val="en-US" w:eastAsia="zh-CN"/>
              </w:rPr>
            </w:pPr>
          </w:p>
          <w:p w14:paraId="3140434C">
            <w:pPr>
              <w:snapToGrid w:val="0"/>
              <w:spacing w:line="360" w:lineRule="auto"/>
              <w:jc w:val="center"/>
              <w:rPr>
                <w:rFonts w:hint="eastAsia" w:ascii="宋体" w:hAnsi="宋体" w:cs="宋体"/>
                <w:color w:val="auto"/>
                <w:sz w:val="24"/>
                <w:highlight w:val="none"/>
                <w:lang w:val="en-US" w:eastAsia="zh-CN"/>
              </w:rPr>
            </w:pPr>
          </w:p>
          <w:p w14:paraId="01F127F8">
            <w:pPr>
              <w:snapToGrid w:val="0"/>
              <w:spacing w:line="360" w:lineRule="auto"/>
              <w:jc w:val="center"/>
              <w:rPr>
                <w:rFonts w:hint="eastAsia" w:ascii="宋体" w:hAnsi="宋体" w:cs="宋体"/>
                <w:color w:val="auto"/>
                <w:sz w:val="24"/>
                <w:highlight w:val="none"/>
                <w:lang w:val="en-US" w:eastAsia="zh-CN"/>
              </w:rPr>
            </w:pPr>
          </w:p>
          <w:p w14:paraId="71214138">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2093" w:type="dxa"/>
            <w:vAlign w:val="center"/>
          </w:tcPr>
          <w:p w14:paraId="1736E9A5">
            <w:pPr>
              <w:snapToGrid w:val="0"/>
              <w:spacing w:line="360" w:lineRule="auto"/>
              <w:jc w:val="center"/>
              <w:rPr>
                <w:rFonts w:hint="default" w:cs="仿宋_GB2312" w:asciiTheme="minorEastAsia" w:hAnsiTheme="minorEastAsia" w:eastAsiaTheme="minorEastAsia"/>
                <w:b/>
                <w:color w:val="auto"/>
                <w:sz w:val="24"/>
                <w:highlight w:val="none"/>
                <w:lang w:val="en-US" w:eastAsia="zh-CN"/>
              </w:rPr>
            </w:pPr>
            <w:r>
              <w:rPr>
                <w:rFonts w:hint="eastAsia" w:cs="仿宋_GB2312" w:asciiTheme="minorEastAsia" w:hAnsiTheme="minorEastAsia" w:eastAsiaTheme="minorEastAsia"/>
                <w:b/>
                <w:color w:val="auto"/>
                <w:sz w:val="24"/>
                <w:highlight w:val="none"/>
                <w:lang w:val="en-US" w:eastAsia="zh-CN"/>
              </w:rPr>
              <w:t>其他说明</w:t>
            </w:r>
          </w:p>
        </w:tc>
        <w:tc>
          <w:tcPr>
            <w:tcW w:w="6327" w:type="dxa"/>
            <w:vAlign w:val="center"/>
          </w:tcPr>
          <w:p w14:paraId="77DC3471">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（1）中标通知书发出之日起30日（鼓励有条件的缩短至10个工作日）内，中标供应商持中标通知书与采购人签订合同；合同签订后需在2个工作日内进行备案公示。</w:t>
            </w:r>
          </w:p>
          <w:p w14:paraId="69BF18D6">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（2）中标供应商在收到中标通知后7个工作日内提交纸质版胶装投标文件（内容同电子投标文件）一正两副或系统解密版三份，用于项目资料存档。（邮寄地址：杭州市环站东路</w:t>
            </w:r>
            <w:r>
              <w:rPr>
                <w:rFonts w:hint="eastAsia" w:ascii="宋体" w:hAnsi="宋体" w:cs="宋体"/>
                <w:snapToGrid w:val="0"/>
                <w:color w:val="auto"/>
                <w:kern w:val="28"/>
                <w:sz w:val="24"/>
                <w:highlight w:val="none"/>
                <w:lang w:eastAsia="zh-CN"/>
              </w:rPr>
              <w:t>99号云峰大厦</w:t>
            </w:r>
            <w:r>
              <w:rPr>
                <w:rFonts w:hint="eastAsia" w:ascii="宋体" w:hAnsi="宋体" w:cs="宋体"/>
                <w:snapToGrid w:val="0"/>
                <w:color w:val="auto"/>
                <w:kern w:val="28"/>
                <w:sz w:val="24"/>
                <w:highlight w:val="none"/>
              </w:rPr>
              <w:t>1号楼1</w:t>
            </w:r>
            <w:r>
              <w:rPr>
                <w:rFonts w:hint="eastAsia" w:ascii="宋体" w:hAnsi="宋体" w:cs="宋体"/>
                <w:snapToGrid w:val="0"/>
                <w:color w:val="auto"/>
                <w:kern w:val="28"/>
                <w:sz w:val="24"/>
                <w:highlight w:val="none"/>
                <w:lang w:val="en-US" w:eastAsia="zh-CN"/>
              </w:rPr>
              <w:t>6</w:t>
            </w:r>
            <w:r>
              <w:rPr>
                <w:rFonts w:hint="eastAsia" w:ascii="宋体" w:hAnsi="宋体" w:cs="宋体"/>
                <w:snapToGrid w:val="0"/>
                <w:color w:val="auto"/>
                <w:kern w:val="28"/>
                <w:sz w:val="24"/>
                <w:highlight w:val="none"/>
              </w:rPr>
              <w:t xml:space="preserve">楼 </w:t>
            </w:r>
            <w:r>
              <w:rPr>
                <w:rFonts w:hint="eastAsia" w:ascii="宋体" w:hAnsi="宋体" w:cs="宋体"/>
                <w:snapToGrid w:val="0"/>
                <w:color w:val="auto"/>
                <w:kern w:val="28"/>
                <w:sz w:val="24"/>
                <w:highlight w:val="none"/>
                <w:lang w:eastAsia="zh-CN"/>
              </w:rPr>
              <w:t>成晓松</w:t>
            </w:r>
            <w:r>
              <w:rPr>
                <w:rFonts w:hint="eastAsia" w:ascii="宋体" w:hAnsi="宋体" w:cs="宋体"/>
                <w:snapToGrid w:val="0"/>
                <w:color w:val="auto"/>
                <w:kern w:val="28"/>
                <w:sz w:val="24"/>
                <w:highlight w:val="none"/>
              </w:rPr>
              <w:t xml:space="preserve"> </w:t>
            </w:r>
            <w:r>
              <w:rPr>
                <w:rFonts w:hint="eastAsia" w:ascii="宋体" w:hAnsi="宋体" w:cs="宋体"/>
                <w:snapToGrid w:val="0"/>
                <w:color w:val="auto"/>
                <w:kern w:val="28"/>
                <w:sz w:val="24"/>
                <w:highlight w:val="none"/>
                <w:lang w:eastAsia="zh-CN"/>
              </w:rPr>
              <w:t>18221599746</w:t>
            </w:r>
            <w:r>
              <w:rPr>
                <w:rFonts w:hint="eastAsia" w:ascii="宋体" w:hAnsi="宋体" w:cs="宋体"/>
                <w:snapToGrid w:val="0"/>
                <w:color w:val="auto"/>
                <w:kern w:val="28"/>
                <w:sz w:val="24"/>
                <w:highlight w:val="none"/>
              </w:rPr>
              <w:t>收）</w:t>
            </w:r>
          </w:p>
          <w:p w14:paraId="62E65B75">
            <w:pPr>
              <w:spacing w:line="360" w:lineRule="auto"/>
              <w:rPr>
                <w:rFonts w:ascii="宋体" w:hAnsi="宋体" w:cs="宋体"/>
                <w:snapToGrid w:val="0"/>
                <w:color w:val="auto"/>
                <w:kern w:val="28"/>
                <w:sz w:val="24"/>
                <w:highlight w:val="none"/>
              </w:rPr>
            </w:pPr>
            <w:r>
              <w:rPr>
                <w:rFonts w:hint="eastAsia" w:ascii="宋体" w:hAnsi="宋体" w:cs="宋体"/>
                <w:b/>
                <w:bCs/>
                <w:snapToGrid w:val="0"/>
                <w:color w:val="auto"/>
                <w:kern w:val="28"/>
                <w:sz w:val="24"/>
                <w:highlight w:val="none"/>
              </w:rPr>
              <w:t>（3）根据《浙江省财政厅关于进一步规范政府采购秩序促进公平竞争的通知》（浙财采监〔2025〕2号）相关规定，在评审结束后、合同签订前，采购人、采购代理机构应及时通过网站查询、原件核对等方式对中标（成交）供应商在投标（响应）文件中涉及客观分评审内容的检测报告、认证证书等资料的真实性进行复核；如采购人或采购代理机构向供应商要求提交涉及客观分评审内容的资料时，中标（成交）供应商应积极配合，因未及时提供导致不利于供应商的判断，责任由供应商自行承担。</w:t>
            </w:r>
          </w:p>
        </w:tc>
      </w:tr>
      <w:bookmarkEnd w:id="10"/>
    </w:tbl>
    <w:p w14:paraId="1E97E033">
      <w:pPr>
        <w:widowControl/>
        <w:adjustRightInd/>
        <w:jc w:val="left"/>
        <w:rPr>
          <w:rFonts w:ascii="宋体" w:hAnsi="宋体" w:cs="宋体"/>
          <w:b/>
          <w:color w:val="auto"/>
          <w:sz w:val="32"/>
          <w:szCs w:val="20"/>
          <w:highlight w:val="none"/>
        </w:rPr>
      </w:pPr>
      <w:bookmarkStart w:id="13" w:name="_Toc164416483"/>
      <w:bookmarkStart w:id="14" w:name="第三部分"/>
      <w:r>
        <w:rPr>
          <w:rFonts w:hint="eastAsia" w:ascii="宋体" w:hAnsi="宋体" w:cs="宋体"/>
          <w:b/>
          <w:color w:val="auto"/>
          <w:sz w:val="32"/>
          <w:szCs w:val="20"/>
          <w:highlight w:val="none"/>
        </w:rPr>
        <w:br w:type="page"/>
      </w:r>
    </w:p>
    <w:p w14:paraId="1E8167B9">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7F87B4C2">
      <w:pPr>
        <w:snapToGrid w:val="0"/>
        <w:spacing w:line="360" w:lineRule="auto"/>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3EFD44D8">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本采购文件适用于该项目的采购邀请、响应文件提交、响应文件开启、资格审查及信用信息查询、磋商、评审、成交供应商确定、合同、验收等行为（法律、法规另有规定的，从其规定）。</w:t>
      </w:r>
    </w:p>
    <w:p w14:paraId="4543EDBF">
      <w:pPr>
        <w:snapToGrid w:val="0"/>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2.定义</w:t>
      </w:r>
    </w:p>
    <w:p w14:paraId="159C6BB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“采购人”系指竞争性磋商公告中载明的本项目的采购人。</w:t>
      </w:r>
    </w:p>
    <w:p w14:paraId="10A96CD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”系指竞争性磋商公告中载明的本项目的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542AD08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“供应商”系指是指提交响应文件和报价、参与竞争性磋商采购活动的法人、其他组织或者自然人。</w:t>
      </w:r>
    </w:p>
    <w:p w14:paraId="441B9A9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4E67E26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6B6B6D9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3AD83F5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系指不适用本项目的要求，“※”系指磋商过程中可能实质性变动的内容。</w:t>
      </w:r>
    </w:p>
    <w:p w14:paraId="3C77A274">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6A37503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1E48727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 支持绿色发展</w:t>
      </w:r>
    </w:p>
    <w:p w14:paraId="1769B666">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color w:val="auto"/>
          <w:sz w:val="24"/>
          <w:highlight w:val="none"/>
        </w:rPr>
        <w:t>采购人拟采购的产品属于政府强制采购的节能产品品目清单范围的，供应商未按采购文件要求提供国家确定的认证机构出具的、处于有效期之内的节能产品认证证书的，响应文件无效。</w:t>
      </w:r>
    </w:p>
    <w:p w14:paraId="751F2BF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3.2.2纳入政府采购管理的修缮、装修类项目采购建材的，鼓励采购单位将绿色建材性能、指标等作为实质性条件纳入采购文件和合同，具体性能指标要求参考相关绿色建材政府采购需求标准。</w:t>
      </w:r>
    </w:p>
    <w:p w14:paraId="375067D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EC6AF36">
      <w:pPr>
        <w:pStyle w:val="4"/>
        <w:tabs>
          <w:tab w:val="left" w:pos="0"/>
          <w:tab w:val="clear" w:pos="432"/>
        </w:tabs>
        <w:ind w:left="0" w:firstLine="480" w:firstLineChars="200"/>
        <w:rPr>
          <w:color w:val="auto"/>
          <w:highlight w:val="none"/>
          <w:lang w:val="en-US"/>
        </w:rPr>
      </w:pPr>
      <w:r>
        <w:rPr>
          <w:rFonts w:ascii="宋体" w:hAnsi="宋体" w:eastAsia="宋体" w:cs="宋体"/>
          <w:b w:val="0"/>
          <w:bCs w:val="0"/>
          <w:color w:val="auto"/>
          <w:sz w:val="24"/>
          <w:szCs w:val="24"/>
          <w:highlight w:val="none"/>
          <w:lang w:val="en-US"/>
        </w:rPr>
        <w:t xml:space="preserve">3.2.4 </w:t>
      </w:r>
      <w:r>
        <w:rPr>
          <w:rFonts w:hint="eastAsia" w:ascii="宋体" w:hAnsi="宋体" w:eastAsia="宋体" w:cs="宋体"/>
          <w:b w:val="0"/>
          <w:bCs w:val="0"/>
          <w:color w:val="auto"/>
          <w:sz w:val="24"/>
          <w:szCs w:val="24"/>
          <w:highlight w:val="none"/>
          <w:lang w:val="en-US"/>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75DAAFA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3.3支持中小企业发展</w:t>
      </w:r>
    </w:p>
    <w:p w14:paraId="5A7303E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FB4924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74352AE4">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bCs/>
          <w:color w:val="auto"/>
          <w:sz w:val="24"/>
          <w:highlight w:val="none"/>
        </w:rPr>
        <w:t>3.3.2</w:t>
      </w:r>
      <w:r>
        <w:rPr>
          <w:rFonts w:hint="eastAsia" w:ascii="宋体" w:hAnsi="宋体" w:cs="宋体"/>
          <w:color w:val="auto"/>
          <w:kern w:val="0"/>
          <w:sz w:val="24"/>
          <w:highlight w:val="none"/>
        </w:rPr>
        <w:t>在政府采购活动中，供应商提供的工程符合下列情形的，享受中小企业扶持政策：</w:t>
      </w:r>
      <w:r>
        <w:rPr>
          <w:rFonts w:ascii="宋体" w:hAnsi="宋体" w:cs="宋体"/>
          <w:color w:val="auto"/>
          <w:sz w:val="24"/>
          <w:highlight w:val="none"/>
        </w:rPr>
        <w:t>在工程采购项目中，工程由中小企业承建，即工程施工单位为中小企业</w:t>
      </w:r>
      <w:r>
        <w:rPr>
          <w:rFonts w:hint="eastAsia" w:ascii="宋体" w:hAnsi="宋体" w:cs="宋体"/>
          <w:color w:val="auto"/>
          <w:kern w:val="0"/>
          <w:sz w:val="24"/>
          <w:highlight w:val="none"/>
        </w:rPr>
        <w:t>。</w:t>
      </w:r>
    </w:p>
    <w:p w14:paraId="34F0149F">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32C0622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5" w:name="_Hlk101132181"/>
      <w:r>
        <w:rPr>
          <w:rFonts w:hint="eastAsia" w:ascii="宋体" w:hAnsi="宋体" w:cs="宋体"/>
          <w:color w:val="auto"/>
          <w:sz w:val="24"/>
          <w:highlight w:val="none"/>
        </w:rPr>
        <w:t>联合协议或者分包意向协议约定小微企业的合同份额占到合同总金额30%以上的</w:t>
      </w:r>
      <w:bookmarkEnd w:id="15"/>
      <w:r>
        <w:rPr>
          <w:rFonts w:hint="eastAsia" w:ascii="宋体" w:hAnsi="宋体" w:cs="宋体"/>
          <w:color w:val="auto"/>
          <w:sz w:val="24"/>
          <w:highlight w:val="none"/>
        </w:rPr>
        <w:t>，对联合体或者大中型企业的报价给予2%的扣除，用扣除后的价格参加评审。组成联合体或者接受分包的小微企业与联合体内其他企业、分包企业之间存在直接控股、管理关系的，不享受价格扣除优惠政策。</w:t>
      </w:r>
    </w:p>
    <w:p w14:paraId="6E9D25E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0F7F622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212F2AA">
      <w:pPr>
        <w:spacing w:line="360" w:lineRule="auto"/>
        <w:ind w:firstLine="482" w:firstLineChars="200"/>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3.6可享受中小企业扶持政策的供应商应按照磋商文件格式要求提供《中小企业声明函》，</w:t>
      </w:r>
      <w:r>
        <w:rPr>
          <w:rFonts w:hint="eastAsia" w:cs="宋体" w:asciiTheme="minorEastAsia" w:hAnsiTheme="minorEastAsia" w:eastAsiaTheme="minorEastAsia"/>
          <w:b/>
          <w:bCs/>
          <w:color w:val="auto"/>
          <w:sz w:val="24"/>
          <w:highlight w:val="none"/>
          <w:lang w:val="en" w:eastAsia="zh-CN"/>
        </w:rPr>
        <w:t>《中小企业声明函》填写企业类型错误，导致该企业享受本不能享受的中小企业扶持政策，响应无效并依法承担法律责任</w:t>
      </w:r>
      <w:r>
        <w:rPr>
          <w:rFonts w:hint="eastAsia" w:cs="宋体" w:asciiTheme="minorEastAsia" w:hAnsiTheme="minorEastAsia" w:eastAsiaTheme="minorEastAsia"/>
          <w:b/>
          <w:bCs/>
          <w:color w:val="auto"/>
          <w:sz w:val="24"/>
          <w:highlight w:val="none"/>
        </w:rPr>
        <w:t>。</w:t>
      </w:r>
    </w:p>
    <w:p w14:paraId="50FF112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241FDAD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2ADBF3A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695E37C8">
      <w:pPr>
        <w:pStyle w:val="4"/>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3.4.</w:t>
      </w:r>
      <w:r>
        <w:rPr>
          <w:rFonts w:hint="eastAsia" w:ascii="宋体" w:hAnsi="宋体" w:eastAsia="宋体" w:cs="仿宋"/>
          <w:b w:val="0"/>
          <w:bCs w:val="0"/>
          <w:color w:val="auto"/>
          <w:sz w:val="24"/>
          <w:szCs w:val="24"/>
          <w:highlight w:val="none"/>
          <w:lang w:val="en-US" w:eastAsia="zh-CN"/>
        </w:rPr>
        <w:t>2</w:t>
      </w:r>
      <w:r>
        <w:rPr>
          <w:rFonts w:hint="eastAsia" w:ascii="宋体" w:hAnsi="宋体" w:eastAsia="宋体" w:cs="仿宋"/>
          <w:b w:val="0"/>
          <w:bCs w:val="0"/>
          <w:color w:val="auto"/>
          <w:sz w:val="24"/>
          <w:szCs w:val="24"/>
          <w:highlight w:val="none"/>
          <w:lang w:val="en-US"/>
        </w:rPr>
        <w:t xml:space="preserve">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6389F0C0">
      <w:pPr>
        <w:snapToGrid w:val="0"/>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2C9BD0E5">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cs="仿宋"/>
          <w:b/>
          <w:bCs/>
          <w:color w:val="auto"/>
          <w:sz w:val="24"/>
          <w:highlight w:val="none"/>
        </w:rPr>
        <w:t>、补偿救济</w:t>
      </w:r>
    </w:p>
    <w:p w14:paraId="3E73AE00">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4.1在线询问、质疑、投诉</w:t>
      </w:r>
    </w:p>
    <w:p w14:paraId="0DD77D07">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r>
        <w:rPr>
          <w:rFonts w:hint="eastAsia"/>
          <w:color w:val="auto"/>
          <w:highlight w:val="none"/>
          <w:lang w:val="en-US" w:eastAsia="zh-CN"/>
        </w:rPr>
        <w:t>政务</w:t>
      </w:r>
      <w:r>
        <w:rPr>
          <w:rFonts w:hint="eastAsia"/>
          <w:color w:val="auto"/>
          <w:highlight w:val="none"/>
        </w:rPr>
        <w:t>服务网-政府采购投诉处理-在线办理。</w:t>
      </w:r>
    </w:p>
    <w:p w14:paraId="39486DA3">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6AA19173">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3A94128">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30A9F476">
      <w:pPr>
        <w:pStyle w:val="33"/>
        <w:snapToGrid w:val="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.1提出质疑的供应商应当是参与所质疑项目采购活动的供应商。潜在供应商已依法获取其可质疑的采购文件的，可以对该文件提出质疑。</w:t>
      </w:r>
    </w:p>
    <w:p w14:paraId="02B8FBE4">
      <w:pPr>
        <w:pStyle w:val="33"/>
        <w:snapToGrid w:val="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.2供应商认为采购文件、采购过程和成交结果使自己的权益受到损害的，可以在知道或者应知其权益受到损害之日起七个工作日内，以书面形式向采购人或者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256F8EDF">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4.3.2.1对采购文件提出质疑的，质疑期限为供应商获得采购文件之日或者采购文件公告期限届满之日起计算。</w:t>
      </w:r>
    </w:p>
    <w:p w14:paraId="4AE57F74">
      <w:pPr>
        <w:pStyle w:val="33"/>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w:t>
      </w:r>
    </w:p>
    <w:p w14:paraId="256C435C">
      <w:pPr>
        <w:pStyle w:val="33"/>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4.3.2.3对采购结果提出质疑的，质疑期限自采购结果公告期限届满之日起计算。</w:t>
      </w:r>
    </w:p>
    <w:p w14:paraId="418FC2B5">
      <w:pPr>
        <w:pStyle w:val="33"/>
        <w:snapToGrid w:val="0"/>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4FBC7159">
      <w:pPr>
        <w:pStyle w:val="33"/>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4.3.3.1供应商的姓名或者名称、地址、邮编、联系人及联系电话；</w:t>
      </w:r>
    </w:p>
    <w:p w14:paraId="42E2BFB1">
      <w:pPr>
        <w:pStyle w:val="33"/>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4.3.3.2质疑项目的名称、编号；</w:t>
      </w:r>
    </w:p>
    <w:p w14:paraId="1D519BC2">
      <w:pPr>
        <w:pStyle w:val="33"/>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4.3.3.3具体、明确的质疑事项和与质疑事项相关的请求；</w:t>
      </w:r>
    </w:p>
    <w:p w14:paraId="535D1CA8">
      <w:pPr>
        <w:pStyle w:val="33"/>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4.3.3.4事实依据；</w:t>
      </w:r>
    </w:p>
    <w:p w14:paraId="65277EEC">
      <w:pPr>
        <w:pStyle w:val="33"/>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4.3.3.5必要的法律依据；</w:t>
      </w:r>
    </w:p>
    <w:p w14:paraId="35968208">
      <w:pPr>
        <w:pStyle w:val="33"/>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1EC2FA41">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75C5D4DF">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质疑函范本及制作说明详见附件2。</w:t>
      </w:r>
    </w:p>
    <w:p w14:paraId="0837936E">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4.3.4对同一采购程序环节的质疑，供应商须在法定质疑期内一次性提出。</w:t>
      </w:r>
    </w:p>
    <w:p w14:paraId="0C6AAE8D">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19FB9B45">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3AC5513F">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65B4B7B2">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0DA5BFB9">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3BA42321">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4.4.3供应商投诉应当有明确的请求和必要的证明材料。</w:t>
      </w:r>
    </w:p>
    <w:p w14:paraId="05DB0EE1">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4.4.4以联合体形式参加政府采购活动的，其投诉应当由组成联合体的所有供应商共同提出。</w:t>
      </w:r>
    </w:p>
    <w:p w14:paraId="146643C3">
      <w:pPr>
        <w:pStyle w:val="889"/>
        <w:shd w:val="clear" w:color="auto" w:fill="FFFFFF"/>
        <w:adjustRightInd w:val="0"/>
        <w:snapToGrid w:val="0"/>
        <w:spacing w:before="0" w:beforeAutospacing="0" w:after="0" w:afterAutospacing="0" w:line="360" w:lineRule="auto"/>
        <w:ind w:firstLine="480" w:firstLineChars="200"/>
        <w:contextualSpacing/>
        <w:rPr>
          <w:rFonts w:hint="eastAsia" w:ascii="宋体" w:hAnsi="宋体" w:cs="仿宋"/>
          <w:color w:val="auto"/>
          <w:sz w:val="24"/>
          <w:highlight w:val="none"/>
        </w:rPr>
      </w:pPr>
      <w:r>
        <w:rPr>
          <w:rFonts w:hint="eastAsia" w:asciiTheme="minorEastAsia" w:hAnsiTheme="minorEastAsia" w:eastAsiaTheme="minorEastAsia"/>
          <w:color w:val="auto"/>
          <w:highlight w:val="none"/>
        </w:rPr>
        <w:t>4.</w:t>
      </w:r>
      <w:r>
        <w:rPr>
          <w:rFonts w:hint="eastAsia" w:asciiTheme="minorEastAsia" w:hAnsiTheme="minorEastAsia" w:eastAsiaTheme="minorEastAsia"/>
          <w:color w:val="auto"/>
          <w:highlight w:val="none"/>
          <w:lang w:val="en-US" w:eastAsia="zh-CN"/>
        </w:rPr>
        <w:t>4</w:t>
      </w:r>
      <w:r>
        <w:rPr>
          <w:rFonts w:hint="eastAsia" w:asciiTheme="minorEastAsia" w:hAnsiTheme="minorEastAsia" w:eastAsiaTheme="minorEastAsia"/>
          <w:color w:val="auto"/>
          <w:highlight w:val="none"/>
        </w:rPr>
        <w:t>.5</w:t>
      </w:r>
      <w:r>
        <w:rPr>
          <w:rFonts w:hint="eastAsia"/>
          <w:color w:val="auto"/>
          <w:highlight w:val="none"/>
        </w:rPr>
        <w:t>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w:t>
      </w:r>
      <w:r>
        <w:rPr>
          <w:rFonts w:hint="eastAsia"/>
          <w:color w:val="auto"/>
          <w:highlight w:val="none"/>
          <w:lang w:val="en-US" w:eastAsia="zh-CN"/>
        </w:rPr>
        <w:t>老师</w:t>
      </w:r>
      <w:r>
        <w:rPr>
          <w:rFonts w:hint="eastAsia"/>
          <w:color w:val="auto"/>
          <w:highlight w:val="none"/>
        </w:rPr>
        <w:t>，电话：</w:t>
      </w:r>
      <w:r>
        <w:rPr>
          <w:rFonts w:hint="eastAsia" w:ascii="宋体" w:hAnsi="宋体" w:eastAsia="宋体" w:cs="宋体"/>
          <w:i w:val="0"/>
          <w:caps w:val="0"/>
          <w:color w:val="auto"/>
          <w:spacing w:val="0"/>
          <w:sz w:val="24"/>
          <w:szCs w:val="24"/>
          <w:highlight w:val="none"/>
          <w:lang w:val="en-US" w:eastAsia="zh-CN"/>
        </w:rPr>
        <w:t>0571-87800218</w:t>
      </w:r>
      <w:r>
        <w:rPr>
          <w:rFonts w:hint="eastAsia" w:ascii="宋体" w:hAnsi="宋体" w:cs="仿宋"/>
          <w:color w:val="auto"/>
          <w:sz w:val="24"/>
          <w:highlight w:val="none"/>
        </w:rPr>
        <w:t>。</w:t>
      </w:r>
    </w:p>
    <w:p w14:paraId="6C32A561">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投诉书范本及制作说明详见附件3。</w:t>
      </w:r>
    </w:p>
    <w:p w14:paraId="7851A8D0">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47DBB62A">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64BEB630">
      <w:pPr>
        <w:pStyle w:val="131"/>
        <w:snapToGrid w:val="0"/>
        <w:spacing w:before="0"/>
        <w:ind w:firstLine="360"/>
        <w:rPr>
          <w:rFonts w:ascii="宋体" w:hAnsi="宋体" w:cs="宋体"/>
          <w:color w:val="auto"/>
          <w:sz w:val="18"/>
          <w:szCs w:val="18"/>
          <w:highlight w:val="none"/>
        </w:rPr>
      </w:pPr>
    </w:p>
    <w:p w14:paraId="39980584">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二、采购文件的构成、澄清、修改</w:t>
      </w:r>
    </w:p>
    <w:p w14:paraId="18B1C192">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5．采购文件的构成</w:t>
      </w:r>
    </w:p>
    <w:p w14:paraId="6255E0C9">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采购文件包括下列文件及附件：</w:t>
      </w:r>
    </w:p>
    <w:p w14:paraId="66779E13">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5.1.1竞争性磋商公告；</w:t>
      </w:r>
    </w:p>
    <w:p w14:paraId="5026B78B">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5.1.2供应商须知；</w:t>
      </w:r>
    </w:p>
    <w:p w14:paraId="50D88C08">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301BCC2A">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5.1.4评审办法；</w:t>
      </w:r>
    </w:p>
    <w:p w14:paraId="0A61B97E">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00F9366B">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47C7922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澄清或者修改的内容为采购文件的组成部分</w:t>
      </w:r>
      <w:r>
        <w:rPr>
          <w:rFonts w:hint="eastAsia" w:ascii="宋体" w:hAnsi="宋体" w:cs="宋体"/>
          <w:color w:val="auto"/>
          <w:sz w:val="24"/>
          <w:highlight w:val="none"/>
        </w:rPr>
        <w:t>。</w:t>
      </w:r>
    </w:p>
    <w:p w14:paraId="0D2AEDF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采购文件的澄清、修改</w:t>
      </w:r>
    </w:p>
    <w:p w14:paraId="515FB510">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6.1已获取采购文件的潜在供应商，若有问题需要澄清，应于响应文件提交（上传）截止时间前，以书面形式向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260E5FEE">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3DA84768">
      <w:pPr>
        <w:pStyle w:val="24"/>
        <w:rPr>
          <w:rFonts w:hAnsi="宋体" w:cs="宋体"/>
          <w:color w:val="auto"/>
          <w:sz w:val="18"/>
          <w:szCs w:val="18"/>
          <w:highlight w:val="none"/>
          <w:lang w:val="en-US"/>
        </w:rPr>
      </w:pPr>
    </w:p>
    <w:p w14:paraId="244E7480">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三、提交响应文件</w:t>
      </w:r>
    </w:p>
    <w:p w14:paraId="4D2A47F0">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采购文件的获取</w:t>
      </w:r>
    </w:p>
    <w:p w14:paraId="225F7885">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详见竞争性磋商公告中获取采购文件的时间期限、地点、方式及采购文件售价。</w:t>
      </w:r>
    </w:p>
    <w:p w14:paraId="26392722">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8.磋商前答疑会或现场考察</w:t>
      </w:r>
    </w:p>
    <w:p w14:paraId="4E84756A">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采购人组织潜在供应商现场考察或者召开磋商前答疑会的，潜在供应商按第二部分供应商须知前附表的规定参加现场考察或者磋商前答疑会。</w:t>
      </w:r>
    </w:p>
    <w:p w14:paraId="59960D73">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9.磋商保证金</w:t>
      </w:r>
    </w:p>
    <w:p w14:paraId="48468673">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本项目不需缴纳磋商保证金。</w:t>
      </w:r>
    </w:p>
    <w:p w14:paraId="3B4F9AC6">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响应文件的语言</w:t>
      </w:r>
    </w:p>
    <w:p w14:paraId="76404AC9">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响应文件及供应商与采购有关的来往通知、函件和文件均应使用中文。</w:t>
      </w:r>
    </w:p>
    <w:p w14:paraId="48495FA0">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响应文件的组成</w:t>
      </w:r>
    </w:p>
    <w:p w14:paraId="54DC8A6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4A5C565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1D36499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6" w:name="_Hlk101259339"/>
      <w:r>
        <w:rPr>
          <w:rFonts w:hint="eastAsia" w:ascii="宋体" w:hAnsi="宋体" w:cs="宋体"/>
          <w:snapToGrid w:val="0"/>
          <w:color w:val="auto"/>
          <w:kern w:val="28"/>
          <w:sz w:val="24"/>
          <w:szCs w:val="20"/>
          <w:highlight w:val="none"/>
        </w:rPr>
        <w:t>联合协议</w:t>
      </w:r>
      <w:bookmarkStart w:id="17" w:name="_Hlk101257010"/>
      <w:r>
        <w:rPr>
          <w:rFonts w:hint="eastAsia" w:ascii="宋体" w:hAnsi="宋体" w:cs="宋体"/>
          <w:snapToGrid w:val="0"/>
          <w:color w:val="auto"/>
          <w:kern w:val="28"/>
          <w:sz w:val="24"/>
          <w:szCs w:val="20"/>
          <w:highlight w:val="none"/>
        </w:rPr>
        <w:t>（如果有)</w:t>
      </w:r>
      <w:bookmarkEnd w:id="16"/>
      <w:bookmarkEnd w:id="17"/>
      <w:r>
        <w:rPr>
          <w:rFonts w:hint="eastAsia" w:ascii="宋体" w:hAnsi="宋体" w:cs="宋体"/>
          <w:snapToGrid w:val="0"/>
          <w:color w:val="auto"/>
          <w:kern w:val="28"/>
          <w:sz w:val="24"/>
          <w:szCs w:val="20"/>
          <w:highlight w:val="none"/>
        </w:rPr>
        <w:t>；</w:t>
      </w:r>
    </w:p>
    <w:p w14:paraId="59788DB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12F10C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DEA7BB8">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4EB3967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11.2.1响应函；</w:t>
      </w:r>
      <w:r>
        <w:rPr>
          <w:rFonts w:hint="eastAsia" w:ascii="宋体" w:hAnsi="宋体" w:cs="宋体"/>
          <w:color w:val="auto"/>
          <w:sz w:val="24"/>
          <w:highlight w:val="none"/>
          <w:lang w:val="zh-CN"/>
        </w:rPr>
        <w:t xml:space="preserve"> </w:t>
      </w:r>
    </w:p>
    <w:p w14:paraId="30CFFFA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46188BE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11.2.3分包意向协议（如果有)；</w:t>
      </w:r>
    </w:p>
    <w:p w14:paraId="06E98EB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11.2.4符合性审查资料；</w:t>
      </w:r>
    </w:p>
    <w:p w14:paraId="42014D2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11.2.5评审标准相应的商务技术资料；</w:t>
      </w:r>
    </w:p>
    <w:p w14:paraId="0FE9415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11.2.6商务技术偏离表；</w:t>
      </w:r>
    </w:p>
    <w:p w14:paraId="70B469BA">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7314CBEF">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6A90998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11.3.1报价单；</w:t>
      </w:r>
    </w:p>
    <w:p w14:paraId="6049EFB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11.3.2已标价工程量清单；</w:t>
      </w:r>
    </w:p>
    <w:p w14:paraId="06B167C4">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11.3.3中小企业声明函。</w:t>
      </w:r>
    </w:p>
    <w:p w14:paraId="642099C5">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响应文件含有采购人不能接受的附加条件的，响应文件无效；</w:t>
      </w:r>
    </w:p>
    <w:p w14:paraId="746D2CAE">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供应商提供虚假材料的，响应文件无效。</w:t>
      </w:r>
    </w:p>
    <w:p w14:paraId="729C5238">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供应商可事先在公开官网查询、核对相关证书和报告内容，确保投标（响应）文件资料准确无误。供应商应对响应文件中材料的真实性、合法性负责。</w:t>
      </w:r>
    </w:p>
    <w:p w14:paraId="5E578C62">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响应文件的编制</w:t>
      </w:r>
    </w:p>
    <w:p w14:paraId="36FBFE31">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6860115E">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3C7BD516">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73944AEE">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13.响应文件的签署、盖章</w:t>
      </w:r>
    </w:p>
    <w:p w14:paraId="417EC93C">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13.1响应文件按照采购文件第六部分格式要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▲供应商的响应文件未按照采购文件要求签署、盖章的，其响应文件无效</w:t>
      </w:r>
      <w:r>
        <w:rPr>
          <w:rFonts w:hint="eastAsia" w:ascii="宋体" w:hAnsi="宋体" w:cs="宋体"/>
          <w:color w:val="auto"/>
          <w:szCs w:val="24"/>
          <w:highlight w:val="none"/>
        </w:rPr>
        <w:t>。</w:t>
      </w:r>
    </w:p>
    <w:p w14:paraId="4BD08FFE">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13.2为确保网上操作合法、有效和安全，供应商应当在响应文件提交（上传）截止时间前完成在“政府采购云平台”的身份认证，确保在电子投标过程中能够对相关数据电文进行加密和使用电子签名。</w:t>
      </w:r>
    </w:p>
    <w:p w14:paraId="65F2F4A5">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13.3采购文件对响应文件签署、盖章的要求适用于电子签名。</w:t>
      </w:r>
    </w:p>
    <w:p w14:paraId="739DAB74">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响应文件的提交、补充、修改、撤回</w:t>
      </w:r>
    </w:p>
    <w:p w14:paraId="2241076D">
      <w:pPr>
        <w:pStyle w:val="131"/>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74D0EA8E">
      <w:pPr>
        <w:pStyle w:val="131"/>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14.2电子交易平台收到响应文件，将妥善保存并即时向供应商发出确认回执通知。在响应文件提交（上传）截止时间前，除供应商补充、修改或者撤回响应文件外，任何单位和个人不得解密或提取响应文件。</w:t>
      </w:r>
    </w:p>
    <w:p w14:paraId="26482B2A">
      <w:pPr>
        <w:pStyle w:val="131"/>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可以视情况延长响应文件提交的截止时间。在上述情况下，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与供应商以前在响应文件提交截止时间方面的全部权利、责任和义务，将适用于延长至新的响应文件提交截止时间。</w:t>
      </w:r>
    </w:p>
    <w:p w14:paraId="3E4D05DD">
      <w:pPr>
        <w:pStyle w:val="33"/>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15.备份响应文件</w:t>
      </w:r>
    </w:p>
    <w:p w14:paraId="5CAAD809">
      <w:pPr>
        <w:pStyle w:val="33"/>
        <w:snapToGrid w:val="0"/>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15.1供应商在电子交易平台传输递交响应文件后，还可以在响应文件提交（上传）截止时间前直接提交或者以邮政快递方式递交备份响应文件1份，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不强制或变相强制供应商提交备份响应文件。</w:t>
      </w:r>
    </w:p>
    <w:p w14:paraId="1CDD86AB">
      <w:pPr>
        <w:pStyle w:val="33"/>
        <w:snapToGrid w:val="0"/>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15.2备份响应文件须在“政采云投标客户端”制作生成，并储存在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存储、密封规定的备份响应文件将被视为无效或者被拒绝接收。</w:t>
      </w:r>
    </w:p>
    <w:p w14:paraId="029A63FF">
      <w:pPr>
        <w:pStyle w:val="33"/>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15.3直接提交备份响应文件的，供应商应于响应文件提交（上传）截止时间前在竞争性磋商公告中载明的响应文件开启地点将备份响应文件提交给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将拒绝接受逾期送达的备份响应文件。</w:t>
      </w:r>
    </w:p>
    <w:p w14:paraId="3397C8B8">
      <w:pPr>
        <w:pStyle w:val="33"/>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color w:val="auto"/>
          <w:sz w:val="24"/>
          <w:szCs w:val="24"/>
          <w:highlight w:val="none"/>
        </w:rPr>
        <w:t>采购文件第二部分供应商须知前附表规定的备份响应文件送达地点；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将拒绝接受逾期送达的备份响应文件。邮寄过程中，电子备份响应文件发生泄露、遗失、损坏或延期送达等情况的，由供应商自行负责。</w:t>
      </w:r>
    </w:p>
    <w:p w14:paraId="25BE23CF">
      <w:pPr>
        <w:pStyle w:val="33"/>
        <w:snapToGrid w:val="0"/>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15.5供应商仅提交备份响应文件，未在电子交易平台传输递交响应文件的，响应文件无效。</w:t>
      </w:r>
    </w:p>
    <w:p w14:paraId="45D0FB0C">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16.响应文件的无效处理</w:t>
      </w:r>
    </w:p>
    <w:p w14:paraId="1A44D068">
      <w:pPr>
        <w:pStyle w:val="25"/>
        <w:spacing w:line="360" w:lineRule="auto"/>
        <w:ind w:firstLine="360" w:firstLineChars="150"/>
        <w:rPr>
          <w:rFonts w:cs="宋体"/>
          <w:color w:val="auto"/>
          <w:szCs w:val="21"/>
          <w:highlight w:val="none"/>
        </w:rPr>
      </w:pPr>
      <w:r>
        <w:rPr>
          <w:rFonts w:hint="eastAsia" w:cs="宋体"/>
          <w:color w:val="auto"/>
          <w:szCs w:val="21"/>
          <w:highlight w:val="none"/>
        </w:rPr>
        <w:t>有采购文件第四部分</w:t>
      </w:r>
      <w:r>
        <w:rPr>
          <w:rFonts w:hint="eastAsia" w:cs="宋体"/>
          <w:color w:val="auto"/>
          <w:highlight w:val="none"/>
        </w:rPr>
        <w:t>4.2规定</w:t>
      </w:r>
      <w:r>
        <w:rPr>
          <w:rFonts w:hint="eastAsia" w:cs="宋体"/>
          <w:color w:val="auto"/>
          <w:szCs w:val="21"/>
          <w:highlight w:val="none"/>
        </w:rPr>
        <w:t>的情形之一的，响应文件无效：</w:t>
      </w:r>
    </w:p>
    <w:p w14:paraId="4DF69652">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17.响应文件有效期</w:t>
      </w:r>
    </w:p>
    <w:p w14:paraId="5467D9B9">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17.1响应文件有效期为从提交响应文件的截止之日起90天。▲</w:t>
      </w:r>
      <w:r>
        <w:rPr>
          <w:rFonts w:hint="eastAsia" w:ascii="宋体" w:hAnsi="宋体" w:cs="宋体"/>
          <w:b/>
          <w:color w:val="auto"/>
          <w:sz w:val="24"/>
          <w:szCs w:val="20"/>
          <w:highlight w:val="none"/>
        </w:rPr>
        <w:t>供应商的响应文件中承</w:t>
      </w:r>
      <w:r>
        <w:rPr>
          <w:rFonts w:hint="eastAsia" w:ascii="宋体" w:hAnsi="宋体" w:cs="宋体"/>
          <w:b/>
          <w:color w:val="auto"/>
          <w:sz w:val="24"/>
          <w:szCs w:val="21"/>
          <w:highlight w:val="none"/>
        </w:rPr>
        <w:t>诺的响应文件有效期少于采购文件中载明的响应文件有效期的，响应文件无效。</w:t>
      </w:r>
    </w:p>
    <w:p w14:paraId="55804437">
      <w:pPr>
        <w:pStyle w:val="131"/>
        <w:spacing w:before="0"/>
        <w:ind w:firstLine="480"/>
        <w:rPr>
          <w:rFonts w:ascii="宋体" w:hAnsi="宋体" w:cs="宋体"/>
          <w:color w:val="auto"/>
          <w:highlight w:val="none"/>
        </w:rPr>
      </w:pPr>
      <w:r>
        <w:rPr>
          <w:rFonts w:hint="eastAsia" w:ascii="宋体" w:hAnsi="宋体" w:cs="宋体"/>
          <w:color w:val="auto"/>
          <w:highlight w:val="none"/>
        </w:rPr>
        <w:t>17.2响应文件合格投递后，自响应文件提交截止时间起，在响应文件有效期内有效。</w:t>
      </w:r>
    </w:p>
    <w:p w14:paraId="230423C3">
      <w:pPr>
        <w:pStyle w:val="131"/>
        <w:spacing w:before="0"/>
        <w:ind w:firstLine="480"/>
        <w:rPr>
          <w:rFonts w:ascii="宋体" w:hAnsi="宋体" w:cs="宋体"/>
          <w:color w:val="auto"/>
          <w:highlight w:val="none"/>
        </w:rPr>
      </w:pPr>
      <w:r>
        <w:rPr>
          <w:rFonts w:hint="eastAsia" w:ascii="宋体" w:hAnsi="宋体" w:cs="宋体"/>
          <w:color w:val="auto"/>
          <w:highlight w:val="none"/>
        </w:rPr>
        <w:t>17.3在原定响应文件有效期满之前，如果出现特殊情况，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可以以书面形式通知供应商延长响应文件有效期。供应商同意延长的，不得要求或被允许修改其响应文件，供应商拒绝延长的，其响应文件无效。</w:t>
      </w:r>
    </w:p>
    <w:p w14:paraId="0EA66ECF">
      <w:pPr>
        <w:pStyle w:val="131"/>
        <w:spacing w:before="0"/>
        <w:ind w:firstLine="643"/>
        <w:rPr>
          <w:rFonts w:ascii="宋体" w:hAnsi="宋体" w:cs="宋体"/>
          <w:b/>
          <w:color w:val="auto"/>
          <w:sz w:val="32"/>
          <w:highlight w:val="none"/>
        </w:rPr>
      </w:pPr>
    </w:p>
    <w:p w14:paraId="2D021D08">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四、响应文件开启、资格审查与信用信息查询</w:t>
      </w:r>
    </w:p>
    <w:p w14:paraId="19F0992A">
      <w:pPr>
        <w:pStyle w:val="557"/>
        <w:spacing w:before="0" w:line="360" w:lineRule="auto"/>
        <w:ind w:left="0" w:firstLine="0"/>
        <w:contextualSpacing/>
        <w:rPr>
          <w:rFonts w:ascii="宋体" w:hAnsi="宋体" w:cs="宋体"/>
          <w:color w:val="auto"/>
          <w:sz w:val="24"/>
          <w:highlight w:val="none"/>
        </w:rPr>
      </w:pPr>
      <w:r>
        <w:rPr>
          <w:rFonts w:hint="eastAsia" w:ascii="宋体" w:hAnsi="宋体" w:cs="宋体"/>
          <w:b/>
          <w:color w:val="auto"/>
          <w:sz w:val="24"/>
          <w:szCs w:val="24"/>
          <w:highlight w:val="none"/>
        </w:rPr>
        <w:t>18.响应文件开启</w:t>
      </w:r>
      <w:r>
        <w:rPr>
          <w:rFonts w:hint="eastAsia" w:ascii="宋体" w:hAnsi="宋体" w:cs="宋体"/>
          <w:color w:val="auto"/>
          <w:sz w:val="24"/>
          <w:highlight w:val="none"/>
        </w:rPr>
        <w:t xml:space="preserve"> </w:t>
      </w:r>
    </w:p>
    <w:p w14:paraId="3B51E895">
      <w:pPr>
        <w:pStyle w:val="557"/>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按照采购文件规定的时间通过电子交易平台组织响应文件开启，所有供应商均应当准时在线参加。供应商不足3家的，不得开启。</w:t>
      </w:r>
    </w:p>
    <w:p w14:paraId="0F66AA42">
      <w:pPr>
        <w:pStyle w:val="557"/>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18.2响应文件开启时，电子交易平台按响应文件开启时间自动提取所有响应文件。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依托电子交易平台发起开始解密指令，供应商按照平台提示和采购文件的规定在半小时内完成在线解密。</w:t>
      </w:r>
    </w:p>
    <w:p w14:paraId="0BBFB6A5">
      <w:pPr>
        <w:pStyle w:val="557"/>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18.3</w:t>
      </w:r>
      <w:r>
        <w:rPr>
          <w:rFonts w:hint="eastAsia" w:ascii="宋体" w:hAnsi="宋体" w:cs="宋体"/>
          <w:b/>
          <w:bCs/>
          <w:color w:val="auto"/>
          <w:sz w:val="24"/>
          <w:highlight w:val="none"/>
        </w:rPr>
        <w:t>响应文件未按时解密，供应商提供了备份响应文件的，以备份响应文件作为依据，否则视为响应文件撤回。响应文件已按时解密的，备份响应文件自动失效。</w:t>
      </w:r>
    </w:p>
    <w:p w14:paraId="40E347BC">
      <w:pPr>
        <w:pStyle w:val="557"/>
        <w:spacing w:before="0" w:line="360" w:lineRule="auto"/>
        <w:ind w:left="0" w:firstLine="0"/>
        <w:contextualSpacing/>
        <w:rPr>
          <w:rFonts w:ascii="宋体" w:hAnsi="宋体" w:cs="宋体"/>
          <w:b/>
          <w:color w:val="auto"/>
          <w:sz w:val="24"/>
          <w:szCs w:val="24"/>
          <w:highlight w:val="none"/>
        </w:rPr>
      </w:pPr>
      <w:r>
        <w:rPr>
          <w:rFonts w:hint="eastAsia" w:ascii="宋体" w:hAnsi="宋体" w:cs="宋体"/>
          <w:b/>
          <w:color w:val="auto"/>
          <w:sz w:val="24"/>
          <w:szCs w:val="24"/>
          <w:highlight w:val="none"/>
        </w:rPr>
        <w:t>19、资格审查</w:t>
      </w:r>
    </w:p>
    <w:p w14:paraId="4796AE5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或磋商小组依据法律法规和采购文件的规定，对供应商的资格进行审查。</w:t>
      </w:r>
    </w:p>
    <w:p w14:paraId="15A00641">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供应商未按照采购文件要求提供与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供应商不具备采购文件中规定的资格要求，其响应文件无效。</w:t>
      </w:r>
    </w:p>
    <w:p w14:paraId="284B7EF1">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对未通过资格审查的供应商，采购人或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5F7476AA">
      <w:pPr>
        <w:pStyle w:val="131"/>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合格供应商不足3家的，不再评审。</w:t>
      </w:r>
    </w:p>
    <w:p w14:paraId="10AEF334">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3E885858">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将在资格审查时通过“信用中国”网站(www.creditchina.gov.cn)、中国政府采购网(www.ccgp.gov.cn)渠道查询供应商接受资格审查时的信用记录。</w:t>
      </w:r>
    </w:p>
    <w:p w14:paraId="51F7CCFD">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20.2信用信息查询记录和证据留存的具体方式：现场查询的供应商的信用记录、查询结果经确认后将与采购文件一起存档。</w:t>
      </w:r>
    </w:p>
    <w:p w14:paraId="5DEFBCFF">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20.3信用信息的使用规则：经查询列入失信被执行人名单、重大税收违法案件当事人名单、政府采购严重违法失信行为记录名单的供应商将被拒绝参与政府采购活动。</w:t>
      </w:r>
    </w:p>
    <w:p w14:paraId="15621051">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51FA1735">
      <w:pPr>
        <w:pStyle w:val="131"/>
        <w:spacing w:before="0"/>
        <w:ind w:firstLine="0" w:firstLineChars="0"/>
        <w:rPr>
          <w:rFonts w:ascii="宋体" w:hAnsi="宋体" w:cs="宋体"/>
          <w:color w:val="auto"/>
          <w:kern w:val="0"/>
          <w:szCs w:val="24"/>
          <w:highlight w:val="none"/>
        </w:rPr>
      </w:pPr>
    </w:p>
    <w:p w14:paraId="41D4D6A4">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五、评审</w:t>
      </w:r>
    </w:p>
    <w:p w14:paraId="1DBFEB7D">
      <w:pPr>
        <w:spacing w:line="360" w:lineRule="auto"/>
        <w:rPr>
          <w:rFonts w:ascii="宋体" w:hAnsi="宋体" w:cs="宋体"/>
          <w:b/>
          <w:color w:val="auto"/>
          <w:sz w:val="24"/>
          <w:highlight w:val="none"/>
        </w:rPr>
      </w:pPr>
      <w:bookmarkStart w:id="18"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color w:val="auto"/>
          <w:sz w:val="24"/>
          <w:highlight w:val="none"/>
        </w:rPr>
        <w:t>详见采购文件第四部分评审办法。</w:t>
      </w:r>
    </w:p>
    <w:p w14:paraId="602B7D11">
      <w:pPr>
        <w:spacing w:line="360" w:lineRule="auto"/>
        <w:rPr>
          <w:rFonts w:ascii="宋体" w:hAnsi="宋体" w:cs="宋体"/>
          <w:b/>
          <w:color w:val="auto"/>
          <w:sz w:val="24"/>
          <w:highlight w:val="none"/>
        </w:rPr>
      </w:pPr>
    </w:p>
    <w:p w14:paraId="2F35FC87">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六、成交供应商确定</w:t>
      </w:r>
    </w:p>
    <w:p w14:paraId="32053D37">
      <w:pPr>
        <w:pStyle w:val="25"/>
        <w:spacing w:line="360" w:lineRule="auto"/>
        <w:ind w:left="479" w:hanging="479" w:hangingChars="199"/>
        <w:rPr>
          <w:rFonts w:cs="宋体"/>
          <w:b/>
          <w:color w:val="auto"/>
          <w:highlight w:val="none"/>
        </w:rPr>
      </w:pPr>
      <w:r>
        <w:rPr>
          <w:rFonts w:hint="eastAsia" w:cs="宋体"/>
          <w:b/>
          <w:color w:val="auto"/>
          <w:highlight w:val="none"/>
        </w:rPr>
        <w:t>22. 确定成交供应商</w:t>
      </w:r>
    </w:p>
    <w:p w14:paraId="0DA123AB">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5FCCC135">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成交通知与成交结果公告</w:t>
      </w:r>
    </w:p>
    <w:p w14:paraId="351E1EB9">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23.1自成交供应商确定之日起1个工作日内，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通过电子交易平台向成交供应商发出成交通知书，同时编制发布采购结果公告。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也可以以纸质形式进行成交通知。</w:t>
      </w:r>
    </w:p>
    <w:p w14:paraId="304B504D">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23.2成交结果公告内容包括采购人及其委托的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15C456DA">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50C8C361">
      <w:pPr>
        <w:widowControl/>
        <w:shd w:val="clear" w:color="auto" w:fill="FFFFFF"/>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lang w:val="en-US" w:eastAsia="zh-CN"/>
        </w:rPr>
        <w:t>23.4</w:t>
      </w:r>
      <w:r>
        <w:rPr>
          <w:rFonts w:hint="eastAsia" w:ascii="宋体" w:hAnsi="宋体" w:eastAsia="宋体" w:cs="宋体"/>
          <w:b w:val="0"/>
          <w:bCs/>
          <w:color w:val="auto"/>
          <w:sz w:val="24"/>
          <w:szCs w:val="24"/>
          <w:highlight w:val="none"/>
        </w:rPr>
        <w:t>由于</w:t>
      </w:r>
      <w:r>
        <w:rPr>
          <w:rFonts w:hint="eastAsia" w:ascii="宋体" w:hAnsi="宋体" w:eastAsia="宋体" w:cs="宋体"/>
          <w:bCs/>
          <w:color w:val="auto"/>
          <w:sz w:val="24"/>
          <w:szCs w:val="24"/>
          <w:highlight w:val="none"/>
        </w:rPr>
        <w:t>成交供应商原因导致重新采购的，应当承担支付代理费和专家评审费等费用在内的赔偿责任。</w:t>
      </w:r>
    </w:p>
    <w:p w14:paraId="7A025344">
      <w:pPr>
        <w:snapToGrid w:val="0"/>
        <w:spacing w:line="360" w:lineRule="auto"/>
        <w:ind w:left="120" w:leftChars="57" w:firstLine="482" w:firstLineChars="150"/>
        <w:jc w:val="center"/>
        <w:rPr>
          <w:rFonts w:ascii="宋体" w:hAnsi="宋体" w:cs="宋体"/>
          <w:b/>
          <w:color w:val="auto"/>
          <w:sz w:val="32"/>
          <w:highlight w:val="none"/>
        </w:rPr>
      </w:pPr>
    </w:p>
    <w:p w14:paraId="71F49ABA">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七、合同授予</w:t>
      </w:r>
    </w:p>
    <w:p w14:paraId="612EDD95">
      <w:pPr>
        <w:pStyle w:val="25"/>
        <w:snapToGrid w:val="0"/>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7B304A54">
      <w:pPr>
        <w:pStyle w:val="25"/>
        <w:snapToGrid w:val="0"/>
        <w:spacing w:line="360" w:lineRule="auto"/>
        <w:ind w:left="479" w:hanging="479" w:hangingChars="199"/>
        <w:rPr>
          <w:rFonts w:cs="宋体"/>
          <w:b/>
          <w:color w:val="auto"/>
          <w:highlight w:val="none"/>
        </w:rPr>
      </w:pPr>
      <w:r>
        <w:rPr>
          <w:rFonts w:hint="eastAsia" w:cs="宋体"/>
          <w:b/>
          <w:color w:val="auto"/>
          <w:highlight w:val="none"/>
        </w:rPr>
        <w:t>25. 合同的签订</w:t>
      </w:r>
    </w:p>
    <w:p w14:paraId="633E817A">
      <w:pPr>
        <w:widowControl/>
        <w:shd w:val="clear" w:color="auto" w:fill="FFFFFF"/>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36534277">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25.2成交供应商按规定的日期、时间、地点，由法定代表人或其授权代表与采购人代表签订合同。如成交供应商为联合体的，由联合体成员各方法定代表人或其授权代表与采购人代表签订合同。</w:t>
      </w:r>
    </w:p>
    <w:p w14:paraId="7B851CC0">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49090D0A">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6B6F953A">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25.5采购合同由采购人与成交供应商根据采购文件、响应文件等内容通过政府采购电子交易平台在线签订，自动备案。</w:t>
      </w:r>
    </w:p>
    <w:p w14:paraId="081CAC59">
      <w:pPr>
        <w:pStyle w:val="25"/>
        <w:snapToGrid w:val="0"/>
        <w:spacing w:line="360" w:lineRule="auto"/>
        <w:ind w:left="479" w:hanging="479" w:hangingChars="199"/>
        <w:rPr>
          <w:rFonts w:cs="宋体"/>
          <w:b/>
          <w:color w:val="auto"/>
          <w:highlight w:val="none"/>
        </w:rPr>
      </w:pPr>
      <w:r>
        <w:rPr>
          <w:rFonts w:hint="eastAsia" w:cs="宋体"/>
          <w:b/>
          <w:color w:val="auto"/>
          <w:highlight w:val="none"/>
        </w:rPr>
        <w:t>26. 履约保证金</w:t>
      </w:r>
    </w:p>
    <w:p w14:paraId="3059C154">
      <w:pPr>
        <w:tabs>
          <w:tab w:val="left" w:pos="0"/>
        </w:tabs>
        <w:snapToGrid w:val="0"/>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拟签订的合同文本要求成交供应商提交履约保证金的，供应商应当以支票、汇票、本票或者金融机构、担保机构出具的保函等非现金形式提交</w:t>
      </w:r>
      <w:r>
        <w:rPr>
          <w:rFonts w:hint="eastAsia" w:ascii="宋体" w:hAnsi="宋体" w:cs="宋体"/>
          <w:color w:val="auto"/>
          <w:sz w:val="24"/>
          <w:highlight w:val="none"/>
        </w:rPr>
        <w:t>。杭州市政府采购网公布的供应商履约评价为满分的供应商，采购单位应当免收履约保证金。确需收取履约保证金的，履约保证金缴纳最高比例由不超过</w:t>
      </w:r>
      <w:r>
        <w:rPr>
          <w:rFonts w:hint="eastAsia" w:ascii="宋体" w:hAnsi="宋体" w:cs="宋体"/>
          <w:color w:val="auto"/>
          <w:kern w:val="2"/>
          <w:sz w:val="24"/>
          <w:highlight w:val="none"/>
        </w:rPr>
        <w:t>合同金额的</w:t>
      </w:r>
      <w:r>
        <w:rPr>
          <w:rFonts w:ascii="宋体" w:hAnsi="宋体" w:cs="宋体"/>
          <w:color w:val="auto"/>
          <w:kern w:val="2"/>
          <w:sz w:val="24"/>
          <w:highlight w:val="none"/>
        </w:rPr>
        <w:t>1%</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sz w:val="24"/>
          <w:highlight w:val="none"/>
        </w:rPr>
        <w:t>采购单位鼓励供应商采取履约保函形式提供信用保证；供应商提供保函的，采购单位不得拒收。项目验收结束后应及时退还，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10774A0B">
      <w:pPr>
        <w:pStyle w:val="4"/>
        <w:snapToGrid w:val="0"/>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212876CF">
      <w:pPr>
        <w:pStyle w:val="4"/>
        <w:rPr>
          <w:color w:val="auto"/>
          <w:highlight w:val="none"/>
        </w:rPr>
      </w:pPr>
      <w:r>
        <w:rPr>
          <w:rFonts w:ascii="宋体" w:hAnsi="宋体" w:eastAsia="宋体" w:cs="Times New Roman"/>
          <w:b/>
          <w:bCs/>
          <w:color w:val="auto"/>
          <w:kern w:val="2"/>
          <w:sz w:val="24"/>
          <w:szCs w:val="32"/>
          <w:highlight w:val="none"/>
          <w:lang w:val="en-US"/>
        </w:rPr>
        <w:t>27.预付款</w:t>
      </w:r>
    </w:p>
    <w:p w14:paraId="0DC8DA51">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14:paraId="4AFD7588">
      <w:pPr>
        <w:rPr>
          <w:color w:val="auto"/>
          <w:highlight w:val="none"/>
        </w:rPr>
      </w:pPr>
    </w:p>
    <w:p w14:paraId="3A69F04F">
      <w:pPr>
        <w:snapToGrid w:val="0"/>
        <w:spacing w:line="360" w:lineRule="auto"/>
        <w:ind w:firstLine="3357" w:firstLineChars="1045"/>
        <w:rPr>
          <w:rFonts w:ascii="宋体" w:hAnsi="宋体" w:cs="宋体"/>
          <w:b/>
          <w:color w:val="auto"/>
          <w:sz w:val="32"/>
          <w:highlight w:val="none"/>
        </w:rPr>
      </w:pPr>
    </w:p>
    <w:p w14:paraId="4868B552">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八、电子交易活动的中止</w:t>
      </w:r>
    </w:p>
    <w:p w14:paraId="0E3CD05D">
      <w:pPr>
        <w:pStyle w:val="131"/>
        <w:snapToGrid w:val="0"/>
        <w:spacing w:before="0"/>
        <w:ind w:firstLine="0" w:firstLineChars="0"/>
        <w:rPr>
          <w:rFonts w:ascii="宋体" w:hAnsi="宋体" w:cs="宋体"/>
          <w:color w:val="auto"/>
          <w:highlight w:val="none"/>
        </w:rPr>
      </w:pPr>
      <w:r>
        <w:rPr>
          <w:rFonts w:ascii="宋体" w:hAnsi="宋体" w:cs="宋体"/>
          <w:b/>
          <w:bCs/>
          <w:color w:val="auto"/>
          <w:kern w:val="2"/>
          <w:szCs w:val="20"/>
          <w:highlight w:val="none"/>
        </w:rPr>
        <w:t>2</w:t>
      </w:r>
      <w:r>
        <w:rPr>
          <w:rFonts w:ascii="宋体" w:hAnsi="宋体" w:cs="宋体"/>
          <w:b/>
          <w:bCs/>
          <w:color w:val="auto"/>
          <w:kern w:val="2"/>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52333D52">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44E80E0E">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10F574F0">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3F8FF37B">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6CC5EDBC">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5A416E38">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42F0CFAD">
      <w:pPr>
        <w:tabs>
          <w:tab w:val="left" w:pos="0"/>
        </w:tabs>
        <w:spacing w:line="360" w:lineRule="auto"/>
        <w:ind w:firstLine="480"/>
        <w:rPr>
          <w:rFonts w:ascii="宋体" w:hAnsi="宋体" w:cs="宋体"/>
          <w:color w:val="auto"/>
          <w:sz w:val="24"/>
          <w:highlight w:val="none"/>
        </w:rPr>
      </w:pPr>
    </w:p>
    <w:p w14:paraId="3B2A1628">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九、验收</w:t>
      </w:r>
    </w:p>
    <w:p w14:paraId="7F3C605D">
      <w:pPr>
        <w:pStyle w:val="25"/>
        <w:spacing w:line="360" w:lineRule="auto"/>
        <w:ind w:firstLine="0" w:firstLineChars="0"/>
        <w:rPr>
          <w:rFonts w:cs="宋体"/>
          <w:b/>
          <w:color w:val="auto"/>
          <w:highlight w:val="none"/>
        </w:rPr>
      </w:pPr>
      <w:r>
        <w:rPr>
          <w:rFonts w:hint="eastAsia" w:cs="宋体"/>
          <w:b/>
          <w:color w:val="auto"/>
          <w:highlight w:val="none"/>
        </w:rPr>
        <w:t>30.验收</w:t>
      </w:r>
    </w:p>
    <w:p w14:paraId="68FA3797">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10CCC65">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30.2采购人可以邀请参加本项目的其他供应商或者第三方机构参与验收。参与验收的供应商或者第三方机构的意见作为验收书的参考资料一并存档。</w:t>
      </w:r>
    </w:p>
    <w:p w14:paraId="474DD87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803D780">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5654880D">
      <w:pPr>
        <w:pStyle w:val="4"/>
        <w:adjustRightInd w:val="0"/>
        <w:snapToGrid w:val="0"/>
        <w:ind w:left="0" w:firstLine="480" w:firstLineChars="200"/>
        <w:rPr>
          <w:rFonts w:ascii="宋体" w:hAnsi="宋体" w:eastAsia="宋体" w:cs="宋体"/>
          <w:b w:val="0"/>
          <w:bCs w:val="0"/>
          <w:color w:val="auto"/>
          <w:kern w:val="0"/>
          <w:sz w:val="24"/>
          <w:szCs w:val="24"/>
          <w:highlight w:val="none"/>
          <w:lang w:val="en-US"/>
        </w:rPr>
      </w:pPr>
      <w:bookmarkStart w:id="19" w:name="_Hlt74729768"/>
      <w:bookmarkEnd w:id="19"/>
      <w:bookmarkStart w:id="20" w:name="_Hlt68403820"/>
      <w:bookmarkEnd w:id="20"/>
      <w:bookmarkStart w:id="21" w:name="_Hlt74707468"/>
      <w:bookmarkEnd w:id="21"/>
      <w:bookmarkStart w:id="22" w:name="_Hlt75236101"/>
      <w:bookmarkEnd w:id="22"/>
      <w:bookmarkStart w:id="23" w:name="_Hlt68072998"/>
      <w:bookmarkEnd w:id="23"/>
      <w:bookmarkStart w:id="24" w:name="_Hlt68072990"/>
      <w:bookmarkEnd w:id="24"/>
      <w:bookmarkStart w:id="25" w:name="_Hlt75236011"/>
      <w:bookmarkEnd w:id="25"/>
      <w:bookmarkStart w:id="26" w:name="_Hlt75236290"/>
      <w:bookmarkEnd w:id="26"/>
      <w:bookmarkStart w:id="27" w:name="_Hlt74730295"/>
      <w:bookmarkEnd w:id="27"/>
      <w:bookmarkStart w:id="28" w:name="_Hlt74714665"/>
      <w:bookmarkEnd w:id="28"/>
      <w:bookmarkStart w:id="29" w:name="_Hlt68057669"/>
      <w:bookmarkEnd w:id="29"/>
      <w:bookmarkStart w:id="30" w:name="_Hlt68073093"/>
      <w:bookmarkEnd w:id="30"/>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05DB77DF">
      <w:pPr>
        <w:pStyle w:val="80"/>
        <w:rPr>
          <w:color w:val="auto"/>
          <w:highlight w:val="none"/>
        </w:rPr>
        <w:sectPr>
          <w:pgSz w:w="11906" w:h="16838"/>
          <w:pgMar w:top="1417" w:right="1417" w:bottom="1417" w:left="1417" w:header="851" w:footer="992" w:gutter="0"/>
          <w:pgNumType w:fmt="decimal"/>
          <w:cols w:space="720" w:num="1"/>
          <w:titlePg/>
          <w:docGrid w:linePitch="312" w:charSpace="0"/>
        </w:sectPr>
      </w:pPr>
    </w:p>
    <w:bookmarkEnd w:id="13"/>
    <w:bookmarkEnd w:id="14"/>
    <w:p w14:paraId="48FC5337">
      <w:pPr>
        <w:pStyle w:val="33"/>
        <w:spacing w:line="360" w:lineRule="auto"/>
        <w:jc w:val="center"/>
        <w:rPr>
          <w:rFonts w:hAnsi="宋体" w:cs="宋体"/>
          <w:b/>
          <w:snapToGrid/>
          <w:color w:val="auto"/>
          <w:sz w:val="36"/>
          <w:szCs w:val="20"/>
          <w:highlight w:val="none"/>
        </w:rPr>
      </w:pPr>
      <w:bookmarkStart w:id="31" w:name="第四部分"/>
      <w:r>
        <w:rPr>
          <w:rFonts w:hint="eastAsia" w:hAnsi="宋体" w:cs="宋体"/>
          <w:b/>
          <w:snapToGrid/>
          <w:color w:val="auto"/>
          <w:sz w:val="36"/>
          <w:szCs w:val="20"/>
          <w:highlight w:val="none"/>
        </w:rPr>
        <w:t>第三部分 采购需求</w:t>
      </w:r>
    </w:p>
    <w:p w14:paraId="34DC5AA3">
      <w:pPr>
        <w:spacing w:line="360" w:lineRule="auto"/>
        <w:jc w:val="left"/>
        <w:rPr>
          <w:rFonts w:ascii="宋体" w:hAnsi="宋体" w:cs="仿宋_GB2312"/>
          <w:b/>
          <w:bCs/>
          <w:color w:val="auto"/>
          <w:sz w:val="24"/>
          <w:highlight w:val="none"/>
          <w:u w:val="none"/>
        </w:rPr>
      </w:pPr>
      <w:r>
        <w:rPr>
          <w:rFonts w:hint="eastAsia" w:ascii="宋体" w:hAnsi="宋体" w:cs="仿宋_GB2312"/>
          <w:b/>
          <w:bCs/>
          <w:color w:val="auto"/>
          <w:sz w:val="24"/>
          <w:highlight w:val="none"/>
        </w:rPr>
        <w:t>一、工</w:t>
      </w:r>
      <w:r>
        <w:rPr>
          <w:rFonts w:hint="eastAsia" w:ascii="宋体" w:hAnsi="宋体" w:cs="仿宋_GB2312"/>
          <w:b/>
          <w:bCs/>
          <w:color w:val="auto"/>
          <w:sz w:val="24"/>
          <w:highlight w:val="none"/>
          <w:u w:val="none"/>
        </w:rPr>
        <w:t>程概况</w:t>
      </w:r>
    </w:p>
    <w:p w14:paraId="011F5FDE">
      <w:pPr>
        <w:spacing w:line="360" w:lineRule="auto"/>
        <w:ind w:left="0" w:leftChars="0" w:firstLine="420" w:firstLineChars="175"/>
        <w:jc w:val="left"/>
        <w:rPr>
          <w:rFonts w:hint="eastAsia" w:ascii="宋体" w:hAnsi="宋体" w:eastAsia="宋体"/>
          <w:color w:val="auto"/>
          <w:sz w:val="24"/>
          <w:highlight w:val="none"/>
          <w:u w:val="none"/>
          <w:lang w:eastAsia="zh-CN"/>
        </w:rPr>
      </w:pPr>
      <w:r>
        <w:rPr>
          <w:rFonts w:hint="eastAsia" w:ascii="宋体" w:hAnsi="宋体"/>
          <w:color w:val="auto"/>
          <w:sz w:val="24"/>
          <w:highlight w:val="none"/>
          <w:u w:val="none"/>
        </w:rPr>
        <w:t>本项目为</w:t>
      </w:r>
      <w:r>
        <w:rPr>
          <w:rFonts w:hint="eastAsia" w:ascii="宋体" w:hAnsi="宋体"/>
          <w:color w:val="auto"/>
          <w:sz w:val="24"/>
          <w:highlight w:val="none"/>
          <w:u w:val="none"/>
          <w:lang w:eastAsia="zh-CN"/>
        </w:rPr>
        <w:t>杭州市美术职业学校莫干校区实训楼外立面改造项目，</w:t>
      </w:r>
      <w:r>
        <w:rPr>
          <w:rFonts w:hint="eastAsia" w:hAnsi="宋体" w:cs="宋体"/>
          <w:bCs/>
          <w:snapToGrid/>
          <w:color w:val="auto"/>
          <w:kern w:val="2"/>
          <w:sz w:val="24"/>
          <w:szCs w:val="24"/>
          <w:highlight w:val="none"/>
        </w:rPr>
        <w:t>主要内容</w:t>
      </w:r>
      <w:r>
        <w:rPr>
          <w:rFonts w:hint="eastAsia" w:cs="宋体"/>
          <w:bCs/>
          <w:snapToGrid/>
          <w:color w:val="auto"/>
          <w:kern w:val="2"/>
          <w:sz w:val="24"/>
          <w:szCs w:val="24"/>
          <w:highlight w:val="none"/>
          <w:lang w:val="en-US" w:eastAsia="zh-CN"/>
        </w:rPr>
        <w:t>为实训楼外立面改造，实训楼四层舞蹈室装修等</w:t>
      </w:r>
      <w:r>
        <w:rPr>
          <w:rFonts w:hint="eastAsia" w:ascii="宋体" w:hAnsi="宋体"/>
          <w:color w:val="auto"/>
          <w:sz w:val="24"/>
          <w:highlight w:val="none"/>
          <w:u w:val="none"/>
          <w:lang w:eastAsia="zh-CN"/>
        </w:rPr>
        <w:t>。具体详见工程量清单、图纸等材料</w:t>
      </w:r>
      <w:r>
        <w:rPr>
          <w:rFonts w:hint="eastAsia" w:ascii="宋体" w:hAnsi="宋体" w:cs="宋体"/>
          <w:color w:val="auto"/>
          <w:sz w:val="24"/>
          <w:highlight w:val="none"/>
          <w:u w:val="none"/>
        </w:rPr>
        <w:t>（另附，清单工程量仅做参考，以现场实际数量为准）</w:t>
      </w:r>
      <w:r>
        <w:rPr>
          <w:rFonts w:hint="eastAsia" w:ascii="宋体" w:hAnsi="宋体"/>
          <w:color w:val="auto"/>
          <w:sz w:val="24"/>
          <w:highlight w:val="none"/>
          <w:u w:val="none"/>
          <w:lang w:eastAsia="zh-CN"/>
        </w:rPr>
        <w:t>。</w:t>
      </w:r>
    </w:p>
    <w:p w14:paraId="5206C38C">
      <w:pPr>
        <w:spacing w:line="360" w:lineRule="auto"/>
        <w:jc w:val="left"/>
        <w:rPr>
          <w:rFonts w:hint="eastAsia" w:ascii="宋体" w:hAnsi="宋体" w:cs="仿宋_GB2312"/>
          <w:b/>
          <w:bCs/>
          <w:color w:val="auto"/>
          <w:sz w:val="24"/>
          <w:highlight w:val="none"/>
        </w:rPr>
      </w:pPr>
    </w:p>
    <w:p w14:paraId="79E3139C">
      <w:pPr>
        <w:spacing w:line="360" w:lineRule="auto"/>
        <w:jc w:val="left"/>
        <w:rPr>
          <w:rFonts w:ascii="宋体" w:hAnsi="宋体" w:cs="仿宋_GB2312"/>
          <w:color w:val="auto"/>
          <w:sz w:val="24"/>
          <w:highlight w:val="none"/>
        </w:rPr>
      </w:pPr>
      <w:r>
        <w:rPr>
          <w:rFonts w:hint="eastAsia" w:ascii="宋体" w:hAnsi="宋体" w:cs="仿宋_GB2312"/>
          <w:b/>
          <w:bCs/>
          <w:color w:val="auto"/>
          <w:sz w:val="24"/>
          <w:highlight w:val="none"/>
        </w:rPr>
        <w:t xml:space="preserve">二、工程内容 </w:t>
      </w:r>
    </w:p>
    <w:p w14:paraId="3472D299">
      <w:pPr>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1.工程名称</w:t>
      </w:r>
    </w:p>
    <w:p w14:paraId="78D812E5">
      <w:pPr>
        <w:spacing w:line="360" w:lineRule="auto"/>
        <w:ind w:left="210" w:leftChars="100" w:firstLine="208" w:firstLineChars="87"/>
        <w:jc w:val="left"/>
        <w:rPr>
          <w:rFonts w:hint="eastAsia" w:ascii="宋体" w:hAnsi="宋体"/>
          <w:color w:val="auto"/>
          <w:sz w:val="24"/>
          <w:highlight w:val="none"/>
          <w:u w:val="none"/>
        </w:rPr>
      </w:pPr>
      <w:r>
        <w:rPr>
          <w:rFonts w:hint="eastAsia" w:ascii="宋体" w:hAnsi="宋体"/>
          <w:color w:val="auto"/>
          <w:sz w:val="24"/>
          <w:highlight w:val="none"/>
          <w:u w:val="none"/>
          <w:lang w:eastAsia="zh-CN"/>
        </w:rPr>
        <w:t>杭州市美术职业学校莫干校区实训楼外立面改造项目</w:t>
      </w:r>
    </w:p>
    <w:p w14:paraId="7C182A36">
      <w:pPr>
        <w:spacing w:line="360" w:lineRule="auto"/>
        <w:ind w:left="210" w:leftChars="100"/>
        <w:jc w:val="left"/>
        <w:rPr>
          <w:rFonts w:ascii="宋体" w:hAnsi="宋体" w:cs="仿宋_GB2312"/>
          <w:color w:val="auto"/>
          <w:sz w:val="24"/>
          <w:highlight w:val="none"/>
          <w:u w:val="none"/>
        </w:rPr>
      </w:pPr>
      <w:r>
        <w:rPr>
          <w:rFonts w:hint="eastAsia" w:ascii="宋体" w:hAnsi="宋体" w:cs="仿宋_GB2312"/>
          <w:color w:val="auto"/>
          <w:sz w:val="24"/>
          <w:highlight w:val="none"/>
          <w:u w:val="none"/>
        </w:rPr>
        <w:t>2.现场条件</w:t>
      </w:r>
    </w:p>
    <w:p w14:paraId="3AB455DA">
      <w:pPr>
        <w:spacing w:line="360" w:lineRule="auto"/>
        <w:ind w:left="210" w:leftChars="100" w:firstLine="208" w:firstLineChars="87"/>
        <w:jc w:val="left"/>
        <w:rPr>
          <w:rFonts w:hint="eastAsia" w:ascii="宋体" w:hAnsi="宋体"/>
          <w:color w:val="auto"/>
          <w:sz w:val="24"/>
          <w:highlight w:val="none"/>
          <w:u w:val="none"/>
        </w:rPr>
      </w:pPr>
      <w:r>
        <w:rPr>
          <w:rFonts w:hint="eastAsia" w:ascii="宋体" w:hAnsi="宋体"/>
          <w:color w:val="auto"/>
          <w:sz w:val="24"/>
          <w:highlight w:val="none"/>
          <w:u w:val="none"/>
        </w:rPr>
        <w:t>目前施工现场通水、通电工作均已完成，具备项目施工条件。</w:t>
      </w:r>
    </w:p>
    <w:p w14:paraId="0AEEC8B4">
      <w:pPr>
        <w:spacing w:line="360" w:lineRule="auto"/>
        <w:ind w:left="210" w:leftChars="100"/>
        <w:jc w:val="left"/>
        <w:rPr>
          <w:rFonts w:ascii="宋体" w:hAnsi="宋体" w:cs="仿宋_GB2312"/>
          <w:color w:val="auto"/>
          <w:sz w:val="24"/>
          <w:highlight w:val="none"/>
          <w:u w:val="none"/>
        </w:rPr>
      </w:pPr>
      <w:r>
        <w:rPr>
          <w:rFonts w:hint="eastAsia" w:ascii="宋体" w:hAnsi="宋体" w:cs="仿宋_GB2312"/>
          <w:color w:val="auto"/>
          <w:sz w:val="24"/>
          <w:highlight w:val="none"/>
          <w:u w:val="none"/>
        </w:rPr>
        <w:t>3.工程承包范围</w:t>
      </w:r>
    </w:p>
    <w:p w14:paraId="457FE770">
      <w:pPr>
        <w:spacing w:line="360" w:lineRule="auto"/>
        <w:ind w:firstLine="518" w:firstLineChars="215"/>
        <w:jc w:val="left"/>
        <w:rPr>
          <w:rFonts w:hint="eastAsia" w:ascii="宋体" w:hAnsi="宋体" w:cs="仿宋_GB2312"/>
          <w:b/>
          <w:bCs/>
          <w:color w:val="auto"/>
          <w:sz w:val="24"/>
          <w:highlight w:val="none"/>
          <w:u w:val="none"/>
        </w:rPr>
      </w:pPr>
      <w:r>
        <w:rPr>
          <w:rFonts w:hint="eastAsia" w:ascii="宋体" w:hAnsi="宋体" w:cs="仿宋_GB2312"/>
          <w:b/>
          <w:bCs/>
          <w:color w:val="auto"/>
          <w:sz w:val="24"/>
          <w:highlight w:val="none"/>
          <w:u w:val="none"/>
        </w:rPr>
        <w:t>※工程承包范围为磋商文件、磋商记录、施工图纸中包含的所有内容。</w:t>
      </w:r>
    </w:p>
    <w:p w14:paraId="1510D17E">
      <w:pPr>
        <w:spacing w:line="360" w:lineRule="auto"/>
        <w:ind w:firstLine="518" w:firstLineChars="215"/>
        <w:jc w:val="left"/>
        <w:rPr>
          <w:rFonts w:ascii="宋体" w:hAnsi="宋体" w:cs="宋体"/>
          <w:b/>
          <w:color w:val="auto"/>
          <w:sz w:val="24"/>
          <w:highlight w:val="none"/>
        </w:rPr>
      </w:pPr>
      <w:r>
        <w:rPr>
          <w:rFonts w:hint="eastAsia" w:ascii="宋体" w:hAnsi="宋体" w:cs="宋体"/>
          <w:b/>
          <w:color w:val="auto"/>
          <w:sz w:val="24"/>
          <w:highlight w:val="none"/>
        </w:rPr>
        <w:t>以上与施工相关的管理要求所需要的费用包含在各综合单价、合价和磋商响应总报价中。</w:t>
      </w:r>
    </w:p>
    <w:p w14:paraId="07E7233A">
      <w:pPr>
        <w:spacing w:line="360" w:lineRule="auto"/>
        <w:ind w:firstLine="482" w:firstLineChars="200"/>
        <w:jc w:val="left"/>
        <w:rPr>
          <w:rFonts w:hint="eastAsia" w:ascii="宋体" w:hAnsi="宋体" w:cs="仿宋_GB2312"/>
          <w:b/>
          <w:bCs/>
          <w:color w:val="auto"/>
          <w:sz w:val="24"/>
          <w:highlight w:val="none"/>
          <w:u w:val="none"/>
        </w:rPr>
      </w:pPr>
      <w:r>
        <w:rPr>
          <w:rFonts w:hint="eastAsia" w:ascii="宋体" w:hAnsi="宋体" w:cs="宋体"/>
          <w:b/>
          <w:color w:val="auto"/>
          <w:sz w:val="24"/>
          <w:highlight w:val="none"/>
        </w:rPr>
        <w:t>本项目采用综合单价，按实结算，结算金额不超过项目合同金额的110%且不超过项目预算。</w:t>
      </w:r>
    </w:p>
    <w:p w14:paraId="16DEB825">
      <w:pPr>
        <w:spacing w:line="360" w:lineRule="auto"/>
        <w:ind w:left="210" w:leftChars="100"/>
        <w:jc w:val="left"/>
        <w:rPr>
          <w:rFonts w:ascii="宋体" w:hAnsi="宋体" w:cs="仿宋_GB2312"/>
          <w:color w:val="auto"/>
          <w:sz w:val="24"/>
          <w:highlight w:val="none"/>
          <w:u w:val="none"/>
        </w:rPr>
      </w:pPr>
      <w:r>
        <w:rPr>
          <w:rFonts w:hint="eastAsia" w:ascii="宋体" w:hAnsi="宋体" w:cs="仿宋_GB2312"/>
          <w:color w:val="auto"/>
          <w:sz w:val="24"/>
          <w:highlight w:val="none"/>
          <w:u w:val="none"/>
        </w:rPr>
        <w:t>4.工程质量标准</w:t>
      </w:r>
    </w:p>
    <w:p w14:paraId="4C7A47D9">
      <w:pPr>
        <w:spacing w:line="360" w:lineRule="auto"/>
        <w:ind w:firstLine="480" w:firstLineChars="200"/>
        <w:jc w:val="left"/>
        <w:rPr>
          <w:rFonts w:hint="eastAsia" w:ascii="宋体" w:hAnsi="宋体"/>
          <w:color w:val="auto"/>
          <w:sz w:val="24"/>
          <w:highlight w:val="none"/>
          <w:u w:val="none"/>
        </w:rPr>
      </w:pPr>
      <w:r>
        <w:rPr>
          <w:rFonts w:hint="eastAsia" w:ascii="宋体" w:hAnsi="宋体"/>
          <w:color w:val="auto"/>
          <w:sz w:val="24"/>
          <w:highlight w:val="none"/>
          <w:u w:val="none"/>
        </w:rPr>
        <w:t>住建部现行工程质量验收规范以及合同规定的验收评定标准。</w:t>
      </w:r>
    </w:p>
    <w:p w14:paraId="441EC42B">
      <w:pPr>
        <w:spacing w:line="360" w:lineRule="auto"/>
        <w:ind w:left="210" w:leftChars="100"/>
        <w:jc w:val="left"/>
        <w:rPr>
          <w:rFonts w:ascii="宋体" w:hAnsi="宋体" w:cs="仿宋_GB2312"/>
          <w:color w:val="auto"/>
          <w:sz w:val="24"/>
          <w:highlight w:val="none"/>
          <w:u w:val="none"/>
        </w:rPr>
      </w:pPr>
      <w:r>
        <w:rPr>
          <w:rFonts w:hint="eastAsia" w:ascii="宋体" w:hAnsi="宋体" w:cs="仿宋_GB2312"/>
          <w:color w:val="auto"/>
          <w:sz w:val="24"/>
          <w:highlight w:val="none"/>
          <w:u w:val="none"/>
        </w:rPr>
        <w:t>5.工程施工要求</w:t>
      </w:r>
    </w:p>
    <w:p w14:paraId="11B4EC3A">
      <w:pPr>
        <w:spacing w:line="360" w:lineRule="auto"/>
        <w:ind w:left="210" w:leftChars="100" w:firstLine="208" w:firstLineChars="87"/>
        <w:jc w:val="left"/>
        <w:rPr>
          <w:rFonts w:hint="eastAsia" w:ascii="宋体" w:hAnsi="宋体"/>
          <w:color w:val="auto"/>
          <w:sz w:val="24"/>
          <w:highlight w:val="none"/>
          <w:u w:val="none"/>
        </w:rPr>
      </w:pPr>
      <w:r>
        <w:rPr>
          <w:rFonts w:hint="eastAsia" w:ascii="宋体" w:hAnsi="宋体"/>
          <w:color w:val="auto"/>
          <w:sz w:val="24"/>
          <w:highlight w:val="none"/>
          <w:u w:val="none"/>
        </w:rPr>
        <w:t>（1）工程技术规范要求：</w:t>
      </w:r>
    </w:p>
    <w:p w14:paraId="1F283BEA">
      <w:pPr>
        <w:spacing w:line="360" w:lineRule="auto"/>
        <w:ind w:firstLine="480" w:firstLineChars="200"/>
        <w:jc w:val="left"/>
        <w:rPr>
          <w:rFonts w:hint="eastAsia" w:ascii="宋体" w:hAnsi="宋体"/>
          <w:color w:val="auto"/>
          <w:sz w:val="24"/>
          <w:highlight w:val="none"/>
          <w:u w:val="none"/>
        </w:rPr>
      </w:pPr>
      <w:r>
        <w:rPr>
          <w:rFonts w:hint="eastAsia" w:ascii="宋体" w:hAnsi="宋体"/>
          <w:color w:val="auto"/>
          <w:sz w:val="24"/>
          <w:highlight w:val="none"/>
          <w:u w:val="none"/>
        </w:rPr>
        <w:t>本工程项目的材料、设备、施工必须达到现行中华人民共和国及省、市、行业的一切有关法规、规范的要求，如标准及规范要求有出入则以较严格者为准。</w:t>
      </w:r>
    </w:p>
    <w:p w14:paraId="2B7A9D8F">
      <w:pPr>
        <w:spacing w:line="360" w:lineRule="auto"/>
        <w:ind w:firstLine="480" w:firstLineChars="200"/>
        <w:jc w:val="left"/>
        <w:rPr>
          <w:rFonts w:hint="eastAsia" w:ascii="宋体" w:hAnsi="宋体"/>
          <w:color w:val="auto"/>
          <w:sz w:val="24"/>
          <w:highlight w:val="none"/>
          <w:u w:val="none"/>
        </w:rPr>
      </w:pPr>
      <w:r>
        <w:rPr>
          <w:rFonts w:hint="eastAsia" w:ascii="宋体" w:hAnsi="宋体"/>
          <w:color w:val="auto"/>
          <w:sz w:val="24"/>
          <w:highlight w:val="none"/>
          <w:u w:val="none"/>
        </w:rPr>
        <w:t>对本工程所采用的标准或规范的任何部分，当成交供应商认为改用其他标准或规范，同样能够保证工程达到相同质量或更高的质量时，成交供应商可提出申请报经采购人审批后采用，但这种批准不免除成交供应商根据合同规定应承担的任何责任。申请报告中应对原采用的标准或规范与所建议改用的其他标准或规范之间的差异进行详细说明。获批之前成交供应商仍应执行原采用的标准或规范。</w:t>
      </w:r>
    </w:p>
    <w:p w14:paraId="4B2BD402">
      <w:pPr>
        <w:spacing w:line="360" w:lineRule="auto"/>
        <w:ind w:left="210" w:leftChars="100" w:firstLine="208" w:firstLineChars="87"/>
        <w:jc w:val="left"/>
        <w:rPr>
          <w:rFonts w:hint="eastAsia" w:ascii="宋体" w:hAnsi="宋体"/>
          <w:color w:val="auto"/>
          <w:sz w:val="24"/>
          <w:highlight w:val="none"/>
          <w:u w:val="none"/>
        </w:rPr>
      </w:pPr>
      <w:r>
        <w:rPr>
          <w:rFonts w:hint="eastAsia" w:ascii="宋体" w:hAnsi="宋体"/>
          <w:color w:val="auto"/>
          <w:sz w:val="24"/>
          <w:highlight w:val="none"/>
          <w:u w:val="none"/>
        </w:rPr>
        <w:t>（2）安全文明施工要求</w:t>
      </w:r>
    </w:p>
    <w:p w14:paraId="107FF932">
      <w:pPr>
        <w:spacing w:line="360" w:lineRule="auto"/>
        <w:ind w:firstLine="480" w:firstLineChars="200"/>
        <w:jc w:val="left"/>
        <w:rPr>
          <w:rFonts w:hint="eastAsia" w:ascii="宋体" w:hAnsi="宋体"/>
          <w:color w:val="auto"/>
          <w:sz w:val="24"/>
          <w:highlight w:val="none"/>
          <w:u w:val="none"/>
        </w:rPr>
      </w:pPr>
      <w:r>
        <w:rPr>
          <w:rFonts w:hint="eastAsia" w:ascii="宋体" w:hAnsi="宋体"/>
          <w:color w:val="auto"/>
          <w:sz w:val="24"/>
          <w:highlight w:val="none"/>
          <w:u w:val="none"/>
        </w:rPr>
        <w:t>①成交供应商应对进度施工现场的施工人员进行安全文明施工教育，配备必要的劳动保护用具，保证工程的施工安全和人身安全。</w:t>
      </w:r>
    </w:p>
    <w:p w14:paraId="38830E08">
      <w:pPr>
        <w:spacing w:line="360" w:lineRule="auto"/>
        <w:ind w:firstLine="480" w:firstLineChars="200"/>
        <w:jc w:val="left"/>
        <w:rPr>
          <w:rFonts w:hint="eastAsia" w:ascii="宋体" w:hAnsi="宋体"/>
          <w:color w:val="auto"/>
          <w:sz w:val="24"/>
          <w:highlight w:val="none"/>
          <w:u w:val="none"/>
        </w:rPr>
      </w:pPr>
      <w:r>
        <w:rPr>
          <w:rFonts w:hint="eastAsia" w:ascii="宋体" w:hAnsi="宋体"/>
          <w:color w:val="auto"/>
          <w:sz w:val="24"/>
          <w:highlight w:val="none"/>
          <w:u w:val="none"/>
        </w:rPr>
        <w:t>②成交供应商应强化安全意识，抓好安全生产，杜绝事故发生，施工中若因供应商原因发生安全及人身事故由成交供应商自行负责处理，并承担全部费用。</w:t>
      </w:r>
    </w:p>
    <w:p w14:paraId="52136F81">
      <w:pPr>
        <w:spacing w:line="360" w:lineRule="auto"/>
        <w:ind w:firstLine="480" w:firstLineChars="200"/>
        <w:jc w:val="left"/>
        <w:rPr>
          <w:rFonts w:hint="eastAsia" w:ascii="宋体" w:hAnsi="宋体"/>
          <w:color w:val="auto"/>
          <w:sz w:val="24"/>
          <w:highlight w:val="none"/>
          <w:u w:val="none"/>
        </w:rPr>
      </w:pPr>
      <w:r>
        <w:rPr>
          <w:rFonts w:hint="eastAsia" w:ascii="宋体" w:hAnsi="宋体"/>
          <w:color w:val="auto"/>
          <w:sz w:val="24"/>
          <w:highlight w:val="none"/>
          <w:u w:val="none"/>
        </w:rPr>
        <w:t>③成交供应商须遵守地方政府和有关部门及采购人对施工场地交通、环卫、安全和施工噪音等的管理规定，并按规定办理相关审批手续。</w:t>
      </w:r>
    </w:p>
    <w:p w14:paraId="739A8352">
      <w:pPr>
        <w:spacing w:line="360" w:lineRule="auto"/>
        <w:ind w:firstLine="480" w:firstLineChars="200"/>
        <w:jc w:val="left"/>
        <w:rPr>
          <w:rFonts w:hint="eastAsia" w:ascii="宋体" w:hAnsi="宋体"/>
          <w:color w:val="auto"/>
          <w:sz w:val="24"/>
          <w:highlight w:val="none"/>
          <w:u w:val="none"/>
        </w:rPr>
      </w:pPr>
      <w:r>
        <w:rPr>
          <w:rFonts w:hint="eastAsia" w:ascii="宋体" w:hAnsi="宋体"/>
          <w:color w:val="auto"/>
          <w:sz w:val="24"/>
          <w:highlight w:val="none"/>
          <w:u w:val="none"/>
        </w:rPr>
        <w:t>④成交供应商应采取有效措施尽量减小尘土和噪音污染，需要进行夜间作业时应经有关部门批准。</w:t>
      </w:r>
    </w:p>
    <w:p w14:paraId="70A8AC67">
      <w:pPr>
        <w:spacing w:line="360" w:lineRule="auto"/>
        <w:ind w:left="210" w:leftChars="100" w:firstLine="208" w:firstLineChars="87"/>
        <w:jc w:val="left"/>
        <w:rPr>
          <w:rFonts w:hint="eastAsia" w:ascii="宋体" w:hAnsi="宋体"/>
          <w:color w:val="auto"/>
          <w:sz w:val="24"/>
          <w:highlight w:val="none"/>
          <w:u w:val="none"/>
        </w:rPr>
      </w:pPr>
      <w:r>
        <w:rPr>
          <w:rFonts w:hint="eastAsia" w:ascii="宋体" w:hAnsi="宋体"/>
          <w:color w:val="auto"/>
          <w:sz w:val="24"/>
          <w:highlight w:val="none"/>
          <w:u w:val="none"/>
        </w:rPr>
        <w:t>（3）其它施工过程中需注意事项</w:t>
      </w:r>
    </w:p>
    <w:p w14:paraId="772B47FC">
      <w:pPr>
        <w:spacing w:line="360" w:lineRule="auto"/>
        <w:ind w:firstLine="480" w:firstLineChars="200"/>
        <w:jc w:val="left"/>
        <w:rPr>
          <w:rFonts w:hint="eastAsia" w:ascii="宋体" w:hAnsi="宋体"/>
          <w:color w:val="auto"/>
          <w:sz w:val="24"/>
          <w:highlight w:val="none"/>
          <w:u w:val="none"/>
        </w:rPr>
      </w:pPr>
      <w:r>
        <w:rPr>
          <w:rFonts w:hint="eastAsia" w:ascii="宋体" w:hAnsi="宋体"/>
          <w:color w:val="auto"/>
          <w:sz w:val="24"/>
          <w:highlight w:val="none"/>
          <w:u w:val="none"/>
        </w:rPr>
        <w:t>①本工程在施工期间，成交供应商应注意保护好采购人周边现有成品，如有损坏，须无条件修复至采购人满意。</w:t>
      </w:r>
    </w:p>
    <w:p w14:paraId="0E9FE3E3">
      <w:pPr>
        <w:spacing w:line="360" w:lineRule="auto"/>
        <w:ind w:firstLine="480" w:firstLineChars="200"/>
        <w:jc w:val="left"/>
        <w:rPr>
          <w:rFonts w:hint="eastAsia" w:ascii="宋体" w:hAnsi="宋体" w:eastAsia="宋体"/>
          <w:color w:val="auto"/>
          <w:sz w:val="24"/>
          <w:highlight w:val="none"/>
          <w:u w:val="none"/>
          <w:lang w:eastAsia="zh-CN"/>
        </w:rPr>
      </w:pPr>
      <w:r>
        <w:rPr>
          <w:rFonts w:hint="eastAsia" w:ascii="宋体" w:hAnsi="宋体"/>
          <w:color w:val="auto"/>
          <w:sz w:val="24"/>
          <w:highlight w:val="none"/>
          <w:u w:val="none"/>
        </w:rPr>
        <w:t>②废弃材料不得丢弃或随意堆放在校园内，清理产生的拆除费、搬运费、交通运输费等各项费用均由供应商自行考虑并计入响应总价且一次性包干</w:t>
      </w:r>
      <w:r>
        <w:rPr>
          <w:rFonts w:hint="eastAsia" w:ascii="宋体" w:hAnsi="宋体"/>
          <w:color w:val="auto"/>
          <w:sz w:val="24"/>
          <w:highlight w:val="none"/>
          <w:u w:val="none"/>
          <w:lang w:eastAsia="zh-CN"/>
        </w:rPr>
        <w:t>。</w:t>
      </w:r>
    </w:p>
    <w:p w14:paraId="424551D2">
      <w:pPr>
        <w:spacing w:line="360" w:lineRule="auto"/>
        <w:ind w:firstLine="480" w:firstLineChars="200"/>
        <w:jc w:val="left"/>
        <w:rPr>
          <w:rFonts w:hint="eastAsia" w:ascii="宋体" w:hAnsi="宋体"/>
          <w:color w:val="auto"/>
          <w:sz w:val="24"/>
          <w:highlight w:val="none"/>
          <w:u w:val="none"/>
        </w:rPr>
      </w:pPr>
      <w:r>
        <w:rPr>
          <w:rFonts w:hint="eastAsia" w:ascii="宋体" w:hAnsi="宋体"/>
          <w:color w:val="auto"/>
          <w:sz w:val="24"/>
          <w:highlight w:val="none"/>
          <w:u w:val="none"/>
        </w:rPr>
        <w:t>③工程完工后，成交供应商需对施工现场进行全面的清洁工作。</w:t>
      </w:r>
    </w:p>
    <w:p w14:paraId="4C118F52">
      <w:pPr>
        <w:spacing w:line="360" w:lineRule="auto"/>
        <w:ind w:left="210" w:leftChars="100"/>
        <w:jc w:val="left"/>
        <w:rPr>
          <w:rFonts w:ascii="宋体" w:hAnsi="宋体" w:cs="仿宋_GB2312"/>
          <w:color w:val="auto"/>
          <w:sz w:val="24"/>
          <w:highlight w:val="none"/>
          <w:u w:val="none"/>
        </w:rPr>
      </w:pPr>
      <w:r>
        <w:rPr>
          <w:rFonts w:hint="eastAsia" w:ascii="宋体" w:hAnsi="宋体" w:cs="仿宋_GB2312"/>
          <w:color w:val="auto"/>
          <w:sz w:val="24"/>
          <w:highlight w:val="none"/>
          <w:u w:val="none"/>
        </w:rPr>
        <w:t>6.工程管理要求</w:t>
      </w:r>
    </w:p>
    <w:p w14:paraId="5D775F37">
      <w:pPr>
        <w:spacing w:line="360" w:lineRule="auto"/>
        <w:ind w:left="210" w:leftChars="100" w:firstLine="208" w:firstLineChars="87"/>
        <w:jc w:val="left"/>
        <w:rPr>
          <w:rFonts w:hint="eastAsia" w:ascii="宋体" w:hAnsi="宋体"/>
          <w:color w:val="auto"/>
          <w:sz w:val="24"/>
          <w:highlight w:val="none"/>
          <w:u w:val="none"/>
        </w:rPr>
      </w:pPr>
      <w:r>
        <w:rPr>
          <w:rFonts w:hint="eastAsia" w:ascii="宋体" w:hAnsi="宋体"/>
          <w:color w:val="auto"/>
          <w:sz w:val="24"/>
          <w:highlight w:val="none"/>
          <w:u w:val="none"/>
        </w:rPr>
        <w:t>（1）工程管理原则：</w:t>
      </w:r>
    </w:p>
    <w:p w14:paraId="57569125">
      <w:pPr>
        <w:spacing w:line="360" w:lineRule="auto"/>
        <w:ind w:firstLine="480" w:firstLineChars="200"/>
        <w:jc w:val="left"/>
        <w:rPr>
          <w:rFonts w:hint="eastAsia" w:ascii="宋体" w:hAnsi="宋体" w:eastAsia="宋体"/>
          <w:color w:val="auto"/>
          <w:sz w:val="24"/>
          <w:highlight w:val="none"/>
          <w:u w:val="none"/>
          <w:lang w:eastAsia="zh-CN"/>
        </w:rPr>
      </w:pPr>
      <w:r>
        <w:rPr>
          <w:rFonts w:hint="eastAsia" w:ascii="宋体" w:hAnsi="宋体"/>
          <w:color w:val="auto"/>
          <w:sz w:val="24"/>
          <w:highlight w:val="none"/>
          <w:u w:val="none"/>
        </w:rPr>
        <w:t>①本工程承包范围内的工程项目，成交供应商未经采购人同意，一律不得转包，一经发现采购人有权立即取消其承包资格，成交供应商应承担由此引起的一切经济责任和法律责任</w:t>
      </w:r>
      <w:r>
        <w:rPr>
          <w:rFonts w:hint="eastAsia" w:ascii="宋体" w:hAnsi="宋体"/>
          <w:color w:val="auto"/>
          <w:sz w:val="24"/>
          <w:highlight w:val="none"/>
          <w:u w:val="none"/>
          <w:lang w:eastAsia="zh-CN"/>
        </w:rPr>
        <w:t>。</w:t>
      </w:r>
    </w:p>
    <w:p w14:paraId="48CA9992">
      <w:pPr>
        <w:spacing w:line="360" w:lineRule="auto"/>
        <w:ind w:firstLine="480" w:firstLineChars="200"/>
        <w:jc w:val="left"/>
        <w:rPr>
          <w:rFonts w:hint="eastAsia" w:ascii="宋体" w:hAnsi="宋体"/>
          <w:color w:val="auto"/>
          <w:sz w:val="24"/>
          <w:highlight w:val="none"/>
          <w:u w:val="none"/>
        </w:rPr>
      </w:pPr>
      <w:r>
        <w:rPr>
          <w:rFonts w:hint="eastAsia" w:ascii="宋体" w:hAnsi="宋体"/>
          <w:color w:val="auto"/>
          <w:sz w:val="24"/>
          <w:highlight w:val="none"/>
          <w:u w:val="none"/>
        </w:rPr>
        <w:t>②在工程实施过程中，如发现成交供应商为挂靠单位，采购人可立即终止合同。成交供应商应承担由此引起的一切经济责任和法律责任。</w:t>
      </w:r>
    </w:p>
    <w:p w14:paraId="199C7D95">
      <w:pPr>
        <w:spacing w:line="360" w:lineRule="auto"/>
        <w:ind w:firstLine="480" w:firstLineChars="200"/>
        <w:jc w:val="left"/>
        <w:rPr>
          <w:rFonts w:hint="eastAsia" w:ascii="宋体" w:hAnsi="宋体"/>
          <w:color w:val="auto"/>
          <w:sz w:val="24"/>
          <w:highlight w:val="none"/>
          <w:u w:val="none"/>
        </w:rPr>
      </w:pPr>
      <w:r>
        <w:rPr>
          <w:rFonts w:hint="eastAsia" w:ascii="宋体" w:hAnsi="宋体"/>
          <w:color w:val="auto"/>
          <w:sz w:val="24"/>
          <w:highlight w:val="none"/>
          <w:u w:val="none"/>
        </w:rPr>
        <w:t>③成交供应商须严格按照已确认的施工技术方案组织实施，并无条件接受采购人的项目管理部门的管理。</w:t>
      </w:r>
    </w:p>
    <w:p w14:paraId="33F9723A">
      <w:pPr>
        <w:spacing w:line="360" w:lineRule="auto"/>
        <w:ind w:firstLine="480" w:firstLineChars="200"/>
        <w:jc w:val="left"/>
        <w:rPr>
          <w:rFonts w:hint="eastAsia" w:ascii="宋体" w:hAnsi="宋体"/>
          <w:color w:val="auto"/>
          <w:sz w:val="24"/>
          <w:highlight w:val="none"/>
          <w:u w:val="none"/>
        </w:rPr>
      </w:pPr>
      <w:r>
        <w:rPr>
          <w:rFonts w:hint="eastAsia" w:ascii="宋体" w:hAnsi="宋体"/>
          <w:color w:val="auto"/>
          <w:sz w:val="24"/>
          <w:highlight w:val="none"/>
          <w:u w:val="none"/>
        </w:rPr>
        <w:t>④成交供应商在响应文件中确定的工程项目经理及项目管理班子人员，未经采购人同意，不得调换和撤离，本工程确定的成交人的项目管理班子成员，不得兼任其他工程职务并应完全到位。采购人有权要求成交供应商撤换工作不负责任、管理不力、贻误工期、违法乱纪及造成严重安全事故和工程质量事故的项目班子的任何人员，直至项目经理本人。如项目班子成员被采购人撤换，按项目班子成员不到位处罚额度进行处罚，成交供应商不得姑息迁就，拖延撤换和有碍工程进展，否则，采购人有权单方面终止合同，并对由此造成的采购人损失，予以追究赔偿。</w:t>
      </w:r>
    </w:p>
    <w:p w14:paraId="5F246217">
      <w:pPr>
        <w:spacing w:line="360" w:lineRule="auto"/>
        <w:ind w:left="210" w:leftChars="100" w:firstLine="208" w:firstLineChars="87"/>
        <w:jc w:val="left"/>
        <w:rPr>
          <w:rFonts w:hint="eastAsia" w:ascii="宋体" w:hAnsi="宋体"/>
          <w:color w:val="auto"/>
          <w:sz w:val="24"/>
          <w:highlight w:val="none"/>
          <w:u w:val="none"/>
        </w:rPr>
      </w:pPr>
      <w:r>
        <w:rPr>
          <w:rFonts w:hint="eastAsia" w:ascii="宋体" w:hAnsi="宋体"/>
          <w:color w:val="auto"/>
          <w:sz w:val="24"/>
          <w:highlight w:val="none"/>
          <w:u w:val="none"/>
        </w:rPr>
        <w:t>（2）项目管理班子人员要求：</w:t>
      </w:r>
    </w:p>
    <w:p w14:paraId="2A0EA3DC">
      <w:pPr>
        <w:pStyle w:val="967"/>
        <w:spacing w:line="360" w:lineRule="auto"/>
        <w:ind w:left="0" w:leftChars="0" w:firstLine="482" w:firstLineChars="200"/>
        <w:jc w:val="left"/>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rPr>
        <w:t>①项目经理：本项目拟派项目经理除具备建筑工程专业注册建造师资格</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无在建项目外，还应具有类似施工经验以及相关专业技术职称，在施工过程中，应确保到位率达到</w:t>
      </w:r>
      <w:r>
        <w:rPr>
          <w:rFonts w:ascii="宋体" w:hAnsi="宋体" w:cs="宋体"/>
          <w:b/>
          <w:bCs/>
          <w:color w:val="auto"/>
          <w:sz w:val="24"/>
          <w:highlight w:val="none"/>
        </w:rPr>
        <w:t>80%（含）以上</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提供承诺函，格式自拟</w:t>
      </w:r>
      <w:r>
        <w:rPr>
          <w:rFonts w:hint="eastAsia" w:ascii="宋体" w:hAnsi="宋体" w:cs="宋体"/>
          <w:b/>
          <w:bCs/>
          <w:color w:val="auto"/>
          <w:sz w:val="24"/>
          <w:highlight w:val="none"/>
          <w:lang w:eastAsia="zh-CN"/>
        </w:rPr>
        <w:t>）</w:t>
      </w:r>
    </w:p>
    <w:p w14:paraId="6A703FCD">
      <w:pPr>
        <w:pStyle w:val="967"/>
        <w:spacing w:line="360" w:lineRule="auto"/>
        <w:ind w:left="0" w:leftChars="0" w:firstLine="480" w:firstLineChars="2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②拟派技术负责人应具有类似工程施工经验以及相关专业技术职称</w:t>
      </w:r>
      <w:r>
        <w:rPr>
          <w:rFonts w:hint="eastAsia" w:ascii="宋体" w:hAnsi="宋体" w:cs="宋体"/>
          <w:color w:val="auto"/>
          <w:sz w:val="24"/>
          <w:highlight w:val="none"/>
          <w:lang w:eastAsia="zh-CN"/>
        </w:rPr>
        <w:t>。</w:t>
      </w:r>
    </w:p>
    <w:p w14:paraId="67B76E3A">
      <w:pPr>
        <w:pStyle w:val="967"/>
        <w:spacing w:line="360" w:lineRule="auto"/>
        <w:ind w:left="0" w:leftChars="0"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③拟派项目管理班子中施工员、安全员、质检员、材料员等重要岗位应人员配置齐全。</w:t>
      </w:r>
    </w:p>
    <w:p w14:paraId="64AD4527">
      <w:pPr>
        <w:pStyle w:val="967"/>
        <w:spacing w:line="360" w:lineRule="auto"/>
        <w:ind w:firstLineChars="175"/>
        <w:jc w:val="left"/>
        <w:rPr>
          <w:rFonts w:hint="eastAsia" w:ascii="宋体" w:hAnsi="宋体" w:eastAsia="宋体"/>
          <w:color w:val="auto"/>
          <w:sz w:val="24"/>
          <w:highlight w:val="none"/>
          <w:u w:val="none"/>
          <w:lang w:eastAsia="zh-CN"/>
        </w:rPr>
      </w:pPr>
      <w:r>
        <w:rPr>
          <w:rFonts w:hint="eastAsia" w:ascii="宋体" w:hAnsi="宋体"/>
          <w:color w:val="auto"/>
          <w:sz w:val="24"/>
          <w:highlight w:val="none"/>
          <w:u w:val="none"/>
        </w:rPr>
        <w:t>（3）工程管理其他要求</w:t>
      </w:r>
      <w:r>
        <w:rPr>
          <w:rFonts w:hint="eastAsia" w:ascii="宋体" w:hAnsi="宋体"/>
          <w:color w:val="auto"/>
          <w:sz w:val="24"/>
          <w:highlight w:val="none"/>
          <w:u w:val="none"/>
          <w:lang w:eastAsia="zh-CN"/>
        </w:rPr>
        <w:t>：</w:t>
      </w:r>
    </w:p>
    <w:p w14:paraId="6E9A769B">
      <w:pPr>
        <w:spacing w:line="360" w:lineRule="auto"/>
        <w:ind w:firstLine="480" w:firstLineChars="200"/>
        <w:jc w:val="left"/>
        <w:rPr>
          <w:rFonts w:hint="eastAsia" w:ascii="宋体" w:hAnsi="宋体" w:eastAsia="宋体"/>
          <w:color w:val="auto"/>
          <w:sz w:val="24"/>
          <w:highlight w:val="none"/>
          <w:u w:val="none"/>
          <w:lang w:eastAsia="zh-CN"/>
        </w:rPr>
      </w:pPr>
      <w:r>
        <w:rPr>
          <w:rFonts w:hint="eastAsia" w:ascii="宋体" w:hAnsi="宋体"/>
          <w:color w:val="auto"/>
          <w:sz w:val="24"/>
          <w:highlight w:val="none"/>
          <w:u w:val="none"/>
        </w:rPr>
        <w:t>①本项目施工现场采购人不提供食宿，施工期间，所有施工人员的食宿均由成交供应商自行安排，材料的堆放及停车必须服从采购人的安排</w:t>
      </w:r>
      <w:r>
        <w:rPr>
          <w:rFonts w:hint="eastAsia" w:ascii="宋体" w:hAnsi="宋体"/>
          <w:color w:val="auto"/>
          <w:sz w:val="24"/>
          <w:highlight w:val="none"/>
          <w:u w:val="none"/>
          <w:lang w:eastAsia="zh-CN"/>
        </w:rPr>
        <w:t>；</w:t>
      </w:r>
    </w:p>
    <w:p w14:paraId="53CF512B">
      <w:pPr>
        <w:spacing w:line="360" w:lineRule="auto"/>
        <w:ind w:firstLine="480" w:firstLineChars="200"/>
        <w:jc w:val="left"/>
        <w:rPr>
          <w:rFonts w:hint="eastAsia" w:ascii="宋体" w:hAnsi="宋体"/>
          <w:color w:val="auto"/>
          <w:sz w:val="24"/>
          <w:highlight w:val="none"/>
          <w:u w:val="none"/>
        </w:rPr>
      </w:pPr>
      <w:r>
        <w:rPr>
          <w:rFonts w:hint="eastAsia" w:ascii="宋体" w:hAnsi="宋体"/>
          <w:color w:val="auto"/>
          <w:sz w:val="24"/>
          <w:highlight w:val="none"/>
          <w:u w:val="none"/>
        </w:rPr>
        <w:t>②施工现场严禁吸烟。</w:t>
      </w:r>
    </w:p>
    <w:p w14:paraId="1688F531">
      <w:pPr>
        <w:spacing w:line="360" w:lineRule="auto"/>
        <w:ind w:left="210" w:leftChars="100"/>
        <w:jc w:val="left"/>
        <w:rPr>
          <w:rFonts w:ascii="宋体" w:hAnsi="宋体" w:cs="仿宋_GB2312"/>
          <w:color w:val="auto"/>
          <w:sz w:val="24"/>
          <w:highlight w:val="none"/>
          <w:u w:val="none"/>
        </w:rPr>
      </w:pPr>
      <w:r>
        <w:rPr>
          <w:rFonts w:hint="eastAsia" w:ascii="宋体" w:hAnsi="宋体" w:cs="仿宋_GB2312"/>
          <w:color w:val="auto"/>
          <w:sz w:val="24"/>
          <w:highlight w:val="none"/>
          <w:u w:val="none"/>
        </w:rPr>
        <w:t xml:space="preserve">7.工程主要材料（设备）要求  </w:t>
      </w:r>
    </w:p>
    <w:p w14:paraId="5D39DE22">
      <w:pPr>
        <w:pStyle w:val="967"/>
        <w:numPr>
          <w:ilvl w:val="0"/>
          <w:numId w:val="4"/>
        </w:numPr>
        <w:snapToGrid w:val="0"/>
        <w:spacing w:line="360" w:lineRule="auto"/>
        <w:ind w:left="0" w:firstLine="420" w:firstLineChars="0"/>
        <w:jc w:val="left"/>
        <w:rPr>
          <w:rFonts w:ascii="宋体" w:hAnsi="宋体" w:cs="宋体"/>
          <w:color w:val="auto"/>
          <w:sz w:val="24"/>
          <w:highlight w:val="none"/>
          <w:u w:val="none"/>
        </w:rPr>
      </w:pPr>
      <w:r>
        <w:rPr>
          <w:rFonts w:hint="eastAsia" w:ascii="宋体" w:hAnsi="宋体" w:cs="宋体"/>
          <w:color w:val="auto"/>
          <w:sz w:val="24"/>
          <w:highlight w:val="none"/>
          <w:u w:val="none"/>
        </w:rPr>
        <w:t>本项目涉及的所有材料设备，必须经采购人/监理公司确认后方能采购、进场、加工、安装。否则一律不予承认，不予支付相应款项。</w:t>
      </w:r>
    </w:p>
    <w:p w14:paraId="06D4F7E4">
      <w:pPr>
        <w:pStyle w:val="967"/>
        <w:numPr>
          <w:ilvl w:val="0"/>
          <w:numId w:val="4"/>
        </w:numPr>
        <w:snapToGrid w:val="0"/>
        <w:spacing w:line="360" w:lineRule="auto"/>
        <w:ind w:left="0" w:firstLine="420" w:firstLineChars="0"/>
        <w:jc w:val="left"/>
        <w:rPr>
          <w:rFonts w:ascii="宋体" w:hAnsi="宋体" w:cs="宋体"/>
          <w:b/>
          <w:color w:val="auto"/>
          <w:sz w:val="24"/>
          <w:highlight w:val="none"/>
        </w:rPr>
      </w:pPr>
      <w:r>
        <w:rPr>
          <w:rFonts w:hint="eastAsia" w:ascii="宋体" w:hAnsi="宋体" w:cs="宋体"/>
          <w:color w:val="auto"/>
          <w:sz w:val="24"/>
          <w:highlight w:val="none"/>
          <w:u w:val="none"/>
        </w:rPr>
        <w:t>材料规格：本磋商文件涉及的主要设备和材料</w:t>
      </w:r>
      <w:r>
        <w:rPr>
          <w:rFonts w:hint="eastAsia" w:ascii="宋体" w:hAnsi="宋体" w:cs="宋体"/>
          <w:color w:val="auto"/>
          <w:sz w:val="24"/>
          <w:highlight w:val="none"/>
        </w:rPr>
        <w:t>，各供应商须根据磋商文件要求的用材规格进行选材并报价，并符合环保要求，严禁选择不符合施工图纸要求的低档材料进行响应报价及组织施工实施，如有其它国家强制性认证要求的也必须满足；</w:t>
      </w:r>
    </w:p>
    <w:p w14:paraId="5F888B17">
      <w:pPr>
        <w:pStyle w:val="967"/>
        <w:numPr>
          <w:ilvl w:val="0"/>
          <w:numId w:val="4"/>
        </w:numPr>
        <w:snapToGrid w:val="0"/>
        <w:spacing w:line="360" w:lineRule="auto"/>
        <w:ind w:left="0" w:firstLine="420" w:firstLineChars="0"/>
        <w:jc w:val="left"/>
        <w:rPr>
          <w:rFonts w:ascii="宋体" w:hAnsi="宋体" w:cs="宋体"/>
          <w:color w:val="auto"/>
          <w:sz w:val="24"/>
          <w:highlight w:val="none"/>
        </w:rPr>
      </w:pPr>
      <w:r>
        <w:rPr>
          <w:rFonts w:hint="eastAsia" w:ascii="宋体" w:hAnsi="宋体" w:cs="宋体"/>
          <w:color w:val="auto"/>
          <w:sz w:val="24"/>
          <w:highlight w:val="none"/>
        </w:rPr>
        <w:t>供应商应在响应文件中写明各类主要材料（设备）的选用品牌、产地和规格，若未注明品牌的可由采购人自行选择。若成交后注明的品牌或采购人选择的品牌在施工期间市场上无现货供应，须进行订制，如该品牌无法订制时，采购人有权选择其它品牌。成交供应商不按该选用的材料和设备采购的，采购人有权拒绝验收。</w:t>
      </w:r>
    </w:p>
    <w:tbl>
      <w:tblPr>
        <w:tblStyle w:val="63"/>
        <w:tblW w:w="9119" w:type="dxa"/>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849"/>
        <w:gridCol w:w="3150"/>
        <w:gridCol w:w="5120"/>
      </w:tblGrid>
      <w:tr w14:paraId="51897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19" w:hRule="atLeast"/>
        </w:trPr>
        <w:tc>
          <w:tcPr>
            <w:tcW w:w="849" w:type="dxa"/>
            <w:shd w:val="clear" w:color="auto" w:fill="FFFFFF" w:themeFill="background1"/>
            <w:vAlign w:val="center"/>
          </w:tcPr>
          <w:p w14:paraId="2BA38FBF">
            <w:pPr>
              <w:pStyle w:val="967"/>
              <w:numPr>
                <w:ilvl w:val="0"/>
                <w:numId w:val="0"/>
              </w:numPr>
              <w:snapToGrid w:val="0"/>
              <w:spacing w:line="240" w:lineRule="auto"/>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序号</w:t>
            </w:r>
          </w:p>
        </w:tc>
        <w:tc>
          <w:tcPr>
            <w:tcW w:w="3150" w:type="dxa"/>
            <w:shd w:val="clear" w:color="auto" w:fill="FFFFFF" w:themeFill="background1"/>
            <w:vAlign w:val="center"/>
          </w:tcPr>
          <w:p w14:paraId="1F4056F7">
            <w:pPr>
              <w:pStyle w:val="967"/>
              <w:numPr>
                <w:ilvl w:val="0"/>
                <w:numId w:val="0"/>
              </w:numPr>
              <w:snapToGrid w:val="0"/>
              <w:spacing w:line="240" w:lineRule="auto"/>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主材/设备名称</w:t>
            </w:r>
          </w:p>
        </w:tc>
        <w:tc>
          <w:tcPr>
            <w:tcW w:w="5120" w:type="dxa"/>
            <w:shd w:val="clear" w:color="auto" w:fill="FFFFFF" w:themeFill="background1"/>
            <w:vAlign w:val="center"/>
          </w:tcPr>
          <w:p w14:paraId="657E3B1C">
            <w:pPr>
              <w:pStyle w:val="967"/>
              <w:numPr>
                <w:ilvl w:val="0"/>
                <w:numId w:val="0"/>
              </w:numPr>
              <w:snapToGrid w:val="0"/>
              <w:spacing w:line="240" w:lineRule="auto"/>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参考品牌</w:t>
            </w:r>
          </w:p>
        </w:tc>
      </w:tr>
      <w:tr w14:paraId="76916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49" w:type="dxa"/>
            <w:shd w:val="clear" w:color="auto" w:fill="FFFFFF" w:themeFill="background1"/>
            <w:vAlign w:val="center"/>
          </w:tcPr>
          <w:p w14:paraId="43BC2E5C">
            <w:pPr>
              <w:keepNext w:val="0"/>
              <w:keepLines w:val="0"/>
              <w:widowControl/>
              <w:suppressLineNumbers w:val="0"/>
              <w:spacing w:line="240" w:lineRule="auto"/>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1</w:t>
            </w:r>
          </w:p>
        </w:tc>
        <w:tc>
          <w:tcPr>
            <w:tcW w:w="3150" w:type="dxa"/>
            <w:shd w:val="clear" w:color="auto" w:fill="auto"/>
            <w:vAlign w:val="center"/>
          </w:tcPr>
          <w:p w14:paraId="2308FF11">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外墙真石漆涂料</w:t>
            </w:r>
          </w:p>
        </w:tc>
        <w:tc>
          <w:tcPr>
            <w:tcW w:w="5120" w:type="dxa"/>
            <w:shd w:val="clear" w:color="auto" w:fill="FFFFFF" w:themeFill="background1"/>
            <w:vAlign w:val="center"/>
          </w:tcPr>
          <w:p w14:paraId="27BFDF5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立邦、多乐士、三棵树或同等档次及以上</w:t>
            </w:r>
          </w:p>
        </w:tc>
      </w:tr>
      <w:tr w14:paraId="1859D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849" w:type="dxa"/>
            <w:shd w:val="clear" w:color="auto" w:fill="FFFFFF" w:themeFill="background1"/>
            <w:vAlign w:val="center"/>
          </w:tcPr>
          <w:p w14:paraId="7596D3BE">
            <w:pPr>
              <w:keepNext w:val="0"/>
              <w:keepLines w:val="0"/>
              <w:widowControl/>
              <w:suppressLineNumbers w:val="0"/>
              <w:spacing w:line="240" w:lineRule="auto"/>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2</w:t>
            </w:r>
          </w:p>
        </w:tc>
        <w:tc>
          <w:tcPr>
            <w:tcW w:w="3150" w:type="dxa"/>
            <w:shd w:val="clear" w:color="auto" w:fill="auto"/>
            <w:vAlign w:val="center"/>
          </w:tcPr>
          <w:p w14:paraId="0F23F26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外墙防水涂料</w:t>
            </w:r>
          </w:p>
        </w:tc>
        <w:tc>
          <w:tcPr>
            <w:tcW w:w="5120" w:type="dxa"/>
            <w:shd w:val="clear" w:color="auto" w:fill="FFFFFF" w:themeFill="background1"/>
            <w:vAlign w:val="center"/>
          </w:tcPr>
          <w:p w14:paraId="489CB90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立邦、多乐士、三棵树或同等档次及以上</w:t>
            </w:r>
          </w:p>
        </w:tc>
      </w:tr>
      <w:tr w14:paraId="02A34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849" w:type="dxa"/>
            <w:shd w:val="clear" w:color="auto" w:fill="FFFFFF" w:themeFill="background1"/>
            <w:vAlign w:val="center"/>
          </w:tcPr>
          <w:p w14:paraId="5F1D254A">
            <w:pPr>
              <w:keepNext w:val="0"/>
              <w:keepLines w:val="0"/>
              <w:widowControl/>
              <w:suppressLineNumbers w:val="0"/>
              <w:spacing w:line="240" w:lineRule="auto"/>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3</w:t>
            </w:r>
          </w:p>
        </w:tc>
        <w:tc>
          <w:tcPr>
            <w:tcW w:w="3150" w:type="dxa"/>
            <w:shd w:val="clear" w:color="auto" w:fill="auto"/>
            <w:vAlign w:val="center"/>
          </w:tcPr>
          <w:p w14:paraId="0785CB3A">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铝板</w:t>
            </w:r>
          </w:p>
        </w:tc>
        <w:tc>
          <w:tcPr>
            <w:tcW w:w="5120" w:type="dxa"/>
            <w:shd w:val="clear" w:color="auto" w:fill="FFFFFF" w:themeFill="background1"/>
            <w:vAlign w:val="center"/>
          </w:tcPr>
          <w:p w14:paraId="5D05C20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雅邦、列高、上海吉祥或同等档次及以上</w:t>
            </w:r>
          </w:p>
        </w:tc>
      </w:tr>
      <w:tr w14:paraId="4C819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849" w:type="dxa"/>
            <w:shd w:val="clear" w:color="auto" w:fill="FFFFFF" w:themeFill="background1"/>
            <w:vAlign w:val="center"/>
          </w:tcPr>
          <w:p w14:paraId="0A857A06">
            <w:pPr>
              <w:keepNext w:val="0"/>
              <w:keepLines w:val="0"/>
              <w:widowControl/>
              <w:suppressLineNumbers w:val="0"/>
              <w:spacing w:line="240" w:lineRule="auto"/>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4</w:t>
            </w:r>
          </w:p>
        </w:tc>
        <w:tc>
          <w:tcPr>
            <w:tcW w:w="3150" w:type="dxa"/>
            <w:shd w:val="clear" w:color="auto" w:fill="auto"/>
            <w:vAlign w:val="center"/>
          </w:tcPr>
          <w:p w14:paraId="57A8AEB2">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铝合金型材</w:t>
            </w:r>
          </w:p>
        </w:tc>
        <w:tc>
          <w:tcPr>
            <w:tcW w:w="5120" w:type="dxa"/>
            <w:shd w:val="clear" w:color="auto" w:fill="FFFFFF" w:themeFill="background1"/>
            <w:vAlign w:val="center"/>
          </w:tcPr>
          <w:p w14:paraId="51297F3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广东凤铝、广东兴发、广东坚美或同等档次及以上</w:t>
            </w:r>
          </w:p>
        </w:tc>
      </w:tr>
      <w:tr w14:paraId="668A4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49" w:type="dxa"/>
            <w:shd w:val="clear" w:color="auto" w:fill="FFFFFF" w:themeFill="background1"/>
            <w:vAlign w:val="center"/>
          </w:tcPr>
          <w:p w14:paraId="1A992BE0">
            <w:pPr>
              <w:keepNext w:val="0"/>
              <w:keepLines w:val="0"/>
              <w:widowControl/>
              <w:suppressLineNumbers w:val="0"/>
              <w:spacing w:line="240" w:lineRule="auto"/>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5</w:t>
            </w:r>
          </w:p>
        </w:tc>
        <w:tc>
          <w:tcPr>
            <w:tcW w:w="3150" w:type="dxa"/>
            <w:shd w:val="clear" w:color="auto" w:fill="auto"/>
            <w:vAlign w:val="center"/>
          </w:tcPr>
          <w:p w14:paraId="6DAAAB7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不锈钢</w:t>
            </w:r>
          </w:p>
        </w:tc>
        <w:tc>
          <w:tcPr>
            <w:tcW w:w="5120" w:type="dxa"/>
            <w:shd w:val="clear" w:color="auto" w:fill="FFFFFF" w:themeFill="background1"/>
            <w:vAlign w:val="center"/>
          </w:tcPr>
          <w:p w14:paraId="3AF465E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太钢、青山控股</w:t>
            </w:r>
            <w:r>
              <w:rPr>
                <w:rFonts w:hint="eastAsia" w:ascii="宋体" w:hAnsi="宋体" w:cs="宋体"/>
                <w:i w:val="0"/>
                <w:iCs w:val="0"/>
                <w:color w:val="auto"/>
                <w:kern w:val="0"/>
                <w:sz w:val="24"/>
                <w:szCs w:val="24"/>
                <w:highlight w:val="none"/>
                <w:u w:val="none"/>
                <w:lang w:val="en-US" w:eastAsia="zh-CN" w:bidi="ar"/>
              </w:rPr>
              <w:t>、</w:t>
            </w:r>
            <w:r>
              <w:rPr>
                <w:rFonts w:hint="default" w:ascii="宋体" w:hAnsi="宋体" w:eastAsia="宋体" w:cs="宋体"/>
                <w:i w:val="0"/>
                <w:iCs w:val="0"/>
                <w:color w:val="auto"/>
                <w:kern w:val="0"/>
                <w:sz w:val="24"/>
                <w:szCs w:val="24"/>
                <w:highlight w:val="none"/>
                <w:u w:val="none"/>
                <w:lang w:val="en-US" w:eastAsia="zh-CN" w:bidi="ar"/>
              </w:rPr>
              <w:t>鞍钢联众</w:t>
            </w:r>
            <w:r>
              <w:rPr>
                <w:rFonts w:hint="eastAsia" w:ascii="宋体" w:hAnsi="宋体" w:eastAsia="宋体" w:cs="宋体"/>
                <w:i w:val="0"/>
                <w:iCs w:val="0"/>
                <w:color w:val="auto"/>
                <w:kern w:val="0"/>
                <w:sz w:val="24"/>
                <w:szCs w:val="24"/>
                <w:highlight w:val="none"/>
                <w:u w:val="none"/>
                <w:lang w:val="en-US" w:eastAsia="zh-CN" w:bidi="ar"/>
              </w:rPr>
              <w:t>或同等档次及以上</w:t>
            </w:r>
          </w:p>
        </w:tc>
      </w:tr>
      <w:tr w14:paraId="36B80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49" w:type="dxa"/>
            <w:shd w:val="clear" w:color="auto" w:fill="FFFFFF" w:themeFill="background1"/>
            <w:vAlign w:val="center"/>
          </w:tcPr>
          <w:p w14:paraId="148DC592">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6</w:t>
            </w:r>
          </w:p>
        </w:tc>
        <w:tc>
          <w:tcPr>
            <w:tcW w:w="3150" w:type="dxa"/>
            <w:shd w:val="clear" w:color="auto" w:fill="auto"/>
            <w:vAlign w:val="center"/>
          </w:tcPr>
          <w:p w14:paraId="2A759EF7">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玻璃</w:t>
            </w:r>
          </w:p>
        </w:tc>
        <w:tc>
          <w:tcPr>
            <w:tcW w:w="5120" w:type="dxa"/>
            <w:shd w:val="clear" w:color="auto" w:fill="FFFFFF" w:themeFill="background1"/>
            <w:vAlign w:val="center"/>
          </w:tcPr>
          <w:p w14:paraId="36B4DF5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台玻、南玻、浙玻或同等档次及以上</w:t>
            </w:r>
          </w:p>
        </w:tc>
      </w:tr>
      <w:tr w14:paraId="09BC4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49" w:type="dxa"/>
            <w:shd w:val="clear" w:color="auto" w:fill="FFFFFF" w:themeFill="background1"/>
            <w:vAlign w:val="center"/>
          </w:tcPr>
          <w:p w14:paraId="75D44205">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7</w:t>
            </w:r>
          </w:p>
        </w:tc>
        <w:tc>
          <w:tcPr>
            <w:tcW w:w="3150" w:type="dxa"/>
            <w:shd w:val="clear" w:color="auto" w:fill="auto"/>
            <w:vAlign w:val="center"/>
          </w:tcPr>
          <w:p w14:paraId="77804B2D">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i w:val="0"/>
                <w:iCs w:val="0"/>
                <w:color w:val="auto"/>
                <w:kern w:val="0"/>
                <w:sz w:val="24"/>
                <w:szCs w:val="24"/>
                <w:highlight w:val="none"/>
                <w:u w:val="none"/>
                <w:lang w:val="en-US" w:eastAsia="zh-CN" w:bidi="ar"/>
              </w:rPr>
              <w:t>科技木饰面</w:t>
            </w:r>
          </w:p>
        </w:tc>
        <w:tc>
          <w:tcPr>
            <w:tcW w:w="5120" w:type="dxa"/>
            <w:shd w:val="clear" w:color="auto" w:fill="FFFFFF" w:themeFill="background1"/>
            <w:vAlign w:val="center"/>
          </w:tcPr>
          <w:p w14:paraId="46ED68B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千年舟、柏邦、莫干山或同等档次及以上</w:t>
            </w:r>
          </w:p>
        </w:tc>
      </w:tr>
      <w:tr w14:paraId="10A56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49" w:type="dxa"/>
            <w:shd w:val="clear" w:color="auto" w:fill="FFFFFF" w:themeFill="background1"/>
            <w:vAlign w:val="center"/>
          </w:tcPr>
          <w:p w14:paraId="61BDE5E9">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8</w:t>
            </w:r>
          </w:p>
        </w:tc>
        <w:tc>
          <w:tcPr>
            <w:tcW w:w="3150" w:type="dxa"/>
            <w:shd w:val="clear" w:color="auto" w:fill="auto"/>
            <w:vAlign w:val="center"/>
          </w:tcPr>
          <w:p w14:paraId="6F12B7E0">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i w:val="0"/>
                <w:iCs w:val="0"/>
                <w:color w:val="auto"/>
                <w:kern w:val="0"/>
                <w:sz w:val="24"/>
                <w:szCs w:val="24"/>
                <w:highlight w:val="none"/>
                <w:u w:val="none"/>
                <w:lang w:val="en-US" w:eastAsia="zh-CN" w:bidi="ar"/>
              </w:rPr>
              <w:t>白色烤漆板</w:t>
            </w:r>
          </w:p>
        </w:tc>
        <w:tc>
          <w:tcPr>
            <w:tcW w:w="5120" w:type="dxa"/>
            <w:shd w:val="clear" w:color="auto" w:fill="FFFFFF" w:themeFill="background1"/>
            <w:vAlign w:val="center"/>
          </w:tcPr>
          <w:p w14:paraId="5D929B2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千年舟、柏邦、莫干山或同等档次及以上</w:t>
            </w:r>
          </w:p>
        </w:tc>
      </w:tr>
      <w:tr w14:paraId="277D9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49" w:type="dxa"/>
            <w:shd w:val="clear" w:color="auto" w:fill="FFFFFF" w:themeFill="background1"/>
            <w:vAlign w:val="center"/>
          </w:tcPr>
          <w:p w14:paraId="7E293872">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9</w:t>
            </w:r>
          </w:p>
        </w:tc>
        <w:tc>
          <w:tcPr>
            <w:tcW w:w="3150" w:type="dxa"/>
            <w:shd w:val="clear" w:color="auto" w:fill="auto"/>
            <w:vAlign w:val="center"/>
          </w:tcPr>
          <w:p w14:paraId="65D37FFA">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钢材</w:t>
            </w:r>
          </w:p>
        </w:tc>
        <w:tc>
          <w:tcPr>
            <w:tcW w:w="5120" w:type="dxa"/>
            <w:shd w:val="clear" w:color="auto" w:fill="FFFFFF" w:themeFill="background1"/>
            <w:vAlign w:val="center"/>
          </w:tcPr>
          <w:p w14:paraId="0D5DC72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沙钢、永钢、宝钢或同等档次及以上</w:t>
            </w:r>
          </w:p>
        </w:tc>
      </w:tr>
      <w:tr w14:paraId="2BD0D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49" w:type="dxa"/>
            <w:shd w:val="clear" w:color="auto" w:fill="FFFFFF" w:themeFill="background1"/>
            <w:vAlign w:val="center"/>
          </w:tcPr>
          <w:p w14:paraId="296BCDBE">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10</w:t>
            </w:r>
          </w:p>
        </w:tc>
        <w:tc>
          <w:tcPr>
            <w:tcW w:w="3150" w:type="dxa"/>
            <w:shd w:val="clear" w:color="auto" w:fill="auto"/>
            <w:vAlign w:val="center"/>
          </w:tcPr>
          <w:p w14:paraId="51CB5C8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室内乳胶漆</w:t>
            </w:r>
          </w:p>
        </w:tc>
        <w:tc>
          <w:tcPr>
            <w:tcW w:w="5120" w:type="dxa"/>
            <w:shd w:val="clear" w:color="auto" w:fill="FFFFFF" w:themeFill="background1"/>
            <w:vAlign w:val="center"/>
          </w:tcPr>
          <w:p w14:paraId="4E742D9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立邦、多乐士、三棵树或同等档次及以上</w:t>
            </w:r>
          </w:p>
        </w:tc>
      </w:tr>
      <w:tr w14:paraId="620B8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49" w:type="dxa"/>
            <w:shd w:val="clear" w:color="auto" w:fill="FFFFFF" w:themeFill="background1"/>
            <w:vAlign w:val="center"/>
          </w:tcPr>
          <w:p w14:paraId="0762FFBE">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11</w:t>
            </w:r>
          </w:p>
        </w:tc>
        <w:tc>
          <w:tcPr>
            <w:tcW w:w="3150" w:type="dxa"/>
            <w:shd w:val="clear" w:color="auto" w:fill="auto"/>
            <w:vAlign w:val="center"/>
          </w:tcPr>
          <w:p w14:paraId="0BAB3CB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微水泥</w:t>
            </w:r>
          </w:p>
        </w:tc>
        <w:tc>
          <w:tcPr>
            <w:tcW w:w="5120" w:type="dxa"/>
            <w:shd w:val="clear" w:color="auto" w:fill="FFFFFF" w:themeFill="background1"/>
            <w:vAlign w:val="center"/>
          </w:tcPr>
          <w:p w14:paraId="2CD75D1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立邦、多乐士、三棵树或同等档次及以上</w:t>
            </w:r>
          </w:p>
        </w:tc>
      </w:tr>
      <w:tr w14:paraId="45388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49" w:type="dxa"/>
            <w:shd w:val="clear" w:color="auto" w:fill="FFFFFF" w:themeFill="background1"/>
            <w:vAlign w:val="center"/>
          </w:tcPr>
          <w:p w14:paraId="7CC94B0F">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12</w:t>
            </w:r>
          </w:p>
        </w:tc>
        <w:tc>
          <w:tcPr>
            <w:tcW w:w="3150" w:type="dxa"/>
            <w:shd w:val="clear" w:color="auto" w:fill="auto"/>
            <w:vAlign w:val="center"/>
          </w:tcPr>
          <w:p w14:paraId="5AB8E96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水管</w:t>
            </w:r>
          </w:p>
        </w:tc>
        <w:tc>
          <w:tcPr>
            <w:tcW w:w="5120" w:type="dxa"/>
            <w:shd w:val="clear" w:color="auto" w:fill="FFFFFF" w:themeFill="background1"/>
            <w:vAlign w:val="center"/>
          </w:tcPr>
          <w:p w14:paraId="5DE21FE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伟星、中财、保利或同等档次及以上</w:t>
            </w:r>
          </w:p>
        </w:tc>
      </w:tr>
      <w:tr w14:paraId="1804A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49" w:type="dxa"/>
            <w:shd w:val="clear" w:color="auto" w:fill="FFFFFF" w:themeFill="background1"/>
            <w:vAlign w:val="center"/>
          </w:tcPr>
          <w:p w14:paraId="0F378B7F">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13</w:t>
            </w:r>
          </w:p>
        </w:tc>
        <w:tc>
          <w:tcPr>
            <w:tcW w:w="3150" w:type="dxa"/>
            <w:shd w:val="clear" w:color="auto" w:fill="auto"/>
            <w:vAlign w:val="center"/>
          </w:tcPr>
          <w:p w14:paraId="32EECB6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电线</w:t>
            </w:r>
          </w:p>
        </w:tc>
        <w:tc>
          <w:tcPr>
            <w:tcW w:w="5120" w:type="dxa"/>
            <w:shd w:val="clear" w:color="auto" w:fill="FFFFFF" w:themeFill="background1"/>
            <w:vAlign w:val="center"/>
          </w:tcPr>
          <w:p w14:paraId="31B9EF3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中策、正泰、德力西或同等档次及以上</w:t>
            </w:r>
          </w:p>
        </w:tc>
      </w:tr>
      <w:tr w14:paraId="1C0CA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49" w:type="dxa"/>
            <w:shd w:val="clear" w:color="auto" w:fill="FFFFFF" w:themeFill="background1"/>
            <w:vAlign w:val="center"/>
          </w:tcPr>
          <w:p w14:paraId="2A564D5A">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14</w:t>
            </w:r>
          </w:p>
        </w:tc>
        <w:tc>
          <w:tcPr>
            <w:tcW w:w="3150" w:type="dxa"/>
            <w:shd w:val="clear" w:color="auto" w:fill="auto"/>
            <w:vAlign w:val="center"/>
          </w:tcPr>
          <w:p w14:paraId="4EAB00C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配电箱元器件</w:t>
            </w:r>
          </w:p>
        </w:tc>
        <w:tc>
          <w:tcPr>
            <w:tcW w:w="5120" w:type="dxa"/>
            <w:shd w:val="clear" w:color="auto" w:fill="FFFFFF" w:themeFill="background1"/>
            <w:vAlign w:val="center"/>
          </w:tcPr>
          <w:p w14:paraId="53F6B87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aps w:val="0"/>
                <w:color w:val="auto"/>
                <w:spacing w:val="0"/>
                <w:sz w:val="24"/>
                <w:szCs w:val="24"/>
                <w:highlight w:val="none"/>
                <w:shd w:val="clear" w:fill="FFFFFF"/>
              </w:rPr>
              <w:t>施耐德</w:t>
            </w:r>
            <w:r>
              <w:rPr>
                <w:rFonts w:hint="eastAsia" w:ascii="宋体" w:hAnsi="宋体" w:eastAsia="宋体" w:cs="宋体"/>
                <w:i w:val="0"/>
                <w:iCs w:val="0"/>
                <w:caps w:val="0"/>
                <w:color w:val="auto"/>
                <w:spacing w:val="0"/>
                <w:sz w:val="24"/>
                <w:szCs w:val="24"/>
                <w:highlight w:val="none"/>
                <w:shd w:val="clear" w:fill="FFFFFF"/>
                <w:lang w:eastAsia="zh-CN"/>
              </w:rPr>
              <w:t>、</w:t>
            </w:r>
            <w:r>
              <w:rPr>
                <w:rFonts w:hint="eastAsia" w:ascii="宋体" w:hAnsi="宋体" w:eastAsia="宋体" w:cs="宋体"/>
                <w:i w:val="0"/>
                <w:iCs w:val="0"/>
                <w:caps w:val="0"/>
                <w:color w:val="auto"/>
                <w:spacing w:val="0"/>
                <w:sz w:val="24"/>
                <w:szCs w:val="24"/>
                <w:highlight w:val="none"/>
                <w:shd w:val="clear" w:fill="FFFFFF"/>
              </w:rPr>
              <w:t>正泰</w:t>
            </w:r>
            <w:r>
              <w:rPr>
                <w:rFonts w:hint="eastAsia" w:ascii="宋体" w:hAnsi="宋体" w:eastAsia="宋体" w:cs="宋体"/>
                <w:i w:val="0"/>
                <w:iCs w:val="0"/>
                <w:caps w:val="0"/>
                <w:color w:val="auto"/>
                <w:spacing w:val="0"/>
                <w:sz w:val="24"/>
                <w:szCs w:val="24"/>
                <w:highlight w:val="none"/>
                <w:shd w:val="clear" w:fill="FFFFFF"/>
                <w:lang w:eastAsia="zh-CN"/>
              </w:rPr>
              <w:t>、</w:t>
            </w:r>
            <w:r>
              <w:rPr>
                <w:rFonts w:hint="eastAsia" w:ascii="宋体" w:hAnsi="宋体" w:eastAsia="宋体" w:cs="宋体"/>
                <w:i w:val="0"/>
                <w:iCs w:val="0"/>
                <w:color w:val="auto"/>
                <w:kern w:val="0"/>
                <w:sz w:val="24"/>
                <w:szCs w:val="24"/>
                <w:highlight w:val="none"/>
                <w:u w:val="none"/>
                <w:lang w:val="en-US" w:eastAsia="zh-CN" w:bidi="ar"/>
              </w:rPr>
              <w:t>德力西或同等档次及以上</w:t>
            </w:r>
          </w:p>
        </w:tc>
      </w:tr>
      <w:tr w14:paraId="4A603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49" w:type="dxa"/>
            <w:shd w:val="clear" w:color="auto" w:fill="FFFFFF" w:themeFill="background1"/>
            <w:vAlign w:val="center"/>
          </w:tcPr>
          <w:p w14:paraId="727B550D">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15</w:t>
            </w:r>
          </w:p>
        </w:tc>
        <w:tc>
          <w:tcPr>
            <w:tcW w:w="3150" w:type="dxa"/>
            <w:shd w:val="clear" w:color="auto" w:fill="auto"/>
            <w:vAlign w:val="center"/>
          </w:tcPr>
          <w:p w14:paraId="61E2192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地胶板</w:t>
            </w:r>
          </w:p>
        </w:tc>
        <w:tc>
          <w:tcPr>
            <w:tcW w:w="5120" w:type="dxa"/>
            <w:shd w:val="clear" w:color="auto" w:fill="FFFFFF" w:themeFill="background1"/>
            <w:vAlign w:val="center"/>
          </w:tcPr>
          <w:p w14:paraId="1BD29D1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迈可荣、邦颂、格莱瑞或同等档次及以上</w:t>
            </w:r>
          </w:p>
        </w:tc>
      </w:tr>
      <w:tr w14:paraId="483FF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49" w:type="dxa"/>
            <w:shd w:val="clear" w:color="auto" w:fill="FFFFFF" w:themeFill="background1"/>
            <w:vAlign w:val="center"/>
          </w:tcPr>
          <w:p w14:paraId="671158B8">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16</w:t>
            </w:r>
          </w:p>
        </w:tc>
        <w:tc>
          <w:tcPr>
            <w:tcW w:w="3150" w:type="dxa"/>
            <w:shd w:val="clear" w:color="auto" w:fill="auto"/>
            <w:vAlign w:val="center"/>
          </w:tcPr>
          <w:p w14:paraId="19567B8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碳晶板</w:t>
            </w:r>
          </w:p>
        </w:tc>
        <w:tc>
          <w:tcPr>
            <w:tcW w:w="5120" w:type="dxa"/>
            <w:shd w:val="clear" w:color="auto" w:fill="FFFFFF" w:themeFill="background1"/>
            <w:vAlign w:val="center"/>
          </w:tcPr>
          <w:p w14:paraId="317AD6F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雷斯诺、乐微尔、王斌或同等档次及以上</w:t>
            </w:r>
          </w:p>
        </w:tc>
      </w:tr>
      <w:tr w14:paraId="7BCBB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49" w:type="dxa"/>
            <w:shd w:val="clear" w:color="auto" w:fill="FFFFFF" w:themeFill="background1"/>
            <w:vAlign w:val="center"/>
          </w:tcPr>
          <w:p w14:paraId="00A5AD99">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17</w:t>
            </w:r>
          </w:p>
        </w:tc>
        <w:tc>
          <w:tcPr>
            <w:tcW w:w="3150" w:type="dxa"/>
            <w:shd w:val="clear" w:color="auto" w:fill="auto"/>
            <w:vAlign w:val="center"/>
          </w:tcPr>
          <w:p w14:paraId="1286E52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石膏板</w:t>
            </w:r>
          </w:p>
        </w:tc>
        <w:tc>
          <w:tcPr>
            <w:tcW w:w="5120" w:type="dxa"/>
            <w:shd w:val="clear" w:color="auto" w:fill="FFFFFF" w:themeFill="background1"/>
            <w:vAlign w:val="center"/>
          </w:tcPr>
          <w:p w14:paraId="70F5D0A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可耐福、杰科、泰山或同等档次及以上</w:t>
            </w:r>
          </w:p>
        </w:tc>
      </w:tr>
    </w:tbl>
    <w:p w14:paraId="707C7066">
      <w:pPr>
        <w:pStyle w:val="967"/>
        <w:numPr>
          <w:ilvl w:val="0"/>
          <w:numId w:val="0"/>
        </w:numPr>
        <w:snapToGrid w:val="0"/>
        <w:spacing w:line="360" w:lineRule="auto"/>
        <w:jc w:val="left"/>
        <w:rPr>
          <w:rFonts w:ascii="宋体" w:hAnsi="宋体" w:cs="宋体"/>
          <w:color w:val="auto"/>
          <w:sz w:val="24"/>
          <w:highlight w:val="none"/>
        </w:rPr>
      </w:pPr>
    </w:p>
    <w:p w14:paraId="3B530D19">
      <w:pPr>
        <w:pStyle w:val="967"/>
        <w:numPr>
          <w:ilvl w:val="0"/>
          <w:numId w:val="4"/>
        </w:numPr>
        <w:snapToGrid w:val="0"/>
        <w:spacing w:line="360" w:lineRule="auto"/>
        <w:ind w:left="0" w:firstLine="420" w:firstLineChars="0"/>
        <w:jc w:val="left"/>
        <w:rPr>
          <w:rFonts w:ascii="宋体" w:hAnsi="宋体" w:cs="宋体"/>
          <w:color w:val="auto"/>
          <w:sz w:val="24"/>
          <w:highlight w:val="none"/>
        </w:rPr>
      </w:pPr>
      <w:r>
        <w:rPr>
          <w:rFonts w:hint="eastAsia" w:ascii="宋体" w:hAnsi="宋体" w:cs="宋体"/>
          <w:color w:val="auto"/>
          <w:sz w:val="24"/>
          <w:highlight w:val="none"/>
        </w:rPr>
        <w:t>供应商应当有详细的材料（设备）供应计划及质量保证措施；</w:t>
      </w:r>
    </w:p>
    <w:p w14:paraId="38B74068">
      <w:pPr>
        <w:pStyle w:val="967"/>
        <w:numPr>
          <w:ilvl w:val="0"/>
          <w:numId w:val="4"/>
        </w:numPr>
        <w:snapToGrid w:val="0"/>
        <w:spacing w:line="360" w:lineRule="auto"/>
        <w:ind w:left="0" w:firstLine="420" w:firstLineChars="0"/>
        <w:jc w:val="left"/>
        <w:rPr>
          <w:rFonts w:ascii="宋体" w:hAnsi="宋体" w:cs="仿宋_GB2312"/>
          <w:b/>
          <w:bCs/>
          <w:color w:val="auto"/>
          <w:sz w:val="24"/>
          <w:highlight w:val="none"/>
        </w:rPr>
      </w:pPr>
      <w:r>
        <w:rPr>
          <w:rFonts w:hint="eastAsia" w:ascii="宋体" w:hAnsi="宋体" w:cs="宋体"/>
          <w:color w:val="auto"/>
          <w:sz w:val="24"/>
          <w:highlight w:val="none"/>
        </w:rPr>
        <w:t>材料的质量要求：材料检验按法律、法规、文件规定的见证取样和送检规定的程序进行。凡检验结果证明其有害物质含量指标超标的产品不得在工程上使用。</w:t>
      </w:r>
    </w:p>
    <w:p w14:paraId="392146DB">
      <w:pPr>
        <w:pStyle w:val="967"/>
        <w:numPr>
          <w:ilvl w:val="0"/>
          <w:numId w:val="4"/>
        </w:numPr>
        <w:snapToGrid w:val="0"/>
        <w:spacing w:line="360" w:lineRule="auto"/>
        <w:ind w:left="0" w:firstLine="420" w:firstLineChars="0"/>
        <w:jc w:val="left"/>
        <w:rPr>
          <w:rFonts w:ascii="宋体" w:hAnsi="宋体" w:cs="仿宋_GB2312"/>
          <w:b/>
          <w:bCs/>
          <w:color w:val="auto"/>
          <w:sz w:val="24"/>
          <w:highlight w:val="none"/>
        </w:rPr>
      </w:pPr>
      <w:r>
        <w:rPr>
          <w:rFonts w:ascii="宋体" w:hAnsi="宋体" w:cs="宋体"/>
          <w:color w:val="auto"/>
          <w:sz w:val="24"/>
          <w:highlight w:val="none"/>
        </w:rPr>
        <w:t>样品提供</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①</w:t>
      </w:r>
      <w:r>
        <w:rPr>
          <w:rFonts w:hint="eastAsia" w:ascii="宋体" w:hAnsi="宋体" w:cs="宋体"/>
          <w:color w:val="auto"/>
          <w:sz w:val="24"/>
          <w:highlight w:val="none"/>
        </w:rPr>
        <w:t>外墙真石漆涂料：提供不小于A4纸大小（21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*297</w:t>
      </w:r>
      <w:r>
        <w:rPr>
          <w:rFonts w:hint="eastAsia" w:ascii="宋体" w:hAnsi="宋体" w:cs="宋体"/>
          <w:color w:val="auto"/>
          <w:sz w:val="24"/>
          <w:highlight w:val="none"/>
          <w:lang w:val="en-US" w:eastAsia="zh-CN"/>
        </w:rPr>
        <w:t>m</w:t>
      </w:r>
      <w:r>
        <w:rPr>
          <w:rFonts w:hint="eastAsia" w:ascii="宋体" w:hAnsi="宋体" w:cs="宋体"/>
          <w:color w:val="auto"/>
          <w:sz w:val="24"/>
          <w:highlight w:val="none"/>
        </w:rPr>
        <w:t>m)的样板（颜色不限）</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②铝板（厚度按清单描述）：</w:t>
      </w:r>
      <w:r>
        <w:rPr>
          <w:rFonts w:hint="eastAsia" w:ascii="宋体" w:hAnsi="宋体" w:cs="宋体"/>
          <w:color w:val="auto"/>
          <w:sz w:val="24"/>
          <w:highlight w:val="none"/>
        </w:rPr>
        <w:t>提供不小于</w:t>
      </w:r>
      <w:r>
        <w:rPr>
          <w:rFonts w:hint="eastAsia" w:ascii="宋体" w:hAnsi="宋体" w:cs="宋体"/>
          <w:color w:val="auto"/>
          <w:sz w:val="24"/>
          <w:highlight w:val="none"/>
          <w:lang w:val="en-US" w:eastAsia="zh-CN"/>
        </w:rPr>
        <w:t>200</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300m</w:t>
      </w:r>
      <w:r>
        <w:rPr>
          <w:rFonts w:hint="eastAsia" w:ascii="宋体" w:hAnsi="宋体" w:cs="宋体"/>
          <w:color w:val="auto"/>
          <w:sz w:val="24"/>
          <w:highlight w:val="none"/>
        </w:rPr>
        <w:t>m的样板（颜色不限）</w:t>
      </w:r>
      <w:r>
        <w:rPr>
          <w:rFonts w:hint="eastAsia" w:ascii="宋体" w:hAnsi="宋体" w:cs="宋体"/>
          <w:color w:val="auto"/>
          <w:sz w:val="24"/>
          <w:highlight w:val="none"/>
          <w:lang w:eastAsia="zh-CN"/>
        </w:rPr>
        <w:t>。</w:t>
      </w:r>
    </w:p>
    <w:p w14:paraId="3D9C3345">
      <w:pPr>
        <w:spacing w:line="360" w:lineRule="auto"/>
        <w:jc w:val="left"/>
        <w:rPr>
          <w:rFonts w:hint="eastAsia" w:ascii="宋体" w:hAnsi="宋体" w:cs="仿宋_GB2312"/>
          <w:b/>
          <w:bCs/>
          <w:color w:val="auto"/>
          <w:sz w:val="24"/>
          <w:highlight w:val="none"/>
        </w:rPr>
      </w:pPr>
    </w:p>
    <w:p w14:paraId="4EBB48A0">
      <w:pPr>
        <w:spacing w:line="360" w:lineRule="auto"/>
        <w:jc w:val="left"/>
        <w:rPr>
          <w:rFonts w:ascii="宋体" w:hAnsi="宋体" w:cs="仿宋_GB2312"/>
          <w:b/>
          <w:bCs/>
          <w:color w:val="auto"/>
          <w:sz w:val="24"/>
          <w:highlight w:val="none"/>
        </w:rPr>
      </w:pPr>
      <w:r>
        <w:rPr>
          <w:rFonts w:hint="eastAsia" w:ascii="宋体" w:hAnsi="宋体" w:cs="仿宋_GB2312"/>
          <w:b/>
          <w:bCs/>
          <w:color w:val="auto"/>
          <w:sz w:val="24"/>
          <w:highlight w:val="none"/>
        </w:rPr>
        <w:t>三、商务要求</w:t>
      </w:r>
    </w:p>
    <w:p w14:paraId="64BD4FED">
      <w:pPr>
        <w:spacing w:line="360" w:lineRule="auto"/>
        <w:ind w:left="210" w:leftChars="100"/>
        <w:jc w:val="left"/>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rPr>
        <w:t>1.工期要求：合同签订接采购人开工通知后4</w:t>
      </w:r>
      <w:r>
        <w:rPr>
          <w:rFonts w:hint="eastAsia" w:ascii="宋体" w:hAnsi="宋体" w:cs="仿宋_GB2312"/>
          <w:color w:val="auto"/>
          <w:sz w:val="24"/>
          <w:highlight w:val="none"/>
          <w:lang w:val="en-US" w:eastAsia="zh-CN"/>
        </w:rPr>
        <w:t>0</w:t>
      </w:r>
      <w:r>
        <w:rPr>
          <w:rFonts w:hint="eastAsia" w:ascii="宋体" w:hAnsi="宋体" w:cs="仿宋_GB2312"/>
          <w:color w:val="auto"/>
          <w:sz w:val="24"/>
          <w:highlight w:val="none"/>
        </w:rPr>
        <w:t>日历天内完成工程施工</w:t>
      </w:r>
      <w:r>
        <w:rPr>
          <w:rFonts w:hint="eastAsia" w:ascii="宋体" w:hAnsi="宋体" w:cs="仿宋_GB2312"/>
          <w:color w:val="auto"/>
          <w:sz w:val="24"/>
          <w:highlight w:val="none"/>
          <w:lang w:eastAsia="zh-CN"/>
        </w:rPr>
        <w:t>。</w:t>
      </w:r>
    </w:p>
    <w:p w14:paraId="68D6B1D5">
      <w:pPr>
        <w:spacing w:line="360" w:lineRule="auto"/>
        <w:ind w:left="210" w:leftChars="100"/>
        <w:jc w:val="left"/>
        <w:rPr>
          <w:rFonts w:hint="eastAsia" w:ascii="宋体" w:hAnsi="宋体" w:eastAsia="宋体" w:cs="仿宋_GB2312"/>
          <w:color w:val="auto"/>
          <w:sz w:val="24"/>
          <w:highlight w:val="none"/>
          <w:lang w:val="en-US" w:eastAsia="zh-CN"/>
        </w:rPr>
      </w:pPr>
      <w:r>
        <w:rPr>
          <w:rFonts w:hint="eastAsia" w:ascii="宋体" w:hAnsi="宋体" w:cs="仿宋_GB2312"/>
          <w:color w:val="auto"/>
          <w:sz w:val="24"/>
          <w:highlight w:val="none"/>
        </w:rPr>
        <w:t>2.工程地点：</w:t>
      </w:r>
      <w:r>
        <w:rPr>
          <w:rFonts w:hint="eastAsia" w:ascii="宋体" w:hAnsi="宋体" w:cs="仿宋_GB2312"/>
          <w:color w:val="auto"/>
          <w:sz w:val="24"/>
          <w:highlight w:val="none"/>
          <w:lang w:eastAsia="zh-CN"/>
        </w:rPr>
        <w:t>杭州市拱墅区莫干山路142号</w:t>
      </w:r>
    </w:p>
    <w:p w14:paraId="4D21916E">
      <w:pPr>
        <w:spacing w:line="360" w:lineRule="auto"/>
        <w:ind w:left="210" w:leftChars="100"/>
        <w:jc w:val="left"/>
        <w:rPr>
          <w:color w:val="auto"/>
          <w:highlight w:val="none"/>
        </w:rPr>
      </w:pPr>
      <w:r>
        <w:rPr>
          <w:rFonts w:hint="eastAsia" w:ascii="宋体" w:hAnsi="宋体" w:cs="仿宋_GB2312"/>
          <w:color w:val="auto"/>
          <w:sz w:val="24"/>
          <w:highlight w:val="none"/>
        </w:rPr>
        <w:t>3.付款条件（进度和方式）</w:t>
      </w:r>
    </w:p>
    <w:tbl>
      <w:tblPr>
        <w:tblStyle w:val="62"/>
        <w:tblW w:w="9000" w:type="dxa"/>
        <w:tblInd w:w="176"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75"/>
        <w:gridCol w:w="2150"/>
        <w:gridCol w:w="5875"/>
      </w:tblGrid>
      <w:tr w14:paraId="717131A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14:paraId="2835FD65">
            <w:pPr>
              <w:spacing w:line="240" w:lineRule="auto"/>
              <w:jc w:val="center"/>
              <w:rPr>
                <w:rFonts w:ascii="宋体" w:hAnsi="宋体" w:cs="仿宋_GB2312"/>
                <w:color w:val="auto"/>
                <w:sz w:val="24"/>
                <w:highlight w:val="none"/>
              </w:rPr>
            </w:pPr>
            <w:r>
              <w:rPr>
                <w:rFonts w:hint="eastAsia" w:ascii="宋体" w:hAnsi="宋体" w:cs="仿宋_GB2312"/>
                <w:color w:val="auto"/>
                <w:sz w:val="24"/>
                <w:highlight w:val="none"/>
              </w:rPr>
              <w:t>序号</w:t>
            </w:r>
          </w:p>
        </w:tc>
        <w:tc>
          <w:tcPr>
            <w:tcW w:w="2150" w:type="dxa"/>
            <w:tcBorders>
              <w:top w:val="single" w:color="auto" w:sz="4" w:space="0"/>
              <w:left w:val="single" w:color="auto" w:sz="4" w:space="0"/>
              <w:bottom w:val="single" w:color="auto" w:sz="4" w:space="0"/>
              <w:right w:val="single" w:color="auto" w:sz="4" w:space="0"/>
            </w:tcBorders>
            <w:shd w:val="clear" w:color="auto" w:fill="auto"/>
            <w:vAlign w:val="center"/>
          </w:tcPr>
          <w:p w14:paraId="4203EC19">
            <w:pPr>
              <w:spacing w:line="240" w:lineRule="auto"/>
              <w:jc w:val="center"/>
              <w:rPr>
                <w:rFonts w:ascii="宋体" w:hAnsi="宋体" w:cs="仿宋_GB2312"/>
                <w:color w:val="auto"/>
                <w:sz w:val="24"/>
                <w:highlight w:val="none"/>
              </w:rPr>
            </w:pPr>
            <w:r>
              <w:rPr>
                <w:rFonts w:hint="eastAsia" w:ascii="宋体" w:hAnsi="宋体" w:cs="仿宋_GB2312"/>
                <w:color w:val="auto"/>
                <w:sz w:val="24"/>
                <w:highlight w:val="none"/>
              </w:rPr>
              <w:t>付款比例（%）</w:t>
            </w:r>
          </w:p>
        </w:tc>
        <w:tc>
          <w:tcPr>
            <w:tcW w:w="5875" w:type="dxa"/>
            <w:tcBorders>
              <w:top w:val="single" w:color="auto" w:sz="4" w:space="0"/>
              <w:left w:val="single" w:color="auto" w:sz="4" w:space="0"/>
              <w:bottom w:val="single" w:color="auto" w:sz="4" w:space="0"/>
              <w:right w:val="single" w:color="auto" w:sz="4" w:space="0"/>
            </w:tcBorders>
            <w:shd w:val="clear" w:color="auto" w:fill="auto"/>
            <w:vAlign w:val="center"/>
          </w:tcPr>
          <w:p w14:paraId="6513CF91">
            <w:pPr>
              <w:spacing w:line="240" w:lineRule="auto"/>
              <w:jc w:val="center"/>
              <w:rPr>
                <w:rFonts w:ascii="宋体" w:hAnsi="宋体" w:cs="仿宋_GB2312"/>
                <w:color w:val="auto"/>
                <w:sz w:val="24"/>
                <w:highlight w:val="none"/>
              </w:rPr>
            </w:pPr>
            <w:r>
              <w:rPr>
                <w:rFonts w:hint="eastAsia" w:ascii="宋体" w:hAnsi="宋体" w:cs="仿宋_GB2312"/>
                <w:color w:val="auto"/>
                <w:sz w:val="24"/>
                <w:highlight w:val="none"/>
              </w:rPr>
              <w:t>付款方式</w:t>
            </w:r>
          </w:p>
        </w:tc>
      </w:tr>
      <w:tr w14:paraId="5522D06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747" w:hRule="atLeast"/>
        </w:trPr>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14:paraId="6149285C">
            <w:pPr>
              <w:spacing w:line="240" w:lineRule="auto"/>
              <w:jc w:val="center"/>
              <w:rPr>
                <w:rFonts w:ascii="宋体" w:hAnsi="宋体" w:cs="仿宋_GB2312"/>
                <w:color w:val="auto"/>
                <w:sz w:val="24"/>
                <w:highlight w:val="none"/>
              </w:rPr>
            </w:pPr>
            <w:r>
              <w:rPr>
                <w:rFonts w:hint="eastAsia" w:ascii="宋体" w:hAnsi="宋体" w:cs="宋体"/>
                <w:color w:val="auto"/>
                <w:sz w:val="24"/>
                <w:highlight w:val="none"/>
              </w:rPr>
              <w:t>1</w:t>
            </w:r>
          </w:p>
        </w:tc>
        <w:tc>
          <w:tcPr>
            <w:tcW w:w="2150" w:type="dxa"/>
            <w:tcBorders>
              <w:top w:val="single" w:color="auto" w:sz="4" w:space="0"/>
              <w:left w:val="single" w:color="auto" w:sz="4" w:space="0"/>
              <w:bottom w:val="single" w:color="auto" w:sz="4" w:space="0"/>
              <w:right w:val="single" w:color="auto" w:sz="4" w:space="0"/>
            </w:tcBorders>
            <w:shd w:val="clear" w:color="auto" w:fill="auto"/>
            <w:vAlign w:val="center"/>
          </w:tcPr>
          <w:p w14:paraId="560E7920">
            <w:pPr>
              <w:spacing w:line="360" w:lineRule="auto"/>
              <w:jc w:val="center"/>
              <w:rPr>
                <w:rFonts w:ascii="宋体" w:hAnsi="宋体" w:cs="仿宋_GB2312"/>
                <w:color w:val="auto"/>
                <w:sz w:val="24"/>
                <w:highlight w:val="none"/>
              </w:rPr>
            </w:pPr>
            <w:r>
              <w:rPr>
                <w:rFonts w:hint="eastAsia" w:ascii="宋体" w:hAnsi="宋体" w:cs="宋体"/>
                <w:color w:val="auto"/>
                <w:sz w:val="24"/>
                <w:highlight w:val="none"/>
                <w:lang w:val="en-US" w:eastAsia="zh-CN"/>
              </w:rPr>
              <w:t>50</w:t>
            </w:r>
            <w:r>
              <w:rPr>
                <w:rFonts w:hint="eastAsia" w:ascii="宋体" w:hAnsi="宋体" w:cs="宋体"/>
                <w:color w:val="auto"/>
                <w:sz w:val="24"/>
                <w:highlight w:val="none"/>
              </w:rPr>
              <w:t>%</w:t>
            </w:r>
          </w:p>
        </w:tc>
        <w:tc>
          <w:tcPr>
            <w:tcW w:w="5875" w:type="dxa"/>
            <w:tcBorders>
              <w:top w:val="single" w:color="auto" w:sz="4" w:space="0"/>
              <w:left w:val="single" w:color="auto" w:sz="4" w:space="0"/>
              <w:bottom w:val="single" w:color="auto" w:sz="4" w:space="0"/>
              <w:right w:val="single" w:color="auto" w:sz="4" w:space="0"/>
            </w:tcBorders>
            <w:shd w:val="clear" w:color="auto" w:fill="auto"/>
            <w:vAlign w:val="center"/>
          </w:tcPr>
          <w:p w14:paraId="095AC366">
            <w:pPr>
              <w:spacing w:line="360" w:lineRule="auto"/>
              <w:jc w:val="left"/>
              <w:rPr>
                <w:rFonts w:ascii="宋体" w:hAnsi="宋体" w:cs="仿宋_GB2312"/>
                <w:color w:val="auto"/>
                <w:sz w:val="24"/>
                <w:highlight w:val="none"/>
              </w:rPr>
            </w:pPr>
            <w:r>
              <w:rPr>
                <w:rFonts w:hint="eastAsia" w:ascii="宋体" w:hAnsi="宋体" w:cs="宋体"/>
                <w:color w:val="auto"/>
                <w:sz w:val="24"/>
                <w:highlight w:val="none"/>
              </w:rPr>
              <w:t>合同生效以及具备实施条件后5个工作日内，支付合同总价的</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0%预付款；</w:t>
            </w:r>
          </w:p>
        </w:tc>
      </w:tr>
      <w:tr w14:paraId="2FE2669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272" w:hRule="atLeast"/>
        </w:trPr>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14:paraId="0CDA4A67">
            <w:pPr>
              <w:spacing w:line="240" w:lineRule="auto"/>
              <w:jc w:val="center"/>
              <w:rPr>
                <w:rFonts w:ascii="宋体" w:hAnsi="宋体" w:cs="仿宋_GB2312"/>
                <w:color w:val="auto"/>
                <w:sz w:val="24"/>
                <w:highlight w:val="none"/>
              </w:rPr>
            </w:pPr>
            <w:r>
              <w:rPr>
                <w:rFonts w:hint="eastAsia" w:ascii="宋体" w:hAnsi="宋体" w:cs="宋体"/>
                <w:color w:val="auto"/>
                <w:sz w:val="24"/>
                <w:highlight w:val="none"/>
              </w:rPr>
              <w:t>2</w:t>
            </w:r>
          </w:p>
        </w:tc>
        <w:tc>
          <w:tcPr>
            <w:tcW w:w="2150" w:type="dxa"/>
            <w:tcBorders>
              <w:top w:val="single" w:color="auto" w:sz="4" w:space="0"/>
              <w:left w:val="single" w:color="auto" w:sz="4" w:space="0"/>
              <w:bottom w:val="single" w:color="auto" w:sz="4" w:space="0"/>
              <w:right w:val="single" w:color="auto" w:sz="4" w:space="0"/>
            </w:tcBorders>
            <w:shd w:val="clear" w:color="auto" w:fill="auto"/>
            <w:vAlign w:val="center"/>
          </w:tcPr>
          <w:p w14:paraId="6D41B50C">
            <w:pPr>
              <w:spacing w:line="360" w:lineRule="auto"/>
              <w:jc w:val="center"/>
              <w:rPr>
                <w:rFonts w:ascii="宋体" w:hAnsi="宋体" w:cs="仿宋_GB2312"/>
                <w:color w:val="auto"/>
                <w:sz w:val="24"/>
                <w:highlight w:val="none"/>
              </w:rPr>
            </w:pPr>
            <w:r>
              <w:rPr>
                <w:rFonts w:hint="eastAsia" w:ascii="宋体" w:hAnsi="宋体" w:cs="宋体"/>
                <w:color w:val="auto"/>
                <w:sz w:val="24"/>
                <w:highlight w:val="none"/>
                <w:lang w:val="en-US" w:eastAsia="zh-CN"/>
              </w:rPr>
              <w:t>40</w:t>
            </w:r>
            <w:r>
              <w:rPr>
                <w:rFonts w:hint="eastAsia" w:ascii="宋体" w:hAnsi="宋体" w:cs="宋体"/>
                <w:color w:val="auto"/>
                <w:sz w:val="24"/>
                <w:highlight w:val="none"/>
              </w:rPr>
              <w:t>%</w:t>
            </w:r>
          </w:p>
        </w:tc>
        <w:tc>
          <w:tcPr>
            <w:tcW w:w="5875" w:type="dxa"/>
            <w:tcBorders>
              <w:top w:val="single" w:color="auto" w:sz="4" w:space="0"/>
              <w:left w:val="single" w:color="auto" w:sz="4" w:space="0"/>
              <w:bottom w:val="single" w:color="auto" w:sz="4" w:space="0"/>
              <w:right w:val="single" w:color="auto" w:sz="4" w:space="0"/>
            </w:tcBorders>
            <w:shd w:val="clear" w:color="auto" w:fill="auto"/>
            <w:vAlign w:val="center"/>
          </w:tcPr>
          <w:p w14:paraId="45382559">
            <w:pPr>
              <w:spacing w:line="360" w:lineRule="auto"/>
              <w:jc w:val="left"/>
              <w:rPr>
                <w:rFonts w:ascii="宋体" w:hAnsi="宋体" w:cs="仿宋_GB2312"/>
                <w:color w:val="auto"/>
                <w:sz w:val="24"/>
                <w:highlight w:val="none"/>
              </w:rPr>
            </w:pPr>
            <w:r>
              <w:rPr>
                <w:rFonts w:hint="eastAsia" w:ascii="宋体" w:hAnsi="宋体" w:cs="宋体"/>
                <w:color w:val="auto"/>
                <w:sz w:val="24"/>
                <w:highlight w:val="none"/>
              </w:rPr>
              <w:t>项目完成施工交付验收且具备付款条件后5个工作日内，支付合同总价的</w:t>
            </w:r>
            <w:r>
              <w:rPr>
                <w:rFonts w:hint="eastAsia" w:ascii="宋体" w:hAnsi="宋体" w:cs="宋体"/>
                <w:color w:val="auto"/>
                <w:sz w:val="24"/>
                <w:highlight w:val="none"/>
                <w:lang w:val="en-US" w:eastAsia="zh-CN"/>
              </w:rPr>
              <w:t>40</w:t>
            </w:r>
            <w:r>
              <w:rPr>
                <w:rFonts w:hint="eastAsia" w:ascii="宋体" w:hAnsi="宋体" w:cs="宋体"/>
                <w:color w:val="auto"/>
                <w:sz w:val="24"/>
                <w:highlight w:val="none"/>
              </w:rPr>
              <w:t>%；</w:t>
            </w:r>
          </w:p>
        </w:tc>
      </w:tr>
      <w:tr w14:paraId="637266C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802" w:hRule="atLeast"/>
        </w:trPr>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14:paraId="0E46E365">
            <w:pPr>
              <w:spacing w:line="240" w:lineRule="auto"/>
              <w:jc w:val="center"/>
              <w:rPr>
                <w:rFonts w:ascii="宋体" w:hAnsi="宋体" w:cs="仿宋_GB2312"/>
                <w:color w:val="auto"/>
                <w:sz w:val="24"/>
                <w:highlight w:val="none"/>
              </w:rPr>
            </w:pPr>
            <w:r>
              <w:rPr>
                <w:rFonts w:hint="eastAsia" w:ascii="宋体" w:hAnsi="宋体" w:cs="宋体"/>
                <w:color w:val="auto"/>
                <w:sz w:val="24"/>
                <w:highlight w:val="none"/>
              </w:rPr>
              <w:t>3</w:t>
            </w:r>
          </w:p>
        </w:tc>
        <w:tc>
          <w:tcPr>
            <w:tcW w:w="2150" w:type="dxa"/>
            <w:tcBorders>
              <w:top w:val="single" w:color="auto" w:sz="4" w:space="0"/>
              <w:left w:val="single" w:color="auto" w:sz="4" w:space="0"/>
              <w:bottom w:val="single" w:color="auto" w:sz="4" w:space="0"/>
              <w:right w:val="single" w:color="auto" w:sz="4" w:space="0"/>
            </w:tcBorders>
            <w:shd w:val="clear" w:color="auto" w:fill="auto"/>
            <w:vAlign w:val="center"/>
          </w:tcPr>
          <w:p w14:paraId="0C5182CF">
            <w:pPr>
              <w:spacing w:line="360" w:lineRule="auto"/>
              <w:jc w:val="center"/>
              <w:rPr>
                <w:rFonts w:ascii="宋体" w:hAnsi="宋体" w:cs="仿宋_GB2312"/>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w:t>
            </w:r>
          </w:p>
        </w:tc>
        <w:tc>
          <w:tcPr>
            <w:tcW w:w="5875" w:type="dxa"/>
            <w:tcBorders>
              <w:top w:val="single" w:color="auto" w:sz="4" w:space="0"/>
              <w:left w:val="single" w:color="auto" w:sz="4" w:space="0"/>
              <w:bottom w:val="single" w:color="auto" w:sz="4" w:space="0"/>
              <w:right w:val="single" w:color="auto" w:sz="4" w:space="0"/>
            </w:tcBorders>
            <w:shd w:val="clear" w:color="auto" w:fill="auto"/>
            <w:vAlign w:val="center"/>
          </w:tcPr>
          <w:p w14:paraId="17A62969">
            <w:pPr>
              <w:spacing w:line="360" w:lineRule="auto"/>
              <w:jc w:val="left"/>
              <w:rPr>
                <w:rFonts w:ascii="宋体" w:hAnsi="宋体" w:cs="仿宋_GB2312"/>
                <w:color w:val="auto"/>
                <w:sz w:val="24"/>
                <w:highlight w:val="none"/>
              </w:rPr>
            </w:pPr>
            <w:r>
              <w:rPr>
                <w:rFonts w:hint="eastAsia" w:ascii="宋体" w:hAnsi="宋体" w:cs="宋体"/>
                <w:color w:val="auto"/>
                <w:sz w:val="24"/>
                <w:highlight w:val="none"/>
              </w:rPr>
              <w:t>项目验收合格并经有审价资质的机构审价，且具备付款条件后5个工作日内，支付剩余合同尾款。</w:t>
            </w:r>
          </w:p>
        </w:tc>
      </w:tr>
    </w:tbl>
    <w:p w14:paraId="6903787E">
      <w:pPr>
        <w:keepNext w:val="0"/>
        <w:keepLines w:val="0"/>
        <w:pageBreakBefore w:val="0"/>
        <w:widowControl w:val="0"/>
        <w:kinsoku/>
        <w:wordWrap/>
        <w:overflowPunct/>
        <w:topLinePunct w:val="0"/>
        <w:autoSpaceDE/>
        <w:autoSpaceDN/>
        <w:bidi w:val="0"/>
        <w:adjustRightInd w:val="0"/>
        <w:snapToGrid w:val="0"/>
        <w:spacing w:before="0" w:beforeLines="50" w:line="360" w:lineRule="auto"/>
        <w:ind w:left="0" w:leftChars="0" w:right="143" w:rightChars="68" w:firstLine="420" w:firstLineChars="175"/>
        <w:jc w:val="left"/>
        <w:textAlignment w:val="auto"/>
        <w:rPr>
          <w:rFonts w:ascii="宋体" w:hAnsi="宋体" w:cs="宋体"/>
          <w:color w:val="auto"/>
          <w:sz w:val="24"/>
          <w:highlight w:val="none"/>
        </w:rPr>
      </w:pPr>
      <w:r>
        <w:rPr>
          <w:rFonts w:hint="eastAsia" w:ascii="宋体" w:hAnsi="宋体" w:cs="宋体"/>
          <w:color w:val="auto"/>
          <w:sz w:val="24"/>
          <w:highlight w:val="none"/>
        </w:rPr>
        <w:t>4.本项目履约保证金最高收取1%，合同签订后5个工作日内缴纳，履约保证金以转账、金融机构、担保机构出具的保函等非现金形式缴纳。项目验收合格后无异议，30天内全额无息退回。</w:t>
      </w:r>
    </w:p>
    <w:p w14:paraId="1E779380">
      <w:pPr>
        <w:spacing w:line="360" w:lineRule="auto"/>
        <w:ind w:left="0" w:leftChars="0" w:firstLine="420" w:firstLineChars="175"/>
        <w:jc w:val="left"/>
        <w:rPr>
          <w:rFonts w:ascii="宋体" w:hAnsi="宋体" w:cs="宋体"/>
          <w:color w:val="auto"/>
          <w:sz w:val="24"/>
          <w:highlight w:val="none"/>
        </w:rPr>
      </w:pPr>
      <w:r>
        <w:rPr>
          <w:rFonts w:hint="eastAsia" w:ascii="宋体" w:hAnsi="宋体" w:cs="宋体"/>
          <w:color w:val="auto"/>
          <w:sz w:val="24"/>
          <w:highlight w:val="none"/>
        </w:rPr>
        <w:t>5.工程售后服务要求</w:t>
      </w:r>
    </w:p>
    <w:p w14:paraId="668C695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（1）保修期：按工程质量保修书规定执行，质量保证期为本项目验收合格后不少于2年</w:t>
      </w:r>
      <w:r>
        <w:rPr>
          <w:rFonts w:hint="eastAsia" w:ascii="宋体" w:hAnsi="宋体" w:cs="宋体"/>
          <w:color w:val="auto"/>
          <w:sz w:val="24"/>
          <w:highlight w:val="none"/>
          <w:u w:val="single"/>
        </w:rPr>
        <w:t>（具体详见工程质量保修书，装饰装修至少2年，防水至少5年）</w:t>
      </w:r>
      <w:r>
        <w:rPr>
          <w:rFonts w:hint="eastAsia" w:ascii="宋体" w:hAnsi="宋体" w:cs="宋体"/>
          <w:color w:val="auto"/>
          <w:sz w:val="24"/>
          <w:highlight w:val="none"/>
        </w:rPr>
        <w:t>。</w:t>
      </w:r>
    </w:p>
    <w:p w14:paraId="55FACCA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成交供应商应与采购人签订工程质量保修书，在质量保修期内，按照有关法律、法规、规章的管理规定和双方约定，承担本工程质量保修责任。</w:t>
      </w:r>
    </w:p>
    <w:p w14:paraId="0AA974C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（2）在保修期内，成交供应商对有缺陷的部位必须无偿地给予修理与更换，并承担一切由此引起的对采购人或第三者的直接损失，除非该缺陷是由于人为破坏或合同规定的不可抗因素造成的损坏。</w:t>
      </w:r>
    </w:p>
    <w:p w14:paraId="3CD283E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（3）成交供应商必须对所承包的工程的质量负全部责任，其责任不因其他材料生产商提供的保证书而减轻或更改。</w:t>
      </w:r>
    </w:p>
    <w:p w14:paraId="4C95B7C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（4）供应商应当在缺陷责任期内具有完善的售后技术支持和服务体系，能够提供服务标准、服务流程、服务内容。</w:t>
      </w:r>
    </w:p>
    <w:p w14:paraId="214DE065">
      <w:pPr>
        <w:spacing w:line="360" w:lineRule="auto"/>
        <w:ind w:left="0" w:leftChars="0" w:firstLine="420" w:firstLineChars="175"/>
        <w:jc w:val="left"/>
        <w:rPr>
          <w:rFonts w:ascii="宋体" w:hAnsi="宋体" w:cs="宋体"/>
          <w:color w:val="auto"/>
          <w:sz w:val="24"/>
          <w:highlight w:val="none"/>
        </w:rPr>
      </w:pPr>
      <w:r>
        <w:rPr>
          <w:rFonts w:hint="eastAsia" w:ascii="宋体" w:hAnsi="宋体" w:cs="宋体"/>
          <w:color w:val="auto"/>
          <w:sz w:val="24"/>
          <w:highlight w:val="none"/>
        </w:rPr>
        <w:t>6.其他商务要求（包装和运输、保险等）</w:t>
      </w:r>
    </w:p>
    <w:p w14:paraId="2F3B466F">
      <w:pPr>
        <w:spacing w:line="360" w:lineRule="auto"/>
        <w:ind w:firstLine="420"/>
        <w:jc w:val="left"/>
        <w:rPr>
          <w:rFonts w:ascii="宋体" w:hAnsi="宋体" w:cs="宋体"/>
          <w:color w:val="auto"/>
          <w:sz w:val="24"/>
          <w:highlight w:val="none"/>
        </w:rPr>
      </w:pPr>
      <w:r>
        <w:rPr>
          <w:rFonts w:hint="eastAsia" w:ascii="宋体" w:hAnsi="宋体" w:cs="宋体"/>
          <w:color w:val="auto"/>
          <w:sz w:val="24"/>
          <w:highlight w:val="none"/>
        </w:rPr>
        <w:t>（1）供应商应当将因校内搬运不便而产生的二次搬运费用计算在磋商报价中。</w:t>
      </w:r>
    </w:p>
    <w:p w14:paraId="2BB6A601">
      <w:pPr>
        <w:spacing w:line="360" w:lineRule="auto"/>
        <w:ind w:firstLine="420"/>
        <w:jc w:val="left"/>
        <w:rPr>
          <w:rFonts w:ascii="宋体" w:hAnsi="宋体" w:cs="宋体"/>
          <w:color w:val="auto"/>
          <w:sz w:val="24"/>
          <w:highlight w:val="none"/>
        </w:rPr>
      </w:pPr>
      <w:r>
        <w:rPr>
          <w:rFonts w:hint="eastAsia" w:ascii="宋体" w:hAnsi="宋体" w:cs="宋体"/>
          <w:color w:val="auto"/>
          <w:sz w:val="24"/>
          <w:highlight w:val="none"/>
        </w:rPr>
        <w:t>（2）供应商应当将与本项目有关的农民工工伤保险相关费用计算在磋商报价中。</w:t>
      </w:r>
    </w:p>
    <w:p w14:paraId="09AEC356">
      <w:pPr>
        <w:spacing w:line="360" w:lineRule="auto"/>
        <w:jc w:val="left"/>
        <w:rPr>
          <w:rFonts w:hint="eastAsia" w:ascii="宋体" w:hAnsi="宋体" w:cs="宋体"/>
          <w:b/>
          <w:color w:val="auto"/>
          <w:sz w:val="24"/>
          <w:highlight w:val="none"/>
        </w:rPr>
      </w:pPr>
    </w:p>
    <w:p w14:paraId="20278A7E">
      <w:pPr>
        <w:spacing w:line="360" w:lineRule="auto"/>
        <w:jc w:val="left"/>
        <w:rPr>
          <w:rFonts w:ascii="宋体" w:hAnsi="宋体" w:cs="宋体"/>
          <w:b/>
          <w:color w:val="auto"/>
          <w:sz w:val="24"/>
          <w:highlight w:val="none"/>
        </w:rPr>
      </w:pPr>
      <w:r>
        <w:rPr>
          <w:rFonts w:hint="eastAsia" w:ascii="宋体" w:hAnsi="宋体" w:cs="宋体"/>
          <w:b/>
          <w:color w:val="auto"/>
          <w:sz w:val="24"/>
          <w:highlight w:val="none"/>
        </w:rPr>
        <w:t>四、工程量清单报价要求</w:t>
      </w:r>
    </w:p>
    <w:p w14:paraId="018EA5D2">
      <w:pPr>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根据工程量格式报价，投标报价文件编制页应有</w:t>
      </w:r>
      <w:r>
        <w:rPr>
          <w:rFonts w:hint="eastAsia" w:ascii="宋体" w:hAnsi="宋体" w:cs="宋体"/>
          <w:b/>
          <w:color w:val="auto"/>
          <w:sz w:val="24"/>
          <w:highlight w:val="none"/>
          <w:u w:val="single"/>
        </w:rPr>
        <w:t>具有编制造价师签字并盖执业章</w:t>
      </w:r>
      <w:r>
        <w:rPr>
          <w:rFonts w:hint="eastAsia" w:ascii="宋体" w:hAnsi="宋体" w:cs="宋体"/>
          <w:b/>
          <w:color w:val="auto"/>
          <w:sz w:val="24"/>
          <w:highlight w:val="none"/>
        </w:rPr>
        <w:t>；详细内容具体详见工程量清单（另附）。</w:t>
      </w:r>
    </w:p>
    <w:p w14:paraId="4E836D8A">
      <w:pPr>
        <w:spacing w:line="360" w:lineRule="auto"/>
        <w:jc w:val="left"/>
        <w:rPr>
          <w:rFonts w:hint="eastAsia" w:ascii="宋体" w:hAnsi="宋体" w:cs="宋体"/>
          <w:b/>
          <w:color w:val="auto"/>
          <w:sz w:val="24"/>
          <w:highlight w:val="none"/>
        </w:rPr>
      </w:pPr>
    </w:p>
    <w:p w14:paraId="2B3E66AF">
      <w:pPr>
        <w:spacing w:line="360" w:lineRule="auto"/>
        <w:jc w:val="left"/>
        <w:rPr>
          <w:rFonts w:ascii="宋体" w:hAnsi="宋体" w:cs="宋体"/>
          <w:b/>
          <w:color w:val="auto"/>
          <w:sz w:val="24"/>
          <w:highlight w:val="none"/>
        </w:rPr>
      </w:pPr>
      <w:r>
        <w:rPr>
          <w:rFonts w:hint="eastAsia" w:ascii="宋体" w:hAnsi="宋体" w:cs="宋体"/>
          <w:b/>
          <w:color w:val="auto"/>
          <w:sz w:val="24"/>
          <w:highlight w:val="none"/>
        </w:rPr>
        <w:t>五、其他要求</w:t>
      </w:r>
    </w:p>
    <w:p w14:paraId="44CD9B0E">
      <w:pPr>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1）各供应商应先到工地踏勘以充分了解工地位置、现状情况、及任何其它足以影响磋商报价的情况，任何因忽视或误解工地情况而导致的行政处罚、索赔或工期延长申请将不获批准。本项目为综合单价合同，除了清单和图纸（如有）外，可能涉及一些零星工程，请根据工地踏勘的实际情况进行综合考虑报价。在规定工期内完成采购范围全部工程内容的所有费用，包括完成本工程的直接费、间接费、利润、税金、风险费等，后期均不做调整。</w:t>
      </w:r>
    </w:p>
    <w:p w14:paraId="487C7865">
      <w:pPr>
        <w:snapToGrid w:val="0"/>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（2）因工程施工要求或工程管理要求而产生的各项潜在费用支出均由供应商自行考虑并计入响应总价且一次性包干。</w:t>
      </w:r>
    </w:p>
    <w:p w14:paraId="52A184AD">
      <w:pPr>
        <w:snapToGrid w:val="0"/>
        <w:spacing w:line="360" w:lineRule="auto"/>
        <w:ind w:firstLine="422"/>
        <w:rPr>
          <w:rFonts w:ascii="宋体" w:hAnsi="宋体" w:cs="宋体"/>
          <w:color w:val="auto"/>
          <w:kern w:val="0"/>
          <w:sz w:val="24"/>
          <w:highlight w:val="none"/>
        </w:rPr>
      </w:pPr>
      <w:r>
        <w:rPr>
          <w:rFonts w:hint="eastAsia" w:ascii="宋体" w:hAnsi="宋体" w:cs="宋体"/>
          <w:color w:val="auto"/>
          <w:sz w:val="24"/>
          <w:highlight w:val="none"/>
        </w:rPr>
        <w:t>（3）</w:t>
      </w:r>
      <w:r>
        <w:rPr>
          <w:rFonts w:hint="eastAsia" w:ascii="宋体" w:hAnsi="宋体" w:cs="宋体"/>
          <w:color w:val="auto"/>
          <w:kern w:val="0"/>
          <w:sz w:val="24"/>
          <w:highlight w:val="none"/>
        </w:rPr>
        <w:t>本工程的组织措施费用为一次性包干使用，成交后不再作调整；技术措施费用中，按“项”计量的部分为一次性包干使用，成交后不再作调整。</w:t>
      </w:r>
    </w:p>
    <w:p w14:paraId="5ED09F10">
      <w:pPr>
        <w:snapToGrid w:val="0"/>
        <w:spacing w:line="360" w:lineRule="auto"/>
        <w:ind w:firstLine="422"/>
        <w:rPr>
          <w:rFonts w:ascii="宋体" w:hAnsi="宋体" w:cs="宋体"/>
          <w:color w:val="auto"/>
          <w:kern w:val="0"/>
          <w:sz w:val="24"/>
          <w:highlight w:val="none"/>
        </w:rPr>
      </w:pPr>
      <w:r>
        <w:rPr>
          <w:rFonts w:hint="eastAsia" w:ascii="宋体" w:hAnsi="宋体" w:cs="宋体"/>
          <w:color w:val="auto"/>
          <w:sz w:val="24"/>
          <w:highlight w:val="none"/>
        </w:rPr>
        <w:t>（4）</w:t>
      </w:r>
      <w:r>
        <w:rPr>
          <w:rFonts w:hint="eastAsia" w:ascii="宋体" w:hAnsi="宋体" w:cs="宋体"/>
          <w:color w:val="auto"/>
          <w:kern w:val="0"/>
          <w:sz w:val="24"/>
          <w:highlight w:val="none"/>
        </w:rPr>
        <w:t>与报价相关的其他事宜见本项目“工程量清单”。</w:t>
      </w:r>
    </w:p>
    <w:p w14:paraId="73A11415">
      <w:pPr>
        <w:snapToGrid w:val="0"/>
        <w:spacing w:line="360" w:lineRule="auto"/>
        <w:ind w:firstLine="422"/>
        <w:rPr>
          <w:rFonts w:ascii="宋体" w:hAnsi="宋体" w:cs="宋体"/>
          <w:color w:val="auto"/>
          <w:kern w:val="0"/>
          <w:sz w:val="24"/>
          <w:highlight w:val="none"/>
        </w:rPr>
      </w:pPr>
      <w:r>
        <w:rPr>
          <w:rFonts w:hint="eastAsia" w:ascii="宋体" w:hAnsi="宋体" w:cs="宋体"/>
          <w:color w:val="auto"/>
          <w:kern w:val="0"/>
          <w:sz w:val="24"/>
          <w:highlight w:val="none"/>
        </w:rPr>
        <w:t>（5）技术响应要求：</w:t>
      </w:r>
    </w:p>
    <w:p w14:paraId="2D0D8914">
      <w:pPr>
        <w:pStyle w:val="967"/>
        <w:numPr>
          <w:ilvl w:val="0"/>
          <w:numId w:val="5"/>
        </w:numPr>
        <w:spacing w:line="360" w:lineRule="auto"/>
        <w:ind w:firstLineChars="0"/>
        <w:jc w:val="left"/>
        <w:rPr>
          <w:rFonts w:ascii="宋体" w:hAnsi="宋体" w:cs="宋体"/>
          <w:color w:val="auto"/>
          <w:sz w:val="24"/>
          <w:highlight w:val="none"/>
        </w:rPr>
      </w:pPr>
      <w:r>
        <w:rPr>
          <w:rFonts w:hint="eastAsia" w:ascii="宋体" w:hAnsi="宋体" w:cs="宋体"/>
          <w:color w:val="auto"/>
          <w:sz w:val="24"/>
          <w:highlight w:val="none"/>
        </w:rPr>
        <w:t>供应商应当有全面、合理、针对本项目的工程施工技术方案和措施，此工程施工技术方案应当具有明确的针对性和可操作性，各项施工措施应当明确、到位；</w:t>
      </w:r>
    </w:p>
    <w:p w14:paraId="1859C70F">
      <w:pPr>
        <w:numPr>
          <w:ilvl w:val="0"/>
          <w:numId w:val="5"/>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供应商应当有全面、合理、针对本项目的施工组织设计，此施工组织设计应当具有明确的针对性和可操作性，施工组织设计应当明确、到位； </w:t>
      </w:r>
    </w:p>
    <w:p w14:paraId="125CD5C5">
      <w:pPr>
        <w:numPr>
          <w:ilvl w:val="0"/>
          <w:numId w:val="5"/>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供应商应当有全面、合理、针对本项目的主要施工方法，主要施工方法应当具有明确的针对性和可操作性，对施工的各道程序应当明确、到位；</w:t>
      </w:r>
    </w:p>
    <w:p w14:paraId="37379654">
      <w:pPr>
        <w:numPr>
          <w:ilvl w:val="0"/>
          <w:numId w:val="5"/>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供应商应当有特殊施工环境的具体措施、预防自然灾害(台风及防汛等)的组织和技术措施；</w:t>
      </w:r>
    </w:p>
    <w:p w14:paraId="50B441D2">
      <w:pPr>
        <w:numPr>
          <w:ilvl w:val="0"/>
          <w:numId w:val="5"/>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供应商应当有针对现场施工的具体降噪措施，包括针对教学的降噪措施和针对附近居民的降噪措施；</w:t>
      </w:r>
    </w:p>
    <w:p w14:paraId="4C678F23">
      <w:pPr>
        <w:numPr>
          <w:ilvl w:val="0"/>
          <w:numId w:val="5"/>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供应商应当有针对材料设备进场计划及施工计划，材料设备的进场计划应当包含材料设备进场的包装、运输、进场验收等各个环节，施工计划应当包含施工的各个环节；</w:t>
      </w:r>
    </w:p>
    <w:p w14:paraId="59BE91B6">
      <w:pPr>
        <w:numPr>
          <w:ilvl w:val="0"/>
          <w:numId w:val="5"/>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供应商应当有针对工程特点、难点的分析，并根据本工程项目的特点、难点提出有针对性的施工方案与措施；</w:t>
      </w:r>
    </w:p>
    <w:p w14:paraId="6B7E71FD">
      <w:pPr>
        <w:numPr>
          <w:ilvl w:val="0"/>
          <w:numId w:val="5"/>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供应商应当具有针对本项目施工特点的安全、文明施工及市政、市容、环保、消防等的保证措施；</w:t>
      </w:r>
    </w:p>
    <w:p w14:paraId="667BDB67">
      <w:pPr>
        <w:numPr>
          <w:ilvl w:val="0"/>
          <w:numId w:val="5"/>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供应商应当具有针对本项目的具体成品保护措施，措施应当完善、到位；</w:t>
      </w:r>
    </w:p>
    <w:p w14:paraId="3807F5F9">
      <w:pPr>
        <w:numPr>
          <w:ilvl w:val="0"/>
          <w:numId w:val="5"/>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供应商应当针对本项目施工工期要求编制进度计划及控制措施，包括人工的合理安排、工作量的前后分配等；</w:t>
      </w:r>
    </w:p>
    <w:p w14:paraId="33CC2051">
      <w:pPr>
        <w:numPr>
          <w:ilvl w:val="0"/>
          <w:numId w:val="5"/>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供应商应具有针对本项目的具体施工质量控制措施，质量控制措施应当完善、到位；</w:t>
      </w:r>
    </w:p>
    <w:p w14:paraId="66DCFE4A">
      <w:pPr>
        <w:numPr>
          <w:ilvl w:val="0"/>
          <w:numId w:val="5"/>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供应商拟投入的施工机具和检验仪器应当满足施工工程现场的要求，其中施工机械和设备应当同时考虑小型建设施工和室内装饰的需要；</w:t>
      </w:r>
    </w:p>
    <w:p w14:paraId="64D3A1FC">
      <w:pPr>
        <w:numPr>
          <w:ilvl w:val="0"/>
          <w:numId w:val="5"/>
        </w:numPr>
        <w:snapToGrid w:val="0"/>
        <w:spacing w:line="360" w:lineRule="auto"/>
        <w:ind w:firstLine="480" w:firstLineChars="200"/>
        <w:rPr>
          <w:rFonts w:hint="eastAsia" w:ascii="宋体" w:hAnsi="宋体" w:cs="宋体"/>
          <w:b/>
          <w:color w:val="auto"/>
          <w:sz w:val="24"/>
          <w:highlight w:val="none"/>
          <w:lang w:val="en-US" w:eastAsia="zh-CN"/>
        </w:rPr>
      </w:pPr>
      <w:r>
        <w:rPr>
          <w:rFonts w:hint="eastAsia" w:ascii="宋体" w:hAnsi="宋体" w:cs="宋体"/>
          <w:color w:val="auto"/>
          <w:sz w:val="24"/>
          <w:highlight w:val="none"/>
        </w:rPr>
        <w:t>供应商在缺陷责任期内应当具有完善的售后技术支持和服务体系，能够保证采购人在缺陷责任期内得到不少于本磋商文件所附工程质量保修书的相关服务要求。</w:t>
      </w:r>
    </w:p>
    <w:p w14:paraId="26A5DD87">
      <w:pPr>
        <w:numPr>
          <w:ilvl w:val="0"/>
          <w:numId w:val="0"/>
        </w:numPr>
        <w:snapToGrid w:val="0"/>
        <w:spacing w:line="360" w:lineRule="auto"/>
        <w:ind w:firstLine="480" w:firstLineChars="200"/>
        <w:rPr>
          <w:rFonts w:hint="eastAsia" w:ascii="宋体" w:hAnsi="宋体" w:cs="宋体"/>
          <w:b/>
          <w:color w:val="auto"/>
          <w:sz w:val="24"/>
          <w:highlight w:val="none"/>
          <w:lang w:val="en-US"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项目完成后，最终验收前，需要进行空气质量检测，并提供检测报告（检测费用包含在投标</w:t>
      </w:r>
      <w:r>
        <w:rPr>
          <w:rFonts w:hint="eastAsia" w:ascii="宋体" w:hAnsi="宋体" w:cs="宋体"/>
          <w:color w:val="auto"/>
          <w:kern w:val="0"/>
          <w:sz w:val="24"/>
          <w:highlight w:val="none"/>
          <w:lang w:val="en-US" w:eastAsia="zh-CN"/>
        </w:rPr>
        <w:t>总价</w:t>
      </w:r>
      <w:r>
        <w:rPr>
          <w:rFonts w:hint="eastAsia" w:ascii="宋体" w:hAnsi="宋体" w:cs="宋体"/>
          <w:color w:val="auto"/>
          <w:sz w:val="24"/>
          <w:highlight w:val="none"/>
          <w:lang w:val="en-US" w:eastAsia="zh-CN"/>
        </w:rPr>
        <w:t>内，请各投标人综合考虑）。</w:t>
      </w:r>
    </w:p>
    <w:p w14:paraId="212BF6B1">
      <w:pPr>
        <w:spacing w:line="360" w:lineRule="auto"/>
        <w:jc w:val="left"/>
        <w:rPr>
          <w:rFonts w:hint="eastAsia" w:ascii="宋体" w:hAnsi="宋体" w:cs="宋体"/>
          <w:b/>
          <w:color w:val="auto"/>
          <w:sz w:val="24"/>
          <w:highlight w:val="none"/>
          <w:lang w:val="en-US" w:eastAsia="zh-CN"/>
        </w:rPr>
      </w:pPr>
    </w:p>
    <w:p w14:paraId="55C466EB">
      <w:pPr>
        <w:spacing w:line="360" w:lineRule="auto"/>
        <w:jc w:val="left"/>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六</w:t>
      </w:r>
      <w:r>
        <w:rPr>
          <w:rFonts w:hint="eastAsia" w:ascii="宋体" w:hAnsi="宋体" w:cs="宋体"/>
          <w:b/>
          <w:color w:val="auto"/>
          <w:sz w:val="24"/>
          <w:highlight w:val="none"/>
        </w:rPr>
        <w:t>、工程量清单（另附）</w:t>
      </w:r>
    </w:p>
    <w:p w14:paraId="43A8F490">
      <w:pPr>
        <w:spacing w:line="360" w:lineRule="auto"/>
        <w:jc w:val="both"/>
        <w:rPr>
          <w:rFonts w:hint="eastAsia" w:ascii="宋体" w:hAnsi="宋体" w:cs="宋体"/>
          <w:b/>
          <w:color w:val="auto"/>
          <w:sz w:val="24"/>
          <w:highlight w:val="none"/>
          <w:lang w:val="en-US" w:eastAsia="zh-CN"/>
        </w:rPr>
      </w:pPr>
    </w:p>
    <w:p w14:paraId="5754A9F6">
      <w:pPr>
        <w:spacing w:line="360" w:lineRule="auto"/>
        <w:jc w:val="both"/>
        <w:rPr>
          <w:rFonts w:hint="eastAsia" w:ascii="宋体" w:hAnsi="宋体" w:cs="宋体"/>
          <w:b/>
          <w:color w:val="auto"/>
          <w:sz w:val="24"/>
          <w:highlight w:val="none"/>
        </w:rPr>
        <w:sectPr>
          <w:pgSz w:w="11907" w:h="16840"/>
          <w:pgMar w:top="1417" w:right="1417" w:bottom="1417" w:left="1417" w:header="851" w:footer="851" w:gutter="0"/>
          <w:pgNumType w:fmt="decimal"/>
          <w:cols w:space="720" w:num="1"/>
        </w:sectPr>
      </w:pPr>
      <w:r>
        <w:rPr>
          <w:rFonts w:hint="eastAsia" w:ascii="宋体" w:hAnsi="宋体" w:cs="宋体"/>
          <w:b/>
          <w:color w:val="auto"/>
          <w:sz w:val="24"/>
          <w:highlight w:val="none"/>
          <w:lang w:val="en-US" w:eastAsia="zh-CN"/>
        </w:rPr>
        <w:t>七</w:t>
      </w:r>
      <w:r>
        <w:rPr>
          <w:rFonts w:hint="eastAsia" w:ascii="宋体" w:hAnsi="宋体" w:cs="宋体"/>
          <w:b/>
          <w:color w:val="auto"/>
          <w:sz w:val="24"/>
          <w:highlight w:val="none"/>
        </w:rPr>
        <w:t>、图纸（另附）</w:t>
      </w:r>
      <w:r>
        <w:rPr>
          <w:rFonts w:hint="eastAsia" w:ascii="宋体" w:hAnsi="宋体" w:cs="宋体"/>
          <w:b/>
          <w:color w:val="auto"/>
          <w:sz w:val="24"/>
          <w:highlight w:val="none"/>
        </w:rPr>
        <w:br w:type="page"/>
      </w:r>
    </w:p>
    <w:p w14:paraId="4DAB1E83">
      <w:pPr>
        <w:spacing w:line="360" w:lineRule="auto"/>
        <w:jc w:val="center"/>
        <w:rPr>
          <w:rFonts w:ascii="宋体" w:hAnsi="宋体" w:cs="宋体"/>
          <w:b/>
          <w:color w:val="auto"/>
          <w:sz w:val="36"/>
          <w:szCs w:val="20"/>
          <w:highlight w:val="none"/>
        </w:rPr>
      </w:pPr>
      <w:r>
        <w:rPr>
          <w:rFonts w:hint="eastAsia" w:ascii="宋体" w:hAnsi="宋体" w:cs="宋体"/>
          <w:b/>
          <w:color w:val="auto"/>
          <w:sz w:val="36"/>
          <w:szCs w:val="20"/>
          <w:highlight w:val="none"/>
        </w:rPr>
        <w:t>第四部分</w:t>
      </w:r>
      <w:bookmarkStart w:id="32" w:name="_Toc184312084"/>
      <w:bookmarkEnd w:id="32"/>
      <w:bookmarkStart w:id="33" w:name="_Toc184308091"/>
      <w:bookmarkEnd w:id="33"/>
      <w:bookmarkStart w:id="34" w:name="_Toc184313278"/>
      <w:bookmarkEnd w:id="34"/>
      <w:bookmarkStart w:id="35" w:name="_Toc184314473"/>
      <w:bookmarkEnd w:id="35"/>
      <w:bookmarkStart w:id="36" w:name="_Toc184310335"/>
      <w:bookmarkEnd w:id="36"/>
      <w:bookmarkStart w:id="37" w:name="_Toc184310297"/>
      <w:bookmarkEnd w:id="37"/>
      <w:bookmarkStart w:id="38" w:name="_Toc184312100"/>
      <w:bookmarkEnd w:id="38"/>
      <w:bookmarkStart w:id="39" w:name="_Toc184310305"/>
      <w:bookmarkEnd w:id="39"/>
      <w:bookmarkStart w:id="40" w:name="_Toc184308050"/>
      <w:bookmarkEnd w:id="40"/>
      <w:bookmarkStart w:id="41" w:name="_Toc184312105"/>
      <w:bookmarkEnd w:id="41"/>
      <w:bookmarkStart w:id="42" w:name="_Toc184313270"/>
      <w:bookmarkEnd w:id="42"/>
      <w:bookmarkStart w:id="43" w:name="_Toc184314445"/>
      <w:bookmarkEnd w:id="43"/>
      <w:bookmarkStart w:id="44" w:name="_Toc184312135"/>
      <w:bookmarkEnd w:id="44"/>
      <w:bookmarkStart w:id="45" w:name="_Toc184308093"/>
      <w:bookmarkEnd w:id="45"/>
      <w:bookmarkStart w:id="46" w:name="_Toc184310302"/>
      <w:bookmarkEnd w:id="46"/>
      <w:bookmarkStart w:id="47" w:name="_Toc184310304"/>
      <w:bookmarkEnd w:id="47"/>
      <w:bookmarkStart w:id="48" w:name="_Toc184308105"/>
      <w:bookmarkEnd w:id="48"/>
      <w:bookmarkStart w:id="49" w:name="_Toc184314444"/>
      <w:bookmarkEnd w:id="49"/>
      <w:bookmarkStart w:id="50" w:name="_Toc184310277"/>
      <w:bookmarkEnd w:id="50"/>
      <w:bookmarkStart w:id="51" w:name="_Toc184308095"/>
      <w:bookmarkEnd w:id="51"/>
      <w:bookmarkStart w:id="52" w:name="_Toc184308078"/>
      <w:bookmarkEnd w:id="52"/>
      <w:bookmarkStart w:id="53" w:name="_Toc184310279"/>
      <w:bookmarkEnd w:id="53"/>
      <w:bookmarkStart w:id="54" w:name="_Toc184314441"/>
      <w:bookmarkEnd w:id="54"/>
      <w:bookmarkStart w:id="55" w:name="_Toc184314421"/>
      <w:bookmarkEnd w:id="55"/>
      <w:bookmarkStart w:id="56" w:name="_Toc184312079"/>
      <w:bookmarkEnd w:id="56"/>
      <w:bookmarkStart w:id="57" w:name="_Toc184308044"/>
      <w:bookmarkEnd w:id="57"/>
      <w:bookmarkStart w:id="58" w:name="_Toc184313240"/>
      <w:bookmarkEnd w:id="58"/>
      <w:bookmarkStart w:id="59" w:name="_Toc184314461"/>
      <w:bookmarkEnd w:id="59"/>
      <w:bookmarkStart w:id="60" w:name="_Toc184314423"/>
      <w:bookmarkEnd w:id="60"/>
      <w:bookmarkStart w:id="61" w:name="_Toc184308073"/>
      <w:bookmarkEnd w:id="61"/>
      <w:bookmarkStart w:id="62" w:name="_Toc184308071"/>
      <w:bookmarkEnd w:id="62"/>
      <w:bookmarkStart w:id="63" w:name="_Toc184310334"/>
      <w:bookmarkEnd w:id="63"/>
      <w:bookmarkStart w:id="64" w:name="_Toc184314429"/>
      <w:bookmarkEnd w:id="64"/>
      <w:bookmarkStart w:id="65" w:name="_Toc184310313"/>
      <w:bookmarkEnd w:id="65"/>
      <w:bookmarkStart w:id="66" w:name="_Toc184313301"/>
      <w:bookmarkEnd w:id="66"/>
      <w:bookmarkStart w:id="67" w:name="_Toc184314451"/>
      <w:bookmarkEnd w:id="67"/>
      <w:bookmarkStart w:id="68" w:name="_Toc184308043"/>
      <w:bookmarkEnd w:id="68"/>
      <w:bookmarkStart w:id="69" w:name="_Toc184314463"/>
      <w:bookmarkEnd w:id="69"/>
      <w:bookmarkStart w:id="70" w:name="_Toc184314454"/>
      <w:bookmarkEnd w:id="70"/>
      <w:bookmarkStart w:id="71" w:name="_Toc184310282"/>
      <w:bookmarkEnd w:id="71"/>
      <w:bookmarkStart w:id="72" w:name="_Toc184312115"/>
      <w:bookmarkEnd w:id="72"/>
      <w:bookmarkStart w:id="73" w:name="_Toc184312120"/>
      <w:bookmarkEnd w:id="73"/>
      <w:bookmarkStart w:id="74" w:name="_Toc184310325"/>
      <w:bookmarkEnd w:id="74"/>
      <w:bookmarkStart w:id="75" w:name="_Toc184313277"/>
      <w:bookmarkEnd w:id="75"/>
      <w:bookmarkStart w:id="76" w:name="_Toc184308090"/>
      <w:bookmarkEnd w:id="76"/>
      <w:bookmarkStart w:id="77" w:name="_Toc184313297"/>
      <w:bookmarkEnd w:id="77"/>
      <w:bookmarkStart w:id="78" w:name="_Toc184308051"/>
      <w:bookmarkEnd w:id="78"/>
      <w:bookmarkStart w:id="79" w:name="_Toc184312102"/>
      <w:bookmarkEnd w:id="79"/>
      <w:bookmarkStart w:id="80" w:name="_Toc184314458"/>
      <w:bookmarkEnd w:id="80"/>
      <w:bookmarkStart w:id="81" w:name="_Toc184312139"/>
      <w:bookmarkEnd w:id="81"/>
      <w:bookmarkStart w:id="82" w:name="_Toc184310343"/>
      <w:bookmarkEnd w:id="82"/>
      <w:bookmarkStart w:id="83" w:name="_Toc184314420"/>
      <w:bookmarkEnd w:id="83"/>
      <w:bookmarkStart w:id="84" w:name="_Toc184310327"/>
      <w:bookmarkEnd w:id="84"/>
      <w:bookmarkStart w:id="85" w:name="_Toc184313274"/>
      <w:bookmarkEnd w:id="85"/>
      <w:bookmarkStart w:id="86" w:name="_Toc184313276"/>
      <w:bookmarkEnd w:id="86"/>
      <w:bookmarkStart w:id="87" w:name="_Toc184312119"/>
      <w:bookmarkEnd w:id="87"/>
      <w:bookmarkStart w:id="88" w:name="_Toc184310344"/>
      <w:bookmarkEnd w:id="88"/>
      <w:bookmarkStart w:id="89" w:name="_Toc184310308"/>
      <w:bookmarkEnd w:id="89"/>
      <w:bookmarkStart w:id="90" w:name="_Toc184314482"/>
      <w:bookmarkEnd w:id="90"/>
      <w:bookmarkStart w:id="91" w:name="_Toc184313304"/>
      <w:bookmarkEnd w:id="91"/>
      <w:bookmarkStart w:id="92" w:name="_Toc184312117"/>
      <w:bookmarkEnd w:id="92"/>
      <w:bookmarkStart w:id="93" w:name="_Toc184314424"/>
      <w:bookmarkEnd w:id="93"/>
      <w:bookmarkStart w:id="94" w:name="_Toc184313292"/>
      <w:bookmarkEnd w:id="94"/>
      <w:bookmarkStart w:id="95" w:name="_Toc184312127"/>
      <w:bookmarkEnd w:id="95"/>
      <w:bookmarkStart w:id="96" w:name="_Toc184312097"/>
      <w:bookmarkEnd w:id="96"/>
      <w:bookmarkStart w:id="97" w:name="_Toc184312092"/>
      <w:bookmarkEnd w:id="97"/>
      <w:bookmarkStart w:id="98" w:name="_Toc184310284"/>
      <w:bookmarkEnd w:id="98"/>
      <w:bookmarkStart w:id="99" w:name="_Toc184310336"/>
      <w:bookmarkEnd w:id="99"/>
      <w:bookmarkStart w:id="100" w:name="_Toc184308070"/>
      <w:bookmarkEnd w:id="100"/>
      <w:bookmarkStart w:id="101" w:name="_Toc184308097"/>
      <w:bookmarkEnd w:id="101"/>
      <w:bookmarkStart w:id="102" w:name="_Toc184312080"/>
      <w:bookmarkEnd w:id="102"/>
      <w:bookmarkStart w:id="103" w:name="_Toc184308075"/>
      <w:bookmarkEnd w:id="103"/>
      <w:bookmarkStart w:id="104" w:name="_Toc184310317"/>
      <w:bookmarkEnd w:id="104"/>
      <w:bookmarkStart w:id="105" w:name="_Toc184308082"/>
      <w:bookmarkEnd w:id="105"/>
      <w:bookmarkStart w:id="106" w:name="_Toc184308104"/>
      <w:bookmarkEnd w:id="106"/>
      <w:bookmarkStart w:id="107" w:name="_Toc184314474"/>
      <w:bookmarkEnd w:id="107"/>
      <w:bookmarkStart w:id="108" w:name="_Toc184313285"/>
      <w:bookmarkEnd w:id="108"/>
      <w:bookmarkStart w:id="109" w:name="_Toc184310321"/>
      <w:bookmarkEnd w:id="109"/>
      <w:bookmarkStart w:id="110" w:name="_Toc184308037"/>
      <w:bookmarkEnd w:id="110"/>
      <w:bookmarkStart w:id="111" w:name="_Toc184310296"/>
      <w:bookmarkEnd w:id="111"/>
      <w:bookmarkStart w:id="112" w:name="_Toc184308103"/>
      <w:bookmarkEnd w:id="112"/>
      <w:bookmarkStart w:id="113" w:name="_Toc184313241"/>
      <w:bookmarkEnd w:id="113"/>
      <w:bookmarkStart w:id="114" w:name="_Toc184313282"/>
      <w:bookmarkEnd w:id="114"/>
      <w:bookmarkStart w:id="115" w:name="_Toc184308048"/>
      <w:bookmarkEnd w:id="115"/>
      <w:bookmarkStart w:id="116" w:name="_Toc184308039"/>
      <w:bookmarkEnd w:id="116"/>
      <w:bookmarkStart w:id="117" w:name="_Toc184313243"/>
      <w:bookmarkEnd w:id="117"/>
      <w:bookmarkStart w:id="118" w:name="_Toc184310295"/>
      <w:bookmarkEnd w:id="118"/>
      <w:bookmarkStart w:id="119" w:name="_Toc184313255"/>
      <w:bookmarkEnd w:id="119"/>
      <w:bookmarkStart w:id="120" w:name="_Toc184313308"/>
      <w:bookmarkEnd w:id="120"/>
      <w:bookmarkStart w:id="121" w:name="_Toc184310316"/>
      <w:bookmarkEnd w:id="121"/>
      <w:bookmarkStart w:id="122" w:name="_Toc184313298"/>
      <w:bookmarkEnd w:id="122"/>
      <w:bookmarkStart w:id="123" w:name="_Toc184312128"/>
      <w:bookmarkEnd w:id="123"/>
      <w:bookmarkStart w:id="124" w:name="_Toc184308101"/>
      <w:bookmarkEnd w:id="124"/>
      <w:bookmarkStart w:id="125" w:name="_Toc184314430"/>
      <w:bookmarkEnd w:id="125"/>
      <w:bookmarkStart w:id="126" w:name="_Toc184312090"/>
      <w:bookmarkEnd w:id="126"/>
      <w:bookmarkStart w:id="127" w:name="_Toc184313268"/>
      <w:bookmarkEnd w:id="127"/>
      <w:bookmarkStart w:id="128" w:name="_Toc184312121"/>
      <w:bookmarkEnd w:id="128"/>
      <w:bookmarkStart w:id="129" w:name="_Toc184312070"/>
      <w:bookmarkEnd w:id="129"/>
      <w:bookmarkStart w:id="130" w:name="_Toc184312094"/>
      <w:bookmarkEnd w:id="130"/>
      <w:bookmarkStart w:id="131" w:name="_Toc184308042"/>
      <w:bookmarkEnd w:id="131"/>
      <w:bookmarkStart w:id="132" w:name="_Toc184313280"/>
      <w:bookmarkEnd w:id="132"/>
      <w:bookmarkStart w:id="133" w:name="_Toc184310280"/>
      <w:bookmarkEnd w:id="133"/>
      <w:bookmarkStart w:id="134" w:name="_Toc184312122"/>
      <w:bookmarkEnd w:id="134"/>
      <w:bookmarkStart w:id="135" w:name="_Toc184308094"/>
      <w:bookmarkEnd w:id="135"/>
      <w:bookmarkStart w:id="136" w:name="_Toc184310311"/>
      <w:bookmarkEnd w:id="136"/>
      <w:bookmarkStart w:id="137" w:name="_Toc184310306"/>
      <w:bookmarkEnd w:id="137"/>
      <w:bookmarkStart w:id="138" w:name="_Toc184313267"/>
      <w:bookmarkEnd w:id="138"/>
      <w:bookmarkStart w:id="139" w:name="_Toc184314478"/>
      <w:bookmarkEnd w:id="139"/>
      <w:bookmarkStart w:id="140" w:name="_Toc184310272"/>
      <w:bookmarkEnd w:id="140"/>
      <w:bookmarkStart w:id="141" w:name="_Toc184313287"/>
      <w:bookmarkEnd w:id="141"/>
      <w:bookmarkStart w:id="142" w:name="_Toc184313275"/>
      <w:bookmarkEnd w:id="142"/>
      <w:bookmarkStart w:id="143" w:name="_Toc184313291"/>
      <w:bookmarkEnd w:id="143"/>
      <w:bookmarkStart w:id="144" w:name="_Toc184310314"/>
      <w:bookmarkEnd w:id="144"/>
      <w:bookmarkStart w:id="145" w:name="_Toc184312089"/>
      <w:bookmarkEnd w:id="145"/>
      <w:bookmarkStart w:id="146" w:name="_Toc184313306"/>
      <w:bookmarkEnd w:id="146"/>
      <w:bookmarkStart w:id="147" w:name="_Toc184313288"/>
      <w:bookmarkEnd w:id="147"/>
      <w:bookmarkStart w:id="148" w:name="_Toc184314418"/>
      <w:bookmarkEnd w:id="148"/>
      <w:bookmarkStart w:id="149" w:name="_Toc184310293"/>
      <w:bookmarkEnd w:id="149"/>
      <w:bookmarkStart w:id="150" w:name="_Toc184310292"/>
      <w:bookmarkEnd w:id="150"/>
      <w:bookmarkStart w:id="151" w:name="_Toc184312131"/>
      <w:bookmarkEnd w:id="151"/>
      <w:bookmarkStart w:id="152" w:name="_Toc184313289"/>
      <w:bookmarkEnd w:id="152"/>
      <w:bookmarkStart w:id="153" w:name="_Toc184314427"/>
      <w:bookmarkEnd w:id="153"/>
      <w:bookmarkStart w:id="154" w:name="_Toc184310322"/>
      <w:bookmarkEnd w:id="154"/>
      <w:bookmarkStart w:id="155" w:name="_Toc184308072"/>
      <w:bookmarkEnd w:id="155"/>
      <w:bookmarkStart w:id="156" w:name="_Toc184312134"/>
      <w:bookmarkEnd w:id="156"/>
      <w:bookmarkStart w:id="157" w:name="_Toc184313303"/>
      <w:bookmarkEnd w:id="157"/>
      <w:bookmarkStart w:id="158" w:name="_Toc184312136"/>
      <w:bookmarkEnd w:id="158"/>
      <w:bookmarkStart w:id="159" w:name="_Toc184310283"/>
      <w:bookmarkEnd w:id="159"/>
      <w:bookmarkStart w:id="160" w:name="_Toc184312137"/>
      <w:bookmarkEnd w:id="160"/>
      <w:bookmarkStart w:id="161" w:name="_Toc184314466"/>
      <w:bookmarkEnd w:id="161"/>
      <w:bookmarkStart w:id="162" w:name="_Toc184310281"/>
      <w:bookmarkEnd w:id="162"/>
      <w:bookmarkStart w:id="163" w:name="_Toc184313281"/>
      <w:bookmarkEnd w:id="163"/>
      <w:bookmarkStart w:id="164" w:name="_Toc184314450"/>
      <w:bookmarkEnd w:id="164"/>
      <w:bookmarkStart w:id="165" w:name="_Toc184312110"/>
      <w:bookmarkEnd w:id="165"/>
      <w:bookmarkStart w:id="166" w:name="_Toc184310332"/>
      <w:bookmarkEnd w:id="166"/>
      <w:bookmarkStart w:id="167" w:name="_Toc184312107"/>
      <w:bookmarkEnd w:id="167"/>
      <w:bookmarkStart w:id="168" w:name="_Toc184312106"/>
      <w:bookmarkEnd w:id="168"/>
      <w:bookmarkStart w:id="169" w:name="_Toc184308049"/>
      <w:bookmarkEnd w:id="169"/>
      <w:bookmarkStart w:id="170" w:name="_Toc184314417"/>
      <w:bookmarkEnd w:id="170"/>
      <w:bookmarkStart w:id="171" w:name="_Toc184308079"/>
      <w:bookmarkEnd w:id="171"/>
      <w:bookmarkStart w:id="172" w:name="_Toc184308087"/>
      <w:bookmarkEnd w:id="172"/>
      <w:bookmarkStart w:id="173" w:name="_Toc184310307"/>
      <w:bookmarkEnd w:id="173"/>
      <w:bookmarkStart w:id="174" w:name="_Toc184314468"/>
      <w:bookmarkEnd w:id="174"/>
      <w:bookmarkStart w:id="175" w:name="_Toc184314480"/>
      <w:bookmarkEnd w:id="175"/>
      <w:bookmarkStart w:id="176" w:name="_Toc184313290"/>
      <w:bookmarkEnd w:id="176"/>
      <w:bookmarkStart w:id="177" w:name="_Toc184312130"/>
      <w:bookmarkEnd w:id="177"/>
      <w:bookmarkStart w:id="178" w:name="_Toc184314470"/>
      <w:bookmarkEnd w:id="178"/>
      <w:bookmarkStart w:id="179" w:name="_Toc184312118"/>
      <w:bookmarkEnd w:id="179"/>
      <w:bookmarkStart w:id="180" w:name="_Toc184308054"/>
      <w:bookmarkEnd w:id="180"/>
      <w:bookmarkStart w:id="181" w:name="_Toc184312103"/>
      <w:bookmarkEnd w:id="181"/>
      <w:bookmarkStart w:id="182" w:name="_Toc184314446"/>
      <w:bookmarkEnd w:id="182"/>
      <w:bookmarkStart w:id="183" w:name="_Toc184314419"/>
      <w:bookmarkEnd w:id="183"/>
      <w:bookmarkStart w:id="184" w:name="_Toc184312096"/>
      <w:bookmarkEnd w:id="184"/>
      <w:bookmarkStart w:id="185" w:name="_Toc184313286"/>
      <w:bookmarkEnd w:id="185"/>
      <w:bookmarkStart w:id="186" w:name="_Toc184310326"/>
      <w:bookmarkEnd w:id="186"/>
      <w:bookmarkStart w:id="187" w:name="_Toc184314472"/>
      <w:bookmarkEnd w:id="187"/>
      <w:bookmarkStart w:id="188" w:name="_Toc184313309"/>
      <w:bookmarkEnd w:id="188"/>
      <w:bookmarkStart w:id="189" w:name="_Toc184308065"/>
      <w:bookmarkEnd w:id="189"/>
      <w:bookmarkStart w:id="190" w:name="_Toc184312099"/>
      <w:bookmarkEnd w:id="190"/>
      <w:bookmarkStart w:id="191" w:name="_Toc184312104"/>
      <w:bookmarkEnd w:id="191"/>
      <w:bookmarkStart w:id="192" w:name="_Toc184308077"/>
      <w:bookmarkEnd w:id="192"/>
      <w:bookmarkStart w:id="193" w:name="_Toc184310330"/>
      <w:bookmarkEnd w:id="193"/>
      <w:bookmarkStart w:id="194" w:name="_Toc184310331"/>
      <w:bookmarkEnd w:id="194"/>
      <w:bookmarkStart w:id="195" w:name="_Toc184314428"/>
      <w:bookmarkEnd w:id="195"/>
      <w:bookmarkStart w:id="196" w:name="_Toc184313259"/>
      <w:bookmarkEnd w:id="196"/>
      <w:bookmarkStart w:id="197" w:name="_Toc184312114"/>
      <w:bookmarkEnd w:id="197"/>
      <w:bookmarkStart w:id="198" w:name="_Toc184308083"/>
      <w:bookmarkEnd w:id="198"/>
      <w:bookmarkStart w:id="199" w:name="_Toc184310329"/>
      <w:bookmarkEnd w:id="199"/>
      <w:bookmarkStart w:id="200" w:name="_Toc184314481"/>
      <w:bookmarkEnd w:id="200"/>
      <w:bookmarkStart w:id="201" w:name="_Toc184310286"/>
      <w:bookmarkEnd w:id="201"/>
      <w:bookmarkStart w:id="202" w:name="_Toc184313294"/>
      <w:bookmarkEnd w:id="202"/>
      <w:bookmarkStart w:id="203" w:name="_Toc184312126"/>
      <w:bookmarkEnd w:id="203"/>
      <w:bookmarkStart w:id="204" w:name="_Toc184310298"/>
      <w:bookmarkEnd w:id="204"/>
      <w:bookmarkStart w:id="205" w:name="_Toc184312081"/>
      <w:bookmarkEnd w:id="205"/>
      <w:bookmarkStart w:id="206" w:name="_Toc184313284"/>
      <w:bookmarkEnd w:id="206"/>
      <w:bookmarkStart w:id="207" w:name="_Toc184313266"/>
      <w:bookmarkEnd w:id="207"/>
      <w:bookmarkStart w:id="208" w:name="_Toc184308038"/>
      <w:bookmarkEnd w:id="208"/>
      <w:bookmarkStart w:id="209" w:name="_Toc184310300"/>
      <w:bookmarkEnd w:id="209"/>
      <w:bookmarkStart w:id="210" w:name="_Toc184312109"/>
      <w:bookmarkEnd w:id="210"/>
      <w:bookmarkStart w:id="211" w:name="_Toc184308058"/>
      <w:bookmarkEnd w:id="211"/>
      <w:bookmarkStart w:id="212" w:name="_Toc184310287"/>
      <w:bookmarkEnd w:id="212"/>
      <w:bookmarkStart w:id="213" w:name="_Toc184313260"/>
      <w:bookmarkEnd w:id="213"/>
      <w:bookmarkStart w:id="214" w:name="_Toc184313256"/>
      <w:bookmarkEnd w:id="214"/>
      <w:bookmarkStart w:id="215" w:name="_Toc184313248"/>
      <w:bookmarkEnd w:id="215"/>
      <w:bookmarkStart w:id="216" w:name="_Toc184308086"/>
      <w:bookmarkEnd w:id="216"/>
      <w:bookmarkStart w:id="217" w:name="_Toc184308036"/>
      <w:bookmarkEnd w:id="217"/>
      <w:bookmarkStart w:id="218" w:name="_Toc184314411"/>
      <w:bookmarkEnd w:id="218"/>
      <w:bookmarkStart w:id="219" w:name="_Toc184310309"/>
      <w:bookmarkEnd w:id="219"/>
      <w:bookmarkStart w:id="220" w:name="_Toc184310278"/>
      <w:bookmarkEnd w:id="220"/>
      <w:bookmarkStart w:id="221" w:name="_Toc184310339"/>
      <w:bookmarkEnd w:id="221"/>
      <w:bookmarkStart w:id="222" w:name="_Toc184312093"/>
      <w:bookmarkEnd w:id="222"/>
      <w:bookmarkStart w:id="223" w:name="_Toc184314434"/>
      <w:bookmarkEnd w:id="223"/>
      <w:bookmarkStart w:id="224" w:name="_Toc184308099"/>
      <w:bookmarkEnd w:id="224"/>
      <w:bookmarkStart w:id="225" w:name="_Toc184313300"/>
      <w:bookmarkEnd w:id="225"/>
      <w:bookmarkStart w:id="226" w:name="_Toc184310312"/>
      <w:bookmarkEnd w:id="226"/>
      <w:bookmarkStart w:id="227" w:name="_Toc184310328"/>
      <w:bookmarkEnd w:id="227"/>
      <w:bookmarkStart w:id="228" w:name="_Toc184310333"/>
      <w:bookmarkEnd w:id="228"/>
      <w:bookmarkStart w:id="229" w:name="_Toc184312091"/>
      <w:bookmarkEnd w:id="229"/>
      <w:bookmarkStart w:id="230" w:name="_Toc184314433"/>
      <w:bookmarkEnd w:id="230"/>
      <w:bookmarkStart w:id="231" w:name="_Toc184313265"/>
      <w:bookmarkEnd w:id="231"/>
      <w:bookmarkStart w:id="232" w:name="_Toc184313295"/>
      <w:bookmarkEnd w:id="232"/>
      <w:bookmarkStart w:id="233" w:name="_Toc184308061"/>
      <w:bookmarkEnd w:id="233"/>
      <w:bookmarkStart w:id="234" w:name="_Toc184308040"/>
      <w:bookmarkEnd w:id="234"/>
      <w:bookmarkStart w:id="235" w:name="_Toc184314455"/>
      <w:bookmarkEnd w:id="235"/>
      <w:bookmarkStart w:id="236" w:name="_Toc184308047"/>
      <w:bookmarkEnd w:id="236"/>
      <w:bookmarkStart w:id="237" w:name="_Toc184314449"/>
      <w:bookmarkEnd w:id="237"/>
      <w:bookmarkStart w:id="238" w:name="_Toc184314475"/>
      <w:bookmarkEnd w:id="238"/>
      <w:bookmarkStart w:id="239" w:name="_Toc184310275"/>
      <w:bookmarkEnd w:id="239"/>
      <w:bookmarkStart w:id="240" w:name="_Toc184312116"/>
      <w:bookmarkEnd w:id="240"/>
      <w:bookmarkStart w:id="241" w:name="_Toc184312113"/>
      <w:bookmarkEnd w:id="241"/>
      <w:bookmarkStart w:id="242" w:name="_Toc184312077"/>
      <w:bookmarkEnd w:id="242"/>
      <w:bookmarkStart w:id="243" w:name="_Toc184310342"/>
      <w:bookmarkEnd w:id="243"/>
      <w:bookmarkStart w:id="244" w:name="_Toc184312132"/>
      <w:bookmarkEnd w:id="244"/>
      <w:bookmarkStart w:id="245" w:name="_Toc184310320"/>
      <w:bookmarkEnd w:id="245"/>
      <w:bookmarkStart w:id="246" w:name="_Toc184314460"/>
      <w:bookmarkEnd w:id="246"/>
      <w:bookmarkStart w:id="247" w:name="_Toc184313263"/>
      <w:bookmarkEnd w:id="247"/>
      <w:bookmarkStart w:id="248" w:name="_Toc184314459"/>
      <w:bookmarkEnd w:id="248"/>
      <w:bookmarkStart w:id="249" w:name="_Toc184308056"/>
      <w:bookmarkEnd w:id="249"/>
      <w:bookmarkStart w:id="250" w:name="_Toc184312085"/>
      <w:bookmarkEnd w:id="250"/>
      <w:bookmarkStart w:id="251" w:name="_Toc184308053"/>
      <w:bookmarkEnd w:id="251"/>
      <w:bookmarkStart w:id="252" w:name="_Toc184313283"/>
      <w:bookmarkEnd w:id="252"/>
      <w:bookmarkStart w:id="253" w:name="_Toc184313271"/>
      <w:bookmarkEnd w:id="253"/>
      <w:bookmarkStart w:id="254" w:name="_Toc184313246"/>
      <w:bookmarkEnd w:id="254"/>
      <w:bookmarkStart w:id="255" w:name="_Toc184310310"/>
      <w:bookmarkEnd w:id="255"/>
      <w:bookmarkStart w:id="256" w:name="_Toc184308045"/>
      <w:bookmarkEnd w:id="256"/>
      <w:bookmarkStart w:id="257" w:name="_Toc184310318"/>
      <w:bookmarkEnd w:id="257"/>
      <w:bookmarkStart w:id="258" w:name="_Toc184308081"/>
      <w:bookmarkEnd w:id="258"/>
      <w:bookmarkStart w:id="259" w:name="_Toc184312124"/>
      <w:bookmarkEnd w:id="259"/>
      <w:bookmarkStart w:id="260" w:name="_Toc184308107"/>
      <w:bookmarkEnd w:id="260"/>
      <w:bookmarkStart w:id="261" w:name="_Toc184312069"/>
      <w:bookmarkEnd w:id="261"/>
      <w:bookmarkStart w:id="262" w:name="_Toc184308057"/>
      <w:bookmarkEnd w:id="262"/>
      <w:bookmarkStart w:id="263" w:name="_Toc184308102"/>
      <w:bookmarkEnd w:id="263"/>
      <w:bookmarkStart w:id="264" w:name="_Toc184313296"/>
      <w:bookmarkEnd w:id="264"/>
      <w:bookmarkStart w:id="265" w:name="_Toc184308066"/>
      <w:bookmarkEnd w:id="265"/>
      <w:bookmarkStart w:id="266" w:name="_Toc184314469"/>
      <w:bookmarkEnd w:id="266"/>
      <w:bookmarkStart w:id="267" w:name="_Toc184314462"/>
      <w:bookmarkEnd w:id="267"/>
      <w:bookmarkStart w:id="268" w:name="_Toc184314422"/>
      <w:bookmarkEnd w:id="268"/>
      <w:bookmarkStart w:id="269" w:name="_Toc184310337"/>
      <w:bookmarkEnd w:id="269"/>
      <w:bookmarkStart w:id="270" w:name="_Toc184313273"/>
      <w:bookmarkEnd w:id="270"/>
      <w:bookmarkStart w:id="271" w:name="_Toc184312123"/>
      <w:bookmarkEnd w:id="271"/>
      <w:bookmarkStart w:id="272" w:name="_Toc184312125"/>
      <w:bookmarkEnd w:id="272"/>
      <w:bookmarkStart w:id="273" w:name="_Toc184313279"/>
      <w:bookmarkEnd w:id="273"/>
      <w:bookmarkStart w:id="274" w:name="_Toc184308100"/>
      <w:bookmarkEnd w:id="274"/>
      <w:bookmarkStart w:id="275" w:name="_Toc184310324"/>
      <w:bookmarkEnd w:id="275"/>
      <w:bookmarkStart w:id="276" w:name="_Toc184310289"/>
      <w:bookmarkEnd w:id="276"/>
      <w:bookmarkStart w:id="277" w:name="_Toc184314439"/>
      <w:bookmarkEnd w:id="277"/>
      <w:bookmarkStart w:id="278" w:name="_Toc184314435"/>
      <w:bookmarkEnd w:id="278"/>
      <w:bookmarkStart w:id="279" w:name="_Toc184310288"/>
      <w:bookmarkEnd w:id="279"/>
      <w:bookmarkStart w:id="280" w:name="_Toc184312071"/>
      <w:bookmarkEnd w:id="280"/>
      <w:bookmarkStart w:id="281" w:name="_Toc184314464"/>
      <w:bookmarkEnd w:id="281"/>
      <w:bookmarkStart w:id="282" w:name="_Toc184314456"/>
      <w:bookmarkEnd w:id="282"/>
      <w:bookmarkStart w:id="283" w:name="_Toc184312108"/>
      <w:bookmarkEnd w:id="283"/>
      <w:bookmarkStart w:id="284" w:name="_Toc184308074"/>
      <w:bookmarkEnd w:id="284"/>
      <w:bookmarkStart w:id="285" w:name="_Toc184312076"/>
      <w:bookmarkEnd w:id="285"/>
      <w:bookmarkStart w:id="286" w:name="_Toc184312111"/>
      <w:bookmarkEnd w:id="286"/>
      <w:bookmarkStart w:id="287" w:name="_Toc184314440"/>
      <w:bookmarkEnd w:id="287"/>
      <w:bookmarkStart w:id="288" w:name="_Toc184312078"/>
      <w:bookmarkEnd w:id="288"/>
      <w:bookmarkStart w:id="289" w:name="_Toc184312133"/>
      <w:bookmarkEnd w:id="289"/>
      <w:bookmarkStart w:id="290" w:name="_Toc184314438"/>
      <w:bookmarkEnd w:id="290"/>
      <w:bookmarkStart w:id="291" w:name="_Toc184308080"/>
      <w:bookmarkEnd w:id="291"/>
      <w:bookmarkStart w:id="292" w:name="_Toc184313239"/>
      <w:bookmarkEnd w:id="292"/>
      <w:bookmarkStart w:id="293" w:name="_Toc184314443"/>
      <w:bookmarkEnd w:id="293"/>
      <w:bookmarkStart w:id="294" w:name="_Toc184314465"/>
      <w:bookmarkEnd w:id="294"/>
      <w:bookmarkStart w:id="295" w:name="_Toc184310341"/>
      <w:bookmarkEnd w:id="295"/>
      <w:bookmarkStart w:id="296" w:name="_Toc184308089"/>
      <w:bookmarkEnd w:id="296"/>
      <w:bookmarkStart w:id="297" w:name="_Toc184313264"/>
      <w:bookmarkEnd w:id="297"/>
      <w:bookmarkStart w:id="298" w:name="_Toc184313272"/>
      <w:bookmarkEnd w:id="298"/>
      <w:bookmarkStart w:id="299" w:name="_Toc184308055"/>
      <w:bookmarkEnd w:id="299"/>
      <w:bookmarkStart w:id="300" w:name="_Toc184314436"/>
      <w:bookmarkEnd w:id="300"/>
      <w:bookmarkStart w:id="301" w:name="_Toc184308096"/>
      <w:bookmarkEnd w:id="301"/>
      <w:bookmarkStart w:id="302" w:name="_Toc184312067"/>
      <w:bookmarkEnd w:id="302"/>
      <w:bookmarkStart w:id="303" w:name="_Toc184314410"/>
      <w:bookmarkEnd w:id="303"/>
      <w:bookmarkStart w:id="304" w:name="_Toc184314479"/>
      <w:bookmarkEnd w:id="304"/>
      <w:bookmarkStart w:id="305" w:name="_Toc184313261"/>
      <w:bookmarkEnd w:id="305"/>
      <w:bookmarkStart w:id="306" w:name="_Toc184308067"/>
      <w:bookmarkEnd w:id="306"/>
      <w:bookmarkStart w:id="307" w:name="_Toc184314412"/>
      <w:bookmarkEnd w:id="307"/>
      <w:bookmarkStart w:id="308" w:name="_Toc184313307"/>
      <w:bookmarkEnd w:id="308"/>
      <w:bookmarkStart w:id="309" w:name="_Toc184314432"/>
      <w:bookmarkEnd w:id="309"/>
      <w:bookmarkStart w:id="310" w:name="_Toc184312087"/>
      <w:bookmarkEnd w:id="310"/>
      <w:bookmarkStart w:id="311" w:name="_Toc184314431"/>
      <w:bookmarkEnd w:id="311"/>
      <w:bookmarkStart w:id="312" w:name="_Toc184313269"/>
      <w:bookmarkEnd w:id="312"/>
      <w:bookmarkStart w:id="313" w:name="_Toc184310323"/>
      <w:bookmarkEnd w:id="313"/>
      <w:bookmarkStart w:id="314" w:name="_Toc184313254"/>
      <w:bookmarkEnd w:id="314"/>
      <w:bookmarkStart w:id="315" w:name="_Toc184313310"/>
      <w:bookmarkEnd w:id="315"/>
      <w:bookmarkStart w:id="316" w:name="_Toc184314471"/>
      <w:bookmarkEnd w:id="316"/>
      <w:bookmarkStart w:id="317" w:name="_Toc184313257"/>
      <w:bookmarkEnd w:id="317"/>
      <w:bookmarkStart w:id="318" w:name="_Toc184314442"/>
      <w:bookmarkEnd w:id="318"/>
      <w:bookmarkStart w:id="319" w:name="_Toc184313252"/>
      <w:bookmarkEnd w:id="319"/>
      <w:bookmarkStart w:id="320" w:name="_Toc184312112"/>
      <w:bookmarkEnd w:id="320"/>
      <w:bookmarkStart w:id="321" w:name="_Toc184314415"/>
      <w:bookmarkEnd w:id="321"/>
      <w:bookmarkStart w:id="322" w:name="_Toc184308068"/>
      <w:bookmarkEnd w:id="322"/>
      <w:bookmarkStart w:id="323" w:name="_Toc184313245"/>
      <w:bookmarkEnd w:id="323"/>
      <w:bookmarkStart w:id="324" w:name="_Toc184314425"/>
      <w:bookmarkEnd w:id="324"/>
      <w:bookmarkStart w:id="325" w:name="_Toc184312095"/>
      <w:bookmarkEnd w:id="325"/>
      <w:bookmarkStart w:id="326" w:name="_Toc184308041"/>
      <w:bookmarkEnd w:id="326"/>
      <w:bookmarkStart w:id="327" w:name="_Toc184314413"/>
      <w:bookmarkEnd w:id="327"/>
      <w:bookmarkStart w:id="328" w:name="_Toc184314477"/>
      <w:bookmarkEnd w:id="328"/>
      <w:bookmarkStart w:id="329" w:name="_Toc184313302"/>
      <w:bookmarkEnd w:id="329"/>
      <w:bookmarkStart w:id="330" w:name="_Toc184314414"/>
      <w:bookmarkEnd w:id="330"/>
      <w:bookmarkStart w:id="331" w:name="_Toc184310290"/>
      <w:bookmarkEnd w:id="331"/>
      <w:bookmarkStart w:id="332" w:name="_Toc184312082"/>
      <w:bookmarkEnd w:id="332"/>
      <w:bookmarkStart w:id="333" w:name="_Toc184310276"/>
      <w:bookmarkEnd w:id="333"/>
      <w:bookmarkStart w:id="334" w:name="_Toc184308060"/>
      <w:bookmarkEnd w:id="334"/>
      <w:bookmarkStart w:id="335" w:name="_Toc184308088"/>
      <w:bookmarkEnd w:id="335"/>
      <w:bookmarkStart w:id="336" w:name="_Toc184310303"/>
      <w:bookmarkEnd w:id="336"/>
      <w:bookmarkStart w:id="337" w:name="_Toc184312083"/>
      <w:bookmarkEnd w:id="337"/>
      <w:bookmarkStart w:id="338" w:name="_Toc184310319"/>
      <w:bookmarkEnd w:id="338"/>
      <w:bookmarkStart w:id="339" w:name="_Toc184308106"/>
      <w:bookmarkEnd w:id="339"/>
      <w:bookmarkStart w:id="340" w:name="_Toc184312129"/>
      <w:bookmarkEnd w:id="340"/>
      <w:bookmarkStart w:id="341" w:name="_Toc184312072"/>
      <w:bookmarkEnd w:id="341"/>
      <w:bookmarkStart w:id="342" w:name="_Toc184314447"/>
      <w:bookmarkEnd w:id="342"/>
      <w:bookmarkStart w:id="343" w:name="_Toc184314452"/>
      <w:bookmarkEnd w:id="343"/>
      <w:bookmarkStart w:id="344" w:name="_Toc184313238"/>
      <w:bookmarkEnd w:id="344"/>
      <w:bookmarkStart w:id="345" w:name="_Toc184310301"/>
      <w:bookmarkEnd w:id="345"/>
      <w:bookmarkStart w:id="346" w:name="_Toc184312074"/>
      <w:bookmarkEnd w:id="346"/>
      <w:bookmarkStart w:id="347" w:name="_Toc184313250"/>
      <w:bookmarkEnd w:id="347"/>
      <w:bookmarkStart w:id="348" w:name="_Toc184310274"/>
      <w:bookmarkEnd w:id="348"/>
      <w:bookmarkStart w:id="349" w:name="_Toc184312073"/>
      <w:bookmarkEnd w:id="349"/>
      <w:bookmarkStart w:id="350" w:name="_Toc184310273"/>
      <w:bookmarkEnd w:id="350"/>
      <w:bookmarkStart w:id="351" w:name="_Toc184308092"/>
      <w:bookmarkEnd w:id="351"/>
      <w:bookmarkStart w:id="352" w:name="_Toc184312098"/>
      <w:bookmarkEnd w:id="352"/>
      <w:bookmarkStart w:id="353" w:name="_Toc184308084"/>
      <w:bookmarkEnd w:id="353"/>
      <w:bookmarkStart w:id="354" w:name="_Toc184308085"/>
      <w:bookmarkEnd w:id="354"/>
      <w:bookmarkStart w:id="355" w:name="_Toc184310285"/>
      <w:bookmarkEnd w:id="355"/>
      <w:bookmarkStart w:id="356" w:name="_Toc184314457"/>
      <w:bookmarkEnd w:id="356"/>
      <w:bookmarkStart w:id="357" w:name="_Toc184314467"/>
      <w:bookmarkEnd w:id="357"/>
      <w:bookmarkStart w:id="358" w:name="_Toc184314416"/>
      <w:bookmarkEnd w:id="358"/>
      <w:bookmarkStart w:id="359" w:name="_Toc184312138"/>
      <w:bookmarkEnd w:id="359"/>
      <w:bookmarkStart w:id="360" w:name="_Toc184313249"/>
      <w:bookmarkEnd w:id="360"/>
      <w:bookmarkStart w:id="361" w:name="_Toc184313258"/>
      <w:bookmarkEnd w:id="361"/>
      <w:bookmarkStart w:id="362" w:name="_Toc184313293"/>
      <w:bookmarkEnd w:id="362"/>
      <w:bookmarkStart w:id="363" w:name="_Toc184314448"/>
      <w:bookmarkEnd w:id="363"/>
      <w:bookmarkStart w:id="364" w:name="_Toc184312075"/>
      <w:bookmarkEnd w:id="364"/>
      <w:bookmarkStart w:id="365" w:name="_Toc184310299"/>
      <w:bookmarkEnd w:id="365"/>
      <w:bookmarkStart w:id="366" w:name="_Toc184313247"/>
      <w:bookmarkEnd w:id="366"/>
      <w:bookmarkStart w:id="367" w:name="_Toc184314426"/>
      <w:bookmarkEnd w:id="367"/>
      <w:bookmarkStart w:id="368" w:name="_Toc184308069"/>
      <w:bookmarkEnd w:id="368"/>
      <w:bookmarkStart w:id="369" w:name="_Toc184312068"/>
      <w:bookmarkEnd w:id="369"/>
      <w:bookmarkStart w:id="370" w:name="_Toc184314437"/>
      <w:bookmarkEnd w:id="370"/>
      <w:bookmarkStart w:id="371" w:name="_Toc184308046"/>
      <w:bookmarkEnd w:id="371"/>
      <w:bookmarkStart w:id="372" w:name="_Toc184310338"/>
      <w:bookmarkEnd w:id="372"/>
      <w:bookmarkStart w:id="373" w:name="_Toc184308052"/>
      <w:bookmarkEnd w:id="373"/>
      <w:bookmarkStart w:id="374" w:name="_Toc184313253"/>
      <w:bookmarkEnd w:id="374"/>
      <w:bookmarkStart w:id="375" w:name="_Toc184308064"/>
      <w:bookmarkEnd w:id="375"/>
      <w:bookmarkStart w:id="376" w:name="_Toc184313299"/>
      <w:bookmarkEnd w:id="376"/>
      <w:bookmarkStart w:id="377" w:name="_Toc184308062"/>
      <w:bookmarkEnd w:id="377"/>
      <w:bookmarkStart w:id="378" w:name="_Toc184314453"/>
      <w:bookmarkEnd w:id="378"/>
      <w:bookmarkStart w:id="379" w:name="_Toc184310291"/>
      <w:bookmarkEnd w:id="379"/>
      <w:bookmarkStart w:id="380" w:name="_Toc184312088"/>
      <w:bookmarkEnd w:id="380"/>
      <w:bookmarkStart w:id="381" w:name="_Toc184310315"/>
      <w:bookmarkEnd w:id="381"/>
      <w:bookmarkStart w:id="382" w:name="_Toc184313244"/>
      <w:bookmarkEnd w:id="382"/>
      <w:bookmarkStart w:id="383" w:name="_Toc184308059"/>
      <w:bookmarkEnd w:id="383"/>
      <w:bookmarkStart w:id="384" w:name="_Toc184308076"/>
      <w:bookmarkEnd w:id="384"/>
      <w:bookmarkStart w:id="385" w:name="_Toc184313305"/>
      <w:bookmarkEnd w:id="385"/>
      <w:bookmarkStart w:id="386" w:name="_Toc184312101"/>
      <w:bookmarkEnd w:id="386"/>
      <w:bookmarkStart w:id="387" w:name="_Toc184310340"/>
      <w:bookmarkEnd w:id="387"/>
      <w:bookmarkStart w:id="388" w:name="_Toc184312086"/>
      <w:bookmarkEnd w:id="388"/>
      <w:bookmarkStart w:id="389" w:name="_Toc184313242"/>
      <w:bookmarkEnd w:id="389"/>
      <w:bookmarkStart w:id="390" w:name="_Toc184314476"/>
      <w:bookmarkEnd w:id="390"/>
      <w:bookmarkStart w:id="391" w:name="_Toc184308098"/>
      <w:bookmarkEnd w:id="391"/>
      <w:bookmarkStart w:id="392" w:name="_Toc184308063"/>
      <w:bookmarkEnd w:id="392"/>
      <w:bookmarkStart w:id="393" w:name="_Toc184313251"/>
      <w:bookmarkEnd w:id="393"/>
      <w:bookmarkStart w:id="394" w:name="_Toc184308108"/>
      <w:bookmarkEnd w:id="394"/>
      <w:bookmarkStart w:id="395" w:name="_Toc184313262"/>
      <w:bookmarkEnd w:id="395"/>
      <w:bookmarkStart w:id="396" w:name="_Toc184310294"/>
      <w:bookmarkEnd w:id="396"/>
      <w:r>
        <w:rPr>
          <w:rFonts w:hint="eastAsia" w:ascii="宋体" w:hAnsi="宋体" w:cs="宋体"/>
          <w:b/>
          <w:color w:val="auto"/>
          <w:sz w:val="36"/>
          <w:szCs w:val="20"/>
          <w:highlight w:val="none"/>
        </w:rPr>
        <w:t xml:space="preserve"> 评审办法</w:t>
      </w:r>
    </w:p>
    <w:p w14:paraId="132D1159">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评审办法前附表</w:t>
      </w:r>
    </w:p>
    <w:tbl>
      <w:tblPr>
        <w:tblStyle w:val="62"/>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8178"/>
        <w:gridCol w:w="875"/>
      </w:tblGrid>
      <w:tr w14:paraId="26C6D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753" w:type="dxa"/>
            <w:vAlign w:val="center"/>
          </w:tcPr>
          <w:p w14:paraId="29595194">
            <w:pPr>
              <w:snapToGrid w:val="0"/>
              <w:spacing w:line="360" w:lineRule="auto"/>
              <w:jc w:val="center"/>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8178" w:type="dxa"/>
            <w:vAlign w:val="center"/>
          </w:tcPr>
          <w:p w14:paraId="32CAA694">
            <w:pPr>
              <w:snapToGrid w:val="0"/>
              <w:spacing w:line="360" w:lineRule="auto"/>
              <w:jc w:val="center"/>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评审标准</w:t>
            </w:r>
          </w:p>
        </w:tc>
        <w:tc>
          <w:tcPr>
            <w:tcW w:w="875" w:type="dxa"/>
            <w:vAlign w:val="center"/>
          </w:tcPr>
          <w:p w14:paraId="7DB11160">
            <w:pPr>
              <w:snapToGrid w:val="0"/>
              <w:spacing w:line="360" w:lineRule="auto"/>
              <w:jc w:val="center"/>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权重</w:t>
            </w:r>
          </w:p>
        </w:tc>
      </w:tr>
      <w:tr w14:paraId="1B47D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Align w:val="center"/>
          </w:tcPr>
          <w:p w14:paraId="3A21CC8E">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c>
          <w:tcPr>
            <w:tcW w:w="8178" w:type="dxa"/>
          </w:tcPr>
          <w:p w14:paraId="7080C243">
            <w:pPr>
              <w:snapToGrid w:val="0"/>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有效最后报价的最低价作为评审基准价，其最低报价为满分；按［最后报价得分=（评审基准价/最后报价）*30］的计算公式计算。</w:t>
            </w:r>
          </w:p>
          <w:p w14:paraId="0F63AF7F">
            <w:pPr>
              <w:widowControl/>
              <w:shd w:val="clear" w:color="auto" w:fill="FFFFFF"/>
              <w:adjustRightInd/>
              <w:snapToGrid w:val="0"/>
              <w:spacing w:line="360" w:lineRule="auto"/>
              <w:ind w:firstLine="34"/>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评审过程中，不得去掉报价中的最高报价和最低报价。</w:t>
            </w:r>
          </w:p>
          <w:p w14:paraId="25EC29F2">
            <w:pPr>
              <w:widowControl/>
              <w:shd w:val="clear" w:color="auto" w:fill="FFFFFF"/>
              <w:adjustRightInd/>
              <w:snapToGrid w:val="0"/>
              <w:spacing w:line="360" w:lineRule="auto"/>
              <w:ind w:firstLine="34"/>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因落实政府采购政策需要进行价格调整的，以调整后的价格计算评审基准价和最后报价。</w:t>
            </w:r>
          </w:p>
        </w:tc>
        <w:tc>
          <w:tcPr>
            <w:tcW w:w="875" w:type="dxa"/>
            <w:vAlign w:val="center"/>
          </w:tcPr>
          <w:p w14:paraId="33657307">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30</w:t>
            </w:r>
          </w:p>
        </w:tc>
      </w:tr>
      <w:tr w14:paraId="457A9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Align w:val="center"/>
          </w:tcPr>
          <w:p w14:paraId="73472A5F">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8178" w:type="dxa"/>
            <w:vAlign w:val="center"/>
          </w:tcPr>
          <w:p w14:paraId="4DC326A7">
            <w:pPr>
              <w:snapToGrid w:val="0"/>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客观分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投标人具有质量管理体系、环境管理体系、职业健康安全管理体系，每证得0.5分，最高得1.5分，提供有效证书复印件加盖公章。</w:t>
            </w:r>
          </w:p>
        </w:tc>
        <w:tc>
          <w:tcPr>
            <w:tcW w:w="875" w:type="dxa"/>
            <w:vAlign w:val="center"/>
          </w:tcPr>
          <w:p w14:paraId="10D44E15">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1.5</w:t>
            </w:r>
          </w:p>
        </w:tc>
      </w:tr>
      <w:tr w14:paraId="0EB4B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Align w:val="center"/>
          </w:tcPr>
          <w:p w14:paraId="028A26C6">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p>
        </w:tc>
        <w:tc>
          <w:tcPr>
            <w:tcW w:w="8178" w:type="dxa"/>
            <w:vAlign w:val="center"/>
          </w:tcPr>
          <w:p w14:paraId="220AED21">
            <w:pPr>
              <w:snapToGrid w:val="0"/>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客观分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对所投产品（主材）是否取得有效的政府采购节能、环境标志情况进行评价。本项目所投产品取得节能</w:t>
            </w:r>
            <w:r>
              <w:rPr>
                <w:rFonts w:hint="eastAsia" w:ascii="宋体" w:hAnsi="宋体" w:eastAsia="宋体" w:cs="宋体"/>
                <w:bCs/>
                <w:color w:val="auto"/>
                <w:sz w:val="24"/>
                <w:szCs w:val="24"/>
                <w:highlight w:val="none"/>
                <w:lang w:val="en-US" w:eastAsia="zh-CN"/>
              </w:rPr>
              <w:t>或</w:t>
            </w:r>
            <w:r>
              <w:rPr>
                <w:rFonts w:hint="eastAsia" w:ascii="宋体" w:hAnsi="宋体" w:eastAsia="宋体" w:cs="宋体"/>
                <w:bCs/>
                <w:color w:val="auto"/>
                <w:sz w:val="24"/>
                <w:szCs w:val="24"/>
                <w:highlight w:val="none"/>
              </w:rPr>
              <w:t>环境标志认证证书的，每个得0.5分，最高得1分。</w:t>
            </w:r>
          </w:p>
          <w:p w14:paraId="7C79DDB0">
            <w:pPr>
              <w:snapToGrid w:val="0"/>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证明材料：认证证书扫描件加盖公章（认证机构须在政府采购节能、环境标志认证机构名录中）</w:t>
            </w:r>
          </w:p>
        </w:tc>
        <w:tc>
          <w:tcPr>
            <w:tcW w:w="875" w:type="dxa"/>
            <w:vAlign w:val="center"/>
          </w:tcPr>
          <w:p w14:paraId="41C1A43D">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r>
      <w:tr w14:paraId="6892C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3" w:type="dxa"/>
            <w:vAlign w:val="center"/>
          </w:tcPr>
          <w:p w14:paraId="31C2945C">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p>
        </w:tc>
        <w:tc>
          <w:tcPr>
            <w:tcW w:w="8178" w:type="dxa"/>
            <w:vAlign w:val="center"/>
          </w:tcPr>
          <w:p w14:paraId="3013D898">
            <w:pPr>
              <w:snapToGrid w:val="0"/>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客观分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截止投标近三年来（以签订合同时间为准），具有类似项目业绩，每个得0.5分，最高得1.5分，提供合同</w:t>
            </w:r>
            <w:r>
              <w:rPr>
                <w:rFonts w:hint="eastAsia" w:ascii="宋体" w:hAnsi="宋体" w:eastAsia="宋体" w:cs="宋体"/>
                <w:bCs/>
                <w:color w:val="auto"/>
                <w:sz w:val="24"/>
                <w:szCs w:val="24"/>
                <w:highlight w:val="none"/>
                <w:lang w:val="en-US" w:eastAsia="zh-CN"/>
              </w:rPr>
              <w:t>或</w:t>
            </w:r>
            <w:r>
              <w:rPr>
                <w:rFonts w:hint="eastAsia" w:ascii="宋体" w:hAnsi="宋体" w:eastAsia="宋体" w:cs="宋体"/>
                <w:bCs/>
                <w:color w:val="auto"/>
                <w:sz w:val="24"/>
                <w:szCs w:val="24"/>
                <w:highlight w:val="none"/>
              </w:rPr>
              <w:t>验收报告等相关材料，资料不全不得分。</w:t>
            </w:r>
          </w:p>
        </w:tc>
        <w:tc>
          <w:tcPr>
            <w:tcW w:w="875" w:type="dxa"/>
            <w:vAlign w:val="center"/>
          </w:tcPr>
          <w:p w14:paraId="0E3E0B24">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1.5</w:t>
            </w:r>
          </w:p>
        </w:tc>
      </w:tr>
      <w:tr w14:paraId="32DEB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753" w:type="dxa"/>
            <w:vAlign w:val="center"/>
          </w:tcPr>
          <w:p w14:paraId="21793DD9">
            <w:pPr>
              <w:snapToGrid w:val="0"/>
              <w:spacing w:line="360" w:lineRule="auto"/>
              <w:jc w:val="center"/>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w:t>
            </w:r>
          </w:p>
        </w:tc>
        <w:tc>
          <w:tcPr>
            <w:tcW w:w="8178" w:type="dxa"/>
            <w:vAlign w:val="center"/>
          </w:tcPr>
          <w:p w14:paraId="40BC8D06">
            <w:pPr>
              <w:snapToGrid w:val="0"/>
              <w:spacing w:line="360" w:lineRule="auto"/>
              <w:jc w:val="left"/>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需求分析</w:t>
            </w:r>
          </w:p>
        </w:tc>
        <w:tc>
          <w:tcPr>
            <w:tcW w:w="875" w:type="dxa"/>
            <w:vAlign w:val="center"/>
          </w:tcPr>
          <w:p w14:paraId="7F2AF114">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r>
      <w:tr w14:paraId="5BEDB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Align w:val="center"/>
          </w:tcPr>
          <w:p w14:paraId="415BD6EF">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.1</w:t>
            </w:r>
          </w:p>
        </w:tc>
        <w:tc>
          <w:tcPr>
            <w:tcW w:w="8178" w:type="dxa"/>
            <w:vAlign w:val="center"/>
          </w:tcPr>
          <w:p w14:paraId="0C770E52">
            <w:pPr>
              <w:snapToGrid w:val="0"/>
              <w:spacing w:line="360" w:lineRule="auto"/>
              <w:jc w:val="left"/>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针对本</w:t>
            </w:r>
            <w:r>
              <w:rPr>
                <w:rFonts w:hint="eastAsia" w:ascii="宋体" w:hAnsi="宋体" w:eastAsia="宋体" w:cs="宋体"/>
                <w:bCs/>
                <w:color w:val="auto"/>
                <w:sz w:val="24"/>
                <w:szCs w:val="24"/>
                <w:highlight w:val="none"/>
                <w:lang w:val="en-US" w:eastAsia="zh-CN"/>
              </w:rPr>
              <w:t>项目</w:t>
            </w:r>
            <w:r>
              <w:rPr>
                <w:rFonts w:hint="eastAsia" w:ascii="宋体" w:hAnsi="宋体" w:eastAsia="宋体" w:cs="宋体"/>
                <w:bCs/>
                <w:color w:val="auto"/>
                <w:sz w:val="24"/>
                <w:szCs w:val="24"/>
                <w:highlight w:val="none"/>
              </w:rPr>
              <w:t>改造内容，是否充分了解施工场地、实施内容等（提供相关说明或佐证材料）</w:t>
            </w:r>
            <w:r>
              <w:rPr>
                <w:rFonts w:hint="eastAsia" w:ascii="宋体" w:hAnsi="宋体" w:eastAsia="宋体" w:cs="宋体"/>
                <w:bCs/>
                <w:color w:val="auto"/>
                <w:sz w:val="24"/>
                <w:szCs w:val="24"/>
                <w:highlight w:val="none"/>
                <w:lang w:val="en-US" w:eastAsia="zh-CN"/>
              </w:rPr>
              <w:t>进行综合评审，未提供不得分。（打分范围：5,4,3,2,1,0)</w:t>
            </w:r>
          </w:p>
        </w:tc>
        <w:tc>
          <w:tcPr>
            <w:tcW w:w="875" w:type="dxa"/>
            <w:vAlign w:val="center"/>
          </w:tcPr>
          <w:p w14:paraId="647F5FB5">
            <w:pPr>
              <w:snapToGrid w:val="0"/>
              <w:spacing w:line="360" w:lineRule="auto"/>
              <w:jc w:val="center"/>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w:t>
            </w:r>
          </w:p>
        </w:tc>
      </w:tr>
      <w:tr w14:paraId="63A31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Align w:val="center"/>
          </w:tcPr>
          <w:p w14:paraId="1B10453B">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.2</w:t>
            </w:r>
          </w:p>
        </w:tc>
        <w:tc>
          <w:tcPr>
            <w:tcW w:w="8178" w:type="dxa"/>
            <w:vAlign w:val="center"/>
          </w:tcPr>
          <w:p w14:paraId="33EDF3A8">
            <w:pPr>
              <w:snapToGrid w:val="0"/>
              <w:spacing w:line="360" w:lineRule="auto"/>
              <w:jc w:val="left"/>
              <w:outlineLvl w:val="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工程施工的重、难点分析及施工保证措施是否具有针对性</w:t>
            </w:r>
            <w:r>
              <w:rPr>
                <w:rFonts w:hint="eastAsia" w:ascii="宋体" w:hAnsi="宋体" w:eastAsia="宋体" w:cs="宋体"/>
                <w:bCs/>
                <w:color w:val="auto"/>
                <w:sz w:val="24"/>
                <w:szCs w:val="24"/>
                <w:highlight w:val="none"/>
                <w:lang w:eastAsia="zh-CN"/>
              </w:rPr>
              <w:t>：</w:t>
            </w:r>
          </w:p>
          <w:p w14:paraId="37E84991">
            <w:pPr>
              <w:snapToGrid w:val="0"/>
              <w:spacing w:line="360" w:lineRule="auto"/>
              <w:jc w:val="left"/>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根据</w:t>
            </w:r>
            <w:r>
              <w:rPr>
                <w:rFonts w:hint="eastAsia" w:ascii="宋体" w:hAnsi="宋体" w:eastAsia="宋体" w:cs="宋体"/>
                <w:bCs/>
                <w:color w:val="auto"/>
                <w:sz w:val="24"/>
                <w:szCs w:val="24"/>
                <w:highlight w:val="none"/>
              </w:rPr>
              <w:t>重难点分析内容</w:t>
            </w:r>
            <w:r>
              <w:rPr>
                <w:rFonts w:hint="eastAsia" w:ascii="宋体" w:hAnsi="宋体" w:eastAsia="宋体" w:cs="宋体"/>
                <w:bCs/>
                <w:color w:val="auto"/>
                <w:sz w:val="24"/>
                <w:szCs w:val="24"/>
                <w:highlight w:val="none"/>
                <w:lang w:val="en-US" w:eastAsia="zh-CN"/>
              </w:rPr>
              <w:t>是否</w:t>
            </w:r>
            <w:r>
              <w:rPr>
                <w:rFonts w:hint="eastAsia" w:ascii="宋体" w:hAnsi="宋体" w:eastAsia="宋体" w:cs="宋体"/>
                <w:bCs/>
                <w:color w:val="auto"/>
                <w:sz w:val="24"/>
                <w:szCs w:val="24"/>
                <w:highlight w:val="none"/>
              </w:rPr>
              <w:t>完善</w:t>
            </w:r>
            <w:r>
              <w:rPr>
                <w:rFonts w:hint="eastAsia" w:ascii="宋体" w:hAnsi="宋体" w:eastAsia="宋体" w:cs="宋体"/>
                <w:bCs/>
                <w:color w:val="auto"/>
                <w:sz w:val="24"/>
                <w:szCs w:val="24"/>
                <w:highlight w:val="none"/>
                <w:lang w:val="en-US" w:eastAsia="zh-CN"/>
              </w:rPr>
              <w:t>及具有</w:t>
            </w:r>
            <w:r>
              <w:rPr>
                <w:rFonts w:hint="eastAsia" w:ascii="宋体" w:hAnsi="宋体" w:eastAsia="宋体" w:cs="宋体"/>
                <w:bCs/>
                <w:color w:val="auto"/>
                <w:sz w:val="24"/>
                <w:szCs w:val="24"/>
                <w:highlight w:val="none"/>
              </w:rPr>
              <w:t>针对性</w:t>
            </w:r>
            <w:r>
              <w:rPr>
                <w:rFonts w:hint="eastAsia" w:ascii="宋体" w:hAnsi="宋体" w:eastAsia="宋体" w:cs="宋体"/>
                <w:bCs/>
                <w:color w:val="auto"/>
                <w:sz w:val="24"/>
                <w:szCs w:val="24"/>
                <w:highlight w:val="none"/>
                <w:lang w:val="en-US" w:eastAsia="zh-CN"/>
              </w:rPr>
              <w:t>进行综合评审，</w:t>
            </w:r>
            <w:r>
              <w:rPr>
                <w:rFonts w:hint="eastAsia" w:ascii="宋体" w:hAnsi="宋体" w:eastAsia="宋体" w:cs="宋体"/>
                <w:bCs/>
                <w:color w:val="auto"/>
                <w:sz w:val="24"/>
                <w:szCs w:val="24"/>
                <w:highlight w:val="none"/>
              </w:rPr>
              <w:t>未提供不得分；</w:t>
            </w:r>
            <w:r>
              <w:rPr>
                <w:rFonts w:hint="eastAsia" w:ascii="宋体" w:hAnsi="宋体" w:eastAsia="宋体" w:cs="宋体"/>
                <w:bCs/>
                <w:color w:val="auto"/>
                <w:sz w:val="24"/>
                <w:szCs w:val="24"/>
                <w:highlight w:val="none"/>
                <w:lang w:val="en-US" w:eastAsia="zh-CN"/>
              </w:rPr>
              <w:t>（打分范围：3,2,1,0)</w:t>
            </w:r>
          </w:p>
          <w:p w14:paraId="3EDE2D18">
            <w:pPr>
              <w:snapToGrid w:val="0"/>
              <w:spacing w:line="360" w:lineRule="auto"/>
              <w:jc w:val="left"/>
              <w:outlineLvl w:val="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针对重难点问题，提出合理可行的解决措施，每条得</w:t>
            </w:r>
            <w:r>
              <w:rPr>
                <w:rFonts w:hint="eastAsia" w:ascii="宋体" w:hAnsi="宋体" w:eastAsia="宋体" w:cs="宋体"/>
                <w:bCs/>
                <w:color w:val="auto"/>
                <w:sz w:val="24"/>
                <w:szCs w:val="24"/>
                <w:highlight w:val="none"/>
                <w:lang w:val="en-US" w:eastAsia="zh-CN"/>
              </w:rPr>
              <w:t>0.5</w:t>
            </w:r>
            <w:r>
              <w:rPr>
                <w:rFonts w:hint="eastAsia" w:ascii="宋体" w:hAnsi="宋体" w:eastAsia="宋体" w:cs="宋体"/>
                <w:bCs/>
                <w:color w:val="auto"/>
                <w:sz w:val="24"/>
                <w:szCs w:val="24"/>
                <w:highlight w:val="none"/>
              </w:rPr>
              <w:t>分，最高得</w:t>
            </w: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val="en-US" w:eastAsia="zh-CN"/>
              </w:rPr>
              <w:t>（打分范围：2,1.5,1,0.5,0)</w:t>
            </w:r>
          </w:p>
        </w:tc>
        <w:tc>
          <w:tcPr>
            <w:tcW w:w="875" w:type="dxa"/>
            <w:vAlign w:val="center"/>
          </w:tcPr>
          <w:p w14:paraId="2F2FDAF9">
            <w:pPr>
              <w:snapToGrid w:val="0"/>
              <w:spacing w:line="360" w:lineRule="auto"/>
              <w:jc w:val="center"/>
              <w:outlineLvl w:val="0"/>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5</w:t>
            </w:r>
          </w:p>
        </w:tc>
      </w:tr>
      <w:tr w14:paraId="282E4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Align w:val="center"/>
          </w:tcPr>
          <w:p w14:paraId="686E62DC">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.3</w:t>
            </w:r>
          </w:p>
        </w:tc>
        <w:tc>
          <w:tcPr>
            <w:tcW w:w="8178" w:type="dxa"/>
            <w:vAlign w:val="center"/>
          </w:tcPr>
          <w:p w14:paraId="644228DB">
            <w:pPr>
              <w:snapToGrid w:val="0"/>
              <w:spacing w:line="360" w:lineRule="auto"/>
              <w:jc w:val="left"/>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针对施工图，现场等，提供合理化建议，每条实质性意义的、有利于项目实施的建议得</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分，最高得</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val="en-US" w:eastAsia="zh-CN"/>
              </w:rPr>
              <w:t>（打分范围：4,3,2,1,0)</w:t>
            </w:r>
          </w:p>
        </w:tc>
        <w:tc>
          <w:tcPr>
            <w:tcW w:w="875" w:type="dxa"/>
            <w:vAlign w:val="center"/>
          </w:tcPr>
          <w:p w14:paraId="507821C4">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w:t>
            </w:r>
          </w:p>
        </w:tc>
      </w:tr>
      <w:tr w14:paraId="4F877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Align w:val="center"/>
          </w:tcPr>
          <w:p w14:paraId="593638A8">
            <w:pPr>
              <w:snapToGrid w:val="0"/>
              <w:spacing w:line="360" w:lineRule="auto"/>
              <w:jc w:val="center"/>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w:t>
            </w:r>
          </w:p>
        </w:tc>
        <w:tc>
          <w:tcPr>
            <w:tcW w:w="8178" w:type="dxa"/>
            <w:vAlign w:val="center"/>
          </w:tcPr>
          <w:p w14:paraId="3638F293">
            <w:pPr>
              <w:snapToGrid w:val="0"/>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施工组织设计</w:t>
            </w:r>
          </w:p>
        </w:tc>
        <w:tc>
          <w:tcPr>
            <w:tcW w:w="875" w:type="dxa"/>
            <w:vAlign w:val="center"/>
          </w:tcPr>
          <w:p w14:paraId="45270C16">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r>
      <w:tr w14:paraId="1467F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Align w:val="center"/>
          </w:tcPr>
          <w:p w14:paraId="29A40FBD">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.1</w:t>
            </w:r>
          </w:p>
        </w:tc>
        <w:tc>
          <w:tcPr>
            <w:tcW w:w="8178" w:type="dxa"/>
            <w:vAlign w:val="center"/>
          </w:tcPr>
          <w:p w14:paraId="144A73F1">
            <w:pPr>
              <w:snapToGrid w:val="0"/>
              <w:spacing w:line="360" w:lineRule="auto"/>
              <w:jc w:val="left"/>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结合项目情况，根据</w:t>
            </w:r>
            <w:r>
              <w:rPr>
                <w:rFonts w:hint="eastAsia" w:ascii="宋体" w:hAnsi="宋体" w:eastAsia="宋体" w:cs="宋体"/>
                <w:bCs/>
                <w:color w:val="auto"/>
                <w:sz w:val="24"/>
                <w:szCs w:val="24"/>
                <w:highlight w:val="none"/>
              </w:rPr>
              <w:t>施工组织设计内容是否全面合理，是否能够结合本项目特点进行整体施工组织计划</w:t>
            </w:r>
            <w:r>
              <w:rPr>
                <w:rFonts w:hint="eastAsia" w:ascii="宋体" w:hAnsi="宋体" w:eastAsia="宋体" w:cs="宋体"/>
                <w:bCs/>
                <w:color w:val="auto"/>
                <w:sz w:val="24"/>
                <w:szCs w:val="24"/>
                <w:highlight w:val="none"/>
                <w:lang w:val="en-US" w:eastAsia="zh-CN"/>
              </w:rPr>
              <w:t>进行综合评审，</w:t>
            </w:r>
            <w:r>
              <w:rPr>
                <w:rFonts w:hint="eastAsia" w:ascii="宋体" w:hAnsi="宋体" w:eastAsia="宋体" w:cs="宋体"/>
                <w:bCs/>
                <w:color w:val="auto"/>
                <w:sz w:val="24"/>
                <w:szCs w:val="24"/>
                <w:highlight w:val="none"/>
              </w:rPr>
              <w:t>未提供不得分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（打分范围：4,3,2,1,0)</w:t>
            </w:r>
          </w:p>
        </w:tc>
        <w:tc>
          <w:tcPr>
            <w:tcW w:w="875" w:type="dxa"/>
            <w:vAlign w:val="center"/>
          </w:tcPr>
          <w:p w14:paraId="5A88AE5B">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w:t>
            </w:r>
          </w:p>
        </w:tc>
      </w:tr>
      <w:tr w14:paraId="24340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Align w:val="center"/>
          </w:tcPr>
          <w:p w14:paraId="595A8D2A">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.2</w:t>
            </w:r>
          </w:p>
        </w:tc>
        <w:tc>
          <w:tcPr>
            <w:tcW w:w="8178" w:type="dxa"/>
            <w:vAlign w:val="center"/>
          </w:tcPr>
          <w:p w14:paraId="7EFB668E">
            <w:pPr>
              <w:snapToGrid w:val="0"/>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结合项目情况，阐述</w:t>
            </w:r>
            <w:r>
              <w:rPr>
                <w:rFonts w:hint="eastAsia" w:ascii="宋体" w:hAnsi="宋体" w:eastAsia="宋体" w:cs="宋体"/>
                <w:bCs/>
                <w:color w:val="auto"/>
                <w:sz w:val="24"/>
                <w:szCs w:val="24"/>
                <w:highlight w:val="none"/>
              </w:rPr>
              <w:t>主要施工方法、施工工艺，</w:t>
            </w:r>
            <w:r>
              <w:rPr>
                <w:rFonts w:hint="eastAsia" w:ascii="宋体" w:hAnsi="宋体" w:eastAsia="宋体" w:cs="宋体"/>
                <w:bCs/>
                <w:color w:val="auto"/>
                <w:sz w:val="24"/>
                <w:szCs w:val="24"/>
                <w:highlight w:val="none"/>
                <w:lang w:val="en-US" w:eastAsia="zh-CN"/>
              </w:rPr>
              <w:t>根据</w:t>
            </w:r>
            <w:r>
              <w:rPr>
                <w:rFonts w:hint="eastAsia" w:ascii="宋体" w:hAnsi="宋体" w:eastAsia="宋体" w:cs="宋体"/>
                <w:bCs/>
                <w:color w:val="auto"/>
                <w:sz w:val="24"/>
                <w:szCs w:val="24"/>
                <w:highlight w:val="none"/>
              </w:rPr>
              <w:t>内容</w:t>
            </w:r>
            <w:r>
              <w:rPr>
                <w:rFonts w:hint="eastAsia" w:ascii="宋体" w:hAnsi="宋体" w:eastAsia="宋体" w:cs="宋体"/>
                <w:bCs/>
                <w:color w:val="auto"/>
                <w:sz w:val="24"/>
                <w:szCs w:val="24"/>
                <w:highlight w:val="none"/>
                <w:lang w:val="en-US" w:eastAsia="zh-CN"/>
              </w:rPr>
              <w:t>是否</w:t>
            </w:r>
            <w:r>
              <w:rPr>
                <w:rFonts w:hint="eastAsia" w:ascii="宋体" w:hAnsi="宋体" w:eastAsia="宋体" w:cs="宋体"/>
                <w:bCs/>
                <w:color w:val="auto"/>
                <w:sz w:val="24"/>
                <w:szCs w:val="24"/>
                <w:highlight w:val="none"/>
              </w:rPr>
              <w:t>完善可实施性强</w:t>
            </w:r>
            <w:r>
              <w:rPr>
                <w:rFonts w:hint="eastAsia" w:ascii="宋体" w:hAnsi="宋体" w:eastAsia="宋体" w:cs="宋体"/>
                <w:bCs/>
                <w:color w:val="auto"/>
                <w:sz w:val="24"/>
                <w:szCs w:val="24"/>
                <w:highlight w:val="none"/>
                <w:lang w:val="en-US" w:eastAsia="zh-CN"/>
              </w:rPr>
              <w:t>进行综合评审，</w:t>
            </w:r>
            <w:r>
              <w:rPr>
                <w:rFonts w:hint="eastAsia" w:ascii="宋体" w:hAnsi="宋体" w:eastAsia="宋体" w:cs="宋体"/>
                <w:bCs/>
                <w:color w:val="auto"/>
                <w:sz w:val="24"/>
                <w:szCs w:val="24"/>
                <w:highlight w:val="none"/>
              </w:rPr>
              <w:t>未提供不得分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（打分范围：4,3,2,1,0)</w:t>
            </w:r>
          </w:p>
        </w:tc>
        <w:tc>
          <w:tcPr>
            <w:tcW w:w="875" w:type="dxa"/>
            <w:vAlign w:val="center"/>
          </w:tcPr>
          <w:p w14:paraId="0A01D87F">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w:t>
            </w:r>
          </w:p>
        </w:tc>
      </w:tr>
      <w:tr w14:paraId="0E1A1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Align w:val="center"/>
          </w:tcPr>
          <w:p w14:paraId="53DB652D">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.3</w:t>
            </w:r>
          </w:p>
        </w:tc>
        <w:tc>
          <w:tcPr>
            <w:tcW w:w="8178" w:type="dxa"/>
            <w:vAlign w:val="center"/>
          </w:tcPr>
          <w:p w14:paraId="67649888">
            <w:pPr>
              <w:snapToGrid w:val="0"/>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结合项目情况，阐述</w:t>
            </w:r>
            <w:r>
              <w:rPr>
                <w:rFonts w:hint="eastAsia" w:ascii="宋体" w:hAnsi="宋体" w:eastAsia="宋体" w:cs="宋体"/>
                <w:bCs/>
                <w:color w:val="auto"/>
                <w:sz w:val="24"/>
                <w:szCs w:val="24"/>
                <w:highlight w:val="none"/>
              </w:rPr>
              <w:t>质量目标及质量控制措施，</w:t>
            </w:r>
            <w:r>
              <w:rPr>
                <w:rFonts w:hint="eastAsia" w:ascii="宋体" w:hAnsi="宋体" w:eastAsia="宋体" w:cs="宋体"/>
                <w:bCs/>
                <w:color w:val="auto"/>
                <w:sz w:val="24"/>
                <w:szCs w:val="24"/>
                <w:highlight w:val="none"/>
                <w:lang w:val="en-US" w:eastAsia="zh-CN"/>
              </w:rPr>
              <w:t>根据</w:t>
            </w:r>
            <w:r>
              <w:rPr>
                <w:rFonts w:hint="eastAsia" w:ascii="宋体" w:hAnsi="宋体" w:eastAsia="宋体" w:cs="宋体"/>
                <w:bCs/>
                <w:color w:val="auto"/>
                <w:sz w:val="24"/>
                <w:szCs w:val="24"/>
                <w:highlight w:val="none"/>
              </w:rPr>
              <w:t>内容</w:t>
            </w:r>
            <w:r>
              <w:rPr>
                <w:rFonts w:hint="eastAsia" w:ascii="宋体" w:hAnsi="宋体" w:eastAsia="宋体" w:cs="宋体"/>
                <w:bCs/>
                <w:color w:val="auto"/>
                <w:sz w:val="24"/>
                <w:szCs w:val="24"/>
                <w:highlight w:val="none"/>
                <w:lang w:val="en-US" w:eastAsia="zh-CN"/>
              </w:rPr>
              <w:t>是否</w:t>
            </w:r>
            <w:r>
              <w:rPr>
                <w:rFonts w:hint="eastAsia" w:ascii="宋体" w:hAnsi="宋体" w:eastAsia="宋体" w:cs="宋体"/>
                <w:bCs/>
                <w:color w:val="auto"/>
                <w:sz w:val="24"/>
                <w:szCs w:val="24"/>
                <w:highlight w:val="none"/>
              </w:rPr>
              <w:t>完善可实施性强</w:t>
            </w:r>
            <w:r>
              <w:rPr>
                <w:rFonts w:hint="eastAsia" w:ascii="宋体" w:hAnsi="宋体" w:eastAsia="宋体" w:cs="宋体"/>
                <w:bCs/>
                <w:color w:val="auto"/>
                <w:sz w:val="24"/>
                <w:szCs w:val="24"/>
                <w:highlight w:val="none"/>
                <w:lang w:val="en-US" w:eastAsia="zh-CN"/>
              </w:rPr>
              <w:t>进行综合评审，</w:t>
            </w:r>
            <w:r>
              <w:rPr>
                <w:rFonts w:hint="eastAsia" w:ascii="宋体" w:hAnsi="宋体" w:eastAsia="宋体" w:cs="宋体"/>
                <w:bCs/>
                <w:color w:val="auto"/>
                <w:sz w:val="24"/>
                <w:szCs w:val="24"/>
                <w:highlight w:val="none"/>
              </w:rPr>
              <w:t>未提供不得分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（打分范围：4,3,2,1,0)</w:t>
            </w:r>
          </w:p>
        </w:tc>
        <w:tc>
          <w:tcPr>
            <w:tcW w:w="875" w:type="dxa"/>
            <w:vAlign w:val="center"/>
          </w:tcPr>
          <w:p w14:paraId="1049493D">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w:t>
            </w:r>
          </w:p>
        </w:tc>
      </w:tr>
      <w:tr w14:paraId="11982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Align w:val="center"/>
          </w:tcPr>
          <w:p w14:paraId="2425820E">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.4</w:t>
            </w:r>
          </w:p>
        </w:tc>
        <w:tc>
          <w:tcPr>
            <w:tcW w:w="8178" w:type="dxa"/>
            <w:vAlign w:val="center"/>
          </w:tcPr>
          <w:p w14:paraId="08A2E082">
            <w:pPr>
              <w:snapToGrid w:val="0"/>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结合项目情况，阐述</w:t>
            </w:r>
            <w:r>
              <w:rPr>
                <w:rFonts w:hint="eastAsia" w:ascii="宋体" w:hAnsi="宋体" w:eastAsia="宋体" w:cs="宋体"/>
                <w:bCs/>
                <w:color w:val="auto"/>
                <w:sz w:val="24"/>
                <w:szCs w:val="24"/>
                <w:highlight w:val="none"/>
              </w:rPr>
              <w:t>成品保护措施，针对车辆进出路边、施工场地周边等采取的成品保护措施，</w:t>
            </w:r>
            <w:r>
              <w:rPr>
                <w:rFonts w:hint="eastAsia" w:ascii="宋体" w:hAnsi="宋体" w:eastAsia="宋体" w:cs="宋体"/>
                <w:bCs/>
                <w:color w:val="auto"/>
                <w:sz w:val="24"/>
                <w:szCs w:val="24"/>
                <w:highlight w:val="none"/>
                <w:lang w:val="en-US" w:eastAsia="zh-CN"/>
              </w:rPr>
              <w:t>根据</w:t>
            </w:r>
            <w:r>
              <w:rPr>
                <w:rFonts w:hint="eastAsia" w:ascii="宋体" w:hAnsi="宋体" w:eastAsia="宋体" w:cs="宋体"/>
                <w:bCs/>
                <w:color w:val="auto"/>
                <w:sz w:val="24"/>
                <w:szCs w:val="24"/>
                <w:highlight w:val="none"/>
              </w:rPr>
              <w:t>内容</w:t>
            </w:r>
            <w:r>
              <w:rPr>
                <w:rFonts w:hint="eastAsia" w:ascii="宋体" w:hAnsi="宋体" w:eastAsia="宋体" w:cs="宋体"/>
                <w:bCs/>
                <w:color w:val="auto"/>
                <w:sz w:val="24"/>
                <w:szCs w:val="24"/>
                <w:highlight w:val="none"/>
                <w:lang w:val="en-US" w:eastAsia="zh-CN"/>
              </w:rPr>
              <w:t>是否</w:t>
            </w:r>
            <w:r>
              <w:rPr>
                <w:rFonts w:hint="eastAsia" w:ascii="宋体" w:hAnsi="宋体" w:eastAsia="宋体" w:cs="宋体"/>
                <w:bCs/>
                <w:color w:val="auto"/>
                <w:sz w:val="24"/>
                <w:szCs w:val="24"/>
                <w:highlight w:val="none"/>
              </w:rPr>
              <w:t>完善可实施性强</w:t>
            </w:r>
            <w:r>
              <w:rPr>
                <w:rFonts w:hint="eastAsia" w:ascii="宋体" w:hAnsi="宋体" w:eastAsia="宋体" w:cs="宋体"/>
                <w:bCs/>
                <w:color w:val="auto"/>
                <w:sz w:val="24"/>
                <w:szCs w:val="24"/>
                <w:highlight w:val="none"/>
                <w:lang w:val="en-US" w:eastAsia="zh-CN"/>
              </w:rPr>
              <w:t>进行综合评审，</w:t>
            </w:r>
            <w:r>
              <w:rPr>
                <w:rFonts w:hint="eastAsia" w:ascii="宋体" w:hAnsi="宋体" w:eastAsia="宋体" w:cs="宋体"/>
                <w:bCs/>
                <w:color w:val="auto"/>
                <w:sz w:val="24"/>
                <w:szCs w:val="24"/>
                <w:highlight w:val="none"/>
              </w:rPr>
              <w:t>未提供不得分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（打分范围：4,3,2,1,0)</w:t>
            </w:r>
          </w:p>
        </w:tc>
        <w:tc>
          <w:tcPr>
            <w:tcW w:w="875" w:type="dxa"/>
            <w:vAlign w:val="center"/>
          </w:tcPr>
          <w:p w14:paraId="481813D8">
            <w:pPr>
              <w:snapToGrid w:val="0"/>
              <w:spacing w:line="360" w:lineRule="auto"/>
              <w:jc w:val="center"/>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w:t>
            </w:r>
          </w:p>
        </w:tc>
      </w:tr>
      <w:tr w14:paraId="3AF34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Align w:val="center"/>
          </w:tcPr>
          <w:p w14:paraId="6B28B318">
            <w:pPr>
              <w:snapToGrid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5.5</w:t>
            </w:r>
          </w:p>
        </w:tc>
        <w:tc>
          <w:tcPr>
            <w:tcW w:w="8178" w:type="dxa"/>
            <w:vAlign w:val="center"/>
          </w:tcPr>
          <w:p w14:paraId="5FBFE872">
            <w:pPr>
              <w:snapToGrid w:val="0"/>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结合</w:t>
            </w:r>
            <w:r>
              <w:rPr>
                <w:rFonts w:hint="eastAsia" w:ascii="宋体" w:hAnsi="宋体" w:eastAsia="宋体" w:cs="宋体"/>
                <w:bCs/>
                <w:color w:val="auto"/>
                <w:sz w:val="24"/>
                <w:szCs w:val="24"/>
                <w:highlight w:val="none"/>
              </w:rPr>
              <w:t>本项目实际</w:t>
            </w:r>
            <w:r>
              <w:rPr>
                <w:rFonts w:hint="eastAsia" w:ascii="宋体" w:hAnsi="宋体" w:eastAsia="宋体" w:cs="宋体"/>
                <w:bCs/>
                <w:color w:val="auto"/>
                <w:sz w:val="24"/>
                <w:szCs w:val="24"/>
                <w:highlight w:val="none"/>
                <w:lang w:val="en-US" w:eastAsia="zh-CN"/>
              </w:rPr>
              <w:t>情况，</w:t>
            </w:r>
            <w:r>
              <w:rPr>
                <w:rFonts w:hint="eastAsia" w:ascii="宋体" w:hAnsi="宋体" w:eastAsia="宋体" w:cs="宋体"/>
                <w:bCs/>
                <w:color w:val="auto"/>
                <w:sz w:val="24"/>
                <w:szCs w:val="24"/>
                <w:highlight w:val="none"/>
              </w:rPr>
              <w:t>阐述</w:t>
            </w:r>
            <w:r>
              <w:rPr>
                <w:rFonts w:hint="eastAsia" w:ascii="宋体" w:hAnsi="宋体" w:eastAsia="宋体" w:cs="宋体"/>
                <w:bCs/>
                <w:color w:val="auto"/>
                <w:sz w:val="24"/>
                <w:szCs w:val="24"/>
                <w:highlight w:val="none"/>
                <w:lang w:val="en-US" w:eastAsia="zh-CN"/>
              </w:rPr>
              <w:t>安全</w:t>
            </w:r>
            <w:r>
              <w:rPr>
                <w:rFonts w:hint="eastAsia" w:ascii="宋体" w:hAnsi="宋体" w:eastAsia="宋体" w:cs="宋体"/>
                <w:bCs/>
                <w:color w:val="auto"/>
                <w:sz w:val="24"/>
                <w:szCs w:val="24"/>
                <w:highlight w:val="none"/>
              </w:rPr>
              <w:t>文明施工</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绿色施工，</w:t>
            </w:r>
            <w:r>
              <w:rPr>
                <w:rFonts w:hint="eastAsia" w:ascii="宋体" w:hAnsi="宋体" w:eastAsia="宋体" w:cs="宋体"/>
                <w:bCs/>
                <w:color w:val="auto"/>
                <w:sz w:val="24"/>
                <w:szCs w:val="24"/>
                <w:highlight w:val="none"/>
              </w:rPr>
              <w:t>市政、市容</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环保</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消防等的保证措施：</w:t>
            </w:r>
            <w:r>
              <w:rPr>
                <w:rFonts w:hint="eastAsia" w:ascii="宋体" w:hAnsi="宋体" w:eastAsia="宋体" w:cs="宋体"/>
                <w:bCs/>
                <w:color w:val="auto"/>
                <w:sz w:val="24"/>
                <w:szCs w:val="24"/>
                <w:highlight w:val="none"/>
                <w:lang w:val="en-US" w:eastAsia="zh-CN"/>
              </w:rPr>
              <w:t>根据</w:t>
            </w:r>
            <w:r>
              <w:rPr>
                <w:rFonts w:hint="eastAsia" w:ascii="宋体" w:hAnsi="宋体" w:eastAsia="宋体" w:cs="宋体"/>
                <w:bCs/>
                <w:color w:val="auto"/>
                <w:sz w:val="24"/>
                <w:szCs w:val="24"/>
                <w:highlight w:val="none"/>
              </w:rPr>
              <w:t>以上</w:t>
            </w:r>
            <w:r>
              <w:rPr>
                <w:rFonts w:hint="eastAsia" w:ascii="宋体" w:hAnsi="宋体" w:eastAsia="宋体" w:cs="宋体"/>
                <w:bCs/>
                <w:color w:val="auto"/>
                <w:sz w:val="24"/>
                <w:szCs w:val="24"/>
                <w:highlight w:val="none"/>
                <w:lang w:val="en-US" w:eastAsia="zh-CN"/>
              </w:rPr>
              <w:t>全部方案或</w:t>
            </w:r>
            <w:r>
              <w:rPr>
                <w:rFonts w:hint="eastAsia" w:ascii="宋体" w:hAnsi="宋体" w:eastAsia="宋体" w:cs="宋体"/>
                <w:bCs/>
                <w:color w:val="auto"/>
                <w:sz w:val="24"/>
                <w:szCs w:val="24"/>
                <w:highlight w:val="none"/>
              </w:rPr>
              <w:t>措施</w:t>
            </w:r>
            <w:r>
              <w:rPr>
                <w:rFonts w:hint="eastAsia" w:ascii="宋体" w:hAnsi="宋体" w:eastAsia="宋体" w:cs="宋体"/>
                <w:bCs/>
                <w:color w:val="auto"/>
                <w:sz w:val="24"/>
                <w:szCs w:val="24"/>
                <w:highlight w:val="none"/>
                <w:lang w:val="en-US" w:eastAsia="zh-CN"/>
              </w:rPr>
              <w:t>内容</w:t>
            </w:r>
            <w:r>
              <w:rPr>
                <w:rFonts w:hint="eastAsia" w:ascii="宋体" w:hAnsi="宋体" w:eastAsia="宋体" w:cs="宋体"/>
                <w:bCs/>
                <w:color w:val="auto"/>
                <w:sz w:val="24"/>
                <w:szCs w:val="24"/>
                <w:highlight w:val="none"/>
              </w:rPr>
              <w:t>的科学性、合理性、与项目实际</w:t>
            </w:r>
            <w:r>
              <w:rPr>
                <w:rFonts w:hint="eastAsia" w:ascii="宋体" w:hAnsi="宋体" w:eastAsia="宋体" w:cs="宋体"/>
                <w:bCs/>
                <w:color w:val="auto"/>
                <w:sz w:val="24"/>
                <w:szCs w:val="24"/>
                <w:highlight w:val="none"/>
                <w:lang w:val="en-US" w:eastAsia="zh-CN"/>
              </w:rPr>
              <w:t>符合</w:t>
            </w:r>
            <w:r>
              <w:rPr>
                <w:rFonts w:hint="eastAsia" w:ascii="宋体" w:hAnsi="宋体" w:eastAsia="宋体" w:cs="宋体"/>
                <w:bCs/>
                <w:color w:val="auto"/>
                <w:sz w:val="24"/>
                <w:szCs w:val="24"/>
                <w:highlight w:val="none"/>
              </w:rPr>
              <w:t>情况</w:t>
            </w:r>
            <w:r>
              <w:rPr>
                <w:rFonts w:hint="eastAsia" w:ascii="宋体" w:hAnsi="宋体" w:eastAsia="宋体" w:cs="宋体"/>
                <w:bCs/>
                <w:color w:val="auto"/>
                <w:sz w:val="24"/>
                <w:szCs w:val="24"/>
                <w:highlight w:val="none"/>
                <w:lang w:val="en-US" w:eastAsia="zh-CN"/>
              </w:rPr>
              <w:t>进行综合评审，</w:t>
            </w:r>
            <w:r>
              <w:rPr>
                <w:rFonts w:hint="eastAsia" w:ascii="宋体" w:hAnsi="宋体" w:eastAsia="宋体" w:cs="宋体"/>
                <w:bCs/>
                <w:color w:val="auto"/>
                <w:sz w:val="24"/>
                <w:szCs w:val="24"/>
                <w:highlight w:val="none"/>
              </w:rPr>
              <w:t>未提供不得分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（打分范围：4,3,2,1,0)</w:t>
            </w:r>
          </w:p>
        </w:tc>
        <w:tc>
          <w:tcPr>
            <w:tcW w:w="875" w:type="dxa"/>
            <w:vAlign w:val="center"/>
          </w:tcPr>
          <w:p w14:paraId="63A7BED3">
            <w:pPr>
              <w:snapToGrid w:val="0"/>
              <w:spacing w:line="360" w:lineRule="auto"/>
              <w:jc w:val="center"/>
              <w:outlineLvl w:val="0"/>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4</w:t>
            </w:r>
          </w:p>
        </w:tc>
      </w:tr>
      <w:tr w14:paraId="39C6A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753" w:type="dxa"/>
            <w:vAlign w:val="center"/>
          </w:tcPr>
          <w:p w14:paraId="74435737">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.6</w:t>
            </w:r>
          </w:p>
        </w:tc>
        <w:tc>
          <w:tcPr>
            <w:tcW w:w="8178" w:type="dxa"/>
            <w:vAlign w:val="center"/>
          </w:tcPr>
          <w:p w14:paraId="13ABFEB6">
            <w:pPr>
              <w:snapToGrid w:val="0"/>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结合项目情况，根据</w:t>
            </w:r>
            <w:r>
              <w:rPr>
                <w:rFonts w:hint="eastAsia" w:ascii="宋体" w:hAnsi="宋体" w:eastAsia="宋体" w:cs="宋体"/>
                <w:bCs/>
                <w:color w:val="auto"/>
                <w:sz w:val="24"/>
                <w:szCs w:val="24"/>
                <w:highlight w:val="none"/>
              </w:rPr>
              <w:t>拟投入主要施工机械设备</w:t>
            </w:r>
            <w:r>
              <w:rPr>
                <w:rFonts w:hint="eastAsia" w:ascii="宋体" w:hAnsi="宋体" w:eastAsia="宋体" w:cs="宋体"/>
                <w:bCs/>
                <w:color w:val="auto"/>
                <w:sz w:val="24"/>
                <w:szCs w:val="24"/>
                <w:highlight w:val="none"/>
                <w:lang w:val="en-US" w:eastAsia="zh-CN"/>
              </w:rPr>
              <w:t>充足</w:t>
            </w:r>
            <w:r>
              <w:rPr>
                <w:rFonts w:hint="eastAsia" w:ascii="宋体" w:hAnsi="宋体" w:eastAsia="宋体" w:cs="宋体"/>
                <w:bCs/>
                <w:color w:val="auto"/>
                <w:sz w:val="24"/>
                <w:szCs w:val="24"/>
                <w:highlight w:val="none"/>
              </w:rPr>
              <w:t>情况</w:t>
            </w:r>
            <w:r>
              <w:rPr>
                <w:rFonts w:hint="eastAsia" w:ascii="宋体" w:hAnsi="宋体" w:eastAsia="宋体" w:cs="宋体"/>
                <w:bCs/>
                <w:color w:val="auto"/>
                <w:sz w:val="24"/>
                <w:szCs w:val="24"/>
                <w:highlight w:val="none"/>
                <w:lang w:val="en-US" w:eastAsia="zh-CN"/>
              </w:rPr>
              <w:t>及</w:t>
            </w:r>
            <w:r>
              <w:rPr>
                <w:rFonts w:hint="eastAsia" w:ascii="宋体" w:hAnsi="宋体" w:eastAsia="宋体" w:cs="宋体"/>
                <w:bCs/>
                <w:color w:val="auto"/>
                <w:sz w:val="24"/>
                <w:szCs w:val="24"/>
                <w:highlight w:val="none"/>
              </w:rPr>
              <w:t>进场安排</w:t>
            </w:r>
            <w:r>
              <w:rPr>
                <w:rFonts w:hint="eastAsia" w:ascii="宋体" w:hAnsi="宋体" w:eastAsia="宋体" w:cs="宋体"/>
                <w:bCs/>
                <w:color w:val="auto"/>
                <w:sz w:val="24"/>
                <w:szCs w:val="24"/>
                <w:highlight w:val="none"/>
                <w:lang w:val="en-US" w:eastAsia="zh-CN"/>
              </w:rPr>
              <w:t>情况进行综合评审</w:t>
            </w:r>
            <w:r>
              <w:rPr>
                <w:rFonts w:hint="eastAsia" w:ascii="宋体" w:hAnsi="宋体" w:eastAsia="宋体" w:cs="宋体"/>
                <w:bCs/>
                <w:color w:val="auto"/>
                <w:sz w:val="24"/>
                <w:szCs w:val="24"/>
                <w:highlight w:val="none"/>
              </w:rPr>
              <w:t>，明确器械名称、数量等信息，未提供</w:t>
            </w:r>
            <w:bookmarkStart w:id="1025" w:name="_GoBack"/>
            <w:bookmarkEnd w:id="1025"/>
            <w:r>
              <w:rPr>
                <w:rFonts w:hint="eastAsia" w:ascii="宋体" w:hAnsi="宋体" w:eastAsia="宋体" w:cs="宋体"/>
                <w:bCs/>
                <w:color w:val="auto"/>
                <w:sz w:val="24"/>
                <w:szCs w:val="24"/>
                <w:highlight w:val="none"/>
              </w:rPr>
              <w:t>不得分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（打分范围：4,3,2,1,0)</w:t>
            </w:r>
          </w:p>
        </w:tc>
        <w:tc>
          <w:tcPr>
            <w:tcW w:w="875" w:type="dxa"/>
            <w:vAlign w:val="center"/>
          </w:tcPr>
          <w:p w14:paraId="010E83AE">
            <w:pPr>
              <w:snapToGrid w:val="0"/>
              <w:spacing w:line="360" w:lineRule="auto"/>
              <w:jc w:val="center"/>
              <w:outlineLvl w:val="0"/>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4</w:t>
            </w:r>
          </w:p>
        </w:tc>
      </w:tr>
      <w:tr w14:paraId="670F8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Align w:val="center"/>
          </w:tcPr>
          <w:p w14:paraId="55A1B294">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.7</w:t>
            </w:r>
          </w:p>
        </w:tc>
        <w:tc>
          <w:tcPr>
            <w:tcW w:w="8178" w:type="dxa"/>
            <w:vAlign w:val="center"/>
          </w:tcPr>
          <w:p w14:paraId="3F660BD9">
            <w:pPr>
              <w:snapToGrid w:val="0"/>
              <w:spacing w:line="360" w:lineRule="auto"/>
              <w:outlineLvl w:val="0"/>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lang w:val="en-US" w:eastAsia="zh-CN"/>
              </w:rPr>
              <w:t>结合项目情况，阐述</w:t>
            </w:r>
            <w:r>
              <w:rPr>
                <w:rFonts w:hint="eastAsia" w:ascii="宋体" w:hAnsi="宋体" w:eastAsia="宋体" w:cs="宋体"/>
                <w:bCs/>
                <w:color w:val="auto"/>
                <w:sz w:val="24"/>
                <w:szCs w:val="24"/>
                <w:highlight w:val="none"/>
              </w:rPr>
              <w:t>主材选型说明，需明确品牌型号或相关信息，</w:t>
            </w:r>
            <w:r>
              <w:rPr>
                <w:rFonts w:hint="eastAsia" w:ascii="宋体" w:hAnsi="宋体" w:eastAsia="宋体" w:cs="宋体"/>
                <w:bCs/>
                <w:color w:val="auto"/>
                <w:sz w:val="24"/>
                <w:szCs w:val="24"/>
                <w:highlight w:val="none"/>
                <w:lang w:val="en-US" w:eastAsia="zh-CN"/>
              </w:rPr>
              <w:t>根据</w:t>
            </w:r>
            <w:r>
              <w:rPr>
                <w:rFonts w:hint="eastAsia" w:ascii="宋体" w:hAnsi="宋体" w:eastAsia="宋体" w:cs="宋体"/>
                <w:bCs/>
                <w:color w:val="auto"/>
                <w:sz w:val="24"/>
                <w:szCs w:val="24"/>
                <w:highlight w:val="none"/>
              </w:rPr>
              <w:t>选材环保、性能、品质</w:t>
            </w:r>
            <w:r>
              <w:rPr>
                <w:rFonts w:hint="eastAsia" w:ascii="宋体" w:hAnsi="宋体" w:eastAsia="宋体" w:cs="宋体"/>
                <w:bCs/>
                <w:color w:val="auto"/>
                <w:sz w:val="24"/>
                <w:szCs w:val="24"/>
                <w:highlight w:val="none"/>
                <w:lang w:val="en-US" w:eastAsia="zh-CN"/>
              </w:rPr>
              <w:t>进行综合评审，</w:t>
            </w:r>
            <w:r>
              <w:rPr>
                <w:rFonts w:hint="eastAsia" w:ascii="宋体" w:hAnsi="宋体" w:eastAsia="宋体" w:cs="宋体"/>
                <w:bCs/>
                <w:color w:val="auto"/>
                <w:sz w:val="24"/>
                <w:szCs w:val="24"/>
                <w:highlight w:val="none"/>
              </w:rPr>
              <w:t>未提供不得分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（打分范围：4,3,2,1,0)</w:t>
            </w:r>
          </w:p>
        </w:tc>
        <w:tc>
          <w:tcPr>
            <w:tcW w:w="875" w:type="dxa"/>
            <w:vAlign w:val="center"/>
          </w:tcPr>
          <w:p w14:paraId="6ED02305">
            <w:pPr>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bCs/>
                <w:color w:val="auto"/>
                <w:sz w:val="24"/>
                <w:szCs w:val="24"/>
                <w:highlight w:val="none"/>
                <w:lang w:val="en-US" w:eastAsia="zh-CN"/>
              </w:rPr>
              <w:t>4</w:t>
            </w:r>
          </w:p>
        </w:tc>
      </w:tr>
      <w:tr w14:paraId="2606F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53" w:type="dxa"/>
            <w:vAlign w:val="center"/>
          </w:tcPr>
          <w:p w14:paraId="44C30154">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.8</w:t>
            </w:r>
          </w:p>
        </w:tc>
        <w:tc>
          <w:tcPr>
            <w:tcW w:w="8178" w:type="dxa"/>
            <w:vAlign w:val="center"/>
          </w:tcPr>
          <w:p w14:paraId="30F3EFB7">
            <w:pPr>
              <w:snapToGrid w:val="0"/>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结合项目情况，</w:t>
            </w:r>
            <w:r>
              <w:rPr>
                <w:rFonts w:hint="eastAsia" w:ascii="宋体" w:hAnsi="宋体" w:eastAsia="宋体" w:cs="宋体"/>
                <w:bCs/>
                <w:color w:val="auto"/>
                <w:sz w:val="24"/>
                <w:szCs w:val="24"/>
                <w:highlight w:val="none"/>
              </w:rPr>
              <w:t>突发应急保障能力，根据可能出现的突发事件，提出合理可行的应对措施，未提供不得分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（打分范围：3,2,1,0)</w:t>
            </w:r>
          </w:p>
        </w:tc>
        <w:tc>
          <w:tcPr>
            <w:tcW w:w="875" w:type="dxa"/>
            <w:vAlign w:val="center"/>
          </w:tcPr>
          <w:p w14:paraId="1B685861">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3</w:t>
            </w:r>
          </w:p>
        </w:tc>
      </w:tr>
      <w:tr w14:paraId="44F87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Align w:val="center"/>
          </w:tcPr>
          <w:p w14:paraId="0DDF27D9">
            <w:pPr>
              <w:snapToGrid w:val="0"/>
              <w:spacing w:line="360" w:lineRule="auto"/>
              <w:jc w:val="center"/>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6</w:t>
            </w:r>
          </w:p>
        </w:tc>
        <w:tc>
          <w:tcPr>
            <w:tcW w:w="8178" w:type="dxa"/>
            <w:vAlign w:val="center"/>
          </w:tcPr>
          <w:p w14:paraId="4B105E11">
            <w:pPr>
              <w:spacing w:line="360" w:lineRule="auto"/>
              <w:outlineLvl w:val="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项目进度安排（进度计划表、进度保障措施等）</w:t>
            </w:r>
            <w:r>
              <w:rPr>
                <w:rFonts w:hint="eastAsia" w:ascii="宋体" w:hAnsi="宋体" w:eastAsia="宋体" w:cs="宋体"/>
                <w:bCs/>
                <w:color w:val="auto"/>
                <w:sz w:val="24"/>
                <w:szCs w:val="24"/>
                <w:highlight w:val="none"/>
                <w:lang w:eastAsia="zh-CN"/>
              </w:rPr>
              <w:t>：</w:t>
            </w:r>
          </w:p>
          <w:p w14:paraId="2073A133">
            <w:pPr>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具有合理可行的进度计划表得1分，不合理不得分；</w:t>
            </w:r>
          </w:p>
          <w:p w14:paraId="075B9B2B">
            <w:pPr>
              <w:snapToGrid w:val="0"/>
              <w:spacing w:line="360" w:lineRule="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项目进度保障，工期提前措施，保障项目质量的前提，尽可能的提前工期，提供措施描述</w:t>
            </w:r>
            <w:r>
              <w:rPr>
                <w:rFonts w:hint="eastAsia" w:ascii="宋体" w:hAnsi="宋体" w:eastAsia="宋体" w:cs="宋体"/>
                <w:bCs/>
                <w:color w:val="auto"/>
                <w:sz w:val="24"/>
                <w:szCs w:val="24"/>
                <w:highlight w:val="none"/>
                <w:lang w:val="en-US" w:eastAsia="zh-CN"/>
              </w:rPr>
              <w:t>是否</w:t>
            </w:r>
            <w:r>
              <w:rPr>
                <w:rFonts w:hint="eastAsia" w:ascii="宋体" w:hAnsi="宋体" w:eastAsia="宋体" w:cs="宋体"/>
                <w:bCs/>
                <w:color w:val="auto"/>
                <w:sz w:val="24"/>
                <w:szCs w:val="24"/>
                <w:highlight w:val="none"/>
              </w:rPr>
              <w:t>合理可行</w:t>
            </w:r>
            <w:r>
              <w:rPr>
                <w:rFonts w:hint="eastAsia" w:ascii="宋体" w:hAnsi="宋体" w:eastAsia="宋体" w:cs="宋体"/>
                <w:bCs/>
                <w:color w:val="auto"/>
                <w:sz w:val="24"/>
                <w:szCs w:val="24"/>
                <w:highlight w:val="none"/>
                <w:lang w:val="en-US" w:eastAsia="zh-CN"/>
              </w:rPr>
              <w:t>进行综合评审，</w:t>
            </w:r>
            <w:r>
              <w:rPr>
                <w:rFonts w:hint="eastAsia" w:ascii="宋体" w:hAnsi="宋体" w:eastAsia="宋体" w:cs="宋体"/>
                <w:bCs/>
                <w:color w:val="auto"/>
                <w:sz w:val="24"/>
                <w:szCs w:val="24"/>
                <w:highlight w:val="none"/>
              </w:rPr>
              <w:t>未提供不得分；</w:t>
            </w:r>
            <w:r>
              <w:rPr>
                <w:rFonts w:hint="eastAsia" w:ascii="宋体" w:hAnsi="宋体" w:eastAsia="宋体" w:cs="宋体"/>
                <w:bCs/>
                <w:color w:val="auto"/>
                <w:sz w:val="24"/>
                <w:szCs w:val="24"/>
                <w:highlight w:val="none"/>
                <w:lang w:val="en-US" w:eastAsia="zh-CN"/>
              </w:rPr>
              <w:t>（打分范围：2,1,0)</w:t>
            </w:r>
          </w:p>
        </w:tc>
        <w:tc>
          <w:tcPr>
            <w:tcW w:w="875" w:type="dxa"/>
            <w:vAlign w:val="center"/>
          </w:tcPr>
          <w:p w14:paraId="0B8C2DC1">
            <w:pPr>
              <w:snapToGrid w:val="0"/>
              <w:spacing w:line="360" w:lineRule="auto"/>
              <w:jc w:val="center"/>
              <w:outlineLvl w:val="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3</w:t>
            </w:r>
          </w:p>
        </w:tc>
      </w:tr>
      <w:tr w14:paraId="3E335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Align w:val="center"/>
          </w:tcPr>
          <w:p w14:paraId="39BE1E0A">
            <w:pPr>
              <w:snapToGrid w:val="0"/>
              <w:spacing w:line="360" w:lineRule="auto"/>
              <w:jc w:val="center"/>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7</w:t>
            </w:r>
          </w:p>
        </w:tc>
        <w:tc>
          <w:tcPr>
            <w:tcW w:w="8178" w:type="dxa"/>
            <w:vAlign w:val="center"/>
          </w:tcPr>
          <w:p w14:paraId="3ED1B0A1">
            <w:pPr>
              <w:snapToGrid w:val="0"/>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项目团队</w:t>
            </w:r>
          </w:p>
        </w:tc>
        <w:tc>
          <w:tcPr>
            <w:tcW w:w="875" w:type="dxa"/>
            <w:vAlign w:val="center"/>
          </w:tcPr>
          <w:p w14:paraId="7F0EFDBB">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r>
      <w:tr w14:paraId="2C2E3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Align w:val="center"/>
          </w:tcPr>
          <w:p w14:paraId="6079E9AE">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.1</w:t>
            </w:r>
          </w:p>
        </w:tc>
        <w:tc>
          <w:tcPr>
            <w:tcW w:w="8178" w:type="dxa"/>
            <w:vAlign w:val="center"/>
          </w:tcPr>
          <w:p w14:paraId="3D2BEF3D">
            <w:pPr>
              <w:snapToGrid w:val="0"/>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客观分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项目经理（具备二级及以上建筑工程专业建造师且取得建安B证且无在建项目，否则本项不得分）：</w:t>
            </w:r>
          </w:p>
          <w:p w14:paraId="419C78BB">
            <w:pPr>
              <w:snapToGrid w:val="0"/>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（1）具有</w:t>
            </w:r>
            <w:r>
              <w:rPr>
                <w:rFonts w:hint="eastAsia" w:ascii="宋体" w:hAnsi="宋体" w:eastAsia="宋体" w:cs="宋体"/>
                <w:bCs/>
                <w:color w:val="auto"/>
                <w:sz w:val="24"/>
                <w:szCs w:val="24"/>
                <w:highlight w:val="none"/>
                <w:lang w:val="en-US" w:eastAsia="zh-CN"/>
              </w:rPr>
              <w:t>工程师</w:t>
            </w:r>
            <w:r>
              <w:rPr>
                <w:rFonts w:hint="eastAsia" w:ascii="宋体" w:hAnsi="宋体" w:cs="宋体"/>
                <w:bCs/>
                <w:color w:val="auto"/>
                <w:sz w:val="24"/>
                <w:szCs w:val="24"/>
                <w:highlight w:val="none"/>
                <w:lang w:val="en-US" w:eastAsia="zh-CN"/>
              </w:rPr>
              <w:t>及以上</w:t>
            </w:r>
            <w:r>
              <w:rPr>
                <w:rFonts w:hint="eastAsia" w:ascii="宋体" w:hAnsi="宋体" w:eastAsia="宋体" w:cs="宋体"/>
                <w:bCs/>
                <w:color w:val="auto"/>
                <w:sz w:val="24"/>
                <w:szCs w:val="24"/>
                <w:highlight w:val="none"/>
                <w:lang w:val="en-US" w:eastAsia="zh-CN"/>
              </w:rPr>
              <w:t>职称得</w:t>
            </w:r>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lang w:val="en-US" w:eastAsia="zh-CN"/>
              </w:rPr>
              <w:t>分，其余不得分</w:t>
            </w:r>
            <w:r>
              <w:rPr>
                <w:rFonts w:hint="eastAsia" w:ascii="宋体" w:hAnsi="宋体" w:eastAsia="宋体" w:cs="宋体"/>
                <w:bCs/>
                <w:color w:val="auto"/>
                <w:sz w:val="24"/>
                <w:szCs w:val="24"/>
                <w:highlight w:val="none"/>
              </w:rPr>
              <w:t>；</w:t>
            </w:r>
          </w:p>
          <w:p w14:paraId="23E57730">
            <w:pPr>
              <w:snapToGrid w:val="0"/>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（2）项目经理到位率承诺</w:t>
            </w:r>
            <w:r>
              <w:rPr>
                <w:rFonts w:hint="eastAsia" w:ascii="宋体" w:hAnsi="宋体" w:eastAsia="宋体" w:cs="宋体"/>
                <w:bCs/>
                <w:color w:val="auto"/>
                <w:sz w:val="24"/>
                <w:szCs w:val="24"/>
                <w:highlight w:val="none"/>
                <w:lang w:val="en-US" w:eastAsia="zh-CN"/>
              </w:rPr>
              <w:t>95</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以上</w:t>
            </w:r>
            <w:r>
              <w:rPr>
                <w:rFonts w:hint="eastAsia" w:ascii="宋体" w:hAnsi="宋体" w:eastAsia="宋体" w:cs="宋体"/>
                <w:bCs/>
                <w:color w:val="auto"/>
                <w:sz w:val="24"/>
                <w:szCs w:val="24"/>
                <w:highlight w:val="none"/>
              </w:rPr>
              <w:t>得</w:t>
            </w:r>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rPr>
              <w:t>分，到位率承诺80%及以上得</w:t>
            </w:r>
            <w:r>
              <w:rPr>
                <w:rFonts w:hint="eastAsia" w:ascii="宋体" w:hAnsi="宋体" w:cs="宋体"/>
                <w:bCs/>
                <w:color w:val="auto"/>
                <w:sz w:val="24"/>
                <w:szCs w:val="24"/>
                <w:highlight w:val="none"/>
                <w:lang w:val="en-US" w:eastAsia="zh-CN"/>
              </w:rPr>
              <w:t>0.5</w:t>
            </w:r>
            <w:r>
              <w:rPr>
                <w:rFonts w:hint="eastAsia" w:ascii="宋体" w:hAnsi="宋体" w:eastAsia="宋体" w:cs="宋体"/>
                <w:bCs/>
                <w:color w:val="auto"/>
                <w:sz w:val="24"/>
                <w:szCs w:val="24"/>
                <w:highlight w:val="none"/>
              </w:rPr>
              <w:t>分，到位率承诺低于80%不得分；</w:t>
            </w:r>
          </w:p>
          <w:p w14:paraId="15A27F51">
            <w:pPr>
              <w:snapToGrid w:val="0"/>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（3）具有类似项目管理实施经验得1分。</w:t>
            </w:r>
          </w:p>
          <w:p w14:paraId="52B79179">
            <w:pPr>
              <w:snapToGrid w:val="0"/>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提供履历、相关佐证、近三个月内</w:t>
            </w:r>
            <w:r>
              <w:rPr>
                <w:rFonts w:hint="eastAsia" w:ascii="宋体" w:hAnsi="宋体" w:cs="宋体"/>
                <w:bCs/>
                <w:color w:val="auto"/>
                <w:sz w:val="24"/>
                <w:szCs w:val="24"/>
                <w:highlight w:val="none"/>
                <w:lang w:val="en-US" w:eastAsia="zh-CN"/>
              </w:rPr>
              <w:t>任意一个月</w:t>
            </w:r>
            <w:r>
              <w:rPr>
                <w:rFonts w:hint="eastAsia" w:ascii="宋体" w:hAnsi="宋体" w:eastAsia="宋体" w:cs="宋体"/>
                <w:bCs/>
                <w:color w:val="auto"/>
                <w:sz w:val="24"/>
                <w:szCs w:val="24"/>
                <w:highlight w:val="none"/>
              </w:rPr>
              <w:t>的社保等材料。</w:t>
            </w:r>
          </w:p>
        </w:tc>
        <w:tc>
          <w:tcPr>
            <w:tcW w:w="875" w:type="dxa"/>
            <w:vAlign w:val="center"/>
          </w:tcPr>
          <w:p w14:paraId="039D2851">
            <w:pPr>
              <w:snapToGrid w:val="0"/>
              <w:spacing w:line="360" w:lineRule="auto"/>
              <w:jc w:val="center"/>
              <w:outlineLvl w:val="0"/>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3</w:t>
            </w:r>
          </w:p>
        </w:tc>
      </w:tr>
      <w:tr w14:paraId="16271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753" w:type="dxa"/>
            <w:vAlign w:val="center"/>
          </w:tcPr>
          <w:p w14:paraId="27A19B0F">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.2</w:t>
            </w:r>
          </w:p>
        </w:tc>
        <w:tc>
          <w:tcPr>
            <w:tcW w:w="8178" w:type="dxa"/>
            <w:vAlign w:val="center"/>
          </w:tcPr>
          <w:p w14:paraId="7F72017A">
            <w:pPr>
              <w:spacing w:line="360" w:lineRule="auto"/>
              <w:outlineLvl w:val="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客观分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技术负责人：具有</w:t>
            </w:r>
            <w:r>
              <w:rPr>
                <w:rFonts w:hint="eastAsia" w:ascii="宋体" w:hAnsi="宋体" w:eastAsia="宋体" w:cs="宋体"/>
                <w:bCs/>
                <w:color w:val="auto"/>
                <w:sz w:val="24"/>
                <w:szCs w:val="24"/>
                <w:highlight w:val="none"/>
                <w:lang w:val="en-US" w:eastAsia="zh-CN"/>
              </w:rPr>
              <w:t>工程师</w:t>
            </w:r>
            <w:r>
              <w:rPr>
                <w:rFonts w:hint="eastAsia" w:ascii="宋体" w:hAnsi="宋体" w:cs="宋体"/>
                <w:bCs/>
                <w:color w:val="auto"/>
                <w:sz w:val="24"/>
                <w:szCs w:val="24"/>
                <w:highlight w:val="none"/>
                <w:lang w:val="en-US" w:eastAsia="zh-CN"/>
              </w:rPr>
              <w:t>及以上</w:t>
            </w:r>
            <w:r>
              <w:rPr>
                <w:rFonts w:hint="eastAsia" w:ascii="宋体" w:hAnsi="宋体" w:eastAsia="宋体" w:cs="宋体"/>
                <w:bCs/>
                <w:color w:val="auto"/>
                <w:sz w:val="24"/>
                <w:szCs w:val="24"/>
                <w:highlight w:val="none"/>
              </w:rPr>
              <w:t>职称得</w:t>
            </w:r>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val="en-US" w:eastAsia="zh-CN"/>
              </w:rPr>
              <w:t>，其余不得分</w:t>
            </w:r>
            <w:r>
              <w:rPr>
                <w:rFonts w:hint="eastAsia" w:ascii="宋体" w:hAnsi="宋体" w:cs="宋体"/>
                <w:bCs/>
                <w:color w:val="auto"/>
                <w:sz w:val="24"/>
                <w:szCs w:val="24"/>
                <w:highlight w:val="none"/>
                <w:lang w:val="en-US" w:eastAsia="zh-CN"/>
              </w:rPr>
              <w:t>。</w:t>
            </w:r>
          </w:p>
          <w:p w14:paraId="0E2D676D">
            <w:pPr>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提供履历、</w:t>
            </w:r>
            <w:r>
              <w:rPr>
                <w:rFonts w:hint="eastAsia" w:ascii="宋体" w:hAnsi="宋体" w:eastAsia="宋体" w:cs="宋体"/>
                <w:bCs/>
                <w:color w:val="auto"/>
                <w:sz w:val="24"/>
                <w:szCs w:val="24"/>
                <w:highlight w:val="none"/>
                <w:lang w:val="en-US" w:eastAsia="zh-CN"/>
              </w:rPr>
              <w:t>证书</w:t>
            </w:r>
            <w:r>
              <w:rPr>
                <w:rFonts w:hint="eastAsia" w:ascii="宋体" w:hAnsi="宋体" w:eastAsia="宋体" w:cs="宋体"/>
                <w:bCs/>
                <w:color w:val="auto"/>
                <w:sz w:val="24"/>
                <w:szCs w:val="24"/>
                <w:highlight w:val="none"/>
              </w:rPr>
              <w:t>、近三个月内</w:t>
            </w:r>
            <w:r>
              <w:rPr>
                <w:rFonts w:hint="eastAsia" w:ascii="宋体" w:hAnsi="宋体" w:cs="宋体"/>
                <w:bCs/>
                <w:color w:val="auto"/>
                <w:sz w:val="24"/>
                <w:szCs w:val="24"/>
                <w:highlight w:val="none"/>
                <w:lang w:val="en-US" w:eastAsia="zh-CN"/>
              </w:rPr>
              <w:t>任意一个月</w:t>
            </w:r>
            <w:r>
              <w:rPr>
                <w:rFonts w:hint="eastAsia" w:ascii="宋体" w:hAnsi="宋体" w:eastAsia="宋体" w:cs="宋体"/>
                <w:bCs/>
                <w:color w:val="auto"/>
                <w:sz w:val="24"/>
                <w:szCs w:val="24"/>
                <w:highlight w:val="none"/>
              </w:rPr>
              <w:t>的社保等材料。</w:t>
            </w:r>
          </w:p>
        </w:tc>
        <w:tc>
          <w:tcPr>
            <w:tcW w:w="875" w:type="dxa"/>
            <w:vAlign w:val="center"/>
          </w:tcPr>
          <w:p w14:paraId="6C00AD67">
            <w:pPr>
              <w:spacing w:line="360" w:lineRule="auto"/>
              <w:ind w:firstLine="33" w:firstLineChars="14"/>
              <w:jc w:val="center"/>
              <w:outlineLvl w:val="0"/>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1</w:t>
            </w:r>
          </w:p>
        </w:tc>
      </w:tr>
      <w:tr w14:paraId="3C21C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Align w:val="center"/>
          </w:tcPr>
          <w:p w14:paraId="067B4B00">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.3</w:t>
            </w:r>
          </w:p>
        </w:tc>
        <w:tc>
          <w:tcPr>
            <w:tcW w:w="8178" w:type="dxa"/>
            <w:vAlign w:val="center"/>
          </w:tcPr>
          <w:p w14:paraId="27FFBA42">
            <w:pPr>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项目团队（至少包含主要管理人员）：</w:t>
            </w:r>
            <w:r>
              <w:rPr>
                <w:rFonts w:hint="eastAsia" w:ascii="宋体" w:hAnsi="宋体" w:eastAsia="宋体" w:cs="宋体"/>
                <w:bCs/>
                <w:color w:val="auto"/>
                <w:sz w:val="24"/>
                <w:szCs w:val="24"/>
                <w:highlight w:val="none"/>
                <w:lang w:val="en-US" w:eastAsia="zh-CN"/>
              </w:rPr>
              <w:t>根据</w:t>
            </w:r>
            <w:r>
              <w:rPr>
                <w:rFonts w:hint="eastAsia" w:ascii="宋体" w:hAnsi="宋体" w:eastAsia="宋体" w:cs="宋体"/>
                <w:bCs/>
                <w:color w:val="auto"/>
                <w:sz w:val="24"/>
                <w:szCs w:val="24"/>
                <w:highlight w:val="none"/>
              </w:rPr>
              <w:t>专业分工</w:t>
            </w:r>
            <w:r>
              <w:rPr>
                <w:rFonts w:hint="eastAsia" w:ascii="宋体" w:hAnsi="宋体" w:eastAsia="宋体" w:cs="宋体"/>
                <w:bCs/>
                <w:color w:val="auto"/>
                <w:sz w:val="24"/>
                <w:szCs w:val="24"/>
                <w:highlight w:val="none"/>
                <w:lang w:val="en-US" w:eastAsia="zh-CN"/>
              </w:rPr>
              <w:t>是否</w:t>
            </w:r>
            <w:r>
              <w:rPr>
                <w:rFonts w:hint="eastAsia" w:ascii="宋体" w:hAnsi="宋体" w:eastAsia="宋体" w:cs="宋体"/>
                <w:bCs/>
                <w:color w:val="auto"/>
                <w:sz w:val="24"/>
                <w:szCs w:val="24"/>
                <w:highlight w:val="none"/>
              </w:rPr>
              <w:t>合理，</w:t>
            </w:r>
            <w:r>
              <w:rPr>
                <w:rFonts w:hint="eastAsia" w:ascii="宋体" w:hAnsi="宋体" w:eastAsia="宋体" w:cs="宋体"/>
                <w:bCs/>
                <w:color w:val="auto"/>
                <w:sz w:val="24"/>
                <w:szCs w:val="24"/>
                <w:highlight w:val="none"/>
                <w:lang w:val="en-US" w:eastAsia="zh-CN"/>
              </w:rPr>
              <w:t>是否</w:t>
            </w:r>
            <w:r>
              <w:rPr>
                <w:rFonts w:hint="eastAsia" w:ascii="宋体" w:hAnsi="宋体" w:eastAsia="宋体" w:cs="宋体"/>
                <w:bCs/>
                <w:color w:val="auto"/>
                <w:sz w:val="24"/>
                <w:szCs w:val="24"/>
                <w:highlight w:val="none"/>
              </w:rPr>
              <w:t>配备专职安全员，人数满足</w:t>
            </w:r>
            <w:r>
              <w:rPr>
                <w:rFonts w:hint="eastAsia" w:ascii="宋体" w:hAnsi="宋体" w:eastAsia="宋体" w:cs="宋体"/>
                <w:bCs/>
                <w:color w:val="auto"/>
                <w:sz w:val="24"/>
                <w:szCs w:val="24"/>
                <w:highlight w:val="none"/>
                <w:lang w:val="en-US" w:eastAsia="zh-CN"/>
              </w:rPr>
              <w:t>是否</w:t>
            </w:r>
            <w:r>
              <w:rPr>
                <w:rFonts w:hint="eastAsia" w:ascii="宋体" w:hAnsi="宋体" w:eastAsia="宋体" w:cs="宋体"/>
                <w:bCs/>
                <w:color w:val="auto"/>
                <w:sz w:val="24"/>
                <w:szCs w:val="24"/>
                <w:highlight w:val="none"/>
              </w:rPr>
              <w:t>施工进度需求</w:t>
            </w:r>
            <w:r>
              <w:rPr>
                <w:rFonts w:hint="eastAsia" w:ascii="宋体" w:hAnsi="宋体" w:eastAsia="宋体" w:cs="宋体"/>
                <w:bCs/>
                <w:color w:val="auto"/>
                <w:sz w:val="24"/>
                <w:szCs w:val="24"/>
                <w:highlight w:val="none"/>
                <w:lang w:val="en-US" w:eastAsia="zh-CN"/>
              </w:rPr>
              <w:t>进行综合评审</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未提供</w:t>
            </w:r>
            <w:r>
              <w:rPr>
                <w:rFonts w:hint="eastAsia" w:ascii="宋体" w:hAnsi="宋体" w:eastAsia="宋体" w:cs="宋体"/>
                <w:bCs/>
                <w:color w:val="auto"/>
                <w:sz w:val="24"/>
                <w:szCs w:val="24"/>
                <w:highlight w:val="none"/>
              </w:rPr>
              <w:t>或无安全员不得分。</w:t>
            </w:r>
            <w:r>
              <w:rPr>
                <w:rFonts w:hint="eastAsia" w:ascii="宋体" w:hAnsi="宋体" w:eastAsia="宋体" w:cs="宋体"/>
                <w:bCs/>
                <w:color w:val="auto"/>
                <w:sz w:val="24"/>
                <w:szCs w:val="24"/>
                <w:highlight w:val="none"/>
                <w:lang w:val="en-US" w:eastAsia="zh-CN"/>
              </w:rPr>
              <w:t>（打分范围：2,1,0)</w:t>
            </w:r>
          </w:p>
        </w:tc>
        <w:tc>
          <w:tcPr>
            <w:tcW w:w="875" w:type="dxa"/>
            <w:vAlign w:val="center"/>
          </w:tcPr>
          <w:p w14:paraId="3FA12FF3">
            <w:pPr>
              <w:spacing w:line="360" w:lineRule="auto"/>
              <w:ind w:firstLine="33" w:firstLineChars="14"/>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2</w:t>
            </w:r>
          </w:p>
        </w:tc>
      </w:tr>
      <w:tr w14:paraId="60B0F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Align w:val="center"/>
          </w:tcPr>
          <w:p w14:paraId="4CB5C988">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.4</w:t>
            </w:r>
          </w:p>
        </w:tc>
        <w:tc>
          <w:tcPr>
            <w:tcW w:w="8178" w:type="dxa"/>
            <w:vAlign w:val="center"/>
          </w:tcPr>
          <w:p w14:paraId="13BC3AF2">
            <w:pPr>
              <w:snapToGrid w:val="0"/>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劳动力计划安排，根据进度，</w:t>
            </w:r>
            <w:r>
              <w:rPr>
                <w:rFonts w:hint="eastAsia" w:ascii="宋体" w:hAnsi="宋体" w:eastAsia="宋体" w:cs="宋体"/>
                <w:bCs/>
                <w:color w:val="auto"/>
                <w:sz w:val="24"/>
                <w:szCs w:val="24"/>
                <w:highlight w:val="none"/>
                <w:lang w:val="en-US" w:eastAsia="zh-CN"/>
              </w:rPr>
              <w:t>根据</w:t>
            </w:r>
            <w:r>
              <w:rPr>
                <w:rFonts w:hint="eastAsia" w:ascii="宋体" w:hAnsi="宋体" w:eastAsia="宋体" w:cs="宋体"/>
                <w:bCs/>
                <w:color w:val="auto"/>
                <w:sz w:val="24"/>
                <w:szCs w:val="24"/>
                <w:highlight w:val="none"/>
              </w:rPr>
              <w:t>劳动力投入</w:t>
            </w:r>
            <w:r>
              <w:rPr>
                <w:rFonts w:hint="eastAsia" w:ascii="宋体" w:hAnsi="宋体" w:eastAsia="宋体" w:cs="宋体"/>
                <w:bCs/>
                <w:color w:val="auto"/>
                <w:sz w:val="24"/>
                <w:szCs w:val="24"/>
                <w:highlight w:val="none"/>
                <w:lang w:val="en-US" w:eastAsia="zh-CN"/>
              </w:rPr>
              <w:t>的</w:t>
            </w:r>
            <w:r>
              <w:rPr>
                <w:rFonts w:hint="eastAsia" w:ascii="宋体" w:hAnsi="宋体" w:eastAsia="宋体" w:cs="宋体"/>
                <w:bCs/>
                <w:color w:val="auto"/>
                <w:sz w:val="24"/>
                <w:szCs w:val="24"/>
                <w:highlight w:val="none"/>
              </w:rPr>
              <w:t>合理</w:t>
            </w:r>
            <w:r>
              <w:rPr>
                <w:rFonts w:hint="eastAsia" w:ascii="宋体" w:hAnsi="宋体" w:eastAsia="宋体" w:cs="宋体"/>
                <w:bCs/>
                <w:color w:val="auto"/>
                <w:sz w:val="24"/>
                <w:szCs w:val="24"/>
                <w:highlight w:val="none"/>
                <w:lang w:val="en-US" w:eastAsia="zh-CN"/>
              </w:rPr>
              <w:t>性、</w:t>
            </w:r>
            <w:r>
              <w:rPr>
                <w:rFonts w:hint="eastAsia" w:ascii="宋体" w:hAnsi="宋体" w:eastAsia="宋体" w:cs="宋体"/>
                <w:bCs/>
                <w:color w:val="auto"/>
                <w:sz w:val="24"/>
                <w:szCs w:val="24"/>
                <w:highlight w:val="none"/>
              </w:rPr>
              <w:t>可行</w:t>
            </w:r>
            <w:r>
              <w:rPr>
                <w:rFonts w:hint="eastAsia" w:ascii="宋体" w:hAnsi="宋体" w:eastAsia="宋体" w:cs="宋体"/>
                <w:bCs/>
                <w:color w:val="auto"/>
                <w:sz w:val="24"/>
                <w:szCs w:val="24"/>
                <w:highlight w:val="none"/>
                <w:lang w:val="en-US" w:eastAsia="zh-CN"/>
              </w:rPr>
              <w:t>性进行综合评审，</w:t>
            </w:r>
            <w:r>
              <w:rPr>
                <w:rFonts w:hint="eastAsia" w:ascii="宋体" w:hAnsi="宋体" w:eastAsia="宋体" w:cs="宋体"/>
                <w:bCs/>
                <w:color w:val="auto"/>
                <w:sz w:val="24"/>
                <w:szCs w:val="24"/>
                <w:highlight w:val="none"/>
              </w:rPr>
              <w:t>未提供不得分；</w:t>
            </w:r>
            <w:r>
              <w:rPr>
                <w:rFonts w:hint="eastAsia" w:ascii="宋体" w:hAnsi="宋体" w:eastAsia="宋体" w:cs="宋体"/>
                <w:bCs/>
                <w:color w:val="auto"/>
                <w:sz w:val="24"/>
                <w:szCs w:val="24"/>
                <w:highlight w:val="none"/>
                <w:lang w:val="en-US" w:eastAsia="zh-CN"/>
              </w:rPr>
              <w:t>（打分范围：2,1,0)</w:t>
            </w:r>
          </w:p>
        </w:tc>
        <w:tc>
          <w:tcPr>
            <w:tcW w:w="875" w:type="dxa"/>
            <w:vAlign w:val="center"/>
          </w:tcPr>
          <w:p w14:paraId="5CD58706">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p>
        </w:tc>
      </w:tr>
      <w:tr w14:paraId="53067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Align w:val="center"/>
          </w:tcPr>
          <w:p w14:paraId="408A5179">
            <w:pPr>
              <w:snapToGrid w:val="0"/>
              <w:spacing w:line="360" w:lineRule="auto"/>
              <w:jc w:val="center"/>
              <w:outlineLvl w:val="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8</w:t>
            </w:r>
          </w:p>
        </w:tc>
        <w:tc>
          <w:tcPr>
            <w:tcW w:w="8178" w:type="dxa"/>
            <w:vAlign w:val="center"/>
          </w:tcPr>
          <w:p w14:paraId="72B6D839">
            <w:pPr>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售后服务承诺：</w:t>
            </w:r>
          </w:p>
          <w:p w14:paraId="5D2CF36C">
            <w:pPr>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工程竣工后的保修服务承诺和保证措施，</w:t>
            </w:r>
            <w:r>
              <w:rPr>
                <w:rFonts w:hint="eastAsia" w:ascii="宋体" w:hAnsi="宋体" w:eastAsia="宋体" w:cs="宋体"/>
                <w:bCs/>
                <w:color w:val="auto"/>
                <w:sz w:val="24"/>
                <w:szCs w:val="24"/>
                <w:highlight w:val="none"/>
                <w:lang w:val="en-US" w:eastAsia="zh-CN"/>
              </w:rPr>
              <w:t>根据</w:t>
            </w:r>
            <w:r>
              <w:rPr>
                <w:rFonts w:hint="eastAsia" w:ascii="宋体" w:hAnsi="宋体" w:eastAsia="宋体" w:cs="宋体"/>
                <w:bCs/>
                <w:color w:val="auto"/>
                <w:sz w:val="24"/>
                <w:szCs w:val="24"/>
                <w:highlight w:val="none"/>
              </w:rPr>
              <w:t>内容</w:t>
            </w:r>
            <w:r>
              <w:rPr>
                <w:rFonts w:hint="eastAsia" w:ascii="宋体" w:hAnsi="宋体" w:eastAsia="宋体" w:cs="宋体"/>
                <w:bCs/>
                <w:color w:val="auto"/>
                <w:sz w:val="24"/>
                <w:szCs w:val="24"/>
                <w:highlight w:val="none"/>
                <w:lang w:val="en-US" w:eastAsia="zh-CN"/>
              </w:rPr>
              <w:t>是否</w:t>
            </w:r>
            <w:r>
              <w:rPr>
                <w:rFonts w:hint="eastAsia" w:ascii="宋体" w:hAnsi="宋体" w:eastAsia="宋体" w:cs="宋体"/>
                <w:bCs/>
                <w:color w:val="auto"/>
                <w:sz w:val="24"/>
                <w:szCs w:val="24"/>
                <w:highlight w:val="none"/>
              </w:rPr>
              <w:t>全面可行</w:t>
            </w:r>
            <w:r>
              <w:rPr>
                <w:rFonts w:hint="eastAsia" w:ascii="宋体" w:hAnsi="宋体" w:eastAsia="宋体" w:cs="宋体"/>
                <w:bCs/>
                <w:color w:val="auto"/>
                <w:sz w:val="24"/>
                <w:szCs w:val="24"/>
                <w:highlight w:val="none"/>
                <w:lang w:val="en-US" w:eastAsia="zh-CN"/>
              </w:rPr>
              <w:t>进行综合评审，</w:t>
            </w:r>
            <w:r>
              <w:rPr>
                <w:rFonts w:hint="eastAsia" w:ascii="宋体" w:hAnsi="宋体" w:eastAsia="宋体" w:cs="宋体"/>
                <w:bCs/>
                <w:color w:val="auto"/>
                <w:sz w:val="24"/>
                <w:szCs w:val="24"/>
                <w:highlight w:val="none"/>
              </w:rPr>
              <w:t>未提供不得分；</w:t>
            </w:r>
            <w:r>
              <w:rPr>
                <w:rFonts w:hint="eastAsia" w:ascii="宋体" w:hAnsi="宋体" w:eastAsia="宋体" w:cs="宋体"/>
                <w:bCs/>
                <w:color w:val="auto"/>
                <w:sz w:val="24"/>
                <w:szCs w:val="24"/>
                <w:highlight w:val="none"/>
                <w:lang w:val="en-US" w:eastAsia="zh-CN"/>
              </w:rPr>
              <w:t>（打分范围：2,1,0)</w:t>
            </w:r>
          </w:p>
          <w:p w14:paraId="5DE9171C">
            <w:pPr>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根据</w:t>
            </w:r>
            <w:r>
              <w:rPr>
                <w:rFonts w:hint="eastAsia" w:ascii="宋体" w:hAnsi="宋体" w:eastAsia="宋体" w:cs="宋体"/>
                <w:bCs/>
                <w:color w:val="auto"/>
                <w:sz w:val="24"/>
                <w:szCs w:val="24"/>
                <w:highlight w:val="none"/>
              </w:rPr>
              <w:t>质保</w:t>
            </w:r>
            <w:r>
              <w:rPr>
                <w:rFonts w:hint="eastAsia" w:ascii="宋体" w:hAnsi="宋体" w:eastAsia="宋体" w:cs="宋体"/>
                <w:bCs/>
                <w:color w:val="auto"/>
                <w:sz w:val="24"/>
                <w:szCs w:val="24"/>
                <w:highlight w:val="none"/>
                <w:lang w:val="en-US" w:eastAsia="zh-CN"/>
              </w:rPr>
              <w:t>是否</w:t>
            </w:r>
            <w:r>
              <w:rPr>
                <w:rFonts w:hint="eastAsia" w:ascii="宋体" w:hAnsi="宋体" w:eastAsia="宋体" w:cs="宋体"/>
                <w:bCs/>
                <w:color w:val="auto"/>
                <w:sz w:val="24"/>
                <w:szCs w:val="24"/>
                <w:highlight w:val="none"/>
              </w:rPr>
              <w:t>响应</w:t>
            </w:r>
            <w:r>
              <w:rPr>
                <w:rFonts w:hint="eastAsia" w:ascii="宋体" w:hAnsi="宋体" w:eastAsia="宋体" w:cs="宋体"/>
                <w:bCs/>
                <w:color w:val="auto"/>
                <w:sz w:val="24"/>
                <w:szCs w:val="24"/>
                <w:highlight w:val="none"/>
                <w:lang w:val="en-US" w:eastAsia="zh-CN"/>
              </w:rPr>
              <w:t>及时进行综合评审，</w:t>
            </w:r>
            <w:r>
              <w:rPr>
                <w:rFonts w:hint="eastAsia" w:ascii="宋体" w:hAnsi="宋体" w:eastAsia="宋体" w:cs="宋体"/>
                <w:bCs/>
                <w:color w:val="auto"/>
                <w:sz w:val="24"/>
                <w:szCs w:val="24"/>
                <w:highlight w:val="none"/>
              </w:rPr>
              <w:t>未提供不得分；</w:t>
            </w:r>
            <w:r>
              <w:rPr>
                <w:rFonts w:hint="eastAsia" w:ascii="宋体" w:hAnsi="宋体" w:eastAsia="宋体" w:cs="宋体"/>
                <w:bCs/>
                <w:color w:val="auto"/>
                <w:sz w:val="24"/>
                <w:szCs w:val="24"/>
                <w:highlight w:val="none"/>
                <w:lang w:val="en-US" w:eastAsia="zh-CN"/>
              </w:rPr>
              <w:t>（打分范围：2,1,0)</w:t>
            </w:r>
            <w:r>
              <w:rPr>
                <w:rFonts w:hint="eastAsia" w:ascii="宋体" w:hAnsi="宋体" w:eastAsia="宋体" w:cs="宋体"/>
                <w:bCs/>
                <w:color w:val="auto"/>
                <w:sz w:val="24"/>
                <w:szCs w:val="24"/>
                <w:highlight w:val="none"/>
              </w:rPr>
              <w:t>。</w:t>
            </w:r>
          </w:p>
        </w:tc>
        <w:tc>
          <w:tcPr>
            <w:tcW w:w="875" w:type="dxa"/>
            <w:vAlign w:val="center"/>
          </w:tcPr>
          <w:p w14:paraId="70F6DECB">
            <w:pPr>
              <w:spacing w:line="360" w:lineRule="auto"/>
              <w:ind w:firstLine="33" w:firstLineChars="14"/>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w:t>
            </w:r>
          </w:p>
        </w:tc>
      </w:tr>
      <w:tr w14:paraId="30E7F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Align w:val="center"/>
          </w:tcPr>
          <w:p w14:paraId="412A5CE2">
            <w:pPr>
              <w:snapToGrid w:val="0"/>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9</w:t>
            </w:r>
          </w:p>
        </w:tc>
        <w:tc>
          <w:tcPr>
            <w:tcW w:w="8178" w:type="dxa"/>
            <w:vAlign w:val="center"/>
          </w:tcPr>
          <w:p w14:paraId="0114FA75">
            <w:pPr>
              <w:widowControl/>
              <w:shd w:val="clear" w:color="auto" w:fill="FFFFFF"/>
              <w:adjustRightInd/>
              <w:snapToGri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样品：</w:t>
            </w:r>
          </w:p>
          <w:p w14:paraId="5E304182">
            <w:pPr>
              <w:spacing w:line="360" w:lineRule="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①外墙真石漆涂料：提供不小于A4纸大小（210*297mm)的样板（颜色不限）</w:t>
            </w:r>
            <w:r>
              <w:rPr>
                <w:rFonts w:hint="eastAsia" w:ascii="宋体" w:hAnsi="宋体" w:cs="宋体"/>
                <w:color w:val="auto"/>
                <w:sz w:val="24"/>
                <w:szCs w:val="24"/>
                <w:highlight w:val="none"/>
                <w:lang w:val="en-US" w:eastAsia="zh-CN"/>
              </w:rPr>
              <w:t>，</w:t>
            </w:r>
            <w:r>
              <w:rPr>
                <w:rFonts w:hint="eastAsia" w:ascii="宋体" w:hAnsi="宋体" w:eastAsia="宋体" w:cs="宋体"/>
                <w:color w:val="auto"/>
                <w:kern w:val="0"/>
                <w:sz w:val="24"/>
                <w:highlight w:val="none"/>
                <w:u w:val="none"/>
                <w:lang w:val="en-US" w:eastAsia="zh-CN"/>
              </w:rPr>
              <w:t>根据</w:t>
            </w:r>
            <w:r>
              <w:rPr>
                <w:rFonts w:hint="eastAsia" w:ascii="宋体" w:hAnsi="宋体" w:cs="宋体"/>
                <w:color w:val="auto"/>
                <w:sz w:val="24"/>
                <w:highlight w:val="none"/>
              </w:rPr>
              <w:t>样品</w:t>
            </w:r>
            <w:r>
              <w:rPr>
                <w:rFonts w:hint="eastAsia" w:ascii="宋体" w:hAnsi="宋体" w:cs="宋体"/>
                <w:color w:val="auto"/>
                <w:sz w:val="24"/>
                <w:highlight w:val="none"/>
                <w:lang w:val="en-US" w:eastAsia="zh-CN"/>
              </w:rPr>
              <w:t>规格、品质、</w:t>
            </w:r>
            <w:r>
              <w:rPr>
                <w:rFonts w:hint="eastAsia" w:ascii="宋体" w:hAnsi="宋体" w:cs="宋体"/>
                <w:color w:val="auto"/>
                <w:sz w:val="24"/>
                <w:highlight w:val="none"/>
              </w:rPr>
              <w:t>工艺</w:t>
            </w:r>
            <w:r>
              <w:rPr>
                <w:rFonts w:hint="eastAsia" w:ascii="宋体" w:hAnsi="宋体" w:eastAsia="宋体" w:cs="宋体"/>
                <w:color w:val="auto"/>
                <w:kern w:val="0"/>
                <w:sz w:val="24"/>
                <w:highlight w:val="none"/>
                <w:u w:val="none"/>
                <w:lang w:eastAsia="zh-CN"/>
              </w:rPr>
              <w:t>等进行综合打分</w:t>
            </w:r>
            <w:r>
              <w:rPr>
                <w:rFonts w:hint="eastAsia" w:ascii="宋体" w:hAnsi="宋体" w:cs="宋体"/>
                <w:color w:val="auto"/>
                <w:sz w:val="24"/>
                <w:szCs w:val="24"/>
                <w:highlight w:val="none"/>
                <w:lang w:val="en-US" w:eastAsia="zh-CN"/>
              </w:rPr>
              <w:t>，</w:t>
            </w:r>
            <w:r>
              <w:rPr>
                <w:rFonts w:hint="eastAsia" w:ascii="宋体" w:hAnsi="宋体" w:eastAsia="宋体" w:cs="宋体"/>
                <w:color w:val="auto"/>
                <w:kern w:val="0"/>
                <w:sz w:val="24"/>
                <w:highlight w:val="none"/>
                <w:u w:val="none"/>
                <w:lang w:val="en-US" w:eastAsia="zh-CN"/>
              </w:rPr>
              <w:t>根据</w:t>
            </w:r>
            <w:r>
              <w:rPr>
                <w:rFonts w:hint="eastAsia" w:ascii="宋体" w:hAnsi="宋体" w:cs="宋体"/>
                <w:color w:val="auto"/>
                <w:sz w:val="24"/>
                <w:highlight w:val="none"/>
              </w:rPr>
              <w:t>样品</w:t>
            </w:r>
            <w:r>
              <w:rPr>
                <w:rFonts w:hint="eastAsia" w:ascii="宋体" w:hAnsi="宋体" w:cs="宋体"/>
                <w:color w:val="auto"/>
                <w:sz w:val="24"/>
                <w:highlight w:val="none"/>
                <w:lang w:val="en-US" w:eastAsia="zh-CN"/>
              </w:rPr>
              <w:t>规格、品质、</w:t>
            </w:r>
            <w:r>
              <w:rPr>
                <w:rFonts w:hint="eastAsia" w:ascii="宋体" w:hAnsi="宋体" w:cs="宋体"/>
                <w:color w:val="auto"/>
                <w:sz w:val="24"/>
                <w:highlight w:val="none"/>
              </w:rPr>
              <w:t>工艺</w:t>
            </w:r>
            <w:r>
              <w:rPr>
                <w:rFonts w:hint="eastAsia" w:ascii="宋体" w:hAnsi="宋体" w:eastAsia="宋体" w:cs="宋体"/>
                <w:color w:val="auto"/>
                <w:kern w:val="0"/>
                <w:sz w:val="24"/>
                <w:highlight w:val="none"/>
                <w:u w:val="none"/>
                <w:lang w:eastAsia="zh-CN"/>
              </w:rPr>
              <w:t>等进行综合打分</w:t>
            </w:r>
            <w:r>
              <w:rPr>
                <w:rFonts w:hint="eastAsia" w:ascii="宋体" w:hAnsi="宋体" w:eastAsia="宋体" w:cs="宋体"/>
                <w:color w:val="auto"/>
                <w:sz w:val="24"/>
                <w:szCs w:val="24"/>
                <w:highlight w:val="none"/>
                <w:lang w:val="en-US" w:eastAsia="zh-CN"/>
              </w:rPr>
              <w:t>。</w:t>
            </w:r>
            <w:r>
              <w:rPr>
                <w:rFonts w:hint="eastAsia" w:ascii="宋体" w:hAnsi="宋体" w:eastAsia="宋体" w:cs="宋体"/>
                <w:bCs/>
                <w:color w:val="auto"/>
                <w:sz w:val="24"/>
                <w:szCs w:val="24"/>
                <w:highlight w:val="none"/>
                <w:lang w:val="en-US" w:eastAsia="zh-CN"/>
              </w:rPr>
              <w:t>（打分范围：3,2,1,0）</w:t>
            </w:r>
          </w:p>
          <w:p w14:paraId="7A9C6093">
            <w:pPr>
              <w:spacing w:line="360" w:lineRule="auto"/>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②铝板（厚度按清单描述）：提供不小于200*300mm的样板（颜色不限）</w:t>
            </w:r>
            <w:r>
              <w:rPr>
                <w:rFonts w:hint="eastAsia" w:ascii="宋体" w:hAnsi="宋体" w:cs="宋体"/>
                <w:color w:val="auto"/>
                <w:sz w:val="24"/>
                <w:szCs w:val="24"/>
                <w:highlight w:val="none"/>
                <w:lang w:val="en-US" w:eastAsia="zh-CN"/>
              </w:rPr>
              <w:t>，</w:t>
            </w:r>
            <w:r>
              <w:rPr>
                <w:rFonts w:hint="eastAsia" w:ascii="宋体" w:hAnsi="宋体" w:eastAsia="宋体" w:cs="宋体"/>
                <w:color w:val="auto"/>
                <w:kern w:val="0"/>
                <w:sz w:val="24"/>
                <w:highlight w:val="none"/>
                <w:u w:val="none"/>
                <w:lang w:val="en-US" w:eastAsia="zh-CN"/>
              </w:rPr>
              <w:t>根据</w:t>
            </w:r>
            <w:r>
              <w:rPr>
                <w:rFonts w:hint="eastAsia" w:ascii="宋体" w:hAnsi="宋体" w:cs="宋体"/>
                <w:color w:val="auto"/>
                <w:sz w:val="24"/>
                <w:highlight w:val="none"/>
              </w:rPr>
              <w:t>样品</w:t>
            </w:r>
            <w:r>
              <w:rPr>
                <w:rFonts w:hint="eastAsia" w:ascii="宋体" w:hAnsi="宋体" w:cs="宋体"/>
                <w:color w:val="auto"/>
                <w:sz w:val="24"/>
                <w:highlight w:val="none"/>
                <w:lang w:val="en-US" w:eastAsia="zh-CN"/>
              </w:rPr>
              <w:t>规格、品质、</w:t>
            </w:r>
            <w:r>
              <w:rPr>
                <w:rFonts w:hint="eastAsia" w:ascii="宋体" w:hAnsi="宋体" w:cs="宋体"/>
                <w:color w:val="auto"/>
                <w:sz w:val="24"/>
                <w:highlight w:val="none"/>
              </w:rPr>
              <w:t>工艺</w:t>
            </w:r>
            <w:r>
              <w:rPr>
                <w:rFonts w:hint="eastAsia" w:ascii="宋体" w:hAnsi="宋体" w:eastAsia="宋体" w:cs="宋体"/>
                <w:color w:val="auto"/>
                <w:kern w:val="0"/>
                <w:sz w:val="24"/>
                <w:highlight w:val="none"/>
                <w:u w:val="none"/>
                <w:lang w:eastAsia="zh-CN"/>
              </w:rPr>
              <w:t>等进行综合打分</w:t>
            </w:r>
            <w:r>
              <w:rPr>
                <w:rFonts w:hint="eastAsia" w:ascii="宋体" w:hAnsi="宋体" w:cs="宋体"/>
                <w:color w:val="auto"/>
                <w:sz w:val="24"/>
                <w:szCs w:val="24"/>
                <w:highlight w:val="none"/>
                <w:lang w:val="en-US" w:eastAsia="zh-CN"/>
              </w:rPr>
              <w:t>，</w:t>
            </w:r>
            <w:r>
              <w:rPr>
                <w:rFonts w:hint="eastAsia" w:ascii="宋体" w:hAnsi="宋体" w:eastAsia="宋体" w:cs="宋体"/>
                <w:color w:val="auto"/>
                <w:kern w:val="0"/>
                <w:sz w:val="24"/>
                <w:highlight w:val="none"/>
                <w:u w:val="none"/>
                <w:lang w:val="en-US" w:eastAsia="zh-CN"/>
              </w:rPr>
              <w:t>根据</w:t>
            </w:r>
            <w:r>
              <w:rPr>
                <w:rFonts w:hint="eastAsia" w:ascii="宋体" w:hAnsi="宋体" w:cs="宋体"/>
                <w:color w:val="auto"/>
                <w:sz w:val="24"/>
                <w:highlight w:val="none"/>
              </w:rPr>
              <w:t>样品</w:t>
            </w:r>
            <w:r>
              <w:rPr>
                <w:rFonts w:hint="eastAsia" w:ascii="宋体" w:hAnsi="宋体" w:cs="宋体"/>
                <w:color w:val="auto"/>
                <w:sz w:val="24"/>
                <w:highlight w:val="none"/>
                <w:lang w:val="en-US" w:eastAsia="zh-CN"/>
              </w:rPr>
              <w:t>规格、品质、</w:t>
            </w:r>
            <w:r>
              <w:rPr>
                <w:rFonts w:hint="eastAsia" w:ascii="宋体" w:hAnsi="宋体" w:cs="宋体"/>
                <w:color w:val="auto"/>
                <w:sz w:val="24"/>
                <w:highlight w:val="none"/>
              </w:rPr>
              <w:t>工艺</w:t>
            </w:r>
            <w:r>
              <w:rPr>
                <w:rFonts w:hint="eastAsia" w:ascii="宋体" w:hAnsi="宋体" w:eastAsia="宋体" w:cs="宋体"/>
                <w:color w:val="auto"/>
                <w:kern w:val="0"/>
                <w:sz w:val="24"/>
                <w:highlight w:val="none"/>
                <w:u w:val="none"/>
                <w:lang w:eastAsia="zh-CN"/>
              </w:rPr>
              <w:t>等进行综合打分</w:t>
            </w:r>
            <w:r>
              <w:rPr>
                <w:rFonts w:hint="eastAsia" w:ascii="宋体" w:hAnsi="宋体" w:eastAsia="宋体" w:cs="宋体"/>
                <w:color w:val="auto"/>
                <w:sz w:val="24"/>
                <w:szCs w:val="24"/>
                <w:highlight w:val="none"/>
                <w:lang w:val="en-US" w:eastAsia="zh-CN"/>
              </w:rPr>
              <w:t>。</w:t>
            </w:r>
            <w:r>
              <w:rPr>
                <w:rFonts w:hint="eastAsia" w:ascii="宋体" w:hAnsi="宋体" w:eastAsia="宋体" w:cs="宋体"/>
                <w:bCs/>
                <w:color w:val="auto"/>
                <w:sz w:val="24"/>
                <w:szCs w:val="24"/>
                <w:highlight w:val="none"/>
                <w:lang w:val="en-US" w:eastAsia="zh-CN"/>
              </w:rPr>
              <w:t>（打分范围：3,2,1,0）</w:t>
            </w:r>
          </w:p>
        </w:tc>
        <w:tc>
          <w:tcPr>
            <w:tcW w:w="875" w:type="dxa"/>
            <w:vAlign w:val="center"/>
          </w:tcPr>
          <w:p w14:paraId="77BBDE62">
            <w:pPr>
              <w:snapToGrid w:val="0"/>
              <w:spacing w:line="360" w:lineRule="auto"/>
              <w:jc w:val="center"/>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6</w:t>
            </w:r>
          </w:p>
        </w:tc>
      </w:tr>
    </w:tbl>
    <w:p w14:paraId="056DB8B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供应商编制响应文件（商务技术文件部分）时，建议按此目录（序号和内容）提供评审标准相应的商务技术资料。 </w:t>
      </w:r>
    </w:p>
    <w:p w14:paraId="62E2191F">
      <w:pPr>
        <w:jc w:val="left"/>
        <w:rPr>
          <w:rFonts w:ascii="宋体" w:hAnsi="宋体" w:cs="宋体"/>
          <w:b/>
          <w:color w:val="auto"/>
          <w:sz w:val="32"/>
          <w:highlight w:val="none"/>
        </w:rPr>
      </w:pPr>
      <w:r>
        <w:rPr>
          <w:rFonts w:hint="eastAsia" w:ascii="宋体" w:hAnsi="宋体" w:cs="宋体"/>
          <w:b/>
          <w:color w:val="auto"/>
          <w:sz w:val="32"/>
          <w:highlight w:val="none"/>
        </w:rPr>
        <w:br w:type="page"/>
      </w:r>
    </w:p>
    <w:p w14:paraId="67471C72">
      <w:pPr>
        <w:snapToGrid w:val="0"/>
        <w:spacing w:line="360" w:lineRule="auto"/>
        <w:jc w:val="center"/>
        <w:rPr>
          <w:rFonts w:ascii="宋体" w:hAnsi="宋体" w:cs="宋体"/>
          <w:b/>
          <w:color w:val="auto"/>
          <w:sz w:val="28"/>
          <w:szCs w:val="28"/>
          <w:highlight w:val="none"/>
        </w:rPr>
      </w:pPr>
      <w:r>
        <w:rPr>
          <w:rFonts w:hint="eastAsia" w:ascii="宋体" w:hAnsi="宋体" w:cs="宋体"/>
          <w:b/>
          <w:color w:val="auto"/>
          <w:sz w:val="32"/>
          <w:highlight w:val="none"/>
        </w:rPr>
        <w:t>一、评审方法</w:t>
      </w:r>
    </w:p>
    <w:p w14:paraId="7F992552">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综合评分法，是指响应文件满足磋商文件全部实质性要求且按评审因素的量化指标评审得分最高的供应商为成交候选供应商的评审方法。</w:t>
      </w:r>
    </w:p>
    <w:p w14:paraId="41A7B4EE">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二、评审标准</w:t>
      </w:r>
    </w:p>
    <w:p w14:paraId="3EC20C3B">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评审标准：</w:t>
      </w:r>
      <w:r>
        <w:rPr>
          <w:rFonts w:hint="eastAsia" w:ascii="宋体" w:hAnsi="宋体" w:cs="宋体"/>
          <w:color w:val="auto"/>
          <w:kern w:val="0"/>
          <w:sz w:val="24"/>
          <w:highlight w:val="none"/>
        </w:rPr>
        <w:t>见评审办法前附表。</w:t>
      </w:r>
    </w:p>
    <w:p w14:paraId="7FBCF68D">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三、评审程序</w:t>
      </w:r>
    </w:p>
    <w:p w14:paraId="588FCBB1">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磋商小组应当对符合资格的供应商的响应文件进行符合性审查，以确定其是否满足采购文件的实质性要求。不满足采购文件的实质性要求的，响应文件无效。</w:t>
      </w:r>
    </w:p>
    <w:p w14:paraId="113FD7EE">
      <w:pPr>
        <w:spacing w:line="360" w:lineRule="auto"/>
        <w:ind w:firstLine="472" w:firstLineChars="196"/>
        <w:rPr>
          <w:rFonts w:ascii="宋体" w:hAnsi="宋体" w:cs="宋体"/>
          <w:color w:val="auto"/>
          <w:sz w:val="24"/>
          <w:highlight w:val="none"/>
        </w:rPr>
      </w:pPr>
      <w:r>
        <w:rPr>
          <w:rFonts w:hint="eastAsia" w:ascii="宋体" w:hAnsi="宋体" w:cs="宋体"/>
          <w:b/>
          <w:color w:val="auto"/>
          <w:kern w:val="0"/>
          <w:sz w:val="24"/>
          <w:highlight w:val="none"/>
        </w:rPr>
        <w:t>3.2 磋商。</w:t>
      </w:r>
      <w:r>
        <w:rPr>
          <w:rFonts w:hint="eastAsia" w:ascii="宋体" w:hAnsi="宋体" w:cs="宋体"/>
          <w:color w:val="auto"/>
          <w:sz w:val="24"/>
          <w:highlight w:val="none"/>
        </w:rPr>
        <w:t>磋商小组将对确定为实质性响应本采购文件的响应文件进行详细评价和比较，主要就资信、服务方案内容、服务承诺等磋商小组认为与本次采购有关的因素与</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供应商逐一进行磋商。</w:t>
      </w:r>
    </w:p>
    <w:p w14:paraId="28E12E52">
      <w:pPr>
        <w:spacing w:line="360" w:lineRule="auto"/>
        <w:ind w:firstLine="470" w:firstLineChars="196"/>
        <w:rPr>
          <w:rFonts w:ascii="宋体" w:hAnsi="宋体" w:cs="宋体"/>
          <w:b/>
          <w:color w:val="auto"/>
          <w:sz w:val="24"/>
          <w:highlight w:val="none"/>
        </w:rPr>
      </w:pPr>
      <w:r>
        <w:rPr>
          <w:rFonts w:hint="eastAsia" w:ascii="宋体" w:hAnsi="宋体" w:cs="宋体"/>
          <w:bCs/>
          <w:color w:val="auto"/>
          <w:sz w:val="24"/>
          <w:highlight w:val="none"/>
        </w:rPr>
        <w:t xml:space="preserve">3.2.1 </w:t>
      </w:r>
      <w:r>
        <w:rPr>
          <w:rFonts w:hint="eastAsia" w:ascii="宋体" w:hAnsi="宋体" w:cs="宋体"/>
          <w:color w:val="auto"/>
          <w:sz w:val="24"/>
          <w:highlight w:val="none"/>
        </w:rPr>
        <w:t>供应商逐家回答磋商小组的提问；</w:t>
      </w:r>
      <w:r>
        <w:rPr>
          <w:rFonts w:hint="eastAsia" w:ascii="宋体" w:hAnsi="宋体" w:cs="宋体"/>
          <w:b/>
          <w:color w:val="auto"/>
          <w:sz w:val="24"/>
          <w:highlight w:val="none"/>
        </w:rPr>
        <w:t>逐家磋商一次为一个轮次，磋商轮次根据实际情况进行。</w:t>
      </w:r>
    </w:p>
    <w:p w14:paraId="362E1E20">
      <w:pPr>
        <w:spacing w:line="360" w:lineRule="auto"/>
        <w:ind w:firstLine="470" w:firstLineChars="196"/>
        <w:rPr>
          <w:rFonts w:ascii="宋体" w:hAnsi="宋体" w:cs="宋体"/>
          <w:color w:val="auto"/>
          <w:sz w:val="24"/>
          <w:highlight w:val="none"/>
        </w:rPr>
      </w:pPr>
      <w:r>
        <w:rPr>
          <w:rFonts w:hint="eastAsia" w:ascii="宋体" w:hAnsi="宋体" w:cs="宋体"/>
          <w:bCs/>
          <w:color w:val="auto"/>
          <w:sz w:val="24"/>
          <w:highlight w:val="none"/>
        </w:rPr>
        <w:t xml:space="preserve">3.2.2 </w:t>
      </w:r>
      <w:r>
        <w:rPr>
          <w:rFonts w:hint="eastAsia" w:ascii="宋体" w:hAnsi="宋体" w:cs="宋体"/>
          <w:color w:val="auto"/>
          <w:sz w:val="24"/>
          <w:highlight w:val="none"/>
        </w:rPr>
        <w:t>供应商应按磋商小组通知的时间在线或以邮件回复做出承诺或回复，承诺或回复的内容须由供应商法定代表人或授权代表签署，并作为响应文件的补充部分。</w:t>
      </w:r>
    </w:p>
    <w:p w14:paraId="69B6D447">
      <w:pPr>
        <w:spacing w:line="360" w:lineRule="auto"/>
        <w:ind w:firstLine="470" w:firstLineChars="196"/>
        <w:rPr>
          <w:rFonts w:ascii="宋体" w:hAnsi="宋体" w:cs="宋体"/>
          <w:bCs/>
          <w:color w:val="auto"/>
          <w:kern w:val="0"/>
          <w:sz w:val="24"/>
          <w:highlight w:val="none"/>
        </w:rPr>
      </w:pPr>
      <w:r>
        <w:rPr>
          <w:rFonts w:hint="eastAsia" w:ascii="宋体" w:hAnsi="宋体" w:cs="宋体"/>
          <w:color w:val="auto"/>
          <w:sz w:val="24"/>
          <w:highlight w:val="none"/>
        </w:rPr>
        <w:t xml:space="preserve">3.2.3 </w:t>
      </w:r>
      <w:r>
        <w:rPr>
          <w:rFonts w:hint="eastAsia" w:ascii="宋体" w:hAnsi="宋体" w:cs="宋体"/>
          <w:b/>
          <w:bCs/>
          <w:color w:val="auto"/>
          <w:sz w:val="24"/>
          <w:highlight w:val="none"/>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color w:val="auto"/>
          <w:sz w:val="24"/>
          <w:highlight w:val="none"/>
        </w:rPr>
        <w:t>实质性变动的内容，须经采购人代表确认。磋商文件有实质性变动的，磋商小组将以书面形式通知所有</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 xml:space="preserve">供应商。 </w:t>
      </w:r>
    </w:p>
    <w:p w14:paraId="43817AFE">
      <w:pPr>
        <w:spacing w:line="360" w:lineRule="auto"/>
        <w:ind w:firstLine="472" w:firstLineChars="196"/>
        <w:rPr>
          <w:rFonts w:ascii="宋体" w:hAnsi="宋体" w:cs="宋体"/>
          <w:b/>
          <w:bCs/>
          <w:color w:val="auto"/>
          <w:kern w:val="0"/>
          <w:sz w:val="24"/>
          <w:highlight w:val="none"/>
        </w:rPr>
      </w:pPr>
      <w:r>
        <w:rPr>
          <w:rFonts w:hint="eastAsia" w:ascii="宋体" w:hAnsi="宋体" w:cs="宋体"/>
          <w:b/>
          <w:bCs/>
          <w:color w:val="auto"/>
          <w:kern w:val="0"/>
          <w:sz w:val="24"/>
          <w:highlight w:val="none"/>
        </w:rPr>
        <w:t>3.3最后报价</w:t>
      </w:r>
    </w:p>
    <w:p w14:paraId="2D03A02B">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3.3.1 磋商文件能够详细列明采购标的的技术、服务要求的，磋商结束后，磋商小组应当要求所有符合性审查合格的供应商在规定时间内提交最后报价，提交最后报价的供应商不得少于3家。</w:t>
      </w:r>
    </w:p>
    <w:p w14:paraId="42B6D37C">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3E633B40">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3.3.3 已提交响应文件的供应商，在提交最后报价之前，可以根据磋商情况退出磋商</w:t>
      </w:r>
    </w:p>
    <w:p w14:paraId="6F2F112B">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3.4 综合评分。</w:t>
      </w:r>
      <w:r>
        <w:rPr>
          <w:rFonts w:hint="eastAsia" w:ascii="宋体" w:hAnsi="宋体" w:cs="宋体"/>
          <w:bCs/>
          <w:color w:val="auto"/>
          <w:kern w:val="0"/>
          <w:sz w:val="24"/>
          <w:highlight w:val="none"/>
        </w:rPr>
        <w:t>经磋商确定最终采购需求和提交最后报价的供应商后，</w:t>
      </w:r>
      <w:r>
        <w:rPr>
          <w:rFonts w:hint="eastAsia" w:ascii="宋体" w:hAnsi="宋体" w:cs="宋体"/>
          <w:color w:val="auto"/>
          <w:kern w:val="0"/>
          <w:sz w:val="24"/>
          <w:highlight w:val="none"/>
        </w:rPr>
        <w:t>磋商小组应当按照采购文件中规定的评审标准，对符合性审查合格的响应文件进行综合评分。磋商文件中没有规定的评审标准不得作为评审依据。</w:t>
      </w:r>
    </w:p>
    <w:p w14:paraId="300BCC43">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3.5汇总商务技术得分。</w:t>
      </w:r>
      <w:r>
        <w:rPr>
          <w:rFonts w:hint="eastAsia" w:ascii="宋体" w:hAnsi="宋体" w:cs="宋体"/>
          <w:color w:val="auto"/>
          <w:kern w:val="0"/>
          <w:sz w:val="24"/>
          <w:highlight w:val="none"/>
        </w:rPr>
        <w:t>磋商小组各成员应当独立对每个供应商的商务和技术文件进行评价，并汇总商务技术得分情况。磋商小组成员总评分偏离平均分30%以上的，以及个人主观打分偏离所有磋商小组成员主观打分平均值</w:t>
      </w:r>
      <w:r>
        <w:rPr>
          <w:rFonts w:ascii="宋体" w:hAnsi="宋体" w:cs="宋体"/>
          <w:color w:val="auto"/>
          <w:kern w:val="0"/>
          <w:sz w:val="24"/>
          <w:highlight w:val="none"/>
        </w:rPr>
        <w:t>30%以上的，由</w:t>
      </w:r>
      <w:r>
        <w:rPr>
          <w:rFonts w:hint="eastAsia" w:ascii="宋体" w:hAnsi="宋体" w:cs="宋体"/>
          <w:color w:val="auto"/>
          <w:kern w:val="0"/>
          <w:sz w:val="24"/>
          <w:highlight w:val="none"/>
        </w:rPr>
        <w:t>磋商小组</w:t>
      </w:r>
      <w:r>
        <w:rPr>
          <w:rFonts w:ascii="宋体" w:hAnsi="宋体" w:cs="宋体"/>
          <w:color w:val="auto"/>
          <w:kern w:val="0"/>
          <w:sz w:val="24"/>
          <w:highlight w:val="none"/>
        </w:rPr>
        <w:t>启动评分畸高、畸低行为认定程序</w:t>
      </w:r>
      <w:r>
        <w:rPr>
          <w:rFonts w:hint="eastAsia" w:ascii="宋体" w:hAnsi="宋体" w:cs="宋体"/>
          <w:color w:val="auto"/>
          <w:kern w:val="0"/>
          <w:sz w:val="24"/>
          <w:highlight w:val="none"/>
        </w:rPr>
        <w:t>，磋商小组组长应提醒相关评审人员进行复核或书面说明理由，评审人员拒绝说明的，由现场监督员据实记录；评审人员的评审、修改记录应保留原件，随项目其他资料一并存档。</w:t>
      </w:r>
    </w:p>
    <w:p w14:paraId="1EC63269">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3.6报价评审。</w:t>
      </w:r>
    </w:p>
    <w:p w14:paraId="6E2DDF37">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3.6.1响应文件报价出现前后不一致的，按照下列规定修正：</w:t>
      </w:r>
    </w:p>
    <w:p w14:paraId="1195CD49">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3.6.1.1响应文件中已标价工程量清单内容与响应文件中相应内容不一致的，以已标价工程量清单为准;</w:t>
      </w:r>
    </w:p>
    <w:p w14:paraId="1E554FCC">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3.6.1.2大写金额和小写金额不一致的，以大写金额为准;</w:t>
      </w:r>
    </w:p>
    <w:p w14:paraId="36763959">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3.6.1.3单价金额小数点或者百分比有明显错位的，以已标价工程量清单的总价为准，并修改单价;</w:t>
      </w:r>
    </w:p>
    <w:p w14:paraId="39537F34">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3.6.1.4总价金额与按单价汇总金额不一致的，以单价金额计算结果为准。</w:t>
      </w:r>
    </w:p>
    <w:p w14:paraId="271B4674">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3.6.1.5同时出现两种以上不一致的，按照3.6.1规定的顺序修正。修正后的报价经供应商确认后产生约束力。</w:t>
      </w:r>
    </w:p>
    <w:p w14:paraId="5EFD2344">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3.6.2响应文件出现不是唯一的、有选择性最后报价的，响应文件无效。</w:t>
      </w:r>
    </w:p>
    <w:p w14:paraId="05E402A0">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3.6.3最后报价超过采购文件中规定的预算金额或者最高限价的，响应文件无效。</w:t>
      </w:r>
    </w:p>
    <w:p w14:paraId="1055AB5E">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32083FD7">
      <w:pPr>
        <w:spacing w:line="360" w:lineRule="auto"/>
        <w:ind w:firstLine="482" w:firstLineChars="200"/>
        <w:rPr>
          <w:rFonts w:hint="eastAsia" w:ascii="宋体" w:hAnsi="宋体" w:eastAsia="宋体" w:cs="宋体"/>
          <w:b/>
          <w:color w:val="auto"/>
          <w:kern w:val="0"/>
          <w:sz w:val="24"/>
          <w:highlight w:val="none"/>
          <w:lang w:eastAsia="zh-CN"/>
        </w:rPr>
      </w:pPr>
      <w:r>
        <w:rPr>
          <w:rFonts w:hint="eastAsia" w:ascii="宋体" w:hAnsi="宋体" w:cs="宋体"/>
          <w:b/>
          <w:color w:val="auto"/>
          <w:kern w:val="0"/>
          <w:sz w:val="24"/>
          <w:highlight w:val="none"/>
        </w:rPr>
        <w:t>3.7排序与推荐。</w:t>
      </w:r>
      <w:r>
        <w:rPr>
          <w:rFonts w:hint="eastAsia" w:ascii="宋体" w:hAnsi="宋体" w:cs="宋体"/>
          <w:color w:val="auto"/>
          <w:kern w:val="0"/>
          <w:sz w:val="24"/>
          <w:highlight w:val="none"/>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3家</w:t>
      </w:r>
      <w:r>
        <w:rPr>
          <w:rFonts w:hint="eastAsia" w:ascii="宋体" w:hAnsi="宋体" w:cs="宋体"/>
          <w:color w:val="auto"/>
          <w:kern w:val="0"/>
          <w:sz w:val="24"/>
          <w:highlight w:val="none"/>
          <w:lang w:val="en" w:eastAsia="zh-CN"/>
        </w:rPr>
        <w:t>。</w:t>
      </w:r>
    </w:p>
    <w:p w14:paraId="5C5D9F09">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3.8编写评审报告。</w:t>
      </w:r>
      <w:r>
        <w:rPr>
          <w:rFonts w:hint="eastAsia" w:ascii="宋体" w:hAnsi="宋体" w:cs="宋体"/>
          <w:color w:val="auto"/>
          <w:kern w:val="0"/>
          <w:sz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17B55CF5">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四、评审中的其他事项</w:t>
      </w:r>
    </w:p>
    <w:p w14:paraId="6B47A97B">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4.1供应商澄清、说明或者补正。</w:t>
      </w:r>
      <w:r>
        <w:rPr>
          <w:rFonts w:hint="eastAsia" w:ascii="宋体" w:hAnsi="宋体" w:cs="宋体"/>
          <w:color w:val="auto"/>
          <w:kern w:val="0"/>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2BE017D0">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4.2响应文件无效。</w:t>
      </w:r>
      <w:r>
        <w:rPr>
          <w:rFonts w:hint="eastAsia" w:cs="宋体"/>
          <w:color w:val="auto"/>
          <w:szCs w:val="21"/>
          <w:highlight w:val="none"/>
        </w:rPr>
        <w:t>有下列情形之一的，响应文件无效：</w:t>
      </w:r>
    </w:p>
    <w:p w14:paraId="5C02302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4.2.1供应商不具备采购文件中规定的资格要求的（供应商未提供有效的资格文件的，视为供应商不具备采购文件中规定的资格要求）；</w:t>
      </w:r>
    </w:p>
    <w:p w14:paraId="0BBDD5C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4.2.2响应文件未按照采购文件要求签署、盖章的；</w:t>
      </w:r>
    </w:p>
    <w:p w14:paraId="296B298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4.2.3采购人拟采购的产品属于政府强制采购的节能产品品目清单范围的，供应商未按采购文件要求提供国家确定的认证机构出具的、处于有效期之内的节能产品认证证书的；</w:t>
      </w:r>
    </w:p>
    <w:p w14:paraId="1CD4154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4.2.4响应文件含有采购人不能接受的附加条件的；</w:t>
      </w:r>
    </w:p>
    <w:p w14:paraId="442E30D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4.2.5响应文件中承诺的响应文件有效期少于采购文件中载明的响应文件有效期的；</w:t>
      </w:r>
    </w:p>
    <w:p w14:paraId="12875E67">
      <w:pPr>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4.2.6响应文件出现不是唯一的、有选择性最后报价的</w:t>
      </w:r>
      <w:r>
        <w:rPr>
          <w:rFonts w:hint="eastAsia" w:ascii="宋体" w:hAnsi="宋体" w:cs="宋体"/>
          <w:color w:val="auto"/>
          <w:kern w:val="0"/>
          <w:sz w:val="24"/>
          <w:highlight w:val="none"/>
          <w:lang w:eastAsia="zh-CN"/>
        </w:rPr>
        <w:t>；</w:t>
      </w:r>
    </w:p>
    <w:p w14:paraId="721C6CF8">
      <w:pPr>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4.2.7最后报价超过采购文件中规定的预算金额或者最高限价的</w:t>
      </w:r>
      <w:r>
        <w:rPr>
          <w:rFonts w:hint="eastAsia" w:ascii="宋体" w:hAnsi="宋体" w:cs="宋体"/>
          <w:color w:val="auto"/>
          <w:kern w:val="0"/>
          <w:sz w:val="24"/>
          <w:highlight w:val="none"/>
          <w:lang w:eastAsia="zh-CN"/>
        </w:rPr>
        <w:t>；</w:t>
      </w:r>
    </w:p>
    <w:p w14:paraId="6B74346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供应商对根据修正原则修正后的报价不确认的；</w:t>
      </w:r>
    </w:p>
    <w:p w14:paraId="4675E0C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供应商提供虚假材料响应的；</w:t>
      </w:r>
    </w:p>
    <w:p w14:paraId="34ABDEA5">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供应商有恶意串通、妨碍其他供应商的竞争行为、损害采购人或者其他供应商的合法权益情形的；</w:t>
      </w:r>
    </w:p>
    <w:p w14:paraId="481A961E">
      <w:pPr>
        <w:pStyle w:val="79"/>
        <w:keepNext w:val="0"/>
        <w:keepLines w:val="0"/>
        <w:pageBreakBefore w:val="0"/>
        <w:kinsoku/>
        <w:wordWrap/>
        <w:overflowPunct/>
        <w:topLinePunct w:val="0"/>
        <w:bidi w:val="0"/>
        <w:adjustRightInd w:val="0"/>
        <w:snapToGrid/>
        <w:spacing w:line="360" w:lineRule="auto"/>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4.2.11</w:t>
      </w:r>
      <w:r>
        <w:rPr>
          <w:rFonts w:hint="eastAsia" w:ascii="宋体" w:hAnsi="宋体" w:eastAsia="宋体" w:cs="宋体"/>
          <w:color w:val="auto"/>
          <w:kern w:val="0"/>
          <w:sz w:val="24"/>
          <w:szCs w:val="24"/>
          <w:highlight w:val="none"/>
          <w:lang w:val="en" w:eastAsia="zh-CN" w:bidi="ar-SA"/>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213C84E0">
      <w:pPr>
        <w:keepNext w:val="0"/>
        <w:keepLines w:val="0"/>
        <w:pageBreakBefore w:val="0"/>
        <w:kinsoku/>
        <w:wordWrap/>
        <w:overflowPunct/>
        <w:topLinePunct w:val="0"/>
        <w:bidi w:val="0"/>
        <w:adjustRightInd w:val="0"/>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供应商仅提交备份响应文件，未在电子交易平台传输递交响应文件的，响应文件无效；</w:t>
      </w:r>
    </w:p>
    <w:p w14:paraId="0BE10542">
      <w:pPr>
        <w:keepNext w:val="0"/>
        <w:keepLines w:val="0"/>
        <w:pageBreakBefore w:val="0"/>
        <w:kinsoku/>
        <w:wordWrap/>
        <w:overflowPunct/>
        <w:topLinePunct w:val="0"/>
        <w:bidi w:val="0"/>
        <w:adjustRightInd w:val="0"/>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 xml:space="preserve"> 响应文件不满足采购文件的其它实质性要求的；</w:t>
      </w:r>
    </w:p>
    <w:p w14:paraId="617775D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7CE47576">
      <w:pPr>
        <w:pStyle w:val="25"/>
        <w:snapToGrid w:val="0"/>
        <w:spacing w:line="360" w:lineRule="auto"/>
        <w:ind w:firstLine="472" w:firstLineChars="196"/>
        <w:rPr>
          <w:rFonts w:cs="宋体"/>
          <w:color w:val="auto"/>
          <w:highlight w:val="none"/>
        </w:rPr>
      </w:pPr>
      <w:r>
        <w:rPr>
          <w:rFonts w:hint="eastAsia" w:cs="宋体"/>
          <w:b/>
          <w:color w:val="auto"/>
          <w:highlight w:val="none"/>
        </w:rPr>
        <w:t>5.终止竞争性磋商采购活动。</w:t>
      </w:r>
      <w:r>
        <w:rPr>
          <w:rFonts w:hint="eastAsia" w:cs="宋体"/>
          <w:color w:val="auto"/>
          <w:highlight w:val="none"/>
        </w:rPr>
        <w:t>出现下列情形之一的，采购人或者采购代理机构应当终止竞争性磋商采购活动，发布项目终止公告并说明原因，重新开展采购活动：</w:t>
      </w:r>
    </w:p>
    <w:p w14:paraId="3F10FDC2">
      <w:pPr>
        <w:pStyle w:val="25"/>
        <w:snapToGrid w:val="0"/>
        <w:spacing w:line="360" w:lineRule="auto"/>
        <w:rPr>
          <w:rFonts w:cs="宋体"/>
          <w:color w:val="auto"/>
          <w:highlight w:val="none"/>
        </w:rPr>
      </w:pPr>
      <w:r>
        <w:rPr>
          <w:rFonts w:hint="eastAsia" w:cs="宋体"/>
          <w:color w:val="auto"/>
          <w:highlight w:val="none"/>
        </w:rPr>
        <w:t>5.1因情况变化，不再符合规定的竞争性磋商采购方式适用情形的；</w:t>
      </w:r>
    </w:p>
    <w:p w14:paraId="0B667DB0">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5EFA37C2">
      <w:pPr>
        <w:pStyle w:val="25"/>
        <w:snapToGrid w:val="0"/>
        <w:spacing w:line="360" w:lineRule="auto"/>
        <w:rPr>
          <w:rFonts w:cs="宋体"/>
          <w:color w:val="auto"/>
          <w:highlight w:val="none"/>
        </w:rPr>
      </w:pPr>
      <w:r>
        <w:rPr>
          <w:rFonts w:hint="eastAsia" w:cs="宋体"/>
          <w:color w:val="auto"/>
          <w:highlight w:val="none"/>
        </w:rPr>
        <w:t>5.3除本办法第二十一条第三款规定的情形外，在采购过程中符合要求的供应商或者报价未超过采购预算的供应商不足3家的。</w:t>
      </w:r>
    </w:p>
    <w:p w14:paraId="0CED2983">
      <w:pPr>
        <w:pStyle w:val="25"/>
        <w:snapToGrid w:val="0"/>
        <w:spacing w:line="360" w:lineRule="auto"/>
        <w:rPr>
          <w:rFonts w:cs="宋体"/>
          <w:color w:val="auto"/>
          <w:highlight w:val="none"/>
        </w:rPr>
      </w:pPr>
      <w:r>
        <w:rPr>
          <w:rFonts w:hint="eastAsia" w:cs="宋体"/>
          <w:color w:val="auto"/>
          <w:highlight w:val="none"/>
        </w:rPr>
        <w:t>5.4在采购活动中因重大变故，采购任务取消的，采购人或者采购代理机构应当终止采购活动，通知所有参加采购活动的供应商，并将项目实施情况和采购任务取消原因报送本级财政部门。</w:t>
      </w:r>
    </w:p>
    <w:p w14:paraId="44D65191">
      <w:pPr>
        <w:pStyle w:val="25"/>
        <w:snapToGrid w:val="0"/>
        <w:spacing w:line="360" w:lineRule="auto"/>
        <w:ind w:firstLine="482"/>
        <w:rPr>
          <w:rFonts w:cs="宋体"/>
          <w:color w:val="auto"/>
          <w:highlight w:val="none"/>
        </w:rPr>
      </w:pPr>
      <w:r>
        <w:rPr>
          <w:rFonts w:hint="eastAsia" w:cs="宋体"/>
          <w:b/>
          <w:color w:val="auto"/>
          <w:kern w:val="0"/>
          <w:highlight w:val="none"/>
        </w:rPr>
        <w:t>6.重新开展采购。</w:t>
      </w:r>
      <w:r>
        <w:rPr>
          <w:rFonts w:hint="eastAsia" w:cs="宋体"/>
          <w:color w:val="auto"/>
          <w:highlight w:val="none"/>
        </w:rPr>
        <w:t>有政府采购法第七十一条、第七十二条规定的违法行为之一，影响或者可能影响成交结果的，依照下列规定处理：</w:t>
      </w:r>
    </w:p>
    <w:p w14:paraId="05763787">
      <w:pPr>
        <w:pStyle w:val="25"/>
        <w:snapToGrid w:val="0"/>
        <w:spacing w:line="360" w:lineRule="auto"/>
        <w:rPr>
          <w:rFonts w:cs="宋体"/>
          <w:color w:val="auto"/>
          <w:highlight w:val="none"/>
        </w:rPr>
      </w:pPr>
      <w:r>
        <w:rPr>
          <w:rFonts w:hint="eastAsia" w:cs="宋体"/>
          <w:color w:val="auto"/>
          <w:highlight w:val="none"/>
        </w:rPr>
        <w:t>6.1未确定成交供应商的，终止本次政府采购活动，重新开展政府采购活动。</w:t>
      </w:r>
    </w:p>
    <w:p w14:paraId="75583D64">
      <w:pPr>
        <w:pStyle w:val="25"/>
        <w:snapToGrid w:val="0"/>
        <w:spacing w:line="360" w:lineRule="auto"/>
        <w:rPr>
          <w:rFonts w:cs="宋体"/>
          <w:color w:val="auto"/>
          <w:highlight w:val="none"/>
        </w:rPr>
      </w:pPr>
      <w:r>
        <w:rPr>
          <w:rFonts w:hint="eastAsia" w:cs="宋体"/>
          <w:color w:val="auto"/>
          <w:highlight w:val="none"/>
        </w:rPr>
        <w:t>6.2已确定成交供应商但尚未签订政府采购合同的，成交结果无效，从合格的成交候选供应商中另行确定成交供应商；没有合格的成交候选供应商的，重新开展政府采购活动。</w:t>
      </w:r>
    </w:p>
    <w:p w14:paraId="2D9A640E">
      <w:pPr>
        <w:pStyle w:val="25"/>
        <w:snapToGrid w:val="0"/>
        <w:spacing w:line="360" w:lineRule="auto"/>
        <w:rPr>
          <w:rFonts w:cs="宋体"/>
          <w:color w:val="auto"/>
          <w:highlight w:val="none"/>
        </w:rPr>
      </w:pPr>
      <w:r>
        <w:rPr>
          <w:rFonts w:hint="eastAsia" w:cs="宋体"/>
          <w:color w:val="auto"/>
          <w:highlight w:val="none"/>
        </w:rPr>
        <w:t>6.3政府采购合同已签订但尚未履行的，撤销合同，从合格的成交候选供应商中另行确定成交供应商；没有合格的成交候选供应商的，重新开展政府采购活动。</w:t>
      </w:r>
    </w:p>
    <w:p w14:paraId="7F88B6AA">
      <w:pPr>
        <w:pStyle w:val="25"/>
        <w:snapToGrid w:val="0"/>
        <w:spacing w:line="360" w:lineRule="auto"/>
        <w:rPr>
          <w:rFonts w:cs="宋体"/>
          <w:color w:val="auto"/>
          <w:highlight w:val="none"/>
        </w:rPr>
      </w:pPr>
      <w:r>
        <w:rPr>
          <w:rFonts w:hint="eastAsia" w:cs="宋体"/>
          <w:color w:val="auto"/>
          <w:highlight w:val="none"/>
        </w:rPr>
        <w:t>6.4政府采购合同已经履行，给采购人、供应商造成损失的，由责任人承担赔偿责任。</w:t>
      </w:r>
    </w:p>
    <w:p w14:paraId="75149C33">
      <w:pPr>
        <w:pStyle w:val="25"/>
        <w:snapToGrid w:val="0"/>
        <w:spacing w:line="360" w:lineRule="auto"/>
        <w:rPr>
          <w:rFonts w:cs="宋体"/>
          <w:color w:val="auto"/>
          <w:highlight w:val="none"/>
        </w:rPr>
      </w:pPr>
      <w:r>
        <w:rPr>
          <w:rFonts w:hint="eastAsia" w:cs="宋体"/>
          <w:color w:val="auto"/>
          <w:highlight w:val="none"/>
        </w:rPr>
        <w:t>6.5政府采购当事人有其他违反政府采购法或者政府采购法实施条例等法律法规规定的行为，经改正后仍然影响或者可能影响成交结果或者依法被认定为成交无效的，依照6.1-6.4规定处理。</w:t>
      </w:r>
    </w:p>
    <w:p w14:paraId="1DA16B45">
      <w:pPr>
        <w:pStyle w:val="25"/>
        <w:snapToGrid w:val="0"/>
        <w:spacing w:line="360" w:lineRule="auto"/>
        <w:ind w:firstLine="0" w:firstLineChars="0"/>
        <w:rPr>
          <w:rFonts w:cs="宋体"/>
          <w:color w:val="auto"/>
          <w:highlight w:val="none"/>
        </w:rPr>
        <w:sectPr>
          <w:pgSz w:w="11907" w:h="16840"/>
          <w:pgMar w:top="1417" w:right="1417" w:bottom="1417" w:left="1417" w:header="851" w:footer="851" w:gutter="0"/>
          <w:pgNumType w:fmt="decimal"/>
          <w:cols w:space="720" w:num="1"/>
        </w:sectPr>
      </w:pPr>
    </w:p>
    <w:bookmarkEnd w:id="31"/>
    <w:p w14:paraId="476CA736">
      <w:pPr>
        <w:spacing w:line="360" w:lineRule="auto"/>
        <w:jc w:val="center"/>
        <w:outlineLvl w:val="0"/>
        <w:rPr>
          <w:rFonts w:ascii="宋体" w:hAnsi="宋体" w:cs="宋体"/>
          <w:b/>
          <w:color w:val="auto"/>
          <w:sz w:val="36"/>
          <w:szCs w:val="36"/>
          <w:highlight w:val="none"/>
        </w:rPr>
      </w:pPr>
      <w:bookmarkStart w:id="397" w:name="第五部分"/>
      <w:bookmarkStart w:id="398" w:name="_Toc86217003"/>
      <w:r>
        <w:rPr>
          <w:rFonts w:hint="eastAsia" w:ascii="宋体" w:hAnsi="宋体" w:cs="宋体"/>
          <w:b/>
          <w:color w:val="auto"/>
          <w:sz w:val="36"/>
          <w:szCs w:val="36"/>
          <w:highlight w:val="none"/>
        </w:rPr>
        <w:t>第五部分 拟签订的合同文本</w:t>
      </w:r>
    </w:p>
    <w:p w14:paraId="668CCDC8">
      <w:pPr>
        <w:snapToGrid w:val="0"/>
        <w:spacing w:line="360" w:lineRule="auto"/>
        <w:ind w:firstLine="480" w:firstLineChars="200"/>
        <w:jc w:val="left"/>
        <w:rPr>
          <w:rFonts w:ascii="宋体" w:hAnsi="宋体"/>
          <w:snapToGrid w:val="0"/>
          <w:color w:val="auto"/>
          <w:kern w:val="0"/>
          <w:sz w:val="24"/>
          <w:szCs w:val="20"/>
          <w:highlight w:val="none"/>
        </w:rPr>
      </w:pPr>
      <w:r>
        <w:rPr>
          <w:rFonts w:hint="eastAsia" w:ascii="宋体" w:hAnsi="宋体"/>
          <w:snapToGrid w:val="0"/>
          <w:color w:val="auto"/>
          <w:kern w:val="0"/>
          <w:sz w:val="24"/>
          <w:szCs w:val="20"/>
          <w:highlight w:val="none"/>
        </w:rPr>
        <w:t>参考住房城乡建设部、原国家工商行政管理总局制定的《建设工程施工合同（示范文本）》（GF-2017-0201）。</w:t>
      </w:r>
    </w:p>
    <w:p w14:paraId="0D8CF810">
      <w:pPr>
        <w:keepNext/>
        <w:keepLines/>
        <w:numPr>
          <w:ilvl w:val="1"/>
          <w:numId w:val="0"/>
        </w:numPr>
        <w:snapToGrid w:val="0"/>
        <w:spacing w:before="100" w:line="360" w:lineRule="auto"/>
        <w:jc w:val="center"/>
        <w:rPr>
          <w:rFonts w:ascii="宋体" w:hAnsi="宋体" w:cs="宋体"/>
          <w:snapToGrid w:val="0"/>
          <w:color w:val="auto"/>
          <w:kern w:val="44"/>
          <w:sz w:val="28"/>
          <w:szCs w:val="20"/>
          <w:highlight w:val="none"/>
        </w:rPr>
      </w:pPr>
      <w:r>
        <w:rPr>
          <w:rFonts w:hint="eastAsia" w:ascii="宋体" w:hAnsi="宋体" w:cs="宋体"/>
          <w:snapToGrid w:val="0"/>
          <w:color w:val="auto"/>
          <w:kern w:val="44"/>
          <w:sz w:val="24"/>
          <w:szCs w:val="20"/>
          <w:highlight w:val="none"/>
        </w:rPr>
        <w:br w:type="page"/>
      </w:r>
      <w:bookmarkStart w:id="399" w:name="_Toc97299497"/>
      <w:bookmarkStart w:id="400" w:name="_Toc32130"/>
      <w:r>
        <w:rPr>
          <w:rFonts w:hint="eastAsia" w:ascii="宋体" w:hAnsi="宋体" w:cs="宋体"/>
          <w:snapToGrid w:val="0"/>
          <w:color w:val="auto"/>
          <w:kern w:val="44"/>
          <w:sz w:val="28"/>
          <w:szCs w:val="20"/>
          <w:highlight w:val="none"/>
        </w:rPr>
        <w:t>第一部分  合同协议书</w:t>
      </w:r>
      <w:bookmarkEnd w:id="399"/>
      <w:bookmarkEnd w:id="400"/>
    </w:p>
    <w:p w14:paraId="3EEEEEA0">
      <w:pPr>
        <w:snapToGrid w:val="0"/>
        <w:spacing w:line="360" w:lineRule="auto"/>
        <w:ind w:firstLine="470" w:firstLineChars="196"/>
        <w:rPr>
          <w:rFonts w:hint="eastAsia" w:ascii="宋体" w:hAnsi="宋体" w:eastAsia="宋体" w:cs="宋体"/>
          <w:snapToGrid w:val="0"/>
          <w:color w:val="auto"/>
          <w:kern w:val="0"/>
          <w:sz w:val="24"/>
          <w:highlight w:val="none"/>
          <w:u w:val="single"/>
          <w:lang w:eastAsia="zh-CN"/>
        </w:rPr>
      </w:pPr>
      <w:r>
        <w:rPr>
          <w:rFonts w:hint="eastAsia" w:ascii="宋体" w:hAnsi="宋体" w:cs="宋体"/>
          <w:snapToGrid w:val="0"/>
          <w:color w:val="auto"/>
          <w:kern w:val="0"/>
          <w:sz w:val="24"/>
          <w:highlight w:val="none"/>
        </w:rPr>
        <w:t>发包人（全称）：</w:t>
      </w:r>
      <w:r>
        <w:rPr>
          <w:rFonts w:hint="eastAsia" w:ascii="宋体" w:hAnsi="宋体" w:cs="宋体"/>
          <w:snapToGrid w:val="0"/>
          <w:color w:val="auto"/>
          <w:kern w:val="0"/>
          <w:sz w:val="24"/>
          <w:highlight w:val="none"/>
          <w:u w:val="single"/>
          <w:lang w:eastAsia="zh-CN"/>
        </w:rPr>
        <w:t>杭州市美术职业学校</w:t>
      </w:r>
    </w:p>
    <w:p w14:paraId="1340BED4">
      <w:pPr>
        <w:snapToGrid w:val="0"/>
        <w:spacing w:line="360" w:lineRule="auto"/>
        <w:ind w:firstLine="470" w:firstLineChars="196"/>
        <w:rPr>
          <w:rFonts w:ascii="宋体" w:hAnsi="宋体" w:cs="宋体"/>
          <w:b/>
          <w:snapToGrid w:val="0"/>
          <w:color w:val="auto"/>
          <w:kern w:val="0"/>
          <w:sz w:val="24"/>
          <w:highlight w:val="none"/>
          <w:u w:val="single"/>
        </w:rPr>
      </w:pPr>
      <w:r>
        <w:rPr>
          <w:rFonts w:hint="eastAsia" w:ascii="宋体" w:hAnsi="宋体" w:cs="宋体"/>
          <w:snapToGrid w:val="0"/>
          <w:color w:val="auto"/>
          <w:kern w:val="0"/>
          <w:sz w:val="24"/>
          <w:highlight w:val="none"/>
        </w:rPr>
        <w:t>承包人（全称）：</w:t>
      </w:r>
      <w:r>
        <w:rPr>
          <w:rFonts w:hint="eastAsia" w:ascii="宋体" w:hAnsi="宋体" w:cs="宋体"/>
          <w:snapToGrid w:val="0"/>
          <w:color w:val="auto"/>
          <w:kern w:val="0"/>
          <w:sz w:val="24"/>
          <w:highlight w:val="none"/>
          <w:u w:val="single"/>
        </w:rPr>
        <w:t xml:space="preserve">                  </w:t>
      </w:r>
      <w:bookmarkStart w:id="401" w:name="SOA_hhxys_cbr"/>
      <w:r>
        <w:rPr>
          <w:rFonts w:hint="eastAsia" w:ascii="宋体" w:hAnsi="宋体" w:cs="宋体"/>
          <w:snapToGrid w:val="0"/>
          <w:color w:val="auto"/>
          <w:kern w:val="0"/>
          <w:sz w:val="24"/>
          <w:highlight w:val="none"/>
          <w:u w:val="single"/>
        </w:rPr>
        <w:t xml:space="preserve">  </w:t>
      </w:r>
      <w:r>
        <w:rPr>
          <w:rFonts w:hint="eastAsia" w:ascii="宋体" w:hAnsi="宋体" w:cs="宋体"/>
          <w:b/>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rPr>
        <w:t xml:space="preserve">    </w:t>
      </w:r>
      <w:bookmarkEnd w:id="401"/>
      <w:r>
        <w:rPr>
          <w:rFonts w:hint="eastAsia" w:ascii="宋体" w:hAnsi="宋体" w:cs="宋体"/>
          <w:snapToGrid w:val="0"/>
          <w:color w:val="auto"/>
          <w:kern w:val="0"/>
          <w:sz w:val="24"/>
          <w:highlight w:val="none"/>
          <w:u w:val="single"/>
        </w:rPr>
        <w:t xml:space="preserve">   </w:t>
      </w:r>
    </w:p>
    <w:p w14:paraId="233AE989">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根据《中华人民共和国民法典》、 《中华人民共和国建筑法》及有关法律规定，遵循平等、自愿、公平和诚实信用的原则，双方就</w:t>
      </w:r>
      <w:r>
        <w:rPr>
          <w:rFonts w:hint="eastAsia" w:ascii="宋体" w:hAnsi="宋体" w:cs="宋体"/>
          <w:snapToGrid w:val="0"/>
          <w:color w:val="auto"/>
          <w:kern w:val="0"/>
          <w:sz w:val="24"/>
          <w:highlight w:val="none"/>
          <w:u w:val="single"/>
          <w:lang w:eastAsia="zh-CN"/>
        </w:rPr>
        <w:t>杭州市美术职业学校莫干校区实训楼外立面改造项目</w:t>
      </w:r>
      <w:r>
        <w:rPr>
          <w:rFonts w:hint="eastAsia" w:ascii="宋体" w:hAnsi="宋体" w:cs="宋体"/>
          <w:snapToGrid w:val="0"/>
          <w:color w:val="auto"/>
          <w:kern w:val="0"/>
          <w:sz w:val="24"/>
          <w:highlight w:val="none"/>
        </w:rPr>
        <w:t>施工及有关事项协商一致，共同达成如下协议：</w:t>
      </w:r>
    </w:p>
    <w:p w14:paraId="19597A4E">
      <w:pPr>
        <w:snapToGrid w:val="0"/>
        <w:spacing w:before="24" w:beforeLines="10" w:after="24" w:afterLines="10" w:line="360" w:lineRule="auto"/>
        <w:outlineLvl w:val="1"/>
        <w:rPr>
          <w:rFonts w:ascii="宋体" w:hAnsi="宋体" w:cs="宋体"/>
          <w:b/>
          <w:bCs/>
          <w:snapToGrid w:val="0"/>
          <w:color w:val="auto"/>
          <w:kern w:val="0"/>
          <w:sz w:val="24"/>
          <w:highlight w:val="none"/>
        </w:rPr>
      </w:pPr>
      <w:bookmarkStart w:id="402" w:name="_Toc361220410"/>
      <w:bookmarkStart w:id="403" w:name="_Toc97299498"/>
      <w:r>
        <w:rPr>
          <w:rFonts w:hint="eastAsia" w:ascii="宋体" w:hAnsi="宋体" w:cs="宋体"/>
          <w:b/>
          <w:bCs/>
          <w:snapToGrid w:val="0"/>
          <w:color w:val="auto"/>
          <w:kern w:val="0"/>
          <w:sz w:val="24"/>
          <w:highlight w:val="none"/>
        </w:rPr>
        <w:t>一、工程概况</w:t>
      </w:r>
      <w:bookmarkEnd w:id="402"/>
      <w:bookmarkEnd w:id="403"/>
    </w:p>
    <w:p w14:paraId="27961053">
      <w:pPr>
        <w:snapToGrid w:val="0"/>
        <w:spacing w:line="360" w:lineRule="auto"/>
        <w:ind w:firstLine="470" w:firstLineChars="196"/>
        <w:rPr>
          <w:rFonts w:ascii="宋体" w:hAnsi="宋体" w:cs="宋体"/>
          <w:snapToGrid w:val="0"/>
          <w:color w:val="auto"/>
          <w:kern w:val="0"/>
          <w:sz w:val="24"/>
          <w:highlight w:val="none"/>
          <w:u w:val="single"/>
        </w:rPr>
      </w:pPr>
      <w:r>
        <w:rPr>
          <w:rFonts w:hint="eastAsia" w:ascii="宋体" w:hAnsi="宋体" w:cs="宋体"/>
          <w:bCs/>
          <w:snapToGrid w:val="0"/>
          <w:color w:val="auto"/>
          <w:kern w:val="0"/>
          <w:sz w:val="24"/>
          <w:highlight w:val="none"/>
        </w:rPr>
        <w:t>1.工程名称</w:t>
      </w:r>
      <w:r>
        <w:rPr>
          <w:rFonts w:hint="eastAsia" w:ascii="宋体" w:hAnsi="宋体" w:cs="宋体"/>
          <w:snapToGrid w:val="0"/>
          <w:color w:val="auto"/>
          <w:kern w:val="0"/>
          <w:sz w:val="24"/>
          <w:highlight w:val="none"/>
        </w:rPr>
        <w:t>：</w:t>
      </w:r>
      <w:r>
        <w:rPr>
          <w:rFonts w:hint="eastAsia" w:ascii="宋体" w:hAnsi="宋体" w:cs="宋体"/>
          <w:snapToGrid w:val="0"/>
          <w:color w:val="auto"/>
          <w:kern w:val="0"/>
          <w:sz w:val="24"/>
          <w:highlight w:val="none"/>
          <w:u w:val="single"/>
          <w:lang w:eastAsia="zh-CN"/>
        </w:rPr>
        <w:t>杭州市美术职业学校莫干校区实训楼外立面改造项目</w:t>
      </w:r>
      <w:r>
        <w:rPr>
          <w:rFonts w:hint="eastAsia" w:ascii="宋体" w:hAnsi="宋体" w:cs="宋体"/>
          <w:snapToGrid w:val="0"/>
          <w:color w:val="auto"/>
          <w:kern w:val="0"/>
          <w:sz w:val="24"/>
          <w:highlight w:val="none"/>
        </w:rPr>
        <w:t>。</w:t>
      </w:r>
    </w:p>
    <w:p w14:paraId="5BC460D0">
      <w:pPr>
        <w:snapToGrid w:val="0"/>
        <w:spacing w:line="360" w:lineRule="auto"/>
        <w:ind w:firstLine="470" w:firstLineChars="196"/>
        <w:rPr>
          <w:rFonts w:hint="default" w:ascii="宋体" w:hAnsi="宋体" w:cs="宋体"/>
          <w:bCs/>
          <w:snapToGrid w:val="0"/>
          <w:color w:val="auto"/>
          <w:kern w:val="0"/>
          <w:sz w:val="24"/>
          <w:highlight w:val="none"/>
          <w:lang w:val="en-US"/>
        </w:rPr>
      </w:pPr>
      <w:r>
        <w:rPr>
          <w:rFonts w:hint="eastAsia" w:ascii="宋体" w:hAnsi="宋体" w:cs="宋体"/>
          <w:bCs/>
          <w:snapToGrid w:val="0"/>
          <w:color w:val="auto"/>
          <w:kern w:val="0"/>
          <w:sz w:val="24"/>
          <w:highlight w:val="none"/>
        </w:rPr>
        <w:t>2.工程地点：</w:t>
      </w:r>
      <w:r>
        <w:rPr>
          <w:rFonts w:hint="eastAsia" w:ascii="宋体" w:hAnsi="宋体" w:cs="宋体"/>
          <w:bCs/>
          <w:snapToGrid w:val="0"/>
          <w:color w:val="auto"/>
          <w:kern w:val="0"/>
          <w:sz w:val="24"/>
          <w:highlight w:val="none"/>
          <w:u w:val="single"/>
          <w:lang w:val="en-US" w:eastAsia="zh-CN"/>
        </w:rPr>
        <w:t xml:space="preserve">                                   </w:t>
      </w:r>
    </w:p>
    <w:p w14:paraId="0AB3433C">
      <w:pPr>
        <w:snapToGrid w:val="0"/>
        <w:spacing w:line="360" w:lineRule="auto"/>
        <w:ind w:firstLine="470" w:firstLineChars="196"/>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3.工程立项批准文号：</w:t>
      </w:r>
      <w:r>
        <w:rPr>
          <w:rFonts w:hint="eastAsia" w:ascii="宋体" w:hAnsi="宋体" w:cs="宋体"/>
          <w:snapToGrid w:val="0"/>
          <w:color w:val="auto"/>
          <w:kern w:val="0"/>
          <w:sz w:val="24"/>
          <w:highlight w:val="none"/>
          <w:u w:val="single"/>
          <w:lang w:val="en-US" w:eastAsia="zh-CN"/>
        </w:rPr>
        <w:t>/</w:t>
      </w:r>
      <w:r>
        <w:rPr>
          <w:rFonts w:hint="eastAsia" w:ascii="宋体" w:hAnsi="宋体" w:cs="宋体"/>
          <w:bCs/>
          <w:snapToGrid w:val="0"/>
          <w:color w:val="auto"/>
          <w:kern w:val="0"/>
          <w:sz w:val="24"/>
          <w:highlight w:val="none"/>
        </w:rPr>
        <w:t>。</w:t>
      </w:r>
    </w:p>
    <w:p w14:paraId="7EEBE79D">
      <w:pPr>
        <w:snapToGrid w:val="0"/>
        <w:spacing w:line="360" w:lineRule="auto"/>
        <w:ind w:firstLine="470" w:firstLineChars="196"/>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4.资金来源：</w:t>
      </w:r>
      <w:r>
        <w:rPr>
          <w:rFonts w:hint="eastAsia" w:ascii="宋体" w:hAnsi="宋体" w:cs="宋体"/>
          <w:snapToGrid w:val="0"/>
          <w:color w:val="auto"/>
          <w:kern w:val="0"/>
          <w:sz w:val="24"/>
          <w:highlight w:val="none"/>
          <w:u w:val="single"/>
          <w:lang w:val="en-US" w:eastAsia="zh-CN"/>
        </w:rPr>
        <w:t>财政资金</w:t>
      </w:r>
      <w:r>
        <w:rPr>
          <w:rFonts w:hint="eastAsia" w:ascii="宋体" w:hAnsi="宋体" w:cs="宋体"/>
          <w:bCs/>
          <w:snapToGrid w:val="0"/>
          <w:color w:val="auto"/>
          <w:kern w:val="0"/>
          <w:sz w:val="24"/>
          <w:highlight w:val="none"/>
        </w:rPr>
        <w:t>。</w:t>
      </w:r>
    </w:p>
    <w:p w14:paraId="3E165663">
      <w:pPr>
        <w:snapToGrid w:val="0"/>
        <w:spacing w:line="360" w:lineRule="auto"/>
        <w:ind w:firstLine="463" w:firstLineChars="193"/>
        <w:rPr>
          <w:rFonts w:ascii="宋体" w:hAnsi="宋体" w:cs="宋体"/>
          <w:snapToGrid w:val="0"/>
          <w:color w:val="auto"/>
          <w:kern w:val="0"/>
          <w:sz w:val="24"/>
          <w:highlight w:val="none"/>
        </w:rPr>
      </w:pPr>
      <w:r>
        <w:rPr>
          <w:rFonts w:hint="eastAsia" w:ascii="宋体" w:hAnsi="宋体" w:cs="宋体"/>
          <w:bCs/>
          <w:snapToGrid w:val="0"/>
          <w:color w:val="auto"/>
          <w:kern w:val="0"/>
          <w:sz w:val="24"/>
          <w:highlight w:val="none"/>
        </w:rPr>
        <w:t>5.工程内容：</w:t>
      </w:r>
      <w:r>
        <w:rPr>
          <w:rFonts w:hint="eastAsia" w:ascii="宋体" w:hAnsi="宋体" w:cs="宋体"/>
          <w:color w:val="auto"/>
          <w:sz w:val="24"/>
          <w:highlight w:val="none"/>
          <w:u w:val="single"/>
        </w:rPr>
        <w:t>所有图纸范围内的工程。</w:t>
      </w:r>
      <w:r>
        <w:rPr>
          <w:rFonts w:hint="eastAsia" w:ascii="宋体" w:hAnsi="宋体" w:cs="宋体"/>
          <w:bCs/>
          <w:snapToGrid w:val="0"/>
          <w:color w:val="auto"/>
          <w:kern w:val="0"/>
          <w:sz w:val="24"/>
          <w:highlight w:val="none"/>
        </w:rPr>
        <w:t xml:space="preserve">                           </w:t>
      </w:r>
      <w:r>
        <w:rPr>
          <w:rFonts w:hint="eastAsia" w:ascii="宋体" w:hAnsi="宋体" w:cs="宋体"/>
          <w:snapToGrid w:val="0"/>
          <w:color w:val="auto"/>
          <w:kern w:val="0"/>
          <w:sz w:val="24"/>
          <w:highlight w:val="none"/>
        </w:rPr>
        <w:t xml:space="preserve"> </w:t>
      </w:r>
    </w:p>
    <w:p w14:paraId="6A5F3EEE">
      <w:pPr>
        <w:snapToGrid w:val="0"/>
        <w:spacing w:line="360" w:lineRule="auto"/>
        <w:ind w:firstLine="470" w:firstLineChars="196"/>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6.工程承包范围：</w:t>
      </w:r>
      <w:r>
        <w:rPr>
          <w:rFonts w:hint="eastAsia" w:ascii="宋体" w:hAnsi="宋体" w:cs="宋体"/>
          <w:color w:val="auto"/>
          <w:sz w:val="24"/>
          <w:highlight w:val="none"/>
          <w:u w:val="single"/>
        </w:rPr>
        <w:t>所有图纸范围内的工程。</w:t>
      </w:r>
    </w:p>
    <w:p w14:paraId="599E6987">
      <w:pPr>
        <w:snapToGrid w:val="0"/>
        <w:spacing w:line="360" w:lineRule="auto"/>
        <w:ind w:firstLine="463" w:firstLineChars="193"/>
        <w:rPr>
          <w:rFonts w:ascii="宋体" w:hAnsi="宋体" w:cs="宋体"/>
          <w:bCs/>
          <w:snapToGrid w:val="0"/>
          <w:color w:val="auto"/>
          <w:kern w:val="0"/>
          <w:sz w:val="24"/>
          <w:highlight w:val="none"/>
        </w:rPr>
      </w:pPr>
      <w:bookmarkStart w:id="404" w:name="_Toc361220411"/>
      <w:r>
        <w:rPr>
          <w:rFonts w:hint="eastAsia" w:ascii="宋体" w:hAnsi="宋体" w:cs="宋体"/>
          <w:bCs/>
          <w:snapToGrid w:val="0"/>
          <w:color w:val="auto"/>
          <w:kern w:val="0"/>
          <w:sz w:val="24"/>
          <w:highlight w:val="none"/>
        </w:rPr>
        <w:t>本项目为（项目名称）项目，详见图纸、工程量清单以及采购文件要求</w:t>
      </w:r>
    </w:p>
    <w:p w14:paraId="330182D3">
      <w:pPr>
        <w:snapToGrid w:val="0"/>
        <w:spacing w:line="360" w:lineRule="auto"/>
        <w:outlineLvl w:val="1"/>
        <w:rPr>
          <w:rFonts w:ascii="宋体" w:hAnsi="宋体" w:cs="宋体"/>
          <w:b/>
          <w:bCs/>
          <w:snapToGrid w:val="0"/>
          <w:color w:val="auto"/>
          <w:kern w:val="0"/>
          <w:sz w:val="24"/>
          <w:highlight w:val="none"/>
        </w:rPr>
      </w:pPr>
      <w:bookmarkStart w:id="405" w:name="_Toc97299499"/>
      <w:r>
        <w:rPr>
          <w:rFonts w:hint="eastAsia" w:ascii="宋体" w:hAnsi="宋体" w:cs="宋体"/>
          <w:b/>
          <w:bCs/>
          <w:snapToGrid w:val="0"/>
          <w:color w:val="auto"/>
          <w:kern w:val="0"/>
          <w:sz w:val="24"/>
          <w:highlight w:val="none"/>
        </w:rPr>
        <w:t>二、合同工期</w:t>
      </w:r>
      <w:bookmarkEnd w:id="404"/>
      <w:bookmarkEnd w:id="405"/>
    </w:p>
    <w:p w14:paraId="3707D62D">
      <w:pPr>
        <w:snapToGrid w:val="0"/>
        <w:spacing w:line="360" w:lineRule="auto"/>
        <w:ind w:firstLine="459"/>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计划开工日期：</w:t>
      </w:r>
      <w:r>
        <w:rPr>
          <w:rFonts w:hint="eastAsia" w:ascii="宋体" w:hAnsi="宋体" w:cs="宋体"/>
          <w:snapToGrid w:val="0"/>
          <w:color w:val="auto"/>
          <w:kern w:val="0"/>
          <w:sz w:val="24"/>
          <w:highlight w:val="none"/>
          <w:u w:val="single"/>
        </w:rPr>
        <w:t xml:space="preserve">20  </w:t>
      </w:r>
      <w:r>
        <w:rPr>
          <w:rFonts w:hint="eastAsia" w:ascii="宋体" w:hAnsi="宋体" w:cs="宋体"/>
          <w:snapToGrid w:val="0"/>
          <w:color w:val="auto"/>
          <w:kern w:val="0"/>
          <w:sz w:val="24"/>
          <w:highlight w:val="none"/>
        </w:rPr>
        <w:t>年</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月</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日；</w:t>
      </w:r>
    </w:p>
    <w:p w14:paraId="7E19037A">
      <w:pPr>
        <w:snapToGrid w:val="0"/>
        <w:spacing w:line="360" w:lineRule="auto"/>
        <w:ind w:firstLine="459"/>
        <w:rPr>
          <w:rFonts w:ascii="宋体" w:hAnsi="宋体" w:cs="宋体"/>
          <w:snapToGrid w:val="0"/>
          <w:color w:val="auto"/>
          <w:kern w:val="0"/>
          <w:sz w:val="24"/>
          <w:highlight w:val="none"/>
        </w:rPr>
      </w:pPr>
      <w:bookmarkStart w:id="406" w:name="SOA_hhxys_jgn"/>
      <w:r>
        <w:rPr>
          <w:rFonts w:hint="eastAsia" w:ascii="宋体" w:hAnsi="宋体" w:cs="宋体"/>
          <w:snapToGrid w:val="0"/>
          <w:color w:val="auto"/>
          <w:kern w:val="0"/>
          <w:sz w:val="24"/>
          <w:highlight w:val="none"/>
        </w:rPr>
        <w:t>计划竣工日期：</w:t>
      </w:r>
      <w:r>
        <w:rPr>
          <w:rFonts w:hint="eastAsia" w:ascii="宋体" w:hAnsi="宋体" w:cs="宋体"/>
          <w:snapToGrid w:val="0"/>
          <w:color w:val="auto"/>
          <w:kern w:val="0"/>
          <w:sz w:val="24"/>
          <w:highlight w:val="none"/>
          <w:u w:val="single"/>
        </w:rPr>
        <w:t xml:space="preserve">20  </w:t>
      </w:r>
      <w:r>
        <w:rPr>
          <w:rFonts w:hint="eastAsia" w:ascii="宋体" w:hAnsi="宋体" w:cs="宋体"/>
          <w:snapToGrid w:val="0"/>
          <w:color w:val="auto"/>
          <w:kern w:val="0"/>
          <w:sz w:val="24"/>
          <w:highlight w:val="none"/>
        </w:rPr>
        <w:t>年</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月</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日；</w:t>
      </w:r>
      <w:bookmarkEnd w:id="406"/>
    </w:p>
    <w:p w14:paraId="672810B8">
      <w:pPr>
        <w:snapToGrid w:val="0"/>
        <w:spacing w:line="360" w:lineRule="auto"/>
        <w:ind w:firstLine="459"/>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工期总日历天数：</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天。工期总日历天数与根据前述计划开竣工日期计算的工期天数不一致的，以工期总日历天数为准。</w:t>
      </w:r>
    </w:p>
    <w:p w14:paraId="7382DE2D">
      <w:pPr>
        <w:snapToGrid w:val="0"/>
        <w:spacing w:line="360" w:lineRule="auto"/>
        <w:outlineLvl w:val="1"/>
        <w:rPr>
          <w:rFonts w:ascii="宋体" w:hAnsi="宋体" w:cs="宋体"/>
          <w:b/>
          <w:bCs/>
          <w:snapToGrid w:val="0"/>
          <w:color w:val="auto"/>
          <w:kern w:val="0"/>
          <w:sz w:val="24"/>
          <w:highlight w:val="none"/>
        </w:rPr>
      </w:pPr>
      <w:bookmarkStart w:id="407" w:name="_Toc97299500"/>
      <w:bookmarkStart w:id="408" w:name="_Toc361220412"/>
      <w:r>
        <w:rPr>
          <w:rFonts w:hint="eastAsia" w:ascii="宋体" w:hAnsi="宋体" w:cs="宋体"/>
          <w:b/>
          <w:bCs/>
          <w:snapToGrid w:val="0"/>
          <w:color w:val="auto"/>
          <w:kern w:val="0"/>
          <w:sz w:val="24"/>
          <w:highlight w:val="none"/>
        </w:rPr>
        <w:t>三、质量标准</w:t>
      </w:r>
      <w:bookmarkEnd w:id="407"/>
      <w:bookmarkEnd w:id="408"/>
    </w:p>
    <w:p w14:paraId="201A0430">
      <w:pPr>
        <w:snapToGrid w:val="0"/>
        <w:spacing w:line="360" w:lineRule="auto"/>
        <w:ind w:firstLine="459"/>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工程质量符合</w:t>
      </w:r>
      <w:r>
        <w:rPr>
          <w:rFonts w:hint="eastAsia" w:ascii="宋体" w:hAnsi="宋体" w:cs="宋体"/>
          <w:snapToGrid w:val="0"/>
          <w:color w:val="auto"/>
          <w:kern w:val="0"/>
          <w:sz w:val="24"/>
          <w:highlight w:val="none"/>
          <w:u w:val="single"/>
          <w:lang w:val="en-US" w:eastAsia="zh-CN"/>
        </w:rPr>
        <w:t>合格</w:t>
      </w:r>
      <w:r>
        <w:rPr>
          <w:rFonts w:hint="eastAsia" w:ascii="宋体" w:hAnsi="宋体" w:cs="宋体"/>
          <w:snapToGrid w:val="0"/>
          <w:color w:val="auto"/>
          <w:kern w:val="0"/>
          <w:sz w:val="24"/>
          <w:highlight w:val="none"/>
        </w:rPr>
        <w:t>标准。</w:t>
      </w:r>
    </w:p>
    <w:p w14:paraId="57D5E114">
      <w:pPr>
        <w:snapToGrid w:val="0"/>
        <w:spacing w:line="360" w:lineRule="auto"/>
        <w:outlineLvl w:val="1"/>
        <w:rPr>
          <w:rFonts w:ascii="宋体" w:hAnsi="宋体" w:cs="宋体"/>
          <w:b/>
          <w:bCs/>
          <w:snapToGrid w:val="0"/>
          <w:color w:val="auto"/>
          <w:kern w:val="0"/>
          <w:sz w:val="24"/>
          <w:highlight w:val="none"/>
        </w:rPr>
      </w:pPr>
      <w:bookmarkStart w:id="409" w:name="_Toc361220413"/>
      <w:bookmarkStart w:id="410" w:name="_Toc97299501"/>
      <w:r>
        <w:rPr>
          <w:rFonts w:hint="eastAsia" w:ascii="宋体" w:hAnsi="宋体" w:cs="宋体"/>
          <w:b/>
          <w:bCs/>
          <w:snapToGrid w:val="0"/>
          <w:color w:val="auto"/>
          <w:kern w:val="0"/>
          <w:sz w:val="24"/>
          <w:highlight w:val="none"/>
        </w:rPr>
        <w:t>四、签约合同价与合同价格形式</w:t>
      </w:r>
      <w:bookmarkEnd w:id="409"/>
      <w:bookmarkEnd w:id="410"/>
    </w:p>
    <w:p w14:paraId="0920CAFC">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1.签约合同价为：</w:t>
      </w:r>
    </w:p>
    <w:p w14:paraId="10DF27C4">
      <w:pPr>
        <w:snapToGrid w:val="0"/>
        <w:spacing w:line="360" w:lineRule="auto"/>
        <w:ind w:firstLine="600" w:firstLineChars="25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人民币（大写）</w:t>
      </w:r>
      <w:bookmarkStart w:id="411" w:name="SOA_hhxys_htjdx"/>
      <w:r>
        <w:rPr>
          <w:rFonts w:hint="eastAsia" w:ascii="宋体" w:hAnsi="宋体" w:cs="宋体"/>
          <w:snapToGrid w:val="0"/>
          <w:color w:val="auto"/>
          <w:kern w:val="0"/>
          <w:sz w:val="24"/>
          <w:highlight w:val="none"/>
          <w:u w:val="single"/>
        </w:rPr>
        <w:t xml:space="preserve">                   </w:t>
      </w:r>
      <w:bookmarkEnd w:id="411"/>
      <w:r>
        <w:rPr>
          <w:rFonts w:hint="eastAsia" w:ascii="宋体" w:hAnsi="宋体" w:cs="宋体"/>
          <w:snapToGrid w:val="0"/>
          <w:color w:val="auto"/>
          <w:kern w:val="0"/>
          <w:sz w:val="24"/>
          <w:highlight w:val="none"/>
        </w:rPr>
        <w:t>(¥</w:t>
      </w:r>
      <w:r>
        <w:rPr>
          <w:rFonts w:hint="eastAsia" w:ascii="宋体" w:hAnsi="宋体" w:cs="宋体"/>
          <w:snapToGrid w:val="0"/>
          <w:color w:val="auto"/>
          <w:kern w:val="0"/>
          <w:sz w:val="24"/>
          <w:highlight w:val="none"/>
          <w:u w:val="single"/>
        </w:rPr>
        <w:t xml:space="preserve"> </w:t>
      </w:r>
      <w:bookmarkStart w:id="412" w:name="SOA_hhxys_htjxx"/>
      <w:r>
        <w:rPr>
          <w:rFonts w:hint="eastAsia" w:ascii="宋体" w:hAnsi="宋体" w:cs="宋体"/>
          <w:snapToGrid w:val="0"/>
          <w:color w:val="auto"/>
          <w:kern w:val="0"/>
          <w:sz w:val="24"/>
          <w:highlight w:val="none"/>
          <w:u w:val="single"/>
        </w:rPr>
        <w:t xml:space="preserve">            </w:t>
      </w:r>
      <w:bookmarkEnd w:id="412"/>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元)；</w:t>
      </w:r>
    </w:p>
    <w:p w14:paraId="278C72A2">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其中：</w:t>
      </w:r>
    </w:p>
    <w:p w14:paraId="0D2BD1CB">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（1）安全文明施工费：</w:t>
      </w:r>
    </w:p>
    <w:p w14:paraId="0FF45346">
      <w:pPr>
        <w:snapToGrid w:val="0"/>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人民币（大写）</w:t>
      </w:r>
      <w:bookmarkStart w:id="413" w:name="SOA_hhxys_wmsgfdx"/>
      <w:r>
        <w:rPr>
          <w:rFonts w:hint="eastAsia" w:ascii="宋体" w:hAnsi="宋体" w:cs="宋体"/>
          <w:snapToGrid w:val="0"/>
          <w:color w:val="auto"/>
          <w:kern w:val="0"/>
          <w:sz w:val="24"/>
          <w:highlight w:val="none"/>
          <w:u w:val="single"/>
        </w:rPr>
        <w:t xml:space="preserve">                </w:t>
      </w:r>
      <w:bookmarkEnd w:id="413"/>
      <w:r>
        <w:rPr>
          <w:rFonts w:hint="eastAsia" w:ascii="宋体" w:hAnsi="宋体" w:cs="宋体"/>
          <w:snapToGrid w:val="0"/>
          <w:color w:val="auto"/>
          <w:kern w:val="0"/>
          <w:sz w:val="24"/>
          <w:highlight w:val="none"/>
        </w:rPr>
        <w:t>(¥</w:t>
      </w:r>
      <w:bookmarkStart w:id="414" w:name="SOA_hhxys_wmsgfxx"/>
      <w:r>
        <w:rPr>
          <w:rFonts w:hint="eastAsia" w:ascii="宋体" w:hAnsi="宋体" w:cs="宋体"/>
          <w:snapToGrid w:val="0"/>
          <w:color w:val="auto"/>
          <w:kern w:val="0"/>
          <w:sz w:val="24"/>
          <w:highlight w:val="none"/>
          <w:u w:val="single"/>
        </w:rPr>
        <w:t xml:space="preserve">                  </w:t>
      </w:r>
      <w:bookmarkEnd w:id="414"/>
      <w:r>
        <w:rPr>
          <w:rFonts w:hint="eastAsia" w:ascii="宋体" w:hAnsi="宋体" w:cs="宋体"/>
          <w:snapToGrid w:val="0"/>
          <w:color w:val="auto"/>
          <w:kern w:val="0"/>
          <w:sz w:val="24"/>
          <w:highlight w:val="none"/>
        </w:rPr>
        <w:t>元)；</w:t>
      </w:r>
    </w:p>
    <w:p w14:paraId="1A3EF27E">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（2）材料和工程设备暂估价金额：</w:t>
      </w:r>
    </w:p>
    <w:p w14:paraId="7E49FD4D">
      <w:pPr>
        <w:snapToGrid w:val="0"/>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人民币（大写）</w:t>
      </w:r>
      <w:bookmarkStart w:id="415" w:name="SOA_hhxys_sbzgjdx"/>
      <w:r>
        <w:rPr>
          <w:rFonts w:hint="eastAsia" w:ascii="宋体" w:hAnsi="宋体" w:cs="宋体"/>
          <w:snapToGrid w:val="0"/>
          <w:color w:val="auto"/>
          <w:kern w:val="0"/>
          <w:sz w:val="24"/>
          <w:highlight w:val="none"/>
          <w:u w:val="single"/>
        </w:rPr>
        <w:t xml:space="preserve">       </w:t>
      </w:r>
      <w:bookmarkEnd w:id="415"/>
      <w:r>
        <w:rPr>
          <w:rFonts w:hint="eastAsia" w:ascii="宋体" w:hAnsi="宋体" w:cs="宋体"/>
          <w:snapToGrid w:val="0"/>
          <w:color w:val="auto"/>
          <w:kern w:val="0"/>
          <w:sz w:val="24"/>
          <w:highlight w:val="none"/>
        </w:rPr>
        <w:t>(¥</w:t>
      </w:r>
      <w:bookmarkStart w:id="416" w:name="SOA_hhxys_sbzgjxx"/>
      <w:r>
        <w:rPr>
          <w:rFonts w:hint="eastAsia" w:ascii="宋体" w:hAnsi="宋体" w:cs="宋体"/>
          <w:snapToGrid w:val="0"/>
          <w:color w:val="auto"/>
          <w:kern w:val="0"/>
          <w:sz w:val="24"/>
          <w:highlight w:val="none"/>
          <w:u w:val="single"/>
        </w:rPr>
        <w:t xml:space="preserve">      </w:t>
      </w:r>
      <w:bookmarkEnd w:id="416"/>
      <w:r>
        <w:rPr>
          <w:rFonts w:hint="eastAsia" w:ascii="宋体" w:hAnsi="宋体" w:cs="宋体"/>
          <w:snapToGrid w:val="0"/>
          <w:color w:val="auto"/>
          <w:kern w:val="0"/>
          <w:sz w:val="24"/>
          <w:highlight w:val="none"/>
        </w:rPr>
        <w:t>元)；</w:t>
      </w:r>
    </w:p>
    <w:p w14:paraId="4C4F59DC">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（3）专业工程暂估价金额：</w:t>
      </w:r>
    </w:p>
    <w:p w14:paraId="0DE4D0C2">
      <w:pPr>
        <w:snapToGrid w:val="0"/>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人民币（大写）</w:t>
      </w:r>
      <w:bookmarkStart w:id="417" w:name="SOA_hhxys_gczgjdx"/>
      <w:r>
        <w:rPr>
          <w:rFonts w:hint="eastAsia" w:ascii="宋体" w:hAnsi="宋体" w:cs="宋体"/>
          <w:snapToGrid w:val="0"/>
          <w:color w:val="auto"/>
          <w:kern w:val="0"/>
          <w:sz w:val="24"/>
          <w:highlight w:val="none"/>
          <w:u w:val="single"/>
        </w:rPr>
        <w:t xml:space="preserve">       </w:t>
      </w:r>
      <w:bookmarkEnd w:id="417"/>
      <w:r>
        <w:rPr>
          <w:rFonts w:hint="eastAsia" w:ascii="宋体" w:hAnsi="宋体" w:cs="宋体"/>
          <w:snapToGrid w:val="0"/>
          <w:color w:val="auto"/>
          <w:kern w:val="0"/>
          <w:sz w:val="24"/>
          <w:highlight w:val="none"/>
        </w:rPr>
        <w:t>(¥</w:t>
      </w:r>
      <w:bookmarkStart w:id="418" w:name="SOA_hhxys_gczgjxx"/>
      <w:r>
        <w:rPr>
          <w:rFonts w:hint="eastAsia" w:ascii="宋体" w:hAnsi="宋体" w:cs="宋体"/>
          <w:snapToGrid w:val="0"/>
          <w:color w:val="auto"/>
          <w:kern w:val="0"/>
          <w:sz w:val="24"/>
          <w:highlight w:val="none"/>
          <w:u w:val="single"/>
        </w:rPr>
        <w:t xml:space="preserve">       </w:t>
      </w:r>
      <w:bookmarkEnd w:id="418"/>
      <w:r>
        <w:rPr>
          <w:rFonts w:hint="eastAsia" w:ascii="宋体" w:hAnsi="宋体" w:cs="宋体"/>
          <w:snapToGrid w:val="0"/>
          <w:color w:val="auto"/>
          <w:kern w:val="0"/>
          <w:sz w:val="24"/>
          <w:highlight w:val="none"/>
        </w:rPr>
        <w:t>元)；</w:t>
      </w:r>
    </w:p>
    <w:p w14:paraId="236AE5B9">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（4）暂列金额：</w:t>
      </w:r>
    </w:p>
    <w:p w14:paraId="1E32763A">
      <w:pPr>
        <w:snapToGrid w:val="0"/>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人民币（大写）</w:t>
      </w:r>
      <w:bookmarkStart w:id="419" w:name="SOA_hhxys_zljedx"/>
      <w:r>
        <w:rPr>
          <w:rFonts w:hint="eastAsia" w:ascii="宋体" w:hAnsi="宋体" w:cs="宋体"/>
          <w:snapToGrid w:val="0"/>
          <w:color w:val="auto"/>
          <w:kern w:val="0"/>
          <w:sz w:val="24"/>
          <w:highlight w:val="none"/>
          <w:u w:val="single"/>
        </w:rPr>
        <w:t xml:space="preserve">       </w:t>
      </w:r>
      <w:bookmarkEnd w:id="419"/>
      <w:r>
        <w:rPr>
          <w:rFonts w:hint="eastAsia" w:ascii="宋体" w:hAnsi="宋体" w:cs="宋体"/>
          <w:snapToGrid w:val="0"/>
          <w:color w:val="auto"/>
          <w:kern w:val="0"/>
          <w:sz w:val="24"/>
          <w:highlight w:val="none"/>
        </w:rPr>
        <w:t>(¥</w:t>
      </w:r>
      <w:bookmarkStart w:id="420" w:name="SOA_hhxys_zljexx"/>
      <w:r>
        <w:rPr>
          <w:rFonts w:hint="eastAsia" w:ascii="宋体" w:hAnsi="宋体" w:cs="宋体"/>
          <w:snapToGrid w:val="0"/>
          <w:color w:val="auto"/>
          <w:kern w:val="0"/>
          <w:sz w:val="24"/>
          <w:highlight w:val="none"/>
          <w:u w:val="single"/>
        </w:rPr>
        <w:t xml:space="preserve">        </w:t>
      </w:r>
      <w:bookmarkEnd w:id="420"/>
      <w:r>
        <w:rPr>
          <w:rFonts w:hint="eastAsia" w:ascii="宋体" w:hAnsi="宋体" w:cs="宋体"/>
          <w:snapToGrid w:val="0"/>
          <w:color w:val="auto"/>
          <w:kern w:val="0"/>
          <w:sz w:val="24"/>
          <w:highlight w:val="none"/>
        </w:rPr>
        <w:t>元)。</w:t>
      </w:r>
    </w:p>
    <w:p w14:paraId="4E157210">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2.合同价格形式：</w:t>
      </w:r>
      <w:r>
        <w:rPr>
          <w:rFonts w:hint="eastAsia" w:ascii="宋体" w:hAnsi="宋体" w:cs="宋体"/>
          <w:snapToGrid w:val="0"/>
          <w:color w:val="auto"/>
          <w:kern w:val="0"/>
          <w:sz w:val="24"/>
          <w:highlight w:val="none"/>
          <w:u w:val="single"/>
        </w:rPr>
        <w:t></w:t>
      </w:r>
      <w:bookmarkStart w:id="421" w:name="SOA_hhxys_htjgxs"/>
      <w:r>
        <w:rPr>
          <w:rFonts w:hint="eastAsia" w:ascii="宋体" w:hAnsi="宋体" w:cs="宋体"/>
          <w:snapToGrid w:val="0"/>
          <w:color w:val="auto"/>
          <w:kern w:val="0"/>
          <w:sz w:val="24"/>
          <w:highlight w:val="none"/>
          <w:u w:val="single"/>
        </w:rPr>
        <w:t xml:space="preserve">  </w:t>
      </w:r>
      <w:bookmarkEnd w:id="421"/>
      <w:r>
        <w:rPr>
          <w:rFonts w:hint="eastAsia" w:ascii="宋体" w:hAnsi="宋体" w:cs="宋体"/>
          <w:snapToGrid w:val="0"/>
          <w:color w:val="auto"/>
          <w:kern w:val="0"/>
          <w:sz w:val="24"/>
          <w:highlight w:val="none"/>
          <w:u w:val="single"/>
        </w:rPr>
        <w:t xml:space="preserve">      </w:t>
      </w:r>
      <w:r>
        <w:rPr>
          <w:rFonts w:hint="eastAsia" w:ascii="宋体" w:hAnsi="宋体" w:cs="宋体"/>
          <w:snapToGrid w:val="0"/>
          <w:color w:val="auto"/>
          <w:kern w:val="0"/>
          <w:sz w:val="24"/>
          <w:highlight w:val="none"/>
        </w:rPr>
        <w:t>。</w:t>
      </w:r>
    </w:p>
    <w:p w14:paraId="581E69BA">
      <w:pPr>
        <w:snapToGrid w:val="0"/>
        <w:spacing w:line="360" w:lineRule="auto"/>
        <w:outlineLvl w:val="1"/>
        <w:rPr>
          <w:rFonts w:ascii="宋体" w:hAnsi="宋体" w:cs="宋体"/>
          <w:b/>
          <w:bCs/>
          <w:snapToGrid w:val="0"/>
          <w:color w:val="auto"/>
          <w:kern w:val="0"/>
          <w:sz w:val="24"/>
          <w:highlight w:val="none"/>
        </w:rPr>
      </w:pPr>
      <w:bookmarkStart w:id="422" w:name="_Toc361220414"/>
      <w:bookmarkStart w:id="423" w:name="_Toc97299502"/>
      <w:r>
        <w:rPr>
          <w:rFonts w:hint="eastAsia" w:ascii="宋体" w:hAnsi="宋体" w:cs="宋体"/>
          <w:b/>
          <w:bCs/>
          <w:snapToGrid w:val="0"/>
          <w:color w:val="auto"/>
          <w:kern w:val="0"/>
          <w:sz w:val="24"/>
          <w:highlight w:val="none"/>
        </w:rPr>
        <w:t>五、项目经理</w:t>
      </w:r>
      <w:bookmarkEnd w:id="422"/>
      <w:bookmarkEnd w:id="423"/>
    </w:p>
    <w:p w14:paraId="4106E785">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承包人项目经理：</w:t>
      </w:r>
      <w:r>
        <w:rPr>
          <w:rFonts w:hint="eastAsia" w:ascii="宋体" w:hAnsi="宋体" w:cs="宋体"/>
          <w:snapToGrid w:val="0"/>
          <w:color w:val="auto"/>
          <w:kern w:val="0"/>
          <w:sz w:val="24"/>
          <w:highlight w:val="none"/>
          <w:u w:val="single"/>
        </w:rPr>
        <w:t></w:t>
      </w:r>
      <w:bookmarkStart w:id="424" w:name="SOA_hhxys_cbrxmjl"/>
      <w:r>
        <w:rPr>
          <w:rFonts w:hint="eastAsia" w:ascii="宋体" w:hAnsi="宋体" w:cs="宋体"/>
          <w:snapToGrid w:val="0"/>
          <w:color w:val="auto"/>
          <w:kern w:val="0"/>
          <w:sz w:val="24"/>
          <w:highlight w:val="none"/>
          <w:u w:val="single"/>
        </w:rPr>
        <w:t xml:space="preserve">        </w:t>
      </w:r>
      <w:bookmarkEnd w:id="424"/>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w:t>
      </w:r>
    </w:p>
    <w:p w14:paraId="2DEF180E">
      <w:pPr>
        <w:snapToGrid w:val="0"/>
        <w:spacing w:line="360" w:lineRule="auto"/>
        <w:outlineLvl w:val="1"/>
        <w:rPr>
          <w:rFonts w:ascii="宋体" w:hAnsi="宋体" w:cs="宋体"/>
          <w:b/>
          <w:bCs/>
          <w:snapToGrid w:val="0"/>
          <w:color w:val="auto"/>
          <w:kern w:val="0"/>
          <w:sz w:val="24"/>
          <w:highlight w:val="none"/>
        </w:rPr>
      </w:pPr>
      <w:bookmarkStart w:id="425" w:name="_Toc97299503"/>
      <w:bookmarkStart w:id="426" w:name="_Toc361220415"/>
      <w:r>
        <w:rPr>
          <w:rFonts w:hint="eastAsia" w:ascii="宋体" w:hAnsi="宋体" w:cs="宋体"/>
          <w:b/>
          <w:bCs/>
          <w:snapToGrid w:val="0"/>
          <w:color w:val="auto"/>
          <w:kern w:val="0"/>
          <w:sz w:val="24"/>
          <w:highlight w:val="none"/>
        </w:rPr>
        <w:t>六、合同文件构成</w:t>
      </w:r>
      <w:bookmarkEnd w:id="425"/>
      <w:bookmarkEnd w:id="426"/>
    </w:p>
    <w:p w14:paraId="4D6B6C5B">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本协议书与下列文件一起构成合同文件：</w:t>
      </w:r>
    </w:p>
    <w:p w14:paraId="6CF04F6B">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（1）成交通知书（如果有）；</w:t>
      </w:r>
    </w:p>
    <w:p w14:paraId="35E901AB">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（2）响应函及其附录（如果有）； </w:t>
      </w:r>
    </w:p>
    <w:p w14:paraId="65163A13">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（3）专用合同条款及其附件；</w:t>
      </w:r>
    </w:p>
    <w:p w14:paraId="2E2E18A4">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（4）通用合同条款；</w:t>
      </w:r>
    </w:p>
    <w:p w14:paraId="51E59C25">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（5）技术标准和要求；</w:t>
      </w:r>
    </w:p>
    <w:p w14:paraId="2522B4CE">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（6）图纸；</w:t>
      </w:r>
    </w:p>
    <w:p w14:paraId="1CC49A7F">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（7）已标价工程量清单或预算书；</w:t>
      </w:r>
    </w:p>
    <w:p w14:paraId="1C32F2B1">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（8）其他合同文件。</w:t>
      </w:r>
    </w:p>
    <w:p w14:paraId="29CC96E3">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在合同订立及履行过程中形成的与合同有关的文件均构成合同文件组成部分。</w:t>
      </w:r>
    </w:p>
    <w:p w14:paraId="3E4AA603">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上述各项合同文件包括合同当事人就该项合同文件所作出的补充和修改，属于同一类内容的文件，应以最新签署的为准。专用合同条款及其附件须经合同当事人签字或盖章。</w:t>
      </w:r>
    </w:p>
    <w:p w14:paraId="11BB1ECD">
      <w:pPr>
        <w:snapToGrid w:val="0"/>
        <w:spacing w:line="360" w:lineRule="auto"/>
        <w:outlineLvl w:val="1"/>
        <w:rPr>
          <w:rFonts w:ascii="宋体" w:hAnsi="宋体" w:cs="宋体"/>
          <w:b/>
          <w:bCs/>
          <w:snapToGrid w:val="0"/>
          <w:color w:val="auto"/>
          <w:kern w:val="0"/>
          <w:sz w:val="24"/>
          <w:highlight w:val="none"/>
        </w:rPr>
      </w:pPr>
      <w:bookmarkStart w:id="427" w:name="_Toc97299504"/>
      <w:bookmarkStart w:id="428" w:name="_Toc361220416"/>
      <w:r>
        <w:rPr>
          <w:rFonts w:hint="eastAsia" w:ascii="宋体" w:hAnsi="宋体" w:cs="宋体"/>
          <w:b/>
          <w:bCs/>
          <w:snapToGrid w:val="0"/>
          <w:color w:val="auto"/>
          <w:kern w:val="0"/>
          <w:sz w:val="24"/>
          <w:highlight w:val="none"/>
        </w:rPr>
        <w:t>七、承诺</w:t>
      </w:r>
      <w:bookmarkEnd w:id="427"/>
      <w:bookmarkEnd w:id="428"/>
    </w:p>
    <w:p w14:paraId="2CBE0836">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1.发包人承诺按照法律规定履行项目审批手续、筹集工程建设资金并按照合同约定的期限和方式支付合同价款。</w:t>
      </w:r>
    </w:p>
    <w:p w14:paraId="087E61C9">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2.承包人承诺按照法律规定及合同约定组织完成工程施工，确保工程质量和安全，不进行转包及违法分包，并在缺陷责任期及保修期内承担相应的工程维修责任。</w:t>
      </w:r>
    </w:p>
    <w:p w14:paraId="55436AD1">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3.发包人和承包人通过</w:t>
      </w:r>
      <w:r>
        <w:rPr>
          <w:rFonts w:hint="eastAsia"/>
          <w:color w:val="auto"/>
          <w:highlight w:val="none"/>
        </w:rPr>
        <w:t>政府采购</w:t>
      </w:r>
      <w:r>
        <w:rPr>
          <w:rFonts w:hint="eastAsia" w:ascii="宋体" w:hAnsi="宋体" w:cs="宋体"/>
          <w:bCs/>
          <w:snapToGrid w:val="0"/>
          <w:color w:val="auto"/>
          <w:kern w:val="0"/>
          <w:sz w:val="24"/>
          <w:highlight w:val="none"/>
        </w:rPr>
        <w:t>形式签订合同的，双方理解并承诺不再就同一工程另行签订与合同实质性内容相背离的协议。</w:t>
      </w:r>
    </w:p>
    <w:p w14:paraId="676B5CCE">
      <w:pPr>
        <w:snapToGrid w:val="0"/>
        <w:spacing w:line="360" w:lineRule="auto"/>
        <w:outlineLvl w:val="1"/>
        <w:rPr>
          <w:rFonts w:ascii="宋体" w:hAnsi="宋体" w:cs="宋体"/>
          <w:b/>
          <w:bCs/>
          <w:snapToGrid w:val="0"/>
          <w:color w:val="auto"/>
          <w:kern w:val="0"/>
          <w:sz w:val="24"/>
          <w:highlight w:val="none"/>
        </w:rPr>
      </w:pPr>
      <w:bookmarkStart w:id="429" w:name="_Toc97299505"/>
      <w:bookmarkStart w:id="430" w:name="_Toc361220417"/>
      <w:r>
        <w:rPr>
          <w:rFonts w:hint="eastAsia" w:ascii="宋体" w:hAnsi="宋体" w:cs="宋体"/>
          <w:b/>
          <w:bCs/>
          <w:snapToGrid w:val="0"/>
          <w:color w:val="auto"/>
          <w:kern w:val="0"/>
          <w:sz w:val="24"/>
          <w:highlight w:val="none"/>
        </w:rPr>
        <w:t>八、词语含义</w:t>
      </w:r>
      <w:bookmarkEnd w:id="429"/>
      <w:bookmarkEnd w:id="430"/>
    </w:p>
    <w:p w14:paraId="3937CD09">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本协议书中词语含义与第二部分通用合同条款中赋予的含义相同。</w:t>
      </w:r>
    </w:p>
    <w:p w14:paraId="05926AC6">
      <w:pPr>
        <w:snapToGrid w:val="0"/>
        <w:spacing w:line="360" w:lineRule="auto"/>
        <w:outlineLvl w:val="1"/>
        <w:rPr>
          <w:rFonts w:ascii="宋体" w:hAnsi="宋体" w:cs="宋体"/>
          <w:b/>
          <w:bCs/>
          <w:snapToGrid w:val="0"/>
          <w:color w:val="auto"/>
          <w:kern w:val="0"/>
          <w:sz w:val="24"/>
          <w:highlight w:val="none"/>
        </w:rPr>
      </w:pPr>
      <w:bookmarkStart w:id="431" w:name="_Toc97299506"/>
      <w:bookmarkStart w:id="432" w:name="_Toc361220418"/>
      <w:r>
        <w:rPr>
          <w:rFonts w:hint="eastAsia" w:ascii="宋体" w:hAnsi="宋体" w:cs="宋体"/>
          <w:b/>
          <w:bCs/>
          <w:snapToGrid w:val="0"/>
          <w:color w:val="auto"/>
          <w:kern w:val="0"/>
          <w:sz w:val="24"/>
          <w:highlight w:val="none"/>
        </w:rPr>
        <w:t>九、签订时间</w:t>
      </w:r>
      <w:bookmarkEnd w:id="431"/>
      <w:bookmarkEnd w:id="432"/>
    </w:p>
    <w:p w14:paraId="06C236A6">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本合同于</w:t>
      </w:r>
      <w:bookmarkStart w:id="433" w:name="SOA_hhxys_htqdn"/>
      <w:r>
        <w:rPr>
          <w:rFonts w:hint="eastAsia" w:ascii="宋体" w:hAnsi="宋体" w:cs="宋体"/>
          <w:bCs/>
          <w:snapToGrid w:val="0"/>
          <w:color w:val="auto"/>
          <w:kern w:val="0"/>
          <w:sz w:val="24"/>
          <w:highlight w:val="none"/>
          <w:u w:val="single"/>
        </w:rPr>
        <w:t xml:space="preserve">      </w:t>
      </w:r>
      <w:bookmarkEnd w:id="433"/>
      <w:r>
        <w:rPr>
          <w:rFonts w:hint="eastAsia" w:ascii="宋体" w:hAnsi="宋体" w:cs="宋体"/>
          <w:bCs/>
          <w:snapToGrid w:val="0"/>
          <w:color w:val="auto"/>
          <w:kern w:val="0"/>
          <w:sz w:val="24"/>
          <w:highlight w:val="none"/>
        </w:rPr>
        <w:t>年</w:t>
      </w:r>
      <w:bookmarkStart w:id="434" w:name="SOA_hhxys_htqdy"/>
      <w:r>
        <w:rPr>
          <w:rFonts w:hint="eastAsia" w:ascii="宋体" w:hAnsi="宋体" w:cs="宋体"/>
          <w:bCs/>
          <w:snapToGrid w:val="0"/>
          <w:color w:val="auto"/>
          <w:kern w:val="0"/>
          <w:sz w:val="24"/>
          <w:highlight w:val="none"/>
          <w:u w:val="single"/>
        </w:rPr>
        <w:t xml:space="preserve">      </w:t>
      </w:r>
      <w:bookmarkEnd w:id="434"/>
      <w:r>
        <w:rPr>
          <w:rFonts w:hint="eastAsia" w:ascii="宋体" w:hAnsi="宋体" w:cs="宋体"/>
          <w:bCs/>
          <w:snapToGrid w:val="0"/>
          <w:color w:val="auto"/>
          <w:kern w:val="0"/>
          <w:sz w:val="24"/>
          <w:highlight w:val="none"/>
        </w:rPr>
        <w:t>月</w:t>
      </w:r>
      <w:bookmarkStart w:id="435" w:name="SOA_hhxys_htqdr"/>
      <w:r>
        <w:rPr>
          <w:rFonts w:hint="eastAsia" w:ascii="宋体" w:hAnsi="宋体" w:cs="宋体"/>
          <w:bCs/>
          <w:snapToGrid w:val="0"/>
          <w:color w:val="auto"/>
          <w:kern w:val="0"/>
          <w:sz w:val="24"/>
          <w:highlight w:val="none"/>
          <w:u w:val="single"/>
        </w:rPr>
        <w:t xml:space="preserve">      </w:t>
      </w:r>
      <w:bookmarkEnd w:id="435"/>
      <w:r>
        <w:rPr>
          <w:rFonts w:hint="eastAsia" w:ascii="宋体" w:hAnsi="宋体" w:cs="宋体"/>
          <w:bCs/>
          <w:snapToGrid w:val="0"/>
          <w:color w:val="auto"/>
          <w:kern w:val="0"/>
          <w:sz w:val="24"/>
          <w:highlight w:val="none"/>
        </w:rPr>
        <w:t>日签订。</w:t>
      </w:r>
    </w:p>
    <w:p w14:paraId="5112D2DF">
      <w:pPr>
        <w:snapToGrid w:val="0"/>
        <w:spacing w:line="360" w:lineRule="auto"/>
        <w:outlineLvl w:val="1"/>
        <w:rPr>
          <w:rFonts w:ascii="宋体" w:hAnsi="宋体" w:cs="宋体"/>
          <w:b/>
          <w:bCs/>
          <w:snapToGrid w:val="0"/>
          <w:color w:val="auto"/>
          <w:kern w:val="0"/>
          <w:sz w:val="24"/>
          <w:highlight w:val="none"/>
        </w:rPr>
      </w:pPr>
      <w:bookmarkStart w:id="436" w:name="_Toc361220419"/>
      <w:bookmarkStart w:id="437" w:name="_Toc97299507"/>
      <w:r>
        <w:rPr>
          <w:rFonts w:hint="eastAsia" w:ascii="宋体" w:hAnsi="宋体" w:cs="宋体"/>
          <w:b/>
          <w:bCs/>
          <w:snapToGrid w:val="0"/>
          <w:color w:val="auto"/>
          <w:kern w:val="0"/>
          <w:sz w:val="24"/>
          <w:highlight w:val="none"/>
        </w:rPr>
        <w:t>十、签订地点</w:t>
      </w:r>
      <w:bookmarkEnd w:id="436"/>
      <w:bookmarkEnd w:id="437"/>
    </w:p>
    <w:p w14:paraId="5DA24B2A">
      <w:pPr>
        <w:snapToGrid w:val="0"/>
        <w:spacing w:line="360" w:lineRule="auto"/>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 xml:space="preserve">    本合同在</w:t>
      </w:r>
      <w:r>
        <w:rPr>
          <w:rFonts w:hint="eastAsia" w:ascii="宋体" w:hAnsi="宋体" w:cs="宋体"/>
          <w:bCs/>
          <w:snapToGrid w:val="0"/>
          <w:color w:val="auto"/>
          <w:kern w:val="0"/>
          <w:sz w:val="24"/>
          <w:highlight w:val="none"/>
          <w:u w:val="single"/>
        </w:rPr>
        <w:t xml:space="preserve">   </w:t>
      </w:r>
      <w:bookmarkStart w:id="438" w:name="SOA_zyht_htqddd"/>
      <w:r>
        <w:rPr>
          <w:rFonts w:hint="eastAsia" w:ascii="宋体" w:hAnsi="宋体" w:cs="宋体"/>
          <w:bCs/>
          <w:snapToGrid w:val="0"/>
          <w:color w:val="auto"/>
          <w:kern w:val="0"/>
          <w:sz w:val="24"/>
          <w:highlight w:val="none"/>
          <w:u w:val="single"/>
        </w:rPr>
        <w:t xml:space="preserve">  杭州   </w:t>
      </w:r>
      <w:bookmarkEnd w:id="438"/>
      <w:r>
        <w:rPr>
          <w:rFonts w:hint="eastAsia" w:ascii="宋体" w:hAnsi="宋体" w:cs="宋体"/>
          <w:bCs/>
          <w:snapToGrid w:val="0"/>
          <w:color w:val="auto"/>
          <w:kern w:val="0"/>
          <w:sz w:val="24"/>
          <w:highlight w:val="none"/>
          <w:u w:val="single"/>
        </w:rPr>
        <w:t xml:space="preserve">  </w:t>
      </w:r>
      <w:r>
        <w:rPr>
          <w:rFonts w:hint="eastAsia" w:ascii="宋体" w:hAnsi="宋体" w:cs="宋体"/>
          <w:bCs/>
          <w:snapToGrid w:val="0"/>
          <w:color w:val="auto"/>
          <w:kern w:val="0"/>
          <w:sz w:val="24"/>
          <w:highlight w:val="none"/>
        </w:rPr>
        <w:t>签订。</w:t>
      </w:r>
    </w:p>
    <w:p w14:paraId="361FFB92">
      <w:pPr>
        <w:snapToGrid w:val="0"/>
        <w:spacing w:line="360" w:lineRule="auto"/>
        <w:outlineLvl w:val="1"/>
        <w:rPr>
          <w:rFonts w:ascii="宋体" w:hAnsi="宋体" w:cs="宋体"/>
          <w:b/>
          <w:bCs/>
          <w:snapToGrid w:val="0"/>
          <w:color w:val="auto"/>
          <w:kern w:val="0"/>
          <w:sz w:val="24"/>
          <w:highlight w:val="none"/>
        </w:rPr>
      </w:pPr>
      <w:bookmarkStart w:id="439" w:name="_Toc97299508"/>
      <w:bookmarkStart w:id="440" w:name="_Toc361220420"/>
      <w:r>
        <w:rPr>
          <w:rFonts w:hint="eastAsia" w:ascii="宋体" w:hAnsi="宋体" w:cs="宋体"/>
          <w:b/>
          <w:bCs/>
          <w:snapToGrid w:val="0"/>
          <w:color w:val="auto"/>
          <w:kern w:val="0"/>
          <w:sz w:val="24"/>
          <w:highlight w:val="none"/>
        </w:rPr>
        <w:t>十一、补充协议</w:t>
      </w:r>
      <w:bookmarkEnd w:id="439"/>
      <w:bookmarkEnd w:id="440"/>
    </w:p>
    <w:p w14:paraId="7AF421E0">
      <w:pPr>
        <w:snapToGrid w:val="0"/>
        <w:spacing w:line="360" w:lineRule="auto"/>
        <w:ind w:firstLine="480" w:firstLineChars="200"/>
        <w:rPr>
          <w:rFonts w:ascii="宋体" w:hAnsi="宋体" w:cs="宋体"/>
          <w:b/>
          <w:bCs/>
          <w:snapToGrid w:val="0"/>
          <w:color w:val="auto"/>
          <w:kern w:val="0"/>
          <w:sz w:val="24"/>
          <w:highlight w:val="none"/>
        </w:rPr>
      </w:pPr>
      <w:r>
        <w:rPr>
          <w:rFonts w:hint="eastAsia" w:ascii="宋体" w:hAnsi="宋体" w:cs="宋体"/>
          <w:bCs/>
          <w:snapToGrid w:val="0"/>
          <w:color w:val="auto"/>
          <w:kern w:val="0"/>
          <w:sz w:val="24"/>
          <w:highlight w:val="none"/>
        </w:rPr>
        <w:t>合同未尽事宜，合同当事人另行签订补充协议，补充协议是合同的组成部分。</w:t>
      </w:r>
    </w:p>
    <w:p w14:paraId="671567DB">
      <w:pPr>
        <w:snapToGrid w:val="0"/>
        <w:spacing w:line="360" w:lineRule="auto"/>
        <w:outlineLvl w:val="1"/>
        <w:rPr>
          <w:rFonts w:ascii="宋体" w:hAnsi="宋体" w:cs="宋体"/>
          <w:b/>
          <w:bCs/>
          <w:snapToGrid w:val="0"/>
          <w:color w:val="auto"/>
          <w:kern w:val="0"/>
          <w:sz w:val="24"/>
          <w:highlight w:val="none"/>
        </w:rPr>
      </w:pPr>
      <w:bookmarkStart w:id="441" w:name="_Toc97299509"/>
      <w:bookmarkStart w:id="442" w:name="_Toc361220421"/>
      <w:r>
        <w:rPr>
          <w:rFonts w:hint="eastAsia" w:ascii="宋体" w:hAnsi="宋体" w:cs="宋体"/>
          <w:b/>
          <w:bCs/>
          <w:snapToGrid w:val="0"/>
          <w:color w:val="auto"/>
          <w:kern w:val="0"/>
          <w:sz w:val="24"/>
          <w:highlight w:val="none"/>
        </w:rPr>
        <w:t>十二、合同生效</w:t>
      </w:r>
      <w:bookmarkEnd w:id="441"/>
      <w:bookmarkEnd w:id="442"/>
    </w:p>
    <w:p w14:paraId="4F95B70D">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本合同自</w:t>
      </w:r>
      <w:r>
        <w:rPr>
          <w:rFonts w:hint="eastAsia" w:ascii="宋体" w:hAnsi="宋体" w:cs="宋体"/>
          <w:bCs/>
          <w:snapToGrid w:val="0"/>
          <w:color w:val="auto"/>
          <w:kern w:val="0"/>
          <w:sz w:val="24"/>
          <w:highlight w:val="none"/>
          <w:u w:val="single"/>
        </w:rPr>
        <w:t xml:space="preserve">  </w:t>
      </w:r>
      <w:bookmarkStart w:id="443" w:name="SOA_hhxys_htsx"/>
      <w:r>
        <w:rPr>
          <w:rFonts w:hint="eastAsia" w:ascii="宋体" w:hAnsi="宋体" w:cs="宋体"/>
          <w:bCs/>
          <w:snapToGrid w:val="0"/>
          <w:color w:val="auto"/>
          <w:kern w:val="0"/>
          <w:sz w:val="24"/>
          <w:highlight w:val="none"/>
          <w:u w:val="single"/>
        </w:rPr>
        <w:t xml:space="preserve">  </w:t>
      </w:r>
      <w:r>
        <w:rPr>
          <w:rFonts w:hint="eastAsia" w:ascii="宋体" w:hAnsi="宋体" w:cs="宋体"/>
          <w:b/>
          <w:bCs/>
          <w:snapToGrid w:val="0"/>
          <w:color w:val="auto"/>
          <w:kern w:val="0"/>
          <w:sz w:val="24"/>
          <w:highlight w:val="none"/>
          <w:u w:val="single"/>
        </w:rPr>
        <w:t xml:space="preserve">   </w:t>
      </w:r>
      <w:r>
        <w:rPr>
          <w:rFonts w:hint="eastAsia" w:ascii="宋体" w:hAnsi="宋体" w:cs="宋体"/>
          <w:bCs/>
          <w:snapToGrid w:val="0"/>
          <w:color w:val="auto"/>
          <w:kern w:val="0"/>
          <w:sz w:val="24"/>
          <w:highlight w:val="none"/>
          <w:u w:val="single"/>
        </w:rPr>
        <w:t xml:space="preserve">   </w:t>
      </w:r>
      <w:bookmarkEnd w:id="443"/>
      <w:r>
        <w:rPr>
          <w:rFonts w:hint="eastAsia" w:ascii="宋体" w:hAnsi="宋体" w:cs="宋体"/>
          <w:bCs/>
          <w:snapToGrid w:val="0"/>
          <w:color w:val="auto"/>
          <w:kern w:val="0"/>
          <w:sz w:val="24"/>
          <w:highlight w:val="none"/>
          <w:u w:val="single"/>
        </w:rPr>
        <w:t xml:space="preserve">  </w:t>
      </w:r>
      <w:r>
        <w:rPr>
          <w:rFonts w:hint="eastAsia" w:ascii="宋体" w:hAnsi="宋体" w:cs="宋体"/>
          <w:bCs/>
          <w:snapToGrid w:val="0"/>
          <w:color w:val="auto"/>
          <w:kern w:val="0"/>
          <w:sz w:val="24"/>
          <w:highlight w:val="none"/>
        </w:rPr>
        <w:t>生效。</w:t>
      </w:r>
    </w:p>
    <w:p w14:paraId="5A5C3E23">
      <w:pPr>
        <w:snapToGrid w:val="0"/>
        <w:spacing w:line="360" w:lineRule="auto"/>
        <w:outlineLvl w:val="1"/>
        <w:rPr>
          <w:rFonts w:ascii="宋体" w:hAnsi="宋体" w:cs="宋体"/>
          <w:b/>
          <w:bCs/>
          <w:snapToGrid w:val="0"/>
          <w:color w:val="auto"/>
          <w:kern w:val="0"/>
          <w:sz w:val="24"/>
          <w:highlight w:val="none"/>
        </w:rPr>
      </w:pPr>
      <w:bookmarkStart w:id="444" w:name="_Toc97299510"/>
      <w:bookmarkStart w:id="445" w:name="_Toc361220422"/>
      <w:r>
        <w:rPr>
          <w:rFonts w:hint="eastAsia" w:ascii="宋体" w:hAnsi="宋体" w:cs="宋体"/>
          <w:b/>
          <w:bCs/>
          <w:snapToGrid w:val="0"/>
          <w:color w:val="auto"/>
          <w:kern w:val="0"/>
          <w:sz w:val="24"/>
          <w:highlight w:val="none"/>
        </w:rPr>
        <w:t>十三、合同份数</w:t>
      </w:r>
      <w:bookmarkEnd w:id="444"/>
      <w:bookmarkEnd w:id="445"/>
    </w:p>
    <w:p w14:paraId="23D387B2">
      <w:pPr>
        <w:snapToGrid w:val="0"/>
        <w:spacing w:line="360" w:lineRule="auto"/>
        <w:ind w:left="210" w:leftChars="100" w:firstLine="240" w:firstLineChars="1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本合同一式</w:t>
      </w:r>
      <w:r>
        <w:rPr>
          <w:rFonts w:hint="eastAsia" w:ascii="宋体" w:hAnsi="宋体" w:cs="宋体"/>
          <w:b/>
          <w:bCs/>
          <w:snapToGrid w:val="0"/>
          <w:color w:val="auto"/>
          <w:kern w:val="0"/>
          <w:sz w:val="24"/>
          <w:highlight w:val="none"/>
          <w:u w:val="single"/>
        </w:rPr>
        <w:t xml:space="preserve">  </w:t>
      </w:r>
      <w:r>
        <w:rPr>
          <w:rFonts w:hint="eastAsia" w:ascii="宋体" w:hAnsi="宋体" w:cs="宋体"/>
          <w:bCs/>
          <w:snapToGrid w:val="0"/>
          <w:color w:val="auto"/>
          <w:kern w:val="0"/>
          <w:sz w:val="24"/>
          <w:highlight w:val="none"/>
        </w:rPr>
        <w:t>份，均具有同等法律效力，发包人执</w:t>
      </w:r>
      <w:r>
        <w:rPr>
          <w:rFonts w:hint="eastAsia" w:ascii="宋体" w:hAnsi="宋体" w:cs="宋体"/>
          <w:bCs/>
          <w:snapToGrid w:val="0"/>
          <w:color w:val="auto"/>
          <w:kern w:val="0"/>
          <w:sz w:val="24"/>
          <w:highlight w:val="none"/>
          <w:u w:val="single"/>
        </w:rPr>
        <w:t xml:space="preserve">  </w:t>
      </w:r>
      <w:r>
        <w:rPr>
          <w:rFonts w:hint="eastAsia" w:ascii="宋体" w:hAnsi="宋体" w:cs="宋体"/>
          <w:bCs/>
          <w:snapToGrid w:val="0"/>
          <w:color w:val="auto"/>
          <w:kern w:val="0"/>
          <w:sz w:val="24"/>
          <w:highlight w:val="none"/>
        </w:rPr>
        <w:t>份，承包人执</w:t>
      </w:r>
      <w:r>
        <w:rPr>
          <w:rFonts w:hint="eastAsia" w:ascii="宋体" w:hAnsi="宋体" w:cs="宋体"/>
          <w:b/>
          <w:snapToGrid w:val="0"/>
          <w:color w:val="auto"/>
          <w:kern w:val="0"/>
          <w:sz w:val="24"/>
          <w:highlight w:val="none"/>
          <w:u w:val="single"/>
        </w:rPr>
        <w:t xml:space="preserve">  </w:t>
      </w:r>
      <w:r>
        <w:rPr>
          <w:rFonts w:hint="eastAsia" w:ascii="宋体" w:hAnsi="宋体" w:cs="宋体"/>
          <w:bCs/>
          <w:snapToGrid w:val="0"/>
          <w:color w:val="auto"/>
          <w:kern w:val="0"/>
          <w:sz w:val="24"/>
          <w:highlight w:val="none"/>
        </w:rPr>
        <w:t>份。</w:t>
      </w:r>
    </w:p>
    <w:p w14:paraId="0734BE40">
      <w:pPr>
        <w:snapToGrid w:val="0"/>
        <w:spacing w:line="360" w:lineRule="auto"/>
        <w:ind w:firstLine="480" w:firstLineChars="200"/>
        <w:rPr>
          <w:rFonts w:ascii="宋体" w:hAnsi="宋体" w:cs="宋体"/>
          <w:snapToGrid w:val="0"/>
          <w:color w:val="auto"/>
          <w:kern w:val="0"/>
          <w:sz w:val="24"/>
          <w:highlight w:val="none"/>
        </w:rPr>
      </w:pPr>
    </w:p>
    <w:p w14:paraId="0235F774">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发包人：  (公章)</w:t>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承包人：  (公章)</w:t>
      </w:r>
    </w:p>
    <w:p w14:paraId="54796736">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snapToGrid w:val="0"/>
          <w:color w:val="auto"/>
          <w:kern w:val="0"/>
          <w:sz w:val="24"/>
          <w:highlight w:val="none"/>
        </w:rPr>
        <w:t>法定代表人或其委托代理人：</w:t>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法定代表人或其委托代理人：</w:t>
      </w:r>
    </w:p>
    <w:p w14:paraId="45635BEC">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（签字）</w:t>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（签字）</w:t>
      </w:r>
    </w:p>
    <w:p w14:paraId="627F1202">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组织机构代码：</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组织机构代码：</w:t>
      </w:r>
      <w:bookmarkStart w:id="446" w:name="SOA_hhxys_zjjgdm1"/>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lang w:val="en-US" w:eastAsia="zh-CN"/>
        </w:rPr>
        <w:t xml:space="preserve">    </w:t>
      </w:r>
      <w:r>
        <w:rPr>
          <w:rFonts w:hint="eastAsia" w:ascii="宋体" w:hAnsi="宋体" w:cs="宋体"/>
          <w:snapToGrid w:val="0"/>
          <w:color w:val="auto"/>
          <w:kern w:val="0"/>
          <w:sz w:val="24"/>
          <w:highlight w:val="none"/>
          <w:u w:val="single"/>
        </w:rPr>
        <w:t xml:space="preserve"> </w:t>
      </w:r>
      <w:bookmarkEnd w:id="446"/>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790C2230">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地  址：</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地  址：</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lang w:val="en-US" w:eastAsia="zh-CN"/>
        </w:rPr>
        <w:t xml:space="preserve"> </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283783A9">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邮政编码：</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邮政编码：</w:t>
      </w:r>
      <w:bookmarkStart w:id="447" w:name="SOA_hhxys_cbryb"/>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lang w:val="en-US" w:eastAsia="zh-CN"/>
        </w:rPr>
        <w:t xml:space="preserve"> </w:t>
      </w:r>
      <w:r>
        <w:rPr>
          <w:rFonts w:hint="eastAsia" w:ascii="宋体" w:hAnsi="宋体" w:cs="宋体"/>
          <w:snapToGrid w:val="0"/>
          <w:color w:val="auto"/>
          <w:kern w:val="0"/>
          <w:sz w:val="24"/>
          <w:highlight w:val="none"/>
          <w:u w:val="single"/>
        </w:rPr>
        <w:t xml:space="preserve">  </w:t>
      </w:r>
      <w:bookmarkEnd w:id="447"/>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1C9F09C5">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法定代表人：</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法定代表人：</w:t>
      </w:r>
      <w:bookmarkStart w:id="448" w:name="SOA_hhxys_fddbr1"/>
      <w:r>
        <w:rPr>
          <w:rFonts w:hint="eastAsia" w:ascii="宋体" w:hAnsi="宋体" w:cs="宋体"/>
          <w:snapToGrid w:val="0"/>
          <w:color w:val="auto"/>
          <w:kern w:val="0"/>
          <w:sz w:val="24"/>
          <w:highlight w:val="none"/>
          <w:u w:val="single"/>
        </w:rPr>
        <w:t xml:space="preserve">     </w:t>
      </w:r>
      <w:bookmarkEnd w:id="448"/>
      <w:r>
        <w:rPr>
          <w:rFonts w:hint="eastAsia" w:ascii="宋体" w:hAnsi="宋体" w:cs="宋体"/>
          <w:snapToGrid w:val="0"/>
          <w:color w:val="auto"/>
          <w:kern w:val="0"/>
          <w:sz w:val="24"/>
          <w:highlight w:val="none"/>
          <w:u w:val="single"/>
          <w:lang w:val="en-US" w:eastAsia="zh-CN"/>
        </w:rPr>
        <w:t xml:space="preserve">       </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432CB82B">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委托代理人：</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委托代理人：</w:t>
      </w:r>
      <w:bookmarkStart w:id="449" w:name="SOA_hhxys_wtdlr1"/>
      <w:r>
        <w:rPr>
          <w:rFonts w:hint="eastAsia" w:ascii="宋体" w:hAnsi="宋体" w:cs="宋体"/>
          <w:snapToGrid w:val="0"/>
          <w:color w:val="auto"/>
          <w:kern w:val="0"/>
          <w:sz w:val="24"/>
          <w:highlight w:val="none"/>
          <w:u w:val="single"/>
        </w:rPr>
        <w:t xml:space="preserve">    </w:t>
      </w:r>
      <w:bookmarkEnd w:id="449"/>
      <w:r>
        <w:rPr>
          <w:rFonts w:hint="eastAsia" w:ascii="宋体" w:hAnsi="宋体" w:cs="宋体"/>
          <w:snapToGrid w:val="0"/>
          <w:color w:val="auto"/>
          <w:kern w:val="0"/>
          <w:sz w:val="24"/>
          <w:highlight w:val="none"/>
          <w:u w:val="single"/>
          <w:lang w:val="en-US" w:eastAsia="zh-CN"/>
        </w:rPr>
        <w:t xml:space="preserve">        </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5F9CE3D8">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电  话：</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电  话：</w:t>
      </w:r>
      <w:bookmarkStart w:id="450" w:name="SOA_hhxys_cbrdh"/>
      <w:r>
        <w:rPr>
          <w:rFonts w:hint="eastAsia" w:ascii="宋体" w:hAnsi="宋体" w:cs="宋体"/>
          <w:snapToGrid w:val="0"/>
          <w:color w:val="auto"/>
          <w:kern w:val="0"/>
          <w:sz w:val="24"/>
          <w:highlight w:val="none"/>
          <w:u w:val="single"/>
        </w:rPr>
        <w:t xml:space="preserve">            </w:t>
      </w:r>
      <w:bookmarkEnd w:id="450"/>
      <w:r>
        <w:rPr>
          <w:rFonts w:hint="eastAsia" w:ascii="宋体" w:hAnsi="宋体" w:cs="宋体"/>
          <w:snapToGrid w:val="0"/>
          <w:color w:val="auto"/>
          <w:kern w:val="0"/>
          <w:sz w:val="24"/>
          <w:highlight w:val="none"/>
          <w:u w:val="single"/>
          <w:lang w:val="en-US" w:eastAsia="zh-CN"/>
        </w:rPr>
        <w:t xml:space="preserve">    </w:t>
      </w:r>
      <w:r>
        <w:rPr>
          <w:rFonts w:hint="eastAsia" w:ascii="宋体" w:hAnsi="宋体" w:cs="宋体"/>
          <w:snapToGrid w:val="0"/>
          <w:color w:val="auto"/>
          <w:kern w:val="0"/>
          <w:sz w:val="24"/>
          <w:highlight w:val="none"/>
          <w:u w:val="single"/>
        </w:rPr>
        <w:t></w:t>
      </w:r>
      <w:r>
        <w:rPr>
          <w:rFonts w:hint="eastAsia" w:ascii="宋体" w:hAnsi="宋体" w:cs="宋体"/>
          <w:snapToGrid w:val="0"/>
          <w:color w:val="auto"/>
          <w:kern w:val="0"/>
          <w:sz w:val="24"/>
          <w:highlight w:val="none"/>
        </w:rPr>
        <w:t xml:space="preserve">    </w:t>
      </w:r>
    </w:p>
    <w:p w14:paraId="5848447E">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传  真：</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传  真：</w:t>
      </w:r>
      <w:bookmarkStart w:id="451" w:name="SOA_hhxys_cbrcz"/>
      <w:r>
        <w:rPr>
          <w:rFonts w:hint="eastAsia" w:ascii="宋体" w:hAnsi="宋体" w:cs="宋体"/>
          <w:snapToGrid w:val="0"/>
          <w:color w:val="auto"/>
          <w:kern w:val="0"/>
          <w:sz w:val="24"/>
          <w:highlight w:val="none"/>
          <w:u w:val="single"/>
        </w:rPr>
        <w:t xml:space="preserve">              </w:t>
      </w:r>
      <w:bookmarkEnd w:id="451"/>
      <w:r>
        <w:rPr>
          <w:rFonts w:hint="eastAsia" w:ascii="宋体" w:hAnsi="宋体" w:cs="宋体"/>
          <w:snapToGrid w:val="0"/>
          <w:color w:val="auto"/>
          <w:kern w:val="0"/>
          <w:sz w:val="24"/>
          <w:highlight w:val="none"/>
          <w:u w:val="single"/>
          <w:lang w:val="en-US" w:eastAsia="zh-CN"/>
        </w:rPr>
        <w:t xml:space="preserve"> </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08C9C3A9">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电子信箱：</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电子信箱：</w:t>
      </w:r>
      <w:bookmarkStart w:id="452" w:name="SOA_hhxys_cbrdzxx"/>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lang w:val="en-US" w:eastAsia="zh-CN"/>
        </w:rPr>
        <w:t xml:space="preserve">        </w:t>
      </w:r>
      <w:r>
        <w:rPr>
          <w:rFonts w:hint="eastAsia" w:ascii="宋体" w:hAnsi="宋体" w:cs="宋体"/>
          <w:snapToGrid w:val="0"/>
          <w:color w:val="auto"/>
          <w:kern w:val="0"/>
          <w:sz w:val="24"/>
          <w:highlight w:val="none"/>
          <w:u w:val="single"/>
        </w:rPr>
        <w:t xml:space="preserve"> </w:t>
      </w:r>
      <w:bookmarkEnd w:id="452"/>
      <w:r>
        <w:rPr>
          <w:rFonts w:hint="eastAsia" w:ascii="宋体" w:hAnsi="宋体" w:cs="宋体"/>
          <w:snapToGrid w:val="0"/>
          <w:color w:val="auto"/>
          <w:kern w:val="0"/>
          <w:sz w:val="24"/>
          <w:highlight w:val="none"/>
          <w:u w:val="single"/>
        </w:rPr>
        <w:t xml:space="preserve">  </w:t>
      </w:r>
    </w:p>
    <w:p w14:paraId="41459D3C">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开户银行：</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开户银行：</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lang w:val="en-US" w:eastAsia="zh-CN"/>
        </w:rPr>
        <w:t xml:space="preserve"> </w:t>
      </w:r>
      <w:r>
        <w:rPr>
          <w:rFonts w:hint="eastAsia" w:ascii="宋体" w:hAnsi="宋体" w:cs="宋体"/>
          <w:snapToGrid w:val="0"/>
          <w:color w:val="auto"/>
          <w:kern w:val="0"/>
          <w:sz w:val="24"/>
          <w:highlight w:val="none"/>
          <w:u w:val="single"/>
        </w:rPr>
        <w:t xml:space="preserve">   </w:t>
      </w:r>
    </w:p>
    <w:p w14:paraId="6ED94CA0">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账  号：</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账  号：</w:t>
      </w:r>
      <w:r>
        <w:rPr>
          <w:rFonts w:hint="eastAsia" w:ascii="宋体" w:hAnsi="宋体" w:cs="宋体"/>
          <w:snapToGrid w:val="0"/>
          <w:color w:val="auto"/>
          <w:kern w:val="0"/>
          <w:sz w:val="24"/>
          <w:highlight w:val="none"/>
          <w:u w:val="single"/>
        </w:rPr>
        <w:t></w:t>
      </w:r>
      <w:bookmarkStart w:id="453" w:name="SOA_hhxys_cbrzh"/>
      <w:r>
        <w:rPr>
          <w:rFonts w:hint="eastAsia" w:ascii="宋体" w:hAnsi="宋体" w:cs="宋体"/>
          <w:snapToGrid w:val="0"/>
          <w:color w:val="auto"/>
          <w:kern w:val="0"/>
          <w:sz w:val="24"/>
          <w:highlight w:val="none"/>
          <w:u w:val="single"/>
        </w:rPr>
        <w:t xml:space="preserve"> </w:t>
      </w:r>
      <w:bookmarkEnd w:id="453"/>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lang w:val="en-US" w:eastAsia="zh-CN"/>
        </w:rPr>
        <w:t xml:space="preserve">      </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lang w:val="en-US" w:eastAsia="zh-CN"/>
        </w:rPr>
        <w:t xml:space="preserve"> </w:t>
      </w:r>
      <w:r>
        <w:rPr>
          <w:rFonts w:hint="eastAsia" w:ascii="宋体" w:hAnsi="宋体" w:cs="宋体"/>
          <w:snapToGrid w:val="0"/>
          <w:color w:val="auto"/>
          <w:kern w:val="0"/>
          <w:sz w:val="24"/>
          <w:highlight w:val="none"/>
          <w:u w:val="single"/>
        </w:rPr>
        <w:t xml:space="preserve">    </w:t>
      </w:r>
    </w:p>
    <w:p w14:paraId="35451E22">
      <w:pPr>
        <w:keepNext/>
        <w:keepLines/>
        <w:numPr>
          <w:ilvl w:val="1"/>
          <w:numId w:val="0"/>
        </w:numPr>
        <w:spacing w:before="100" w:line="400" w:lineRule="exact"/>
        <w:jc w:val="center"/>
        <w:outlineLvl w:val="1"/>
        <w:rPr>
          <w:rFonts w:ascii="宋体" w:hAnsi="宋体" w:cs="宋体"/>
          <w:snapToGrid w:val="0"/>
          <w:color w:val="auto"/>
          <w:kern w:val="44"/>
          <w:sz w:val="28"/>
          <w:szCs w:val="20"/>
          <w:highlight w:val="none"/>
        </w:rPr>
      </w:pPr>
      <w:r>
        <w:rPr>
          <w:rFonts w:hint="eastAsia" w:ascii="宋体" w:hAnsi="宋体" w:cs="宋体"/>
          <w:snapToGrid w:val="0"/>
          <w:color w:val="auto"/>
          <w:kern w:val="0"/>
          <w:sz w:val="24"/>
          <w:highlight w:val="none"/>
        </w:rPr>
        <w:br w:type="page"/>
      </w:r>
      <w:bookmarkStart w:id="454" w:name="_Toc97299511"/>
      <w:bookmarkStart w:id="455" w:name="_Toc31640"/>
      <w:bookmarkStart w:id="456" w:name="_Toc69485879"/>
      <w:r>
        <w:rPr>
          <w:rFonts w:hint="eastAsia" w:ascii="宋体" w:hAnsi="宋体" w:cs="宋体"/>
          <w:snapToGrid w:val="0"/>
          <w:color w:val="auto"/>
          <w:kern w:val="44"/>
          <w:sz w:val="28"/>
          <w:szCs w:val="20"/>
          <w:highlight w:val="none"/>
        </w:rPr>
        <w:t>第二部分  通用条款（略）</w:t>
      </w:r>
      <w:bookmarkEnd w:id="454"/>
      <w:bookmarkEnd w:id="455"/>
      <w:bookmarkEnd w:id="456"/>
    </w:p>
    <w:p w14:paraId="6A4D4138">
      <w:pPr>
        <w:keepNext/>
        <w:keepLines/>
        <w:numPr>
          <w:ilvl w:val="1"/>
          <w:numId w:val="0"/>
        </w:numPr>
        <w:spacing w:before="100" w:line="400" w:lineRule="exact"/>
        <w:jc w:val="center"/>
        <w:outlineLvl w:val="1"/>
        <w:rPr>
          <w:rFonts w:ascii="宋体" w:hAnsi="宋体" w:cs="宋体"/>
          <w:snapToGrid w:val="0"/>
          <w:color w:val="auto"/>
          <w:kern w:val="44"/>
          <w:sz w:val="28"/>
          <w:szCs w:val="20"/>
          <w:highlight w:val="none"/>
        </w:rPr>
      </w:pPr>
      <w:bookmarkStart w:id="457" w:name="_Toc97299512"/>
      <w:bookmarkStart w:id="458" w:name="_Toc8278"/>
      <w:bookmarkStart w:id="459" w:name="_Toc69485880"/>
      <w:r>
        <w:rPr>
          <w:rFonts w:hint="eastAsia" w:ascii="宋体" w:hAnsi="宋体" w:cs="宋体"/>
          <w:snapToGrid w:val="0"/>
          <w:color w:val="auto"/>
          <w:kern w:val="44"/>
          <w:sz w:val="28"/>
          <w:szCs w:val="20"/>
          <w:highlight w:val="none"/>
        </w:rPr>
        <w:t>第三部分  专用条款</w:t>
      </w:r>
      <w:bookmarkEnd w:id="457"/>
      <w:bookmarkEnd w:id="458"/>
      <w:bookmarkEnd w:id="459"/>
    </w:p>
    <w:p w14:paraId="68F3EECD">
      <w:pPr>
        <w:keepNext/>
        <w:numPr>
          <w:ilvl w:val="3"/>
          <w:numId w:val="0"/>
        </w:numPr>
        <w:tabs>
          <w:tab w:val="left" w:pos="864"/>
        </w:tabs>
        <w:snapToGrid w:val="0"/>
        <w:spacing w:line="360" w:lineRule="auto"/>
        <w:ind w:left="426" w:hanging="420"/>
        <w:outlineLvl w:val="3"/>
        <w:rPr>
          <w:rFonts w:ascii="宋体" w:hAnsi="宋体"/>
          <w:b/>
          <w:color w:val="auto"/>
          <w:szCs w:val="21"/>
          <w:highlight w:val="none"/>
        </w:rPr>
      </w:pPr>
      <w:bookmarkStart w:id="460" w:name="_Toc351203633"/>
      <w:r>
        <w:rPr>
          <w:rFonts w:hint="eastAsia" w:ascii="宋体" w:hAnsi="宋体"/>
          <w:b/>
          <w:color w:val="auto"/>
          <w:szCs w:val="21"/>
          <w:highlight w:val="none"/>
        </w:rPr>
        <w:t>1</w:t>
      </w:r>
      <w:bookmarkStart w:id="461" w:name="_Toc296347155"/>
      <w:bookmarkStart w:id="462" w:name="_Toc296346657"/>
      <w:bookmarkStart w:id="463" w:name="_Toc292559361"/>
      <w:bookmarkStart w:id="464" w:name="_Toc297048342"/>
      <w:bookmarkStart w:id="465" w:name="_Toc297120456"/>
      <w:bookmarkStart w:id="466" w:name="_Toc296891196"/>
      <w:bookmarkStart w:id="467" w:name="_Toc296944495"/>
      <w:bookmarkStart w:id="468" w:name="_Toc296890984"/>
      <w:bookmarkStart w:id="469" w:name="_Toc292559866"/>
      <w:bookmarkStart w:id="470" w:name="_Toc296503156"/>
      <w:r>
        <w:rPr>
          <w:rFonts w:hint="eastAsia" w:ascii="宋体" w:hAnsi="宋体"/>
          <w:b/>
          <w:color w:val="auto"/>
          <w:szCs w:val="21"/>
          <w:highlight w:val="none"/>
        </w:rPr>
        <w:t>. 一般约定</w:t>
      </w:r>
      <w:bookmarkEnd w:id="460"/>
    </w:p>
    <w:bookmarkEnd w:id="461"/>
    <w:bookmarkEnd w:id="462"/>
    <w:bookmarkEnd w:id="463"/>
    <w:bookmarkEnd w:id="464"/>
    <w:bookmarkEnd w:id="465"/>
    <w:bookmarkEnd w:id="466"/>
    <w:bookmarkEnd w:id="467"/>
    <w:bookmarkEnd w:id="468"/>
    <w:bookmarkEnd w:id="469"/>
    <w:bookmarkEnd w:id="470"/>
    <w:p w14:paraId="52EAF88A">
      <w:pPr>
        <w:snapToGrid w:val="0"/>
        <w:spacing w:line="360" w:lineRule="auto"/>
        <w:ind w:firstLine="367" w:firstLineChars="175"/>
        <w:rPr>
          <w:rFonts w:ascii="宋体" w:hAnsi="宋体"/>
          <w:snapToGrid w:val="0"/>
          <w:color w:val="auto"/>
          <w:kern w:val="0"/>
          <w:szCs w:val="21"/>
          <w:highlight w:val="none"/>
        </w:rPr>
      </w:pPr>
      <w:r>
        <w:rPr>
          <w:rFonts w:hint="eastAsia" w:ascii="宋体" w:hAnsi="宋体"/>
          <w:snapToGrid w:val="0"/>
          <w:color w:val="auto"/>
          <w:kern w:val="0"/>
          <w:szCs w:val="21"/>
          <w:highlight w:val="none"/>
        </w:rPr>
        <w:t>1.1 词语定义</w:t>
      </w:r>
    </w:p>
    <w:p w14:paraId="5D5CAE59">
      <w:pPr>
        <w:snapToGrid w:val="0"/>
        <w:spacing w:line="360" w:lineRule="auto"/>
        <w:ind w:firstLine="367" w:firstLineChars="175"/>
        <w:rPr>
          <w:rFonts w:ascii="宋体" w:hAnsi="宋体"/>
          <w:snapToGrid w:val="0"/>
          <w:color w:val="auto"/>
          <w:kern w:val="0"/>
          <w:szCs w:val="21"/>
          <w:highlight w:val="none"/>
        </w:rPr>
      </w:pPr>
      <w:r>
        <w:rPr>
          <w:rFonts w:hint="eastAsia" w:ascii="宋体" w:hAnsi="宋体"/>
          <w:snapToGrid w:val="0"/>
          <w:color w:val="auto"/>
          <w:kern w:val="0"/>
          <w:szCs w:val="21"/>
          <w:highlight w:val="none"/>
        </w:rPr>
        <w:t>1.1.1合同</w:t>
      </w:r>
    </w:p>
    <w:p w14:paraId="6824C0AE">
      <w:pPr>
        <w:shd w:val="clear" w:color="auto" w:fill="FAFAFA"/>
        <w:snapToGrid w:val="0"/>
        <w:spacing w:line="360" w:lineRule="auto"/>
        <w:ind w:firstLine="411" w:firstLineChars="196"/>
        <w:rPr>
          <w:rFonts w:ascii="宋体" w:hAnsi="宋体"/>
          <w:b/>
          <w:snapToGrid w:val="0"/>
          <w:color w:val="auto"/>
          <w:kern w:val="0"/>
          <w:szCs w:val="21"/>
          <w:highlight w:val="none"/>
          <w:u w:val="single"/>
        </w:rPr>
      </w:pPr>
      <w:r>
        <w:rPr>
          <w:rFonts w:hint="eastAsia" w:ascii="宋体" w:hAnsi="宋体"/>
          <w:snapToGrid w:val="0"/>
          <w:color w:val="auto"/>
          <w:kern w:val="0"/>
          <w:szCs w:val="21"/>
          <w:highlight w:val="none"/>
        </w:rPr>
        <w:t>1.1.1.10其他合同文件包括：</w:t>
      </w:r>
      <w:r>
        <w:rPr>
          <w:rFonts w:hint="eastAsia" w:ascii="宋体" w:hAnsi="宋体"/>
          <w:snapToGrid w:val="0"/>
          <w:color w:val="auto"/>
          <w:kern w:val="0"/>
          <w:szCs w:val="21"/>
          <w:highlight w:val="none"/>
          <w:u w:val="single"/>
        </w:rPr>
        <w:t xml:space="preserve">                                         </w:t>
      </w:r>
    </w:p>
    <w:p w14:paraId="6FAF628C">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1.1.2 合同当事人及其他相关方</w:t>
      </w:r>
    </w:p>
    <w:p w14:paraId="7C9E686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1.1.2.4监理人：</w:t>
      </w:r>
    </w:p>
    <w:p w14:paraId="7478540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名    称：</w:t>
      </w:r>
      <w:r>
        <w:rPr>
          <w:rFonts w:hint="eastAsia" w:ascii="宋体" w:hAnsi="宋体" w:cs="宋体"/>
          <w:color w:val="auto"/>
          <w:szCs w:val="21"/>
          <w:highlight w:val="none"/>
          <w:u w:val="single"/>
        </w:rPr>
        <w:t xml:space="preserve">                </w:t>
      </w:r>
      <w:r>
        <w:rPr>
          <w:rFonts w:hint="eastAsia" w:ascii="宋体" w:hAnsi="宋体" w:cs="宋体"/>
          <w:color w:val="auto"/>
          <w:szCs w:val="21"/>
          <w:highlight w:val="none"/>
        </w:rPr>
        <w:t>；</w:t>
      </w:r>
    </w:p>
    <w:p w14:paraId="778AFF3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资质类别和等级：</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7432439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6B3535F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4EC7CF2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1274035C">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1.1.2.5 设计人：</w:t>
      </w:r>
    </w:p>
    <w:p w14:paraId="4DBAF357">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名    称：</w:t>
      </w:r>
      <w:r>
        <w:rPr>
          <w:rFonts w:hint="eastAsia" w:ascii="宋体" w:hAnsi="宋体" w:cs="仿宋_GB2312"/>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w:t>
      </w:r>
    </w:p>
    <w:p w14:paraId="4C27BC7E">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资质类别和等级：</w:t>
      </w:r>
      <w:r>
        <w:rPr>
          <w:rFonts w:hint="eastAsia" w:ascii="宋体" w:hAnsi="宋体" w:cs="仿宋_GB2312"/>
          <w:snapToGrid w:val="0"/>
          <w:color w:val="auto"/>
          <w:kern w:val="0"/>
          <w:szCs w:val="21"/>
          <w:highlight w:val="none"/>
          <w:u w:val="single"/>
        </w:rPr>
        <w:t xml:space="preserve">                    </w:t>
      </w:r>
      <w:r>
        <w:rPr>
          <w:rFonts w:hint="eastAsia" w:ascii="宋体" w:hAnsi="宋体"/>
          <w:snapToGrid w:val="0"/>
          <w:color w:val="auto"/>
          <w:kern w:val="0"/>
          <w:szCs w:val="20"/>
          <w:highlight w:val="none"/>
          <w:u w:val="single"/>
        </w:rPr>
        <w:t xml:space="preserve">        </w:t>
      </w:r>
      <w:r>
        <w:rPr>
          <w:rFonts w:hint="eastAsia" w:ascii="宋体" w:hAnsi="宋体" w:cs="仿宋_GB2312"/>
          <w:snapToGrid w:val="0"/>
          <w:color w:val="auto"/>
          <w:kern w:val="0"/>
          <w:szCs w:val="21"/>
          <w:highlight w:val="none"/>
          <w:u w:val="single"/>
        </w:rPr>
        <w:t></w:t>
      </w:r>
      <w:r>
        <w:rPr>
          <w:rFonts w:hint="eastAsia" w:ascii="宋体" w:hAnsi="宋体"/>
          <w:snapToGrid w:val="0"/>
          <w:color w:val="auto"/>
          <w:kern w:val="0"/>
          <w:szCs w:val="21"/>
          <w:highlight w:val="none"/>
        </w:rPr>
        <w:t>；</w:t>
      </w:r>
    </w:p>
    <w:p w14:paraId="77CA06F3">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联系电话：</w:t>
      </w:r>
      <w:r>
        <w:rPr>
          <w:rFonts w:hint="eastAsia" w:ascii="宋体" w:hAnsi="宋体" w:cs="仿宋_GB2312"/>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w:t>
      </w:r>
      <w:r>
        <w:rPr>
          <w:rFonts w:hint="eastAsia" w:ascii="宋体" w:hAnsi="宋体" w:cs="仿宋_GB2312"/>
          <w:snapToGrid w:val="0"/>
          <w:color w:val="auto"/>
          <w:kern w:val="0"/>
          <w:szCs w:val="21"/>
          <w:highlight w:val="none"/>
          <w:u w:val="single"/>
        </w:rPr>
        <w:t></w:t>
      </w:r>
      <w:r>
        <w:rPr>
          <w:rFonts w:hint="eastAsia" w:ascii="宋体" w:hAnsi="宋体"/>
          <w:snapToGrid w:val="0"/>
          <w:color w:val="auto"/>
          <w:kern w:val="0"/>
          <w:szCs w:val="21"/>
          <w:highlight w:val="none"/>
          <w:u w:val="single"/>
        </w:rPr>
        <w:t xml:space="preserve">         </w:t>
      </w:r>
      <w:r>
        <w:rPr>
          <w:rFonts w:hint="eastAsia" w:ascii="宋体" w:hAnsi="宋体" w:cs="仿宋_GB2312"/>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hint="eastAsia" w:ascii="宋体" w:hAnsi="宋体" w:cs="仿宋_GB2312"/>
          <w:snapToGrid w:val="0"/>
          <w:color w:val="auto"/>
          <w:kern w:val="0"/>
          <w:szCs w:val="21"/>
          <w:highlight w:val="none"/>
          <w:u w:val="single"/>
        </w:rPr>
        <w:t></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w:t>
      </w:r>
    </w:p>
    <w:p w14:paraId="2FD64DC4">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电子信箱：</w:t>
      </w:r>
      <w:r>
        <w:rPr>
          <w:rFonts w:hint="eastAsia" w:ascii="宋体" w:hAnsi="宋体" w:cs="仿宋_GB2312"/>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w:t>
      </w:r>
      <w:r>
        <w:rPr>
          <w:rFonts w:hint="eastAsia" w:ascii="宋体" w:hAnsi="宋体" w:cs="仿宋_GB2312"/>
          <w:snapToGrid w:val="0"/>
          <w:color w:val="auto"/>
          <w:kern w:val="0"/>
          <w:szCs w:val="21"/>
          <w:highlight w:val="none"/>
          <w:u w:val="single"/>
        </w:rPr>
        <w:t></w:t>
      </w:r>
      <w:r>
        <w:rPr>
          <w:rFonts w:hint="eastAsia" w:ascii="宋体" w:hAnsi="宋体"/>
          <w:snapToGrid w:val="0"/>
          <w:color w:val="auto"/>
          <w:kern w:val="0"/>
          <w:szCs w:val="21"/>
          <w:highlight w:val="none"/>
          <w:u w:val="single"/>
        </w:rPr>
        <w:t xml:space="preserve">                </w:t>
      </w:r>
      <w:r>
        <w:rPr>
          <w:rFonts w:hint="eastAsia" w:ascii="宋体" w:hAnsi="宋体" w:cs="仿宋_GB2312"/>
          <w:snapToGrid w:val="0"/>
          <w:color w:val="auto"/>
          <w:kern w:val="0"/>
          <w:szCs w:val="21"/>
          <w:highlight w:val="none"/>
          <w:u w:val="single"/>
        </w:rPr>
        <w:t></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w:t>
      </w:r>
    </w:p>
    <w:p w14:paraId="5AF6EAD6">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通信地址：</w:t>
      </w:r>
      <w:r>
        <w:rPr>
          <w:rFonts w:hint="eastAsia" w:ascii="宋体" w:hAnsi="宋体" w:cs="仿宋_GB2312"/>
          <w:snapToGrid w:val="0"/>
          <w:color w:val="auto"/>
          <w:kern w:val="0"/>
          <w:szCs w:val="21"/>
          <w:highlight w:val="none"/>
          <w:u w:val="single"/>
        </w:rPr>
        <w:t></w:t>
      </w:r>
      <w:r>
        <w:rPr>
          <w:rFonts w:hint="eastAsia" w:ascii="宋体" w:hAnsi="宋体"/>
          <w:snapToGrid w:val="0"/>
          <w:color w:val="auto"/>
          <w:kern w:val="0"/>
          <w:szCs w:val="21"/>
          <w:highlight w:val="none"/>
          <w:u w:val="single"/>
        </w:rPr>
        <w:t xml:space="preserve">    </w:t>
      </w:r>
      <w:r>
        <w:rPr>
          <w:rFonts w:hint="eastAsia" w:ascii="宋体" w:hAnsi="宋体" w:cs="仿宋_GB2312"/>
          <w:snapToGrid w:val="0"/>
          <w:color w:val="auto"/>
          <w:kern w:val="0"/>
          <w:szCs w:val="21"/>
          <w:highlight w:val="none"/>
          <w:u w:val="single"/>
        </w:rPr>
        <w:t>  /  </w:t>
      </w:r>
      <w:r>
        <w:rPr>
          <w:rFonts w:hint="eastAsia" w:ascii="宋体" w:hAnsi="宋体"/>
          <w:snapToGrid w:val="0"/>
          <w:color w:val="auto"/>
          <w:kern w:val="0"/>
          <w:szCs w:val="21"/>
          <w:highlight w:val="none"/>
          <w:u w:val="single"/>
        </w:rPr>
        <w:t xml:space="preserve">              </w:t>
      </w:r>
      <w:r>
        <w:rPr>
          <w:rFonts w:hint="eastAsia" w:ascii="宋体" w:hAnsi="宋体" w:cs="仿宋_GB2312"/>
          <w:snapToGrid w:val="0"/>
          <w:color w:val="auto"/>
          <w:kern w:val="0"/>
          <w:szCs w:val="21"/>
          <w:highlight w:val="none"/>
          <w:u w:val="single"/>
        </w:rPr>
        <w:t></w:t>
      </w:r>
      <w:r>
        <w:rPr>
          <w:rFonts w:hint="eastAsia" w:ascii="宋体" w:hAnsi="宋体"/>
          <w:snapToGrid w:val="0"/>
          <w:color w:val="auto"/>
          <w:kern w:val="0"/>
          <w:szCs w:val="21"/>
          <w:highlight w:val="none"/>
        </w:rPr>
        <w:t>。</w:t>
      </w:r>
    </w:p>
    <w:p w14:paraId="72C1A2C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 工程和设备</w:t>
      </w:r>
    </w:p>
    <w:p w14:paraId="70595205">
      <w:pP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1.1.3.7 作为施工现场组成部分的其他场所包括：</w:t>
      </w:r>
      <w:r>
        <w:rPr>
          <w:rFonts w:hint="eastAsia" w:ascii="宋体" w:hAnsi="宋体" w:cs="宋体"/>
          <w:color w:val="auto"/>
          <w:szCs w:val="21"/>
          <w:highlight w:val="none"/>
          <w:u w:val="single"/>
        </w:rPr>
        <w:t xml:space="preserve">           </w:t>
      </w:r>
    </w:p>
    <w:p w14:paraId="522C121D">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05AB2BF4">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1.1.3.9 永久占地包括：</w:t>
      </w:r>
      <w:r>
        <w:rPr>
          <w:rFonts w:hint="eastAsia" w:ascii="宋体" w:hAnsi="宋体" w:cs="宋体"/>
          <w:color w:val="auto"/>
          <w:szCs w:val="21"/>
          <w:highlight w:val="none"/>
          <w:u w:val="single"/>
        </w:rPr>
        <w:t xml:space="preserve">                        </w:t>
      </w:r>
      <w:r>
        <w:rPr>
          <w:rFonts w:hint="eastAsia" w:ascii="宋体" w:hAnsi="宋体" w:cs="宋体"/>
          <w:color w:val="auto"/>
          <w:kern w:val="0"/>
          <w:szCs w:val="21"/>
          <w:highlight w:val="none"/>
        </w:rPr>
        <w:t>。</w:t>
      </w:r>
    </w:p>
    <w:p w14:paraId="0B20C761">
      <w:pPr>
        <w:adjustRightInd/>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color w:val="auto"/>
          <w:kern w:val="0"/>
          <w:szCs w:val="21"/>
          <w:highlight w:val="none"/>
        </w:rPr>
        <w:t>1.1.3.10 临时占地包括：</w:t>
      </w:r>
      <w:r>
        <w:rPr>
          <w:rFonts w:hint="eastAsia" w:ascii="宋体" w:hAnsi="宋体" w:cs="宋体"/>
          <w:color w:val="auto"/>
          <w:szCs w:val="21"/>
          <w:highlight w:val="none"/>
          <w:u w:val="single"/>
        </w:rPr>
        <w:t xml:space="preserve">                       </w:t>
      </w:r>
      <w:r>
        <w:rPr>
          <w:rFonts w:hint="eastAsia" w:ascii="宋体" w:hAnsi="宋体" w:cs="宋体"/>
          <w:color w:val="auto"/>
          <w:kern w:val="0"/>
          <w:szCs w:val="21"/>
          <w:highlight w:val="none"/>
        </w:rPr>
        <w:t>。</w:t>
      </w:r>
    </w:p>
    <w:p w14:paraId="1C622D5F">
      <w:pPr>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xml:space="preserve">1.3法律 </w:t>
      </w:r>
    </w:p>
    <w:p w14:paraId="2EEF1BF0">
      <w:pPr>
        <w:autoSpaceDE w:val="0"/>
        <w:autoSpaceDN w:val="0"/>
        <w:snapToGrid w:val="0"/>
        <w:spacing w:line="360" w:lineRule="auto"/>
        <w:jc w:val="left"/>
        <w:rPr>
          <w:rFonts w:ascii="宋体" w:hAnsi="宋体" w:cs="宋体"/>
          <w:color w:val="auto"/>
          <w:szCs w:val="21"/>
          <w:highlight w:val="none"/>
          <w:u w:val="single"/>
        </w:rPr>
      </w:pPr>
      <w:r>
        <w:rPr>
          <w:rFonts w:hint="eastAsia" w:ascii="宋体" w:hAnsi="宋体" w:cs="宋体"/>
          <w:color w:val="auto"/>
          <w:szCs w:val="21"/>
          <w:highlight w:val="none"/>
        </w:rPr>
        <w:t>适用于合同的其他规范性文件：</w:t>
      </w:r>
    </w:p>
    <w:p w14:paraId="47FDE355">
      <w:pPr>
        <w:pageBreakBefore w:val="0"/>
        <w:widowControl w:val="0"/>
        <w:kinsoku/>
        <w:wordWrap/>
        <w:overflowPunct/>
        <w:topLinePunct w:val="0"/>
        <w:autoSpaceDE w:val="0"/>
        <w:autoSpaceDN w:val="0"/>
        <w:bidi w:val="0"/>
        <w:snapToGrid w:val="0"/>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 xml:space="preserve">1.3.1 《杭州市建设工程工程量清单计价实施细则》（杭建市发〔2018〕578号）； </w:t>
      </w:r>
    </w:p>
    <w:p w14:paraId="79A51008">
      <w:pPr>
        <w:pageBreakBefore w:val="0"/>
        <w:widowControl w:val="0"/>
        <w:kinsoku/>
        <w:wordWrap/>
        <w:overflowPunct/>
        <w:topLinePunct w:val="0"/>
        <w:autoSpaceDE w:val="0"/>
        <w:autoSpaceDN w:val="0"/>
        <w:bidi w:val="0"/>
        <w:snapToGrid w:val="0"/>
        <w:spacing w:line="360" w:lineRule="auto"/>
        <w:ind w:firstLine="420" w:firstLineChars="200"/>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1.3.2 《关于进一步加强杭州市建设工程市场要素价格动态管理的指导意见》（杭建市发〔2018〕579号）； </w:t>
      </w:r>
    </w:p>
    <w:p w14:paraId="07E38212">
      <w:pPr>
        <w:pageBreakBefore w:val="0"/>
        <w:widowControl w:val="0"/>
        <w:kinsoku/>
        <w:wordWrap/>
        <w:overflowPunct/>
        <w:topLinePunct w:val="0"/>
        <w:autoSpaceDE w:val="0"/>
        <w:autoSpaceDN w:val="0"/>
        <w:bidi w:val="0"/>
        <w:snapToGrid w:val="0"/>
        <w:spacing w:line="360" w:lineRule="auto"/>
        <w:ind w:firstLine="420" w:firstLineChars="200"/>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1.3.3 《关于贯彻《省厅调整安全文明施工费的通知》的通知》（杭建市发〔2022〕54号） </w:t>
      </w:r>
    </w:p>
    <w:p w14:paraId="71C4BCFE">
      <w:pPr>
        <w:pageBreakBefore w:val="0"/>
        <w:widowControl w:val="0"/>
        <w:kinsoku/>
        <w:wordWrap/>
        <w:overflowPunct/>
        <w:topLinePunct w:val="0"/>
        <w:autoSpaceDE w:val="0"/>
        <w:autoSpaceDN w:val="0"/>
        <w:bidi w:val="0"/>
        <w:snapToGrid w:val="0"/>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 xml:space="preserve">1.3.4 省市建设行政部门颁发的其他现行有效文件（包括但不仅限于以下文件）： </w:t>
      </w:r>
    </w:p>
    <w:p w14:paraId="268ECFA7">
      <w:pPr>
        <w:pageBreakBefore w:val="0"/>
        <w:widowControl w:val="0"/>
        <w:kinsoku/>
        <w:wordWrap/>
        <w:overflowPunct/>
        <w:topLinePunct w:val="0"/>
        <w:autoSpaceDE w:val="0"/>
        <w:autoSpaceDN w:val="0"/>
        <w:bidi w:val="0"/>
        <w:snapToGrid w:val="0"/>
        <w:spacing w:line="360" w:lineRule="auto"/>
        <w:ind w:firstLine="415" w:firstLineChars="198"/>
        <w:jc w:val="left"/>
        <w:textAlignment w:val="auto"/>
        <w:rPr>
          <w:rFonts w:hint="eastAsia" w:ascii="宋体" w:hAnsi="宋体" w:cs="宋体"/>
          <w:b w:val="0"/>
          <w:bCs/>
          <w:color w:val="auto"/>
          <w:szCs w:val="21"/>
          <w:highlight w:val="none"/>
          <w:u w:val="single"/>
        </w:rPr>
      </w:pPr>
      <w:r>
        <w:rPr>
          <w:rFonts w:hint="eastAsia" w:ascii="宋体" w:hAnsi="宋体" w:cs="宋体"/>
          <w:b w:val="0"/>
          <w:bCs/>
          <w:color w:val="auto"/>
          <w:szCs w:val="21"/>
          <w:highlight w:val="none"/>
          <w:u w:val="single"/>
        </w:rPr>
        <w:t>（1）《关于转发省建设厅&lt;关于进一步加强建筑施工领域企业安全生产工作的实施意见&gt;的通知》（杭建工发〔2011〕130号）；</w:t>
      </w:r>
    </w:p>
    <w:p w14:paraId="398C3C05">
      <w:pPr>
        <w:pageBreakBefore w:val="0"/>
        <w:widowControl w:val="0"/>
        <w:kinsoku/>
        <w:wordWrap/>
        <w:overflowPunct/>
        <w:topLinePunct w:val="0"/>
        <w:autoSpaceDE w:val="0"/>
        <w:autoSpaceDN w:val="0"/>
        <w:bidi w:val="0"/>
        <w:snapToGrid w:val="0"/>
        <w:spacing w:line="360" w:lineRule="auto"/>
        <w:ind w:firstLine="415" w:firstLineChars="198"/>
        <w:jc w:val="left"/>
        <w:textAlignment w:val="auto"/>
        <w:rPr>
          <w:rFonts w:hint="eastAsia" w:ascii="宋体" w:hAnsi="宋体" w:cs="宋体"/>
          <w:b w:val="0"/>
          <w:bCs/>
          <w:color w:val="auto"/>
          <w:szCs w:val="21"/>
          <w:highlight w:val="none"/>
          <w:u w:val="single"/>
        </w:rPr>
      </w:pPr>
      <w:r>
        <w:rPr>
          <w:rFonts w:hint="eastAsia" w:ascii="宋体" w:hAnsi="宋体" w:cs="宋体"/>
          <w:b w:val="0"/>
          <w:bCs/>
          <w:color w:val="auto"/>
          <w:szCs w:val="21"/>
          <w:highlight w:val="none"/>
          <w:u w:val="single"/>
        </w:rPr>
        <w:t>（2）《关于进一步加强建设工程安全质量物联网管理应用平台建设的通知》（杭建工发〔2012〕426号）；</w:t>
      </w:r>
    </w:p>
    <w:p w14:paraId="3FB9878E">
      <w:pPr>
        <w:pageBreakBefore w:val="0"/>
        <w:widowControl w:val="0"/>
        <w:kinsoku/>
        <w:wordWrap/>
        <w:overflowPunct/>
        <w:topLinePunct w:val="0"/>
        <w:autoSpaceDE w:val="0"/>
        <w:autoSpaceDN w:val="0"/>
        <w:bidi w:val="0"/>
        <w:snapToGrid w:val="0"/>
        <w:spacing w:line="360" w:lineRule="auto"/>
        <w:ind w:firstLine="415" w:firstLineChars="198"/>
        <w:jc w:val="left"/>
        <w:textAlignment w:val="auto"/>
        <w:rPr>
          <w:rFonts w:hint="eastAsia" w:ascii="宋体" w:hAnsi="宋体" w:cs="宋体"/>
          <w:b w:val="0"/>
          <w:bCs/>
          <w:color w:val="auto"/>
          <w:szCs w:val="21"/>
          <w:highlight w:val="none"/>
          <w:u w:val="single"/>
        </w:rPr>
      </w:pPr>
      <w:r>
        <w:rPr>
          <w:rFonts w:hint="eastAsia" w:ascii="宋体" w:hAnsi="宋体" w:cs="宋体"/>
          <w:b w:val="0"/>
          <w:bCs/>
          <w:color w:val="auto"/>
          <w:szCs w:val="21"/>
          <w:highlight w:val="none"/>
          <w:u w:val="single"/>
        </w:rPr>
        <w:t>（3）《关于开展建筑工程扬尘在线监测设施安装工作的通知》（杭建工〔2019〕103号）；</w:t>
      </w:r>
    </w:p>
    <w:p w14:paraId="4A0818E6">
      <w:pPr>
        <w:pageBreakBefore w:val="0"/>
        <w:widowControl w:val="0"/>
        <w:kinsoku/>
        <w:wordWrap/>
        <w:overflowPunct/>
        <w:topLinePunct w:val="0"/>
        <w:autoSpaceDE w:val="0"/>
        <w:autoSpaceDN w:val="0"/>
        <w:bidi w:val="0"/>
        <w:snapToGrid w:val="0"/>
        <w:spacing w:line="360" w:lineRule="auto"/>
        <w:ind w:firstLine="415" w:firstLineChars="198"/>
        <w:jc w:val="left"/>
        <w:textAlignment w:val="auto"/>
        <w:rPr>
          <w:rFonts w:hint="eastAsia" w:ascii="宋体" w:hAnsi="宋体" w:cs="宋体"/>
          <w:b w:val="0"/>
          <w:bCs/>
          <w:color w:val="auto"/>
          <w:szCs w:val="21"/>
          <w:highlight w:val="none"/>
          <w:u w:val="single"/>
        </w:rPr>
      </w:pPr>
      <w:r>
        <w:rPr>
          <w:rFonts w:hint="eastAsia" w:ascii="宋体" w:hAnsi="宋体" w:cs="宋体"/>
          <w:b w:val="0"/>
          <w:bCs/>
          <w:color w:val="auto"/>
          <w:szCs w:val="21"/>
          <w:highlight w:val="none"/>
          <w:u w:val="single"/>
        </w:rPr>
        <w:t>（4）《关于巩固G20杭州峰会成果进一步加强建设工程文明施工管理的若干意见》（杭建工发〔2017〕112号）；</w:t>
      </w:r>
    </w:p>
    <w:p w14:paraId="5F4C1580">
      <w:pPr>
        <w:pageBreakBefore w:val="0"/>
        <w:widowControl w:val="0"/>
        <w:kinsoku/>
        <w:wordWrap/>
        <w:overflowPunct/>
        <w:topLinePunct w:val="0"/>
        <w:autoSpaceDE w:val="0"/>
        <w:autoSpaceDN w:val="0"/>
        <w:bidi w:val="0"/>
        <w:snapToGrid w:val="0"/>
        <w:spacing w:line="360" w:lineRule="auto"/>
        <w:ind w:firstLine="415" w:firstLineChars="198"/>
        <w:jc w:val="left"/>
        <w:textAlignment w:val="auto"/>
        <w:rPr>
          <w:rFonts w:hint="eastAsia" w:ascii="宋体" w:hAnsi="宋体" w:cs="宋体"/>
          <w:b w:val="0"/>
          <w:bCs/>
          <w:color w:val="auto"/>
          <w:szCs w:val="21"/>
          <w:highlight w:val="none"/>
          <w:u w:val="single"/>
        </w:rPr>
      </w:pPr>
      <w:r>
        <w:rPr>
          <w:rFonts w:hint="eastAsia" w:ascii="宋体" w:hAnsi="宋体" w:cs="宋体"/>
          <w:b w:val="0"/>
          <w:bCs/>
          <w:color w:val="auto"/>
          <w:szCs w:val="21"/>
          <w:highlight w:val="none"/>
          <w:u w:val="single"/>
        </w:rPr>
        <w:t>（5）《杭州市建设领域农民工“无欠薪”管理实施细则（试行）》（杭建市〔2018〕161号）；</w:t>
      </w:r>
    </w:p>
    <w:p w14:paraId="3B6AC00E">
      <w:pPr>
        <w:pageBreakBefore w:val="0"/>
        <w:widowControl w:val="0"/>
        <w:kinsoku/>
        <w:wordWrap/>
        <w:overflowPunct/>
        <w:topLinePunct w:val="0"/>
        <w:autoSpaceDE w:val="0"/>
        <w:autoSpaceDN w:val="0"/>
        <w:bidi w:val="0"/>
        <w:snapToGrid w:val="0"/>
        <w:spacing w:line="360" w:lineRule="auto"/>
        <w:ind w:firstLine="415" w:firstLineChars="198"/>
        <w:jc w:val="left"/>
        <w:textAlignment w:val="auto"/>
        <w:rPr>
          <w:rFonts w:hint="eastAsia" w:ascii="宋体" w:hAnsi="宋体" w:cs="宋体"/>
          <w:b w:val="0"/>
          <w:bCs/>
          <w:color w:val="auto"/>
          <w:szCs w:val="21"/>
          <w:highlight w:val="none"/>
          <w:u w:val="single"/>
        </w:rPr>
      </w:pPr>
      <w:r>
        <w:rPr>
          <w:rFonts w:hint="eastAsia" w:ascii="宋体" w:hAnsi="宋体" w:cs="宋体"/>
          <w:b w:val="0"/>
          <w:bCs/>
          <w:color w:val="auto"/>
          <w:szCs w:val="21"/>
          <w:highlight w:val="none"/>
          <w:u w:val="single"/>
        </w:rPr>
        <w:t>（6）《关于杭州市建筑工地全面推广使用“浙里工程建设现场管控”重大应用（浙里建）的通知》（杭建数改办〔2022〕1号）；</w:t>
      </w:r>
    </w:p>
    <w:p w14:paraId="798A22CA">
      <w:pPr>
        <w:pageBreakBefore w:val="0"/>
        <w:widowControl w:val="0"/>
        <w:kinsoku/>
        <w:wordWrap/>
        <w:overflowPunct/>
        <w:topLinePunct w:val="0"/>
        <w:autoSpaceDE w:val="0"/>
        <w:autoSpaceDN w:val="0"/>
        <w:bidi w:val="0"/>
        <w:snapToGrid w:val="0"/>
        <w:spacing w:line="360" w:lineRule="auto"/>
        <w:ind w:firstLine="415" w:firstLineChars="198"/>
        <w:jc w:val="left"/>
        <w:textAlignment w:val="auto"/>
        <w:rPr>
          <w:rFonts w:hint="eastAsia" w:ascii="宋体" w:hAnsi="宋体" w:cs="宋体"/>
          <w:b w:val="0"/>
          <w:bCs/>
          <w:color w:val="auto"/>
          <w:szCs w:val="21"/>
          <w:highlight w:val="none"/>
          <w:u w:val="single"/>
        </w:rPr>
      </w:pPr>
      <w:r>
        <w:rPr>
          <w:rFonts w:hint="eastAsia" w:ascii="宋体" w:hAnsi="宋体" w:cs="宋体"/>
          <w:b w:val="0"/>
          <w:bCs/>
          <w:color w:val="auto"/>
          <w:szCs w:val="21"/>
          <w:highlight w:val="none"/>
          <w:u w:val="single"/>
        </w:rPr>
        <w:t>（7）《杭州市建设工程渣土管理办法》（市政府令第192号）；</w:t>
      </w:r>
    </w:p>
    <w:p w14:paraId="36A4F04F">
      <w:pPr>
        <w:pageBreakBefore w:val="0"/>
        <w:widowControl w:val="0"/>
        <w:kinsoku/>
        <w:wordWrap/>
        <w:overflowPunct/>
        <w:topLinePunct w:val="0"/>
        <w:autoSpaceDE w:val="0"/>
        <w:autoSpaceDN w:val="0"/>
        <w:bidi w:val="0"/>
        <w:snapToGrid w:val="0"/>
        <w:spacing w:line="360" w:lineRule="auto"/>
        <w:ind w:firstLine="415" w:firstLineChars="198"/>
        <w:jc w:val="left"/>
        <w:textAlignment w:val="auto"/>
        <w:rPr>
          <w:rFonts w:hint="eastAsia" w:ascii="宋体" w:hAnsi="宋体" w:cs="宋体"/>
          <w:b w:val="0"/>
          <w:bCs/>
          <w:color w:val="auto"/>
          <w:szCs w:val="21"/>
          <w:highlight w:val="none"/>
          <w:u w:val="single"/>
        </w:rPr>
      </w:pPr>
      <w:r>
        <w:rPr>
          <w:rFonts w:hint="eastAsia" w:ascii="宋体" w:hAnsi="宋体" w:cs="宋体"/>
          <w:b w:val="0"/>
          <w:bCs/>
          <w:color w:val="auto"/>
          <w:szCs w:val="21"/>
          <w:highlight w:val="none"/>
          <w:u w:val="single"/>
        </w:rPr>
        <w:t>（8）市政府办公厅2022年5月15日发布的《杭州市人民政府办公厅关于进一步规范工程建筑垃圾管理的通知》；</w:t>
      </w:r>
    </w:p>
    <w:p w14:paraId="6A026B67">
      <w:pPr>
        <w:pageBreakBefore w:val="0"/>
        <w:widowControl w:val="0"/>
        <w:kinsoku/>
        <w:wordWrap/>
        <w:overflowPunct/>
        <w:topLinePunct w:val="0"/>
        <w:autoSpaceDE w:val="0"/>
        <w:autoSpaceDN w:val="0"/>
        <w:bidi w:val="0"/>
        <w:snapToGrid w:val="0"/>
        <w:spacing w:line="360" w:lineRule="auto"/>
        <w:ind w:firstLine="415" w:firstLineChars="198"/>
        <w:jc w:val="left"/>
        <w:textAlignment w:val="auto"/>
        <w:rPr>
          <w:rFonts w:hint="eastAsia" w:ascii="宋体" w:hAnsi="宋体" w:cs="宋体"/>
          <w:b w:val="0"/>
          <w:bCs/>
          <w:color w:val="auto"/>
          <w:szCs w:val="21"/>
          <w:highlight w:val="none"/>
          <w:u w:val="single"/>
        </w:rPr>
      </w:pPr>
      <w:r>
        <w:rPr>
          <w:rFonts w:hint="eastAsia" w:ascii="宋体" w:hAnsi="宋体" w:cs="宋体"/>
          <w:b w:val="0"/>
          <w:bCs/>
          <w:color w:val="auto"/>
          <w:szCs w:val="21"/>
          <w:highlight w:val="none"/>
          <w:u w:val="single"/>
        </w:rPr>
        <w:t>（9）《关于发布杭州市工程渣土消纳市场信息价的通知》（杭渣土领〔2020〕1号）；</w:t>
      </w:r>
    </w:p>
    <w:p w14:paraId="4AD656F4">
      <w:pPr>
        <w:pageBreakBefore w:val="0"/>
        <w:widowControl w:val="0"/>
        <w:kinsoku/>
        <w:wordWrap/>
        <w:overflowPunct/>
        <w:topLinePunct w:val="0"/>
        <w:autoSpaceDE w:val="0"/>
        <w:autoSpaceDN w:val="0"/>
        <w:bidi w:val="0"/>
        <w:snapToGrid w:val="0"/>
        <w:spacing w:line="360" w:lineRule="auto"/>
        <w:ind w:firstLine="415" w:firstLineChars="198"/>
        <w:jc w:val="left"/>
        <w:textAlignment w:val="auto"/>
        <w:rPr>
          <w:rFonts w:hint="eastAsia" w:ascii="宋体" w:hAnsi="宋体" w:cs="宋体"/>
          <w:b w:val="0"/>
          <w:bCs/>
          <w:color w:val="auto"/>
          <w:szCs w:val="21"/>
          <w:highlight w:val="none"/>
          <w:u w:val="single"/>
        </w:rPr>
      </w:pPr>
      <w:r>
        <w:rPr>
          <w:rFonts w:hint="eastAsia" w:ascii="宋体" w:hAnsi="宋体" w:cs="宋体"/>
          <w:b w:val="0"/>
          <w:bCs/>
          <w:color w:val="auto"/>
          <w:szCs w:val="21"/>
          <w:highlight w:val="none"/>
          <w:u w:val="single"/>
        </w:rPr>
        <w:t>（10）市建委2020年10月30日发布的《关于明确杭州市渣土运输及消纳项目计价清单编制和报价口径的通知》；</w:t>
      </w:r>
    </w:p>
    <w:p w14:paraId="0B1B405C">
      <w:pPr>
        <w:pageBreakBefore w:val="0"/>
        <w:widowControl w:val="0"/>
        <w:kinsoku/>
        <w:wordWrap/>
        <w:overflowPunct/>
        <w:topLinePunct w:val="0"/>
        <w:autoSpaceDE w:val="0"/>
        <w:autoSpaceDN w:val="0"/>
        <w:bidi w:val="0"/>
        <w:snapToGrid w:val="0"/>
        <w:spacing w:line="360" w:lineRule="auto"/>
        <w:ind w:firstLine="415" w:firstLineChars="198"/>
        <w:jc w:val="left"/>
        <w:textAlignment w:val="auto"/>
        <w:rPr>
          <w:rFonts w:hint="eastAsia" w:ascii="宋体" w:hAnsi="宋体" w:cs="宋体"/>
          <w:b w:val="0"/>
          <w:bCs/>
          <w:color w:val="auto"/>
          <w:szCs w:val="21"/>
          <w:highlight w:val="none"/>
          <w:u w:val="single"/>
        </w:rPr>
      </w:pPr>
      <w:r>
        <w:rPr>
          <w:rFonts w:hint="eastAsia" w:ascii="宋体" w:hAnsi="宋体" w:cs="宋体"/>
          <w:b w:val="0"/>
          <w:bCs/>
          <w:color w:val="auto"/>
          <w:szCs w:val="21"/>
          <w:highlight w:val="none"/>
          <w:u w:val="single"/>
        </w:rPr>
        <w:t>（11）《关于转发&lt;关于在全省工程建设领域改革保证金制度的通知&gt;的通知》（杭建市通知〔2020〕4号）；</w:t>
      </w:r>
    </w:p>
    <w:p w14:paraId="2101FF72">
      <w:pPr>
        <w:pageBreakBefore w:val="0"/>
        <w:widowControl w:val="0"/>
        <w:kinsoku/>
        <w:wordWrap/>
        <w:overflowPunct/>
        <w:topLinePunct w:val="0"/>
        <w:autoSpaceDE w:val="0"/>
        <w:autoSpaceDN w:val="0"/>
        <w:bidi w:val="0"/>
        <w:snapToGrid w:val="0"/>
        <w:spacing w:line="360" w:lineRule="auto"/>
        <w:ind w:firstLine="415" w:firstLineChars="198"/>
        <w:jc w:val="left"/>
        <w:textAlignment w:val="auto"/>
        <w:rPr>
          <w:rFonts w:hint="eastAsia" w:ascii="宋体" w:hAnsi="宋体" w:cs="宋体"/>
          <w:b w:val="0"/>
          <w:bCs/>
          <w:color w:val="auto"/>
          <w:szCs w:val="21"/>
          <w:highlight w:val="none"/>
          <w:u w:val="single"/>
        </w:rPr>
      </w:pPr>
      <w:r>
        <w:rPr>
          <w:rFonts w:hint="eastAsia" w:ascii="宋体" w:hAnsi="宋体" w:cs="宋体"/>
          <w:b w:val="0"/>
          <w:bCs/>
          <w:color w:val="auto"/>
          <w:szCs w:val="21"/>
          <w:highlight w:val="none"/>
          <w:u w:val="single"/>
        </w:rPr>
        <w:t>（12）《关于进一步提升杭州市市政道路建设质量管理的若干意见》（杭建工发〔2021〕32号）；</w:t>
      </w:r>
    </w:p>
    <w:p w14:paraId="24A1DA28">
      <w:pPr>
        <w:pageBreakBefore w:val="0"/>
        <w:widowControl w:val="0"/>
        <w:kinsoku/>
        <w:wordWrap/>
        <w:overflowPunct/>
        <w:topLinePunct w:val="0"/>
        <w:autoSpaceDE w:val="0"/>
        <w:autoSpaceDN w:val="0"/>
        <w:bidi w:val="0"/>
        <w:snapToGrid w:val="0"/>
        <w:spacing w:line="360" w:lineRule="auto"/>
        <w:ind w:firstLine="415" w:firstLineChars="198"/>
        <w:jc w:val="left"/>
        <w:textAlignment w:val="auto"/>
        <w:rPr>
          <w:rFonts w:hint="eastAsia" w:ascii="宋体" w:hAnsi="宋体" w:cs="宋体"/>
          <w:b w:val="0"/>
          <w:bCs/>
          <w:color w:val="auto"/>
          <w:szCs w:val="21"/>
          <w:highlight w:val="none"/>
          <w:u w:val="single"/>
        </w:rPr>
      </w:pPr>
      <w:r>
        <w:rPr>
          <w:rFonts w:hint="eastAsia" w:ascii="宋体" w:hAnsi="宋体" w:cs="宋体"/>
          <w:b w:val="0"/>
          <w:bCs/>
          <w:color w:val="auto"/>
          <w:szCs w:val="21"/>
          <w:highlight w:val="none"/>
          <w:u w:val="single"/>
        </w:rPr>
        <w:t>（13）《关于全面推广应用承插型盘扣式脚手架的通知》（杭建工发〔2021〕358号）；</w:t>
      </w:r>
    </w:p>
    <w:p w14:paraId="45651058">
      <w:pPr>
        <w:pageBreakBefore w:val="0"/>
        <w:widowControl w:val="0"/>
        <w:kinsoku/>
        <w:wordWrap/>
        <w:overflowPunct/>
        <w:topLinePunct w:val="0"/>
        <w:autoSpaceDE w:val="0"/>
        <w:autoSpaceDN w:val="0"/>
        <w:bidi w:val="0"/>
        <w:snapToGrid w:val="0"/>
        <w:spacing w:line="360" w:lineRule="auto"/>
        <w:ind w:firstLine="415" w:firstLineChars="198"/>
        <w:jc w:val="left"/>
        <w:textAlignment w:val="auto"/>
        <w:rPr>
          <w:rFonts w:hint="eastAsia" w:ascii="宋体" w:hAnsi="宋体" w:cs="宋体"/>
          <w:b w:val="0"/>
          <w:bCs/>
          <w:color w:val="auto"/>
          <w:szCs w:val="21"/>
          <w:highlight w:val="none"/>
          <w:u w:val="single"/>
        </w:rPr>
      </w:pPr>
      <w:r>
        <w:rPr>
          <w:rFonts w:hint="eastAsia" w:ascii="宋体" w:hAnsi="宋体" w:cs="宋体"/>
          <w:b w:val="0"/>
          <w:bCs/>
          <w:color w:val="auto"/>
          <w:szCs w:val="21"/>
          <w:highlight w:val="none"/>
          <w:u w:val="single"/>
        </w:rPr>
        <w:t>（14）《关于明确杭州市建筑施工领域安全生产责任保险费用计取的通知》（杭建招标造价中心〔2021〕84号）；</w:t>
      </w:r>
    </w:p>
    <w:p w14:paraId="3472DB65">
      <w:pPr>
        <w:pageBreakBefore w:val="0"/>
        <w:widowControl w:val="0"/>
        <w:kinsoku/>
        <w:wordWrap/>
        <w:overflowPunct/>
        <w:topLinePunct w:val="0"/>
        <w:autoSpaceDE w:val="0"/>
        <w:autoSpaceDN w:val="0"/>
        <w:bidi w:val="0"/>
        <w:snapToGrid w:val="0"/>
        <w:spacing w:line="360" w:lineRule="auto"/>
        <w:ind w:firstLine="415" w:firstLineChars="198"/>
        <w:jc w:val="left"/>
        <w:textAlignment w:val="auto"/>
        <w:rPr>
          <w:rFonts w:hint="eastAsia" w:ascii="宋体" w:hAnsi="宋体" w:eastAsia="宋体" w:cs="宋体"/>
          <w:b w:val="0"/>
          <w:bCs/>
          <w:color w:val="auto"/>
          <w:szCs w:val="21"/>
          <w:highlight w:val="none"/>
          <w:u w:val="single"/>
          <w:lang w:eastAsia="zh-CN"/>
        </w:rPr>
      </w:pPr>
      <w:r>
        <w:rPr>
          <w:rFonts w:hint="eastAsia" w:ascii="宋体" w:hAnsi="宋体" w:cs="宋体"/>
          <w:b w:val="0"/>
          <w:bCs/>
          <w:color w:val="auto"/>
          <w:szCs w:val="21"/>
          <w:highlight w:val="none"/>
          <w:u w:val="single"/>
        </w:rPr>
        <w:t>（15）《关于进一步规范建设工程建筑垃圾处置相关事项的通知》（杭建工〔2023〕169号）</w:t>
      </w:r>
      <w:r>
        <w:rPr>
          <w:rFonts w:hint="eastAsia" w:ascii="宋体" w:hAnsi="宋体" w:cs="宋体"/>
          <w:b w:val="0"/>
          <w:bCs/>
          <w:color w:val="auto"/>
          <w:szCs w:val="21"/>
          <w:highlight w:val="none"/>
          <w:u w:val="single"/>
          <w:lang w:eastAsia="zh-CN"/>
        </w:rPr>
        <w:t>；</w:t>
      </w:r>
    </w:p>
    <w:p w14:paraId="45C952A9">
      <w:pPr>
        <w:pageBreakBefore w:val="0"/>
        <w:widowControl w:val="0"/>
        <w:kinsoku/>
        <w:wordWrap/>
        <w:overflowPunct/>
        <w:topLinePunct w:val="0"/>
        <w:autoSpaceDE w:val="0"/>
        <w:autoSpaceDN w:val="0"/>
        <w:bidi w:val="0"/>
        <w:snapToGrid w:val="0"/>
        <w:spacing w:line="360" w:lineRule="auto"/>
        <w:ind w:firstLine="415" w:firstLineChars="198"/>
        <w:jc w:val="left"/>
        <w:textAlignment w:val="auto"/>
        <w:rPr>
          <w:rFonts w:ascii="宋体" w:hAnsi="宋体" w:cs="宋体"/>
          <w:b w:val="0"/>
          <w:bCs/>
          <w:color w:val="auto"/>
          <w:szCs w:val="21"/>
          <w:highlight w:val="none"/>
          <w:u w:val="single"/>
        </w:rPr>
      </w:pPr>
      <w:r>
        <w:rPr>
          <w:rFonts w:hint="eastAsia" w:ascii="宋体" w:hAnsi="宋体" w:cs="宋体"/>
          <w:b w:val="0"/>
          <w:bCs/>
          <w:color w:val="auto"/>
          <w:szCs w:val="21"/>
          <w:highlight w:val="none"/>
          <w:u w:val="single"/>
        </w:rPr>
        <w:t>相关部门颁发的有关文件对上述文件有调整的，按其规定执行。</w:t>
      </w:r>
    </w:p>
    <w:p w14:paraId="709D47AA">
      <w:pPr>
        <w:autoSpaceDE w:val="0"/>
        <w:autoSpaceDN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1.4 标准和规范</w:t>
      </w:r>
    </w:p>
    <w:p w14:paraId="6A577B28">
      <w:pPr>
        <w:snapToGrid w:val="0"/>
        <w:spacing w:line="360" w:lineRule="auto"/>
        <w:ind w:firstLine="420" w:firstLineChars="200"/>
        <w:rPr>
          <w:rFonts w:ascii="宋体" w:hAnsi="宋体"/>
          <w:b/>
          <w:snapToGrid w:val="0"/>
          <w:color w:val="auto"/>
          <w:kern w:val="0"/>
          <w:szCs w:val="21"/>
          <w:highlight w:val="none"/>
          <w:u w:val="single"/>
        </w:rPr>
      </w:pPr>
      <w:r>
        <w:rPr>
          <w:rFonts w:hint="eastAsia" w:ascii="宋体" w:hAnsi="宋体"/>
          <w:snapToGrid w:val="0"/>
          <w:color w:val="auto"/>
          <w:kern w:val="0"/>
          <w:szCs w:val="21"/>
          <w:highlight w:val="none"/>
        </w:rPr>
        <w:t>1.4.1适用于工程的标准规范包括：</w:t>
      </w:r>
      <w:r>
        <w:rPr>
          <w:rFonts w:hint="eastAsia" w:ascii="宋体" w:hAnsi="宋体" w:cs="宋体"/>
          <w:b/>
          <w:bCs/>
          <w:color w:val="auto"/>
          <w:szCs w:val="21"/>
          <w:highlight w:val="none"/>
          <w:u w:val="single" w:color="000000"/>
        </w:rPr>
        <w:t>（1）按通用条款约定</w:t>
      </w:r>
      <w:r>
        <w:rPr>
          <w:rFonts w:hint="eastAsia" w:ascii="Arial" w:hAnsi="Arial" w:cs="Arial"/>
          <w:snapToGrid w:val="0"/>
          <w:color w:val="auto"/>
          <w:kern w:val="0"/>
          <w:szCs w:val="21"/>
          <w:highlight w:val="none"/>
          <w:u w:val="single"/>
        </w:rPr>
        <w:t>。</w:t>
      </w:r>
    </w:p>
    <w:p w14:paraId="439C5F70">
      <w:pPr>
        <w:snapToGrid w:val="0"/>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1.4.2 发包人提供国外标准、规范的名称：</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w:t>
      </w:r>
    </w:p>
    <w:p w14:paraId="54B6166B">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发包人提供国外标准、规范的份数：</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w:t>
      </w:r>
    </w:p>
    <w:p w14:paraId="64D7FF18">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发包人提供国外标准、规范的名称：</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w:t>
      </w:r>
    </w:p>
    <w:p w14:paraId="6CADAC51">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1.4.3发包人对工程的技术标准和功能要求的特殊要求：</w:t>
      </w:r>
      <w:r>
        <w:rPr>
          <w:rFonts w:hint="eastAsia" w:ascii="宋体" w:hAnsi="宋体" w:cs="宋体"/>
          <w:color w:val="auto"/>
          <w:szCs w:val="21"/>
          <w:highlight w:val="none"/>
          <w:u w:val="single" w:color="000000"/>
        </w:rPr>
        <w:t>详见设计文件和招标技术要求</w:t>
      </w:r>
      <w:r>
        <w:rPr>
          <w:rFonts w:hint="eastAsia" w:ascii="宋体" w:hAnsi="宋体"/>
          <w:snapToGrid w:val="0"/>
          <w:color w:val="auto"/>
          <w:kern w:val="0"/>
          <w:szCs w:val="21"/>
          <w:highlight w:val="none"/>
        </w:rPr>
        <w:t>。</w:t>
      </w:r>
    </w:p>
    <w:p w14:paraId="4D3BE081">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1.5 合同文件的优先顺序</w:t>
      </w:r>
    </w:p>
    <w:p w14:paraId="5A0D73C8">
      <w:pPr>
        <w:autoSpaceDE w:val="0"/>
        <w:autoSpaceDN w:val="0"/>
        <w:snapToGrid w:val="0"/>
        <w:spacing w:line="360" w:lineRule="auto"/>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合同文件组成及优先顺序为：</w:t>
      </w:r>
    </w:p>
    <w:p w14:paraId="2E9B8D98">
      <w:pPr>
        <w:autoSpaceDE w:val="0"/>
        <w:autoSpaceDN w:val="0"/>
        <w:snapToGrid w:val="0"/>
        <w:spacing w:line="360" w:lineRule="auto"/>
        <w:ind w:firstLine="417" w:firstLineChars="198"/>
        <w:jc w:val="left"/>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（1）合同协议书</w:t>
      </w:r>
      <w:r>
        <w:rPr>
          <w:rFonts w:hint="eastAsia" w:ascii="宋体" w:hAnsi="宋体"/>
          <w:b/>
          <w:snapToGrid w:val="0"/>
          <w:color w:val="auto"/>
          <w:kern w:val="0"/>
          <w:szCs w:val="21"/>
          <w:highlight w:val="none"/>
        </w:rPr>
        <w:t>；</w:t>
      </w:r>
    </w:p>
    <w:p w14:paraId="1F1DF8E4">
      <w:pPr>
        <w:autoSpaceDE w:val="0"/>
        <w:autoSpaceDN w:val="0"/>
        <w:snapToGrid w:val="0"/>
        <w:spacing w:line="360" w:lineRule="auto"/>
        <w:ind w:firstLine="417" w:firstLineChars="198"/>
        <w:jc w:val="left"/>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（2）成交通知书（或项目发承包基本情况表）</w:t>
      </w:r>
      <w:r>
        <w:rPr>
          <w:rFonts w:hint="eastAsia" w:ascii="宋体" w:hAnsi="宋体"/>
          <w:b/>
          <w:snapToGrid w:val="0"/>
          <w:color w:val="auto"/>
          <w:kern w:val="0"/>
          <w:szCs w:val="21"/>
          <w:highlight w:val="none"/>
        </w:rPr>
        <w:t>；</w:t>
      </w:r>
    </w:p>
    <w:p w14:paraId="06ED46D9">
      <w:pPr>
        <w:snapToGrid w:val="0"/>
        <w:spacing w:line="360" w:lineRule="auto"/>
        <w:ind w:firstLine="417" w:firstLineChars="198"/>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（3）磋商响应文件及磋商记录（如果有）</w:t>
      </w:r>
      <w:r>
        <w:rPr>
          <w:rFonts w:hint="eastAsia" w:ascii="宋体" w:hAnsi="宋体"/>
          <w:b/>
          <w:snapToGrid w:val="0"/>
          <w:color w:val="auto"/>
          <w:kern w:val="0"/>
          <w:szCs w:val="21"/>
          <w:highlight w:val="none"/>
        </w:rPr>
        <w:t>；</w:t>
      </w:r>
    </w:p>
    <w:p w14:paraId="0673024B">
      <w:pPr>
        <w:autoSpaceDE w:val="0"/>
        <w:autoSpaceDN w:val="0"/>
        <w:snapToGrid w:val="0"/>
        <w:spacing w:line="360" w:lineRule="auto"/>
        <w:ind w:firstLine="417" w:firstLineChars="198"/>
        <w:jc w:val="left"/>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（4）专用合同条款及其附件</w:t>
      </w:r>
      <w:r>
        <w:rPr>
          <w:rFonts w:hint="eastAsia" w:ascii="宋体" w:hAnsi="宋体"/>
          <w:b/>
          <w:snapToGrid w:val="0"/>
          <w:color w:val="auto"/>
          <w:kern w:val="0"/>
          <w:szCs w:val="21"/>
          <w:highlight w:val="none"/>
        </w:rPr>
        <w:t>；</w:t>
      </w:r>
    </w:p>
    <w:p w14:paraId="7F01E886">
      <w:pPr>
        <w:autoSpaceDE w:val="0"/>
        <w:autoSpaceDN w:val="0"/>
        <w:snapToGrid w:val="0"/>
        <w:spacing w:line="360" w:lineRule="auto"/>
        <w:ind w:firstLine="417" w:firstLineChars="198"/>
        <w:jc w:val="left"/>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（5）通用合同条款</w:t>
      </w:r>
      <w:r>
        <w:rPr>
          <w:rFonts w:hint="eastAsia" w:ascii="宋体" w:hAnsi="宋体"/>
          <w:b/>
          <w:snapToGrid w:val="0"/>
          <w:color w:val="auto"/>
          <w:kern w:val="0"/>
          <w:szCs w:val="21"/>
          <w:highlight w:val="none"/>
        </w:rPr>
        <w:t>；</w:t>
      </w:r>
    </w:p>
    <w:p w14:paraId="74FB4C4F">
      <w:pPr>
        <w:snapToGrid w:val="0"/>
        <w:spacing w:line="360" w:lineRule="auto"/>
        <w:ind w:firstLine="417" w:firstLineChars="198"/>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（6）技术标准和要求</w:t>
      </w:r>
      <w:r>
        <w:rPr>
          <w:rFonts w:hint="eastAsia" w:ascii="宋体" w:hAnsi="宋体"/>
          <w:b/>
          <w:snapToGrid w:val="0"/>
          <w:color w:val="auto"/>
          <w:kern w:val="0"/>
          <w:szCs w:val="21"/>
          <w:highlight w:val="none"/>
        </w:rPr>
        <w:t>；</w:t>
      </w:r>
    </w:p>
    <w:p w14:paraId="418895F4">
      <w:pPr>
        <w:snapToGrid w:val="0"/>
        <w:spacing w:line="360" w:lineRule="auto"/>
        <w:ind w:firstLine="417" w:firstLineChars="198"/>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（7）图纸（如有） ；</w:t>
      </w:r>
    </w:p>
    <w:p w14:paraId="65AFEC8E">
      <w:pPr>
        <w:snapToGrid w:val="0"/>
        <w:spacing w:line="360" w:lineRule="auto"/>
        <w:ind w:firstLine="417" w:firstLineChars="198"/>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（8）已标价工程量清单或预算书</w:t>
      </w:r>
      <w:r>
        <w:rPr>
          <w:rFonts w:hint="eastAsia" w:ascii="宋体" w:hAnsi="宋体"/>
          <w:b/>
          <w:snapToGrid w:val="0"/>
          <w:color w:val="auto"/>
          <w:kern w:val="0"/>
          <w:szCs w:val="21"/>
          <w:highlight w:val="none"/>
        </w:rPr>
        <w:t>；</w:t>
      </w:r>
    </w:p>
    <w:p w14:paraId="62A4C115">
      <w:pPr>
        <w:snapToGrid w:val="0"/>
        <w:spacing w:line="360" w:lineRule="auto"/>
        <w:ind w:firstLine="417" w:firstLineChars="198"/>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（9）其他合同文件</w:t>
      </w:r>
      <w:r>
        <w:rPr>
          <w:rFonts w:hint="eastAsia" w:ascii="宋体" w:hAnsi="宋体"/>
          <w:b/>
          <w:snapToGrid w:val="0"/>
          <w:color w:val="auto"/>
          <w:kern w:val="0"/>
          <w:szCs w:val="21"/>
          <w:highlight w:val="none"/>
        </w:rPr>
        <w:t>：</w:t>
      </w:r>
    </w:p>
    <w:p w14:paraId="39E7B6A1">
      <w:pPr>
        <w:snapToGrid w:val="0"/>
        <w:spacing w:line="360" w:lineRule="auto"/>
        <w:ind w:firstLine="417" w:firstLineChars="198"/>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①施工组织设计</w:t>
      </w:r>
      <w:r>
        <w:rPr>
          <w:rFonts w:hint="eastAsia" w:ascii="宋体" w:hAnsi="宋体"/>
          <w:b/>
          <w:snapToGrid w:val="0"/>
          <w:color w:val="auto"/>
          <w:kern w:val="0"/>
          <w:szCs w:val="21"/>
          <w:highlight w:val="none"/>
        </w:rPr>
        <w:t>；</w:t>
      </w:r>
    </w:p>
    <w:p w14:paraId="33FA5AC3">
      <w:pPr>
        <w:snapToGrid w:val="0"/>
        <w:spacing w:line="360" w:lineRule="auto"/>
        <w:ind w:firstLine="417" w:firstLineChars="198"/>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 xml:space="preserve">②其他：采购文件（含采购工程量清单）及采购答疑（如果有）。      </w:t>
      </w:r>
    </w:p>
    <w:p w14:paraId="0E7556D6">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1.6 图纸和承包人文件</w:t>
      </w:r>
      <w:r>
        <w:rPr>
          <w:rFonts w:hint="eastAsia" w:ascii="宋体" w:hAnsi="宋体" w:cs="宋体"/>
          <w:color w:val="auto"/>
          <w:szCs w:val="21"/>
          <w:highlight w:val="none"/>
        </w:rPr>
        <w:tab/>
      </w:r>
    </w:p>
    <w:p w14:paraId="589A507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 图纸的提供</w:t>
      </w:r>
    </w:p>
    <w:p w14:paraId="6C3B088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发包人向承包人提供图纸的期限：</w:t>
      </w:r>
      <w:r>
        <w:rPr>
          <w:rFonts w:hint="eastAsia" w:ascii="宋体" w:hAnsi="宋体" w:cs="宋体"/>
          <w:color w:val="auto"/>
          <w:szCs w:val="21"/>
          <w:highlight w:val="none"/>
          <w:u w:val="single" w:color="000000"/>
        </w:rPr>
        <w:t>合同签订五个工作日内，并组织有关人员对承包人进行技术交底</w:t>
      </w:r>
      <w:r>
        <w:rPr>
          <w:rFonts w:hint="eastAsia" w:ascii="宋体" w:hAnsi="宋体" w:cs="宋体"/>
          <w:color w:val="auto"/>
          <w:szCs w:val="21"/>
          <w:highlight w:val="none"/>
        </w:rPr>
        <w:t>；</w:t>
      </w:r>
    </w:p>
    <w:p w14:paraId="449D0F0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发包人向承包人提供图纸的数量：</w:t>
      </w:r>
      <w:r>
        <w:rPr>
          <w:rFonts w:hint="eastAsia" w:ascii="宋体" w:hAnsi="宋体" w:cs="宋体"/>
          <w:color w:val="auto"/>
          <w:szCs w:val="21"/>
          <w:highlight w:val="none"/>
          <w:u w:val="single" w:color="000000"/>
        </w:rPr>
        <w:t>合同签订后提供8套施工图（其中4套做竣工图用，移交</w:t>
      </w:r>
      <w:r>
        <w:rPr>
          <w:rFonts w:hint="eastAsia" w:ascii="宋体" w:hAnsi="宋体" w:cs="宋体"/>
          <w:color w:val="auto"/>
          <w:szCs w:val="21"/>
          <w:highlight w:val="none"/>
          <w:u w:val="single" w:color="000000"/>
          <w:lang w:eastAsia="zh-CN"/>
        </w:rPr>
        <w:t>发包人</w:t>
      </w:r>
      <w:r>
        <w:rPr>
          <w:rFonts w:hint="eastAsia" w:ascii="宋体" w:hAnsi="宋体" w:cs="宋体"/>
          <w:color w:val="auto"/>
          <w:szCs w:val="21"/>
          <w:highlight w:val="none"/>
          <w:u w:val="single" w:color="000000"/>
        </w:rPr>
        <w:t>）。</w:t>
      </w:r>
      <w:r>
        <w:rPr>
          <w:rFonts w:hint="eastAsia" w:ascii="宋体" w:hAnsi="宋体" w:cs="宋体"/>
          <w:color w:val="auto"/>
          <w:szCs w:val="21"/>
          <w:highlight w:val="none"/>
          <w:u w:val="single" w:color="000000"/>
          <w:lang w:eastAsia="zh-CN"/>
        </w:rPr>
        <w:t>承包人</w:t>
      </w:r>
      <w:r>
        <w:rPr>
          <w:rFonts w:hint="eastAsia" w:ascii="宋体" w:hAnsi="宋体" w:cs="宋体"/>
          <w:color w:val="auto"/>
          <w:szCs w:val="21"/>
          <w:highlight w:val="none"/>
          <w:u w:val="single" w:color="000000"/>
        </w:rPr>
        <w:t>如需增加图纸份数，</w:t>
      </w:r>
      <w:r>
        <w:rPr>
          <w:rFonts w:hint="eastAsia" w:ascii="宋体" w:hAnsi="宋体" w:cs="宋体"/>
          <w:color w:val="auto"/>
          <w:szCs w:val="21"/>
          <w:highlight w:val="none"/>
          <w:u w:val="single" w:color="000000"/>
          <w:lang w:eastAsia="zh-CN"/>
        </w:rPr>
        <w:t>发包人</w:t>
      </w:r>
      <w:r>
        <w:rPr>
          <w:rFonts w:hint="eastAsia" w:ascii="宋体" w:hAnsi="宋体" w:cs="宋体"/>
          <w:color w:val="auto"/>
          <w:szCs w:val="21"/>
          <w:highlight w:val="none"/>
          <w:u w:val="single" w:color="000000"/>
        </w:rPr>
        <w:t>可代为复制，复制费用由</w:t>
      </w:r>
      <w:r>
        <w:rPr>
          <w:rFonts w:hint="eastAsia" w:ascii="宋体" w:hAnsi="宋体" w:cs="宋体"/>
          <w:color w:val="auto"/>
          <w:szCs w:val="21"/>
          <w:highlight w:val="none"/>
          <w:u w:val="single" w:color="000000"/>
          <w:lang w:eastAsia="zh-CN"/>
        </w:rPr>
        <w:t>承包人</w:t>
      </w:r>
      <w:r>
        <w:rPr>
          <w:rFonts w:hint="eastAsia" w:ascii="宋体" w:hAnsi="宋体" w:cs="宋体"/>
          <w:color w:val="auto"/>
          <w:szCs w:val="21"/>
          <w:highlight w:val="none"/>
          <w:u w:val="single" w:color="000000"/>
        </w:rPr>
        <w:t>承担。</w:t>
      </w:r>
      <w:r>
        <w:rPr>
          <w:rFonts w:hint="eastAsia" w:ascii="宋体" w:hAnsi="宋体" w:cs="宋体"/>
          <w:color w:val="auto"/>
          <w:szCs w:val="21"/>
          <w:highlight w:val="none"/>
        </w:rPr>
        <w:t>；</w:t>
      </w:r>
    </w:p>
    <w:p w14:paraId="251838F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发包人向承包人提供图纸的内容：</w:t>
      </w:r>
      <w:r>
        <w:rPr>
          <w:rFonts w:hint="eastAsia" w:ascii="宋体" w:hAnsi="宋体" w:cs="宋体"/>
          <w:color w:val="auto"/>
          <w:szCs w:val="21"/>
          <w:highlight w:val="none"/>
          <w:u w:val="single" w:color="000000"/>
        </w:rPr>
        <w:t>施工图（详见签收表）</w:t>
      </w:r>
      <w:r>
        <w:rPr>
          <w:rFonts w:hint="eastAsia" w:ascii="宋体" w:hAnsi="宋体" w:cs="宋体"/>
          <w:color w:val="auto"/>
          <w:szCs w:val="21"/>
          <w:highlight w:val="none"/>
        </w:rPr>
        <w:t>。</w:t>
      </w:r>
    </w:p>
    <w:p w14:paraId="07F5137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1.6.4 承包人文件</w:t>
      </w:r>
    </w:p>
    <w:p w14:paraId="5BEB689B">
      <w:pPr>
        <w:snapToGrid w:val="0"/>
        <w:spacing w:line="360" w:lineRule="auto"/>
        <w:ind w:left="596" w:leftChars="284"/>
        <w:jc w:val="left"/>
        <w:rPr>
          <w:rFonts w:ascii="宋体" w:hAnsi="宋体" w:cs="宋体"/>
          <w:color w:val="auto"/>
          <w:szCs w:val="21"/>
          <w:highlight w:val="none"/>
        </w:rPr>
      </w:pPr>
      <w:r>
        <w:rPr>
          <w:rFonts w:hint="eastAsia" w:ascii="宋体" w:hAnsi="宋体" w:cs="宋体"/>
          <w:color w:val="auto"/>
          <w:szCs w:val="21"/>
          <w:highlight w:val="none"/>
        </w:rPr>
        <w:t>需要由承包人提供的文件，包括</w:t>
      </w:r>
      <w:r>
        <w:rPr>
          <w:rFonts w:hint="eastAsia" w:ascii="宋体" w:hAnsi="宋体" w:cs="宋体"/>
          <w:color w:val="auto"/>
          <w:szCs w:val="21"/>
          <w:highlight w:val="none"/>
          <w:u w:val="single" w:color="000000"/>
        </w:rPr>
        <w:t>与施工有关的一切必要文件。包括本工程适用的国家现行的设计规范、国家现行的施工规范、国家现行的验收规范、国家现行的质量验评标准及国家及地方现行施工验收及施工安全技术规范等</w:t>
      </w:r>
      <w:r>
        <w:rPr>
          <w:rFonts w:hint="eastAsia" w:ascii="宋体" w:hAnsi="宋体" w:cs="宋体"/>
          <w:color w:val="auto"/>
          <w:szCs w:val="21"/>
          <w:highlight w:val="none"/>
          <w:u w:color="000000"/>
        </w:rPr>
        <w:t>；</w:t>
      </w:r>
      <w:r>
        <w:rPr>
          <w:rFonts w:hint="eastAsia" w:ascii="宋体" w:hAnsi="宋体" w:cs="宋体"/>
          <w:color w:val="auto"/>
          <w:szCs w:val="21"/>
          <w:highlight w:val="none"/>
          <w:u w:val="single" w:color="000000"/>
        </w:rPr>
        <w:t>对危险性较大的分部分项工程，投标人需提供与自身报价相应的安全专项施工方案</w:t>
      </w:r>
      <w:r>
        <w:rPr>
          <w:rFonts w:hint="eastAsia" w:ascii="宋体" w:hAnsi="宋体" w:cs="宋体"/>
          <w:color w:val="auto"/>
          <w:szCs w:val="21"/>
          <w:highlight w:val="none"/>
        </w:rPr>
        <w:t>；</w:t>
      </w:r>
    </w:p>
    <w:p w14:paraId="64A0BAD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承包人提供的文件的期限为：</w:t>
      </w:r>
      <w:r>
        <w:rPr>
          <w:rFonts w:hint="eastAsia" w:ascii="宋体" w:hAnsi="宋体" w:cs="宋体"/>
          <w:color w:val="auto"/>
          <w:szCs w:val="21"/>
          <w:highlight w:val="none"/>
          <w:u w:val="single" w:color="000000"/>
        </w:rPr>
        <w:t>发包人提出要求后7天内</w:t>
      </w:r>
      <w:r>
        <w:rPr>
          <w:rFonts w:hint="eastAsia" w:ascii="宋体" w:hAnsi="宋体" w:cs="宋体"/>
          <w:color w:val="auto"/>
          <w:szCs w:val="21"/>
          <w:highlight w:val="none"/>
        </w:rPr>
        <w:t>；</w:t>
      </w:r>
    </w:p>
    <w:p w14:paraId="4BEFED2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承包人提供的文件的数量为：</w:t>
      </w:r>
      <w:r>
        <w:rPr>
          <w:rFonts w:hint="eastAsia" w:ascii="宋体" w:hAnsi="宋体" w:cs="宋体"/>
          <w:color w:val="auto"/>
          <w:szCs w:val="21"/>
          <w:highlight w:val="none"/>
          <w:u w:val="single" w:color="000000"/>
        </w:rPr>
        <w:t>双方协商确定</w:t>
      </w:r>
      <w:r>
        <w:rPr>
          <w:rFonts w:hint="eastAsia" w:ascii="宋体" w:hAnsi="宋体" w:cs="宋体"/>
          <w:color w:val="auto"/>
          <w:szCs w:val="21"/>
          <w:highlight w:val="none"/>
        </w:rPr>
        <w:t>；</w:t>
      </w:r>
    </w:p>
    <w:p w14:paraId="334133D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承包人提供的文件的形式为：</w:t>
      </w:r>
      <w:r>
        <w:rPr>
          <w:rFonts w:hint="eastAsia" w:ascii="宋体" w:hAnsi="宋体" w:cs="宋体"/>
          <w:color w:val="auto"/>
          <w:szCs w:val="21"/>
          <w:highlight w:val="none"/>
          <w:u w:val="single" w:color="000000"/>
        </w:rPr>
        <w:t>按发包人要求</w:t>
      </w:r>
      <w:r>
        <w:rPr>
          <w:rFonts w:hint="eastAsia" w:ascii="宋体" w:hAnsi="宋体" w:cs="宋体"/>
          <w:color w:val="auto"/>
          <w:szCs w:val="21"/>
          <w:highlight w:val="none"/>
        </w:rPr>
        <w:t>；</w:t>
      </w:r>
    </w:p>
    <w:p w14:paraId="57F89C9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发包人审批承包人文件的期限：</w:t>
      </w:r>
      <w:r>
        <w:rPr>
          <w:rFonts w:hint="eastAsia" w:ascii="宋体" w:hAnsi="宋体" w:cs="宋体"/>
          <w:color w:val="auto"/>
          <w:szCs w:val="21"/>
          <w:highlight w:val="none"/>
          <w:u w:val="single" w:color="000000"/>
        </w:rPr>
        <w:t>收到文件后7天内</w:t>
      </w:r>
      <w:r>
        <w:rPr>
          <w:rFonts w:hint="eastAsia" w:ascii="宋体" w:hAnsi="宋体" w:cs="宋体"/>
          <w:color w:val="auto"/>
          <w:szCs w:val="21"/>
          <w:highlight w:val="none"/>
        </w:rPr>
        <w:t>。</w:t>
      </w:r>
    </w:p>
    <w:p w14:paraId="4A48334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1.6.5 现场图纸准备</w:t>
      </w:r>
    </w:p>
    <w:p w14:paraId="72929C9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关于现场图纸准备的约定：</w:t>
      </w:r>
      <w:r>
        <w:rPr>
          <w:rFonts w:hint="eastAsia" w:ascii="宋体" w:hAnsi="宋体" w:cs="宋体"/>
          <w:color w:val="auto"/>
          <w:szCs w:val="21"/>
          <w:highlight w:val="none"/>
          <w:u w:val="single" w:color="000000"/>
        </w:rPr>
        <w:t>承包人应在施工现场另外保存一套完整的图纸和承包人文件，供发包人、监理人及有关人员进行工程检查时使用</w:t>
      </w:r>
      <w:r>
        <w:rPr>
          <w:rFonts w:hint="eastAsia" w:ascii="宋体" w:hAnsi="宋体" w:cs="宋体"/>
          <w:color w:val="auto"/>
          <w:szCs w:val="21"/>
          <w:highlight w:val="none"/>
        </w:rPr>
        <w:t>。</w:t>
      </w:r>
    </w:p>
    <w:p w14:paraId="75EDEFE6">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1.7 联络</w:t>
      </w:r>
    </w:p>
    <w:p w14:paraId="34EEB774">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1.7.1发包人和承包人应当在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天内将与合同有关的通知、批准、证明、证书、指示、指令、要求、请求、同意、意见、确定和决定等书面函件送达对方当事人。</w:t>
      </w:r>
    </w:p>
    <w:p w14:paraId="643FD3D7">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1.7.2 发包人接收文件的地点：</w:t>
      </w:r>
      <w:r>
        <w:rPr>
          <w:rFonts w:hint="eastAsia" w:ascii="宋体" w:hAnsi="宋体" w:cs="宋体"/>
          <w:color w:val="auto"/>
          <w:szCs w:val="21"/>
          <w:highlight w:val="none"/>
          <w:u w:val="single" w:color="000000"/>
        </w:rPr>
        <w:t>发包人现场办公室</w:t>
      </w:r>
      <w:r>
        <w:rPr>
          <w:rFonts w:hint="eastAsia" w:ascii="宋体" w:hAnsi="宋体" w:cs="宋体"/>
          <w:color w:val="auto"/>
          <w:kern w:val="0"/>
          <w:szCs w:val="21"/>
          <w:highlight w:val="none"/>
        </w:rPr>
        <w:t>；</w:t>
      </w:r>
    </w:p>
    <w:p w14:paraId="3E6376B0">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发包人指定的接收人为：</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待定</w:t>
      </w:r>
      <w:r>
        <w:rPr>
          <w:rFonts w:hint="eastAsia" w:ascii="宋体" w:hAnsi="宋体" w:cs="宋体"/>
          <w:color w:val="auto"/>
          <w:szCs w:val="21"/>
          <w:highlight w:val="none"/>
          <w:u w:val="single"/>
        </w:rPr>
        <w:t>               </w:t>
      </w:r>
      <w:r>
        <w:rPr>
          <w:rFonts w:hint="eastAsia" w:ascii="宋体" w:hAnsi="宋体" w:cs="宋体"/>
          <w:color w:val="auto"/>
          <w:kern w:val="0"/>
          <w:szCs w:val="21"/>
          <w:highlight w:val="none"/>
        </w:rPr>
        <w:t>。</w:t>
      </w:r>
    </w:p>
    <w:p w14:paraId="4CCA9E4A">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承包人接收文件的地点：</w:t>
      </w:r>
      <w:r>
        <w:rPr>
          <w:rFonts w:hint="eastAsia" w:ascii="宋体" w:hAnsi="宋体" w:cs="宋体"/>
          <w:color w:val="auto"/>
          <w:szCs w:val="21"/>
          <w:highlight w:val="none"/>
          <w:u w:val="single" w:color="000000"/>
        </w:rPr>
        <w:t>承包人现场办公室</w:t>
      </w:r>
      <w:r>
        <w:rPr>
          <w:rFonts w:hint="eastAsia" w:ascii="宋体" w:hAnsi="宋体" w:cs="宋体"/>
          <w:color w:val="auto"/>
          <w:kern w:val="0"/>
          <w:szCs w:val="21"/>
          <w:highlight w:val="none"/>
        </w:rPr>
        <w:t>；</w:t>
      </w:r>
    </w:p>
    <w:p w14:paraId="4AC46A33">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承包人指定的接收人为：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待定</w:t>
      </w:r>
      <w:r>
        <w:rPr>
          <w:rFonts w:hint="eastAsia" w:ascii="宋体" w:hAnsi="宋体" w:cs="宋体"/>
          <w:color w:val="auto"/>
          <w:szCs w:val="21"/>
          <w:highlight w:val="none"/>
          <w:u w:val="single"/>
        </w:rPr>
        <w:t>            </w:t>
      </w:r>
      <w:r>
        <w:rPr>
          <w:rFonts w:hint="eastAsia" w:ascii="宋体" w:hAnsi="宋体" w:cs="宋体"/>
          <w:color w:val="auto"/>
          <w:kern w:val="0"/>
          <w:szCs w:val="21"/>
          <w:highlight w:val="none"/>
        </w:rPr>
        <w:t>。</w:t>
      </w:r>
    </w:p>
    <w:p w14:paraId="26C1CA89">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监理人接收文件的地点：</w:t>
      </w:r>
      <w:r>
        <w:rPr>
          <w:rFonts w:hint="eastAsia" w:ascii="宋体" w:hAnsi="宋体" w:cs="宋体"/>
          <w:color w:val="auto"/>
          <w:szCs w:val="21"/>
          <w:highlight w:val="none"/>
          <w:u w:val="single" w:color="000000"/>
        </w:rPr>
        <w:t>监理人现场办公室</w:t>
      </w:r>
      <w:r>
        <w:rPr>
          <w:rFonts w:hint="eastAsia" w:ascii="宋体" w:hAnsi="宋体" w:cs="宋体"/>
          <w:color w:val="auto"/>
          <w:kern w:val="0"/>
          <w:szCs w:val="21"/>
          <w:highlight w:val="none"/>
        </w:rPr>
        <w:t>；</w:t>
      </w:r>
    </w:p>
    <w:p w14:paraId="51A8C323">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监理人指定的接收人为：</w:t>
      </w:r>
      <w:r>
        <w:rPr>
          <w:rFonts w:hint="eastAsia" w:ascii="宋体" w:hAnsi="宋体" w:cs="宋体"/>
          <w:color w:val="auto"/>
          <w:szCs w:val="21"/>
          <w:highlight w:val="none"/>
          <w:u w:val="single"/>
        </w:rPr>
        <w:t> </w:t>
      </w:r>
      <w:r>
        <w:rPr>
          <w:rFonts w:hint="eastAsia" w:ascii="宋体" w:hAnsi="宋体" w:cs="宋体"/>
          <w:color w:val="auto"/>
          <w:szCs w:val="21"/>
          <w:highlight w:val="none"/>
          <w:u w:val="single"/>
          <w:lang w:val="en-US" w:eastAsia="zh-CN"/>
        </w:rPr>
        <w:t>待定</w:t>
      </w:r>
      <w:r>
        <w:rPr>
          <w:rFonts w:hint="eastAsia" w:ascii="宋体" w:hAnsi="宋体" w:cs="宋体"/>
          <w:color w:val="auto"/>
          <w:szCs w:val="21"/>
          <w:highlight w:val="none"/>
          <w:u w:val="single"/>
        </w:rPr>
        <w:t>           </w:t>
      </w:r>
      <w:r>
        <w:rPr>
          <w:rFonts w:hint="eastAsia" w:ascii="宋体" w:hAnsi="宋体" w:cs="宋体"/>
          <w:color w:val="auto"/>
          <w:kern w:val="0"/>
          <w:szCs w:val="21"/>
          <w:highlight w:val="none"/>
        </w:rPr>
        <w:t>。</w:t>
      </w:r>
    </w:p>
    <w:p w14:paraId="116A88CB">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1.10 交通运输</w:t>
      </w:r>
    </w:p>
    <w:p w14:paraId="5604BAA4">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1</w:t>
      </w:r>
      <w:bookmarkStart w:id="471" w:name="_Toc318581155"/>
      <w:bookmarkStart w:id="472" w:name="_Toc303539100"/>
      <w:bookmarkStart w:id="473" w:name="_Toc304295521"/>
      <w:bookmarkStart w:id="474" w:name="_Toc312677986"/>
      <w:bookmarkStart w:id="475" w:name="_Toc300934943"/>
      <w:r>
        <w:rPr>
          <w:rFonts w:hint="eastAsia" w:ascii="宋体" w:hAnsi="宋体" w:cs="宋体"/>
          <w:color w:val="auto"/>
          <w:szCs w:val="21"/>
          <w:highlight w:val="none"/>
        </w:rPr>
        <w:t>.10.1 出入现场的权利</w:t>
      </w:r>
    </w:p>
    <w:p w14:paraId="2960B615">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关于出入现场的权利的约定：</w:t>
      </w:r>
      <w:r>
        <w:rPr>
          <w:rFonts w:hint="eastAsia" w:ascii="宋体" w:hAnsi="宋体" w:cs="宋体"/>
          <w:color w:val="auto"/>
          <w:szCs w:val="21"/>
          <w:highlight w:val="none"/>
          <w:u w:val="single" w:color="000000"/>
        </w:rPr>
        <w:t>按《通用合同条款》执行</w:t>
      </w:r>
      <w:r>
        <w:rPr>
          <w:rFonts w:hint="eastAsia" w:ascii="宋体" w:hAnsi="宋体" w:cs="宋体"/>
          <w:color w:val="auto"/>
          <w:szCs w:val="21"/>
          <w:highlight w:val="none"/>
        </w:rPr>
        <w:t>。</w:t>
      </w:r>
    </w:p>
    <w:bookmarkEnd w:id="471"/>
    <w:bookmarkEnd w:id="472"/>
    <w:bookmarkEnd w:id="473"/>
    <w:bookmarkEnd w:id="474"/>
    <w:bookmarkEnd w:id="475"/>
    <w:p w14:paraId="327E6BFA">
      <w:pPr>
        <w:snapToGrid w:val="0"/>
        <w:spacing w:line="360" w:lineRule="auto"/>
        <w:ind w:firstLine="420" w:firstLineChars="200"/>
        <w:jc w:val="left"/>
        <w:outlineLvl w:val="0"/>
        <w:rPr>
          <w:rFonts w:ascii="宋体" w:hAnsi="宋体" w:cs="宋体"/>
          <w:color w:val="auto"/>
          <w:szCs w:val="21"/>
          <w:highlight w:val="none"/>
        </w:rPr>
      </w:pPr>
      <w:r>
        <w:rPr>
          <w:rFonts w:hint="eastAsia" w:ascii="宋体" w:hAnsi="宋体" w:cs="宋体"/>
          <w:color w:val="auto"/>
          <w:szCs w:val="21"/>
          <w:highlight w:val="none"/>
        </w:rPr>
        <w:t>1</w:t>
      </w:r>
      <w:bookmarkStart w:id="476" w:name="_Toc303539101"/>
      <w:bookmarkStart w:id="477" w:name="_Toc304295522"/>
      <w:bookmarkStart w:id="478" w:name="_Toc300934944"/>
      <w:bookmarkStart w:id="479" w:name="_Toc312677987"/>
      <w:bookmarkStart w:id="480" w:name="_Toc318581156"/>
      <w:r>
        <w:rPr>
          <w:rFonts w:hint="eastAsia" w:ascii="宋体" w:hAnsi="宋体" w:cs="宋体"/>
          <w:color w:val="auto"/>
          <w:szCs w:val="21"/>
          <w:highlight w:val="none"/>
        </w:rPr>
        <w:t>.10.3 场内交通</w:t>
      </w:r>
    </w:p>
    <w:p w14:paraId="7609D97F">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关于场外交通和场内交通的边界的约定：</w:t>
      </w:r>
      <w:r>
        <w:rPr>
          <w:rFonts w:hint="eastAsia" w:ascii="宋体" w:hAnsi="宋体" w:cs="宋体"/>
          <w:color w:val="auto"/>
          <w:szCs w:val="21"/>
          <w:highlight w:val="none"/>
          <w:u w:val="single" w:color="000000"/>
        </w:rPr>
        <w:t>以施工现场围墙（挡）为界</w:t>
      </w:r>
      <w:r>
        <w:rPr>
          <w:rFonts w:hint="eastAsia" w:ascii="宋体" w:hAnsi="宋体" w:cs="宋体"/>
          <w:color w:val="auto"/>
          <w:szCs w:val="21"/>
          <w:highlight w:val="none"/>
        </w:rPr>
        <w:t>。</w:t>
      </w:r>
    </w:p>
    <w:p w14:paraId="2964AA20">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关于发包人向承包人免费提供满足工程施工需要的场内道路和交通设施的约定：</w:t>
      </w:r>
      <w:r>
        <w:rPr>
          <w:rFonts w:hint="eastAsia" w:ascii="宋体" w:hAnsi="宋体" w:cs="宋体"/>
          <w:color w:val="auto"/>
          <w:szCs w:val="21"/>
          <w:highlight w:val="none"/>
          <w:u w:val="single" w:color="000000"/>
        </w:rPr>
        <w:t>由承包人负责并承担相应费用</w:t>
      </w:r>
      <w:r>
        <w:rPr>
          <w:rFonts w:hint="eastAsia" w:ascii="宋体" w:hAnsi="宋体" w:cs="宋体"/>
          <w:color w:val="auto"/>
          <w:szCs w:val="21"/>
          <w:highlight w:val="none"/>
        </w:rPr>
        <w:t>。</w:t>
      </w:r>
      <w:bookmarkEnd w:id="476"/>
      <w:bookmarkEnd w:id="477"/>
      <w:bookmarkEnd w:id="478"/>
      <w:bookmarkEnd w:id="479"/>
      <w:bookmarkEnd w:id="480"/>
      <w:r>
        <w:rPr>
          <w:rFonts w:hint="eastAsia" w:ascii="宋体" w:hAnsi="宋体" w:cs="宋体"/>
          <w:color w:val="auto"/>
          <w:szCs w:val="21"/>
          <w:highlight w:val="none"/>
        </w:rPr>
        <w:t xml:space="preserve">  </w:t>
      </w:r>
      <w:bookmarkStart w:id="481" w:name="_Toc318581157"/>
    </w:p>
    <w:p w14:paraId="38E34CAA">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1.10.4超大件和超重件的运输</w:t>
      </w:r>
    </w:p>
    <w:p w14:paraId="7E63CABD">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运输超大件或超重件所需的道路和桥梁临时加固改造费用和其他有关费用由</w:t>
      </w:r>
      <w:r>
        <w:rPr>
          <w:rFonts w:hint="eastAsia" w:ascii="宋体" w:hAnsi="宋体" w:cs="宋体"/>
          <w:color w:val="auto"/>
          <w:szCs w:val="21"/>
          <w:highlight w:val="none"/>
          <w:u w:val="single"/>
        </w:rPr>
        <w:t>按</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通用</w:t>
      </w:r>
      <w:r>
        <w:rPr>
          <w:rFonts w:hint="eastAsia" w:ascii="宋体" w:hAnsi="宋体" w:cs="宋体"/>
          <w:color w:val="auto"/>
          <w:szCs w:val="21"/>
          <w:highlight w:val="none"/>
          <w:u w:val="single"/>
          <w:lang w:val="en-US" w:eastAsia="zh-CN"/>
        </w:rPr>
        <w:t>合同</w:t>
      </w:r>
      <w:r>
        <w:rPr>
          <w:rFonts w:hint="eastAsia" w:ascii="宋体" w:hAnsi="宋体" w:cs="宋体"/>
          <w:color w:val="auto"/>
          <w:szCs w:val="21"/>
          <w:highlight w:val="none"/>
          <w:u w:val="single"/>
        </w:rPr>
        <w:t>条款</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执行</w:t>
      </w:r>
      <w:r>
        <w:rPr>
          <w:rFonts w:hint="eastAsia" w:ascii="宋体" w:hAnsi="宋体" w:cs="宋体"/>
          <w:color w:val="auto"/>
          <w:szCs w:val="21"/>
          <w:highlight w:val="none"/>
        </w:rPr>
        <w:t>承担。</w:t>
      </w:r>
    </w:p>
    <w:bookmarkEnd w:id="481"/>
    <w:p w14:paraId="5D8493F2">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1.11 知识产权</w:t>
      </w:r>
    </w:p>
    <w:p w14:paraId="64ED5DB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auto"/>
          <w:szCs w:val="21"/>
          <w:highlight w:val="none"/>
          <w:u w:val="single" w:color="000000"/>
        </w:rPr>
        <w:t>按《通用合同条款》执行</w:t>
      </w:r>
      <w:r>
        <w:rPr>
          <w:rFonts w:hint="eastAsia" w:ascii="宋体" w:hAnsi="宋体" w:cs="宋体"/>
          <w:color w:val="auto"/>
          <w:szCs w:val="21"/>
          <w:highlight w:val="none"/>
        </w:rPr>
        <w:t>。</w:t>
      </w:r>
    </w:p>
    <w:p w14:paraId="231B938A">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关于发包人提供的上述文件的使用限制的要求：</w:t>
      </w:r>
      <w:r>
        <w:rPr>
          <w:rFonts w:hint="eastAsia" w:ascii="宋体" w:hAnsi="宋体" w:cs="宋体"/>
          <w:color w:val="auto"/>
          <w:szCs w:val="21"/>
          <w:highlight w:val="none"/>
          <w:u w:val="single" w:color="000000"/>
        </w:rPr>
        <w:t>按《通用合同条款》执行</w:t>
      </w:r>
      <w:r>
        <w:rPr>
          <w:rFonts w:hint="eastAsia" w:ascii="宋体" w:hAnsi="宋体" w:cs="宋体"/>
          <w:color w:val="auto"/>
          <w:szCs w:val="21"/>
          <w:highlight w:val="none"/>
        </w:rPr>
        <w:t>。</w:t>
      </w:r>
    </w:p>
    <w:p w14:paraId="7A6D55C2">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1.11.2 关于承包人为实施工程所编制文件的著作权的归属：</w:t>
      </w:r>
      <w:r>
        <w:rPr>
          <w:rFonts w:hint="eastAsia" w:ascii="宋体" w:hAnsi="宋体" w:cs="宋体"/>
          <w:color w:val="auto"/>
          <w:szCs w:val="21"/>
          <w:highlight w:val="none"/>
          <w:u w:val="single" w:color="000000"/>
        </w:rPr>
        <w:t>按《通用合同条款》执行</w:t>
      </w:r>
      <w:r>
        <w:rPr>
          <w:rFonts w:hint="eastAsia" w:ascii="宋体" w:hAnsi="宋体" w:cs="宋体"/>
          <w:color w:val="auto"/>
          <w:szCs w:val="21"/>
          <w:highlight w:val="none"/>
        </w:rPr>
        <w:t>。</w:t>
      </w:r>
    </w:p>
    <w:p w14:paraId="074BD584">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关于承包人提供的上述文件的使用限制的要求：</w:t>
      </w:r>
      <w:r>
        <w:rPr>
          <w:rFonts w:hint="eastAsia" w:ascii="宋体" w:hAnsi="宋体" w:cs="宋体"/>
          <w:color w:val="auto"/>
          <w:szCs w:val="21"/>
          <w:highlight w:val="none"/>
          <w:u w:val="single" w:color="000000"/>
        </w:rPr>
        <w:t>按《通用合同条款》执行</w:t>
      </w:r>
      <w:r>
        <w:rPr>
          <w:rFonts w:hint="eastAsia" w:ascii="宋体" w:hAnsi="宋体" w:cs="宋体"/>
          <w:color w:val="auto"/>
          <w:szCs w:val="21"/>
          <w:highlight w:val="none"/>
        </w:rPr>
        <w:t>。</w:t>
      </w:r>
    </w:p>
    <w:p w14:paraId="201F6B72">
      <w:pPr>
        <w:snapToGrid w:val="0"/>
        <w:spacing w:line="360" w:lineRule="auto"/>
        <w:ind w:firstLine="420" w:firstLineChars="200"/>
        <w:outlineLvl w:val="0"/>
        <w:rPr>
          <w:rFonts w:ascii="宋体" w:hAnsi="宋体" w:cs="宋体"/>
          <w:color w:val="auto"/>
          <w:kern w:val="0"/>
          <w:szCs w:val="21"/>
          <w:highlight w:val="none"/>
        </w:rPr>
      </w:pPr>
      <w:r>
        <w:rPr>
          <w:rFonts w:hint="eastAsia" w:ascii="宋体" w:hAnsi="宋体" w:cs="宋体"/>
          <w:color w:val="auto"/>
          <w:szCs w:val="21"/>
          <w:highlight w:val="none"/>
        </w:rPr>
        <w:t>1.11.4 承包人在施工过程中所采用的专利、专有技术、技术秘密的使用费的承担方式：</w:t>
      </w:r>
      <w:r>
        <w:rPr>
          <w:rFonts w:hint="eastAsia" w:ascii="宋体" w:hAnsi="宋体" w:cs="宋体"/>
          <w:b/>
          <w:bCs/>
          <w:color w:val="auto"/>
          <w:szCs w:val="21"/>
          <w:highlight w:val="none"/>
          <w:u w:val="single" w:color="000000"/>
        </w:rPr>
        <w:t>（除发包人指明外）承包人在施工过程中所采用的专利、专有技术、技术秘密的使用费包含在合同价款内</w:t>
      </w:r>
      <w:r>
        <w:rPr>
          <w:rFonts w:hint="eastAsia" w:ascii="宋体" w:hAnsi="宋体" w:cs="宋体"/>
          <w:color w:val="auto"/>
          <w:kern w:val="0"/>
          <w:szCs w:val="21"/>
          <w:highlight w:val="none"/>
        </w:rPr>
        <w:t>。</w:t>
      </w:r>
    </w:p>
    <w:p w14:paraId="170288A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1.13工程量清单错误的修正</w:t>
      </w:r>
    </w:p>
    <w:p w14:paraId="3232A2F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出现工程量清单错误时，是否调整合同价格：</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否</w:t>
      </w:r>
      <w:r>
        <w:rPr>
          <w:rFonts w:hint="eastAsia" w:ascii="宋体" w:hAnsi="宋体" w:cs="宋体"/>
          <w:color w:val="auto"/>
          <w:szCs w:val="21"/>
          <w:highlight w:val="none"/>
          <w:u w:val="single"/>
        </w:rPr>
        <w:t xml:space="preserve">        </w:t>
      </w:r>
      <w:r>
        <w:rPr>
          <w:rFonts w:hint="eastAsia" w:ascii="宋体" w:hAnsi="宋体" w:cs="宋体"/>
          <w:color w:val="auto"/>
          <w:kern w:val="0"/>
          <w:szCs w:val="21"/>
          <w:highlight w:val="none"/>
        </w:rPr>
        <w:t>。</w:t>
      </w:r>
    </w:p>
    <w:p w14:paraId="5C0F2088">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允许调整合同价格的工程量偏差范围：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p w14:paraId="3E31F1AA">
      <w:pPr>
        <w:pStyle w:val="7"/>
        <w:snapToGrid w:val="0"/>
        <w:spacing w:before="0" w:after="0" w:line="360" w:lineRule="auto"/>
        <w:rPr>
          <w:rFonts w:ascii="宋体" w:hAnsi="宋体" w:eastAsia="宋体" w:cs="宋体"/>
          <w:b w:val="0"/>
          <w:color w:val="auto"/>
          <w:sz w:val="21"/>
          <w:szCs w:val="21"/>
          <w:highlight w:val="none"/>
        </w:rPr>
      </w:pPr>
      <w:bookmarkStart w:id="482" w:name="_Toc351203634"/>
      <w:r>
        <w:rPr>
          <w:rFonts w:hint="eastAsia" w:ascii="宋体" w:hAnsi="宋体" w:eastAsia="宋体" w:cs="宋体"/>
          <w:b w:val="0"/>
          <w:color w:val="auto"/>
          <w:sz w:val="21"/>
          <w:szCs w:val="21"/>
          <w:highlight w:val="none"/>
        </w:rPr>
        <w:t>2</w:t>
      </w:r>
      <w:bookmarkStart w:id="483" w:name="_Toc292559867"/>
      <w:bookmarkStart w:id="484" w:name="_Toc296346658"/>
      <w:bookmarkStart w:id="485" w:name="_Toc297120457"/>
      <w:bookmarkStart w:id="486" w:name="_Toc296944496"/>
      <w:bookmarkStart w:id="487" w:name="_Toc296347156"/>
      <w:bookmarkStart w:id="488" w:name="_Toc296890985"/>
      <w:bookmarkStart w:id="489" w:name="_Toc296503157"/>
      <w:bookmarkStart w:id="490" w:name="_Toc296891197"/>
      <w:bookmarkStart w:id="491" w:name="_Toc297048343"/>
      <w:bookmarkStart w:id="492" w:name="_Toc292559362"/>
      <w:r>
        <w:rPr>
          <w:rFonts w:hint="eastAsia" w:ascii="宋体" w:hAnsi="宋体" w:eastAsia="宋体" w:cs="宋体"/>
          <w:b w:val="0"/>
          <w:color w:val="auto"/>
          <w:sz w:val="21"/>
          <w:szCs w:val="21"/>
          <w:highlight w:val="none"/>
        </w:rPr>
        <w:t>. 发包人</w:t>
      </w:r>
      <w:bookmarkEnd w:id="482"/>
    </w:p>
    <w:bookmarkEnd w:id="483"/>
    <w:bookmarkEnd w:id="484"/>
    <w:bookmarkEnd w:id="485"/>
    <w:bookmarkEnd w:id="486"/>
    <w:bookmarkEnd w:id="487"/>
    <w:bookmarkEnd w:id="488"/>
    <w:bookmarkEnd w:id="489"/>
    <w:bookmarkEnd w:id="490"/>
    <w:bookmarkEnd w:id="491"/>
    <w:bookmarkEnd w:id="492"/>
    <w:p w14:paraId="2FFC35E7">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2.2 发包人代表</w:t>
      </w:r>
    </w:p>
    <w:p w14:paraId="10C7855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发包人代表：</w:t>
      </w:r>
    </w:p>
    <w:p w14:paraId="480FB1C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16D6C4A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身份证号：</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529B4C6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职    务：</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6E0B765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   </w:t>
      </w:r>
      <w:r>
        <w:rPr>
          <w:rFonts w:hint="eastAsia" w:ascii="宋体" w:hAnsi="宋体" w:cs="宋体"/>
          <w:color w:val="auto"/>
          <w:szCs w:val="21"/>
          <w:highlight w:val="none"/>
        </w:rPr>
        <w:t>；</w:t>
      </w:r>
    </w:p>
    <w:p w14:paraId="3928368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   </w:t>
      </w:r>
      <w:r>
        <w:rPr>
          <w:rFonts w:hint="eastAsia" w:ascii="宋体" w:hAnsi="宋体" w:cs="宋体"/>
          <w:color w:val="auto"/>
          <w:szCs w:val="21"/>
          <w:highlight w:val="none"/>
        </w:rPr>
        <w:t>；</w:t>
      </w:r>
    </w:p>
    <w:p w14:paraId="4181A9D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2A400B66">
      <w:pPr>
        <w:snapToGrid w:val="0"/>
        <w:spacing w:line="360" w:lineRule="auto"/>
        <w:rPr>
          <w:rFonts w:ascii="宋体" w:hAnsi="宋体" w:cs="宋体"/>
          <w:b/>
          <w:color w:val="auto"/>
          <w:szCs w:val="21"/>
          <w:highlight w:val="none"/>
        </w:rPr>
      </w:pPr>
      <w:r>
        <w:rPr>
          <w:rFonts w:hint="eastAsia" w:ascii="宋体" w:hAnsi="宋体" w:cs="宋体"/>
          <w:color w:val="auto"/>
          <w:szCs w:val="21"/>
          <w:highlight w:val="none"/>
        </w:rPr>
        <w:t>发包人对发包人代表的授权范围如下：</w:t>
      </w:r>
      <w:r>
        <w:rPr>
          <w:rFonts w:hint="eastAsia" w:ascii="宋体" w:hAnsi="宋体" w:cs="宋体"/>
          <w:b/>
          <w:color w:val="auto"/>
          <w:szCs w:val="21"/>
          <w:highlight w:val="none"/>
          <w:u w:val="single"/>
        </w:rPr>
        <w:t>对工程进度、质量、成本及合同执行情况进行监督和检查,负责设计问题的处理，进行设计变更、联系单及工程进度款签证</w:t>
      </w:r>
      <w:r>
        <w:rPr>
          <w:rFonts w:hint="eastAsia" w:ascii="宋体" w:hAnsi="宋体" w:cs="宋体"/>
          <w:color w:val="auto"/>
          <w:szCs w:val="21"/>
          <w:highlight w:val="none"/>
        </w:rPr>
        <w:t>。</w:t>
      </w:r>
    </w:p>
    <w:p w14:paraId="70FBCA6D">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2.4 施工现场、施工条件和基础资料的提供</w:t>
      </w:r>
    </w:p>
    <w:p w14:paraId="7E99EEE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 提供施工现场</w:t>
      </w:r>
    </w:p>
    <w:p w14:paraId="30F9C0AC">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关于发包人移交施工现场的期限要求：</w:t>
      </w:r>
      <w:r>
        <w:rPr>
          <w:rFonts w:hint="eastAsia" w:ascii="宋体" w:hAnsi="宋体" w:cs="宋体"/>
          <w:color w:val="auto"/>
          <w:szCs w:val="21"/>
          <w:highlight w:val="none"/>
          <w:u w:val="single" w:color="000000"/>
        </w:rPr>
        <w:t xml:space="preserve">按通用条款执行 </w:t>
      </w:r>
      <w:r>
        <w:rPr>
          <w:rFonts w:hint="eastAsia" w:ascii="宋体" w:hAnsi="宋体" w:cs="宋体"/>
          <w:color w:val="auto"/>
          <w:szCs w:val="21"/>
          <w:highlight w:val="none"/>
        </w:rPr>
        <w:t>。</w:t>
      </w:r>
    </w:p>
    <w:p w14:paraId="2B9AFAE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2.4.2 提供施工条件</w:t>
      </w:r>
    </w:p>
    <w:p w14:paraId="466CBB1E">
      <w:pP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关于发包人应负责提供施工所需要的条件，包括：</w:t>
      </w:r>
      <w:r>
        <w:rPr>
          <w:rFonts w:hint="eastAsia" w:ascii="宋体" w:hAnsi="宋体" w:cs="宋体"/>
          <w:color w:val="auto"/>
          <w:szCs w:val="21"/>
          <w:highlight w:val="none"/>
          <w:u w:val="single" w:color="000000"/>
        </w:rPr>
        <w:t>除《通用合同条款》2.4.2条规定外，开工日7天前，由发包人组织设计人、承包人、监理单位进行图纸会审，设计人向承包人进行设计交底</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4169627">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2.5 资金来源证明及支付担保</w:t>
      </w:r>
    </w:p>
    <w:p w14:paraId="2ED9BC3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发包人提供资金来源证明的期限要求：</w:t>
      </w:r>
      <w:r>
        <w:rPr>
          <w:rFonts w:hint="eastAsia" w:ascii="宋体" w:hAnsi="宋体" w:cs="宋体"/>
          <w:color w:val="auto"/>
          <w:szCs w:val="21"/>
          <w:highlight w:val="none"/>
          <w:u w:val="single"/>
        </w:rPr>
        <w:t>财政拨款</w:t>
      </w:r>
      <w:r>
        <w:rPr>
          <w:rFonts w:hint="eastAsia" w:ascii="宋体" w:hAnsi="宋体" w:cs="宋体"/>
          <w:color w:val="auto"/>
          <w:szCs w:val="21"/>
          <w:highlight w:val="none"/>
        </w:rPr>
        <w:t>。</w:t>
      </w:r>
    </w:p>
    <w:p w14:paraId="6A8B5D2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发包人是否提供支付担保：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320B2535">
      <w:pP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发包人提供支付担保的形式：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91497A9">
      <w:pPr>
        <w:pStyle w:val="7"/>
        <w:snapToGrid w:val="0"/>
        <w:spacing w:before="0" w:after="0" w:line="360" w:lineRule="auto"/>
        <w:rPr>
          <w:rFonts w:ascii="宋体" w:hAnsi="宋体" w:eastAsia="宋体" w:cs="宋体"/>
          <w:b w:val="0"/>
          <w:color w:val="auto"/>
          <w:sz w:val="21"/>
          <w:szCs w:val="21"/>
          <w:highlight w:val="none"/>
        </w:rPr>
      </w:pPr>
      <w:bookmarkStart w:id="493" w:name="_Toc351203635"/>
      <w:r>
        <w:rPr>
          <w:rFonts w:hint="eastAsia" w:ascii="宋体" w:hAnsi="宋体" w:eastAsia="宋体" w:cs="宋体"/>
          <w:b w:val="0"/>
          <w:color w:val="auto"/>
          <w:sz w:val="21"/>
          <w:szCs w:val="21"/>
          <w:highlight w:val="none"/>
        </w:rPr>
        <w:t>3</w:t>
      </w:r>
      <w:bookmarkStart w:id="494" w:name="_Toc297120458"/>
      <w:bookmarkStart w:id="495" w:name="_Toc296891198"/>
      <w:bookmarkStart w:id="496" w:name="_Toc296503158"/>
      <w:bookmarkStart w:id="497" w:name="_Toc296347157"/>
      <w:bookmarkStart w:id="498" w:name="_Toc296944497"/>
      <w:bookmarkStart w:id="499" w:name="_Toc292559868"/>
      <w:bookmarkStart w:id="500" w:name="_Toc296890986"/>
      <w:bookmarkStart w:id="501" w:name="_Toc296346659"/>
      <w:bookmarkStart w:id="502" w:name="_Toc292559363"/>
      <w:bookmarkStart w:id="503" w:name="_Toc297048344"/>
      <w:r>
        <w:rPr>
          <w:rFonts w:hint="eastAsia" w:ascii="宋体" w:hAnsi="宋体" w:eastAsia="宋体" w:cs="宋体"/>
          <w:b w:val="0"/>
          <w:color w:val="auto"/>
          <w:sz w:val="21"/>
          <w:szCs w:val="21"/>
          <w:highlight w:val="none"/>
        </w:rPr>
        <w:t>. 承包人</w:t>
      </w:r>
      <w:bookmarkEnd w:id="493"/>
    </w:p>
    <w:bookmarkEnd w:id="494"/>
    <w:bookmarkEnd w:id="495"/>
    <w:bookmarkEnd w:id="496"/>
    <w:bookmarkEnd w:id="497"/>
    <w:bookmarkEnd w:id="498"/>
    <w:bookmarkEnd w:id="499"/>
    <w:bookmarkEnd w:id="500"/>
    <w:bookmarkEnd w:id="501"/>
    <w:bookmarkEnd w:id="502"/>
    <w:bookmarkEnd w:id="503"/>
    <w:p w14:paraId="08DC5E8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 承包人的一般义务</w:t>
      </w:r>
    </w:p>
    <w:p w14:paraId="42222B4B">
      <w:pPr>
        <w:snapToGrid w:val="0"/>
        <w:spacing w:line="360" w:lineRule="auto"/>
        <w:jc w:val="left"/>
        <w:rPr>
          <w:rFonts w:ascii="宋体" w:hAnsi="宋体" w:cs="宋体"/>
          <w:color w:val="auto"/>
          <w:szCs w:val="21"/>
          <w:highlight w:val="none"/>
        </w:rPr>
      </w:pPr>
      <w:r>
        <w:rPr>
          <w:rFonts w:hint="eastAsia" w:ascii="宋体" w:hAnsi="宋体" w:cs="宋体"/>
          <w:color w:val="auto"/>
          <w:kern w:val="0"/>
          <w:szCs w:val="21"/>
          <w:highlight w:val="none"/>
        </w:rPr>
        <w:t>（9）</w:t>
      </w:r>
      <w:r>
        <w:rPr>
          <w:rFonts w:hint="eastAsia" w:ascii="宋体" w:hAnsi="宋体" w:cs="宋体"/>
          <w:color w:val="auto"/>
          <w:szCs w:val="21"/>
          <w:highlight w:val="none"/>
        </w:rPr>
        <w:t>承包人提交的竣工资料的内容：</w:t>
      </w:r>
      <w:r>
        <w:rPr>
          <w:rFonts w:hint="eastAsia" w:ascii="宋体" w:hAnsi="宋体" w:cs="宋体"/>
          <w:b/>
          <w:bCs/>
          <w:color w:val="auto"/>
          <w:szCs w:val="21"/>
          <w:highlight w:val="none"/>
          <w:u w:val="single" w:color="000000"/>
        </w:rPr>
        <w:t>工程项目竣工通过验收后，</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需按杭州市规定要求在15个工作日内向</w:t>
      </w:r>
      <w:r>
        <w:rPr>
          <w:rFonts w:hint="eastAsia" w:ascii="宋体" w:hAnsi="宋体" w:cs="宋体"/>
          <w:b/>
          <w:bCs/>
          <w:color w:val="auto"/>
          <w:szCs w:val="21"/>
          <w:highlight w:val="none"/>
          <w:u w:val="single" w:color="000000"/>
          <w:lang w:eastAsia="zh-CN"/>
        </w:rPr>
        <w:t>发包人</w:t>
      </w:r>
      <w:r>
        <w:rPr>
          <w:rFonts w:hint="eastAsia" w:ascii="宋体" w:hAnsi="宋体" w:cs="宋体"/>
          <w:b/>
          <w:bCs/>
          <w:color w:val="auto"/>
          <w:szCs w:val="21"/>
          <w:highlight w:val="none"/>
          <w:u w:val="single" w:color="000000"/>
        </w:rPr>
        <w:t>报送竣工档案，竣工档案资料管理按国家规定及</w:t>
      </w:r>
      <w:r>
        <w:rPr>
          <w:rFonts w:hint="eastAsia" w:ascii="宋体" w:hAnsi="宋体" w:cs="宋体"/>
          <w:b/>
          <w:bCs/>
          <w:color w:val="auto"/>
          <w:szCs w:val="21"/>
          <w:highlight w:val="none"/>
          <w:u w:val="single" w:color="000000"/>
          <w:lang w:eastAsia="zh-CN"/>
        </w:rPr>
        <w:t>发包人</w:t>
      </w:r>
      <w:r>
        <w:rPr>
          <w:rFonts w:hint="eastAsia" w:ascii="宋体" w:hAnsi="宋体" w:cs="宋体"/>
          <w:b/>
          <w:bCs/>
          <w:color w:val="auto"/>
          <w:szCs w:val="21"/>
          <w:highlight w:val="none"/>
          <w:u w:val="single" w:color="000000"/>
        </w:rPr>
        <w:t>的相关文件执行。</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在</w:t>
      </w:r>
      <w:r>
        <w:rPr>
          <w:rFonts w:hint="eastAsia" w:ascii="宋体" w:hAnsi="宋体" w:cs="宋体"/>
          <w:b/>
          <w:bCs/>
          <w:color w:val="auto"/>
          <w:szCs w:val="21"/>
          <w:highlight w:val="none"/>
          <w:u w:val="single" w:color="000000"/>
          <w:lang w:eastAsia="zh-CN"/>
        </w:rPr>
        <w:t>发包人</w:t>
      </w:r>
      <w:r>
        <w:rPr>
          <w:rFonts w:hint="eastAsia" w:ascii="宋体" w:hAnsi="宋体" w:cs="宋体"/>
          <w:b/>
          <w:bCs/>
          <w:color w:val="auto"/>
          <w:szCs w:val="21"/>
          <w:highlight w:val="none"/>
          <w:u w:val="single" w:color="000000"/>
        </w:rPr>
        <w:t>规定期限内整理完成符合要求的竣工资料，每推迟1天,罚</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1000元，扣完为止。</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需另行提供竣工图纸和资料，配合本项目的总体验收。工程结算必须在竣工档案通过验收后方可进行</w:t>
      </w:r>
      <w:r>
        <w:rPr>
          <w:rFonts w:hint="eastAsia" w:ascii="宋体" w:hAnsi="宋体" w:cs="宋体"/>
          <w:color w:val="auto"/>
          <w:szCs w:val="21"/>
          <w:highlight w:val="none"/>
        </w:rPr>
        <w:t>。</w:t>
      </w:r>
    </w:p>
    <w:p w14:paraId="5784108C">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承包人需要提交的竣工资料套数：</w:t>
      </w:r>
      <w:r>
        <w:rPr>
          <w:rFonts w:hint="eastAsia" w:ascii="宋体" w:hAnsi="宋体" w:cs="宋体"/>
          <w:b/>
          <w:bCs/>
          <w:color w:val="auto"/>
          <w:szCs w:val="21"/>
          <w:highlight w:val="none"/>
          <w:u w:val="single" w:color="000000"/>
        </w:rPr>
        <w:t>5套竣工图、3套竣工资料和电子版竣工图及资料光盘一张</w:t>
      </w:r>
      <w:r>
        <w:rPr>
          <w:rFonts w:hint="eastAsia" w:ascii="宋体" w:hAnsi="宋体" w:cs="宋体"/>
          <w:color w:val="auto"/>
          <w:szCs w:val="21"/>
          <w:highlight w:val="none"/>
        </w:rPr>
        <w:t>。</w:t>
      </w:r>
    </w:p>
    <w:p w14:paraId="7EA31998">
      <w:pPr>
        <w:snapToGrid w:val="0"/>
        <w:spacing w:line="360" w:lineRule="auto"/>
        <w:ind w:left="638" w:leftChars="304"/>
        <w:jc w:val="left"/>
        <w:rPr>
          <w:rFonts w:ascii="宋体" w:hAnsi="宋体" w:cs="宋体"/>
          <w:color w:val="auto"/>
          <w:szCs w:val="21"/>
          <w:highlight w:val="none"/>
        </w:rPr>
      </w:pPr>
      <w:r>
        <w:rPr>
          <w:rFonts w:hint="eastAsia" w:ascii="宋体" w:hAnsi="宋体" w:cs="宋体"/>
          <w:color w:val="auto"/>
          <w:szCs w:val="21"/>
          <w:highlight w:val="none"/>
        </w:rPr>
        <w:t>承包人提交的竣工资料的费用承担：</w:t>
      </w:r>
      <w:r>
        <w:rPr>
          <w:rFonts w:hint="eastAsia" w:ascii="宋体" w:hAnsi="宋体" w:cs="宋体"/>
          <w:b/>
          <w:bCs/>
          <w:color w:val="auto"/>
          <w:szCs w:val="21"/>
          <w:highlight w:val="none"/>
          <w:u w:val="single" w:color="000000"/>
        </w:rPr>
        <w:t>由承包人承担</w:t>
      </w:r>
      <w:r>
        <w:rPr>
          <w:rFonts w:hint="eastAsia" w:ascii="宋体" w:hAnsi="宋体" w:cs="宋体"/>
          <w:color w:val="auto"/>
          <w:szCs w:val="21"/>
          <w:highlight w:val="none"/>
        </w:rPr>
        <w:t>。</w:t>
      </w:r>
    </w:p>
    <w:p w14:paraId="1327097E">
      <w:pPr>
        <w:snapToGrid w:val="0"/>
        <w:spacing w:line="360" w:lineRule="auto"/>
        <w:ind w:left="638" w:leftChars="304"/>
        <w:jc w:val="left"/>
        <w:rPr>
          <w:rFonts w:ascii="宋体" w:hAnsi="宋体" w:cs="宋体"/>
          <w:color w:val="auto"/>
          <w:szCs w:val="21"/>
          <w:highlight w:val="none"/>
        </w:rPr>
      </w:pPr>
      <w:r>
        <w:rPr>
          <w:rFonts w:hint="eastAsia" w:ascii="宋体" w:hAnsi="宋体" w:cs="宋体"/>
          <w:color w:val="auto"/>
          <w:szCs w:val="21"/>
          <w:highlight w:val="none"/>
        </w:rPr>
        <w:t>承包人提交的竣工资料移交时间：</w:t>
      </w:r>
      <w:r>
        <w:rPr>
          <w:rFonts w:hint="eastAsia" w:ascii="宋体" w:hAnsi="宋体" w:cs="宋体"/>
          <w:b/>
          <w:bCs/>
          <w:color w:val="auto"/>
          <w:szCs w:val="21"/>
          <w:highlight w:val="none"/>
          <w:u w:val="single" w:color="000000"/>
        </w:rPr>
        <w:t>竣工验收合格后28天内</w:t>
      </w:r>
      <w:r>
        <w:rPr>
          <w:rFonts w:hint="eastAsia" w:ascii="宋体" w:hAnsi="宋体" w:cs="宋体"/>
          <w:color w:val="auto"/>
          <w:szCs w:val="21"/>
          <w:highlight w:val="none"/>
        </w:rPr>
        <w:t>。</w:t>
      </w:r>
    </w:p>
    <w:p w14:paraId="5C85F36F">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承包人提交的竣工资料形式要求：</w:t>
      </w:r>
      <w:r>
        <w:rPr>
          <w:rFonts w:hint="eastAsia" w:ascii="宋体" w:hAnsi="宋体" w:cs="宋体"/>
          <w:b/>
          <w:bCs/>
          <w:color w:val="auto"/>
          <w:szCs w:val="21"/>
          <w:highlight w:val="none"/>
          <w:u w:val="single" w:color="000000"/>
        </w:rPr>
        <w:t>书面形式</w:t>
      </w:r>
      <w:r>
        <w:rPr>
          <w:rFonts w:hint="eastAsia" w:ascii="宋体" w:hAnsi="宋体" w:cs="宋体"/>
          <w:color w:val="auto"/>
          <w:szCs w:val="21"/>
          <w:highlight w:val="none"/>
        </w:rPr>
        <w:t>。</w:t>
      </w:r>
    </w:p>
    <w:p w14:paraId="59E684C9">
      <w:pPr>
        <w:numPr>
          <w:ilvl w:val="0"/>
          <w:numId w:val="6"/>
        </w:num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承包人应履行的其他义务：</w:t>
      </w:r>
    </w:p>
    <w:p w14:paraId="3836AA0E">
      <w:pPr>
        <w:pageBreakBefore w:val="0"/>
        <w:widowControl w:val="0"/>
        <w:numPr>
          <w:ilvl w:val="0"/>
          <w:numId w:val="7"/>
        </w:numPr>
        <w:kinsoku/>
        <w:wordWrap/>
        <w:overflowPunct/>
        <w:topLinePunct w:val="0"/>
        <w:bidi w:val="0"/>
        <w:snapToGrid w:val="0"/>
        <w:spacing w:line="360" w:lineRule="auto"/>
        <w:ind w:left="420" w:leftChars="200" w:firstLine="367" w:firstLineChars="175"/>
        <w:textAlignment w:val="auto"/>
        <w:rPr>
          <w:rFonts w:hint="eastAsia" w:asciiTheme="minorEastAsia" w:hAnsiTheme="minorEastAsia" w:eastAsiaTheme="minorEastAsia" w:cstheme="minorEastAsia"/>
          <w:b w:val="0"/>
          <w:bCs w:val="0"/>
          <w:color w:val="auto"/>
          <w:sz w:val="21"/>
          <w:szCs w:val="21"/>
          <w:highlight w:val="none"/>
          <w:u w:val="single" w:color="000000"/>
        </w:rPr>
      </w:pPr>
      <w:r>
        <w:rPr>
          <w:rFonts w:hint="eastAsia" w:asciiTheme="minorEastAsia" w:hAnsiTheme="minorEastAsia" w:eastAsiaTheme="minorEastAsia" w:cstheme="minorEastAsia"/>
          <w:b w:val="0"/>
          <w:bCs w:val="0"/>
          <w:color w:val="auto"/>
          <w:sz w:val="21"/>
          <w:szCs w:val="21"/>
          <w:highlight w:val="none"/>
          <w:u w:val="single" w:color="000000"/>
        </w:rPr>
        <w:t>应提供计划、报表的名称及完成时间：开工前10天提供施工组织设计及施工详细的工期、质量、安全文明保证措施，并报监理工程师审定，每月25日前向监理工程师提交当月己完成工程量月报表、施工形象月报表、下个月进度计划。</w:t>
      </w:r>
    </w:p>
    <w:p w14:paraId="33FBD9C6">
      <w:pPr>
        <w:pageBreakBefore w:val="0"/>
        <w:widowControl w:val="0"/>
        <w:numPr>
          <w:ilvl w:val="0"/>
          <w:numId w:val="7"/>
        </w:numPr>
        <w:kinsoku/>
        <w:wordWrap/>
        <w:overflowPunct/>
        <w:topLinePunct w:val="0"/>
        <w:bidi w:val="0"/>
        <w:snapToGrid w:val="0"/>
        <w:spacing w:line="360" w:lineRule="auto"/>
        <w:ind w:left="420" w:leftChars="200" w:firstLine="367" w:firstLineChars="175"/>
        <w:textAlignment w:val="auto"/>
        <w:rPr>
          <w:rFonts w:hint="eastAsia" w:asciiTheme="minorEastAsia" w:hAnsiTheme="minorEastAsia" w:eastAsiaTheme="minorEastAsia" w:cstheme="minorEastAsia"/>
          <w:b w:val="0"/>
          <w:bCs w:val="0"/>
          <w:color w:val="auto"/>
          <w:sz w:val="21"/>
          <w:szCs w:val="21"/>
          <w:highlight w:val="none"/>
          <w:u w:val="single" w:color="000000"/>
        </w:rPr>
      </w:pPr>
      <w:r>
        <w:rPr>
          <w:rFonts w:hint="eastAsia" w:asciiTheme="minorEastAsia" w:hAnsiTheme="minorEastAsia" w:eastAsiaTheme="minorEastAsia" w:cstheme="minorEastAsia"/>
          <w:b w:val="0"/>
          <w:bCs w:val="0"/>
          <w:color w:val="auto"/>
          <w:sz w:val="21"/>
          <w:szCs w:val="21"/>
          <w:highlight w:val="none"/>
          <w:u w:val="single" w:color="000000"/>
        </w:rPr>
        <w:t>承担施工安全保卫工作及非夜间施工照明的责任和要求：由承包人负责，并承担相应费用。承办施工暂住人口证手续以及计划生育手续，施工现场的夜间照明线路必须单独敷设。切实履行工地治安，生产安全的责任和义务，并承担所有安全保卫责任以及引起的所有的经济和法律责任，确保安全文明施工。</w:t>
      </w:r>
    </w:p>
    <w:p w14:paraId="5CC04200">
      <w:pPr>
        <w:pageBreakBefore w:val="0"/>
        <w:widowControl w:val="0"/>
        <w:numPr>
          <w:ilvl w:val="0"/>
          <w:numId w:val="7"/>
        </w:numPr>
        <w:kinsoku/>
        <w:wordWrap/>
        <w:overflowPunct/>
        <w:topLinePunct w:val="0"/>
        <w:bidi w:val="0"/>
        <w:snapToGrid w:val="0"/>
        <w:spacing w:line="360" w:lineRule="auto"/>
        <w:ind w:left="420" w:leftChars="200" w:firstLine="367" w:firstLineChars="175"/>
        <w:textAlignment w:val="auto"/>
        <w:rPr>
          <w:rFonts w:hint="eastAsia" w:asciiTheme="minorEastAsia" w:hAnsiTheme="minorEastAsia" w:eastAsiaTheme="minorEastAsia" w:cstheme="minorEastAsia"/>
          <w:b w:val="0"/>
          <w:bCs w:val="0"/>
          <w:color w:val="auto"/>
          <w:sz w:val="21"/>
          <w:szCs w:val="21"/>
          <w:highlight w:val="none"/>
          <w:u w:val="single" w:color="000000"/>
        </w:rPr>
      </w:pPr>
      <w:r>
        <w:rPr>
          <w:rFonts w:hint="eastAsia" w:asciiTheme="minorEastAsia" w:hAnsiTheme="minorEastAsia" w:eastAsiaTheme="minorEastAsia" w:cstheme="minorEastAsia"/>
          <w:b w:val="0"/>
          <w:bCs w:val="0"/>
          <w:color w:val="auto"/>
          <w:sz w:val="21"/>
          <w:szCs w:val="21"/>
          <w:highlight w:val="none"/>
          <w:u w:val="single" w:color="000000"/>
        </w:rPr>
        <w:t>向发包人提供的办公和生活房屋及设施的要求：无</w:t>
      </w:r>
    </w:p>
    <w:p w14:paraId="6B973CD6">
      <w:pPr>
        <w:pageBreakBefore w:val="0"/>
        <w:widowControl w:val="0"/>
        <w:numPr>
          <w:ilvl w:val="0"/>
          <w:numId w:val="7"/>
        </w:numPr>
        <w:kinsoku/>
        <w:wordWrap/>
        <w:overflowPunct/>
        <w:topLinePunct w:val="0"/>
        <w:bidi w:val="0"/>
        <w:snapToGrid w:val="0"/>
        <w:spacing w:line="360" w:lineRule="auto"/>
        <w:ind w:left="420" w:leftChars="200" w:firstLine="367" w:firstLineChars="175"/>
        <w:textAlignment w:val="auto"/>
        <w:rPr>
          <w:rFonts w:hint="eastAsia" w:asciiTheme="minorEastAsia" w:hAnsiTheme="minorEastAsia" w:eastAsiaTheme="minorEastAsia" w:cstheme="minorEastAsia"/>
          <w:b w:val="0"/>
          <w:bCs w:val="0"/>
          <w:color w:val="auto"/>
          <w:sz w:val="21"/>
          <w:szCs w:val="21"/>
          <w:highlight w:val="none"/>
          <w:u w:val="single" w:color="000000"/>
        </w:rPr>
      </w:pPr>
      <w:r>
        <w:rPr>
          <w:rFonts w:hint="eastAsia" w:asciiTheme="minorEastAsia" w:hAnsiTheme="minorEastAsia" w:eastAsiaTheme="minorEastAsia" w:cstheme="minorEastAsia"/>
          <w:b w:val="0"/>
          <w:bCs w:val="0"/>
          <w:color w:val="auto"/>
          <w:sz w:val="21"/>
          <w:szCs w:val="21"/>
          <w:highlight w:val="none"/>
          <w:u w:val="single" w:color="000000"/>
        </w:rPr>
        <w:t>需承包人办理的有关施工场地交通、环卫和施工噪音管理等手续：由承包人按杭州市建委、安监、环保、行政执法、创建办等部门的相关规定实施标化施工管理，并承担相关费用。</w:t>
      </w:r>
    </w:p>
    <w:p w14:paraId="136C3EC4">
      <w:pPr>
        <w:pageBreakBefore w:val="0"/>
        <w:widowControl w:val="0"/>
        <w:numPr>
          <w:ilvl w:val="0"/>
          <w:numId w:val="7"/>
        </w:numPr>
        <w:kinsoku/>
        <w:wordWrap/>
        <w:overflowPunct/>
        <w:topLinePunct w:val="0"/>
        <w:bidi w:val="0"/>
        <w:snapToGrid w:val="0"/>
        <w:spacing w:line="360" w:lineRule="auto"/>
        <w:ind w:left="420" w:leftChars="200" w:firstLine="367" w:firstLineChars="175"/>
        <w:textAlignment w:val="auto"/>
        <w:rPr>
          <w:rFonts w:hint="eastAsia" w:asciiTheme="minorEastAsia" w:hAnsiTheme="minorEastAsia" w:eastAsiaTheme="minorEastAsia" w:cstheme="minorEastAsia"/>
          <w:b w:val="0"/>
          <w:bCs w:val="0"/>
          <w:color w:val="auto"/>
          <w:sz w:val="21"/>
          <w:szCs w:val="21"/>
          <w:highlight w:val="none"/>
          <w:u w:val="single" w:color="000000"/>
        </w:rPr>
      </w:pPr>
      <w:r>
        <w:rPr>
          <w:rFonts w:hint="eastAsia" w:asciiTheme="minorEastAsia" w:hAnsiTheme="minorEastAsia" w:eastAsiaTheme="minorEastAsia" w:cstheme="minorEastAsia"/>
          <w:b w:val="0"/>
          <w:bCs w:val="0"/>
          <w:color w:val="auto"/>
          <w:sz w:val="21"/>
          <w:szCs w:val="21"/>
          <w:highlight w:val="none"/>
          <w:u w:val="single" w:color="000000"/>
        </w:rPr>
        <w:t>已完工程成品保护的特殊要求及费用承担：承包人承担总包范围内工程成品保护与维修的责任及相关费用。</w:t>
      </w:r>
    </w:p>
    <w:p w14:paraId="0F2987EB">
      <w:pPr>
        <w:pageBreakBefore w:val="0"/>
        <w:widowControl w:val="0"/>
        <w:numPr>
          <w:ilvl w:val="0"/>
          <w:numId w:val="7"/>
        </w:numPr>
        <w:kinsoku/>
        <w:wordWrap/>
        <w:overflowPunct/>
        <w:topLinePunct w:val="0"/>
        <w:bidi w:val="0"/>
        <w:snapToGrid w:val="0"/>
        <w:spacing w:line="360" w:lineRule="auto"/>
        <w:ind w:left="420" w:leftChars="200" w:firstLine="367" w:firstLineChars="175"/>
        <w:textAlignment w:val="auto"/>
        <w:rPr>
          <w:rFonts w:hint="eastAsia" w:asciiTheme="minorEastAsia" w:hAnsiTheme="minorEastAsia" w:eastAsiaTheme="minorEastAsia" w:cstheme="minorEastAsia"/>
          <w:b w:val="0"/>
          <w:bCs w:val="0"/>
          <w:color w:val="auto"/>
          <w:sz w:val="21"/>
          <w:szCs w:val="21"/>
          <w:highlight w:val="none"/>
          <w:u w:val="single" w:color="000000"/>
        </w:rPr>
      </w:pPr>
      <w:r>
        <w:rPr>
          <w:rFonts w:hint="eastAsia" w:asciiTheme="minorEastAsia" w:hAnsiTheme="minorEastAsia" w:eastAsiaTheme="minorEastAsia" w:cstheme="minorEastAsia"/>
          <w:b w:val="0"/>
          <w:bCs w:val="0"/>
          <w:color w:val="auto"/>
          <w:sz w:val="21"/>
          <w:szCs w:val="21"/>
          <w:highlight w:val="none"/>
          <w:u w:val="single" w:color="000000"/>
        </w:rPr>
        <w:t>施工场地周围地下管线和邻近建筑物、构筑物（含文物保护建筑）、古树名木的保护要求及费用承担：承包人应做好施工场地周围地下管线和邻近建筑物、构筑物的保护工作并承担费用，除文物、古树名木保护外经发包人认可发生的费用，由发包人承担，其余因施工不当等承包人原因，发生的法律责任和经济损失由承包人承担。</w:t>
      </w:r>
    </w:p>
    <w:p w14:paraId="6696EA0E">
      <w:pPr>
        <w:pageBreakBefore w:val="0"/>
        <w:widowControl w:val="0"/>
        <w:numPr>
          <w:ilvl w:val="0"/>
          <w:numId w:val="7"/>
        </w:numPr>
        <w:kinsoku/>
        <w:wordWrap/>
        <w:overflowPunct/>
        <w:topLinePunct w:val="0"/>
        <w:bidi w:val="0"/>
        <w:snapToGrid w:val="0"/>
        <w:spacing w:line="360" w:lineRule="auto"/>
        <w:ind w:left="420" w:leftChars="200" w:firstLine="367" w:firstLineChars="175"/>
        <w:textAlignment w:val="auto"/>
        <w:rPr>
          <w:rFonts w:hint="eastAsia" w:asciiTheme="minorEastAsia" w:hAnsiTheme="minorEastAsia" w:eastAsiaTheme="minorEastAsia" w:cstheme="minorEastAsia"/>
          <w:b w:val="0"/>
          <w:bCs w:val="0"/>
          <w:color w:val="auto"/>
          <w:sz w:val="21"/>
          <w:szCs w:val="21"/>
          <w:highlight w:val="none"/>
          <w:u w:val="single" w:color="000000"/>
        </w:rPr>
      </w:pPr>
      <w:r>
        <w:rPr>
          <w:rFonts w:hint="eastAsia" w:asciiTheme="minorEastAsia" w:hAnsiTheme="minorEastAsia" w:eastAsiaTheme="minorEastAsia" w:cstheme="minorEastAsia"/>
          <w:b w:val="0"/>
          <w:bCs w:val="0"/>
          <w:color w:val="auto"/>
          <w:sz w:val="21"/>
          <w:szCs w:val="21"/>
          <w:highlight w:val="none"/>
          <w:u w:val="single" w:color="000000"/>
        </w:rPr>
        <w:t>施工场地清洁卫生的要求：每天清扫一次，现场公共部位的清洁工作，工程完工交付3天内现场应清除所有不再需要的临时工程，承包人的设备和多余材料，全部建筑和生活垃圾。</w:t>
      </w:r>
    </w:p>
    <w:p w14:paraId="5F7A8B45">
      <w:pPr>
        <w:pageBreakBefore w:val="0"/>
        <w:widowControl w:val="0"/>
        <w:numPr>
          <w:ilvl w:val="0"/>
          <w:numId w:val="7"/>
        </w:numPr>
        <w:kinsoku/>
        <w:wordWrap/>
        <w:overflowPunct/>
        <w:topLinePunct w:val="0"/>
        <w:bidi w:val="0"/>
        <w:snapToGrid w:val="0"/>
        <w:spacing w:line="360" w:lineRule="auto"/>
        <w:ind w:left="420" w:leftChars="200" w:firstLine="367" w:firstLineChars="175"/>
        <w:textAlignment w:val="auto"/>
        <w:rPr>
          <w:rFonts w:hint="eastAsia" w:asciiTheme="minorEastAsia" w:hAnsiTheme="minorEastAsia" w:eastAsiaTheme="minorEastAsia" w:cstheme="minorEastAsia"/>
          <w:b w:val="0"/>
          <w:bCs w:val="0"/>
          <w:color w:val="auto"/>
          <w:sz w:val="21"/>
          <w:szCs w:val="21"/>
          <w:highlight w:val="none"/>
          <w:u w:val="single" w:color="000000"/>
        </w:rPr>
      </w:pPr>
      <w:r>
        <w:rPr>
          <w:rFonts w:hint="eastAsia" w:asciiTheme="minorEastAsia" w:hAnsiTheme="minorEastAsia" w:eastAsiaTheme="minorEastAsia" w:cstheme="minorEastAsia"/>
          <w:b w:val="0"/>
          <w:bCs w:val="0"/>
          <w:color w:val="auto"/>
          <w:sz w:val="21"/>
          <w:szCs w:val="21"/>
          <w:highlight w:val="none"/>
          <w:u w:val="single" w:color="000000"/>
        </w:rPr>
        <w:t>双方约定承包人应做的其他工作：施工期间，休息时段（早、中、晚）施工场地应不影响周边相关人员正常通行。积极配合发包人要求的其他工作。</w:t>
      </w:r>
    </w:p>
    <w:p w14:paraId="36EF738A">
      <w:pPr>
        <w:pageBreakBefore w:val="0"/>
        <w:widowControl w:val="0"/>
        <w:numPr>
          <w:ilvl w:val="0"/>
          <w:numId w:val="7"/>
        </w:numPr>
        <w:kinsoku/>
        <w:wordWrap/>
        <w:overflowPunct/>
        <w:topLinePunct w:val="0"/>
        <w:bidi w:val="0"/>
        <w:snapToGrid w:val="0"/>
        <w:spacing w:line="360" w:lineRule="auto"/>
        <w:ind w:left="420" w:leftChars="200" w:firstLine="367" w:firstLineChars="175"/>
        <w:textAlignment w:val="auto"/>
        <w:rPr>
          <w:rFonts w:hint="eastAsia" w:ascii="宋体" w:hAnsi="宋体" w:eastAsia="宋体" w:cs="宋体"/>
          <w:color w:val="auto"/>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u w:val="single" w:color="000000"/>
        </w:rPr>
        <w:t>其他：本项目部分施工现场与其他项目施工单位现场重合，承包人能积极配合其他施工单位施工需求。</w:t>
      </w:r>
    </w:p>
    <w:p w14:paraId="7A94E4A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 项目经理</w:t>
      </w:r>
    </w:p>
    <w:p w14:paraId="78FC4F9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 xml:space="preserve">3.2.1 </w:t>
      </w:r>
      <w:r>
        <w:rPr>
          <w:rFonts w:hint="eastAsia" w:ascii="宋体" w:hAnsi="宋体" w:cs="宋体"/>
          <w:color w:val="auto"/>
          <w:szCs w:val="21"/>
          <w:highlight w:val="none"/>
        </w:rPr>
        <w:t>项目经理：</w:t>
      </w:r>
    </w:p>
    <w:p w14:paraId="2AF2F86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1922065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身份证号：</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46AD13F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建造师执业资格等级：</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05B04D8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建造师注册证书号：</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67EF5C0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建造师执业印章号：</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4D3AE5E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安全生产考核合格证书号：</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1B0DD80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5222B2E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2B297BC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40CE6A4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承包人对项目经理的授权范围如下：</w:t>
      </w:r>
      <w:r>
        <w:rPr>
          <w:rFonts w:hint="eastAsia" w:ascii="宋体" w:hAnsi="宋体" w:cs="宋体"/>
          <w:b/>
          <w:bCs/>
          <w:color w:val="auto"/>
          <w:szCs w:val="21"/>
          <w:highlight w:val="none"/>
          <w:u w:val="single" w:color="000000"/>
        </w:rPr>
        <w:t>全面负责本工程的质量、安全、工期及成本控</w:t>
      </w:r>
      <w:r>
        <w:rPr>
          <w:rFonts w:hint="eastAsia" w:ascii="宋体" w:hAnsi="宋体" w:cs="宋体"/>
          <w:color w:val="auto"/>
          <w:szCs w:val="21"/>
          <w:highlight w:val="none"/>
        </w:rPr>
        <w:t>。</w:t>
      </w:r>
    </w:p>
    <w:p w14:paraId="768EAA5B">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关于项目经理每月在施工现场的时间要求：</w:t>
      </w:r>
      <w:r>
        <w:rPr>
          <w:rFonts w:hint="eastAsia" w:ascii="宋体" w:hAnsi="宋体" w:cs="宋体"/>
          <w:b/>
          <w:bCs/>
          <w:color w:val="auto"/>
          <w:szCs w:val="21"/>
          <w:highlight w:val="none"/>
          <w:u w:val="single" w:color="000000"/>
        </w:rPr>
        <w:t>派驻本工程的项目经理承诺不得低于（）%(以合同工期为准)，其他项目管理班子人员100%到位，并必须严格按照投标文件项目班子成员全部到位。若在工程实施过程中到岗、到位率达不到承诺，由发包人没收相应履约保证金，同时按下列标准向发包人支付违约金：承诺项目经理到位率不足时按人民币2000元/天支付违约金；承诺技术负责人、施工负责人到位率不足时按人民币2000元/天支付违约金；承诺施工员、质量员、安全员等管理人员到位率不足时按人民币1000元/天支付违约金，上述扣款在支付工程进度款中逐期扣除</w:t>
      </w:r>
      <w:r>
        <w:rPr>
          <w:rFonts w:hint="eastAsia" w:ascii="宋体" w:hAnsi="宋体" w:cs="宋体"/>
          <w:color w:val="auto"/>
          <w:szCs w:val="21"/>
          <w:highlight w:val="none"/>
        </w:rPr>
        <w:t>。</w:t>
      </w:r>
    </w:p>
    <w:p w14:paraId="3D3E79B3">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承包人未提交劳动合同，以及没有为项目经理缴纳社会保险证明的违约责任：</w:t>
      </w:r>
      <w:r>
        <w:rPr>
          <w:rFonts w:hint="eastAsia" w:ascii="宋体" w:hAnsi="宋体" w:cs="宋体"/>
          <w:b/>
          <w:bCs/>
          <w:color w:val="auto"/>
          <w:szCs w:val="21"/>
          <w:highlight w:val="none"/>
          <w:u w:val="single" w:color="000000"/>
        </w:rPr>
        <w:t>责令承包人改正，并从结算款中扣除 5000元的违约金</w:t>
      </w:r>
      <w:r>
        <w:rPr>
          <w:rFonts w:hint="eastAsia" w:ascii="宋体" w:hAnsi="宋体" w:cs="宋体"/>
          <w:color w:val="auto"/>
          <w:szCs w:val="21"/>
          <w:highlight w:val="none"/>
        </w:rPr>
        <w:t>。</w:t>
      </w:r>
    </w:p>
    <w:p w14:paraId="155898CD">
      <w:pP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kern w:val="0"/>
          <w:szCs w:val="21"/>
          <w:highlight w:val="none"/>
        </w:rPr>
        <w:t>项目经理未经批准，擅自离开施工现场的违约责任：</w:t>
      </w:r>
      <w:r>
        <w:rPr>
          <w:rFonts w:hint="eastAsia" w:ascii="宋体" w:hAnsi="宋体" w:cs="宋体"/>
          <w:b/>
          <w:bCs/>
          <w:color w:val="auto"/>
          <w:szCs w:val="21"/>
          <w:highlight w:val="none"/>
          <w:u w:val="single" w:color="000000"/>
        </w:rPr>
        <w:t>承包人中标</w:t>
      </w:r>
      <w:r>
        <w:rPr>
          <w:rFonts w:hint="eastAsia" w:ascii="宋体" w:hAnsi="宋体" w:cs="宋体"/>
          <w:b/>
          <w:bCs/>
          <w:color w:val="auto"/>
          <w:szCs w:val="21"/>
          <w:highlight w:val="none"/>
          <w:u w:val="single" w:color="000000"/>
          <w:lang w:eastAsia="zh-CN"/>
        </w:rPr>
        <w:t>项目经理</w:t>
      </w:r>
      <w:r>
        <w:rPr>
          <w:rFonts w:hint="eastAsia" w:ascii="宋体" w:hAnsi="宋体" w:cs="宋体"/>
          <w:b/>
          <w:bCs/>
          <w:color w:val="auto"/>
          <w:szCs w:val="21"/>
          <w:highlight w:val="none"/>
          <w:u w:val="single" w:color="000000"/>
        </w:rPr>
        <w:t>施工期间离岗二天以上必须经发包人同意，如发现</w:t>
      </w:r>
      <w:r>
        <w:rPr>
          <w:rFonts w:hint="eastAsia" w:ascii="宋体" w:hAnsi="宋体" w:cs="宋体"/>
          <w:b/>
          <w:bCs/>
          <w:color w:val="auto"/>
          <w:szCs w:val="21"/>
          <w:highlight w:val="none"/>
          <w:u w:val="single" w:color="000000"/>
          <w:lang w:eastAsia="zh-CN"/>
        </w:rPr>
        <w:t>项目经理</w:t>
      </w:r>
      <w:r>
        <w:rPr>
          <w:rFonts w:hint="eastAsia" w:ascii="宋体" w:hAnsi="宋体" w:cs="宋体"/>
          <w:b/>
          <w:bCs/>
          <w:color w:val="auto"/>
          <w:szCs w:val="21"/>
          <w:highlight w:val="none"/>
          <w:u w:val="single" w:color="000000"/>
        </w:rPr>
        <w:t>不在现场组织施工，发包人有权按违约处理，并有权单方中止合同，后果由承包人负责</w:t>
      </w:r>
      <w:r>
        <w:rPr>
          <w:rFonts w:hint="eastAsia" w:ascii="宋体" w:hAnsi="宋体" w:cs="宋体"/>
          <w:color w:val="auto"/>
          <w:szCs w:val="21"/>
          <w:highlight w:val="none"/>
        </w:rPr>
        <w:t>。</w:t>
      </w:r>
    </w:p>
    <w:p w14:paraId="33975380">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3.2.3 承包人擅自更换项目经理的违约责任：</w:t>
      </w:r>
    </w:p>
    <w:p w14:paraId="331DDFA5">
      <w:pPr>
        <w:pageBreakBefore w:val="0"/>
        <w:widowControl w:val="0"/>
        <w:kinsoku/>
        <w:wordWrap/>
        <w:overflowPunct/>
        <w:topLinePunct w:val="0"/>
        <w:bidi w:val="0"/>
        <w:snapToGrid w:val="0"/>
        <w:spacing w:line="360" w:lineRule="auto"/>
        <w:ind w:firstLine="482"/>
        <w:textAlignment w:val="auto"/>
        <w:rPr>
          <w:rFonts w:ascii="宋体" w:hAnsi="宋体" w:cs="宋体"/>
          <w:b/>
          <w:bCs/>
          <w:color w:val="auto"/>
          <w:szCs w:val="21"/>
          <w:highlight w:val="none"/>
          <w:u w:color="000000"/>
        </w:rPr>
      </w:pPr>
      <w:r>
        <w:rPr>
          <w:rFonts w:hint="eastAsia" w:ascii="宋体" w:hAnsi="宋体" w:cs="宋体"/>
          <w:b/>
          <w:bCs/>
          <w:color w:val="auto"/>
          <w:szCs w:val="21"/>
          <w:highlight w:val="none"/>
          <w:u w:color="000000"/>
        </w:rPr>
        <w:t>（1）承包人确需更换项目经理的，继任项目经理注册执业资格、管理经验的约定：</w:t>
      </w:r>
      <w:r>
        <w:rPr>
          <w:rFonts w:hint="eastAsia" w:ascii="宋体" w:hAnsi="宋体" w:cs="宋体"/>
          <w:b/>
          <w:bCs/>
          <w:color w:val="auto"/>
          <w:szCs w:val="21"/>
          <w:highlight w:val="none"/>
          <w:u w:val="single" w:color="000000"/>
        </w:rPr>
        <w:t xml:space="preserve">不得低于原项目经理的注册执业资格、管理经验   </w:t>
      </w:r>
      <w:r>
        <w:rPr>
          <w:rFonts w:hint="eastAsia" w:ascii="宋体" w:hAnsi="宋体" w:cs="宋体"/>
          <w:b/>
          <w:bCs/>
          <w:color w:val="auto"/>
          <w:szCs w:val="21"/>
          <w:highlight w:val="none"/>
          <w:u w:color="000000"/>
        </w:rPr>
        <w:t>。</w:t>
      </w:r>
    </w:p>
    <w:p w14:paraId="4B2BD37B">
      <w:pPr>
        <w:snapToGrid w:val="0"/>
        <w:spacing w:line="360" w:lineRule="auto"/>
        <w:ind w:left="0" w:leftChars="0" w:firstLine="422" w:firstLineChars="200"/>
        <w:outlineLvl w:val="0"/>
        <w:rPr>
          <w:rFonts w:ascii="宋体" w:hAnsi="宋体" w:cs="宋体"/>
          <w:color w:val="auto"/>
          <w:szCs w:val="21"/>
          <w:highlight w:val="none"/>
        </w:rPr>
      </w:pPr>
      <w:r>
        <w:rPr>
          <w:rFonts w:hint="eastAsia" w:ascii="宋体" w:hAnsi="宋体" w:cs="宋体"/>
          <w:b/>
          <w:bCs/>
          <w:color w:val="auto"/>
          <w:szCs w:val="21"/>
          <w:highlight w:val="none"/>
          <w:u w:color="000000"/>
        </w:rPr>
        <w:t>（</w:t>
      </w:r>
      <w:r>
        <w:rPr>
          <w:rFonts w:hint="eastAsia" w:ascii="宋体" w:hAnsi="宋体" w:cs="宋体"/>
          <w:color w:val="auto"/>
          <w:szCs w:val="21"/>
          <w:highlight w:val="none"/>
          <w:u w:color="000000"/>
        </w:rPr>
        <w:t>2</w:t>
      </w:r>
      <w:r>
        <w:rPr>
          <w:rFonts w:hint="eastAsia" w:ascii="宋体" w:hAnsi="宋体" w:cs="宋体"/>
          <w:b/>
          <w:bCs/>
          <w:color w:val="auto"/>
          <w:szCs w:val="21"/>
          <w:highlight w:val="none"/>
          <w:u w:color="000000"/>
        </w:rPr>
        <w:t>）</w:t>
      </w:r>
      <w:r>
        <w:rPr>
          <w:rFonts w:hint="eastAsia" w:ascii="宋体" w:hAnsi="宋体" w:cs="宋体"/>
          <w:color w:val="auto"/>
          <w:szCs w:val="21"/>
          <w:highlight w:val="none"/>
          <w:u w:color="000000"/>
        </w:rPr>
        <w:t>承包人擅自更换项目经理的违约责任：</w:t>
      </w:r>
      <w:r>
        <w:rPr>
          <w:rFonts w:hint="eastAsia" w:ascii="宋体" w:hAnsi="宋体" w:cs="宋体"/>
          <w:b/>
          <w:bCs/>
          <w:color w:val="auto"/>
          <w:szCs w:val="21"/>
          <w:highlight w:val="none"/>
          <w:u w:val="single" w:color="000000"/>
        </w:rPr>
        <w:t>在施工期间不准更换，特殊情况要求更换的项目经理的，须经发包人同意。承包人更换项目经理的将被视为承包人违约，并按照 5000元/人·次付给发包人违约金</w:t>
      </w:r>
      <w:r>
        <w:rPr>
          <w:rFonts w:hint="eastAsia" w:ascii="宋体" w:hAnsi="宋体" w:cs="宋体"/>
          <w:color w:val="auto"/>
          <w:szCs w:val="21"/>
          <w:highlight w:val="none"/>
          <w:u w:color="000000"/>
        </w:rPr>
        <w:t>。</w:t>
      </w:r>
      <w:r>
        <w:rPr>
          <w:rFonts w:hint="eastAsia" w:ascii="宋体" w:hAnsi="宋体" w:cs="宋体"/>
          <w:color w:val="auto"/>
          <w:szCs w:val="21"/>
          <w:highlight w:val="none"/>
        </w:rPr>
        <w:t xml:space="preserve">    3.2.4 承包人无正当理由拒绝更换项目经理的违约责任：</w:t>
      </w:r>
      <w:r>
        <w:rPr>
          <w:rFonts w:hint="eastAsia" w:ascii="宋体" w:hAnsi="宋体" w:cs="宋体"/>
          <w:b/>
          <w:bCs/>
          <w:color w:val="auto"/>
          <w:szCs w:val="21"/>
          <w:highlight w:val="none"/>
          <w:u w:val="single" w:color="000000"/>
        </w:rPr>
        <w:t>扣除全部履约保证金，情节严重的发包人有权单方解除合同</w:t>
      </w:r>
      <w:r>
        <w:rPr>
          <w:rFonts w:hint="eastAsia" w:ascii="宋体" w:hAnsi="宋体" w:cs="宋体"/>
          <w:color w:val="auto"/>
          <w:szCs w:val="21"/>
          <w:highlight w:val="none"/>
        </w:rPr>
        <w:t>。</w:t>
      </w:r>
    </w:p>
    <w:p w14:paraId="2DC94B6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 承包人人员</w:t>
      </w:r>
    </w:p>
    <w:p w14:paraId="1C11A7C9">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3.3.1 承包人提交项目管理机构及施工现场管理人员安排报告的期限：</w:t>
      </w:r>
      <w:r>
        <w:rPr>
          <w:rFonts w:hint="eastAsia" w:ascii="宋体" w:hAnsi="宋体" w:cs="宋体"/>
          <w:color w:val="auto"/>
          <w:szCs w:val="21"/>
          <w:highlight w:val="none"/>
          <w:u w:val="single" w:color="000000"/>
        </w:rPr>
        <w:t xml:space="preserve"> </w:t>
      </w:r>
      <w:r>
        <w:rPr>
          <w:rFonts w:hint="eastAsia" w:ascii="宋体" w:hAnsi="宋体" w:cs="宋体"/>
          <w:b/>
          <w:bCs/>
          <w:color w:val="auto"/>
          <w:szCs w:val="21"/>
          <w:highlight w:val="none"/>
          <w:u w:val="single" w:color="000000"/>
        </w:rPr>
        <w:t>开工后3天内</w:t>
      </w:r>
      <w:r>
        <w:rPr>
          <w:rFonts w:hint="eastAsia" w:ascii="宋体" w:hAnsi="宋体" w:cs="宋体"/>
          <w:color w:val="auto"/>
          <w:szCs w:val="21"/>
          <w:highlight w:val="none"/>
        </w:rPr>
        <w:t>。</w:t>
      </w:r>
    </w:p>
    <w:p w14:paraId="6AAC90EF">
      <w:pPr>
        <w:snapToGrid w:val="0"/>
        <w:spacing w:line="360" w:lineRule="auto"/>
        <w:ind w:firstLine="422" w:firstLineChars="200"/>
        <w:rPr>
          <w:rFonts w:ascii="宋体" w:hAnsi="宋体" w:cs="宋体"/>
          <w:b/>
          <w:bCs/>
          <w:color w:val="auto"/>
          <w:szCs w:val="21"/>
          <w:highlight w:val="none"/>
          <w:u w:color="000000"/>
        </w:rPr>
      </w:pPr>
      <w:r>
        <w:rPr>
          <w:rFonts w:hint="eastAsia" w:ascii="宋体" w:hAnsi="宋体" w:cs="宋体"/>
          <w:b/>
          <w:bCs/>
          <w:color w:val="auto"/>
          <w:szCs w:val="21"/>
          <w:highlight w:val="none"/>
          <w:u w:color="000000"/>
        </w:rPr>
        <w:t>3.3.2 承包人需更换主要施工管理人员的，继任人员的数量、注册执业资格、管理经验的约定：</w:t>
      </w:r>
      <w:r>
        <w:rPr>
          <w:rFonts w:hint="eastAsia" w:ascii="宋体" w:hAnsi="宋体" w:cs="宋体"/>
          <w:b/>
          <w:bCs/>
          <w:color w:val="auto"/>
          <w:szCs w:val="21"/>
          <w:highlight w:val="none"/>
          <w:u w:val="single" w:color="000000"/>
        </w:rPr>
        <w:t>不得低于原项目经理的注册执业资格、管理经验。</w:t>
      </w:r>
    </w:p>
    <w:p w14:paraId="220ADB1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3.3.3 承包人无正当理由拒绝撤换主要施工管理人员的违约责任：</w:t>
      </w:r>
      <w:r>
        <w:rPr>
          <w:rFonts w:hint="eastAsia" w:ascii="宋体" w:hAnsi="宋体" w:cs="宋体"/>
          <w:b/>
          <w:bCs/>
          <w:color w:val="auto"/>
          <w:szCs w:val="21"/>
          <w:highlight w:val="none"/>
          <w:u w:val="single" w:color="000000"/>
        </w:rPr>
        <w:t>从结算款中扣除 2 万元/人/次的违约金</w:t>
      </w:r>
      <w:r>
        <w:rPr>
          <w:rFonts w:hint="eastAsia" w:ascii="宋体" w:hAnsi="宋体" w:cs="宋体"/>
          <w:color w:val="auto"/>
          <w:szCs w:val="21"/>
          <w:highlight w:val="none"/>
        </w:rPr>
        <w:t>。</w:t>
      </w:r>
    </w:p>
    <w:p w14:paraId="6EEB63A3">
      <w:pP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 xml:space="preserve">3.3.4 承包人主要施工管理人员离开施工现场的批准要求：   </w:t>
      </w:r>
      <w:r>
        <w:rPr>
          <w:rFonts w:hint="eastAsia" w:ascii="宋体" w:hAnsi="宋体" w:cs="宋体"/>
          <w:color w:val="auto"/>
          <w:szCs w:val="21"/>
          <w:highlight w:val="none"/>
          <w:u w:val="single" w:color="000000"/>
        </w:rPr>
        <w:t>按通用条款执行</w:t>
      </w:r>
      <w:r>
        <w:rPr>
          <w:rFonts w:hint="eastAsia" w:ascii="宋体" w:hAnsi="宋体" w:cs="宋体"/>
          <w:color w:val="auto"/>
          <w:szCs w:val="21"/>
          <w:highlight w:val="none"/>
        </w:rPr>
        <w:t>。</w:t>
      </w:r>
    </w:p>
    <w:p w14:paraId="7B20313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3.3.5承包人擅自更换主要施工管理人员的违约责任：</w:t>
      </w:r>
      <w:r>
        <w:rPr>
          <w:rFonts w:hint="eastAsia" w:ascii="宋体" w:hAnsi="宋体" w:cs="宋体"/>
          <w:color w:val="auto"/>
          <w:szCs w:val="21"/>
          <w:highlight w:val="none"/>
          <w:u w:val="single" w:color="000000"/>
        </w:rPr>
        <w:t>扣除全部履约保证金</w:t>
      </w:r>
      <w:r>
        <w:rPr>
          <w:rFonts w:hint="eastAsia" w:ascii="宋体" w:hAnsi="宋体" w:cs="宋体"/>
          <w:color w:val="auto"/>
          <w:szCs w:val="21"/>
          <w:highlight w:val="none"/>
        </w:rPr>
        <w:t>。</w:t>
      </w:r>
    </w:p>
    <w:p w14:paraId="1E05F0F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承包人主要施工管理人员擅自离开施工现场的违约责任：</w:t>
      </w:r>
      <w:r>
        <w:rPr>
          <w:rFonts w:hint="eastAsia" w:ascii="宋体" w:hAnsi="宋体" w:cs="宋体"/>
          <w:b/>
          <w:bCs/>
          <w:color w:val="auto"/>
          <w:szCs w:val="21"/>
          <w:highlight w:val="none"/>
          <w:u w:val="single" w:color="000000"/>
        </w:rPr>
        <w:t>若技术负责人、施工员出勤率不足投标承诺，支付违约金2000 元人民币/天/人；安全员、质检员、材料员出勤率不足投标承诺，支付违约金1000元人民币/天/人</w:t>
      </w:r>
      <w:r>
        <w:rPr>
          <w:rFonts w:hint="eastAsia" w:ascii="宋体" w:hAnsi="宋体" w:cs="宋体"/>
          <w:color w:val="auto"/>
          <w:szCs w:val="21"/>
          <w:highlight w:val="none"/>
        </w:rPr>
        <w:t>。</w:t>
      </w:r>
    </w:p>
    <w:p w14:paraId="5113E03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w:t>
      </w:r>
      <w:bookmarkStart w:id="504" w:name="_Toc297120459"/>
      <w:bookmarkStart w:id="505" w:name="_Toc296891199"/>
      <w:bookmarkStart w:id="506" w:name="_Toc312677988"/>
      <w:bookmarkStart w:id="507" w:name="_Toc296347158"/>
      <w:bookmarkStart w:id="508" w:name="_Toc304295523"/>
      <w:bookmarkStart w:id="509" w:name="_Toc292559869"/>
      <w:bookmarkStart w:id="510" w:name="_Toc297216151"/>
      <w:bookmarkStart w:id="511" w:name="_Toc292559364"/>
      <w:bookmarkStart w:id="512" w:name="_Toc297123492"/>
      <w:bookmarkStart w:id="513" w:name="_Toc297048345"/>
      <w:bookmarkStart w:id="514" w:name="_Toc296944498"/>
      <w:bookmarkStart w:id="515" w:name="_Toc300934945"/>
      <w:bookmarkStart w:id="516" w:name="_Toc296890987"/>
      <w:bookmarkStart w:id="517" w:name="_Toc296503159"/>
      <w:bookmarkStart w:id="518" w:name="_Toc303539102"/>
      <w:bookmarkStart w:id="519" w:name="_Toc296346660"/>
      <w:r>
        <w:rPr>
          <w:rFonts w:hint="eastAsia" w:ascii="宋体" w:hAnsi="宋体" w:cs="宋体"/>
          <w:color w:val="auto"/>
          <w:szCs w:val="21"/>
          <w:highlight w:val="none"/>
        </w:rPr>
        <w:t>.5 分包</w:t>
      </w:r>
    </w:p>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p w14:paraId="65A6310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w:t>
      </w:r>
      <w:bookmarkStart w:id="520" w:name="_Toc300934946"/>
      <w:bookmarkStart w:id="521" w:name="_Toc296890988"/>
      <w:bookmarkStart w:id="522" w:name="_Toc303539103"/>
      <w:bookmarkStart w:id="523" w:name="_Toc296503160"/>
      <w:bookmarkStart w:id="524" w:name="_Toc297120460"/>
      <w:bookmarkStart w:id="525" w:name="_Toc292559365"/>
      <w:bookmarkStart w:id="526" w:name="_Toc297048346"/>
      <w:bookmarkStart w:id="527" w:name="_Toc292559870"/>
      <w:bookmarkStart w:id="528" w:name="_Toc296891200"/>
      <w:bookmarkStart w:id="529" w:name="_Toc297216152"/>
      <w:bookmarkStart w:id="530" w:name="_Toc296347159"/>
      <w:bookmarkStart w:id="531" w:name="_Toc297123493"/>
      <w:bookmarkStart w:id="532" w:name="_Toc304295524"/>
      <w:bookmarkStart w:id="533" w:name="_Toc296944499"/>
      <w:bookmarkStart w:id="534" w:name="_Toc296346661"/>
      <w:bookmarkStart w:id="535" w:name="_Toc312677989"/>
      <w:bookmarkStart w:id="536" w:name="_Toc318581158"/>
      <w:r>
        <w:rPr>
          <w:rFonts w:hint="eastAsia" w:ascii="宋体" w:hAnsi="宋体" w:cs="宋体"/>
          <w:color w:val="auto"/>
          <w:szCs w:val="21"/>
          <w:highlight w:val="none"/>
        </w:rPr>
        <w:t>.5.1 分包的一般约定</w:t>
      </w:r>
    </w:p>
    <w:p w14:paraId="019B828F">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禁止分包的工程包括：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E73CA7B">
      <w:pPr>
        <w:snapToGrid w:val="0"/>
        <w:spacing w:line="360" w:lineRule="auto"/>
        <w:jc w:val="left"/>
        <w:rPr>
          <w:rFonts w:ascii="宋体" w:hAnsi="宋体" w:cs="宋体"/>
          <w:color w:val="auto"/>
          <w:szCs w:val="21"/>
          <w:highlight w:val="none"/>
          <w:u w:val="single"/>
        </w:rPr>
      </w:pPr>
      <w:r>
        <w:rPr>
          <w:rFonts w:hint="eastAsia" w:ascii="宋体" w:hAnsi="宋体" w:cs="宋体"/>
          <w:color w:val="auto"/>
          <w:szCs w:val="21"/>
          <w:highlight w:val="none"/>
        </w:rPr>
        <w:t>主体结构、关键性工作的范围：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w:t>
      </w:r>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Start w:id="537" w:name="_Toc297048347"/>
      <w:bookmarkStart w:id="538" w:name="_Toc296891201"/>
      <w:bookmarkStart w:id="539" w:name="_Toc296890989"/>
      <w:bookmarkStart w:id="540" w:name="_Toc297123494"/>
      <w:bookmarkStart w:id="541" w:name="_Toc296503161"/>
      <w:bookmarkStart w:id="542" w:name="_Toc296347160"/>
      <w:bookmarkStart w:id="543" w:name="_Toc297216153"/>
      <w:bookmarkStart w:id="544" w:name="_Toc296346662"/>
      <w:bookmarkStart w:id="545" w:name="_Toc304295525"/>
      <w:bookmarkStart w:id="546" w:name="_Toc300934947"/>
      <w:bookmarkStart w:id="547" w:name="_Toc296944500"/>
      <w:bookmarkStart w:id="548" w:name="_Toc303539104"/>
      <w:bookmarkStart w:id="549" w:name="_Toc297120461"/>
    </w:p>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p w14:paraId="7B2A5339">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3</w:t>
      </w:r>
      <w:bookmarkStart w:id="550" w:name="_Toc318581159"/>
      <w:bookmarkStart w:id="551" w:name="_Toc312677990"/>
      <w:r>
        <w:rPr>
          <w:rFonts w:hint="eastAsia" w:ascii="宋体" w:hAnsi="宋体" w:cs="宋体"/>
          <w:color w:val="auto"/>
          <w:szCs w:val="21"/>
          <w:highlight w:val="none"/>
        </w:rPr>
        <w:t>.5.2分包的确定</w:t>
      </w:r>
    </w:p>
    <w:p w14:paraId="2663D79E">
      <w:pP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允许分包的专业工程包括：</w:t>
      </w:r>
      <w:r>
        <w:rPr>
          <w:rFonts w:hint="eastAsia" w:ascii="宋体" w:hAnsi="宋体" w:cs="宋体"/>
          <w:b/>
          <w:bCs/>
          <w:color w:val="auto"/>
          <w:szCs w:val="21"/>
          <w:highlight w:val="none"/>
          <w:u w:val="single" w:color="000000"/>
        </w:rPr>
        <w:t>未经发包人同意，承包人不得将承包工程的任何部分分包，如发现擅自分包，除立即取消分包人的分包资格外，承包人还应按合同价的1%向发包人支付违约金</w:t>
      </w:r>
      <w:r>
        <w:rPr>
          <w:rFonts w:hint="eastAsia" w:ascii="宋体" w:hAnsi="宋体" w:cs="宋体"/>
          <w:color w:val="auto"/>
          <w:szCs w:val="21"/>
          <w:highlight w:val="none"/>
        </w:rPr>
        <w:t>。</w:t>
      </w:r>
    </w:p>
    <w:p w14:paraId="45EB6420">
      <w:pPr>
        <w:snapToGrid w:val="0"/>
        <w:spacing w:line="360" w:lineRule="auto"/>
        <w:ind w:left="0" w:leftChars="0" w:firstLine="420" w:firstLineChars="200"/>
        <w:rPr>
          <w:rFonts w:ascii="宋体" w:hAnsi="宋体" w:cs="宋体"/>
          <w:color w:val="auto"/>
          <w:szCs w:val="21"/>
          <w:highlight w:val="none"/>
        </w:rPr>
      </w:pPr>
      <w:r>
        <w:rPr>
          <w:rFonts w:hint="eastAsia" w:ascii="宋体" w:hAnsi="宋体" w:cs="宋体"/>
          <w:color w:val="auto"/>
          <w:szCs w:val="21"/>
          <w:highlight w:val="none"/>
        </w:rPr>
        <w:t>其他关于分包的约定：</w:t>
      </w:r>
      <w:r>
        <w:rPr>
          <w:rFonts w:hint="eastAsia" w:ascii="宋体" w:hAnsi="宋体" w:cs="宋体"/>
          <w:color w:val="auto"/>
          <w:szCs w:val="21"/>
          <w:highlight w:val="none"/>
          <w:u w:val="single"/>
        </w:rPr>
        <w:t xml:space="preserve">发包人同意将非主体、非关键性的工作分包 </w:t>
      </w:r>
      <w:r>
        <w:rPr>
          <w:rFonts w:hint="eastAsia" w:ascii="宋体" w:hAnsi="宋体" w:cs="宋体"/>
          <w:color w:val="auto"/>
          <w:szCs w:val="21"/>
          <w:highlight w:val="none"/>
        </w:rPr>
        <w:t>。</w:t>
      </w:r>
    </w:p>
    <w:p w14:paraId="51F316F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3.5.4 分包合同价款</w:t>
      </w:r>
    </w:p>
    <w:p w14:paraId="6394038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关于分包合同价款支付的约定：</w:t>
      </w:r>
      <w:r>
        <w:rPr>
          <w:rFonts w:hint="eastAsia" w:ascii="宋体" w:hAnsi="宋体" w:cs="宋体"/>
          <w:color w:val="auto"/>
          <w:szCs w:val="21"/>
          <w:highlight w:val="none"/>
          <w:u w:val="single" w:color="000000"/>
        </w:rPr>
        <w:t>按通用合同条款执行</w:t>
      </w:r>
      <w:r>
        <w:rPr>
          <w:rFonts w:hint="eastAsia" w:ascii="宋体" w:hAnsi="宋体" w:cs="宋体"/>
          <w:color w:val="auto"/>
          <w:szCs w:val="21"/>
          <w:highlight w:val="none"/>
        </w:rPr>
        <w:t>。</w:t>
      </w:r>
    </w:p>
    <w:bookmarkEnd w:id="550"/>
    <w:bookmarkEnd w:id="551"/>
    <w:p w14:paraId="567CBA9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 工程照管与成品、半成品保护</w:t>
      </w:r>
    </w:p>
    <w:p w14:paraId="0C053256">
      <w:pPr>
        <w:snapToGrid w:val="0"/>
        <w:spacing w:line="360" w:lineRule="auto"/>
        <w:ind w:firstLine="420" w:firstLineChars="200"/>
        <w:rPr>
          <w:rFonts w:ascii="宋体" w:hAnsi="宋体" w:cs="宋体"/>
          <w:color w:val="auto"/>
          <w:kern w:val="0"/>
          <w:szCs w:val="21"/>
          <w:highlight w:val="none"/>
          <w:u w:val="single"/>
        </w:rPr>
      </w:pPr>
      <w:r>
        <w:rPr>
          <w:rFonts w:hint="eastAsia" w:ascii="宋体" w:hAnsi="宋体" w:cs="宋体"/>
          <w:color w:val="auto"/>
          <w:kern w:val="0"/>
          <w:szCs w:val="21"/>
          <w:highlight w:val="none"/>
        </w:rPr>
        <w:t>承包人负责照管工程及工程相关的材料、工程设备的起始时间：</w:t>
      </w:r>
      <w:r>
        <w:rPr>
          <w:rFonts w:hint="eastAsia" w:ascii="宋体" w:hAnsi="宋体" w:cs="宋体"/>
          <w:color w:val="auto"/>
          <w:szCs w:val="21"/>
          <w:highlight w:val="none"/>
          <w:u w:val="single" w:color="000000"/>
        </w:rPr>
        <w:t>按通用合同条款执行</w:t>
      </w:r>
      <w:r>
        <w:rPr>
          <w:rFonts w:hint="eastAsia" w:ascii="宋体" w:hAnsi="宋体" w:cs="宋体"/>
          <w:color w:val="auto"/>
          <w:kern w:val="0"/>
          <w:szCs w:val="21"/>
          <w:highlight w:val="none"/>
        </w:rPr>
        <w:t>。</w:t>
      </w:r>
    </w:p>
    <w:p w14:paraId="7E384A0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3.7 履约担保</w:t>
      </w:r>
    </w:p>
    <w:p w14:paraId="1B914E1E">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承包人是否提供履约担保：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是</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CFCC2E2">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承包人提供履约担保的形式、金额及期限的：</w:t>
      </w:r>
      <w:r>
        <w:rPr>
          <w:rFonts w:hint="eastAsia" w:ascii="宋体" w:hAnsi="宋体" w:cs="宋体"/>
          <w:color w:val="auto"/>
          <w:szCs w:val="21"/>
          <w:highlight w:val="none"/>
          <w:u w:val="single" w:color="000000"/>
        </w:rPr>
        <w:t>在合同签订后5日内，承包人向发包人支付合同价的1%的履约保证金，计    元；缴纳方式：转账、银行保函、商业保函等非现金形式缴纳，履约保证金待工程竣工验收合格后30天内归还，不计利息</w:t>
      </w:r>
      <w:r>
        <w:rPr>
          <w:rFonts w:hint="eastAsia" w:ascii="宋体" w:hAnsi="宋体" w:cs="宋体"/>
          <w:color w:val="auto"/>
          <w:szCs w:val="21"/>
          <w:highlight w:val="none"/>
        </w:rPr>
        <w:t>。</w:t>
      </w:r>
    </w:p>
    <w:p w14:paraId="70DF2708">
      <w:pPr>
        <w:pStyle w:val="7"/>
        <w:snapToGrid w:val="0"/>
        <w:spacing w:before="0" w:after="0" w:line="360" w:lineRule="auto"/>
        <w:rPr>
          <w:rFonts w:ascii="宋体" w:hAnsi="宋体" w:eastAsia="宋体" w:cs="宋体"/>
          <w:b w:val="0"/>
          <w:color w:val="auto"/>
          <w:sz w:val="21"/>
          <w:szCs w:val="21"/>
          <w:highlight w:val="none"/>
        </w:rPr>
      </w:pPr>
      <w:bookmarkStart w:id="552" w:name="_Toc351203636"/>
      <w:r>
        <w:rPr>
          <w:rFonts w:hint="eastAsia" w:ascii="宋体" w:hAnsi="宋体" w:eastAsia="宋体" w:cs="宋体"/>
          <w:b w:val="0"/>
          <w:color w:val="auto"/>
          <w:sz w:val="21"/>
          <w:szCs w:val="21"/>
          <w:highlight w:val="none"/>
        </w:rPr>
        <w:t>4</w:t>
      </w:r>
      <w:bookmarkStart w:id="553" w:name="_Toc296890990"/>
      <w:bookmarkStart w:id="554" w:name="_Toc296891202"/>
      <w:bookmarkStart w:id="555" w:name="_Toc297120462"/>
      <w:bookmarkStart w:id="556" w:name="_Toc296944501"/>
      <w:bookmarkStart w:id="557" w:name="_Toc296503162"/>
      <w:bookmarkStart w:id="558" w:name="_Toc296346663"/>
      <w:bookmarkStart w:id="559" w:name="_Toc267251413"/>
      <w:bookmarkStart w:id="560" w:name="_Toc296347161"/>
      <w:bookmarkStart w:id="561" w:name="_Toc292559871"/>
      <w:bookmarkStart w:id="562" w:name="_Toc297048348"/>
      <w:bookmarkStart w:id="563" w:name="_Toc292559366"/>
      <w:r>
        <w:rPr>
          <w:rFonts w:hint="eastAsia" w:ascii="宋体" w:hAnsi="宋体" w:eastAsia="宋体" w:cs="宋体"/>
          <w:b w:val="0"/>
          <w:color w:val="auto"/>
          <w:sz w:val="21"/>
          <w:szCs w:val="21"/>
          <w:highlight w:val="none"/>
        </w:rPr>
        <w:t>. 监</w:t>
      </w:r>
      <w:bookmarkEnd w:id="553"/>
      <w:bookmarkEnd w:id="554"/>
      <w:bookmarkEnd w:id="555"/>
      <w:bookmarkEnd w:id="556"/>
      <w:bookmarkEnd w:id="557"/>
      <w:bookmarkEnd w:id="558"/>
      <w:bookmarkEnd w:id="559"/>
      <w:bookmarkEnd w:id="560"/>
      <w:bookmarkEnd w:id="561"/>
      <w:bookmarkEnd w:id="562"/>
      <w:bookmarkEnd w:id="563"/>
      <w:r>
        <w:rPr>
          <w:rFonts w:hint="eastAsia" w:ascii="宋体" w:hAnsi="宋体" w:eastAsia="宋体" w:cs="宋体"/>
          <w:b w:val="0"/>
          <w:color w:val="auto"/>
          <w:sz w:val="21"/>
          <w:szCs w:val="21"/>
          <w:highlight w:val="none"/>
        </w:rPr>
        <w:t>理人</w:t>
      </w:r>
      <w:bookmarkEnd w:id="552"/>
    </w:p>
    <w:p w14:paraId="22C25B1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4.1监理人的一般规定</w:t>
      </w:r>
    </w:p>
    <w:p w14:paraId="5BD9C97B">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关于监理人的监理内容：</w:t>
      </w:r>
      <w:r>
        <w:rPr>
          <w:rFonts w:hint="eastAsia" w:ascii="宋体" w:hAnsi="宋体" w:cs="宋体"/>
          <w:color w:val="auto"/>
          <w:szCs w:val="21"/>
          <w:highlight w:val="none"/>
          <w:u w:val="single" w:color="000000"/>
        </w:rPr>
        <w:t>本工程实施范围内的所有内容</w:t>
      </w:r>
      <w:r>
        <w:rPr>
          <w:rFonts w:hint="eastAsia" w:ascii="宋体" w:hAnsi="宋体" w:cs="宋体"/>
          <w:color w:val="auto"/>
          <w:szCs w:val="21"/>
          <w:highlight w:val="none"/>
        </w:rPr>
        <w:t>。</w:t>
      </w:r>
    </w:p>
    <w:p w14:paraId="4011C8EB">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关于监理人的监理权限：</w:t>
      </w:r>
      <w:r>
        <w:rPr>
          <w:rFonts w:hint="eastAsia" w:ascii="宋体" w:hAnsi="宋体" w:cs="宋体"/>
          <w:b/>
          <w:bCs/>
          <w:color w:val="auto"/>
          <w:szCs w:val="21"/>
          <w:highlight w:val="none"/>
          <w:u w:val="single" w:color="000000"/>
        </w:rPr>
        <w:t>根据监理合同、施工承包合同和法律法规规定的事项代表发包人进行工程前期协调、施工现场协调、工程监理</w:t>
      </w:r>
      <w:r>
        <w:rPr>
          <w:rFonts w:hint="eastAsia" w:ascii="宋体" w:hAnsi="宋体" w:cs="宋体"/>
          <w:color w:val="auto"/>
          <w:szCs w:val="21"/>
          <w:highlight w:val="none"/>
        </w:rPr>
        <w:t xml:space="preserve">。 </w:t>
      </w:r>
    </w:p>
    <w:p w14:paraId="53D041A3">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关于监理人在施工现场的办公场所、生活场所的提供和费用承担的约定：</w:t>
      </w:r>
      <w:r>
        <w:rPr>
          <w:rFonts w:hint="eastAsia" w:ascii="宋体" w:hAnsi="宋体" w:cs="宋体"/>
          <w:b/>
          <w:bCs/>
          <w:color w:val="auto"/>
          <w:szCs w:val="21"/>
          <w:highlight w:val="none"/>
          <w:u w:val="single"/>
        </w:rPr>
        <w:t>监</w:t>
      </w:r>
      <w:r>
        <w:rPr>
          <w:rFonts w:hint="eastAsia" w:ascii="宋体" w:hAnsi="宋体" w:cs="宋体"/>
          <w:b/>
          <w:bCs/>
          <w:color w:val="auto"/>
          <w:szCs w:val="21"/>
          <w:highlight w:val="none"/>
          <w:u w:val="single" w:color="000000"/>
        </w:rPr>
        <w:t>理人在施工现场的办公场所、生活场所由承包人提供，所发生的费用由承包人承担。如有其它费用由监理人自行承担</w:t>
      </w:r>
      <w:r>
        <w:rPr>
          <w:rFonts w:hint="eastAsia" w:ascii="宋体" w:hAnsi="宋体" w:cs="宋体"/>
          <w:color w:val="auto"/>
          <w:szCs w:val="21"/>
          <w:highlight w:val="none"/>
        </w:rPr>
        <w:t>。</w:t>
      </w:r>
    </w:p>
    <w:p w14:paraId="05BA71B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 监理人员</w:t>
      </w:r>
    </w:p>
    <w:p w14:paraId="11A8E8B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总监理工程师：</w:t>
      </w:r>
    </w:p>
    <w:p w14:paraId="46E4C09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2A4035A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职    务：</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6E2D6C6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监理工程师执业资格证书号：</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37FB1F2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5C9115E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033C22F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2BF4A0E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关于监理人的其他约定：</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03C2697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4.4 商定或确定</w:t>
      </w:r>
    </w:p>
    <w:p w14:paraId="6E6F91DF">
      <w:pPr>
        <w:snapToGrid w:val="0"/>
        <w:spacing w:line="360" w:lineRule="auto"/>
        <w:ind w:firstLine="420" w:firstLineChars="200"/>
        <w:rPr>
          <w:rFonts w:ascii="宋体" w:hAnsi="宋体" w:cs="宋体"/>
          <w:color w:val="auto"/>
          <w:szCs w:val="21"/>
          <w:highlight w:val="none"/>
        </w:rPr>
      </w:pPr>
      <w:bookmarkStart w:id="564" w:name="_Toc267251418"/>
      <w:r>
        <w:rPr>
          <w:rFonts w:hint="eastAsia" w:ascii="宋体" w:hAnsi="宋体" w:cs="宋体"/>
          <w:color w:val="auto"/>
          <w:szCs w:val="21"/>
          <w:highlight w:val="none"/>
        </w:rPr>
        <w:t>在发包人和承包人不能通过协商达成一致意见时，发包人授权监理人对以下事项进行确定：</w:t>
      </w:r>
    </w:p>
    <w:p w14:paraId="4C1E42E0">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73CC57A">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A243D89">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3AF77D6">
      <w:pPr>
        <w:pStyle w:val="7"/>
        <w:snapToGrid w:val="0"/>
        <w:spacing w:before="0" w:after="0" w:line="360" w:lineRule="auto"/>
        <w:rPr>
          <w:rFonts w:ascii="宋体" w:hAnsi="宋体" w:eastAsia="宋体" w:cs="宋体"/>
          <w:b w:val="0"/>
          <w:color w:val="auto"/>
          <w:sz w:val="21"/>
          <w:szCs w:val="21"/>
          <w:highlight w:val="none"/>
        </w:rPr>
      </w:pPr>
      <w:bookmarkStart w:id="565" w:name="_Toc351203637"/>
      <w:r>
        <w:rPr>
          <w:rFonts w:hint="eastAsia" w:ascii="宋体" w:hAnsi="宋体" w:eastAsia="宋体" w:cs="宋体"/>
          <w:b w:val="0"/>
          <w:color w:val="auto"/>
          <w:sz w:val="21"/>
          <w:szCs w:val="21"/>
          <w:highlight w:val="none"/>
        </w:rPr>
        <w:t>5</w:t>
      </w:r>
      <w:bookmarkEnd w:id="564"/>
      <w:bookmarkStart w:id="566" w:name="_Toc296944502"/>
      <w:bookmarkStart w:id="567" w:name="_Toc297048349"/>
      <w:bookmarkStart w:id="568" w:name="_Toc296503163"/>
      <w:bookmarkStart w:id="569" w:name="_Toc292559367"/>
      <w:bookmarkStart w:id="570" w:name="_Toc297120463"/>
      <w:bookmarkStart w:id="571" w:name="_Toc296891203"/>
      <w:bookmarkStart w:id="572" w:name="_Toc296890991"/>
      <w:bookmarkStart w:id="573" w:name="_Toc296347162"/>
      <w:bookmarkStart w:id="574" w:name="_Toc296346664"/>
      <w:bookmarkStart w:id="575" w:name="_Toc292559872"/>
      <w:r>
        <w:rPr>
          <w:rFonts w:hint="eastAsia" w:ascii="宋体" w:hAnsi="宋体" w:eastAsia="宋体" w:cs="宋体"/>
          <w:b w:val="0"/>
          <w:color w:val="auto"/>
          <w:sz w:val="21"/>
          <w:szCs w:val="21"/>
          <w:highlight w:val="none"/>
        </w:rPr>
        <w:t>. 工程质量</w:t>
      </w:r>
      <w:bookmarkEnd w:id="565"/>
    </w:p>
    <w:p w14:paraId="707D980B">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5.1 质量要求</w:t>
      </w:r>
    </w:p>
    <w:p w14:paraId="57B0C9BE">
      <w:pPr>
        <w:pageBreakBefore w:val="0"/>
        <w:widowControl w:val="0"/>
        <w:kinsoku/>
        <w:wordWrap/>
        <w:overflowPunct/>
        <w:topLinePunct w:val="0"/>
        <w:bidi w:val="0"/>
        <w:snapToGrid w:val="0"/>
        <w:spacing w:line="360" w:lineRule="auto"/>
        <w:ind w:firstLine="478"/>
        <w:textAlignment w:val="auto"/>
        <w:rPr>
          <w:rFonts w:ascii="宋体" w:hAnsi="宋体" w:cs="宋体"/>
          <w:b/>
          <w:bCs/>
          <w:color w:val="auto"/>
          <w:szCs w:val="21"/>
          <w:highlight w:val="none"/>
          <w:u w:color="000000"/>
        </w:rPr>
      </w:pPr>
      <w:r>
        <w:rPr>
          <w:rFonts w:hint="eastAsia" w:ascii="宋体" w:hAnsi="宋体" w:cs="宋体"/>
          <w:color w:val="auto"/>
          <w:szCs w:val="21"/>
          <w:highlight w:val="none"/>
        </w:rPr>
        <w:t>5</w:t>
      </w:r>
      <w:bookmarkStart w:id="576" w:name="_Toc318581164"/>
      <w:bookmarkStart w:id="577" w:name="_Toc297216155"/>
      <w:bookmarkStart w:id="578" w:name="_Toc304295527"/>
      <w:bookmarkStart w:id="579" w:name="_Toc303539106"/>
      <w:bookmarkStart w:id="580" w:name="_Toc312677997"/>
      <w:bookmarkStart w:id="581" w:name="_Toc297123496"/>
      <w:bookmarkStart w:id="582" w:name="_Toc300934949"/>
      <w:r>
        <w:rPr>
          <w:rFonts w:hint="eastAsia" w:ascii="宋体" w:hAnsi="宋体" w:cs="宋体"/>
          <w:color w:val="auto"/>
          <w:szCs w:val="21"/>
          <w:highlight w:val="none"/>
        </w:rPr>
        <w:t>.1.1 特殊质量标准和要求：</w:t>
      </w:r>
      <w:r>
        <w:rPr>
          <w:rFonts w:hint="eastAsia" w:ascii="宋体" w:hAnsi="宋体" w:cs="宋体"/>
          <w:b/>
          <w:bCs/>
          <w:color w:val="auto"/>
          <w:szCs w:val="21"/>
          <w:highlight w:val="none"/>
          <w:u w:color="000000"/>
        </w:rPr>
        <w:t>（1）满足国家或行业的现行的质量检验评定标准。</w:t>
      </w:r>
    </w:p>
    <w:p w14:paraId="0816846F">
      <w:pPr>
        <w:pageBreakBefore w:val="0"/>
        <w:widowControl w:val="0"/>
        <w:kinsoku/>
        <w:wordWrap/>
        <w:overflowPunct/>
        <w:topLinePunct w:val="0"/>
        <w:bidi w:val="0"/>
        <w:snapToGrid w:val="0"/>
        <w:spacing w:line="360" w:lineRule="auto"/>
        <w:ind w:firstLine="472"/>
        <w:textAlignment w:val="auto"/>
        <w:rPr>
          <w:rFonts w:ascii="宋体" w:hAnsi="宋体" w:cs="宋体"/>
          <w:b/>
          <w:bCs/>
          <w:color w:val="auto"/>
          <w:szCs w:val="21"/>
          <w:highlight w:val="none"/>
          <w:u w:color="000000"/>
        </w:rPr>
      </w:pPr>
      <w:r>
        <w:rPr>
          <w:rFonts w:hint="eastAsia" w:ascii="宋体" w:hAnsi="宋体" w:cs="宋体"/>
          <w:b/>
          <w:bCs/>
          <w:color w:val="auto"/>
          <w:szCs w:val="21"/>
          <w:highlight w:val="none"/>
          <w:u w:color="000000"/>
        </w:rPr>
        <w:t>（2）如</w:t>
      </w:r>
      <w:r>
        <w:rPr>
          <w:rFonts w:hint="eastAsia" w:ascii="宋体" w:hAnsi="宋体" w:cs="宋体"/>
          <w:b/>
          <w:bCs/>
          <w:color w:val="auto"/>
          <w:szCs w:val="21"/>
          <w:highlight w:val="none"/>
          <w:u w:color="000000"/>
          <w:lang w:eastAsia="zh-CN"/>
        </w:rPr>
        <w:t>承包人</w:t>
      </w:r>
      <w:r>
        <w:rPr>
          <w:rFonts w:hint="eastAsia" w:ascii="宋体" w:hAnsi="宋体" w:cs="宋体"/>
          <w:b/>
          <w:bCs/>
          <w:color w:val="auto"/>
          <w:szCs w:val="21"/>
          <w:highlight w:val="none"/>
          <w:u w:color="000000"/>
        </w:rPr>
        <w:t>工程实体质量屡次发生质量事故，或有证据表明有偷工减料的事实发生、</w:t>
      </w:r>
      <w:r>
        <w:rPr>
          <w:rFonts w:hint="eastAsia" w:ascii="宋体" w:hAnsi="宋体" w:cs="宋体"/>
          <w:b/>
          <w:bCs/>
          <w:color w:val="auto"/>
          <w:szCs w:val="21"/>
          <w:highlight w:val="none"/>
          <w:u w:color="000000"/>
          <w:lang w:eastAsia="zh-CN"/>
        </w:rPr>
        <w:t>承包人</w:t>
      </w:r>
      <w:r>
        <w:rPr>
          <w:rFonts w:hint="eastAsia" w:ascii="宋体" w:hAnsi="宋体" w:cs="宋体"/>
          <w:b/>
          <w:bCs/>
          <w:color w:val="auto"/>
          <w:szCs w:val="21"/>
          <w:highlight w:val="none"/>
          <w:u w:color="000000"/>
        </w:rPr>
        <w:t>对</w:t>
      </w:r>
      <w:r>
        <w:rPr>
          <w:rFonts w:hint="eastAsia" w:ascii="宋体" w:hAnsi="宋体" w:cs="宋体"/>
          <w:b/>
          <w:bCs/>
          <w:color w:val="auto"/>
          <w:szCs w:val="21"/>
          <w:highlight w:val="none"/>
          <w:u w:color="000000"/>
          <w:lang w:eastAsia="zh-CN"/>
        </w:rPr>
        <w:t>发包人</w:t>
      </w:r>
      <w:r>
        <w:rPr>
          <w:rFonts w:hint="eastAsia" w:ascii="宋体" w:hAnsi="宋体" w:cs="宋体"/>
          <w:b/>
          <w:bCs/>
          <w:color w:val="auto"/>
          <w:szCs w:val="21"/>
          <w:highlight w:val="none"/>
          <w:u w:color="000000"/>
        </w:rPr>
        <w:t>、监理的合理指令及质量要求拒不执行等，</w:t>
      </w:r>
      <w:r>
        <w:rPr>
          <w:rFonts w:hint="eastAsia" w:ascii="宋体" w:hAnsi="宋体" w:cs="宋体"/>
          <w:b/>
          <w:bCs/>
          <w:color w:val="auto"/>
          <w:szCs w:val="21"/>
          <w:highlight w:val="none"/>
          <w:u w:color="000000"/>
          <w:lang w:eastAsia="zh-CN"/>
        </w:rPr>
        <w:t>承包人</w:t>
      </w:r>
      <w:r>
        <w:rPr>
          <w:rFonts w:hint="eastAsia" w:ascii="宋体" w:hAnsi="宋体" w:cs="宋体"/>
          <w:b/>
          <w:bCs/>
          <w:color w:val="auto"/>
          <w:szCs w:val="21"/>
          <w:highlight w:val="none"/>
          <w:u w:color="000000"/>
        </w:rPr>
        <w:t>向</w:t>
      </w:r>
      <w:r>
        <w:rPr>
          <w:rFonts w:hint="eastAsia" w:ascii="宋体" w:hAnsi="宋体" w:cs="宋体"/>
          <w:b/>
          <w:bCs/>
          <w:color w:val="auto"/>
          <w:szCs w:val="21"/>
          <w:highlight w:val="none"/>
          <w:u w:color="000000"/>
          <w:lang w:eastAsia="zh-CN"/>
        </w:rPr>
        <w:t>发包人</w:t>
      </w:r>
      <w:r>
        <w:rPr>
          <w:rFonts w:hint="eastAsia" w:ascii="宋体" w:hAnsi="宋体" w:cs="宋体"/>
          <w:b/>
          <w:bCs/>
          <w:color w:val="auto"/>
          <w:szCs w:val="21"/>
          <w:highlight w:val="none"/>
          <w:u w:color="000000"/>
        </w:rPr>
        <w:t>支付人民币2000－5000元/次的违约金。</w:t>
      </w:r>
    </w:p>
    <w:p w14:paraId="20F5CA91">
      <w:pPr>
        <w:pageBreakBefore w:val="0"/>
        <w:widowControl w:val="0"/>
        <w:kinsoku/>
        <w:wordWrap/>
        <w:overflowPunct/>
        <w:topLinePunct w:val="0"/>
        <w:bidi w:val="0"/>
        <w:snapToGrid w:val="0"/>
        <w:spacing w:line="360" w:lineRule="auto"/>
        <w:ind w:firstLine="472"/>
        <w:textAlignment w:val="auto"/>
        <w:rPr>
          <w:rFonts w:ascii="宋体" w:hAnsi="宋体" w:cs="宋体"/>
          <w:b/>
          <w:bCs/>
          <w:color w:val="auto"/>
          <w:szCs w:val="21"/>
          <w:highlight w:val="none"/>
          <w:u w:color="000000"/>
        </w:rPr>
      </w:pPr>
      <w:r>
        <w:rPr>
          <w:rFonts w:hint="eastAsia" w:ascii="宋体" w:hAnsi="宋体" w:cs="宋体"/>
          <w:b/>
          <w:bCs/>
          <w:color w:val="auto"/>
          <w:szCs w:val="21"/>
          <w:highlight w:val="none"/>
          <w:u w:color="000000"/>
        </w:rPr>
        <w:t>（3）双方对工程质量有争议，由</w:t>
      </w:r>
      <w:r>
        <w:rPr>
          <w:rFonts w:hint="eastAsia" w:ascii="宋体" w:hAnsi="宋体" w:cs="宋体"/>
          <w:b/>
          <w:bCs/>
          <w:color w:val="auto"/>
          <w:szCs w:val="21"/>
          <w:highlight w:val="none"/>
          <w:u w:color="000000"/>
          <w:lang w:eastAsia="zh-CN"/>
        </w:rPr>
        <w:t>发包人</w:t>
      </w:r>
      <w:r>
        <w:rPr>
          <w:rFonts w:hint="eastAsia" w:ascii="宋体" w:hAnsi="宋体" w:cs="宋体"/>
          <w:b/>
          <w:bCs/>
          <w:color w:val="auto"/>
          <w:szCs w:val="21"/>
          <w:highlight w:val="none"/>
          <w:u w:color="000000"/>
        </w:rPr>
        <w:t>委托的具备资质的工程质量检测机构鉴定，所需费用及因此造成的损失，由责任方承担。双方均有责任，由双方根据其责任分别承担。</w:t>
      </w:r>
    </w:p>
    <w:p w14:paraId="0381D1BD">
      <w:pPr>
        <w:pageBreakBefore w:val="0"/>
        <w:widowControl w:val="0"/>
        <w:kinsoku/>
        <w:wordWrap/>
        <w:overflowPunct/>
        <w:topLinePunct w:val="0"/>
        <w:bidi w:val="0"/>
        <w:snapToGrid w:val="0"/>
        <w:spacing w:line="360" w:lineRule="auto"/>
        <w:ind w:firstLine="482"/>
        <w:textAlignment w:val="auto"/>
        <w:rPr>
          <w:rFonts w:ascii="宋体" w:hAnsi="宋体" w:cs="宋体"/>
          <w:color w:val="auto"/>
          <w:szCs w:val="21"/>
          <w:highlight w:val="none"/>
        </w:rPr>
      </w:pPr>
      <w:r>
        <w:rPr>
          <w:rFonts w:hint="eastAsia" w:ascii="宋体" w:hAnsi="宋体" w:cs="宋体"/>
          <w:b/>
          <w:bCs/>
          <w:color w:val="auto"/>
          <w:szCs w:val="21"/>
          <w:highlight w:val="none"/>
          <w:u w:color="000000"/>
        </w:rPr>
        <w:t>（4）安全文明施工目标：无伤亡事故，并满足安全环保文明施工现场管理要求质量。</w:t>
      </w:r>
    </w:p>
    <w:p w14:paraId="240709BE">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关于工程奖项的约定：</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rPr>
        <w:t>。</w:t>
      </w:r>
    </w:p>
    <w:p w14:paraId="6A0E8854">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5.3 隐蔽工程检查</w:t>
      </w:r>
    </w:p>
    <w:p w14:paraId="23993DE1">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5.3.2承包人提前通知监理人隐蔽工程检查的期限的约定：</w:t>
      </w:r>
      <w:r>
        <w:rPr>
          <w:rFonts w:hint="eastAsia" w:ascii="宋体" w:hAnsi="宋体" w:cs="宋体"/>
          <w:b/>
          <w:bCs/>
          <w:color w:val="auto"/>
          <w:szCs w:val="21"/>
          <w:highlight w:val="none"/>
          <w:u w:val="single" w:color="000000"/>
        </w:rPr>
        <w:t>承包人应在共同检查前48小时书面通知监理人检查，通知中应载明隐蔽检查的内容、时间和地点，并应附有自检记录和必要的检查资料</w:t>
      </w:r>
      <w:r>
        <w:rPr>
          <w:rFonts w:hint="eastAsia" w:ascii="宋体" w:hAnsi="宋体" w:cs="宋体"/>
          <w:color w:val="auto"/>
          <w:szCs w:val="21"/>
          <w:highlight w:val="none"/>
        </w:rPr>
        <w:t>。</w:t>
      </w:r>
    </w:p>
    <w:p w14:paraId="1B866D42">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监理人不能按时进行检查时，应提前</w:t>
      </w:r>
      <w:r>
        <w:rPr>
          <w:rFonts w:hint="eastAsia" w:ascii="宋体" w:hAnsi="宋体" w:cs="宋体"/>
          <w:color w:val="auto"/>
          <w:szCs w:val="21"/>
          <w:highlight w:val="none"/>
          <w:u w:val="single"/>
          <w:lang w:val="en-US" w:eastAsia="zh-CN"/>
        </w:rPr>
        <w:t>24</w:t>
      </w:r>
      <w:r>
        <w:rPr>
          <w:rFonts w:hint="eastAsia" w:ascii="宋体" w:hAnsi="宋体" w:cs="宋体"/>
          <w:color w:val="auto"/>
          <w:szCs w:val="21"/>
          <w:highlight w:val="none"/>
        </w:rPr>
        <w:t>小时提交书面延期要求。</w:t>
      </w:r>
    </w:p>
    <w:p w14:paraId="1DFFE7AA">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关于延期最长不得超过：</w:t>
      </w:r>
      <w:r>
        <w:rPr>
          <w:rFonts w:hint="eastAsia" w:ascii="宋体" w:hAnsi="宋体" w:cs="宋体"/>
          <w:color w:val="auto"/>
          <w:szCs w:val="21"/>
          <w:highlight w:val="none"/>
          <w:u w:val="single"/>
          <w:lang w:val="en-US" w:eastAsia="zh-CN"/>
        </w:rPr>
        <w:t>48</w:t>
      </w:r>
      <w:r>
        <w:rPr>
          <w:rFonts w:hint="eastAsia" w:ascii="宋体" w:hAnsi="宋体" w:cs="宋体"/>
          <w:color w:val="auto"/>
          <w:szCs w:val="21"/>
          <w:highlight w:val="none"/>
        </w:rPr>
        <w:t>小时。</w:t>
      </w:r>
    </w:p>
    <w:p w14:paraId="6C7195D4">
      <w:pPr>
        <w:pStyle w:val="7"/>
        <w:snapToGrid w:val="0"/>
        <w:spacing w:before="0" w:after="0" w:line="360" w:lineRule="auto"/>
        <w:rPr>
          <w:rFonts w:ascii="宋体" w:hAnsi="宋体" w:eastAsia="宋体" w:cs="宋体"/>
          <w:b w:val="0"/>
          <w:color w:val="auto"/>
          <w:sz w:val="21"/>
          <w:szCs w:val="21"/>
          <w:highlight w:val="none"/>
        </w:rPr>
      </w:pPr>
      <w:bookmarkStart w:id="583" w:name="_Toc351203638"/>
      <w:r>
        <w:rPr>
          <w:rFonts w:hint="eastAsia" w:ascii="宋体" w:hAnsi="宋体" w:eastAsia="宋体" w:cs="宋体"/>
          <w:b w:val="0"/>
          <w:color w:val="auto"/>
          <w:sz w:val="21"/>
          <w:szCs w:val="21"/>
          <w:highlight w:val="none"/>
        </w:rPr>
        <w:t>6. 安全文明施工与环境保护</w:t>
      </w:r>
      <w:bookmarkEnd w:id="583"/>
    </w:p>
    <w:p w14:paraId="4C0A7C8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6.1安全文明施工</w:t>
      </w:r>
    </w:p>
    <w:p w14:paraId="2E490E9F">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6.1.1 项目安全生产的达标目标及相应事项的约定：</w:t>
      </w:r>
      <w:r>
        <w:rPr>
          <w:rFonts w:hint="eastAsia" w:ascii="宋体" w:hAnsi="宋体" w:cs="宋体"/>
          <w:b/>
          <w:bCs/>
          <w:color w:val="auto"/>
          <w:szCs w:val="21"/>
          <w:highlight w:val="none"/>
          <w:u w:val="single" w:color="000000"/>
        </w:rPr>
        <w:t>施工现场按照《建筑施工安全检查标准》（JGJ59-2011）评定达到“合格”标准</w:t>
      </w:r>
      <w:r>
        <w:rPr>
          <w:rFonts w:hint="eastAsia" w:ascii="宋体" w:hAnsi="宋体" w:cs="宋体"/>
          <w:color w:val="auto"/>
          <w:szCs w:val="21"/>
          <w:highlight w:val="none"/>
        </w:rPr>
        <w:t>。</w:t>
      </w:r>
    </w:p>
    <w:p w14:paraId="43132F83">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6.1.4 关于治安保卫的特别约定：</w:t>
      </w:r>
      <w:r>
        <w:rPr>
          <w:rFonts w:hint="eastAsia" w:ascii="宋体" w:hAnsi="宋体" w:cs="宋体"/>
          <w:color w:val="auto"/>
          <w:szCs w:val="21"/>
          <w:highlight w:val="none"/>
          <w:u w:val="single" w:color="000000"/>
        </w:rPr>
        <w:t>按《通用合同条款》6.1.4条执行</w:t>
      </w:r>
      <w:r>
        <w:rPr>
          <w:rFonts w:hint="eastAsia" w:ascii="宋体" w:hAnsi="宋体" w:cs="宋体"/>
          <w:color w:val="auto"/>
          <w:szCs w:val="21"/>
          <w:highlight w:val="none"/>
        </w:rPr>
        <w:t>。</w:t>
      </w:r>
    </w:p>
    <w:p w14:paraId="5ADDCC4F">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关于编制施工场地治安管理计划的约定：</w:t>
      </w:r>
      <w:r>
        <w:rPr>
          <w:rFonts w:hint="eastAsia" w:ascii="宋体" w:hAnsi="宋体" w:cs="宋体"/>
          <w:b/>
          <w:bCs/>
          <w:color w:val="auto"/>
          <w:szCs w:val="21"/>
          <w:highlight w:val="none"/>
          <w:u w:val="single" w:color="000000"/>
        </w:rPr>
        <w:t>承包人应在工程开工后3天内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r>
        <w:rPr>
          <w:rFonts w:hint="eastAsia" w:ascii="宋体" w:hAnsi="宋体" w:cs="宋体"/>
          <w:color w:val="auto"/>
          <w:szCs w:val="21"/>
          <w:highlight w:val="none"/>
        </w:rPr>
        <w:t>。</w:t>
      </w:r>
    </w:p>
    <w:p w14:paraId="07BD8696">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6.1.5 文明施工</w:t>
      </w:r>
    </w:p>
    <w:p w14:paraId="0C39F575">
      <w:pPr>
        <w:pageBreakBefore w:val="0"/>
        <w:widowControl w:val="0"/>
        <w:kinsoku/>
        <w:wordWrap/>
        <w:overflowPunct/>
        <w:topLinePunct w:val="0"/>
        <w:bidi w:val="0"/>
        <w:snapToGrid w:val="0"/>
        <w:spacing w:line="360" w:lineRule="auto"/>
        <w:ind w:firstLine="477"/>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合同当事人对文明施工的要求：</w:t>
      </w:r>
    </w:p>
    <w:p w14:paraId="58ACE2CE">
      <w:pPr>
        <w:pageBreakBefore w:val="0"/>
        <w:widowControl w:val="0"/>
        <w:kinsoku/>
        <w:wordWrap/>
        <w:overflowPunct/>
        <w:topLinePunct w:val="0"/>
        <w:bidi w:val="0"/>
        <w:snapToGrid w:val="0"/>
        <w:spacing w:line="360" w:lineRule="auto"/>
        <w:ind w:firstLine="477"/>
        <w:jc w:val="left"/>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（1）遵守地方政府和有关部门对施工场地交通、环卫、安全和施工噪音等管理规定，并办理相关审批手续</w:t>
      </w:r>
      <w:r>
        <w:rPr>
          <w:rFonts w:hint="eastAsia" w:ascii="宋体" w:hAnsi="宋体" w:cs="宋体"/>
          <w:b/>
          <w:bCs/>
          <w:color w:val="auto"/>
          <w:szCs w:val="21"/>
          <w:highlight w:val="none"/>
          <w:u w:color="000000"/>
        </w:rPr>
        <w:t>。</w:t>
      </w:r>
    </w:p>
    <w:p w14:paraId="3F8A35B5">
      <w:pPr>
        <w:pageBreakBefore w:val="0"/>
        <w:widowControl w:val="0"/>
        <w:kinsoku/>
        <w:wordWrap/>
        <w:overflowPunct/>
        <w:topLinePunct w:val="0"/>
        <w:bidi w:val="0"/>
        <w:snapToGrid w:val="0"/>
        <w:spacing w:line="360" w:lineRule="auto"/>
        <w:ind w:firstLine="477"/>
        <w:jc w:val="left"/>
        <w:textAlignment w:val="auto"/>
        <w:rPr>
          <w:rFonts w:ascii="宋体" w:hAnsi="宋体" w:cs="宋体"/>
          <w:b/>
          <w:bCs/>
          <w:color w:val="auto"/>
          <w:szCs w:val="21"/>
          <w:highlight w:val="none"/>
          <w:u w:color="000000"/>
        </w:rPr>
      </w:pPr>
      <w:r>
        <w:rPr>
          <w:rFonts w:hint="eastAsia" w:ascii="宋体" w:hAnsi="宋体" w:cs="宋体"/>
          <w:b/>
          <w:bCs/>
          <w:color w:val="auto"/>
          <w:szCs w:val="21"/>
          <w:highlight w:val="none"/>
          <w:u w:val="single" w:color="000000"/>
        </w:rPr>
        <w:t>（2）承包人应采取有效措施尽量减小尘土和噪音污染，需要进行夜间作业时应经有关部门批准</w:t>
      </w:r>
      <w:r>
        <w:rPr>
          <w:rFonts w:hint="eastAsia" w:ascii="宋体" w:hAnsi="宋体" w:cs="宋体"/>
          <w:b/>
          <w:bCs/>
          <w:color w:val="auto"/>
          <w:szCs w:val="21"/>
          <w:highlight w:val="none"/>
          <w:u w:color="000000"/>
        </w:rPr>
        <w:t>。</w:t>
      </w:r>
    </w:p>
    <w:p w14:paraId="6C157270">
      <w:pPr>
        <w:pageBreakBefore w:val="0"/>
        <w:widowControl w:val="0"/>
        <w:kinsoku/>
        <w:wordWrap/>
        <w:overflowPunct/>
        <w:topLinePunct w:val="0"/>
        <w:bidi w:val="0"/>
        <w:snapToGrid w:val="0"/>
        <w:spacing w:line="360" w:lineRule="auto"/>
        <w:ind w:firstLine="477"/>
        <w:jc w:val="left"/>
        <w:textAlignment w:val="auto"/>
        <w:rPr>
          <w:rFonts w:ascii="宋体" w:hAnsi="宋体" w:cs="宋体"/>
          <w:color w:val="auto"/>
          <w:szCs w:val="21"/>
          <w:highlight w:val="none"/>
        </w:rPr>
      </w:pPr>
      <w:r>
        <w:rPr>
          <w:rFonts w:hint="eastAsia" w:ascii="宋体" w:hAnsi="宋体" w:cs="宋体"/>
          <w:b/>
          <w:bCs/>
          <w:color w:val="auto"/>
          <w:szCs w:val="21"/>
          <w:highlight w:val="none"/>
          <w:u w:val="single" w:color="000000"/>
        </w:rPr>
        <w:t xml:space="preserve">（3）上述手续办理费用约定如下：   由承包人支付。         </w:t>
      </w:r>
    </w:p>
    <w:p w14:paraId="290250EE">
      <w:pPr>
        <w:pageBreakBefore w:val="0"/>
        <w:widowControl w:val="0"/>
        <w:kinsoku/>
        <w:wordWrap/>
        <w:overflowPunct/>
        <w:topLinePunct w:val="0"/>
        <w:bidi w:val="0"/>
        <w:snapToGrid w:val="0"/>
        <w:spacing w:line="360" w:lineRule="auto"/>
        <w:ind w:firstLine="477"/>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6.1.6 关于安全文明施工费支付比例和支付期限的约定</w:t>
      </w:r>
      <w:r>
        <w:rPr>
          <w:rFonts w:hint="eastAsia" w:ascii="宋体" w:hAnsi="宋体" w:cs="宋体"/>
          <w:color w:val="auto"/>
          <w:szCs w:val="21"/>
          <w:highlight w:val="none"/>
          <w:lang w:eastAsia="zh-CN"/>
        </w:rPr>
        <w:t>，</w:t>
      </w:r>
      <w:r>
        <w:rPr>
          <w:rFonts w:hint="eastAsia" w:ascii="宋体" w:hAnsi="宋体" w:cs="宋体"/>
          <w:color w:val="auto"/>
          <w:szCs w:val="21"/>
          <w:highlight w:val="none"/>
          <w:u w:color="000000"/>
        </w:rPr>
        <w:t>按以下</w:t>
      </w:r>
      <w:r>
        <w:rPr>
          <w:rFonts w:hint="eastAsia" w:ascii="宋体" w:hAnsi="宋体" w:cs="宋体"/>
          <w:color w:val="auto"/>
          <w:szCs w:val="21"/>
          <w:highlight w:val="none"/>
          <w:u w:val="single" w:color="000000"/>
        </w:rPr>
        <w:t>第（</w:t>
      </w:r>
      <w:r>
        <w:rPr>
          <w:rFonts w:hint="eastAsia" w:ascii="宋体" w:hAnsi="宋体" w:cs="宋体"/>
          <w:color w:val="auto"/>
          <w:szCs w:val="21"/>
          <w:highlight w:val="none"/>
          <w:u w:val="single" w:color="000000"/>
          <w:lang w:val="en-US" w:eastAsia="zh-CN"/>
        </w:rPr>
        <w:t>2</w:t>
      </w:r>
      <w:r>
        <w:rPr>
          <w:rFonts w:hint="eastAsia" w:ascii="宋体" w:hAnsi="宋体" w:cs="宋体"/>
          <w:color w:val="auto"/>
          <w:szCs w:val="21"/>
          <w:highlight w:val="none"/>
          <w:u w:val="single" w:color="000000"/>
        </w:rPr>
        <w:t>）种方式</w:t>
      </w:r>
      <w:r>
        <w:rPr>
          <w:rFonts w:hint="eastAsia" w:ascii="宋体" w:hAnsi="宋体" w:cs="宋体"/>
          <w:color w:val="auto"/>
          <w:szCs w:val="21"/>
          <w:highlight w:val="none"/>
          <w:u w:color="000000"/>
        </w:rPr>
        <w:t>约定</w:t>
      </w:r>
      <w:r>
        <w:rPr>
          <w:rFonts w:hint="eastAsia" w:ascii="宋体" w:hAnsi="宋体" w:cs="宋体"/>
          <w:color w:val="auto"/>
          <w:szCs w:val="21"/>
          <w:highlight w:val="none"/>
        </w:rPr>
        <w:t>：</w:t>
      </w:r>
    </w:p>
    <w:p w14:paraId="0DECEB7C">
      <w:pPr>
        <w:pageBreakBefore w:val="0"/>
        <w:widowControl w:val="0"/>
        <w:kinsoku/>
        <w:wordWrap/>
        <w:overflowPunct/>
        <w:topLinePunct w:val="0"/>
        <w:bidi w:val="0"/>
        <w:snapToGrid w:val="0"/>
        <w:spacing w:line="360" w:lineRule="auto"/>
        <w:ind w:firstLine="477"/>
        <w:jc w:val="left"/>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（1）发包人应在开工后28天内预付安全文明施工费总额的60%，剩余部分支付按以下第（</w:t>
      </w:r>
      <w:r>
        <w:rPr>
          <w:rFonts w:hint="eastAsia" w:ascii="宋体" w:hAnsi="宋体" w:cs="宋体"/>
          <w:b/>
          <w:bCs/>
          <w:color w:val="auto"/>
          <w:szCs w:val="21"/>
          <w:highlight w:val="none"/>
          <w:u w:color="000000"/>
        </w:rPr>
        <w:t>①</w:t>
      </w:r>
      <w:r>
        <w:rPr>
          <w:rFonts w:hint="eastAsia" w:ascii="宋体" w:hAnsi="宋体" w:cs="宋体"/>
          <w:b/>
          <w:bCs/>
          <w:color w:val="auto"/>
          <w:szCs w:val="21"/>
          <w:highlight w:val="none"/>
          <w:u w:val="single" w:color="000000"/>
        </w:rPr>
        <w:t>）种方式约定：</w:t>
      </w:r>
    </w:p>
    <w:p w14:paraId="0A9FB8FF">
      <w:pPr>
        <w:pageBreakBefore w:val="0"/>
        <w:widowControl w:val="0"/>
        <w:kinsoku/>
        <w:wordWrap/>
        <w:overflowPunct/>
        <w:topLinePunct w:val="0"/>
        <w:bidi w:val="0"/>
        <w:snapToGrid w:val="0"/>
        <w:spacing w:line="360" w:lineRule="auto"/>
        <w:ind w:firstLine="477"/>
        <w:jc w:val="left"/>
        <w:textAlignment w:val="auto"/>
        <w:rPr>
          <w:rFonts w:ascii="宋体" w:hAnsi="宋体" w:cs="宋体"/>
          <w:b/>
          <w:bCs/>
          <w:color w:val="auto"/>
          <w:szCs w:val="21"/>
          <w:highlight w:val="none"/>
          <w:u w:color="000000"/>
        </w:rPr>
      </w:pPr>
      <w:r>
        <w:rPr>
          <w:rFonts w:hint="eastAsia" w:ascii="宋体" w:hAnsi="宋体" w:cs="宋体"/>
          <w:b/>
          <w:bCs/>
          <w:color w:val="auto"/>
          <w:szCs w:val="21"/>
          <w:highlight w:val="none"/>
          <w:u w:color="000000"/>
        </w:rPr>
        <w:t>①</w:t>
      </w:r>
      <w:r>
        <w:rPr>
          <w:rFonts w:hint="eastAsia" w:ascii="宋体" w:hAnsi="宋体" w:cs="宋体"/>
          <w:b/>
          <w:bCs/>
          <w:color w:val="auto"/>
          <w:szCs w:val="21"/>
          <w:highlight w:val="none"/>
          <w:u w:val="single" w:color="000000"/>
        </w:rPr>
        <w:t xml:space="preserve">  视相关措施的落实情况与进度款同期支付</w:t>
      </w:r>
      <w:r>
        <w:rPr>
          <w:rFonts w:hint="eastAsia" w:ascii="宋体" w:hAnsi="宋体" w:cs="宋体"/>
          <w:b/>
          <w:bCs/>
          <w:color w:val="auto"/>
          <w:szCs w:val="21"/>
          <w:highlight w:val="none"/>
          <w:u w:color="000000"/>
        </w:rPr>
        <w:t>。</w:t>
      </w:r>
    </w:p>
    <w:p w14:paraId="764DE93F">
      <w:pPr>
        <w:pageBreakBefore w:val="0"/>
        <w:widowControl w:val="0"/>
        <w:kinsoku/>
        <w:wordWrap/>
        <w:overflowPunct/>
        <w:topLinePunct w:val="0"/>
        <w:bidi w:val="0"/>
        <w:snapToGrid w:val="0"/>
        <w:spacing w:line="360" w:lineRule="auto"/>
        <w:ind w:firstLine="477"/>
        <w:jc w:val="left"/>
        <w:textAlignment w:val="auto"/>
        <w:rPr>
          <w:rFonts w:ascii="宋体" w:hAnsi="宋体" w:cs="宋体"/>
          <w:b/>
          <w:bCs/>
          <w:color w:val="auto"/>
          <w:szCs w:val="21"/>
          <w:highlight w:val="none"/>
          <w:u w:color="000000"/>
        </w:rPr>
      </w:pPr>
      <w:r>
        <w:rPr>
          <w:rFonts w:hint="eastAsia" w:ascii="宋体" w:hAnsi="宋体" w:cs="宋体"/>
          <w:b/>
          <w:bCs/>
          <w:color w:val="auto"/>
          <w:szCs w:val="21"/>
          <w:highlight w:val="none"/>
          <w:u w:color="000000"/>
        </w:rPr>
        <w:t>②</w:t>
      </w:r>
      <w:r>
        <w:rPr>
          <w:rFonts w:hint="eastAsia" w:ascii="宋体" w:hAnsi="宋体" w:cs="宋体"/>
          <w:b/>
          <w:bCs/>
          <w:color w:val="auto"/>
          <w:szCs w:val="21"/>
          <w:highlight w:val="none"/>
          <w:u w:val="single" w:color="000000"/>
        </w:rPr>
        <w:t xml:space="preserve">  其他：           /                  </w:t>
      </w:r>
      <w:r>
        <w:rPr>
          <w:rFonts w:hint="eastAsia" w:ascii="宋体" w:hAnsi="宋体" w:cs="宋体"/>
          <w:b/>
          <w:bCs/>
          <w:color w:val="auto"/>
          <w:szCs w:val="21"/>
          <w:highlight w:val="none"/>
          <w:u w:color="000000"/>
        </w:rPr>
        <w:t>。</w:t>
      </w:r>
    </w:p>
    <w:p w14:paraId="7C531280">
      <w:pPr>
        <w:pageBreakBefore w:val="0"/>
        <w:widowControl w:val="0"/>
        <w:kinsoku/>
        <w:wordWrap/>
        <w:overflowPunct/>
        <w:topLinePunct w:val="0"/>
        <w:bidi w:val="0"/>
        <w:snapToGrid w:val="0"/>
        <w:spacing w:line="360" w:lineRule="auto"/>
        <w:ind w:firstLine="422" w:firstLineChars="200"/>
        <w:jc w:val="left"/>
        <w:textAlignment w:val="auto"/>
        <w:rPr>
          <w:rFonts w:ascii="宋体" w:hAnsi="宋体" w:cs="宋体"/>
          <w:color w:val="auto"/>
          <w:szCs w:val="21"/>
          <w:highlight w:val="none"/>
        </w:rPr>
      </w:pPr>
      <w:r>
        <w:rPr>
          <w:rFonts w:hint="eastAsia" w:ascii="宋体" w:hAnsi="宋体" w:cs="宋体"/>
          <w:b/>
          <w:bCs/>
          <w:color w:val="auto"/>
          <w:szCs w:val="21"/>
          <w:highlight w:val="none"/>
          <w:u w:val="single" w:color="000000"/>
        </w:rPr>
        <w:t>（2）其他：/     。</w:t>
      </w:r>
    </w:p>
    <w:bookmarkEnd w:id="576"/>
    <w:bookmarkEnd w:id="577"/>
    <w:bookmarkEnd w:id="578"/>
    <w:bookmarkEnd w:id="579"/>
    <w:bookmarkEnd w:id="580"/>
    <w:bookmarkEnd w:id="581"/>
    <w:bookmarkEnd w:id="582"/>
    <w:p w14:paraId="0D3F6C12">
      <w:pPr>
        <w:pStyle w:val="7"/>
        <w:snapToGrid w:val="0"/>
        <w:spacing w:before="0" w:after="0" w:line="360" w:lineRule="auto"/>
        <w:rPr>
          <w:rFonts w:ascii="宋体" w:hAnsi="宋体" w:eastAsia="宋体" w:cs="宋体"/>
          <w:b w:val="0"/>
          <w:color w:val="auto"/>
          <w:sz w:val="21"/>
          <w:szCs w:val="21"/>
          <w:highlight w:val="none"/>
        </w:rPr>
      </w:pPr>
      <w:bookmarkStart w:id="584" w:name="_Toc351203639"/>
      <w:r>
        <w:rPr>
          <w:rFonts w:hint="eastAsia" w:ascii="宋体" w:hAnsi="宋体" w:eastAsia="宋体" w:cs="宋体"/>
          <w:b w:val="0"/>
          <w:color w:val="auto"/>
          <w:sz w:val="21"/>
          <w:szCs w:val="21"/>
          <w:highlight w:val="none"/>
        </w:rPr>
        <w:t>7. 工期和进度</w:t>
      </w:r>
      <w:bookmarkEnd w:id="584"/>
    </w:p>
    <w:p w14:paraId="0A73C6A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7.1 施工组织设计</w:t>
      </w:r>
    </w:p>
    <w:p w14:paraId="7A4D187A">
      <w:pPr>
        <w:autoSpaceDE w:val="0"/>
        <w:autoSpaceDN w:val="0"/>
        <w:snapToGrid w:val="0"/>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rPr>
        <w:t>7.1.1 合</w:t>
      </w:r>
      <w:r>
        <w:rPr>
          <w:rFonts w:hint="eastAsia" w:ascii="宋体" w:hAnsi="宋体" w:cs="宋体"/>
          <w:color w:val="auto"/>
          <w:kern w:val="0"/>
          <w:szCs w:val="21"/>
          <w:highlight w:val="none"/>
        </w:rPr>
        <w:t>同当事人约定的施工组织设计应包括的其他内容：</w:t>
      </w:r>
      <w:r>
        <w:rPr>
          <w:rFonts w:hint="eastAsia" w:ascii="宋体" w:hAnsi="宋体" w:cs="宋体"/>
          <w:color w:val="auto"/>
          <w:kern w:val="0"/>
          <w:szCs w:val="21"/>
          <w:highlight w:val="none"/>
          <w:u w:val="single"/>
        </w:rPr>
        <w:t>按通用条款执行</w:t>
      </w:r>
      <w:r>
        <w:rPr>
          <w:rFonts w:hint="eastAsia" w:ascii="宋体" w:hAnsi="宋体" w:cs="宋体"/>
          <w:color w:val="auto"/>
          <w:szCs w:val="21"/>
          <w:highlight w:val="none"/>
        </w:rPr>
        <w:t>。</w:t>
      </w:r>
    </w:p>
    <w:p w14:paraId="417E9E45">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 xml:space="preserve">7.1.2 </w:t>
      </w:r>
      <w:r>
        <w:rPr>
          <w:rFonts w:hint="eastAsia" w:ascii="宋体" w:hAnsi="宋体" w:cs="宋体"/>
          <w:color w:val="auto"/>
          <w:kern w:val="0"/>
          <w:szCs w:val="21"/>
          <w:highlight w:val="none"/>
        </w:rPr>
        <w:t>施工组织设计的提交和修改</w:t>
      </w:r>
    </w:p>
    <w:p w14:paraId="72F2FF04">
      <w:pPr>
        <w:autoSpaceDE w:val="0"/>
        <w:autoSpaceDN w:val="0"/>
        <w:snapToGrid w:val="0"/>
        <w:spacing w:line="360" w:lineRule="auto"/>
        <w:jc w:val="left"/>
        <w:rPr>
          <w:rFonts w:ascii="宋体" w:hAnsi="宋体" w:cs="宋体"/>
          <w:color w:val="auto"/>
          <w:szCs w:val="21"/>
          <w:highlight w:val="none"/>
        </w:rPr>
      </w:pPr>
      <w:r>
        <w:rPr>
          <w:rFonts w:hint="eastAsia" w:ascii="宋体" w:hAnsi="宋体" w:cs="宋体"/>
          <w:color w:val="auto"/>
          <w:kern w:val="0"/>
          <w:szCs w:val="21"/>
          <w:highlight w:val="none"/>
        </w:rPr>
        <w:t>承包人提交详细施工组织设计的期限的约定：</w:t>
      </w:r>
      <w:r>
        <w:rPr>
          <w:rFonts w:hint="eastAsia" w:ascii="宋体" w:hAnsi="宋体" w:cs="宋体"/>
          <w:b/>
          <w:bCs/>
          <w:color w:val="auto"/>
          <w:szCs w:val="21"/>
          <w:highlight w:val="none"/>
          <w:u w:val="single" w:color="000000"/>
        </w:rPr>
        <w:t>合同签订后（ 5 ）天内提供详细施工组织设计（施工方案）和进度计划</w:t>
      </w:r>
      <w:r>
        <w:rPr>
          <w:rFonts w:hint="eastAsia" w:ascii="宋体" w:hAnsi="宋体" w:cs="宋体"/>
          <w:color w:val="auto"/>
          <w:szCs w:val="21"/>
          <w:highlight w:val="none"/>
        </w:rPr>
        <w:t>。</w:t>
      </w:r>
    </w:p>
    <w:p w14:paraId="0DF464F0">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发包人和监理人在收到详细的施工组织设计后确认或提出修改意见的期限：</w:t>
      </w:r>
      <w:r>
        <w:rPr>
          <w:rFonts w:hint="eastAsia" w:ascii="宋体" w:hAnsi="宋体" w:cs="宋体"/>
          <w:color w:val="auto"/>
          <w:szCs w:val="21"/>
          <w:highlight w:val="none"/>
          <w:u w:val="single" w:color="000000"/>
          <w:lang w:val="en-US" w:eastAsia="zh-CN"/>
        </w:rPr>
        <w:t>5日内</w:t>
      </w:r>
      <w:r>
        <w:rPr>
          <w:rFonts w:hint="eastAsia" w:ascii="宋体" w:hAnsi="宋体" w:cs="宋体"/>
          <w:color w:val="auto"/>
          <w:szCs w:val="21"/>
          <w:highlight w:val="none"/>
        </w:rPr>
        <w:t>。</w:t>
      </w:r>
    </w:p>
    <w:p w14:paraId="363A024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bookmarkStart w:id="585" w:name="_Toc297123514"/>
      <w:bookmarkStart w:id="586" w:name="_Toc304295541"/>
      <w:bookmarkStart w:id="587" w:name="_Toc297216173"/>
      <w:bookmarkStart w:id="588" w:name="_Toc300934966"/>
      <w:bookmarkStart w:id="589" w:name="_Toc303539123"/>
      <w:bookmarkStart w:id="590" w:name="_Toc312677479"/>
      <w:bookmarkStart w:id="591" w:name="_Toc312678005"/>
      <w:r>
        <w:rPr>
          <w:rFonts w:hint="eastAsia" w:ascii="宋体" w:hAnsi="宋体" w:cs="宋体"/>
          <w:color w:val="auto"/>
          <w:szCs w:val="21"/>
          <w:highlight w:val="none"/>
        </w:rPr>
        <w:t>.2 施工进度计划</w:t>
      </w:r>
    </w:p>
    <w:p w14:paraId="5D95AC79">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7.2.2 施工进度计划的修订</w:t>
      </w:r>
    </w:p>
    <w:p w14:paraId="7A4CE109">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发包人和监理人在收到修订的施工进度计划后确认或提出修改意见的期限：</w:t>
      </w:r>
      <w:r>
        <w:rPr>
          <w:rFonts w:hint="eastAsia" w:ascii="宋体" w:hAnsi="宋体" w:cs="宋体"/>
          <w:color w:val="auto"/>
          <w:szCs w:val="21"/>
          <w:highlight w:val="none"/>
          <w:u w:val="single" w:color="000000"/>
          <w:lang w:val="en-US" w:eastAsia="zh-CN"/>
        </w:rPr>
        <w:t>5日内</w:t>
      </w:r>
      <w:r>
        <w:rPr>
          <w:rFonts w:hint="eastAsia" w:ascii="宋体" w:hAnsi="宋体" w:cs="宋体"/>
          <w:color w:val="auto"/>
          <w:szCs w:val="21"/>
          <w:highlight w:val="none"/>
        </w:rPr>
        <w:t>。</w:t>
      </w:r>
    </w:p>
    <w:p w14:paraId="34DC30A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7.3 开工</w:t>
      </w:r>
    </w:p>
    <w:p w14:paraId="102D32D2">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7.3.1 开工准备</w:t>
      </w:r>
    </w:p>
    <w:p w14:paraId="41978C1D">
      <w:pPr>
        <w:snapToGrid w:val="0"/>
        <w:spacing w:line="360" w:lineRule="auto"/>
        <w:ind w:firstLine="645"/>
        <w:jc w:val="left"/>
        <w:rPr>
          <w:rFonts w:hint="eastAsia" w:ascii="宋体" w:hAnsi="宋体" w:cs="宋体"/>
          <w:color w:val="auto"/>
          <w:szCs w:val="21"/>
          <w:highlight w:val="none"/>
        </w:rPr>
      </w:pPr>
      <w:r>
        <w:rPr>
          <w:rFonts w:hint="eastAsia" w:ascii="宋体" w:hAnsi="宋体" w:cs="宋体"/>
          <w:color w:val="auto"/>
          <w:szCs w:val="21"/>
          <w:highlight w:val="none"/>
        </w:rPr>
        <w:t>关于承包人提交</w:t>
      </w:r>
      <w:r>
        <w:rPr>
          <w:rFonts w:hint="eastAsia" w:ascii="宋体" w:hAnsi="宋体" w:cs="宋体"/>
          <w:color w:val="auto"/>
          <w:kern w:val="0"/>
          <w:szCs w:val="21"/>
          <w:highlight w:val="none"/>
        </w:rPr>
        <w:t>工程开工报审表的期限：</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val="single" w:color="000000"/>
          <w:lang w:val="en-US" w:eastAsia="zh-CN"/>
        </w:rPr>
        <w:t>合同生效后30日内</w:t>
      </w:r>
      <w:r>
        <w:rPr>
          <w:rFonts w:hint="eastAsia" w:ascii="宋体" w:hAnsi="宋体" w:cs="宋体"/>
          <w:color w:val="auto"/>
          <w:szCs w:val="21"/>
          <w:highlight w:val="none"/>
        </w:rPr>
        <w:t>。</w:t>
      </w:r>
    </w:p>
    <w:p w14:paraId="19FC8339">
      <w:pPr>
        <w:snapToGrid w:val="0"/>
        <w:spacing w:line="360" w:lineRule="auto"/>
        <w:ind w:firstLine="645"/>
        <w:jc w:val="left"/>
        <w:rPr>
          <w:rFonts w:hint="eastAsia" w:ascii="宋体" w:hAnsi="宋体" w:cs="宋体"/>
          <w:color w:val="auto"/>
          <w:szCs w:val="21"/>
          <w:highlight w:val="none"/>
        </w:rPr>
      </w:pPr>
      <w:r>
        <w:rPr>
          <w:rFonts w:hint="eastAsia" w:ascii="宋体" w:hAnsi="宋体" w:cs="宋体"/>
          <w:color w:val="auto"/>
          <w:szCs w:val="21"/>
          <w:highlight w:val="none"/>
        </w:rPr>
        <w:t>关于发包人应完成的其他开工准备工作及期限：</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val="single" w:color="000000"/>
          <w:lang w:val="en-US" w:eastAsia="zh-CN"/>
        </w:rPr>
        <w:t>合同生效后30日内</w:t>
      </w:r>
      <w:r>
        <w:rPr>
          <w:rFonts w:hint="eastAsia" w:ascii="宋体" w:hAnsi="宋体" w:cs="宋体"/>
          <w:color w:val="auto"/>
          <w:szCs w:val="21"/>
          <w:highlight w:val="none"/>
        </w:rPr>
        <w:t>。</w:t>
      </w:r>
    </w:p>
    <w:p w14:paraId="35FDCD8C">
      <w:pPr>
        <w:snapToGrid w:val="0"/>
        <w:spacing w:line="360" w:lineRule="auto"/>
        <w:ind w:firstLine="645"/>
        <w:jc w:val="left"/>
        <w:rPr>
          <w:rFonts w:ascii="宋体" w:hAnsi="宋体" w:cs="宋体"/>
          <w:color w:val="auto"/>
          <w:szCs w:val="21"/>
          <w:highlight w:val="none"/>
        </w:rPr>
      </w:pPr>
      <w:r>
        <w:rPr>
          <w:rFonts w:hint="eastAsia" w:ascii="宋体" w:hAnsi="宋体" w:cs="宋体"/>
          <w:color w:val="auto"/>
          <w:szCs w:val="21"/>
          <w:highlight w:val="none"/>
        </w:rPr>
        <w:t>关于承包人应完成的其他开工准备工作及期限：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color="000000"/>
          <w:lang w:val="en-US" w:eastAsia="zh-CN"/>
        </w:rPr>
        <w:t>合同生效后30日内</w:t>
      </w:r>
      <w:r>
        <w:rPr>
          <w:rFonts w:hint="eastAsia" w:ascii="宋体" w:hAnsi="宋体" w:cs="宋体"/>
          <w:color w:val="auto"/>
          <w:szCs w:val="21"/>
          <w:highlight w:val="none"/>
        </w:rPr>
        <w:t>。</w:t>
      </w:r>
    </w:p>
    <w:p w14:paraId="466BA641">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7.3.2开工通知</w:t>
      </w:r>
    </w:p>
    <w:p w14:paraId="2605C352">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因发包人原因造成监理人未能在计划开工日期之日起</w:t>
      </w:r>
      <w:r>
        <w:rPr>
          <w:rFonts w:hint="eastAsia" w:ascii="宋体" w:hAnsi="宋体" w:cs="宋体"/>
          <w:color w:val="auto"/>
          <w:szCs w:val="21"/>
          <w:highlight w:val="none"/>
          <w:u w:val="single"/>
          <w:lang w:val="en-US" w:eastAsia="zh-CN"/>
        </w:rPr>
        <w:t>30</w:t>
      </w:r>
      <w:r>
        <w:rPr>
          <w:rFonts w:hint="eastAsia" w:ascii="宋体" w:hAnsi="宋体" w:cs="宋体"/>
          <w:color w:val="auto"/>
          <w:szCs w:val="21"/>
          <w:highlight w:val="none"/>
        </w:rPr>
        <w:t>天内发出开工通知的，承包人有权提出价格调整要求，或者解除合同。</w:t>
      </w:r>
    </w:p>
    <w:bookmarkEnd w:id="585"/>
    <w:bookmarkEnd w:id="586"/>
    <w:bookmarkEnd w:id="587"/>
    <w:bookmarkEnd w:id="588"/>
    <w:bookmarkEnd w:id="589"/>
    <w:bookmarkEnd w:id="590"/>
    <w:bookmarkEnd w:id="591"/>
    <w:p w14:paraId="2645080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7.4 测量放线</w:t>
      </w:r>
    </w:p>
    <w:p w14:paraId="7590E602">
      <w:pPr>
        <w:snapToGrid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7.4.1发包人通过监理人向承包人提供测量基准点、基准线和水准点及其书面资料的期限：</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val="single" w:color="000000"/>
          <w:lang w:val="en-US" w:eastAsia="zh-CN"/>
        </w:rPr>
        <w:t>合同生效后30日内</w:t>
      </w:r>
      <w:r>
        <w:rPr>
          <w:rFonts w:hint="eastAsia" w:ascii="宋体" w:hAnsi="宋体" w:cs="宋体"/>
          <w:color w:val="auto"/>
          <w:szCs w:val="21"/>
          <w:highlight w:val="none"/>
        </w:rPr>
        <w:t>。</w:t>
      </w:r>
    </w:p>
    <w:p w14:paraId="7055276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bookmarkStart w:id="592" w:name="_Toc300934968"/>
      <w:bookmarkStart w:id="593" w:name="_Toc297216175"/>
      <w:bookmarkStart w:id="594" w:name="_Toc312678010"/>
      <w:bookmarkStart w:id="595" w:name="_Toc297123516"/>
      <w:bookmarkStart w:id="596" w:name="_Toc303539125"/>
      <w:bookmarkStart w:id="597" w:name="_Toc312677484"/>
      <w:bookmarkStart w:id="598" w:name="_Toc304295546"/>
      <w:r>
        <w:rPr>
          <w:rFonts w:hint="eastAsia" w:ascii="宋体" w:hAnsi="宋体" w:cs="宋体"/>
          <w:color w:val="auto"/>
          <w:szCs w:val="21"/>
          <w:highlight w:val="none"/>
        </w:rPr>
        <w:t>.5 工期延误</w:t>
      </w:r>
    </w:p>
    <w:bookmarkEnd w:id="592"/>
    <w:bookmarkEnd w:id="593"/>
    <w:bookmarkEnd w:id="594"/>
    <w:bookmarkEnd w:id="595"/>
    <w:bookmarkEnd w:id="596"/>
    <w:bookmarkEnd w:id="597"/>
    <w:bookmarkEnd w:id="598"/>
    <w:p w14:paraId="6BB1734F">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7.5.1 因发包人原因导致工期延误</w:t>
      </w:r>
    </w:p>
    <w:p w14:paraId="4AB8643D">
      <w:pPr>
        <w:pageBreakBefore w:val="0"/>
        <w:widowControl w:val="0"/>
        <w:kinsoku/>
        <w:wordWrap/>
        <w:overflowPunct/>
        <w:topLinePunct w:val="0"/>
        <w:bidi w:val="0"/>
        <w:snapToGrid w:val="0"/>
        <w:spacing w:line="360" w:lineRule="auto"/>
        <w:ind w:firstLine="477"/>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（7）因发包人原因导致工期延误的其他情形：</w:t>
      </w:r>
    </w:p>
    <w:p w14:paraId="03043E2C">
      <w:pPr>
        <w:pageBreakBefore w:val="0"/>
        <w:widowControl w:val="0"/>
        <w:kinsoku/>
        <w:wordWrap/>
        <w:overflowPunct/>
        <w:topLinePunct w:val="0"/>
        <w:bidi w:val="0"/>
        <w:snapToGrid w:val="0"/>
        <w:spacing w:line="360" w:lineRule="auto"/>
        <w:ind w:firstLine="477"/>
        <w:jc w:val="left"/>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①重大设计变更引起的工期延误</w:t>
      </w:r>
      <w:r>
        <w:rPr>
          <w:rFonts w:hint="eastAsia" w:ascii="宋体" w:hAnsi="宋体" w:cs="宋体"/>
          <w:b/>
          <w:bCs/>
          <w:color w:val="auto"/>
          <w:szCs w:val="21"/>
          <w:highlight w:val="none"/>
          <w:u w:color="000000"/>
        </w:rPr>
        <w:t>；</w:t>
      </w:r>
    </w:p>
    <w:p w14:paraId="0B4953A5">
      <w:pPr>
        <w:pageBreakBefore w:val="0"/>
        <w:widowControl w:val="0"/>
        <w:kinsoku/>
        <w:wordWrap/>
        <w:overflowPunct/>
        <w:topLinePunct w:val="0"/>
        <w:bidi w:val="0"/>
        <w:snapToGrid w:val="0"/>
        <w:spacing w:line="360" w:lineRule="auto"/>
        <w:ind w:firstLine="504"/>
        <w:jc w:val="left"/>
        <w:textAlignment w:val="auto"/>
        <w:rPr>
          <w:rFonts w:ascii="宋体" w:hAnsi="宋体" w:cs="宋体"/>
          <w:color w:val="auto"/>
          <w:szCs w:val="21"/>
          <w:highlight w:val="none"/>
        </w:rPr>
      </w:pPr>
      <w:r>
        <w:rPr>
          <w:rFonts w:hint="eastAsia" w:ascii="宋体" w:hAnsi="宋体" w:cs="宋体"/>
          <w:b/>
          <w:bCs/>
          <w:color w:val="auto"/>
          <w:szCs w:val="21"/>
          <w:highlight w:val="none"/>
          <w:u w:val="single" w:color="000000"/>
        </w:rPr>
        <w:t xml:space="preserve">②其他：      </w:t>
      </w:r>
      <w:r>
        <w:rPr>
          <w:rFonts w:hint="eastAsia" w:ascii="宋体" w:hAnsi="宋体" w:cs="宋体"/>
          <w:b/>
          <w:bCs/>
          <w:color w:val="auto"/>
          <w:szCs w:val="21"/>
          <w:highlight w:val="none"/>
          <w:u w:color="000000"/>
        </w:rPr>
        <w:t>。</w:t>
      </w:r>
    </w:p>
    <w:p w14:paraId="7CD4E317">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w:t>
      </w:r>
      <w:bookmarkStart w:id="599" w:name="_Toc312678012"/>
      <w:bookmarkStart w:id="600" w:name="_Toc318581169"/>
      <w:bookmarkStart w:id="601" w:name="_Toc312677486"/>
      <w:bookmarkStart w:id="602" w:name="_Toc303539127"/>
      <w:bookmarkStart w:id="603" w:name="_Toc297216177"/>
      <w:bookmarkStart w:id="604" w:name="_Toc300934970"/>
      <w:bookmarkStart w:id="605" w:name="_Toc297123518"/>
      <w:bookmarkStart w:id="606" w:name="_Toc304295548"/>
      <w:r>
        <w:rPr>
          <w:rFonts w:hint="eastAsia" w:ascii="宋体" w:hAnsi="宋体" w:cs="宋体"/>
          <w:color w:val="auto"/>
          <w:szCs w:val="21"/>
          <w:highlight w:val="none"/>
        </w:rPr>
        <w:t>.5.2 因承包人原因导致工期延误</w:t>
      </w:r>
    </w:p>
    <w:bookmarkEnd w:id="599"/>
    <w:bookmarkEnd w:id="600"/>
    <w:bookmarkEnd w:id="601"/>
    <w:p w14:paraId="044BBEC3">
      <w:pPr>
        <w:snapToGrid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因</w:t>
      </w:r>
      <w:bookmarkStart w:id="607" w:name="_Toc312678013"/>
      <w:bookmarkStart w:id="608" w:name="_Toc312677487"/>
      <w:bookmarkStart w:id="609" w:name="_Toc318581170"/>
      <w:r>
        <w:rPr>
          <w:rFonts w:hint="eastAsia" w:ascii="宋体" w:hAnsi="宋体" w:cs="宋体"/>
          <w:color w:val="auto"/>
          <w:szCs w:val="21"/>
          <w:highlight w:val="none"/>
        </w:rPr>
        <w:t>承包人原因造成工期延误，逾期竣工违约金的计算方法为：</w:t>
      </w:r>
    </w:p>
    <w:p w14:paraId="2E003678">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u w:val="single" w:color="000000"/>
          <w:lang w:val="en-US" w:eastAsia="zh-CN"/>
        </w:rPr>
        <w:t>逾期每日按合同的万分之五</w:t>
      </w:r>
      <w:r>
        <w:rPr>
          <w:rFonts w:hint="eastAsia" w:ascii="宋体" w:hAnsi="宋体" w:cs="宋体"/>
          <w:color w:val="auto"/>
          <w:szCs w:val="21"/>
          <w:highlight w:val="none"/>
        </w:rPr>
        <w:t>。</w:t>
      </w:r>
      <w:bookmarkEnd w:id="602"/>
      <w:bookmarkEnd w:id="603"/>
      <w:bookmarkEnd w:id="604"/>
      <w:bookmarkEnd w:id="605"/>
      <w:bookmarkEnd w:id="606"/>
      <w:bookmarkEnd w:id="607"/>
      <w:bookmarkEnd w:id="608"/>
    </w:p>
    <w:bookmarkEnd w:id="609"/>
    <w:p w14:paraId="7904784E">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因承包人原因造成工期延误，逾</w:t>
      </w:r>
      <w:bookmarkStart w:id="610" w:name="_Toc318581171"/>
      <w:bookmarkStart w:id="611" w:name="_Toc312678014"/>
      <w:r>
        <w:rPr>
          <w:rFonts w:hint="eastAsia" w:ascii="宋体" w:hAnsi="宋体" w:cs="宋体"/>
          <w:color w:val="auto"/>
          <w:szCs w:val="21"/>
          <w:highlight w:val="none"/>
        </w:rPr>
        <w:t>期竣工违约金的上限：</w:t>
      </w:r>
      <w:r>
        <w:rPr>
          <w:rFonts w:hint="eastAsia" w:ascii="宋体" w:hAnsi="宋体" w:cs="宋体"/>
          <w:color w:val="auto"/>
          <w:szCs w:val="21"/>
          <w:highlight w:val="none"/>
          <w:u w:val="single" w:color="000000"/>
          <w:lang w:val="en-US" w:eastAsia="zh-CN"/>
        </w:rPr>
        <w:t>扣完为止</w:t>
      </w:r>
      <w:r>
        <w:rPr>
          <w:rFonts w:hint="eastAsia" w:ascii="宋体" w:hAnsi="宋体" w:cs="宋体"/>
          <w:color w:val="auto"/>
          <w:szCs w:val="21"/>
          <w:highlight w:val="none"/>
        </w:rPr>
        <w:t>。</w:t>
      </w:r>
    </w:p>
    <w:bookmarkEnd w:id="610"/>
    <w:bookmarkEnd w:id="611"/>
    <w:p w14:paraId="555B386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bookmarkStart w:id="612" w:name="_Toc304295549"/>
      <w:bookmarkStart w:id="613" w:name="_Toc297123519"/>
      <w:bookmarkStart w:id="614" w:name="_Toc312678015"/>
      <w:bookmarkStart w:id="615" w:name="_Toc303539128"/>
      <w:bookmarkStart w:id="616" w:name="_Toc297216178"/>
      <w:bookmarkStart w:id="617" w:name="_Toc300934971"/>
      <w:r>
        <w:rPr>
          <w:rFonts w:hint="eastAsia" w:ascii="宋体" w:hAnsi="宋体" w:cs="宋体"/>
          <w:color w:val="auto"/>
          <w:szCs w:val="21"/>
          <w:highlight w:val="none"/>
        </w:rPr>
        <w:t>.6 不</w:t>
      </w:r>
      <w:bookmarkEnd w:id="612"/>
      <w:bookmarkEnd w:id="613"/>
      <w:bookmarkEnd w:id="614"/>
      <w:bookmarkEnd w:id="615"/>
      <w:bookmarkEnd w:id="616"/>
      <w:bookmarkEnd w:id="617"/>
      <w:r>
        <w:rPr>
          <w:rFonts w:hint="eastAsia" w:ascii="宋体" w:hAnsi="宋体" w:cs="宋体"/>
          <w:color w:val="auto"/>
          <w:szCs w:val="21"/>
          <w:highlight w:val="none"/>
        </w:rPr>
        <w:t>利物质条件</w:t>
      </w:r>
    </w:p>
    <w:p w14:paraId="4E9913B7">
      <w:pPr>
        <w:pageBreakBefore w:val="0"/>
        <w:widowControl w:val="0"/>
        <w:kinsoku/>
        <w:wordWrap/>
        <w:overflowPunct/>
        <w:topLinePunct w:val="0"/>
        <w:bidi w:val="0"/>
        <w:snapToGrid w:val="0"/>
        <w:spacing w:line="360" w:lineRule="auto"/>
        <w:ind w:firstLine="477"/>
        <w:jc w:val="left"/>
        <w:textAlignment w:val="auto"/>
        <w:rPr>
          <w:rFonts w:hint="eastAsia" w:ascii="宋体" w:hAnsi="宋体" w:cs="宋体"/>
          <w:color w:val="auto"/>
          <w:szCs w:val="21"/>
          <w:highlight w:val="none"/>
        </w:rPr>
      </w:pPr>
      <w:bookmarkStart w:id="618" w:name="_Toc300934972"/>
      <w:bookmarkStart w:id="619" w:name="_Toc297123520"/>
      <w:bookmarkStart w:id="620" w:name="_Toc312678016"/>
      <w:bookmarkStart w:id="621" w:name="_Toc318581172"/>
      <w:bookmarkStart w:id="622" w:name="_Toc297216179"/>
      <w:bookmarkStart w:id="623" w:name="_Toc304295550"/>
      <w:bookmarkStart w:id="624" w:name="_Toc303539129"/>
      <w:r>
        <w:rPr>
          <w:rFonts w:hint="eastAsia" w:ascii="宋体" w:hAnsi="宋体" w:cs="宋体"/>
          <w:color w:val="auto"/>
          <w:szCs w:val="21"/>
          <w:highlight w:val="none"/>
        </w:rPr>
        <w:t>不利物质条件的其他情形和有关约定：</w:t>
      </w:r>
    </w:p>
    <w:p w14:paraId="67092A7A">
      <w:pPr>
        <w:pageBreakBefore w:val="0"/>
        <w:widowControl w:val="0"/>
        <w:kinsoku/>
        <w:wordWrap/>
        <w:overflowPunct/>
        <w:topLinePunct w:val="0"/>
        <w:bidi w:val="0"/>
        <w:snapToGrid w:val="0"/>
        <w:spacing w:line="360" w:lineRule="auto"/>
        <w:ind w:firstLine="477"/>
        <w:jc w:val="left"/>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 xml:space="preserve">（1）施工场地周围地下管线                            </w:t>
      </w:r>
      <w:r>
        <w:rPr>
          <w:rFonts w:hint="eastAsia" w:ascii="宋体" w:hAnsi="宋体" w:cs="宋体"/>
          <w:b/>
          <w:bCs/>
          <w:color w:val="auto"/>
          <w:szCs w:val="21"/>
          <w:highlight w:val="none"/>
          <w:u w:color="000000"/>
        </w:rPr>
        <w:t>；</w:t>
      </w:r>
    </w:p>
    <w:p w14:paraId="6EA6A19C">
      <w:pPr>
        <w:pageBreakBefore w:val="0"/>
        <w:widowControl w:val="0"/>
        <w:kinsoku/>
        <w:wordWrap/>
        <w:overflowPunct/>
        <w:topLinePunct w:val="0"/>
        <w:bidi w:val="0"/>
        <w:snapToGrid w:val="0"/>
        <w:spacing w:line="360" w:lineRule="auto"/>
        <w:ind w:firstLine="477"/>
        <w:jc w:val="left"/>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 xml:space="preserve">（2）地下障碍物和污染物                              </w:t>
      </w:r>
      <w:r>
        <w:rPr>
          <w:rFonts w:hint="eastAsia" w:ascii="宋体" w:hAnsi="宋体" w:cs="宋体"/>
          <w:b/>
          <w:bCs/>
          <w:color w:val="auto"/>
          <w:szCs w:val="21"/>
          <w:highlight w:val="none"/>
          <w:u w:color="000000"/>
        </w:rPr>
        <w:t>；</w:t>
      </w:r>
    </w:p>
    <w:p w14:paraId="6A0326CE">
      <w:pPr>
        <w:pageBreakBefore w:val="0"/>
        <w:widowControl w:val="0"/>
        <w:kinsoku/>
        <w:wordWrap/>
        <w:overflowPunct/>
        <w:topLinePunct w:val="0"/>
        <w:bidi w:val="0"/>
        <w:snapToGrid w:val="0"/>
        <w:spacing w:line="360" w:lineRule="auto"/>
        <w:ind w:firstLine="477"/>
        <w:jc w:val="left"/>
        <w:textAlignment w:val="auto"/>
        <w:rPr>
          <w:rFonts w:hint="eastAsia" w:ascii="宋体" w:hAnsi="宋体" w:cs="宋体"/>
          <w:b/>
          <w:bCs/>
          <w:color w:val="auto"/>
          <w:szCs w:val="21"/>
          <w:highlight w:val="none"/>
          <w:u w:color="000000"/>
        </w:rPr>
      </w:pPr>
      <w:r>
        <w:rPr>
          <w:rFonts w:hint="eastAsia" w:ascii="宋体" w:hAnsi="宋体" w:cs="宋体"/>
          <w:b/>
          <w:bCs/>
          <w:color w:val="auto"/>
          <w:szCs w:val="21"/>
          <w:highlight w:val="none"/>
          <w:u w:val="single" w:color="000000"/>
        </w:rPr>
        <w:t xml:space="preserve">（3）邻近建筑物、构筑物的保护要求                    </w:t>
      </w:r>
      <w:r>
        <w:rPr>
          <w:rFonts w:hint="eastAsia" w:ascii="宋体" w:hAnsi="宋体" w:cs="宋体"/>
          <w:b/>
          <w:bCs/>
          <w:color w:val="auto"/>
          <w:szCs w:val="21"/>
          <w:highlight w:val="none"/>
          <w:u w:color="000000"/>
        </w:rPr>
        <w:t>；</w:t>
      </w:r>
    </w:p>
    <w:p w14:paraId="3B782303">
      <w:pPr>
        <w:pageBreakBefore w:val="0"/>
        <w:widowControl w:val="0"/>
        <w:kinsoku/>
        <w:wordWrap/>
        <w:overflowPunct/>
        <w:topLinePunct w:val="0"/>
        <w:bidi w:val="0"/>
        <w:snapToGrid w:val="0"/>
        <w:spacing w:line="360" w:lineRule="auto"/>
        <w:ind w:firstLine="477"/>
        <w:jc w:val="left"/>
        <w:textAlignment w:val="auto"/>
        <w:rPr>
          <w:rFonts w:ascii="宋体" w:hAnsi="宋体" w:cs="宋体"/>
          <w:color w:val="auto"/>
          <w:szCs w:val="21"/>
          <w:highlight w:val="none"/>
        </w:rPr>
      </w:pPr>
      <w:r>
        <w:rPr>
          <w:rFonts w:hint="eastAsia" w:ascii="宋体" w:hAnsi="宋体" w:cs="宋体"/>
          <w:b/>
          <w:bCs/>
          <w:color w:val="auto"/>
          <w:szCs w:val="21"/>
          <w:highlight w:val="none"/>
          <w:u w:val="single" w:color="000000"/>
        </w:rPr>
        <w:t xml:space="preserve">（4）其他                                            </w:t>
      </w:r>
      <w:r>
        <w:rPr>
          <w:rFonts w:hint="eastAsia" w:ascii="宋体" w:hAnsi="宋体" w:cs="宋体"/>
          <w:b/>
          <w:bCs/>
          <w:color w:val="auto"/>
          <w:szCs w:val="21"/>
          <w:highlight w:val="none"/>
          <w:u w:color="000000"/>
        </w:rPr>
        <w:t>。</w:t>
      </w:r>
    </w:p>
    <w:bookmarkEnd w:id="618"/>
    <w:bookmarkEnd w:id="619"/>
    <w:bookmarkEnd w:id="620"/>
    <w:bookmarkEnd w:id="621"/>
    <w:bookmarkEnd w:id="622"/>
    <w:bookmarkEnd w:id="623"/>
    <w:bookmarkEnd w:id="624"/>
    <w:p w14:paraId="3AE6979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bookmarkStart w:id="625" w:name="_Toc300934973"/>
      <w:bookmarkStart w:id="626" w:name="_Toc303539130"/>
      <w:bookmarkStart w:id="627" w:name="_Toc297123521"/>
      <w:bookmarkStart w:id="628" w:name="_Toc304295551"/>
      <w:bookmarkStart w:id="629" w:name="_Toc312678017"/>
      <w:bookmarkStart w:id="630" w:name="_Toc297216180"/>
      <w:r>
        <w:rPr>
          <w:rFonts w:hint="eastAsia" w:ascii="宋体" w:hAnsi="宋体" w:cs="宋体"/>
          <w:color w:val="auto"/>
          <w:szCs w:val="21"/>
          <w:highlight w:val="none"/>
        </w:rPr>
        <w:t>.7异常恶劣的气候条件</w:t>
      </w:r>
    </w:p>
    <w:bookmarkEnd w:id="625"/>
    <w:bookmarkEnd w:id="626"/>
    <w:bookmarkEnd w:id="627"/>
    <w:bookmarkEnd w:id="628"/>
    <w:bookmarkEnd w:id="629"/>
    <w:bookmarkEnd w:id="630"/>
    <w:p w14:paraId="4233ACE0">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发包人和承包人同意以下情形视为异常恶劣的气候条件：</w:t>
      </w:r>
    </w:p>
    <w:p w14:paraId="02D7827D">
      <w:pPr>
        <w:pageBreakBefore w:val="0"/>
        <w:widowControl w:val="0"/>
        <w:kinsoku/>
        <w:wordWrap/>
        <w:overflowPunct/>
        <w:topLinePunct w:val="0"/>
        <w:bidi w:val="0"/>
        <w:snapToGrid w:val="0"/>
        <w:spacing w:line="360" w:lineRule="auto"/>
        <w:ind w:firstLine="477"/>
        <w:jc w:val="left"/>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（1）日最高气温达到40 度及以上的天气；</w:t>
      </w:r>
    </w:p>
    <w:p w14:paraId="3DCD079D">
      <w:pPr>
        <w:pageBreakBefore w:val="0"/>
        <w:widowControl w:val="0"/>
        <w:kinsoku/>
        <w:wordWrap/>
        <w:overflowPunct/>
        <w:topLinePunct w:val="0"/>
        <w:bidi w:val="0"/>
        <w:snapToGrid w:val="0"/>
        <w:spacing w:line="360" w:lineRule="auto"/>
        <w:ind w:firstLine="477"/>
        <w:jc w:val="left"/>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（2）启动台风橙色及以上预警的天气；</w:t>
      </w:r>
    </w:p>
    <w:p w14:paraId="2F1F488E">
      <w:pPr>
        <w:pageBreakBefore w:val="0"/>
        <w:widowControl w:val="0"/>
        <w:tabs>
          <w:tab w:val="left" w:pos="4646"/>
        </w:tabs>
        <w:kinsoku/>
        <w:wordWrap/>
        <w:overflowPunct/>
        <w:topLinePunct w:val="0"/>
        <w:bidi w:val="0"/>
        <w:snapToGrid w:val="0"/>
        <w:spacing w:line="360" w:lineRule="auto"/>
        <w:ind w:firstLine="477"/>
        <w:jc w:val="left"/>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（3）启动防汛预案一级响应的天气；</w:t>
      </w:r>
    </w:p>
    <w:p w14:paraId="5D7B389F">
      <w:pPr>
        <w:pageBreakBefore w:val="0"/>
        <w:widowControl w:val="0"/>
        <w:kinsoku/>
        <w:wordWrap/>
        <w:overflowPunct/>
        <w:topLinePunct w:val="0"/>
        <w:bidi w:val="0"/>
        <w:snapToGrid w:val="0"/>
        <w:spacing w:line="360" w:lineRule="auto"/>
        <w:ind w:firstLine="477"/>
        <w:jc w:val="left"/>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（4）启动防冻预案一级响应的天气；</w:t>
      </w:r>
    </w:p>
    <w:p w14:paraId="2C569AC1">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7.9 提前竣工的奖励</w:t>
      </w:r>
    </w:p>
    <w:p w14:paraId="4E875FDE">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7.9.2提前竣工的奖励：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56AECA0">
      <w:pPr>
        <w:pStyle w:val="7"/>
        <w:snapToGrid w:val="0"/>
        <w:spacing w:before="0" w:after="0" w:line="360" w:lineRule="auto"/>
        <w:rPr>
          <w:rFonts w:ascii="宋体" w:hAnsi="宋体" w:eastAsia="宋体" w:cs="宋体"/>
          <w:b w:val="0"/>
          <w:color w:val="auto"/>
          <w:sz w:val="21"/>
          <w:szCs w:val="21"/>
          <w:highlight w:val="none"/>
        </w:rPr>
      </w:pPr>
      <w:bookmarkStart w:id="631" w:name="_Toc351203640"/>
      <w:r>
        <w:rPr>
          <w:rFonts w:hint="eastAsia" w:ascii="宋体" w:hAnsi="宋体" w:eastAsia="宋体" w:cs="宋体"/>
          <w:b w:val="0"/>
          <w:color w:val="auto"/>
          <w:sz w:val="21"/>
          <w:szCs w:val="21"/>
          <w:highlight w:val="none"/>
        </w:rPr>
        <w:t>8. 材料与设备</w:t>
      </w:r>
      <w:bookmarkEnd w:id="631"/>
    </w:p>
    <w:bookmarkEnd w:id="566"/>
    <w:bookmarkEnd w:id="567"/>
    <w:bookmarkEnd w:id="568"/>
    <w:bookmarkEnd w:id="569"/>
    <w:bookmarkEnd w:id="570"/>
    <w:bookmarkEnd w:id="571"/>
    <w:bookmarkEnd w:id="572"/>
    <w:bookmarkEnd w:id="573"/>
    <w:bookmarkEnd w:id="574"/>
    <w:bookmarkEnd w:id="575"/>
    <w:p w14:paraId="2A1DF71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w:t>
      </w:r>
      <w:bookmarkStart w:id="632" w:name="_Toc292559877"/>
      <w:bookmarkStart w:id="633" w:name="_Toc312677493"/>
      <w:bookmarkStart w:id="634" w:name="_Toc292559372"/>
      <w:bookmarkStart w:id="635" w:name="_Toc296346668"/>
      <w:bookmarkStart w:id="636" w:name="_Toc280868654"/>
      <w:bookmarkStart w:id="637" w:name="_Toc312678019"/>
      <w:bookmarkStart w:id="638" w:name="_Toc303539136"/>
      <w:bookmarkStart w:id="639" w:name="_Toc300934979"/>
      <w:bookmarkStart w:id="640" w:name="_Toc296944506"/>
      <w:bookmarkStart w:id="641" w:name="_Toc296503167"/>
      <w:bookmarkStart w:id="642" w:name="_Toc297216186"/>
      <w:bookmarkStart w:id="643" w:name="_Toc296890995"/>
      <w:bookmarkStart w:id="644" w:name="_Toc297048353"/>
      <w:bookmarkStart w:id="645" w:name="_Toc296891207"/>
      <w:bookmarkStart w:id="646" w:name="_Toc296347166"/>
      <w:bookmarkStart w:id="647" w:name="_Toc297123527"/>
      <w:bookmarkStart w:id="648" w:name="_Toc304295556"/>
      <w:bookmarkStart w:id="649" w:name="_Toc297120467"/>
      <w:bookmarkStart w:id="650" w:name="_Toc280868656"/>
      <w:bookmarkStart w:id="651" w:name="_Toc267251424"/>
      <w:bookmarkStart w:id="652" w:name="_Toc280868655"/>
      <w:r>
        <w:rPr>
          <w:rFonts w:hint="eastAsia" w:ascii="宋体" w:hAnsi="宋体" w:cs="宋体"/>
          <w:color w:val="auto"/>
          <w:szCs w:val="21"/>
          <w:highlight w:val="none"/>
        </w:rPr>
        <w:t>.4材料与工程设备的保管与使用</w:t>
      </w:r>
    </w:p>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p w14:paraId="626DE079">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8</w:t>
      </w:r>
      <w:bookmarkStart w:id="653" w:name="_Toc292559373"/>
      <w:bookmarkStart w:id="654" w:name="_Toc292559878"/>
      <w:bookmarkStart w:id="655" w:name="_Toc296346669"/>
      <w:bookmarkStart w:id="656" w:name="_Toc296347167"/>
      <w:bookmarkStart w:id="657" w:name="_Toc303539137"/>
      <w:bookmarkStart w:id="658" w:name="_Toc297216187"/>
      <w:bookmarkStart w:id="659" w:name="_Toc296890996"/>
      <w:bookmarkStart w:id="660" w:name="_Toc297120468"/>
      <w:bookmarkStart w:id="661" w:name="_Toc297048354"/>
      <w:bookmarkStart w:id="662" w:name="_Toc297123528"/>
      <w:bookmarkStart w:id="663" w:name="_Toc318581173"/>
      <w:bookmarkStart w:id="664" w:name="_Toc304295557"/>
      <w:bookmarkStart w:id="665" w:name="_Toc296891208"/>
      <w:bookmarkStart w:id="666" w:name="_Toc312678020"/>
      <w:bookmarkStart w:id="667" w:name="_Toc312677494"/>
      <w:bookmarkStart w:id="668" w:name="_Toc296944507"/>
      <w:bookmarkStart w:id="669" w:name="_Toc300934980"/>
      <w:bookmarkStart w:id="670" w:name="_Toc296503168"/>
      <w:r>
        <w:rPr>
          <w:rFonts w:hint="eastAsia" w:ascii="宋体" w:hAnsi="宋体" w:cs="宋体"/>
          <w:color w:val="auto"/>
          <w:szCs w:val="21"/>
          <w:highlight w:val="none"/>
        </w:rPr>
        <w:t>.4.1发包人供应的材料设备的保管费用的承担：</w:t>
      </w:r>
      <w:r>
        <w:rPr>
          <w:rFonts w:hint="eastAsia" w:ascii="宋体" w:hAnsi="宋体" w:cs="宋体"/>
          <w:color w:val="auto"/>
          <w:szCs w:val="21"/>
          <w:highlight w:val="none"/>
          <w:u w:val="single" w:color="000000"/>
        </w:rPr>
        <w:t>由承包人在报价中考虑并承担相应费用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bookmarkEnd w:id="653"/>
      <w:bookmarkEnd w:id="654"/>
    </w:p>
    <w:p w14:paraId="727CA391">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8.6 样品</w:t>
      </w:r>
    </w:p>
    <w:p w14:paraId="15D10E4E">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8.6.1</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样品的报送与封存</w:t>
      </w:r>
    </w:p>
    <w:p w14:paraId="638F5510">
      <w:pPr>
        <w:pageBreakBefore w:val="0"/>
        <w:widowControl w:val="0"/>
        <w:kinsoku/>
        <w:wordWrap/>
        <w:overflowPunct/>
        <w:topLinePunct w:val="0"/>
        <w:bidi w:val="0"/>
        <w:snapToGrid w:val="0"/>
        <w:spacing w:line="360" w:lineRule="auto"/>
        <w:ind w:left="560" w:firstLine="454"/>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需要承包人报送样品的材料或工程设备，样品的种类、名称、规格、数量要求：</w:t>
      </w:r>
    </w:p>
    <w:p w14:paraId="1B56B4E8">
      <w:pPr>
        <w:pageBreakBefore w:val="0"/>
        <w:widowControl w:val="0"/>
        <w:kinsoku/>
        <w:wordWrap/>
        <w:overflowPunct/>
        <w:topLinePunct w:val="0"/>
        <w:bidi w:val="0"/>
        <w:snapToGrid w:val="0"/>
        <w:spacing w:line="360" w:lineRule="auto"/>
        <w:ind w:left="560" w:firstLine="454"/>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1）承包人采购材料设备的约定：根据施工图、招标文件及招标答疑纪要提供相应的合格样品，严格按照招投标书中明确的品牌、规格、质量等级等要求进行采购，采购的材料的质量、品牌等不符合招标文件、招标补充说明、工程量清单规定的要求，必须无条件更换并承担相关费用，采购的材料样品必须经监理和发包人验收后方能用于本工程，且必须符合施工图纸设计要求及国家有关标准。</w:t>
      </w:r>
    </w:p>
    <w:p w14:paraId="42F724C2">
      <w:pPr>
        <w:pageBreakBefore w:val="0"/>
        <w:widowControl w:val="0"/>
        <w:kinsoku/>
        <w:wordWrap/>
        <w:overflowPunct/>
        <w:topLinePunct w:val="0"/>
        <w:bidi w:val="0"/>
        <w:snapToGrid w:val="0"/>
        <w:spacing w:line="360" w:lineRule="auto"/>
        <w:ind w:left="560" w:firstLine="454"/>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2）承包人等自行报价的材料设备，承包人必须确保符合国家技术标准和技术规范，均有质检部门的质量保证书，并满足相关主管部门的检查和竣工验收要求；否则，发包人将有权要求更换或拆除返工，直到合格为止，引起的损失由承包人承担，并每发生一次扣除履约保证的10%。</w:t>
      </w:r>
    </w:p>
    <w:p w14:paraId="64333123">
      <w:pPr>
        <w:pageBreakBefore w:val="0"/>
        <w:widowControl w:val="0"/>
        <w:kinsoku/>
        <w:wordWrap/>
        <w:overflowPunct/>
        <w:topLinePunct w:val="0"/>
        <w:bidi w:val="0"/>
        <w:snapToGrid w:val="0"/>
        <w:spacing w:line="360" w:lineRule="auto"/>
        <w:ind w:left="560" w:firstLine="454"/>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3）在材料用于工程之前，承包人必须按发包人的选择和要求，提交有关的材料样品，以供检验，在采购前7天向发包人提供材料采购计划、材料资料和生产厂商资料，根据发包人和监理意见进行封样，经发包人、监理书面签证予以认可后，方可采购。</w:t>
      </w:r>
    </w:p>
    <w:p w14:paraId="45885B4F">
      <w:pPr>
        <w:pageBreakBefore w:val="0"/>
        <w:widowControl w:val="0"/>
        <w:kinsoku/>
        <w:wordWrap/>
        <w:overflowPunct/>
        <w:topLinePunct w:val="0"/>
        <w:bidi w:val="0"/>
        <w:snapToGrid w:val="0"/>
        <w:spacing w:line="360" w:lineRule="auto"/>
        <w:ind w:left="560" w:firstLine="454"/>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（4）在材料用于工程前，承包人必须向发包人、监理工程师提交制造厂家出具的材料质量证明，部分重要材料还必须提供市级或以上质检部门的有关检验报告原件或复印件，以证明该材料质量是合格的。</w:t>
      </w:r>
    </w:p>
    <w:p w14:paraId="7228F4C5">
      <w:pPr>
        <w:pageBreakBefore w:val="0"/>
        <w:widowControl w:val="0"/>
        <w:kinsoku/>
        <w:wordWrap/>
        <w:overflowPunct/>
        <w:topLinePunct w:val="0"/>
        <w:bidi w:val="0"/>
        <w:snapToGrid w:val="0"/>
        <w:spacing w:line="360" w:lineRule="auto"/>
        <w:ind w:left="560" w:firstLine="454"/>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（5）承包人随时按监理和发包人的要求，在制造和加工的地点、或合同规定的其他地方进行检查。</w:t>
      </w:r>
    </w:p>
    <w:p w14:paraId="358DC68D">
      <w:pPr>
        <w:pageBreakBefore w:val="0"/>
        <w:widowControl w:val="0"/>
        <w:kinsoku/>
        <w:wordWrap/>
        <w:overflowPunct/>
        <w:topLinePunct w:val="0"/>
        <w:bidi w:val="0"/>
        <w:snapToGrid w:val="0"/>
        <w:spacing w:line="360" w:lineRule="auto"/>
        <w:ind w:left="560" w:firstLine="454"/>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（6）承包人必须将他与合格的材料供应单位签订的材料供应协议副本提交发包人备案。</w:t>
      </w:r>
    </w:p>
    <w:p w14:paraId="17A9BE42">
      <w:pPr>
        <w:pageBreakBefore w:val="0"/>
        <w:widowControl w:val="0"/>
        <w:kinsoku/>
        <w:wordWrap/>
        <w:overflowPunct/>
        <w:topLinePunct w:val="0"/>
        <w:bidi w:val="0"/>
        <w:snapToGrid w:val="0"/>
        <w:spacing w:line="360" w:lineRule="auto"/>
        <w:ind w:left="560" w:firstLine="454"/>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（7）</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按照</w:t>
      </w:r>
      <w:r>
        <w:rPr>
          <w:rFonts w:hint="eastAsia" w:ascii="宋体" w:hAnsi="宋体" w:cs="宋体"/>
          <w:b/>
          <w:bCs/>
          <w:color w:val="auto"/>
          <w:szCs w:val="21"/>
          <w:highlight w:val="none"/>
          <w:u w:val="single" w:color="000000"/>
          <w:lang w:eastAsia="zh-CN"/>
        </w:rPr>
        <w:t>发包人</w:t>
      </w:r>
      <w:r>
        <w:rPr>
          <w:rFonts w:hint="eastAsia" w:ascii="宋体" w:hAnsi="宋体" w:cs="宋体"/>
          <w:b/>
          <w:bCs/>
          <w:color w:val="auto"/>
          <w:szCs w:val="21"/>
          <w:highlight w:val="none"/>
          <w:u w:val="single" w:color="000000"/>
        </w:rPr>
        <w:t>或规范要求采购供工程需要的材料设备、成品、半成品，并提供产品合格证明和质量保证书。在材料设备到货前24小时通知</w:t>
      </w:r>
      <w:r>
        <w:rPr>
          <w:rFonts w:hint="eastAsia" w:ascii="宋体" w:hAnsi="宋体" w:cs="宋体"/>
          <w:b/>
          <w:bCs/>
          <w:color w:val="auto"/>
          <w:szCs w:val="21"/>
          <w:highlight w:val="none"/>
          <w:u w:val="single" w:color="000000"/>
          <w:lang w:eastAsia="zh-CN"/>
        </w:rPr>
        <w:t>发包人</w:t>
      </w:r>
      <w:r>
        <w:rPr>
          <w:rFonts w:hint="eastAsia" w:ascii="宋体" w:hAnsi="宋体" w:cs="宋体"/>
          <w:b/>
          <w:bCs/>
          <w:color w:val="auto"/>
          <w:szCs w:val="21"/>
          <w:highlight w:val="none"/>
          <w:u w:val="single" w:color="000000"/>
        </w:rPr>
        <w:t>及监理验收。</w:t>
      </w:r>
    </w:p>
    <w:p w14:paraId="350DACA9">
      <w:pPr>
        <w:pageBreakBefore w:val="0"/>
        <w:widowControl w:val="0"/>
        <w:kinsoku/>
        <w:wordWrap/>
        <w:overflowPunct/>
        <w:topLinePunct w:val="0"/>
        <w:bidi w:val="0"/>
        <w:snapToGrid w:val="0"/>
        <w:spacing w:line="360" w:lineRule="auto"/>
        <w:ind w:left="560" w:firstLine="454"/>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（8）</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采购的材料设备与设计或标准、及合同约定的品牌要求不符时，</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应按</w:t>
      </w:r>
      <w:r>
        <w:rPr>
          <w:rFonts w:hint="eastAsia" w:ascii="宋体" w:hAnsi="宋体" w:cs="宋体"/>
          <w:b/>
          <w:bCs/>
          <w:color w:val="auto"/>
          <w:szCs w:val="21"/>
          <w:highlight w:val="none"/>
          <w:u w:val="single" w:color="000000"/>
          <w:lang w:eastAsia="zh-CN"/>
        </w:rPr>
        <w:t>发包人</w:t>
      </w:r>
      <w:r>
        <w:rPr>
          <w:rFonts w:hint="eastAsia" w:ascii="宋体" w:hAnsi="宋体" w:cs="宋体"/>
          <w:b/>
          <w:bCs/>
          <w:color w:val="auto"/>
          <w:szCs w:val="21"/>
          <w:highlight w:val="none"/>
          <w:u w:val="single" w:color="000000"/>
        </w:rPr>
        <w:t>要求的时间运出施工场地，重新采购符合要求的产品，承担由此发生的费用，由此延误的工期不予顺延。</w:t>
      </w:r>
    </w:p>
    <w:p w14:paraId="0F92A760">
      <w:pPr>
        <w:pageBreakBefore w:val="0"/>
        <w:widowControl w:val="0"/>
        <w:kinsoku/>
        <w:wordWrap/>
        <w:overflowPunct/>
        <w:topLinePunct w:val="0"/>
        <w:bidi w:val="0"/>
        <w:snapToGrid w:val="0"/>
        <w:spacing w:line="360" w:lineRule="auto"/>
        <w:ind w:left="560" w:firstLine="454"/>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（9）</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采购的材料设备在使用前，</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应按有关规定的要求进行检验或试验，不合格的不得使用，检验或试验费用由</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承担。</w:t>
      </w:r>
    </w:p>
    <w:p w14:paraId="1FD07C5B">
      <w:pPr>
        <w:pageBreakBefore w:val="0"/>
        <w:widowControl w:val="0"/>
        <w:kinsoku/>
        <w:wordWrap/>
        <w:overflowPunct/>
        <w:topLinePunct w:val="0"/>
        <w:bidi w:val="0"/>
        <w:snapToGrid w:val="0"/>
        <w:spacing w:line="360" w:lineRule="auto"/>
        <w:ind w:left="560" w:firstLine="454"/>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（10）</w:t>
      </w:r>
      <w:r>
        <w:rPr>
          <w:rFonts w:hint="eastAsia" w:ascii="宋体" w:hAnsi="宋体" w:cs="宋体"/>
          <w:b/>
          <w:bCs/>
          <w:color w:val="auto"/>
          <w:szCs w:val="21"/>
          <w:highlight w:val="none"/>
          <w:u w:val="single" w:color="000000"/>
          <w:lang w:eastAsia="zh-CN"/>
        </w:rPr>
        <w:t>发包人</w:t>
      </w:r>
      <w:r>
        <w:rPr>
          <w:rFonts w:hint="eastAsia" w:ascii="宋体" w:hAnsi="宋体" w:cs="宋体"/>
          <w:b/>
          <w:bCs/>
          <w:color w:val="auto"/>
          <w:szCs w:val="21"/>
          <w:highlight w:val="none"/>
          <w:u w:val="single" w:color="000000"/>
        </w:rPr>
        <w:t>、监理发现</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采购并使用不符合设计或标准、及合同约定的品牌要求的材料设备时，应要求由</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负责修复、拆除或重新采购，并由</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承担发生的费用，由此延误的工期不予顺延。</w:t>
      </w:r>
    </w:p>
    <w:p w14:paraId="4509C117">
      <w:pPr>
        <w:pageBreakBefore w:val="0"/>
        <w:widowControl w:val="0"/>
        <w:kinsoku/>
        <w:wordWrap/>
        <w:overflowPunct/>
        <w:topLinePunct w:val="0"/>
        <w:bidi w:val="0"/>
        <w:snapToGrid w:val="0"/>
        <w:spacing w:line="360" w:lineRule="auto"/>
        <w:ind w:left="560" w:firstLine="454"/>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（11）</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需要使用代用材料时，应经</w:t>
      </w:r>
      <w:r>
        <w:rPr>
          <w:rFonts w:hint="eastAsia" w:ascii="宋体" w:hAnsi="宋体" w:cs="宋体"/>
          <w:b/>
          <w:bCs/>
          <w:color w:val="auto"/>
          <w:szCs w:val="21"/>
          <w:highlight w:val="none"/>
          <w:u w:val="single" w:color="000000"/>
          <w:lang w:eastAsia="zh-CN"/>
        </w:rPr>
        <w:t>发包人</w:t>
      </w:r>
      <w:r>
        <w:rPr>
          <w:rFonts w:hint="eastAsia" w:ascii="宋体" w:hAnsi="宋体" w:cs="宋体"/>
          <w:b/>
          <w:bCs/>
          <w:color w:val="auto"/>
          <w:szCs w:val="21"/>
          <w:highlight w:val="none"/>
          <w:u w:val="single" w:color="000000"/>
        </w:rPr>
        <w:t>认可后才能使用，由此增减的合同价款双方以书面形式议定。</w:t>
      </w:r>
    </w:p>
    <w:p w14:paraId="2C120640">
      <w:pPr>
        <w:pageBreakBefore w:val="0"/>
        <w:widowControl w:val="0"/>
        <w:kinsoku/>
        <w:wordWrap/>
        <w:overflowPunct/>
        <w:topLinePunct w:val="0"/>
        <w:bidi w:val="0"/>
        <w:snapToGrid w:val="0"/>
        <w:spacing w:line="360" w:lineRule="auto"/>
        <w:ind w:left="560" w:firstLine="454"/>
        <w:textAlignment w:val="auto"/>
        <w:rPr>
          <w:rFonts w:ascii="宋体" w:hAnsi="宋体" w:cs="宋体"/>
          <w:color w:val="auto"/>
          <w:szCs w:val="21"/>
          <w:highlight w:val="none"/>
        </w:rPr>
      </w:pPr>
      <w:r>
        <w:rPr>
          <w:rFonts w:hint="eastAsia" w:ascii="宋体" w:hAnsi="宋体" w:cs="宋体"/>
          <w:b/>
          <w:bCs/>
          <w:color w:val="auto"/>
          <w:szCs w:val="21"/>
          <w:highlight w:val="none"/>
          <w:u w:val="single" w:color="000000"/>
        </w:rPr>
        <w:t>（12）验收时参照实物封样，以</w:t>
      </w:r>
      <w:r>
        <w:rPr>
          <w:rFonts w:hint="eastAsia" w:ascii="宋体" w:hAnsi="宋体" w:cs="宋体"/>
          <w:b/>
          <w:bCs/>
          <w:color w:val="auto"/>
          <w:szCs w:val="21"/>
          <w:highlight w:val="none"/>
          <w:u w:val="single" w:color="000000"/>
          <w:lang w:eastAsia="zh-CN"/>
        </w:rPr>
        <w:t>发包人</w:t>
      </w:r>
      <w:r>
        <w:rPr>
          <w:rFonts w:hint="eastAsia" w:ascii="宋体" w:hAnsi="宋体" w:cs="宋体"/>
          <w:b/>
          <w:bCs/>
          <w:color w:val="auto"/>
          <w:szCs w:val="21"/>
          <w:highlight w:val="none"/>
          <w:u w:val="single" w:color="000000"/>
        </w:rPr>
        <w:t>对已封样材料的技术要求及国家有关规范作为验收标准。</w:t>
      </w:r>
    </w:p>
    <w:p w14:paraId="1ED3F71E">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8.8 施工设备和临时设施</w:t>
      </w:r>
    </w:p>
    <w:p w14:paraId="0FFE6E09">
      <w:pPr>
        <w:autoSpaceDE w:val="0"/>
        <w:autoSpaceDN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8.8.1 承包人提供的施工设备和临时设施</w:t>
      </w:r>
    </w:p>
    <w:p w14:paraId="11F3E313">
      <w:pPr>
        <w:autoSpaceDE w:val="0"/>
        <w:autoSpaceDN w:val="0"/>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关于修建临时设施费用承担的约定：</w:t>
      </w:r>
      <w:r>
        <w:rPr>
          <w:rFonts w:hint="eastAsia" w:ascii="宋体" w:hAnsi="宋体" w:cs="宋体"/>
          <w:color w:val="auto"/>
          <w:szCs w:val="21"/>
          <w:highlight w:val="none"/>
          <w:u w:val="single" w:color="000000"/>
        </w:rPr>
        <w:t>由承包人承担相应费用</w:t>
      </w:r>
      <w:r>
        <w:rPr>
          <w:rFonts w:hint="eastAsia" w:ascii="宋体" w:hAnsi="宋体" w:cs="宋体"/>
          <w:color w:val="auto"/>
          <w:szCs w:val="21"/>
          <w:highlight w:val="none"/>
        </w:rPr>
        <w:t>。</w:t>
      </w:r>
    </w:p>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14:paraId="36DE335F">
      <w:pPr>
        <w:pStyle w:val="7"/>
        <w:snapToGrid w:val="0"/>
        <w:spacing w:before="0" w:after="0" w:line="360" w:lineRule="auto"/>
        <w:rPr>
          <w:rFonts w:ascii="宋体" w:hAnsi="宋体" w:eastAsia="宋体" w:cs="宋体"/>
          <w:b w:val="0"/>
          <w:color w:val="auto"/>
          <w:sz w:val="21"/>
          <w:szCs w:val="21"/>
          <w:highlight w:val="none"/>
        </w:rPr>
      </w:pPr>
      <w:bookmarkStart w:id="671" w:name="_Toc351203641"/>
      <w:r>
        <w:rPr>
          <w:rFonts w:hint="eastAsia" w:ascii="宋体" w:hAnsi="宋体" w:eastAsia="宋体" w:cs="宋体"/>
          <w:b w:val="0"/>
          <w:color w:val="auto"/>
          <w:sz w:val="21"/>
          <w:szCs w:val="21"/>
          <w:highlight w:val="none"/>
        </w:rPr>
        <w:t>9</w:t>
      </w:r>
      <w:bookmarkEnd w:id="650"/>
      <w:bookmarkEnd w:id="651"/>
      <w:bookmarkEnd w:id="652"/>
      <w:bookmarkStart w:id="672" w:name="_Toc297123533"/>
      <w:bookmarkStart w:id="673" w:name="_Toc304295559"/>
      <w:bookmarkStart w:id="674" w:name="_Toc300934982"/>
      <w:bookmarkStart w:id="675" w:name="_Toc297216192"/>
      <w:bookmarkStart w:id="676" w:name="_Toc312678021"/>
      <w:bookmarkStart w:id="677" w:name="_Toc303539139"/>
      <w:bookmarkStart w:id="678" w:name="_Toc312677495"/>
      <w:bookmarkStart w:id="679" w:name="_Toc296891001"/>
      <w:bookmarkStart w:id="680" w:name="_Toc297048359"/>
      <w:bookmarkStart w:id="681" w:name="_Toc267251427"/>
      <w:bookmarkStart w:id="682" w:name="_Toc267251428"/>
      <w:bookmarkStart w:id="683" w:name="_Toc292559378"/>
      <w:bookmarkStart w:id="684" w:name="_Toc296891213"/>
      <w:bookmarkStart w:id="685" w:name="_Toc296347172"/>
      <w:bookmarkStart w:id="686" w:name="_Toc297120473"/>
      <w:bookmarkStart w:id="687" w:name="_Toc292559883"/>
      <w:bookmarkStart w:id="688" w:name="_Toc296503173"/>
      <w:bookmarkStart w:id="689" w:name="_Toc296346674"/>
      <w:bookmarkStart w:id="690" w:name="_Toc296944512"/>
      <w:r>
        <w:rPr>
          <w:rFonts w:hint="eastAsia" w:ascii="宋体" w:hAnsi="宋体" w:eastAsia="宋体" w:cs="宋体"/>
          <w:b w:val="0"/>
          <w:color w:val="auto"/>
          <w:sz w:val="21"/>
          <w:szCs w:val="21"/>
          <w:highlight w:val="none"/>
        </w:rPr>
        <w:t>. 试验与检验</w:t>
      </w:r>
      <w:bookmarkEnd w:id="671"/>
    </w:p>
    <w:bookmarkEnd w:id="672"/>
    <w:bookmarkEnd w:id="673"/>
    <w:bookmarkEnd w:id="674"/>
    <w:bookmarkEnd w:id="675"/>
    <w:bookmarkEnd w:id="676"/>
    <w:bookmarkEnd w:id="677"/>
    <w:bookmarkEnd w:id="678"/>
    <w:p w14:paraId="7BCE00E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w:t>
      </w:r>
      <w:bookmarkStart w:id="691" w:name="_Toc297216193"/>
      <w:bookmarkStart w:id="692" w:name="_Toc312677496"/>
      <w:bookmarkStart w:id="693" w:name="_Toc312678022"/>
      <w:bookmarkStart w:id="694" w:name="_Toc304295560"/>
      <w:bookmarkStart w:id="695" w:name="_Toc303539140"/>
      <w:bookmarkStart w:id="696" w:name="_Toc297123534"/>
      <w:bookmarkStart w:id="697" w:name="_Toc300934983"/>
      <w:r>
        <w:rPr>
          <w:rFonts w:hint="eastAsia" w:ascii="宋体" w:hAnsi="宋体" w:cs="宋体"/>
          <w:color w:val="auto"/>
          <w:szCs w:val="21"/>
          <w:highlight w:val="none"/>
        </w:rPr>
        <w:t>.1试验设备与试验人员</w:t>
      </w:r>
    </w:p>
    <w:bookmarkEnd w:id="691"/>
    <w:bookmarkEnd w:id="692"/>
    <w:bookmarkEnd w:id="693"/>
    <w:bookmarkEnd w:id="694"/>
    <w:bookmarkEnd w:id="695"/>
    <w:bookmarkEnd w:id="696"/>
    <w:bookmarkEnd w:id="697"/>
    <w:p w14:paraId="71C86734">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9</w:t>
      </w:r>
      <w:bookmarkStart w:id="698" w:name="_Toc312678023"/>
      <w:bookmarkStart w:id="699" w:name="_Toc297123535"/>
      <w:bookmarkStart w:id="700" w:name="_Toc297216194"/>
      <w:bookmarkStart w:id="701" w:name="_Toc303539141"/>
      <w:bookmarkStart w:id="702" w:name="_Toc312677497"/>
      <w:bookmarkStart w:id="703" w:name="_Toc304295561"/>
      <w:bookmarkStart w:id="704" w:name="_Toc300934984"/>
      <w:bookmarkStart w:id="705" w:name="_Toc318581174"/>
      <w:r>
        <w:rPr>
          <w:rFonts w:hint="eastAsia" w:ascii="宋体" w:hAnsi="宋体" w:cs="宋体"/>
          <w:color w:val="auto"/>
          <w:szCs w:val="21"/>
          <w:highlight w:val="none"/>
        </w:rPr>
        <w:t>.1.2 试验设备</w:t>
      </w:r>
    </w:p>
    <w:p w14:paraId="4371938A">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施工现场需要配置的试验场所：</w:t>
      </w:r>
      <w:bookmarkEnd w:id="698"/>
      <w:bookmarkEnd w:id="699"/>
      <w:bookmarkEnd w:id="700"/>
      <w:bookmarkEnd w:id="701"/>
      <w:bookmarkEnd w:id="702"/>
      <w:bookmarkEnd w:id="703"/>
      <w:bookmarkEnd w:id="704"/>
      <w:bookmarkStart w:id="706" w:name="_Toc303539142"/>
      <w:bookmarkStart w:id="707" w:name="_Toc297123536"/>
      <w:bookmarkStart w:id="708" w:name="_Toc300934985"/>
      <w:bookmarkStart w:id="709" w:name="_Toc304295562"/>
      <w:bookmarkStart w:id="710" w:name="_Toc312678024"/>
      <w:bookmarkStart w:id="711" w:name="_Toc297216195"/>
      <w:bookmarkStart w:id="712" w:name="_Toc312677498"/>
      <w:r>
        <w:rPr>
          <w:rFonts w:hint="eastAsia" w:ascii="宋体" w:hAnsi="宋体" w:cs="宋体"/>
          <w:color w:val="auto"/>
          <w:szCs w:val="21"/>
          <w:highlight w:val="none"/>
          <w:u w:val="single" w:color="000000"/>
        </w:rPr>
        <w:t>按有关规定和监理人要求执行</w:t>
      </w:r>
      <w:r>
        <w:rPr>
          <w:rFonts w:hint="eastAsia" w:ascii="宋体" w:hAnsi="宋体" w:cs="宋体"/>
          <w:color w:val="auto"/>
          <w:szCs w:val="21"/>
          <w:highlight w:val="none"/>
        </w:rPr>
        <w:t xml:space="preserve">。 </w:t>
      </w:r>
    </w:p>
    <w:p w14:paraId="065C5231">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施工现场需要配备的试验设备：</w:t>
      </w:r>
      <w:r>
        <w:rPr>
          <w:rFonts w:hint="eastAsia" w:ascii="宋体" w:hAnsi="宋体" w:cs="宋体"/>
          <w:color w:val="auto"/>
          <w:szCs w:val="21"/>
          <w:highlight w:val="none"/>
          <w:u w:val="single" w:color="000000"/>
        </w:rPr>
        <w:t>按有关规定和监理人要求执行</w:t>
      </w:r>
      <w:r>
        <w:rPr>
          <w:rFonts w:hint="eastAsia" w:ascii="宋体" w:hAnsi="宋体" w:cs="宋体"/>
          <w:color w:val="auto"/>
          <w:szCs w:val="21"/>
          <w:highlight w:val="none"/>
        </w:rPr>
        <w:t>。</w:t>
      </w:r>
    </w:p>
    <w:p w14:paraId="049F531F">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施工现场需要具备的其他试验条件：</w:t>
      </w:r>
      <w:r>
        <w:rPr>
          <w:rFonts w:hint="eastAsia" w:ascii="宋体" w:hAnsi="宋体" w:cs="宋体"/>
          <w:color w:val="auto"/>
          <w:szCs w:val="21"/>
          <w:highlight w:val="none"/>
          <w:u w:val="single" w:color="000000"/>
        </w:rPr>
        <w:t>按有关规定和监理人要求执行</w:t>
      </w:r>
      <w:r>
        <w:rPr>
          <w:rFonts w:hint="eastAsia" w:ascii="宋体" w:hAnsi="宋体" w:cs="宋体"/>
          <w:color w:val="auto"/>
          <w:szCs w:val="21"/>
          <w:highlight w:val="none"/>
        </w:rPr>
        <w:t>。</w:t>
      </w:r>
    </w:p>
    <w:p w14:paraId="6D5A9A4F">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 xml:space="preserve">9.4 现场工艺试验 </w:t>
      </w:r>
    </w:p>
    <w:p w14:paraId="7E3C116D">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现场工艺试验的有关约定：</w:t>
      </w:r>
      <w:r>
        <w:rPr>
          <w:rFonts w:hint="eastAsia" w:ascii="宋体" w:hAnsi="宋体" w:cs="宋体"/>
          <w:color w:val="auto"/>
          <w:szCs w:val="21"/>
          <w:highlight w:val="none"/>
          <w:u w:val="single" w:color="000000"/>
        </w:rPr>
        <w:t>按有关规定和监理人要求执行</w:t>
      </w:r>
      <w:r>
        <w:rPr>
          <w:rFonts w:hint="eastAsia" w:ascii="宋体" w:hAnsi="宋体" w:cs="宋体"/>
          <w:color w:val="auto"/>
          <w:szCs w:val="21"/>
          <w:highlight w:val="none"/>
        </w:rPr>
        <w:t>。</w:t>
      </w:r>
    </w:p>
    <w:bookmarkEnd w:id="705"/>
    <w:bookmarkEnd w:id="706"/>
    <w:bookmarkEnd w:id="707"/>
    <w:bookmarkEnd w:id="708"/>
    <w:bookmarkEnd w:id="709"/>
    <w:bookmarkEnd w:id="710"/>
    <w:bookmarkEnd w:id="711"/>
    <w:bookmarkEnd w:id="712"/>
    <w:p w14:paraId="5599C2A9">
      <w:pPr>
        <w:pStyle w:val="7"/>
        <w:snapToGrid w:val="0"/>
        <w:spacing w:before="0" w:after="0" w:line="360" w:lineRule="auto"/>
        <w:rPr>
          <w:rFonts w:ascii="宋体" w:hAnsi="宋体" w:eastAsia="宋体" w:cs="宋体"/>
          <w:b w:val="0"/>
          <w:color w:val="auto"/>
          <w:sz w:val="21"/>
          <w:szCs w:val="21"/>
          <w:highlight w:val="none"/>
        </w:rPr>
      </w:pPr>
      <w:bookmarkStart w:id="713" w:name="_Toc351203642"/>
      <w:r>
        <w:rPr>
          <w:rFonts w:hint="eastAsia" w:ascii="宋体" w:hAnsi="宋体" w:eastAsia="宋体" w:cs="宋体"/>
          <w:b w:val="0"/>
          <w:color w:val="auto"/>
          <w:sz w:val="21"/>
          <w:szCs w:val="21"/>
          <w:highlight w:val="none"/>
        </w:rPr>
        <w:t>1</w:t>
      </w:r>
      <w:bookmarkEnd w:id="679"/>
      <w:bookmarkEnd w:id="680"/>
      <w:bookmarkEnd w:id="681"/>
      <w:bookmarkEnd w:id="682"/>
      <w:bookmarkEnd w:id="683"/>
      <w:bookmarkEnd w:id="684"/>
      <w:bookmarkEnd w:id="685"/>
      <w:bookmarkEnd w:id="686"/>
      <w:bookmarkEnd w:id="687"/>
      <w:bookmarkEnd w:id="688"/>
      <w:bookmarkEnd w:id="689"/>
      <w:bookmarkEnd w:id="690"/>
      <w:bookmarkStart w:id="714" w:name="_Toc296347192"/>
      <w:bookmarkStart w:id="715" w:name="_Toc296944532"/>
      <w:bookmarkStart w:id="716" w:name="_Toc292559903"/>
      <w:bookmarkStart w:id="717" w:name="_Toc297120493"/>
      <w:bookmarkStart w:id="718" w:name="_Toc300934989"/>
      <w:bookmarkStart w:id="719" w:name="_Toc297123540"/>
      <w:bookmarkStart w:id="720" w:name="_Toc296891021"/>
      <w:bookmarkStart w:id="721" w:name="_Toc296346694"/>
      <w:bookmarkStart w:id="722" w:name="_Toc296503193"/>
      <w:bookmarkStart w:id="723" w:name="_Toc304295566"/>
      <w:bookmarkStart w:id="724" w:name="_Toc297048379"/>
      <w:bookmarkStart w:id="725" w:name="_Toc296891233"/>
      <w:bookmarkStart w:id="726" w:name="_Toc303539146"/>
      <w:bookmarkStart w:id="727" w:name="_Toc297216199"/>
      <w:bookmarkStart w:id="728" w:name="_Toc292559398"/>
      <w:bookmarkStart w:id="729" w:name="_Toc312677499"/>
      <w:bookmarkStart w:id="730" w:name="_Toc312678025"/>
      <w:bookmarkStart w:id="731" w:name="_Toc267251433"/>
      <w:bookmarkStart w:id="732" w:name="_Toc267251441"/>
      <w:bookmarkStart w:id="733" w:name="_Toc267251439"/>
      <w:bookmarkStart w:id="734" w:name="_Toc267251437"/>
      <w:bookmarkStart w:id="735" w:name="_Toc267251440"/>
      <w:bookmarkStart w:id="736" w:name="_Toc267251435"/>
      <w:bookmarkStart w:id="737" w:name="_Toc267251442"/>
      <w:r>
        <w:rPr>
          <w:rFonts w:hint="eastAsia" w:ascii="宋体" w:hAnsi="宋体" w:eastAsia="宋体" w:cs="宋体"/>
          <w:b w:val="0"/>
          <w:color w:val="auto"/>
          <w:sz w:val="21"/>
          <w:szCs w:val="21"/>
          <w:highlight w:val="none"/>
        </w:rPr>
        <w:t>0. 变更</w:t>
      </w:r>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p>
    <w:bookmarkEnd w:id="729"/>
    <w:bookmarkEnd w:id="730"/>
    <w:p w14:paraId="2DC4588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bookmarkStart w:id="738" w:name="_Toc304295567"/>
      <w:bookmarkStart w:id="739" w:name="_Toc312677500"/>
      <w:bookmarkStart w:id="740" w:name="_Toc296891234"/>
      <w:bookmarkStart w:id="741" w:name="_Toc297216200"/>
      <w:bookmarkStart w:id="742" w:name="_Toc296503194"/>
      <w:bookmarkStart w:id="743" w:name="_Toc292559399"/>
      <w:bookmarkStart w:id="744" w:name="_Toc297120494"/>
      <w:bookmarkStart w:id="745" w:name="_Toc292559904"/>
      <w:bookmarkStart w:id="746" w:name="_Toc297123541"/>
      <w:bookmarkStart w:id="747" w:name="_Toc303539147"/>
      <w:bookmarkStart w:id="748" w:name="_Toc296346695"/>
      <w:bookmarkStart w:id="749" w:name="_Toc300934990"/>
      <w:bookmarkStart w:id="750" w:name="_Toc297048380"/>
      <w:bookmarkStart w:id="751" w:name="_Toc296347193"/>
      <w:bookmarkStart w:id="752" w:name="_Toc296891022"/>
      <w:bookmarkStart w:id="753" w:name="_Toc312678026"/>
      <w:bookmarkStart w:id="754" w:name="_Toc296944533"/>
      <w:r>
        <w:rPr>
          <w:rFonts w:hint="eastAsia" w:ascii="宋体" w:hAnsi="宋体" w:cs="宋体"/>
          <w:color w:val="auto"/>
          <w:szCs w:val="21"/>
          <w:highlight w:val="none"/>
        </w:rPr>
        <w:t>0.1变更的范围</w:t>
      </w:r>
    </w:p>
    <w:p w14:paraId="4C50CDCF">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关于变更的范围的约定：</w:t>
      </w:r>
      <w:r>
        <w:rPr>
          <w:rFonts w:hint="eastAsia" w:ascii="宋体" w:hAnsi="宋体" w:cs="宋体"/>
          <w:b/>
          <w:bCs/>
          <w:color w:val="auto"/>
          <w:szCs w:val="21"/>
          <w:highlight w:val="none"/>
          <w:u w:color="000000"/>
        </w:rPr>
        <w:t>施工图范围</w:t>
      </w:r>
      <w:r>
        <w:rPr>
          <w:rFonts w:hint="eastAsia" w:ascii="宋体" w:hAnsi="宋体" w:cs="宋体"/>
          <w:b/>
          <w:bCs/>
          <w:color w:val="auto"/>
          <w:szCs w:val="21"/>
          <w:highlight w:val="none"/>
          <w:u w:val="single" w:color="000000"/>
        </w:rPr>
        <w:t>投标人报价时综合单价不予调整</w:t>
      </w:r>
      <w:r>
        <w:rPr>
          <w:rFonts w:hint="eastAsia" w:ascii="宋体" w:hAnsi="宋体" w:cs="宋体"/>
          <w:color w:val="auto"/>
          <w:szCs w:val="21"/>
          <w:highlight w:val="none"/>
        </w:rPr>
        <w:t>。</w:t>
      </w:r>
    </w:p>
    <w:p w14:paraId="154DBEEC">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10.4 变更估价</w:t>
      </w:r>
    </w:p>
    <w:p w14:paraId="60E05829">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10.4.1 变更估价原则</w:t>
      </w:r>
    </w:p>
    <w:p w14:paraId="6BE7BC0A">
      <w:pPr>
        <w:snapToGrid w:val="0"/>
        <w:spacing w:line="360" w:lineRule="auto"/>
        <w:ind w:left="0" w:leftChars="0"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 xml:space="preserve">关于变更估价的约定: </w:t>
      </w:r>
      <w:r>
        <w:rPr>
          <w:rFonts w:hint="eastAsia" w:ascii="宋体" w:hAnsi="宋体" w:cs="宋体"/>
          <w:color w:val="auto"/>
          <w:szCs w:val="21"/>
          <w:highlight w:val="none"/>
          <w:u w:color="000000"/>
        </w:rPr>
        <w:t>施工图范围</w:t>
      </w:r>
      <w:r>
        <w:rPr>
          <w:rFonts w:hint="eastAsia" w:ascii="宋体" w:hAnsi="宋体" w:cs="宋体"/>
          <w:b/>
          <w:bCs/>
          <w:color w:val="auto"/>
          <w:szCs w:val="21"/>
          <w:highlight w:val="none"/>
          <w:u w:val="single" w:color="000000"/>
        </w:rPr>
        <w:t>投标人报价时一次性包死，不予调整</w:t>
      </w:r>
      <w:r>
        <w:rPr>
          <w:rFonts w:hint="eastAsia" w:ascii="宋体" w:hAnsi="宋体" w:cs="宋体"/>
          <w:color w:val="auto"/>
          <w:szCs w:val="21"/>
          <w:highlight w:val="none"/>
        </w:rPr>
        <w:t>。</w:t>
      </w:r>
    </w:p>
    <w:p w14:paraId="4EBD41A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Start w:id="755" w:name="_Toc297216203"/>
      <w:bookmarkStart w:id="756" w:name="_Toc296347196"/>
      <w:bookmarkStart w:id="757" w:name="_Toc296346698"/>
      <w:bookmarkStart w:id="758" w:name="_Toc300934993"/>
      <w:bookmarkStart w:id="759" w:name="_Toc296891237"/>
      <w:bookmarkStart w:id="760" w:name="_Toc297120497"/>
      <w:bookmarkStart w:id="761" w:name="_Toc297048383"/>
      <w:bookmarkStart w:id="762" w:name="_Toc303539150"/>
      <w:bookmarkStart w:id="763" w:name="_Toc296891025"/>
      <w:bookmarkStart w:id="764" w:name="_Toc296944536"/>
      <w:bookmarkStart w:id="765" w:name="_Toc296503197"/>
      <w:bookmarkStart w:id="766" w:name="_Toc292559907"/>
      <w:bookmarkStart w:id="767" w:name="_Toc297123544"/>
      <w:bookmarkStart w:id="768" w:name="_Toc292559402"/>
      <w:bookmarkStart w:id="769" w:name="_Toc304295570"/>
      <w:bookmarkStart w:id="770" w:name="_Toc312678029"/>
      <w:bookmarkStart w:id="771" w:name="_Toc312677503"/>
      <w:r>
        <w:rPr>
          <w:rFonts w:hint="eastAsia" w:ascii="宋体" w:hAnsi="宋体" w:cs="宋体"/>
          <w:color w:val="auto"/>
          <w:szCs w:val="21"/>
          <w:highlight w:val="none"/>
        </w:rPr>
        <w:t>0.5承</w:t>
      </w:r>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Start w:id="772" w:name="_Toc297120503"/>
      <w:bookmarkStart w:id="773" w:name="_Toc296944542"/>
      <w:bookmarkStart w:id="774" w:name="_Toc296347202"/>
      <w:bookmarkStart w:id="775" w:name="_Toc296891031"/>
      <w:bookmarkStart w:id="776" w:name="_Toc292559913"/>
      <w:bookmarkStart w:id="777" w:name="_Toc296503203"/>
      <w:bookmarkStart w:id="778" w:name="_Toc303539151"/>
      <w:bookmarkStart w:id="779" w:name="_Toc296346704"/>
      <w:bookmarkStart w:id="780" w:name="_Toc297048389"/>
      <w:bookmarkStart w:id="781" w:name="_Toc300934994"/>
      <w:bookmarkStart w:id="782" w:name="_Toc297123545"/>
      <w:bookmarkStart w:id="783" w:name="_Toc296891243"/>
      <w:bookmarkStart w:id="784" w:name="_Toc292559408"/>
      <w:bookmarkStart w:id="785" w:name="_Toc297216204"/>
      <w:r>
        <w:rPr>
          <w:rFonts w:hint="eastAsia" w:ascii="宋体" w:hAnsi="宋体" w:cs="宋体"/>
          <w:color w:val="auto"/>
          <w:szCs w:val="21"/>
          <w:highlight w:val="none"/>
        </w:rPr>
        <w:t>包人的合理化建议</w:t>
      </w:r>
    </w:p>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p w14:paraId="2C28112B">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监理人审查承包人合理化建议的期限：</w:t>
      </w:r>
      <w:r>
        <w:rPr>
          <w:rFonts w:hint="eastAsia" w:ascii="宋体" w:hAnsi="宋体" w:cs="宋体"/>
          <w:color w:val="auto"/>
          <w:szCs w:val="21"/>
          <w:highlight w:val="none"/>
          <w:u w:val="single" w:color="000000"/>
        </w:rPr>
        <w:t>3天内审查完毕并报发包人</w:t>
      </w:r>
      <w:r>
        <w:rPr>
          <w:rFonts w:hint="eastAsia" w:ascii="宋体" w:hAnsi="宋体" w:cs="宋体"/>
          <w:color w:val="auto"/>
          <w:szCs w:val="21"/>
          <w:highlight w:val="none"/>
        </w:rPr>
        <w:t>。</w:t>
      </w:r>
    </w:p>
    <w:p w14:paraId="55A8AE99">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发包人审批承包人合理化建议的期限：</w:t>
      </w:r>
      <w:r>
        <w:rPr>
          <w:rFonts w:hint="eastAsia" w:ascii="宋体" w:hAnsi="宋体" w:cs="宋体"/>
          <w:color w:val="auto"/>
          <w:szCs w:val="21"/>
          <w:highlight w:val="none"/>
          <w:u w:val="single" w:color="000000"/>
        </w:rPr>
        <w:t>收到监理人报送的合理化建议后3天内审批完毕</w:t>
      </w:r>
      <w:r>
        <w:rPr>
          <w:rFonts w:hint="eastAsia" w:ascii="宋体" w:hAnsi="宋体" w:cs="宋体"/>
          <w:color w:val="auto"/>
          <w:szCs w:val="21"/>
          <w:highlight w:val="none"/>
        </w:rPr>
        <w:t>。</w:t>
      </w:r>
    </w:p>
    <w:p w14:paraId="63510EA7">
      <w:pPr>
        <w:snapToGrid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承</w:t>
      </w:r>
      <w:bookmarkStart w:id="786" w:name="_Toc296347203"/>
      <w:bookmarkStart w:id="787" w:name="_Toc312678030"/>
      <w:bookmarkStart w:id="788" w:name="_Toc296891032"/>
      <w:bookmarkStart w:id="789" w:name="_Toc297120504"/>
      <w:bookmarkStart w:id="790" w:name="_Toc297216205"/>
      <w:bookmarkStart w:id="791" w:name="_Toc303539152"/>
      <w:bookmarkStart w:id="792" w:name="_Toc292559409"/>
      <w:bookmarkStart w:id="793" w:name="_Toc318581175"/>
      <w:bookmarkStart w:id="794" w:name="_Toc296944543"/>
      <w:bookmarkStart w:id="795" w:name="_Toc297123546"/>
      <w:bookmarkStart w:id="796" w:name="_Toc304295571"/>
      <w:bookmarkStart w:id="797" w:name="_Toc296503204"/>
      <w:bookmarkStart w:id="798" w:name="_Toc312677504"/>
      <w:bookmarkStart w:id="799" w:name="_Toc296346705"/>
      <w:bookmarkStart w:id="800" w:name="_Toc292559914"/>
      <w:bookmarkStart w:id="801" w:name="_Toc300934995"/>
      <w:bookmarkStart w:id="802" w:name="_Toc296891244"/>
      <w:bookmarkStart w:id="803" w:name="_Toc297048390"/>
      <w:r>
        <w:rPr>
          <w:rFonts w:hint="eastAsia" w:ascii="宋体" w:hAnsi="宋体" w:cs="宋体"/>
          <w:color w:val="auto"/>
          <w:szCs w:val="21"/>
          <w:highlight w:val="none"/>
        </w:rPr>
        <w:t>包人提出的合理化建议降低了合同价格或者提高了工程经济效益的奖励的方法和金额为：</w:t>
      </w:r>
      <w:r>
        <w:rPr>
          <w:rFonts w:hint="eastAsia" w:ascii="宋体" w:hAnsi="宋体" w:cs="宋体"/>
          <w:color w:val="auto"/>
          <w:szCs w:val="21"/>
          <w:highlight w:val="none"/>
          <w:u w:val="single"/>
        </w:rPr>
        <w:t xml:space="preserve">                                </w:t>
      </w:r>
    </w:p>
    <w:p w14:paraId="7C3012B7">
      <w:pPr>
        <w:snapToGrid w:val="0"/>
        <w:spacing w:line="360" w:lineRule="auto"/>
        <w:jc w:val="left"/>
        <w:rPr>
          <w:rFonts w:ascii="宋体" w:hAnsi="宋体" w:cs="宋体"/>
          <w:color w:val="auto"/>
          <w:szCs w:val="21"/>
          <w:highlight w:val="none"/>
          <w:u w:val="singl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p w14:paraId="64724261">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1</w:t>
      </w:r>
      <w:bookmarkStart w:id="804" w:name="_Toc300934997"/>
      <w:bookmarkStart w:id="805" w:name="_Toc312677507"/>
      <w:bookmarkStart w:id="806" w:name="_Toc312678033"/>
      <w:bookmarkStart w:id="807" w:name="_Toc292559909"/>
      <w:bookmarkStart w:id="808" w:name="_Toc304295574"/>
      <w:bookmarkStart w:id="809" w:name="_Toc297123548"/>
      <w:bookmarkStart w:id="810" w:name="_Toc296347198"/>
      <w:bookmarkStart w:id="811" w:name="_Toc297216207"/>
      <w:bookmarkStart w:id="812" w:name="_Toc296944538"/>
      <w:bookmarkStart w:id="813" w:name="_Toc296346700"/>
      <w:bookmarkStart w:id="814" w:name="_Toc296503199"/>
      <w:bookmarkStart w:id="815" w:name="_Toc296891027"/>
      <w:bookmarkStart w:id="816" w:name="_Toc303539154"/>
      <w:bookmarkStart w:id="817" w:name="_Toc297120499"/>
      <w:bookmarkStart w:id="818" w:name="_Toc292559404"/>
      <w:bookmarkStart w:id="819" w:name="_Toc296891239"/>
      <w:bookmarkStart w:id="820" w:name="_Toc297048385"/>
      <w:r>
        <w:rPr>
          <w:rFonts w:hint="eastAsia" w:ascii="宋体" w:hAnsi="宋体" w:cs="宋体"/>
          <w:color w:val="auto"/>
          <w:szCs w:val="21"/>
          <w:highlight w:val="none"/>
        </w:rPr>
        <w:t>0.7 暂估价</w:t>
      </w:r>
    </w:p>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p w14:paraId="277B0F15">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暂</w:t>
      </w:r>
      <w:bookmarkStart w:id="821" w:name="_Toc312678034"/>
      <w:bookmarkStart w:id="822" w:name="_Toc318581176"/>
      <w:bookmarkStart w:id="823" w:name="_Toc312677508"/>
      <w:r>
        <w:rPr>
          <w:rFonts w:hint="eastAsia" w:ascii="宋体" w:hAnsi="宋体" w:cs="宋体"/>
          <w:color w:val="auto"/>
          <w:kern w:val="0"/>
          <w:szCs w:val="21"/>
          <w:highlight w:val="none"/>
        </w:rPr>
        <w:t>估价材料和工程设备的明细详见附件11：《</w:t>
      </w:r>
      <w:r>
        <w:rPr>
          <w:rFonts w:hint="eastAsia" w:ascii="宋体" w:hAnsi="宋体" w:cs="宋体"/>
          <w:color w:val="auto"/>
          <w:szCs w:val="21"/>
          <w:highlight w:val="none"/>
        </w:rPr>
        <w:t>暂估价一览表》</w:t>
      </w:r>
      <w:r>
        <w:rPr>
          <w:rFonts w:hint="eastAsia" w:ascii="宋体" w:hAnsi="宋体" w:cs="宋体"/>
          <w:color w:val="auto"/>
          <w:kern w:val="0"/>
          <w:szCs w:val="21"/>
          <w:highlight w:val="none"/>
        </w:rPr>
        <w:t>。</w:t>
      </w:r>
    </w:p>
    <w:bookmarkEnd w:id="821"/>
    <w:bookmarkEnd w:id="822"/>
    <w:bookmarkEnd w:id="823"/>
    <w:p w14:paraId="3C1D2444">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w:t>
      </w:r>
      <w:bookmarkStart w:id="824" w:name="_Toc312677509"/>
      <w:bookmarkStart w:id="825" w:name="_Toc312678035"/>
      <w:bookmarkStart w:id="826" w:name="_Toc318581177"/>
      <w:r>
        <w:rPr>
          <w:rFonts w:hint="eastAsia" w:ascii="宋体" w:hAnsi="宋体" w:cs="宋体"/>
          <w:color w:val="auto"/>
          <w:szCs w:val="21"/>
          <w:highlight w:val="none"/>
        </w:rPr>
        <w:t>0.7.1 依法必须招标的暂估价项目</w:t>
      </w:r>
    </w:p>
    <w:bookmarkEnd w:id="824"/>
    <w:bookmarkEnd w:id="825"/>
    <w:bookmarkEnd w:id="826"/>
    <w:p w14:paraId="299505EB">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对于依法必须招标的暂估价项目的确认和批准采取第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种方式确定。</w:t>
      </w:r>
    </w:p>
    <w:p w14:paraId="0AF62641">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10.7.2 不属于依法必须招标的暂估价项目</w:t>
      </w:r>
    </w:p>
    <w:p w14:paraId="6BD2BAE2">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对于不属于依法必须招标的暂估价项目的确认和批准采取第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种方式确定。</w:t>
      </w:r>
    </w:p>
    <w:p w14:paraId="42AFFB20">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第3种方式：</w:t>
      </w:r>
      <w:r>
        <w:rPr>
          <w:rFonts w:hint="eastAsia" w:ascii="宋体" w:hAnsi="宋体" w:cs="宋体"/>
          <w:color w:val="auto"/>
          <w:kern w:val="0"/>
          <w:szCs w:val="21"/>
          <w:highlight w:val="none"/>
        </w:rPr>
        <w:t>承包人直接实施的暂估价项目</w:t>
      </w:r>
    </w:p>
    <w:p w14:paraId="32A7D680">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承包人直接实施的暂估价项目的约定：</w:t>
      </w:r>
      <w:r>
        <w:rPr>
          <w:rFonts w:hint="eastAsia" w:ascii="宋体" w:hAnsi="宋体" w:cs="宋体"/>
          <w:color w:val="auto"/>
          <w:szCs w:val="21"/>
          <w:highlight w:val="none"/>
          <w:u w:val="single"/>
        </w:rPr>
        <w:t xml:space="preserve">                     </w:t>
      </w:r>
    </w:p>
    <w:p w14:paraId="32E6CDD1">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8D185A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10.8 暂列金额</w:t>
      </w:r>
    </w:p>
    <w:p w14:paraId="21855D6F">
      <w:pPr>
        <w:autoSpaceDE w:val="0"/>
        <w:autoSpaceDN w:val="0"/>
        <w:snapToGrid w:val="0"/>
        <w:spacing w:line="360" w:lineRule="auto"/>
        <w:ind w:left="0" w:leftChars="0"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合同当事人关于暂列金额使用的约定：</w:t>
      </w:r>
      <w:r>
        <w:rPr>
          <w:rFonts w:hint="eastAsia" w:ascii="宋体" w:hAnsi="宋体" w:cs="宋体"/>
          <w:color w:val="auto"/>
          <w:szCs w:val="21"/>
          <w:highlight w:val="none"/>
          <w:u w:val="single"/>
          <w:lang w:val="en-US" w:eastAsia="zh-CN"/>
        </w:rPr>
        <w:t>/</w:t>
      </w:r>
      <w:r>
        <w:rPr>
          <w:rFonts w:hint="eastAsia" w:ascii="宋体" w:hAnsi="宋体" w:cs="宋体"/>
          <w:color w:val="auto"/>
          <w:kern w:val="0"/>
          <w:szCs w:val="21"/>
          <w:highlight w:val="none"/>
        </w:rPr>
        <w:t>。</w:t>
      </w:r>
    </w:p>
    <w:p w14:paraId="68CE682C">
      <w:pPr>
        <w:pStyle w:val="7"/>
        <w:snapToGrid w:val="0"/>
        <w:spacing w:before="0" w:after="0" w:line="360" w:lineRule="auto"/>
        <w:rPr>
          <w:rFonts w:ascii="宋体" w:hAnsi="宋体" w:eastAsia="宋体" w:cs="宋体"/>
          <w:b w:val="0"/>
          <w:color w:val="auto"/>
          <w:sz w:val="21"/>
          <w:szCs w:val="21"/>
          <w:highlight w:val="none"/>
        </w:rPr>
      </w:pPr>
      <w:bookmarkStart w:id="827" w:name="_Toc351203643"/>
      <w:r>
        <w:rPr>
          <w:rFonts w:hint="eastAsia" w:ascii="宋体" w:hAnsi="宋体" w:eastAsia="宋体" w:cs="宋体"/>
          <w:b w:val="0"/>
          <w:color w:val="auto"/>
          <w:sz w:val="21"/>
          <w:szCs w:val="21"/>
          <w:highlight w:val="none"/>
        </w:rPr>
        <w:t>11. 价格调整</w:t>
      </w:r>
      <w:bookmarkEnd w:id="827"/>
    </w:p>
    <w:p w14:paraId="382348E3">
      <w:pPr>
        <w:snapToGrid w:val="0"/>
        <w:spacing w:line="360" w:lineRule="auto"/>
        <w:ind w:firstLine="420" w:firstLineChars="200"/>
        <w:rPr>
          <w:rFonts w:ascii="宋体" w:hAnsi="宋体" w:cs="宋体"/>
          <w:color w:val="auto"/>
          <w:szCs w:val="21"/>
          <w:highlight w:val="none"/>
        </w:rPr>
      </w:pPr>
      <w:bookmarkStart w:id="828" w:name="_Toc300935000"/>
      <w:bookmarkStart w:id="829" w:name="_Toc292559911"/>
      <w:bookmarkStart w:id="830" w:name="_Toc296891241"/>
      <w:bookmarkStart w:id="831" w:name="_Toc297123550"/>
      <w:bookmarkStart w:id="832" w:name="_Toc292559406"/>
      <w:bookmarkStart w:id="833" w:name="_Toc297216209"/>
      <w:bookmarkStart w:id="834" w:name="_Toc296503201"/>
      <w:bookmarkStart w:id="835" w:name="_Toc296346702"/>
      <w:bookmarkStart w:id="836" w:name="_Toc296891029"/>
      <w:bookmarkStart w:id="837" w:name="_Toc312678039"/>
      <w:bookmarkStart w:id="838" w:name="_Toc297048387"/>
      <w:bookmarkStart w:id="839" w:name="_Toc304295577"/>
      <w:bookmarkStart w:id="840" w:name="_Toc296347200"/>
      <w:bookmarkStart w:id="841" w:name="_Toc296944540"/>
      <w:bookmarkStart w:id="842" w:name="_Toc297120501"/>
      <w:bookmarkStart w:id="843" w:name="_Toc303539157"/>
      <w:r>
        <w:rPr>
          <w:rFonts w:hint="eastAsia" w:ascii="宋体" w:hAnsi="宋体" w:cs="宋体"/>
          <w:color w:val="auto"/>
          <w:szCs w:val="21"/>
          <w:highlight w:val="none"/>
        </w:rPr>
        <w:t>11.1 市场价格波动引起的调整</w:t>
      </w:r>
    </w:p>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p w14:paraId="5A8D6146">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市场价格波动是否调整合同价格的约定：</w:t>
      </w:r>
      <w:r>
        <w:rPr>
          <w:rFonts w:hint="eastAsia" w:ascii="宋体" w:hAnsi="宋体" w:cs="宋体"/>
          <w:color w:val="auto"/>
          <w:szCs w:val="21"/>
          <w:highlight w:val="none"/>
          <w:u w:val="single" w:color="000000"/>
        </w:rPr>
        <w:t>不予调整</w:t>
      </w:r>
      <w:r>
        <w:rPr>
          <w:rFonts w:hint="eastAsia" w:ascii="宋体" w:hAnsi="宋体" w:cs="宋体"/>
          <w:color w:val="auto"/>
          <w:szCs w:val="21"/>
          <w:highlight w:val="none"/>
        </w:rPr>
        <w:t>。</w:t>
      </w:r>
    </w:p>
    <w:p w14:paraId="2D1BF293">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因市场价格波动调整合同价格，采用以下第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种方式对合同价格进行调整：</w:t>
      </w:r>
    </w:p>
    <w:p w14:paraId="7BBEC302">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第1种方式：采用价格指数进行价格调整。</w:t>
      </w:r>
    </w:p>
    <w:p w14:paraId="280970D6">
      <w:pPr>
        <w:snapToGrid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关于各可调因子、定值和变值权重，以及基本价格指数及其来源的约定：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1532668C">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第2种方式：采用造价信息进行价格调整。</w:t>
      </w:r>
    </w:p>
    <w:p w14:paraId="1FBD7021">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（2）关于基准价格的约定：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DEADBE6">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专用合同条款①承包人在已标价工程量清单或预算书中载明的材料单价低于基准价格的：专用合同条款合同履行期间材料单价涨幅以基准价格为基础超过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%时，或材料单价跌幅以已标价工程量清单或预算书中载明材料单价为基础超过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%时，其超过部分据实调整。</w:t>
      </w:r>
    </w:p>
    <w:p w14:paraId="10B8D058">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②承包人在已标价工程量清单或预算书中载明的材料单价高于基准价格的：专用合同条款合同履行期间材料单价跌幅以基准价格为基础超过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%时，材料单价涨幅以已标价工程量清单或预算书中载明材料单价为基础超过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%时，其超过部分据实调整。</w:t>
      </w:r>
    </w:p>
    <w:p w14:paraId="60FBA588">
      <w:pPr>
        <w:snapToGrid w:val="0"/>
        <w:spacing w:line="360" w:lineRule="auto"/>
        <w:ind w:firstLine="645"/>
        <w:jc w:val="left"/>
        <w:rPr>
          <w:rFonts w:ascii="宋体" w:hAnsi="宋体" w:cs="宋体"/>
          <w:color w:val="auto"/>
          <w:szCs w:val="21"/>
          <w:highlight w:val="none"/>
        </w:rPr>
      </w:pPr>
      <w:r>
        <w:rPr>
          <w:rFonts w:hint="eastAsia" w:ascii="宋体" w:hAnsi="宋体" w:cs="宋体"/>
          <w:color w:val="auto"/>
          <w:szCs w:val="21"/>
          <w:highlight w:val="none"/>
        </w:rPr>
        <w:t>③承包人在已标价工程量清单或预算书中载明的材料单价等于基准单价的：专用合同条款合同履行期间材料单价涨跌幅以基准单价为基础超过±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%时，其超过部分据实调整。</w:t>
      </w:r>
    </w:p>
    <w:p w14:paraId="2687FD40">
      <w:pPr>
        <w:snapToGrid w:val="0"/>
        <w:spacing w:line="360" w:lineRule="auto"/>
        <w:ind w:firstLine="645"/>
        <w:jc w:val="left"/>
        <w:rPr>
          <w:rFonts w:ascii="宋体" w:hAnsi="宋体" w:cs="宋体"/>
          <w:color w:val="auto"/>
          <w:szCs w:val="21"/>
          <w:highlight w:val="none"/>
          <w:u w:val="single"/>
        </w:rPr>
      </w:pPr>
      <w:r>
        <w:rPr>
          <w:rFonts w:hint="eastAsia" w:ascii="宋体" w:hAnsi="宋体" w:cs="宋体"/>
          <w:color w:val="auto"/>
          <w:szCs w:val="21"/>
          <w:highlight w:val="none"/>
        </w:rPr>
        <w:t>第3种方式：其他价格调整方式：</w:t>
      </w:r>
      <w:r>
        <w:rPr>
          <w:rFonts w:hint="eastAsia" w:ascii="宋体" w:hAnsi="宋体" w:cs="宋体"/>
          <w:color w:val="auto"/>
          <w:szCs w:val="21"/>
          <w:highlight w:val="none"/>
          <w:u w:val="single"/>
        </w:rPr>
        <w:t xml:space="preserve">                        </w:t>
      </w:r>
    </w:p>
    <w:p w14:paraId="6AB72C1A">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bookmarkEnd w:id="731"/>
    <w:bookmarkEnd w:id="732"/>
    <w:bookmarkEnd w:id="733"/>
    <w:bookmarkEnd w:id="734"/>
    <w:bookmarkEnd w:id="735"/>
    <w:bookmarkEnd w:id="736"/>
    <w:p w14:paraId="065BBCE4">
      <w:pPr>
        <w:pStyle w:val="7"/>
        <w:snapToGrid w:val="0"/>
        <w:spacing w:before="0" w:after="0" w:line="360" w:lineRule="auto"/>
        <w:rPr>
          <w:rFonts w:ascii="宋体" w:hAnsi="宋体" w:eastAsia="宋体" w:cs="宋体"/>
          <w:b w:val="0"/>
          <w:color w:val="auto"/>
          <w:sz w:val="21"/>
          <w:szCs w:val="21"/>
          <w:highlight w:val="none"/>
        </w:rPr>
      </w:pPr>
      <w:bookmarkStart w:id="844" w:name="_Toc296891245"/>
      <w:bookmarkStart w:id="845" w:name="_Toc296891033"/>
      <w:bookmarkStart w:id="846" w:name="_Toc296503205"/>
      <w:bookmarkStart w:id="847" w:name="_Toc292559915"/>
      <w:bookmarkStart w:id="848" w:name="_Toc297048391"/>
      <w:bookmarkStart w:id="849" w:name="_Toc297120505"/>
      <w:bookmarkStart w:id="850" w:name="_Toc296944544"/>
      <w:bookmarkStart w:id="851" w:name="_Toc292559410"/>
      <w:bookmarkStart w:id="852" w:name="_Toc296347204"/>
      <w:bookmarkStart w:id="853" w:name="_Toc296346706"/>
      <w:bookmarkStart w:id="854" w:name="_Toc351203644"/>
      <w:bookmarkStart w:id="855" w:name="_Toc303539159"/>
      <w:bookmarkStart w:id="856" w:name="_Toc297123552"/>
      <w:bookmarkStart w:id="857" w:name="_Toc297216211"/>
      <w:bookmarkStart w:id="858" w:name="_Toc304295579"/>
      <w:bookmarkStart w:id="859" w:name="_Toc312678040"/>
      <w:bookmarkStart w:id="860" w:name="_Toc300935002"/>
      <w:r>
        <w:rPr>
          <w:rFonts w:hint="eastAsia" w:ascii="宋体" w:hAnsi="宋体" w:eastAsia="宋体" w:cs="宋体"/>
          <w:b w:val="0"/>
          <w:color w:val="auto"/>
          <w:sz w:val="21"/>
          <w:szCs w:val="21"/>
          <w:highlight w:val="none"/>
        </w:rPr>
        <w:t xml:space="preserve">12. </w:t>
      </w:r>
      <w:bookmarkEnd w:id="844"/>
      <w:bookmarkEnd w:id="845"/>
      <w:bookmarkEnd w:id="846"/>
      <w:bookmarkEnd w:id="847"/>
      <w:bookmarkEnd w:id="848"/>
      <w:bookmarkEnd w:id="849"/>
      <w:bookmarkEnd w:id="850"/>
      <w:bookmarkEnd w:id="851"/>
      <w:bookmarkEnd w:id="852"/>
      <w:bookmarkEnd w:id="853"/>
      <w:r>
        <w:rPr>
          <w:rFonts w:hint="eastAsia" w:ascii="宋体" w:hAnsi="宋体" w:eastAsia="宋体" w:cs="宋体"/>
          <w:b w:val="0"/>
          <w:color w:val="auto"/>
          <w:sz w:val="21"/>
          <w:szCs w:val="21"/>
          <w:highlight w:val="none"/>
        </w:rPr>
        <w:t>合同价格、计量与支付</w:t>
      </w:r>
      <w:bookmarkEnd w:id="854"/>
    </w:p>
    <w:bookmarkEnd w:id="855"/>
    <w:bookmarkEnd w:id="856"/>
    <w:bookmarkEnd w:id="857"/>
    <w:bookmarkEnd w:id="858"/>
    <w:bookmarkEnd w:id="859"/>
    <w:bookmarkEnd w:id="860"/>
    <w:p w14:paraId="1D5DF7BA">
      <w:pPr>
        <w:snapToGrid w:val="0"/>
        <w:spacing w:line="360" w:lineRule="auto"/>
        <w:ind w:firstLine="420" w:firstLineChars="200"/>
        <w:rPr>
          <w:rFonts w:ascii="宋体" w:hAnsi="宋体" w:cs="宋体"/>
          <w:color w:val="auto"/>
          <w:szCs w:val="21"/>
          <w:highlight w:val="none"/>
        </w:rPr>
      </w:pPr>
      <w:bookmarkStart w:id="861" w:name="_Toc292559411"/>
      <w:bookmarkStart w:id="862" w:name="_Toc292559916"/>
      <w:bookmarkStart w:id="863" w:name="_Toc267251461"/>
      <w:bookmarkStart w:id="864" w:name="_Toc296891034"/>
      <w:bookmarkStart w:id="865" w:name="_Toc297120506"/>
      <w:bookmarkStart w:id="866" w:name="_Toc296347205"/>
      <w:bookmarkStart w:id="867" w:name="_Toc296346707"/>
      <w:bookmarkStart w:id="868" w:name="_Toc296891246"/>
      <w:bookmarkStart w:id="869" w:name="_Toc296944545"/>
      <w:bookmarkStart w:id="870" w:name="_Toc297048392"/>
      <w:bookmarkStart w:id="871" w:name="_Toc296503206"/>
      <w:bookmarkStart w:id="872" w:name="_Toc297216212"/>
      <w:bookmarkStart w:id="873" w:name="_Toc312678041"/>
      <w:bookmarkStart w:id="874" w:name="_Toc303539160"/>
      <w:bookmarkStart w:id="875" w:name="_Toc300935003"/>
      <w:bookmarkStart w:id="876" w:name="_Toc304295580"/>
      <w:bookmarkStart w:id="877" w:name="_Toc297123553"/>
      <w:r>
        <w:rPr>
          <w:rFonts w:hint="eastAsia" w:ascii="宋体" w:hAnsi="宋体" w:cs="宋体"/>
          <w:color w:val="auto"/>
          <w:szCs w:val="21"/>
          <w:highlight w:val="none"/>
        </w:rPr>
        <w:t>12.1 合</w:t>
      </w:r>
      <w:bookmarkEnd w:id="861"/>
      <w:bookmarkEnd w:id="862"/>
      <w:bookmarkEnd w:id="863"/>
      <w:r>
        <w:rPr>
          <w:rFonts w:hint="eastAsia" w:ascii="宋体" w:hAnsi="宋体" w:cs="宋体"/>
          <w:color w:val="auto"/>
          <w:szCs w:val="21"/>
          <w:highlight w:val="none"/>
        </w:rPr>
        <w:t>同价</w:t>
      </w:r>
      <w:bookmarkEnd w:id="864"/>
      <w:bookmarkEnd w:id="865"/>
      <w:bookmarkEnd w:id="866"/>
      <w:bookmarkEnd w:id="867"/>
      <w:bookmarkEnd w:id="868"/>
      <w:bookmarkEnd w:id="869"/>
      <w:bookmarkEnd w:id="870"/>
      <w:bookmarkEnd w:id="871"/>
      <w:r>
        <w:rPr>
          <w:rFonts w:hint="eastAsia" w:ascii="宋体" w:hAnsi="宋体" w:cs="宋体"/>
          <w:color w:val="auto"/>
          <w:szCs w:val="21"/>
          <w:highlight w:val="none"/>
        </w:rPr>
        <w:t>格形式</w:t>
      </w:r>
    </w:p>
    <w:bookmarkEnd w:id="872"/>
    <w:bookmarkEnd w:id="873"/>
    <w:bookmarkEnd w:id="874"/>
    <w:bookmarkEnd w:id="875"/>
    <w:bookmarkEnd w:id="876"/>
    <w:bookmarkEnd w:id="877"/>
    <w:p w14:paraId="49C1DF0D">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1、单价合同。</w:t>
      </w:r>
    </w:p>
    <w:p w14:paraId="4576158D">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综合单价包含的风险范围：</w:t>
      </w:r>
      <w:r>
        <w:rPr>
          <w:rFonts w:hint="eastAsia" w:ascii="宋体" w:hAnsi="宋体" w:cs="宋体"/>
          <w:color w:val="auto"/>
          <w:szCs w:val="21"/>
          <w:highlight w:val="none"/>
          <w:u w:val="single" w:color="000000"/>
        </w:rPr>
        <w:t>综合单价不作调整</w:t>
      </w:r>
      <w:r>
        <w:rPr>
          <w:rFonts w:hint="eastAsia" w:ascii="宋体" w:hAnsi="宋体" w:cs="宋体"/>
          <w:color w:val="auto"/>
          <w:szCs w:val="21"/>
          <w:highlight w:val="none"/>
        </w:rPr>
        <w:t>。</w:t>
      </w:r>
    </w:p>
    <w:p w14:paraId="48B73E62">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风险费用的计算方法：</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F74400D">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风险范围以外合同价格的调整方法：</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B4E81CD">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2、总价合同。</w:t>
      </w:r>
    </w:p>
    <w:p w14:paraId="4EB24367">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总价包含的风险范围：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42CE8C8">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风险费用的计算方法：</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94BD0D8">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风险范围以外合同价格的调整方法：</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3E1E7FD">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3、其他价格方式：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D5F73ED">
      <w:pPr>
        <w:snapToGrid w:val="0"/>
        <w:spacing w:line="360" w:lineRule="auto"/>
        <w:ind w:firstLine="420" w:firstLineChars="200"/>
        <w:rPr>
          <w:rFonts w:ascii="宋体" w:hAnsi="宋体" w:cs="宋体"/>
          <w:color w:val="auto"/>
          <w:szCs w:val="21"/>
          <w:highlight w:val="none"/>
        </w:rPr>
      </w:pPr>
      <w:bookmarkStart w:id="878" w:name="_Toc304295581"/>
      <w:bookmarkStart w:id="879" w:name="_Toc297123554"/>
      <w:bookmarkStart w:id="880" w:name="_Toc312678042"/>
      <w:bookmarkStart w:id="881" w:name="_Toc303539161"/>
      <w:bookmarkStart w:id="882" w:name="_Toc297216213"/>
      <w:bookmarkStart w:id="883" w:name="_Toc300935004"/>
      <w:bookmarkStart w:id="884" w:name="_Toc296944546"/>
      <w:bookmarkStart w:id="885" w:name="_Toc296346708"/>
      <w:bookmarkStart w:id="886" w:name="_Toc292559412"/>
      <w:bookmarkStart w:id="887" w:name="_Toc296891035"/>
      <w:bookmarkStart w:id="888" w:name="_Toc296891247"/>
      <w:bookmarkStart w:id="889" w:name="_Toc297120507"/>
      <w:bookmarkStart w:id="890" w:name="_Toc296503207"/>
      <w:bookmarkStart w:id="891" w:name="_Toc296347206"/>
      <w:bookmarkStart w:id="892" w:name="_Toc297048393"/>
      <w:bookmarkStart w:id="893" w:name="_Toc292559917"/>
      <w:r>
        <w:rPr>
          <w:rFonts w:hint="eastAsia" w:ascii="宋体" w:hAnsi="宋体" w:cs="宋体"/>
          <w:color w:val="auto"/>
          <w:szCs w:val="21"/>
          <w:highlight w:val="none"/>
        </w:rPr>
        <w:t>12.2 预付款</w:t>
      </w:r>
    </w:p>
    <w:bookmarkEnd w:id="878"/>
    <w:bookmarkEnd w:id="879"/>
    <w:bookmarkEnd w:id="880"/>
    <w:bookmarkEnd w:id="881"/>
    <w:bookmarkEnd w:id="882"/>
    <w:bookmarkEnd w:id="883"/>
    <w:p w14:paraId="3FF2DED3">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12.2.1 预付款的支付</w:t>
      </w:r>
    </w:p>
    <w:p w14:paraId="0BBF9A4C">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预付款支付比例或金额：</w:t>
      </w:r>
      <w:r>
        <w:rPr>
          <w:rFonts w:hint="eastAsia" w:ascii="宋体" w:hAnsi="宋体" w:cs="宋体"/>
          <w:color w:val="auto"/>
          <w:szCs w:val="21"/>
          <w:highlight w:val="none"/>
          <w:u w:val="single" w:color="000000"/>
        </w:rPr>
        <w:t>预付款为中标合同价的</w:t>
      </w:r>
      <w:r>
        <w:rPr>
          <w:rFonts w:hint="eastAsia" w:ascii="宋体" w:hAnsi="宋体" w:cs="宋体"/>
          <w:color w:val="auto"/>
          <w:szCs w:val="21"/>
          <w:highlight w:val="none"/>
          <w:u w:val="single" w:color="000000"/>
          <w:lang w:val="en-US" w:eastAsia="zh-CN"/>
        </w:rPr>
        <w:t>50</w:t>
      </w:r>
      <w:r>
        <w:rPr>
          <w:rFonts w:hint="eastAsia" w:ascii="宋体" w:hAnsi="宋体" w:cs="宋体"/>
          <w:color w:val="auto"/>
          <w:szCs w:val="21"/>
          <w:highlight w:val="none"/>
          <w:u w:val="single" w:color="000000"/>
        </w:rPr>
        <w:t>%</w:t>
      </w:r>
      <w:r>
        <w:rPr>
          <w:rFonts w:hint="eastAsia" w:ascii="宋体" w:hAnsi="宋体" w:cs="宋体"/>
          <w:color w:val="auto"/>
          <w:szCs w:val="21"/>
          <w:highlight w:val="none"/>
        </w:rPr>
        <w:t>。</w:t>
      </w:r>
    </w:p>
    <w:p w14:paraId="218B0128">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预付款支付期限：</w:t>
      </w:r>
      <w:r>
        <w:rPr>
          <w:rFonts w:hint="eastAsia" w:ascii="宋体" w:hAnsi="宋体" w:cs="宋体"/>
          <w:color w:val="auto"/>
          <w:szCs w:val="21"/>
          <w:highlight w:val="none"/>
          <w:u w:val="single"/>
        </w:rPr>
        <w:t>项目合同签订且具备实施条件后5个工作日内</w:t>
      </w:r>
      <w:r>
        <w:rPr>
          <w:rFonts w:hint="eastAsia" w:ascii="宋体" w:hAnsi="宋体" w:cs="宋体"/>
          <w:color w:val="auto"/>
          <w:szCs w:val="21"/>
          <w:highlight w:val="none"/>
        </w:rPr>
        <w:t>。</w:t>
      </w:r>
    </w:p>
    <w:p w14:paraId="26E561A0">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预付款扣回的方式：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E4A3576">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12.2.2 预付款担保</w:t>
      </w:r>
    </w:p>
    <w:p w14:paraId="583028AA">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承包人提交预付款担保的期限：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E7A15A8">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预付款担保的形式为：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bookmarkEnd w:id="884"/>
    <w:bookmarkEnd w:id="885"/>
    <w:bookmarkEnd w:id="886"/>
    <w:bookmarkEnd w:id="887"/>
    <w:bookmarkEnd w:id="888"/>
    <w:bookmarkEnd w:id="889"/>
    <w:bookmarkEnd w:id="890"/>
    <w:bookmarkEnd w:id="891"/>
    <w:bookmarkEnd w:id="892"/>
    <w:bookmarkEnd w:id="893"/>
    <w:p w14:paraId="462A31A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12.3 计量</w:t>
      </w:r>
    </w:p>
    <w:p w14:paraId="35AADF65">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12.3.1 计量原则</w:t>
      </w:r>
    </w:p>
    <w:p w14:paraId="088ED1F5">
      <w:pPr>
        <w:pageBreakBefore w:val="0"/>
        <w:widowControl w:val="0"/>
        <w:kinsoku/>
        <w:wordWrap/>
        <w:overflowPunct/>
        <w:topLinePunct w:val="0"/>
        <w:bidi w:val="0"/>
        <w:snapToGrid w:val="0"/>
        <w:spacing w:line="360" w:lineRule="auto"/>
        <w:ind w:firstLine="482"/>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工程量计算规则：</w:t>
      </w:r>
    </w:p>
    <w:p w14:paraId="3E6C65C7">
      <w:pPr>
        <w:pageBreakBefore w:val="0"/>
        <w:widowControl w:val="0"/>
        <w:kinsoku/>
        <w:wordWrap/>
        <w:overflowPunct/>
        <w:topLinePunct w:val="0"/>
        <w:bidi w:val="0"/>
        <w:snapToGrid w:val="0"/>
        <w:spacing w:line="360" w:lineRule="auto"/>
        <w:ind w:firstLine="482"/>
        <w:jc w:val="left"/>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color="000000"/>
        </w:rPr>
        <w:t>（1）</w:t>
      </w:r>
      <w:r>
        <w:rPr>
          <w:rFonts w:hint="eastAsia" w:ascii="宋体" w:hAnsi="宋体" w:cs="宋体"/>
          <w:b/>
          <w:bCs/>
          <w:color w:val="auto"/>
          <w:szCs w:val="21"/>
          <w:highlight w:val="none"/>
          <w:u w:val="single" w:color="000000"/>
        </w:rPr>
        <w:t>实行工程量清单计价的工程项目，其工程量的计算规则应按国家标准工程量计算规范及省级行业主管部门颁布的补充规定执行。</w:t>
      </w:r>
    </w:p>
    <w:p w14:paraId="574D8179">
      <w:pPr>
        <w:pageBreakBefore w:val="0"/>
        <w:widowControl w:val="0"/>
        <w:kinsoku/>
        <w:wordWrap/>
        <w:overflowPunct/>
        <w:topLinePunct w:val="0"/>
        <w:bidi w:val="0"/>
        <w:snapToGrid w:val="0"/>
        <w:spacing w:line="360" w:lineRule="auto"/>
        <w:ind w:firstLine="482"/>
        <w:jc w:val="left"/>
        <w:textAlignment w:val="auto"/>
        <w:rPr>
          <w:rFonts w:ascii="宋体" w:hAnsi="宋体" w:cs="宋体"/>
          <w:color w:val="auto"/>
          <w:szCs w:val="21"/>
          <w:highlight w:val="none"/>
        </w:rPr>
      </w:pPr>
      <w:r>
        <w:rPr>
          <w:rFonts w:hint="eastAsia" w:ascii="宋体" w:hAnsi="宋体" w:cs="宋体"/>
          <w:b/>
          <w:bCs/>
          <w:color w:val="auto"/>
          <w:szCs w:val="21"/>
          <w:highlight w:val="none"/>
          <w:u w:color="000000"/>
        </w:rPr>
        <w:t>（2）</w:t>
      </w:r>
      <w:r>
        <w:rPr>
          <w:rFonts w:hint="eastAsia" w:ascii="宋体" w:hAnsi="宋体" w:cs="宋体"/>
          <w:b/>
          <w:bCs/>
          <w:color w:val="auto"/>
          <w:szCs w:val="21"/>
          <w:highlight w:val="none"/>
          <w:u w:val="single" w:color="000000"/>
        </w:rPr>
        <w:t>不实行工程量清单计价的工程项目，工程量的计算规则应按省、市行业主管部门颁布的各专业工程定额的工程量计算规则执行。</w:t>
      </w:r>
    </w:p>
    <w:p w14:paraId="1E90D4FB">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12.3.2 计量周期</w:t>
      </w:r>
    </w:p>
    <w:p w14:paraId="0A8E635C">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关于计量周期的约定：</w:t>
      </w:r>
      <w:r>
        <w:rPr>
          <w:rFonts w:hint="eastAsia" w:ascii="宋体" w:hAnsi="宋体" w:cs="宋体"/>
          <w:color w:val="auto"/>
          <w:szCs w:val="21"/>
          <w:highlight w:val="none"/>
          <w:u w:val="single" w:color="000000"/>
        </w:rPr>
        <w:t>按完成合同产值</w:t>
      </w:r>
      <w:r>
        <w:rPr>
          <w:rFonts w:hint="eastAsia" w:ascii="宋体" w:hAnsi="宋体" w:cs="宋体"/>
          <w:color w:val="auto"/>
          <w:szCs w:val="21"/>
          <w:highlight w:val="none"/>
        </w:rPr>
        <w:t>。</w:t>
      </w:r>
    </w:p>
    <w:p w14:paraId="7F489FC9">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12.3.3 单价合同的计量</w:t>
      </w:r>
    </w:p>
    <w:p w14:paraId="5C247936">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关于单价合同计量的约定：</w:t>
      </w:r>
      <w:r>
        <w:rPr>
          <w:rFonts w:hint="eastAsia" w:ascii="宋体" w:hAnsi="宋体" w:cs="宋体"/>
          <w:color w:val="auto"/>
          <w:szCs w:val="21"/>
          <w:highlight w:val="none"/>
          <w:u w:val="single" w:color="000000"/>
        </w:rPr>
        <w:t>按完成合同产值</w:t>
      </w:r>
      <w:r>
        <w:rPr>
          <w:rFonts w:hint="eastAsia" w:ascii="宋体" w:hAnsi="宋体" w:cs="宋体"/>
          <w:color w:val="auto"/>
          <w:szCs w:val="21"/>
          <w:highlight w:val="none"/>
        </w:rPr>
        <w:t>。</w:t>
      </w:r>
    </w:p>
    <w:p w14:paraId="0BAEE5CF">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12.3.4 总价合同的计量</w:t>
      </w:r>
    </w:p>
    <w:p w14:paraId="04DAF563">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关于总价合同计量的约定：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D5BE44D">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12.3.5总价合同采用支付分解表计量支付的，是否适用第</w:t>
      </w:r>
      <w:r>
        <w:rPr>
          <w:rFonts w:hint="eastAsia" w:ascii="宋体" w:hAnsi="宋体" w:cs="宋体"/>
          <w:color w:val="auto"/>
          <w:kern w:val="0"/>
          <w:szCs w:val="21"/>
          <w:highlight w:val="none"/>
        </w:rPr>
        <w:t xml:space="preserve">12.3.4 </w:t>
      </w:r>
      <w:r>
        <w:rPr>
          <w:rFonts w:hint="eastAsia" w:ascii="宋体" w:hAnsi="宋体" w:cs="宋体"/>
          <w:color w:val="auto"/>
          <w:szCs w:val="21"/>
          <w:highlight w:val="none"/>
        </w:rPr>
        <w:t>项</w:t>
      </w:r>
      <w:r>
        <w:rPr>
          <w:rFonts w:hint="eastAsia" w:ascii="宋体" w:hAnsi="宋体" w:cs="宋体"/>
          <w:color w:val="auto"/>
          <w:kern w:val="0"/>
          <w:szCs w:val="21"/>
          <w:highlight w:val="none"/>
        </w:rPr>
        <w:t>〔总价合同的计量〕</w:t>
      </w:r>
      <w:r>
        <w:rPr>
          <w:rFonts w:hint="eastAsia" w:ascii="宋体" w:hAnsi="宋体" w:cs="宋体"/>
          <w:color w:val="auto"/>
          <w:szCs w:val="21"/>
          <w:highlight w:val="none"/>
        </w:rPr>
        <w:t>约定进行计量：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A3501BF">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12.3.6 其他价格形式合同的计量</w:t>
      </w:r>
    </w:p>
    <w:p w14:paraId="57677876">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其他价格形式的计量方式和程序：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32C4FB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12.4 工程进度款支付</w:t>
      </w:r>
    </w:p>
    <w:p w14:paraId="2B743A69">
      <w:pPr>
        <w:snapToGrid w:val="0"/>
        <w:spacing w:line="360" w:lineRule="auto"/>
        <w:ind w:firstLine="420" w:firstLineChars="200"/>
        <w:jc w:val="left"/>
        <w:rPr>
          <w:rFonts w:ascii="宋体" w:hAnsi="宋体" w:cs="宋体"/>
          <w:color w:val="auto"/>
          <w:szCs w:val="21"/>
          <w:highlight w:val="none"/>
        </w:rPr>
      </w:pPr>
      <w:bookmarkStart w:id="894" w:name="_Toc297048397"/>
      <w:bookmarkStart w:id="895" w:name="_Toc300935006"/>
      <w:bookmarkStart w:id="896" w:name="_Toc297216215"/>
      <w:bookmarkStart w:id="897" w:name="_Toc296944550"/>
      <w:bookmarkStart w:id="898" w:name="_Toc296503211"/>
      <w:bookmarkStart w:id="899" w:name="_Toc296347210"/>
      <w:bookmarkStart w:id="900" w:name="_Toc296346712"/>
      <w:bookmarkStart w:id="901" w:name="_Toc296891039"/>
      <w:bookmarkStart w:id="902" w:name="_Toc303539163"/>
      <w:bookmarkStart w:id="903" w:name="_Toc296891251"/>
      <w:bookmarkStart w:id="904" w:name="_Toc292559921"/>
      <w:bookmarkStart w:id="905" w:name="_Toc292559416"/>
      <w:bookmarkStart w:id="906" w:name="_Toc297123556"/>
      <w:bookmarkStart w:id="907" w:name="_Toc297120511"/>
      <w:r>
        <w:rPr>
          <w:rFonts w:hint="eastAsia" w:ascii="宋体" w:hAnsi="宋体" w:cs="宋体"/>
          <w:color w:val="auto"/>
          <w:szCs w:val="21"/>
          <w:highlight w:val="none"/>
        </w:rPr>
        <w:t>12.4.1 付款周期</w:t>
      </w:r>
    </w:p>
    <w:p w14:paraId="13A6C04C">
      <w:pPr>
        <w:pageBreakBefore w:val="0"/>
        <w:widowControl w:val="0"/>
        <w:tabs>
          <w:tab w:val="left" w:pos="8640"/>
        </w:tabs>
        <w:kinsoku/>
        <w:wordWrap/>
        <w:overflowPunct/>
        <w:topLinePunct w:val="0"/>
        <w:bidi w:val="0"/>
        <w:snapToGrid w:val="0"/>
        <w:spacing w:line="360" w:lineRule="auto"/>
        <w:ind w:left="417" w:leftChars="170" w:hanging="60" w:hangingChars="29"/>
        <w:textAlignment w:val="auto"/>
        <w:rPr>
          <w:rFonts w:hint="eastAsia" w:ascii="宋体" w:hAnsi="宋体" w:cs="宋体"/>
          <w:color w:val="auto"/>
          <w:szCs w:val="21"/>
          <w:highlight w:val="none"/>
        </w:rPr>
      </w:pPr>
      <w:r>
        <w:rPr>
          <w:rFonts w:hint="eastAsia" w:ascii="宋体" w:hAnsi="宋体" w:cs="宋体"/>
          <w:color w:val="auto"/>
          <w:szCs w:val="21"/>
          <w:highlight w:val="none"/>
        </w:rPr>
        <w:t>关于付款周期的约定：</w:t>
      </w:r>
    </w:p>
    <w:p w14:paraId="58BBF775">
      <w:pPr>
        <w:pageBreakBefore w:val="0"/>
        <w:widowControl w:val="0"/>
        <w:tabs>
          <w:tab w:val="left" w:pos="8640"/>
        </w:tabs>
        <w:kinsoku/>
        <w:wordWrap/>
        <w:overflowPunct/>
        <w:topLinePunct w:val="0"/>
        <w:bidi w:val="0"/>
        <w:snapToGrid w:val="0"/>
        <w:spacing w:line="360" w:lineRule="auto"/>
        <w:ind w:left="417" w:leftChars="170" w:hanging="60" w:hangingChars="29"/>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（1）项目合同签订且具备付款条件后5个工作日内，支付合同总价的</w:t>
      </w:r>
      <w:r>
        <w:rPr>
          <w:rFonts w:hint="eastAsia" w:ascii="宋体" w:hAnsi="宋体" w:cs="宋体"/>
          <w:color w:val="auto"/>
          <w:szCs w:val="21"/>
          <w:highlight w:val="none"/>
          <w:u w:color="000000"/>
          <w:lang w:val="en-US" w:eastAsia="zh-CN"/>
        </w:rPr>
        <w:t>50</w:t>
      </w:r>
      <w:r>
        <w:rPr>
          <w:rFonts w:hint="eastAsia" w:ascii="宋体" w:hAnsi="宋体" w:cs="宋体"/>
          <w:color w:val="auto"/>
          <w:szCs w:val="21"/>
          <w:highlight w:val="none"/>
          <w:u w:color="000000"/>
        </w:rPr>
        <w:t>%预付款，计   元；</w:t>
      </w:r>
    </w:p>
    <w:p w14:paraId="356625FB">
      <w:pPr>
        <w:pageBreakBefore w:val="0"/>
        <w:widowControl w:val="0"/>
        <w:tabs>
          <w:tab w:val="left" w:pos="8640"/>
        </w:tabs>
        <w:kinsoku/>
        <w:wordWrap/>
        <w:overflowPunct/>
        <w:topLinePunct w:val="0"/>
        <w:bidi w:val="0"/>
        <w:snapToGrid w:val="0"/>
        <w:spacing w:line="360" w:lineRule="auto"/>
        <w:ind w:left="417" w:leftChars="170" w:hanging="60" w:hangingChars="29"/>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（2）项目完成施工交付验收且具备付款条件后5个工作日内，支付合同总价的</w:t>
      </w:r>
      <w:r>
        <w:rPr>
          <w:rFonts w:hint="eastAsia" w:ascii="宋体" w:hAnsi="宋体" w:cs="宋体"/>
          <w:color w:val="auto"/>
          <w:szCs w:val="21"/>
          <w:highlight w:val="none"/>
          <w:u w:color="000000"/>
          <w:lang w:val="en-US" w:eastAsia="zh-CN"/>
        </w:rPr>
        <w:t>40</w:t>
      </w:r>
      <w:r>
        <w:rPr>
          <w:rFonts w:hint="eastAsia" w:ascii="宋体" w:hAnsi="宋体" w:cs="宋体"/>
          <w:color w:val="auto"/>
          <w:szCs w:val="21"/>
          <w:highlight w:val="none"/>
          <w:u w:color="000000"/>
        </w:rPr>
        <w:t>%，计   元；</w:t>
      </w:r>
    </w:p>
    <w:p w14:paraId="275F74CD">
      <w:pPr>
        <w:pageBreakBefore w:val="0"/>
        <w:widowControl w:val="0"/>
        <w:tabs>
          <w:tab w:val="left" w:pos="8640"/>
        </w:tabs>
        <w:kinsoku/>
        <w:wordWrap/>
        <w:overflowPunct/>
        <w:topLinePunct w:val="0"/>
        <w:bidi w:val="0"/>
        <w:snapToGrid w:val="0"/>
        <w:spacing w:line="360" w:lineRule="auto"/>
        <w:ind w:left="417" w:leftChars="170" w:hanging="60" w:hangingChars="29"/>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（3）项目验收合格并经有审价资质的机构审价，且具备付款条件后5个工作日内，支付合同剩余尾款。</w:t>
      </w:r>
    </w:p>
    <w:p w14:paraId="6E9B0BA3">
      <w:pPr>
        <w:pStyle w:val="43"/>
        <w:pageBreakBefore w:val="0"/>
        <w:widowControl w:val="0"/>
        <w:kinsoku/>
        <w:wordWrap/>
        <w:overflowPunct/>
        <w:topLinePunct w:val="0"/>
        <w:bidi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u w:val="single"/>
        </w:rPr>
        <w:t>在承包人领取工程款前，应当向发包人交付相应的正规发票，并按本合同合格的履行了义务，否则发包人可暂缓支付。</w:t>
      </w:r>
    </w:p>
    <w:p w14:paraId="38DD934D">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12.4.2 进度付款申请单的编制</w:t>
      </w:r>
    </w:p>
    <w:p w14:paraId="584D7EED">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关于进度付款申请单编制的约定：</w:t>
      </w:r>
      <w:r>
        <w:rPr>
          <w:rFonts w:hint="eastAsia" w:ascii="宋体" w:hAnsi="宋体" w:cs="宋体"/>
          <w:color w:val="auto"/>
          <w:szCs w:val="21"/>
          <w:highlight w:val="none"/>
          <w:u w:val="single" w:color="000000"/>
        </w:rPr>
        <w:t>按《通用合同条款》12.4.2条执行</w:t>
      </w:r>
      <w:r>
        <w:rPr>
          <w:rFonts w:hint="eastAsia" w:ascii="宋体" w:hAnsi="宋体" w:cs="宋体"/>
          <w:color w:val="auto"/>
          <w:szCs w:val="21"/>
          <w:highlight w:val="none"/>
        </w:rPr>
        <w:t>。</w:t>
      </w:r>
    </w:p>
    <w:p w14:paraId="77C6952C">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w:t>
      </w:r>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r>
        <w:rPr>
          <w:rFonts w:hint="eastAsia" w:ascii="宋体" w:hAnsi="宋体" w:cs="宋体"/>
          <w:color w:val="auto"/>
          <w:szCs w:val="21"/>
          <w:highlight w:val="none"/>
        </w:rPr>
        <w:t>2.4.3 进度付款申请单的提交</w:t>
      </w:r>
    </w:p>
    <w:p w14:paraId="11F91C2A">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（1）单价合同进度付款申请单提交的约定：</w:t>
      </w:r>
      <w:r>
        <w:rPr>
          <w:rFonts w:hint="eastAsia" w:ascii="宋体" w:hAnsi="宋体" w:cs="宋体"/>
          <w:color w:val="auto"/>
          <w:szCs w:val="21"/>
          <w:highlight w:val="none"/>
          <w:u w:val="single" w:color="000000"/>
        </w:rPr>
        <w:t>按《通用合同条款》12.3.3条执行</w:t>
      </w:r>
      <w:r>
        <w:rPr>
          <w:rFonts w:hint="eastAsia" w:ascii="宋体" w:hAnsi="宋体" w:cs="宋体"/>
          <w:color w:val="auto"/>
          <w:szCs w:val="21"/>
          <w:highlight w:val="none"/>
        </w:rPr>
        <w:t>。</w:t>
      </w:r>
    </w:p>
    <w:p w14:paraId="0F7DEDE1">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（2）总价合同进度付款申请单提交的约定：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2E57298">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（3）其他价格形式合同进度付款申请单提交的约定：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3958012">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12.4.4 进度款审核和支付</w:t>
      </w:r>
    </w:p>
    <w:p w14:paraId="71C36712">
      <w:pPr>
        <w:snapToGrid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（1）监理人审查并报送发包人的期限：</w:t>
      </w:r>
      <w:r>
        <w:rPr>
          <w:rFonts w:hint="eastAsia" w:ascii="宋体" w:hAnsi="宋体" w:cs="宋体"/>
          <w:b/>
          <w:bCs/>
          <w:color w:val="auto"/>
          <w:szCs w:val="21"/>
          <w:highlight w:val="none"/>
          <w:u w:val="single" w:color="000000"/>
        </w:rPr>
        <w:t>监理人应在收到承包人进度付款申请单以及相关资料后5天内完成审查并报送发包人</w:t>
      </w:r>
      <w:r>
        <w:rPr>
          <w:rFonts w:hint="eastAsia" w:ascii="宋体" w:hAnsi="宋体" w:cs="宋体"/>
          <w:color w:val="auto"/>
          <w:szCs w:val="21"/>
          <w:highlight w:val="none"/>
        </w:rPr>
        <w:t>。</w:t>
      </w:r>
    </w:p>
    <w:p w14:paraId="505A2E6D">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发包人完成审批并签发进度款支付证书的期限：</w:t>
      </w:r>
      <w:r>
        <w:rPr>
          <w:rFonts w:hint="eastAsia" w:ascii="宋体" w:hAnsi="宋体" w:cs="宋体"/>
          <w:color w:val="auto"/>
          <w:szCs w:val="21"/>
          <w:highlight w:val="none"/>
          <w:u w:val="single" w:color="000000"/>
        </w:rPr>
        <w:t>发包人应在收到后7天内完成审批并签发进度款支付证书</w:t>
      </w:r>
      <w:r>
        <w:rPr>
          <w:rFonts w:hint="eastAsia" w:ascii="宋体" w:hAnsi="宋体" w:cs="宋体"/>
          <w:color w:val="auto"/>
          <w:szCs w:val="21"/>
          <w:highlight w:val="none"/>
        </w:rPr>
        <w:t>。</w:t>
      </w:r>
    </w:p>
    <w:p w14:paraId="7C2D4517">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（2）发包人支付进度款的期限：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B88E9B7">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发包人逾期支付进度款的违约金的计算方式：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E5796AB">
      <w:pPr>
        <w:snapToGrid w:val="0"/>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12.4.6 支付分解表的编制</w:t>
      </w:r>
    </w:p>
    <w:p w14:paraId="76B9ABB6">
      <w:pPr>
        <w:snapToGrid w:val="0"/>
        <w:spacing w:line="360" w:lineRule="auto"/>
        <w:ind w:left="4200" w:leftChars="200" w:hanging="3780" w:hangingChars="1800"/>
        <w:jc w:val="left"/>
        <w:rPr>
          <w:rFonts w:ascii="宋体" w:hAnsi="宋体" w:cs="宋体"/>
          <w:color w:val="auto"/>
          <w:szCs w:val="21"/>
          <w:highlight w:val="none"/>
        </w:rPr>
      </w:pPr>
      <w:r>
        <w:rPr>
          <w:rFonts w:hint="eastAsia" w:ascii="宋体" w:hAnsi="宋体" w:cs="宋体"/>
          <w:color w:val="auto"/>
          <w:szCs w:val="21"/>
          <w:highlight w:val="none"/>
        </w:rPr>
        <w:t>2、总价合同支付分解表的编制与审批：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3E9B3F3">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3、单价合同的总价项目支付分解表的编制与审批：</w:t>
      </w:r>
      <w:r>
        <w:rPr>
          <w:rFonts w:hint="eastAsia" w:ascii="宋体" w:hAnsi="宋体" w:cs="宋体"/>
          <w:color w:val="auto"/>
          <w:szCs w:val="21"/>
          <w:highlight w:val="none"/>
          <w:u w:val="single"/>
        </w:rPr>
        <w:t>按通用条款执行</w:t>
      </w:r>
      <w:r>
        <w:rPr>
          <w:rFonts w:hint="eastAsia" w:ascii="宋体" w:hAnsi="宋体" w:cs="宋体"/>
          <w:color w:val="auto"/>
          <w:szCs w:val="21"/>
          <w:highlight w:val="none"/>
        </w:rPr>
        <w:t>。</w:t>
      </w:r>
    </w:p>
    <w:bookmarkEnd w:id="737"/>
    <w:p w14:paraId="721B5EE1">
      <w:pPr>
        <w:pStyle w:val="7"/>
        <w:snapToGrid w:val="0"/>
        <w:spacing w:before="0" w:after="0" w:line="360" w:lineRule="auto"/>
        <w:rPr>
          <w:rFonts w:ascii="宋体" w:hAnsi="宋体" w:eastAsia="宋体" w:cs="宋体"/>
          <w:b w:val="0"/>
          <w:color w:val="auto"/>
          <w:sz w:val="21"/>
          <w:szCs w:val="21"/>
          <w:highlight w:val="none"/>
        </w:rPr>
      </w:pPr>
      <w:bookmarkStart w:id="908" w:name="_Toc351203645"/>
      <w:bookmarkStart w:id="909" w:name="_Toc297120519"/>
      <w:bookmarkStart w:id="910" w:name="_Toc296891259"/>
      <w:bookmarkStart w:id="911" w:name="_Toc292559929"/>
      <w:bookmarkStart w:id="912" w:name="_Toc296347218"/>
      <w:bookmarkStart w:id="913" w:name="_Toc312678053"/>
      <w:bookmarkStart w:id="914" w:name="_Toc297216223"/>
      <w:bookmarkStart w:id="915" w:name="_Toc296891047"/>
      <w:bookmarkStart w:id="916" w:name="_Toc292559424"/>
      <w:bookmarkStart w:id="917" w:name="_Toc296503219"/>
      <w:bookmarkStart w:id="918" w:name="_Toc297123564"/>
      <w:bookmarkStart w:id="919" w:name="_Toc297048405"/>
      <w:bookmarkStart w:id="920" w:name="_Toc304295593"/>
      <w:bookmarkStart w:id="921" w:name="_Toc303539172"/>
      <w:bookmarkStart w:id="922" w:name="_Toc300935015"/>
      <w:bookmarkStart w:id="923" w:name="_Toc296346720"/>
      <w:bookmarkStart w:id="924" w:name="_Toc296944558"/>
      <w:r>
        <w:rPr>
          <w:rFonts w:hint="eastAsia" w:ascii="宋体" w:hAnsi="宋体" w:eastAsia="宋体" w:cs="宋体"/>
          <w:b w:val="0"/>
          <w:color w:val="auto"/>
          <w:sz w:val="21"/>
          <w:szCs w:val="21"/>
          <w:highlight w:val="none"/>
        </w:rPr>
        <w:t>13. 验收和工程试车</w:t>
      </w:r>
      <w:bookmarkEnd w:id="908"/>
    </w:p>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p w14:paraId="7210485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13.1 分部分项工程验收</w:t>
      </w:r>
    </w:p>
    <w:p w14:paraId="7DEEE739">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13.1.2监理人不能按时进行验收时，应提前</w:t>
      </w:r>
      <w:r>
        <w:rPr>
          <w:rFonts w:hint="eastAsia" w:ascii="宋体" w:hAnsi="宋体" w:cs="宋体"/>
          <w:color w:val="auto"/>
          <w:szCs w:val="21"/>
          <w:highlight w:val="none"/>
          <w:u w:val="single"/>
          <w:lang w:val="en-US" w:eastAsia="zh-CN"/>
        </w:rPr>
        <w:t>24</w:t>
      </w:r>
      <w:r>
        <w:rPr>
          <w:rFonts w:hint="eastAsia" w:ascii="宋体" w:hAnsi="宋体" w:cs="宋体"/>
          <w:color w:val="auto"/>
          <w:szCs w:val="21"/>
          <w:highlight w:val="none"/>
        </w:rPr>
        <w:t>小时提交书面延期要求。</w:t>
      </w:r>
    </w:p>
    <w:p w14:paraId="36F0C3C5">
      <w:pPr>
        <w:snapToGrid w:val="0"/>
        <w:spacing w:line="360" w:lineRule="auto"/>
        <w:ind w:firstLine="420" w:firstLineChars="200"/>
        <w:jc w:val="left"/>
        <w:rPr>
          <w:rFonts w:ascii="宋体" w:hAnsi="宋体" w:cs="宋体"/>
          <w:b/>
          <w:color w:val="auto"/>
          <w:szCs w:val="21"/>
          <w:highlight w:val="none"/>
        </w:rPr>
      </w:pPr>
      <w:r>
        <w:rPr>
          <w:rFonts w:hint="eastAsia" w:ascii="宋体" w:hAnsi="宋体" w:cs="宋体"/>
          <w:color w:val="auto"/>
          <w:szCs w:val="21"/>
          <w:highlight w:val="none"/>
        </w:rPr>
        <w:t>关于延期最长不得超过：</w:t>
      </w:r>
      <w:r>
        <w:rPr>
          <w:rFonts w:hint="eastAsia" w:ascii="宋体" w:hAnsi="宋体" w:cs="宋体"/>
          <w:color w:val="auto"/>
          <w:szCs w:val="21"/>
          <w:highlight w:val="none"/>
          <w:u w:val="single"/>
          <w:lang w:val="en-US" w:eastAsia="zh-CN"/>
        </w:rPr>
        <w:t>48</w:t>
      </w:r>
      <w:r>
        <w:rPr>
          <w:rFonts w:hint="eastAsia" w:ascii="宋体" w:hAnsi="宋体" w:cs="宋体"/>
          <w:color w:val="auto"/>
          <w:szCs w:val="21"/>
          <w:highlight w:val="none"/>
        </w:rPr>
        <w:t>小时。</w:t>
      </w:r>
    </w:p>
    <w:p w14:paraId="587104A0">
      <w:pPr>
        <w:snapToGrid w:val="0"/>
        <w:spacing w:line="360" w:lineRule="auto"/>
        <w:ind w:firstLine="420" w:firstLineChars="200"/>
        <w:rPr>
          <w:rFonts w:ascii="宋体" w:hAnsi="宋体" w:cs="宋体"/>
          <w:color w:val="auto"/>
          <w:szCs w:val="21"/>
          <w:highlight w:val="none"/>
        </w:rPr>
      </w:pPr>
      <w:bookmarkStart w:id="925" w:name="_Toc296347222"/>
      <w:bookmarkStart w:id="926" w:name="_Toc297120523"/>
      <w:bookmarkStart w:id="927" w:name="_Toc292559933"/>
      <w:bookmarkStart w:id="928" w:name="_Toc312678056"/>
      <w:bookmarkStart w:id="929" w:name="_Toc296891263"/>
      <w:bookmarkStart w:id="930" w:name="_Toc296944562"/>
      <w:bookmarkStart w:id="931" w:name="_Toc296503223"/>
      <w:bookmarkStart w:id="932" w:name="_Toc297048409"/>
      <w:bookmarkStart w:id="933" w:name="_Toc303539173"/>
      <w:bookmarkStart w:id="934" w:name="_Toc300935016"/>
      <w:bookmarkStart w:id="935" w:name="_Toc296346724"/>
      <w:bookmarkStart w:id="936" w:name="_Toc292559428"/>
      <w:bookmarkStart w:id="937" w:name="_Toc296891051"/>
      <w:bookmarkStart w:id="938" w:name="_Toc297123565"/>
      <w:bookmarkStart w:id="939" w:name="_Toc297216224"/>
      <w:bookmarkStart w:id="940" w:name="_Toc304295596"/>
      <w:bookmarkStart w:id="941" w:name="_Toc267251471"/>
      <w:bookmarkStart w:id="942" w:name="_Toc267251474"/>
      <w:bookmarkStart w:id="943" w:name="_Toc267251473"/>
      <w:bookmarkStart w:id="944" w:name="_Toc267251476"/>
      <w:bookmarkStart w:id="945" w:name="_Toc267251472"/>
      <w:bookmarkStart w:id="946" w:name="_Toc267251470"/>
      <w:bookmarkStart w:id="947" w:name="_Toc267251475"/>
      <w:r>
        <w:rPr>
          <w:rFonts w:hint="eastAsia" w:ascii="宋体" w:hAnsi="宋体" w:cs="宋体"/>
          <w:color w:val="auto"/>
          <w:szCs w:val="21"/>
          <w:highlight w:val="none"/>
        </w:rPr>
        <w:t>13.2 竣工验收</w:t>
      </w:r>
    </w:p>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p w14:paraId="1DC2E5DB">
      <w:pPr>
        <w:snapToGrid w:val="0"/>
        <w:spacing w:line="360" w:lineRule="auto"/>
        <w:ind w:firstLine="420" w:firstLineChars="200"/>
        <w:jc w:val="left"/>
        <w:rPr>
          <w:rFonts w:ascii="宋体" w:hAnsi="宋体" w:cs="宋体"/>
          <w:color w:val="auto"/>
          <w:szCs w:val="21"/>
          <w:highlight w:val="none"/>
        </w:rPr>
      </w:pPr>
      <w:bookmarkStart w:id="948" w:name="_Toc280868704"/>
      <w:bookmarkStart w:id="949" w:name="_Toc280868705"/>
      <w:bookmarkStart w:id="950" w:name="_Toc280868706"/>
      <w:bookmarkStart w:id="951" w:name="_Toc280868707"/>
      <w:bookmarkStart w:id="952" w:name="_Toc280868708"/>
      <w:bookmarkStart w:id="953" w:name="_Toc280868709"/>
      <w:r>
        <w:rPr>
          <w:rFonts w:hint="eastAsia" w:ascii="宋体" w:hAnsi="宋体" w:cs="宋体"/>
          <w:color w:val="auto"/>
          <w:szCs w:val="21"/>
          <w:highlight w:val="none"/>
        </w:rPr>
        <w:t>13.2.2竣工验收程序</w:t>
      </w:r>
    </w:p>
    <w:bookmarkEnd w:id="948"/>
    <w:p w14:paraId="0412FC1F">
      <w:pPr>
        <w:snapToGrid w:val="0"/>
        <w:spacing w:line="360" w:lineRule="auto"/>
        <w:ind w:left="4200" w:leftChars="200" w:hanging="3780" w:hangingChars="1800"/>
        <w:jc w:val="left"/>
        <w:rPr>
          <w:rFonts w:ascii="宋体" w:hAnsi="宋体" w:cs="宋体"/>
          <w:color w:val="auto"/>
          <w:szCs w:val="21"/>
          <w:highlight w:val="none"/>
        </w:rPr>
      </w:pPr>
      <w:r>
        <w:rPr>
          <w:rFonts w:hint="eastAsia" w:ascii="宋体" w:hAnsi="宋体" w:cs="宋体"/>
          <w:color w:val="auto"/>
          <w:kern w:val="0"/>
          <w:szCs w:val="21"/>
          <w:highlight w:val="none"/>
        </w:rPr>
        <w:t>关于竣工验收程序的约定：</w:t>
      </w:r>
      <w:r>
        <w:rPr>
          <w:rFonts w:hint="eastAsia" w:ascii="宋体" w:hAnsi="宋体" w:cs="宋体"/>
          <w:color w:val="auto"/>
          <w:szCs w:val="21"/>
          <w:highlight w:val="none"/>
          <w:u w:val="single" w:color="000000"/>
        </w:rPr>
        <w:t>按《通用合同条款》13.2.2条执行</w:t>
      </w:r>
      <w:r>
        <w:rPr>
          <w:rFonts w:hint="eastAsia" w:ascii="宋体" w:hAnsi="宋体" w:cs="宋体"/>
          <w:color w:val="auto"/>
          <w:szCs w:val="21"/>
          <w:highlight w:val="none"/>
        </w:rPr>
        <w:t>。</w:t>
      </w:r>
    </w:p>
    <w:p w14:paraId="5FC4D4A9">
      <w:pPr>
        <w:snapToGrid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kern w:val="0"/>
          <w:szCs w:val="21"/>
          <w:highlight w:val="none"/>
        </w:rPr>
        <w:t>发包人不按照本项约定组织竣工验收、颁发工程接收证书的违约金的计算方法：</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p>
    <w:p w14:paraId="61985DBA">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bookmarkEnd w:id="949"/>
    <w:p w14:paraId="3F72937A">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13.2.5移交、接收全部与部分工程</w:t>
      </w:r>
    </w:p>
    <w:bookmarkEnd w:id="950"/>
    <w:p w14:paraId="09406389">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承包人向发包人移交工程的期限：</w:t>
      </w:r>
      <w:r>
        <w:rPr>
          <w:rFonts w:hint="eastAsia" w:ascii="宋体" w:hAnsi="宋体" w:cs="宋体"/>
          <w:color w:val="auto"/>
          <w:szCs w:val="21"/>
          <w:highlight w:val="none"/>
          <w:u w:val="single" w:color="000000"/>
        </w:rPr>
        <w:t>保修期满后30天内</w:t>
      </w:r>
      <w:r>
        <w:rPr>
          <w:rFonts w:hint="eastAsia" w:ascii="宋体" w:hAnsi="宋体" w:cs="宋体"/>
          <w:color w:val="auto"/>
          <w:szCs w:val="21"/>
          <w:highlight w:val="none"/>
        </w:rPr>
        <w:t>。</w:t>
      </w:r>
    </w:p>
    <w:p w14:paraId="19C545C9">
      <w:pPr>
        <w:snapToGrid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kern w:val="0"/>
          <w:szCs w:val="21"/>
          <w:highlight w:val="none"/>
        </w:rPr>
        <w:t>发包人未按本合同约定接收全部或部分工程的，违约金的计算方法为</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rPr>
        <w:t>。</w:t>
      </w:r>
    </w:p>
    <w:bookmarkEnd w:id="951"/>
    <w:p w14:paraId="728A879B">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承包人未按时移交工程的，违约金的计算方法为：</w:t>
      </w:r>
      <w:r>
        <w:rPr>
          <w:rFonts w:hint="eastAsia" w:ascii="宋体" w:hAnsi="宋体" w:cs="宋体"/>
          <w:color w:val="auto"/>
          <w:szCs w:val="21"/>
          <w:highlight w:val="none"/>
          <w:u w:val="single" w:color="000000"/>
        </w:rPr>
        <w:t>因承包人原因未按时移交工程的，每延误一天，扣除150元/天的履约保证金</w:t>
      </w:r>
      <w:r>
        <w:rPr>
          <w:rFonts w:hint="eastAsia" w:ascii="宋体" w:hAnsi="宋体" w:cs="宋体"/>
          <w:color w:val="auto"/>
          <w:szCs w:val="21"/>
          <w:highlight w:val="none"/>
        </w:rPr>
        <w:t>。</w:t>
      </w:r>
    </w:p>
    <w:p w14:paraId="46BFB3B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13.3 工程试车</w:t>
      </w:r>
    </w:p>
    <w:bookmarkEnd w:id="952"/>
    <w:p w14:paraId="34099EC9">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13.3.1 试车程序</w:t>
      </w:r>
    </w:p>
    <w:p w14:paraId="2226F748">
      <w:pPr>
        <w:snapToGrid w:val="0"/>
        <w:spacing w:line="360" w:lineRule="auto"/>
        <w:ind w:left="0" w:leftChars="0"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工程试车内容：</w:t>
      </w:r>
      <w:r>
        <w:rPr>
          <w:rFonts w:hint="eastAsia" w:ascii="宋体" w:hAnsi="宋体" w:cs="宋体"/>
          <w:color w:val="auto"/>
          <w:szCs w:val="21"/>
          <w:highlight w:val="none"/>
          <w:u w:val="single" w:color="000000"/>
        </w:rPr>
        <w:t>所有试车费用承包人已在投标报价中包干</w:t>
      </w:r>
      <w:r>
        <w:rPr>
          <w:rFonts w:hint="eastAsia" w:ascii="宋体" w:hAnsi="宋体" w:cs="宋体"/>
          <w:color w:val="auto"/>
          <w:szCs w:val="21"/>
          <w:highlight w:val="none"/>
        </w:rPr>
        <w:t>。</w:t>
      </w:r>
    </w:p>
    <w:p w14:paraId="7D7A3DFB">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（1）单机无负荷试车费用由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承担；</w:t>
      </w:r>
    </w:p>
    <w:p w14:paraId="78345C7F">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（2）无负荷联动试车费用由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承担。</w:t>
      </w:r>
    </w:p>
    <w:p w14:paraId="7BCD32B0">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13.3.3 投料试车</w:t>
      </w:r>
    </w:p>
    <w:p w14:paraId="7699D7D1">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关于投料试车相关事项的约定：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DB8A921">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13.6 竣工退场</w:t>
      </w:r>
    </w:p>
    <w:p w14:paraId="0957B86F">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13.6.1 竣工退场</w:t>
      </w:r>
    </w:p>
    <w:p w14:paraId="1F963CD5">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承包人完成竣工退场的期限：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color="000000"/>
        </w:rPr>
        <w:t>7天内</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p w14:paraId="65FD4A35">
      <w:pPr>
        <w:pStyle w:val="7"/>
        <w:snapToGrid w:val="0"/>
        <w:spacing w:before="0" w:after="0" w:line="360" w:lineRule="auto"/>
        <w:rPr>
          <w:rFonts w:ascii="宋体" w:hAnsi="宋体" w:eastAsia="宋体" w:cs="宋体"/>
          <w:b w:val="0"/>
          <w:color w:val="auto"/>
          <w:sz w:val="21"/>
          <w:szCs w:val="21"/>
          <w:highlight w:val="none"/>
        </w:rPr>
      </w:pPr>
      <w:bookmarkStart w:id="954" w:name="_Toc351203646"/>
      <w:r>
        <w:rPr>
          <w:rFonts w:hint="eastAsia" w:ascii="宋体" w:hAnsi="宋体" w:eastAsia="宋体" w:cs="宋体"/>
          <w:b w:val="0"/>
          <w:color w:val="auto"/>
          <w:sz w:val="21"/>
          <w:szCs w:val="21"/>
          <w:highlight w:val="none"/>
        </w:rPr>
        <w:t>14. 竣工结算</w:t>
      </w:r>
      <w:bookmarkEnd w:id="954"/>
    </w:p>
    <w:p w14:paraId="73A72E7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14.1 竣工结算申请</w:t>
      </w:r>
    </w:p>
    <w:p w14:paraId="47B227ED">
      <w:pPr>
        <w:pageBreakBefore w:val="0"/>
        <w:widowControl w:val="0"/>
        <w:kinsoku/>
        <w:wordWrap/>
        <w:overflowPunct/>
        <w:topLinePunct w:val="0"/>
        <w:bidi w:val="0"/>
        <w:snapToGrid w:val="0"/>
        <w:spacing w:line="360" w:lineRule="auto"/>
        <w:ind w:left="560" w:firstLine="540"/>
        <w:textAlignment w:val="auto"/>
        <w:rPr>
          <w:rFonts w:ascii="宋体" w:hAnsi="宋体" w:cs="宋体"/>
          <w:b/>
          <w:bCs/>
          <w:color w:val="auto"/>
          <w:szCs w:val="21"/>
          <w:highlight w:val="none"/>
          <w:u w:val="single" w:color="000000"/>
        </w:rPr>
      </w:pPr>
      <w:r>
        <w:rPr>
          <w:rFonts w:hint="eastAsia" w:ascii="宋体" w:hAnsi="宋体" w:cs="宋体"/>
          <w:color w:val="auto"/>
          <w:szCs w:val="21"/>
          <w:highlight w:val="none"/>
        </w:rPr>
        <w:t>承包人提交竣工结算申请单的期限：</w:t>
      </w:r>
      <w:r>
        <w:rPr>
          <w:rFonts w:hint="eastAsia" w:ascii="宋体" w:hAnsi="宋体" w:cs="宋体"/>
          <w:b/>
          <w:bCs/>
          <w:color w:val="auto"/>
          <w:szCs w:val="21"/>
          <w:highlight w:val="none"/>
          <w:u w:val="single"/>
        </w:rPr>
        <w:t>工</w:t>
      </w:r>
      <w:r>
        <w:rPr>
          <w:rFonts w:hint="eastAsia" w:ascii="宋体" w:hAnsi="宋体" w:cs="宋体"/>
          <w:b/>
          <w:bCs/>
          <w:color w:val="auto"/>
          <w:szCs w:val="21"/>
          <w:highlight w:val="none"/>
          <w:u w:val="single" w:color="000000"/>
        </w:rPr>
        <w:t>程竣工验收达到合格标准后，承包人应在28天内向发包人递交竣工结算报告及完整的结算资料。发包人收到完整的结算资料后应及时审计（或委托咨询公司审计），如发包人在56天内不进行审计或90天内因发包人（包括委托的咨询单位）原因未完成审计，视发包人已同意承包人的结算书，并按此结算工程款。若因承包人不来对账、无故拖延等承包人原因，造成90天内不能完成审计，则视承包人已同意审计意见，并按此结算工程款。发生双方对结算有争议的情况，另行协商处理。</w:t>
      </w:r>
    </w:p>
    <w:p w14:paraId="515E192F">
      <w:pPr>
        <w:pageBreakBefore w:val="0"/>
        <w:widowControl w:val="0"/>
        <w:kinsoku/>
        <w:wordWrap/>
        <w:overflowPunct/>
        <w:topLinePunct w:val="0"/>
        <w:bidi w:val="0"/>
        <w:snapToGrid w:val="0"/>
        <w:spacing w:line="360" w:lineRule="auto"/>
        <w:ind w:left="560" w:firstLine="542"/>
        <w:textAlignment w:val="auto"/>
        <w:rPr>
          <w:rFonts w:ascii="宋体" w:hAnsi="宋体" w:cs="宋体"/>
          <w:color w:val="auto"/>
          <w:szCs w:val="21"/>
          <w:highlight w:val="none"/>
        </w:rPr>
      </w:pPr>
      <w:r>
        <w:rPr>
          <w:rFonts w:hint="eastAsia" w:ascii="宋体" w:hAnsi="宋体" w:cs="宋体"/>
          <w:b/>
          <w:bCs/>
          <w:color w:val="auto"/>
          <w:szCs w:val="21"/>
          <w:highlight w:val="none"/>
          <w:u w:val="single" w:color="000000"/>
        </w:rPr>
        <w:t>发包人根据国家造价管理的有关规定以及审定的工程结算额，与承包人办理最终价款结算手续。施工单位在工程竣工验收后，应如实向发包人报送该工程的结算，发包人有权委托审计代理单位对承包人上报的工程结算造价进行初审。内部审计报告经承发包人认可后，承包人必须依据内部审计报告意见相应调整结算造价后重新上报发包人，由发包人在规定的时间内做竣工结算审计。内部审计费用原则上由发包人支付，但如承包人上报的工程结算造价经内部审计后，工程送审造价净核减额超过5%（不含5%），则超过部分按5%向承包人收取审计追加费用。</w:t>
      </w:r>
    </w:p>
    <w:p w14:paraId="6B7B66F6">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竣工结算申请单应包括的内容：</w:t>
      </w:r>
      <w:r>
        <w:rPr>
          <w:rFonts w:hint="eastAsia" w:ascii="宋体" w:hAnsi="宋体" w:cs="宋体"/>
          <w:color w:val="auto"/>
          <w:szCs w:val="21"/>
          <w:highlight w:val="none"/>
          <w:u w:val="single" w:color="000000"/>
        </w:rPr>
        <w:t>按《通用合同条款》14.1条执行</w:t>
      </w:r>
      <w:r>
        <w:rPr>
          <w:rFonts w:hint="eastAsia" w:ascii="宋体" w:hAnsi="宋体" w:cs="宋体"/>
          <w:color w:val="auto"/>
          <w:szCs w:val="21"/>
          <w:highlight w:val="none"/>
        </w:rPr>
        <w:t>。</w:t>
      </w:r>
    </w:p>
    <w:p w14:paraId="0FA98F50">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14.2 竣工结算审核</w:t>
      </w:r>
    </w:p>
    <w:p w14:paraId="231AB95B">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发包人审批竣工付款申请单的期限：</w:t>
      </w:r>
      <w:r>
        <w:rPr>
          <w:rFonts w:hint="eastAsia" w:ascii="宋体" w:hAnsi="宋体" w:cs="宋体"/>
          <w:color w:val="auto"/>
          <w:szCs w:val="21"/>
          <w:highlight w:val="none"/>
          <w:u w:val="single" w:color="000000"/>
        </w:rPr>
        <w:t>收到竣工结算申请单后14天内</w:t>
      </w:r>
      <w:r>
        <w:rPr>
          <w:rFonts w:hint="eastAsia" w:ascii="宋体" w:hAnsi="宋体" w:cs="宋体"/>
          <w:color w:val="auto"/>
          <w:szCs w:val="21"/>
          <w:highlight w:val="none"/>
        </w:rPr>
        <w:t>。</w:t>
      </w:r>
    </w:p>
    <w:p w14:paraId="6062B5DF">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发包人完成竣工付款的期限：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799A635">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关于竣工付款证书异议部分复核的方式和程序：</w:t>
      </w:r>
      <w:r>
        <w:rPr>
          <w:rFonts w:hint="eastAsia" w:ascii="宋体" w:hAnsi="宋体" w:cs="宋体"/>
          <w:color w:val="auto"/>
          <w:szCs w:val="21"/>
          <w:highlight w:val="none"/>
          <w:u w:val="single" w:color="000000"/>
        </w:rPr>
        <w:t>按《通用合同条款》14.2条执行</w:t>
      </w:r>
      <w:r>
        <w:rPr>
          <w:rFonts w:hint="eastAsia" w:ascii="宋体" w:hAnsi="宋体" w:cs="宋体"/>
          <w:color w:val="auto"/>
          <w:szCs w:val="21"/>
          <w:highlight w:val="none"/>
        </w:rPr>
        <w:t>。</w:t>
      </w:r>
    </w:p>
    <w:p w14:paraId="787414F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14.4 最终结清</w:t>
      </w:r>
    </w:p>
    <w:p w14:paraId="04EAE38F">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14.4.1 最终结清申请单</w:t>
      </w:r>
    </w:p>
    <w:p w14:paraId="6141AF55">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承包人提交最终结清申请单的份数：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两份</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AC9E29D">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承包人提交最终结算申请单的期限：</w:t>
      </w:r>
      <w:r>
        <w:rPr>
          <w:rFonts w:hint="eastAsia" w:ascii="宋体" w:hAnsi="宋体" w:cs="宋体"/>
          <w:color w:val="auto"/>
          <w:szCs w:val="21"/>
          <w:highlight w:val="none"/>
          <w:u w:val="single" w:color="000000"/>
          <w:lang w:val="en-US" w:eastAsia="zh-CN"/>
        </w:rPr>
        <w:t>项目验收合格后28</w:t>
      </w:r>
      <w:r>
        <w:rPr>
          <w:rFonts w:hint="eastAsia" w:ascii="宋体" w:hAnsi="宋体" w:cs="宋体"/>
          <w:color w:val="auto"/>
          <w:szCs w:val="21"/>
          <w:highlight w:val="none"/>
          <w:u w:val="single" w:color="000000"/>
        </w:rPr>
        <w:t>天内</w:t>
      </w:r>
      <w:r>
        <w:rPr>
          <w:rFonts w:hint="eastAsia" w:ascii="宋体" w:hAnsi="宋体" w:cs="宋体"/>
          <w:color w:val="auto"/>
          <w:szCs w:val="21"/>
          <w:highlight w:val="none"/>
        </w:rPr>
        <w:t xml:space="preserve">。 </w:t>
      </w:r>
    </w:p>
    <w:p w14:paraId="7A84330B">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14.4.2 最终结清证书和支付</w:t>
      </w:r>
    </w:p>
    <w:p w14:paraId="33349C4C">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（1）发包人完成最终结清申请单的审批并颁发最终结清证书的期限：</w:t>
      </w:r>
      <w:r>
        <w:rPr>
          <w:rFonts w:hint="eastAsia" w:ascii="宋体" w:hAnsi="宋体" w:cs="宋体"/>
          <w:color w:val="auto"/>
          <w:szCs w:val="21"/>
          <w:highlight w:val="none"/>
          <w:u w:val="single" w:color="000000"/>
        </w:rPr>
        <w:t>收到最终结清申请单后30天内</w:t>
      </w:r>
      <w:r>
        <w:rPr>
          <w:rFonts w:hint="eastAsia" w:ascii="宋体" w:hAnsi="宋体" w:cs="宋体"/>
          <w:color w:val="auto"/>
          <w:szCs w:val="21"/>
          <w:highlight w:val="none"/>
        </w:rPr>
        <w:t>。</w:t>
      </w:r>
    </w:p>
    <w:p w14:paraId="14897B01">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（2）发包人完成支付的期限：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bookmarkEnd w:id="941"/>
    <w:bookmarkEnd w:id="942"/>
    <w:bookmarkEnd w:id="943"/>
    <w:bookmarkEnd w:id="944"/>
    <w:bookmarkEnd w:id="945"/>
    <w:bookmarkEnd w:id="946"/>
    <w:bookmarkEnd w:id="947"/>
    <w:bookmarkEnd w:id="953"/>
    <w:p w14:paraId="5D5C1F01">
      <w:pPr>
        <w:pStyle w:val="7"/>
        <w:snapToGrid w:val="0"/>
        <w:spacing w:before="0" w:after="0" w:line="360" w:lineRule="auto"/>
        <w:rPr>
          <w:rFonts w:ascii="宋体" w:hAnsi="宋体" w:eastAsia="宋体" w:cs="宋体"/>
          <w:b w:val="0"/>
          <w:color w:val="auto"/>
          <w:sz w:val="21"/>
          <w:szCs w:val="21"/>
          <w:highlight w:val="none"/>
        </w:rPr>
      </w:pPr>
      <w:bookmarkStart w:id="955" w:name="_Toc351203647"/>
      <w:bookmarkStart w:id="956" w:name="_Toc267251483"/>
      <w:bookmarkStart w:id="957" w:name="_Toc267251484"/>
      <w:bookmarkStart w:id="958" w:name="_Toc267251482"/>
      <w:bookmarkStart w:id="959" w:name="_Toc267251485"/>
      <w:bookmarkStart w:id="960" w:name="_Toc267251486"/>
      <w:bookmarkStart w:id="961" w:name="_Toc267251490"/>
      <w:bookmarkStart w:id="962" w:name="_Toc267251489"/>
      <w:bookmarkStart w:id="963" w:name="_Toc267251488"/>
      <w:bookmarkStart w:id="964" w:name="_Toc267251498"/>
      <w:bookmarkStart w:id="965" w:name="_Toc267251494"/>
      <w:bookmarkStart w:id="966" w:name="_Toc267251497"/>
      <w:bookmarkStart w:id="967" w:name="_Toc267251492"/>
      <w:bookmarkStart w:id="968" w:name="_Toc267251493"/>
      <w:bookmarkStart w:id="969" w:name="_Toc267251502"/>
      <w:bookmarkStart w:id="970" w:name="_Toc267251495"/>
      <w:bookmarkStart w:id="971" w:name="_Toc267251496"/>
      <w:bookmarkStart w:id="972" w:name="_Toc267251499"/>
      <w:bookmarkStart w:id="973" w:name="_Toc267251503"/>
      <w:bookmarkStart w:id="974" w:name="_Toc267251501"/>
      <w:bookmarkStart w:id="975" w:name="_Toc267251491"/>
      <w:bookmarkStart w:id="976" w:name="_Toc267251506"/>
      <w:bookmarkStart w:id="977" w:name="_Toc267251504"/>
      <w:bookmarkStart w:id="978" w:name="_Toc267251507"/>
      <w:bookmarkStart w:id="979" w:name="_Toc267251508"/>
      <w:bookmarkStart w:id="980" w:name="_Toc267251509"/>
      <w:bookmarkStart w:id="981" w:name="_Toc267251510"/>
      <w:bookmarkStart w:id="982" w:name="_Toc267251514"/>
      <w:bookmarkStart w:id="983" w:name="_Toc267251513"/>
      <w:bookmarkStart w:id="984" w:name="_Toc267251511"/>
      <w:bookmarkStart w:id="985" w:name="_Toc267251515"/>
      <w:r>
        <w:rPr>
          <w:rFonts w:hint="eastAsia" w:ascii="宋体" w:hAnsi="宋体" w:eastAsia="宋体" w:cs="宋体"/>
          <w:b w:val="0"/>
          <w:color w:val="auto"/>
          <w:sz w:val="21"/>
          <w:szCs w:val="21"/>
          <w:highlight w:val="none"/>
        </w:rPr>
        <w:t>15. 缺陷责任期与保修</w:t>
      </w:r>
      <w:bookmarkEnd w:id="955"/>
    </w:p>
    <w:p w14:paraId="35126DA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15.2缺陷责任期</w:t>
      </w:r>
      <w:bookmarkEnd w:id="956"/>
    </w:p>
    <w:p w14:paraId="0C59015D">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缺陷责任期的具体期限：</w:t>
      </w:r>
      <w:r>
        <w:rPr>
          <w:rFonts w:hint="eastAsia" w:ascii="宋体" w:hAnsi="宋体" w:cs="宋体"/>
          <w:color w:val="auto"/>
          <w:szCs w:val="21"/>
          <w:highlight w:val="none"/>
          <w:u w:val="single"/>
          <w:lang w:val="en-US" w:eastAsia="zh-CN"/>
        </w:rPr>
        <w:t>24个月</w:t>
      </w:r>
      <w:r>
        <w:rPr>
          <w:rFonts w:hint="eastAsia" w:ascii="宋体" w:hAnsi="宋体" w:cs="宋体"/>
          <w:color w:val="auto"/>
          <w:szCs w:val="21"/>
          <w:highlight w:val="none"/>
        </w:rPr>
        <w:t>。</w:t>
      </w:r>
    </w:p>
    <w:p w14:paraId="4684B027">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15.3 质量保证金</w:t>
      </w:r>
    </w:p>
    <w:p w14:paraId="240EAD89">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关于是否扣留质量保证金的约定：</w:t>
      </w:r>
      <w:r>
        <w:rPr>
          <w:rFonts w:hint="eastAsia" w:ascii="宋体" w:hAnsi="宋体" w:cs="宋体"/>
          <w:color w:val="auto"/>
          <w:szCs w:val="21"/>
          <w:highlight w:val="none"/>
          <w:u w:val="single"/>
        </w:rPr>
        <w:t xml:space="preserve"> 不扣留  </w:t>
      </w:r>
      <w:r>
        <w:rPr>
          <w:rFonts w:hint="eastAsia" w:ascii="宋体" w:hAnsi="宋体" w:cs="宋体"/>
          <w:color w:val="auto"/>
          <w:szCs w:val="21"/>
          <w:highlight w:val="none"/>
        </w:rPr>
        <w:t>。在工程项目竣工前，承包人按专用合同条款第3.7条提供履约担保的，发包人不得同时预留工程质量保证金。</w:t>
      </w:r>
    </w:p>
    <w:p w14:paraId="51D55D5F">
      <w:pPr>
        <w:snapToGrid w:val="0"/>
        <w:spacing w:line="360" w:lineRule="auto"/>
        <w:ind w:firstLine="420" w:firstLineChars="200"/>
        <w:jc w:val="left"/>
        <w:outlineLvl w:val="0"/>
        <w:rPr>
          <w:rFonts w:ascii="宋体" w:hAnsi="宋体" w:cs="宋体"/>
          <w:color w:val="auto"/>
          <w:szCs w:val="21"/>
          <w:highlight w:val="none"/>
        </w:rPr>
      </w:pPr>
      <w:r>
        <w:rPr>
          <w:rFonts w:hint="eastAsia" w:ascii="宋体" w:hAnsi="宋体" w:cs="宋体"/>
          <w:color w:val="auto"/>
          <w:szCs w:val="21"/>
          <w:highlight w:val="none"/>
        </w:rPr>
        <w:t>15.3.1 承包人提供质量保证金的方式</w:t>
      </w:r>
    </w:p>
    <w:p w14:paraId="434CA35D">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质量保证金采用以下第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种方式：</w:t>
      </w:r>
    </w:p>
    <w:p w14:paraId="6DCA750F">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（1）质量保证金保函，保证金额为：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p>
    <w:p w14:paraId="592A80CD">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%的工程款；</w:t>
      </w:r>
    </w:p>
    <w:p w14:paraId="01390C86">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（3）其他方式:</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5E5B5D05">
      <w:pPr>
        <w:snapToGrid w:val="0"/>
        <w:spacing w:line="360" w:lineRule="auto"/>
        <w:ind w:firstLine="420" w:firstLineChars="200"/>
        <w:jc w:val="left"/>
        <w:outlineLvl w:val="0"/>
        <w:rPr>
          <w:rFonts w:ascii="宋体" w:hAnsi="宋体" w:cs="宋体"/>
          <w:color w:val="auto"/>
          <w:szCs w:val="21"/>
          <w:highlight w:val="none"/>
        </w:rPr>
      </w:pPr>
      <w:r>
        <w:rPr>
          <w:rFonts w:hint="eastAsia" w:ascii="宋体" w:hAnsi="宋体" w:cs="宋体"/>
          <w:color w:val="auto"/>
          <w:szCs w:val="21"/>
          <w:highlight w:val="none"/>
        </w:rPr>
        <w:t xml:space="preserve">15.3.2 质量保证金的扣留 </w:t>
      </w:r>
    </w:p>
    <w:p w14:paraId="7B7E2133">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质量保证金的扣留采取以下第</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种方式：</w:t>
      </w:r>
    </w:p>
    <w:p w14:paraId="696C3BCB">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（1）在支付工程进度款时逐次扣留，在此情形下，质量保证金的计算基数不包括预付款的支付、扣回以及价格调整的金额；</w:t>
      </w:r>
    </w:p>
    <w:p w14:paraId="0AF2F651">
      <w:pPr>
        <w:autoSpaceDE w:val="0"/>
        <w:autoSpaceDN w:val="0"/>
        <w:snapToGrid w:val="0"/>
        <w:spacing w:line="36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（2）工程竣工结算时一次性扣留质量保证金；</w:t>
      </w:r>
    </w:p>
    <w:p w14:paraId="510B0971">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（3）其他扣留方式:</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70B7AAD1">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关于质量保证金的补充约定：</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bookmarkEnd w:id="957"/>
    <w:bookmarkEnd w:id="958"/>
    <w:p w14:paraId="7599534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15.4保修</w:t>
      </w:r>
    </w:p>
    <w:bookmarkEnd w:id="959"/>
    <w:p w14:paraId="7D00B432">
      <w:pPr>
        <w:snapToGrid w:val="0"/>
        <w:spacing w:line="360" w:lineRule="auto"/>
        <w:ind w:firstLine="409" w:firstLineChars="195"/>
        <w:jc w:val="left"/>
        <w:rPr>
          <w:rFonts w:ascii="宋体" w:hAnsi="宋体" w:cs="宋体"/>
          <w:color w:val="auto"/>
          <w:szCs w:val="21"/>
          <w:highlight w:val="none"/>
        </w:rPr>
      </w:pPr>
      <w:r>
        <w:rPr>
          <w:rFonts w:hint="eastAsia" w:ascii="宋体" w:hAnsi="宋体" w:cs="宋体"/>
          <w:color w:val="auto"/>
          <w:szCs w:val="21"/>
          <w:highlight w:val="none"/>
        </w:rPr>
        <w:t>15.4.1 保修责任</w:t>
      </w:r>
    </w:p>
    <w:p w14:paraId="42FFD5EB">
      <w:pPr>
        <w:snapToGrid w:val="0"/>
        <w:spacing w:line="360" w:lineRule="auto"/>
        <w:ind w:left="0" w:leftChars="0"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工程保修期为：</w:t>
      </w:r>
      <w:r>
        <w:rPr>
          <w:rFonts w:hint="eastAsia" w:ascii="宋体" w:hAnsi="宋体" w:cs="宋体"/>
          <w:color w:val="auto"/>
          <w:szCs w:val="21"/>
          <w:highlight w:val="none"/>
          <w:u w:val="single" w:color="000000"/>
        </w:rPr>
        <w:t>按附件</w:t>
      </w:r>
      <w:r>
        <w:rPr>
          <w:rFonts w:hint="eastAsia" w:ascii="宋体" w:hAnsi="宋体" w:cs="宋体"/>
          <w:color w:val="auto"/>
          <w:szCs w:val="21"/>
          <w:highlight w:val="none"/>
          <w:u w:val="single" w:color="000000"/>
          <w:lang w:val="en-US" w:eastAsia="zh-CN"/>
        </w:rPr>
        <w:t>1</w:t>
      </w:r>
      <w:r>
        <w:rPr>
          <w:rFonts w:hint="eastAsia" w:ascii="宋体" w:hAnsi="宋体" w:cs="宋体"/>
          <w:color w:val="auto"/>
          <w:szCs w:val="21"/>
          <w:highlight w:val="none"/>
          <w:u w:val="single" w:color="000000"/>
        </w:rPr>
        <w:t>工程质量保修书规定执行</w:t>
      </w:r>
      <w:r>
        <w:rPr>
          <w:rFonts w:hint="eastAsia" w:ascii="宋体" w:hAnsi="宋体" w:cs="宋体"/>
          <w:color w:val="auto"/>
          <w:kern w:val="0"/>
          <w:szCs w:val="21"/>
          <w:highlight w:val="none"/>
        </w:rPr>
        <w:t>。</w:t>
      </w:r>
    </w:p>
    <w:p w14:paraId="0341DFA2">
      <w:pPr>
        <w:snapToGrid w:val="0"/>
        <w:spacing w:line="360" w:lineRule="auto"/>
        <w:ind w:firstLine="409" w:firstLineChars="195"/>
        <w:jc w:val="left"/>
        <w:rPr>
          <w:rFonts w:ascii="宋体" w:hAnsi="宋体" w:cs="宋体"/>
          <w:color w:val="auto"/>
          <w:szCs w:val="21"/>
          <w:highlight w:val="none"/>
        </w:rPr>
      </w:pPr>
      <w:r>
        <w:rPr>
          <w:rFonts w:hint="eastAsia" w:ascii="宋体" w:hAnsi="宋体" w:cs="宋体"/>
          <w:color w:val="auto"/>
          <w:szCs w:val="21"/>
          <w:highlight w:val="none"/>
        </w:rPr>
        <w:t>15.4.3 修复通知</w:t>
      </w:r>
    </w:p>
    <w:p w14:paraId="105C82D2">
      <w:pPr>
        <w:snapToGrid w:val="0"/>
        <w:spacing w:line="360" w:lineRule="auto"/>
        <w:ind w:left="0" w:leftChars="0"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承包人收到保修通知并到达工程现场的合理时间：</w:t>
      </w:r>
      <w:r>
        <w:rPr>
          <w:rFonts w:hint="eastAsia" w:ascii="宋体" w:hAnsi="宋体" w:cs="宋体"/>
          <w:color w:val="auto"/>
          <w:kern w:val="0"/>
          <w:szCs w:val="21"/>
          <w:highlight w:val="none"/>
          <w:u w:val="single"/>
          <w:lang w:val="en-US" w:eastAsia="zh-CN"/>
        </w:rPr>
        <w:t>48小时</w:t>
      </w:r>
      <w:r>
        <w:rPr>
          <w:rFonts w:hint="eastAsia" w:ascii="宋体" w:hAnsi="宋体" w:cs="宋体"/>
          <w:color w:val="auto"/>
          <w:kern w:val="0"/>
          <w:szCs w:val="21"/>
          <w:highlight w:val="none"/>
        </w:rPr>
        <w:t>。</w:t>
      </w:r>
    </w:p>
    <w:bookmarkEnd w:id="960"/>
    <w:bookmarkEnd w:id="961"/>
    <w:bookmarkEnd w:id="962"/>
    <w:bookmarkEnd w:id="963"/>
    <w:p w14:paraId="4182E2BD">
      <w:pPr>
        <w:pStyle w:val="7"/>
        <w:snapToGrid w:val="0"/>
        <w:spacing w:before="0" w:after="0" w:line="360" w:lineRule="auto"/>
        <w:rPr>
          <w:rFonts w:ascii="宋体" w:hAnsi="宋体" w:eastAsia="宋体" w:cs="宋体"/>
          <w:b w:val="0"/>
          <w:color w:val="auto"/>
          <w:sz w:val="21"/>
          <w:szCs w:val="21"/>
          <w:highlight w:val="none"/>
        </w:rPr>
      </w:pPr>
      <w:bookmarkStart w:id="986" w:name="_Toc351203648"/>
      <w:bookmarkStart w:id="987" w:name="_Toc280868717"/>
      <w:bookmarkStart w:id="988" w:name="_Toc280868718"/>
      <w:r>
        <w:rPr>
          <w:rFonts w:hint="eastAsia" w:ascii="宋体" w:hAnsi="宋体" w:eastAsia="宋体" w:cs="宋体"/>
          <w:b w:val="0"/>
          <w:color w:val="auto"/>
          <w:sz w:val="21"/>
          <w:szCs w:val="21"/>
          <w:highlight w:val="none"/>
        </w:rPr>
        <w:t>16. 违约</w:t>
      </w:r>
      <w:bookmarkEnd w:id="986"/>
    </w:p>
    <w:p w14:paraId="067ACC26">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16.1 发包人违约</w:t>
      </w:r>
    </w:p>
    <w:p w14:paraId="0940719D">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16.1.1发包人违约的情形</w:t>
      </w:r>
    </w:p>
    <w:p w14:paraId="15C32A7A">
      <w:pPr>
        <w:snapToGrid w:val="0"/>
        <w:spacing w:line="360" w:lineRule="auto"/>
        <w:ind w:left="1050" w:leftChars="200" w:hanging="630" w:hangingChars="300"/>
        <w:jc w:val="left"/>
        <w:rPr>
          <w:rFonts w:ascii="宋体" w:hAnsi="宋体" w:cs="宋体"/>
          <w:color w:val="auto"/>
          <w:kern w:val="0"/>
          <w:szCs w:val="21"/>
          <w:highlight w:val="none"/>
        </w:rPr>
      </w:pPr>
      <w:r>
        <w:rPr>
          <w:rFonts w:hint="eastAsia" w:ascii="宋体" w:hAnsi="宋体" w:cs="宋体"/>
          <w:color w:val="auto"/>
          <w:kern w:val="0"/>
          <w:szCs w:val="21"/>
          <w:highlight w:val="none"/>
        </w:rPr>
        <w:t>发包人违约的其他情形：</w:t>
      </w:r>
      <w:r>
        <w:rPr>
          <w:rFonts w:hint="eastAsia" w:ascii="宋体" w:hAnsi="宋体" w:cs="宋体"/>
          <w:color w:val="auto"/>
          <w:szCs w:val="21"/>
          <w:highlight w:val="none"/>
          <w:u w:val="single" w:color="000000"/>
        </w:rPr>
        <w:t>按通用条款约定</w:t>
      </w:r>
      <w:r>
        <w:rPr>
          <w:rFonts w:hint="eastAsia" w:ascii="宋体" w:hAnsi="宋体" w:cs="宋体"/>
          <w:color w:val="auto"/>
          <w:kern w:val="0"/>
          <w:szCs w:val="21"/>
          <w:highlight w:val="none"/>
        </w:rPr>
        <w:t>。</w:t>
      </w:r>
    </w:p>
    <w:p w14:paraId="74E96739">
      <w:pPr>
        <w:snapToGrid w:val="0"/>
        <w:spacing w:line="360" w:lineRule="auto"/>
        <w:ind w:left="1050" w:hanging="1050" w:hangingChars="5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16.1.2 发包人违约的责任</w:t>
      </w:r>
    </w:p>
    <w:p w14:paraId="6A4691D2">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发包人违约责任的承担方式和计算方法：</w:t>
      </w:r>
    </w:p>
    <w:p w14:paraId="7D18024A">
      <w:pPr>
        <w:snapToGrid w:val="0"/>
        <w:spacing w:line="36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（1）因发包人原因未能在计划开工日期前7天内下达开工通知的违约责任：</w:t>
      </w:r>
      <w:r>
        <w:rPr>
          <w:rFonts w:hint="eastAsia" w:ascii="宋体" w:hAnsi="宋体" w:cs="宋体"/>
          <w:color w:val="auto"/>
          <w:szCs w:val="21"/>
          <w:highlight w:val="none"/>
          <w:u w:val="single" w:color="000000"/>
        </w:rPr>
        <w:t>双方另行约定</w:t>
      </w:r>
      <w:r>
        <w:rPr>
          <w:rFonts w:hint="eastAsia" w:ascii="宋体" w:hAnsi="宋体" w:cs="宋体"/>
          <w:color w:val="auto"/>
          <w:kern w:val="0"/>
          <w:szCs w:val="21"/>
          <w:highlight w:val="none"/>
        </w:rPr>
        <w:t>。</w:t>
      </w:r>
    </w:p>
    <w:p w14:paraId="7FC1C06E">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（2）因发包人原因未能按合同约定支付合同价款的违约责任：</w:t>
      </w:r>
      <w:r>
        <w:rPr>
          <w:rFonts w:hint="eastAsia" w:ascii="宋体" w:hAnsi="宋体" w:cs="宋体"/>
          <w:color w:val="auto"/>
          <w:szCs w:val="21"/>
          <w:highlight w:val="none"/>
          <w:u w:val="single" w:color="000000"/>
        </w:rPr>
        <w:t>双方另行约定</w:t>
      </w:r>
      <w:r>
        <w:rPr>
          <w:rFonts w:hint="eastAsia" w:ascii="宋体" w:hAnsi="宋体" w:cs="宋体"/>
          <w:color w:val="auto"/>
          <w:kern w:val="0"/>
          <w:szCs w:val="21"/>
          <w:highlight w:val="none"/>
        </w:rPr>
        <w:t>。</w:t>
      </w:r>
    </w:p>
    <w:p w14:paraId="4B6971D9">
      <w:pPr>
        <w:snapToGrid w:val="0"/>
        <w:spacing w:line="360" w:lineRule="auto"/>
        <w:ind w:left="0" w:leftChars="0"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（3）发包人违反第10.1款〔变更的范围〕第（2）项约定，自行实施被取消的工作或转由他人实施的违约责任：</w:t>
      </w:r>
      <w:r>
        <w:rPr>
          <w:rFonts w:hint="eastAsia" w:ascii="宋体" w:hAnsi="宋体" w:cs="宋体"/>
          <w:color w:val="auto"/>
          <w:szCs w:val="21"/>
          <w:highlight w:val="none"/>
          <w:u w:val="single" w:color="000000"/>
        </w:rPr>
        <w:t>双方另行约定</w:t>
      </w:r>
      <w:r>
        <w:rPr>
          <w:rFonts w:hint="eastAsia" w:ascii="宋体" w:hAnsi="宋体" w:cs="宋体"/>
          <w:color w:val="auto"/>
          <w:kern w:val="0"/>
          <w:szCs w:val="21"/>
          <w:highlight w:val="none"/>
        </w:rPr>
        <w:t>。</w:t>
      </w:r>
    </w:p>
    <w:p w14:paraId="01627611">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（4）发包人提供的材料、工程设备的规格、数量或质量不符合合同约定，或因发包人原因导致交货日期延误或交货地点变更等情况的违约责任：</w:t>
      </w:r>
      <w:r>
        <w:rPr>
          <w:rFonts w:hint="eastAsia" w:ascii="宋体" w:hAnsi="宋体" w:cs="宋体"/>
          <w:color w:val="auto"/>
          <w:szCs w:val="21"/>
          <w:highlight w:val="none"/>
          <w:u w:val="single" w:color="000000"/>
        </w:rPr>
        <w:t>双方另行约定</w:t>
      </w:r>
      <w:r>
        <w:rPr>
          <w:rFonts w:hint="eastAsia" w:ascii="宋体" w:hAnsi="宋体" w:cs="宋体"/>
          <w:color w:val="auto"/>
          <w:kern w:val="0"/>
          <w:szCs w:val="21"/>
          <w:highlight w:val="none"/>
        </w:rPr>
        <w:t>。</w:t>
      </w:r>
    </w:p>
    <w:p w14:paraId="69CB11F4">
      <w:pPr>
        <w:snapToGrid w:val="0"/>
        <w:spacing w:line="360" w:lineRule="auto"/>
        <w:ind w:left="0" w:leftChars="0"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（5）因发包人违反合同约定造成暂停施工的违约责任：</w:t>
      </w:r>
      <w:r>
        <w:rPr>
          <w:rFonts w:hint="eastAsia" w:ascii="宋体" w:hAnsi="宋体" w:cs="宋体"/>
          <w:color w:val="auto"/>
          <w:szCs w:val="21"/>
          <w:highlight w:val="none"/>
          <w:u w:val="single" w:color="000000"/>
        </w:rPr>
        <w:t>双方另行约定</w:t>
      </w:r>
      <w:r>
        <w:rPr>
          <w:rFonts w:hint="eastAsia" w:ascii="宋体" w:hAnsi="宋体" w:cs="宋体"/>
          <w:color w:val="auto"/>
          <w:kern w:val="0"/>
          <w:szCs w:val="21"/>
          <w:highlight w:val="none"/>
        </w:rPr>
        <w:t>。</w:t>
      </w:r>
    </w:p>
    <w:p w14:paraId="611069DD">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（6）发包人无正当理由没有在约定期限内发出复工指示，导致承包人无法复工的违约责任：</w:t>
      </w:r>
      <w:r>
        <w:rPr>
          <w:rFonts w:hint="eastAsia" w:ascii="宋体" w:hAnsi="宋体" w:cs="宋体"/>
          <w:color w:val="auto"/>
          <w:szCs w:val="21"/>
          <w:highlight w:val="none"/>
          <w:u w:val="single" w:color="000000"/>
        </w:rPr>
        <w:t>双方另行约定</w:t>
      </w:r>
      <w:r>
        <w:rPr>
          <w:rFonts w:hint="eastAsia" w:ascii="宋体" w:hAnsi="宋体" w:cs="宋体"/>
          <w:color w:val="auto"/>
          <w:kern w:val="0"/>
          <w:szCs w:val="21"/>
          <w:highlight w:val="none"/>
        </w:rPr>
        <w:t>。</w:t>
      </w:r>
    </w:p>
    <w:p w14:paraId="08B3EE73">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（7）其他：</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69D3723F">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16.1.3 因发包人违约解除合同</w:t>
      </w:r>
    </w:p>
    <w:p w14:paraId="282A744B">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承包人按16.1.1项〔发包人违约的情形〕约定暂停施工满</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天后发包人仍不纠正其违约行为并致使合同目的不能实现的，承包人有权解除合同。</w:t>
      </w:r>
    </w:p>
    <w:p w14:paraId="2798186D">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16.2 承包人违约</w:t>
      </w:r>
    </w:p>
    <w:p w14:paraId="3325EE27">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16.2.1 承包人违约的情形</w:t>
      </w:r>
    </w:p>
    <w:p w14:paraId="4994E9B3">
      <w:pPr>
        <w:pageBreakBefore w:val="0"/>
        <w:widowControl w:val="0"/>
        <w:kinsoku/>
        <w:wordWrap/>
        <w:overflowPunct/>
        <w:topLinePunct w:val="0"/>
        <w:bidi w:val="0"/>
        <w:snapToGrid w:val="0"/>
        <w:spacing w:line="360" w:lineRule="auto"/>
        <w:ind w:left="560" w:firstLine="480"/>
        <w:jc w:val="left"/>
        <w:textAlignment w:val="auto"/>
        <w:rPr>
          <w:rFonts w:ascii="宋体" w:hAnsi="宋体" w:cs="宋体"/>
          <w:b/>
          <w:bCs/>
          <w:color w:val="auto"/>
          <w:szCs w:val="21"/>
          <w:highlight w:val="none"/>
          <w:u w:val="single" w:color="000000"/>
        </w:rPr>
      </w:pPr>
      <w:r>
        <w:rPr>
          <w:rFonts w:hint="eastAsia" w:ascii="宋体" w:hAnsi="宋体" w:cs="宋体"/>
          <w:color w:val="auto"/>
          <w:kern w:val="0"/>
          <w:szCs w:val="21"/>
          <w:highlight w:val="none"/>
        </w:rPr>
        <w:t>承包人违约的其他情形：</w:t>
      </w:r>
      <w:r>
        <w:rPr>
          <w:rFonts w:hint="eastAsia" w:ascii="宋体" w:hAnsi="宋体" w:cs="宋体"/>
          <w:b/>
          <w:bCs/>
          <w:color w:val="auto"/>
          <w:szCs w:val="21"/>
          <w:highlight w:val="none"/>
          <w:u w:val="single" w:color="000000"/>
        </w:rPr>
        <w:t>（1）承包人应在施工合同签订后5日内按有关规定交纳民工工资保障金，决不影响发包人办理施工许可证等证件，否则发包人将扣除承包人的其它全部履约保证金；</w:t>
      </w:r>
    </w:p>
    <w:p w14:paraId="783E668A">
      <w:pPr>
        <w:pageBreakBefore w:val="0"/>
        <w:widowControl w:val="0"/>
        <w:kinsoku/>
        <w:wordWrap/>
        <w:overflowPunct/>
        <w:topLinePunct w:val="0"/>
        <w:bidi w:val="0"/>
        <w:snapToGrid w:val="0"/>
        <w:spacing w:line="360" w:lineRule="auto"/>
        <w:ind w:left="560" w:firstLine="482"/>
        <w:jc w:val="left"/>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2）本合同在实施中，如承包人的施工队伍素质、力量、机械配备不符合工程施工需要，造成现场管理混乱，工程质量和进度明显达不到预定计划时，发包人有权要求其整改并充实施工力量，承包人必须接受，否则作违约处理，直至终止合同，并赔偿发包人损失；</w:t>
      </w:r>
    </w:p>
    <w:p w14:paraId="28114288">
      <w:pPr>
        <w:pageBreakBefore w:val="0"/>
        <w:widowControl w:val="0"/>
        <w:kinsoku/>
        <w:wordWrap/>
        <w:overflowPunct/>
        <w:topLinePunct w:val="0"/>
        <w:bidi w:val="0"/>
        <w:snapToGrid w:val="0"/>
        <w:spacing w:line="360" w:lineRule="auto"/>
        <w:ind w:left="560" w:firstLine="482"/>
        <w:jc w:val="left"/>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3）承包人不得将本工程转包。如将工程转包，发包人有权终止施工合同，由此所发生的一切损失均由承包人承担。特殊专业辅助工程分包，未经发包人同意的，不得分包。否则发包人有权终止合同，由此所发生的一切损失均由承包人承担，并处以转包（分包）项目金额5‰以上10‰以下违约金；</w:t>
      </w:r>
    </w:p>
    <w:p w14:paraId="6B682AA7">
      <w:pPr>
        <w:pageBreakBefore w:val="0"/>
        <w:widowControl w:val="0"/>
        <w:kinsoku/>
        <w:wordWrap/>
        <w:overflowPunct/>
        <w:topLinePunct w:val="0"/>
        <w:bidi w:val="0"/>
        <w:snapToGrid w:val="0"/>
        <w:spacing w:line="360" w:lineRule="auto"/>
        <w:ind w:left="560" w:firstLine="482"/>
        <w:jc w:val="left"/>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4）在合同执行过程中，承包人如果用行贿、送礼或其他不正当手段企图影响或已经影响了发包人代表或监理人员行为和欲获得超出合同规定以外的额外费用，则发包人除按有关规定严肃处理当事人（含发包人人员和监理人员）外，承包人对上述行为造成的工程损害、发包人的经济损失等，承包人应负一切责任，并予赔偿。情节严重者，发包人有权终止承包人在本合同项下的承包；</w:t>
      </w:r>
    </w:p>
    <w:p w14:paraId="15B1205A">
      <w:pPr>
        <w:pageBreakBefore w:val="0"/>
        <w:widowControl w:val="0"/>
        <w:kinsoku/>
        <w:wordWrap/>
        <w:overflowPunct/>
        <w:topLinePunct w:val="0"/>
        <w:bidi w:val="0"/>
        <w:snapToGrid w:val="0"/>
        <w:spacing w:line="360" w:lineRule="auto"/>
        <w:ind w:left="560" w:firstLine="482"/>
        <w:jc w:val="left"/>
        <w:textAlignment w:val="auto"/>
        <w:rPr>
          <w:rFonts w:ascii="宋体" w:hAnsi="宋体" w:cs="宋体"/>
          <w:color w:val="auto"/>
          <w:kern w:val="0"/>
          <w:szCs w:val="21"/>
          <w:highlight w:val="none"/>
        </w:rPr>
      </w:pPr>
      <w:r>
        <w:rPr>
          <w:rFonts w:hint="eastAsia" w:ascii="宋体" w:hAnsi="宋体" w:cs="宋体"/>
          <w:b/>
          <w:bCs/>
          <w:color w:val="auto"/>
          <w:szCs w:val="21"/>
          <w:highlight w:val="none"/>
          <w:u w:val="single" w:color="000000"/>
        </w:rPr>
        <w:t xml:space="preserve">（5）本工程若有风险控制金的，中标后，若中标人未能在合同签订前提交风险控制金的，将废除中标人资格；如承包人未能完成本工程施工的，除双方合同条款约定外，其风险控制金也将扣除。风险控制金的退还同履约保证金 </w:t>
      </w:r>
      <w:r>
        <w:rPr>
          <w:rFonts w:hint="eastAsia" w:ascii="宋体" w:hAnsi="宋体" w:cs="宋体"/>
          <w:b/>
          <w:bCs/>
          <w:color w:val="auto"/>
          <w:szCs w:val="21"/>
          <w:highlight w:val="none"/>
          <w:u w:color="000000"/>
        </w:rPr>
        <w:t>。</w:t>
      </w:r>
    </w:p>
    <w:p w14:paraId="6A44D027">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16.2.2承包人违约的责任</w:t>
      </w:r>
    </w:p>
    <w:p w14:paraId="532B754F">
      <w:pPr>
        <w:pageBreakBefore w:val="0"/>
        <w:widowControl w:val="0"/>
        <w:kinsoku/>
        <w:wordWrap/>
        <w:overflowPunct/>
        <w:topLinePunct w:val="0"/>
        <w:bidi w:val="0"/>
        <w:snapToGrid w:val="0"/>
        <w:spacing w:line="360" w:lineRule="auto"/>
        <w:ind w:left="560" w:firstLine="480"/>
        <w:jc w:val="left"/>
        <w:textAlignment w:val="auto"/>
        <w:rPr>
          <w:rFonts w:ascii="宋体" w:hAnsi="宋体" w:cs="宋体"/>
          <w:color w:val="auto"/>
          <w:szCs w:val="21"/>
          <w:highlight w:val="none"/>
          <w:u w:color="000000"/>
        </w:rPr>
      </w:pPr>
      <w:r>
        <w:rPr>
          <w:rFonts w:hint="eastAsia" w:ascii="宋体" w:hAnsi="宋体" w:cs="宋体"/>
          <w:color w:val="auto"/>
          <w:kern w:val="0"/>
          <w:szCs w:val="21"/>
          <w:highlight w:val="none"/>
        </w:rPr>
        <w:t>承包人违约责任的承担方式和计算方法：</w:t>
      </w:r>
      <w:r>
        <w:rPr>
          <w:rFonts w:hint="eastAsia" w:ascii="宋体" w:hAnsi="宋体" w:cs="宋体"/>
          <w:b/>
          <w:bCs/>
          <w:color w:val="auto"/>
          <w:szCs w:val="21"/>
          <w:highlight w:val="none"/>
          <w:u w:val="single" w:color="000000"/>
        </w:rPr>
        <w:t>承包人工期每延误一天按结算总价的1％进行处罚，并扣除履约保证金。</w:t>
      </w:r>
      <w:r>
        <w:rPr>
          <w:rFonts w:hint="eastAsia" w:ascii="宋体" w:hAnsi="宋体" w:cs="宋体"/>
          <w:color w:val="auto"/>
          <w:szCs w:val="21"/>
          <w:highlight w:val="none"/>
          <w:u w:color="000000"/>
        </w:rPr>
        <w:t xml:space="preserve">    </w:t>
      </w:r>
    </w:p>
    <w:p w14:paraId="1CC72B22">
      <w:pPr>
        <w:pageBreakBefore w:val="0"/>
        <w:widowControl w:val="0"/>
        <w:kinsoku/>
        <w:wordWrap/>
        <w:overflowPunct/>
        <w:topLinePunct w:val="0"/>
        <w:bidi w:val="0"/>
        <w:snapToGrid w:val="0"/>
        <w:spacing w:line="360" w:lineRule="auto"/>
        <w:ind w:left="560" w:firstLine="482"/>
        <w:jc w:val="left"/>
        <w:textAlignment w:val="auto"/>
        <w:rPr>
          <w:rFonts w:ascii="宋体" w:hAnsi="宋体" w:cs="宋体"/>
          <w:color w:val="auto"/>
          <w:kern w:val="0"/>
          <w:szCs w:val="21"/>
          <w:highlight w:val="none"/>
          <w:u w:val="single"/>
        </w:rPr>
      </w:pPr>
      <w:r>
        <w:rPr>
          <w:rFonts w:hint="eastAsia" w:ascii="宋体" w:hAnsi="宋体" w:cs="宋体"/>
          <w:b/>
          <w:bCs/>
          <w:color w:val="auto"/>
          <w:szCs w:val="21"/>
          <w:highlight w:val="none"/>
          <w:u w:val="single" w:color="000000"/>
        </w:rPr>
        <w:t>本合同通用条款约定承包人违约应承担的违约责任：因承包人原因造成工程质量问题，由承包人负责整改工作及相关费用，直至达到合格标准。因此造成的工期延误和损失，由承包人承担一切后果。承包人不修复或无法修复的,发包人有权自行委托有资质单位修复,修复费用及造成的损失由承包人承担。同时由发包人没收履约保证金。赔偿因工程质量原因而引起的一切损失，并向发包人支付不超过合同总价20%的违约金，同时由发包人没收质量履约保证金。</w:t>
      </w:r>
      <w:r>
        <w:rPr>
          <w:rFonts w:hint="eastAsia" w:ascii="宋体" w:hAnsi="宋体" w:cs="宋体"/>
          <w:color w:val="auto"/>
          <w:szCs w:val="21"/>
          <w:highlight w:val="none"/>
        </w:rPr>
        <w:t xml:space="preserve">    </w:t>
      </w:r>
    </w:p>
    <w:p w14:paraId="6AC2A1E2">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16.2.3 因承包人违约解除合同</w:t>
      </w:r>
    </w:p>
    <w:p w14:paraId="7B4D5B01">
      <w:pPr>
        <w:snapToGrid w:val="0"/>
        <w:spacing w:line="360" w:lineRule="auto"/>
        <w:ind w:left="0" w:leftChars="0"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关于承包人违约解除合同的特别约定：</w:t>
      </w:r>
      <w:r>
        <w:rPr>
          <w:rFonts w:hint="eastAsia" w:ascii="宋体" w:hAnsi="宋体" w:cs="宋体"/>
          <w:color w:val="auto"/>
          <w:szCs w:val="21"/>
          <w:highlight w:val="none"/>
          <w:u w:val="single" w:color="000000"/>
        </w:rPr>
        <w:t>《通用合同条款》16.2.3条执行和《专用合同条款》16.2.1款执行</w:t>
      </w:r>
      <w:r>
        <w:rPr>
          <w:rFonts w:hint="eastAsia" w:ascii="宋体" w:hAnsi="宋体" w:cs="宋体"/>
          <w:color w:val="auto"/>
          <w:kern w:val="0"/>
          <w:szCs w:val="21"/>
          <w:highlight w:val="none"/>
        </w:rPr>
        <w:t>。</w:t>
      </w:r>
    </w:p>
    <w:p w14:paraId="58C0E1E6">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发包人继续使用承包人在施工现场的材料、设备、临时工程、承包人文件和由承包人或以其名义编制的其他文件的费用承担方式：</w:t>
      </w:r>
      <w:r>
        <w:rPr>
          <w:rFonts w:hint="eastAsia" w:ascii="宋体" w:hAnsi="宋体" w:cs="宋体"/>
          <w:color w:val="auto"/>
          <w:szCs w:val="21"/>
          <w:highlight w:val="none"/>
          <w:u w:val="single" w:color="000000"/>
        </w:rPr>
        <w:t>由承包人承担相应费用</w:t>
      </w:r>
      <w:r>
        <w:rPr>
          <w:rFonts w:hint="eastAsia" w:ascii="宋体" w:hAnsi="宋体" w:cs="宋体"/>
          <w:color w:val="auto"/>
          <w:kern w:val="0"/>
          <w:szCs w:val="21"/>
          <w:highlight w:val="none"/>
        </w:rPr>
        <w:t>。</w:t>
      </w:r>
    </w:p>
    <w:p w14:paraId="31D07F05">
      <w:pPr>
        <w:pStyle w:val="7"/>
        <w:snapToGrid w:val="0"/>
        <w:spacing w:before="0" w:after="0" w:line="360" w:lineRule="auto"/>
        <w:rPr>
          <w:rFonts w:ascii="宋体" w:hAnsi="宋体" w:eastAsia="宋体" w:cs="宋体"/>
          <w:b w:val="0"/>
          <w:color w:val="auto"/>
          <w:sz w:val="21"/>
          <w:szCs w:val="21"/>
          <w:highlight w:val="none"/>
        </w:rPr>
      </w:pPr>
      <w:bookmarkStart w:id="989" w:name="_Toc351203649"/>
      <w:r>
        <w:rPr>
          <w:rFonts w:hint="eastAsia" w:ascii="宋体" w:hAnsi="宋体" w:eastAsia="宋体" w:cs="宋体"/>
          <w:b w:val="0"/>
          <w:color w:val="auto"/>
          <w:sz w:val="21"/>
          <w:szCs w:val="21"/>
          <w:highlight w:val="none"/>
        </w:rPr>
        <w:t>17. 不可抗力</w:t>
      </w:r>
      <w:bookmarkEnd w:id="989"/>
      <w:r>
        <w:rPr>
          <w:rFonts w:hint="eastAsia" w:ascii="宋体" w:hAnsi="宋体" w:eastAsia="宋体" w:cs="宋体"/>
          <w:b w:val="0"/>
          <w:color w:val="auto"/>
          <w:sz w:val="21"/>
          <w:szCs w:val="21"/>
          <w:highlight w:val="none"/>
        </w:rPr>
        <w:t xml:space="preserve"> </w:t>
      </w:r>
      <w:bookmarkEnd w:id="987"/>
    </w:p>
    <w:p w14:paraId="5B1F4CB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17.1 不可抗力的确认</w:t>
      </w:r>
    </w:p>
    <w:p w14:paraId="565BC4E1">
      <w:pPr>
        <w:snapToGrid w:val="0"/>
        <w:spacing w:line="36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szCs w:val="21"/>
          <w:highlight w:val="none"/>
        </w:rPr>
        <w:t xml:space="preserve">除通用合同条款约定的不可抗力事件之外，视为不可抗力的其他情形： </w:t>
      </w:r>
      <w:r>
        <w:rPr>
          <w:rFonts w:hint="eastAsia" w:ascii="宋体" w:hAnsi="宋体" w:cs="宋体"/>
          <w:color w:val="auto"/>
          <w:szCs w:val="21"/>
          <w:highlight w:val="none"/>
          <w:u w:val="single" w:color="000000"/>
        </w:rPr>
        <w:t>按通用条款执行</w:t>
      </w:r>
      <w:r>
        <w:rPr>
          <w:rFonts w:hint="eastAsia" w:ascii="宋体" w:hAnsi="宋体" w:cs="宋体"/>
          <w:color w:val="auto"/>
          <w:kern w:val="0"/>
          <w:szCs w:val="21"/>
          <w:highlight w:val="none"/>
        </w:rPr>
        <w:t>。</w:t>
      </w:r>
    </w:p>
    <w:p w14:paraId="3876872C">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17.4 因不可抗力解除合同</w:t>
      </w:r>
    </w:p>
    <w:p w14:paraId="7C06874D">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合同解除后，发包人应在商定或确定发包人应支付款项后</w:t>
      </w:r>
      <w:r>
        <w:rPr>
          <w:rFonts w:hint="eastAsia" w:ascii="宋体" w:hAnsi="宋体" w:cs="宋体"/>
          <w:color w:val="auto"/>
          <w:szCs w:val="21"/>
          <w:highlight w:val="none"/>
          <w:u w:val="single"/>
          <w:lang w:val="en-US" w:eastAsia="zh-CN"/>
        </w:rPr>
        <w:t>28</w:t>
      </w:r>
      <w:r>
        <w:rPr>
          <w:rFonts w:hint="eastAsia" w:ascii="宋体" w:hAnsi="宋体" w:cs="宋体"/>
          <w:color w:val="auto"/>
          <w:szCs w:val="21"/>
          <w:highlight w:val="none"/>
        </w:rPr>
        <w:t>天内完成款项的支付。</w:t>
      </w:r>
    </w:p>
    <w:p w14:paraId="1343B9D4">
      <w:pPr>
        <w:pStyle w:val="7"/>
        <w:snapToGrid w:val="0"/>
        <w:spacing w:before="0" w:after="0" w:line="360" w:lineRule="auto"/>
        <w:rPr>
          <w:rFonts w:ascii="宋体" w:hAnsi="宋体" w:eastAsia="宋体" w:cs="宋体"/>
          <w:b w:val="0"/>
          <w:color w:val="auto"/>
          <w:sz w:val="21"/>
          <w:szCs w:val="21"/>
          <w:highlight w:val="none"/>
        </w:rPr>
      </w:pPr>
      <w:bookmarkStart w:id="990" w:name="_Toc351203650"/>
      <w:r>
        <w:rPr>
          <w:rFonts w:hint="eastAsia" w:ascii="宋体" w:hAnsi="宋体" w:eastAsia="宋体" w:cs="宋体"/>
          <w:b w:val="0"/>
          <w:color w:val="auto"/>
          <w:sz w:val="21"/>
          <w:szCs w:val="21"/>
          <w:highlight w:val="none"/>
        </w:rPr>
        <w:t>18. 保险</w:t>
      </w:r>
      <w:bookmarkEnd w:id="990"/>
    </w:p>
    <w:bookmarkEnd w:id="988"/>
    <w:p w14:paraId="47258C4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18.1 工程保险</w:t>
      </w:r>
    </w:p>
    <w:p w14:paraId="57F6C857">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关于工程保险的特别约定：</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7F861B96">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18.3 其他保险</w:t>
      </w:r>
    </w:p>
    <w:p w14:paraId="2CFAABB5">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关于其他保险的约定：</w:t>
      </w:r>
      <w:r>
        <w:rPr>
          <w:rFonts w:hint="eastAsia" w:ascii="宋体" w:hAnsi="宋体" w:cs="宋体"/>
          <w:color w:val="auto"/>
          <w:szCs w:val="21"/>
          <w:highlight w:val="none"/>
          <w:u w:val="single" w:color="000000"/>
          <w:lang w:eastAsia="zh-CN"/>
        </w:rPr>
        <w:t>承包人</w:t>
      </w:r>
      <w:r>
        <w:rPr>
          <w:rFonts w:hint="eastAsia" w:ascii="宋体" w:hAnsi="宋体" w:cs="宋体"/>
          <w:color w:val="auto"/>
          <w:szCs w:val="21"/>
          <w:highlight w:val="none"/>
          <w:u w:val="single" w:color="000000"/>
        </w:rPr>
        <w:t>在本工程中参与施工的所有工作人员和工人的人身意外保险由</w:t>
      </w:r>
      <w:r>
        <w:rPr>
          <w:rFonts w:hint="eastAsia" w:ascii="宋体" w:hAnsi="宋体" w:cs="宋体"/>
          <w:color w:val="auto"/>
          <w:szCs w:val="21"/>
          <w:highlight w:val="none"/>
          <w:u w:val="single" w:color="000000"/>
          <w:lang w:eastAsia="zh-CN"/>
        </w:rPr>
        <w:t>承包人</w:t>
      </w:r>
      <w:r>
        <w:rPr>
          <w:rFonts w:hint="eastAsia" w:ascii="宋体" w:hAnsi="宋体" w:cs="宋体"/>
          <w:color w:val="auto"/>
          <w:szCs w:val="21"/>
          <w:highlight w:val="none"/>
          <w:u w:val="single" w:color="000000"/>
        </w:rPr>
        <w:t>投保,因</w:t>
      </w:r>
      <w:r>
        <w:rPr>
          <w:rFonts w:hint="eastAsia" w:ascii="宋体" w:hAnsi="宋体" w:cs="宋体"/>
          <w:color w:val="auto"/>
          <w:szCs w:val="21"/>
          <w:highlight w:val="none"/>
          <w:u w:val="single" w:color="000000"/>
          <w:lang w:eastAsia="zh-CN"/>
        </w:rPr>
        <w:t>承包人</w:t>
      </w:r>
      <w:r>
        <w:rPr>
          <w:rFonts w:hint="eastAsia" w:ascii="宋体" w:hAnsi="宋体" w:cs="宋体"/>
          <w:color w:val="auto"/>
          <w:szCs w:val="21"/>
          <w:highlight w:val="none"/>
          <w:u w:val="single" w:color="000000"/>
        </w:rPr>
        <w:t>原因造成的任何事故(包括第三者人员在内)所发生的依法应该支付的损失赔偿费, 抚恤费和法律责任均应由</w:t>
      </w:r>
      <w:r>
        <w:rPr>
          <w:rFonts w:hint="eastAsia" w:ascii="宋体" w:hAnsi="宋体" w:cs="宋体"/>
          <w:color w:val="auto"/>
          <w:szCs w:val="21"/>
          <w:highlight w:val="none"/>
          <w:u w:val="single" w:color="000000"/>
          <w:lang w:eastAsia="zh-CN"/>
        </w:rPr>
        <w:t>承包人</w:t>
      </w:r>
      <w:r>
        <w:rPr>
          <w:rFonts w:hint="eastAsia" w:ascii="宋体" w:hAnsi="宋体" w:cs="宋体"/>
          <w:color w:val="auto"/>
          <w:szCs w:val="21"/>
          <w:highlight w:val="none"/>
          <w:u w:val="single" w:color="000000"/>
        </w:rPr>
        <w:t xml:space="preserve">负责, </w:t>
      </w:r>
      <w:r>
        <w:rPr>
          <w:rFonts w:hint="eastAsia" w:ascii="宋体" w:hAnsi="宋体" w:cs="宋体"/>
          <w:color w:val="auto"/>
          <w:szCs w:val="21"/>
          <w:highlight w:val="none"/>
          <w:u w:val="single" w:color="000000"/>
          <w:lang w:eastAsia="zh-CN"/>
        </w:rPr>
        <w:t>发包人</w:t>
      </w:r>
      <w:r>
        <w:rPr>
          <w:rFonts w:hint="eastAsia" w:ascii="宋体" w:hAnsi="宋体" w:cs="宋体"/>
          <w:color w:val="auto"/>
          <w:szCs w:val="21"/>
          <w:highlight w:val="none"/>
          <w:u w:val="single" w:color="000000"/>
        </w:rPr>
        <w:t>不承担此等责任</w:t>
      </w:r>
      <w:r>
        <w:rPr>
          <w:rFonts w:hint="eastAsia" w:ascii="宋体" w:hAnsi="宋体" w:cs="宋体"/>
          <w:color w:val="auto"/>
          <w:kern w:val="0"/>
          <w:szCs w:val="21"/>
          <w:highlight w:val="none"/>
        </w:rPr>
        <w:t>。</w:t>
      </w:r>
    </w:p>
    <w:p w14:paraId="4D54671E">
      <w:pPr>
        <w:snapToGrid w:val="0"/>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rPr>
        <w:t>承包人是否应为其施工设备等办理财产保险：</w:t>
      </w:r>
      <w:r>
        <w:rPr>
          <w:rFonts w:hint="eastAsia" w:ascii="宋体" w:hAnsi="宋体" w:cs="宋体"/>
          <w:color w:val="auto"/>
          <w:szCs w:val="21"/>
          <w:highlight w:val="none"/>
          <w:u w:val="single"/>
          <w:lang w:val="en-US" w:eastAsia="zh-CN"/>
        </w:rPr>
        <w:t>是</w:t>
      </w:r>
      <w:r>
        <w:rPr>
          <w:rFonts w:hint="eastAsia" w:ascii="宋体" w:hAnsi="宋体" w:cs="宋体"/>
          <w:color w:val="auto"/>
          <w:szCs w:val="21"/>
          <w:highlight w:val="none"/>
        </w:rPr>
        <w:t>。</w:t>
      </w:r>
    </w:p>
    <w:p w14:paraId="0517314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18.7 通知义务</w:t>
      </w:r>
    </w:p>
    <w:p w14:paraId="76DD48B4">
      <w:pPr>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关于变更保险合同时的通知义务的约定：</w:t>
      </w:r>
      <w:r>
        <w:rPr>
          <w:rFonts w:hint="eastAsia" w:ascii="宋体" w:hAnsi="宋体" w:cs="宋体"/>
          <w:color w:val="auto"/>
          <w:szCs w:val="21"/>
          <w:highlight w:val="none"/>
          <w:u w:val="single" w:color="000000"/>
        </w:rPr>
        <w:t>按通用条款执行</w:t>
      </w:r>
      <w:r>
        <w:rPr>
          <w:rFonts w:hint="eastAsia" w:ascii="宋体" w:hAnsi="宋体" w:cs="宋体"/>
          <w:color w:val="auto"/>
          <w:szCs w:val="21"/>
          <w:highlight w:val="none"/>
        </w:rPr>
        <w:t>。</w:t>
      </w:r>
    </w:p>
    <w:bookmarkEnd w:id="964"/>
    <w:bookmarkEnd w:id="965"/>
    <w:bookmarkEnd w:id="966"/>
    <w:bookmarkEnd w:id="967"/>
    <w:bookmarkEnd w:id="968"/>
    <w:bookmarkEnd w:id="969"/>
    <w:bookmarkEnd w:id="970"/>
    <w:bookmarkEnd w:id="971"/>
    <w:bookmarkEnd w:id="972"/>
    <w:bookmarkEnd w:id="973"/>
    <w:bookmarkEnd w:id="974"/>
    <w:bookmarkEnd w:id="975"/>
    <w:p w14:paraId="7EDF07EA">
      <w:pPr>
        <w:pStyle w:val="7"/>
        <w:snapToGrid w:val="0"/>
        <w:spacing w:before="0" w:after="0" w:line="360" w:lineRule="auto"/>
        <w:rPr>
          <w:rFonts w:ascii="宋体" w:hAnsi="宋体" w:eastAsia="宋体" w:cs="宋体"/>
          <w:b w:val="0"/>
          <w:color w:val="auto"/>
          <w:sz w:val="21"/>
          <w:szCs w:val="21"/>
          <w:highlight w:val="none"/>
        </w:rPr>
      </w:pPr>
      <w:bookmarkStart w:id="991" w:name="_Toc351203651"/>
      <w:r>
        <w:rPr>
          <w:rFonts w:hint="eastAsia" w:ascii="宋体" w:hAnsi="宋体" w:eastAsia="宋体" w:cs="宋体"/>
          <w:b w:val="0"/>
          <w:color w:val="auto"/>
          <w:sz w:val="21"/>
          <w:szCs w:val="21"/>
          <w:highlight w:val="none"/>
        </w:rPr>
        <w:t>20. 争议解决</w:t>
      </w:r>
      <w:bookmarkEnd w:id="991"/>
    </w:p>
    <w:bookmarkEnd w:id="976"/>
    <w:bookmarkEnd w:id="977"/>
    <w:p w14:paraId="40532513">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20.3 争</w:t>
      </w:r>
      <w:bookmarkEnd w:id="978"/>
      <w:r>
        <w:rPr>
          <w:rFonts w:hint="eastAsia" w:ascii="宋体" w:hAnsi="宋体" w:cs="宋体"/>
          <w:color w:val="auto"/>
          <w:szCs w:val="21"/>
          <w:highlight w:val="none"/>
        </w:rPr>
        <w:t>议评审</w:t>
      </w:r>
    </w:p>
    <w:p w14:paraId="657FC9E5">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合同当事人是否同意将工程争议提交争议评审小组决定：</w:t>
      </w:r>
      <w:r>
        <w:rPr>
          <w:rFonts w:hint="eastAsia" w:ascii="宋体" w:hAnsi="宋体" w:cs="宋体"/>
          <w:color w:val="auto"/>
          <w:szCs w:val="21"/>
          <w:highlight w:val="none"/>
          <w:u w:val="single"/>
          <w:lang w:val="en-US" w:eastAsia="zh-CN"/>
        </w:rPr>
        <w:t>否</w:t>
      </w:r>
      <w:r>
        <w:rPr>
          <w:rFonts w:hint="eastAsia" w:ascii="宋体" w:hAnsi="宋体" w:cs="宋体"/>
          <w:color w:val="auto"/>
          <w:szCs w:val="21"/>
          <w:highlight w:val="none"/>
        </w:rPr>
        <w:t xml:space="preserve">。  </w:t>
      </w:r>
    </w:p>
    <w:p w14:paraId="3035AC7F">
      <w:pPr>
        <w:snapToGrid w:val="0"/>
        <w:spacing w:line="360" w:lineRule="auto"/>
        <w:ind w:firstLine="420" w:firstLineChars="200"/>
        <w:jc w:val="left"/>
        <w:outlineLvl w:val="0"/>
        <w:rPr>
          <w:rFonts w:ascii="宋体" w:hAnsi="宋体" w:cs="宋体"/>
          <w:color w:val="auto"/>
          <w:szCs w:val="21"/>
          <w:highlight w:val="none"/>
        </w:rPr>
      </w:pPr>
      <w:r>
        <w:rPr>
          <w:rFonts w:hint="eastAsia" w:ascii="宋体" w:hAnsi="宋体" w:cs="宋体"/>
          <w:color w:val="auto"/>
          <w:szCs w:val="21"/>
          <w:highlight w:val="none"/>
        </w:rPr>
        <w:t>20.3.1 争议评审小组的确定</w:t>
      </w:r>
    </w:p>
    <w:p w14:paraId="662D2EC4">
      <w:pPr>
        <w:snapToGrid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争议评审小组成员的确定：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265BAF4">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选定争议评审员的期限：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8555FE9">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争议评审小组成员的报酬承担方式：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65749DF">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其他事项的约定：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C31A56D">
      <w:pPr>
        <w:autoSpaceDE w:val="0"/>
        <w:autoSpaceDN w:val="0"/>
        <w:snapToGrid w:val="0"/>
        <w:spacing w:line="36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20.3.2 争议评审小组的决定</w:t>
      </w:r>
    </w:p>
    <w:p w14:paraId="57C9B03B">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合同当事人关于本项的约定：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691D059">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20.4仲裁或诉讼</w:t>
      </w:r>
      <w:bookmarkEnd w:id="979"/>
    </w:p>
    <w:p w14:paraId="2B7D056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因合同及合同有关事项发生的争议，按下列第（1）种方式解决</w:t>
      </w:r>
      <w:r>
        <w:rPr>
          <w:rFonts w:hint="eastAsia" w:ascii="宋体" w:hAnsi="宋体" w:cs="宋体"/>
          <w:color w:val="auto"/>
          <w:szCs w:val="21"/>
          <w:highlight w:val="none"/>
          <w:lang w:eastAsia="zh-CN"/>
        </w:rPr>
        <w:t>；</w:t>
      </w:r>
      <w:r>
        <w:rPr>
          <w:rFonts w:hint="eastAsia" w:ascii="宋体" w:hAnsi="宋体" w:cs="宋体"/>
          <w:color w:val="auto"/>
          <w:szCs w:val="21"/>
          <w:highlight w:val="none"/>
          <w:u w:color="000000"/>
        </w:rPr>
        <w:t>但双方当事人特别约定下列解决方式中第</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val="single" w:color="000000"/>
          <w:lang w:val="en-US" w:eastAsia="zh-CN"/>
        </w:rPr>
        <w:t>2</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种方式解决争议的除外</w:t>
      </w:r>
      <w:r>
        <w:rPr>
          <w:rFonts w:hint="eastAsia" w:ascii="宋体" w:hAnsi="宋体" w:cs="宋体"/>
          <w:color w:val="auto"/>
          <w:szCs w:val="21"/>
          <w:highlight w:val="none"/>
        </w:rPr>
        <w:t>：</w:t>
      </w:r>
    </w:p>
    <w:p w14:paraId="7A866A48">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（1）向</w:t>
      </w:r>
      <w:r>
        <w:rPr>
          <w:rFonts w:hint="eastAsia" w:ascii="宋体" w:hAnsi="宋体" w:cs="宋体"/>
          <w:color w:val="auto"/>
          <w:szCs w:val="21"/>
          <w:highlight w:val="none"/>
          <w:u w:val="single"/>
        </w:rPr>
        <w:t>杭州</w:t>
      </w:r>
      <w:r>
        <w:rPr>
          <w:rFonts w:hint="eastAsia" w:ascii="宋体" w:hAnsi="宋体" w:cs="宋体"/>
          <w:color w:val="auto"/>
          <w:szCs w:val="21"/>
          <w:highlight w:val="none"/>
        </w:rPr>
        <w:t>仲裁委员会申请仲裁；</w:t>
      </w:r>
    </w:p>
    <w:p w14:paraId="4520443B">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（2）向</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color="000000"/>
        </w:rPr>
        <w:t>工程所在地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人民法院起诉。</w:t>
      </w:r>
      <w:bookmarkEnd w:id="980"/>
      <w:bookmarkEnd w:id="981"/>
      <w:bookmarkEnd w:id="982"/>
      <w:bookmarkEnd w:id="983"/>
      <w:bookmarkEnd w:id="984"/>
      <w:bookmarkEnd w:id="985"/>
    </w:p>
    <w:p w14:paraId="6A6F8373">
      <w:pPr>
        <w:pageBreakBefore w:val="0"/>
        <w:widowControl w:val="0"/>
        <w:kinsoku/>
        <w:wordWrap/>
        <w:overflowPunct/>
        <w:topLinePunct w:val="0"/>
        <w:bidi w:val="0"/>
        <w:snapToGrid w:val="0"/>
        <w:spacing w:line="360" w:lineRule="auto"/>
        <w:ind w:firstLine="475"/>
        <w:jc w:val="left"/>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21．其他补充事项的约定</w:t>
      </w:r>
    </w:p>
    <w:p w14:paraId="3B7291E2">
      <w:pPr>
        <w:pageBreakBefore w:val="0"/>
        <w:widowControl w:val="0"/>
        <w:numPr>
          <w:ilvl w:val="0"/>
          <w:numId w:val="8"/>
        </w:numPr>
        <w:kinsoku/>
        <w:wordWrap/>
        <w:overflowPunct/>
        <w:topLinePunct w:val="0"/>
        <w:bidi w:val="0"/>
        <w:snapToGrid w:val="0"/>
        <w:spacing w:line="360" w:lineRule="auto"/>
        <w:ind w:left="5" w:firstLine="415"/>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承包人应确保无任何重大安全事故发生，安全文明施工符合省市建设行政主管部门的有关规定。如发生安全事故，或者违反文明施工管理的规定，受到地方行业管理部门的处罚或新闻媒体的曝光的,每发生一次，承包人向发包人支付5万元的违约金, 违约金直接从应付工程款中扣除。</w:t>
      </w:r>
    </w:p>
    <w:p w14:paraId="5A3BBAD8">
      <w:pPr>
        <w:pageBreakBefore w:val="0"/>
        <w:widowControl w:val="0"/>
        <w:numPr>
          <w:ilvl w:val="0"/>
          <w:numId w:val="8"/>
        </w:numPr>
        <w:kinsoku/>
        <w:wordWrap/>
        <w:overflowPunct/>
        <w:topLinePunct w:val="0"/>
        <w:bidi w:val="0"/>
        <w:snapToGrid w:val="0"/>
        <w:spacing w:line="360" w:lineRule="auto"/>
        <w:ind w:left="5" w:firstLine="415"/>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承包人在施工时必须对现场的工程设施进行保护，如果因承包人的原因导致现场的工程设施损毁，则由此发生的一切损失由承包人承担。</w:t>
      </w:r>
    </w:p>
    <w:p w14:paraId="1CA18A25">
      <w:pPr>
        <w:pageBreakBefore w:val="0"/>
        <w:widowControl w:val="0"/>
        <w:numPr>
          <w:ilvl w:val="0"/>
          <w:numId w:val="8"/>
        </w:numPr>
        <w:kinsoku/>
        <w:wordWrap/>
        <w:overflowPunct/>
        <w:topLinePunct w:val="0"/>
        <w:bidi w:val="0"/>
        <w:snapToGrid w:val="0"/>
        <w:spacing w:line="360" w:lineRule="auto"/>
        <w:ind w:left="5" w:firstLine="415"/>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承包人应确保民工工资的及时支付，如不及时支付，视作违约，发包人有权代承包人支付民工工资，并在工程款或履约保证金中扣除。</w:t>
      </w:r>
    </w:p>
    <w:p w14:paraId="04F3FE64">
      <w:pPr>
        <w:pageBreakBefore w:val="0"/>
        <w:widowControl w:val="0"/>
        <w:numPr>
          <w:ilvl w:val="0"/>
          <w:numId w:val="8"/>
        </w:numPr>
        <w:kinsoku/>
        <w:wordWrap/>
        <w:overflowPunct/>
        <w:topLinePunct w:val="0"/>
        <w:bidi w:val="0"/>
        <w:snapToGrid w:val="0"/>
        <w:spacing w:line="360" w:lineRule="auto"/>
        <w:ind w:left="5" w:firstLine="415"/>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承包人将直接与招标人签订工程承包合同。承包人对本次招标范围内的工程内容中标人必须自行完成，不得转包。</w:t>
      </w:r>
    </w:p>
    <w:p w14:paraId="6C7CBFCD">
      <w:pPr>
        <w:pageBreakBefore w:val="0"/>
        <w:widowControl w:val="0"/>
        <w:numPr>
          <w:ilvl w:val="0"/>
          <w:numId w:val="8"/>
        </w:numPr>
        <w:kinsoku/>
        <w:wordWrap/>
        <w:overflowPunct/>
        <w:topLinePunct w:val="0"/>
        <w:bidi w:val="0"/>
        <w:snapToGrid w:val="0"/>
        <w:spacing w:line="360" w:lineRule="auto"/>
        <w:ind w:left="5" w:firstLine="415"/>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非上述原因，工程不能按合同工期竣工，</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应向</w:t>
      </w:r>
      <w:r>
        <w:rPr>
          <w:rFonts w:hint="eastAsia" w:ascii="宋体" w:hAnsi="宋体" w:cs="宋体"/>
          <w:b/>
          <w:bCs/>
          <w:color w:val="auto"/>
          <w:szCs w:val="21"/>
          <w:highlight w:val="none"/>
          <w:u w:val="single" w:color="000000"/>
          <w:lang w:eastAsia="zh-CN"/>
        </w:rPr>
        <w:t>发包人</w:t>
      </w:r>
      <w:r>
        <w:rPr>
          <w:rFonts w:hint="eastAsia" w:ascii="宋体" w:hAnsi="宋体" w:cs="宋体"/>
          <w:b/>
          <w:bCs/>
          <w:color w:val="auto"/>
          <w:szCs w:val="21"/>
          <w:highlight w:val="none"/>
          <w:u w:val="single" w:color="000000"/>
        </w:rPr>
        <w:t>支付违约金，每延误1天，违约金为合同结算总价的0.5‰。误期时间从规定竣工日期起直到全部工程或相应部分工程的移交竣工报告的批准日期之间的天数（不足一天的按一天计算）。其它关键节点（如管道安装完成、调试完成等）若不能按时完成，</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应向</w:t>
      </w:r>
      <w:r>
        <w:rPr>
          <w:rFonts w:hint="eastAsia" w:ascii="宋体" w:hAnsi="宋体" w:cs="宋体"/>
          <w:b/>
          <w:bCs/>
          <w:color w:val="auto"/>
          <w:szCs w:val="21"/>
          <w:highlight w:val="none"/>
          <w:u w:val="single" w:color="000000"/>
          <w:lang w:eastAsia="zh-CN"/>
        </w:rPr>
        <w:t>发包人</w:t>
      </w:r>
      <w:r>
        <w:rPr>
          <w:rFonts w:hint="eastAsia" w:ascii="宋体" w:hAnsi="宋体" w:cs="宋体"/>
          <w:b/>
          <w:bCs/>
          <w:color w:val="auto"/>
          <w:szCs w:val="21"/>
          <w:highlight w:val="none"/>
          <w:u w:val="single" w:color="000000"/>
        </w:rPr>
        <w:t>支付违约金为每天1000元。</w:t>
      </w:r>
      <w:r>
        <w:rPr>
          <w:rFonts w:hint="eastAsia" w:ascii="宋体" w:hAnsi="宋体" w:cs="宋体"/>
          <w:b/>
          <w:bCs/>
          <w:color w:val="auto"/>
          <w:szCs w:val="21"/>
          <w:highlight w:val="none"/>
          <w:u w:val="single" w:color="000000"/>
          <w:lang w:eastAsia="zh-CN"/>
        </w:rPr>
        <w:t>发包人</w:t>
      </w:r>
      <w:r>
        <w:rPr>
          <w:rFonts w:hint="eastAsia" w:ascii="宋体" w:hAnsi="宋体" w:cs="宋体"/>
          <w:b/>
          <w:bCs/>
          <w:color w:val="auto"/>
          <w:szCs w:val="21"/>
          <w:highlight w:val="none"/>
          <w:u w:val="single" w:color="000000"/>
        </w:rPr>
        <w:t>可从应向</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支付的任何金额中扣除此项赔偿费或以其他的方式收回此款，此赔偿费的支付并不能解除</w:t>
      </w:r>
      <w:r>
        <w:rPr>
          <w:rFonts w:hint="eastAsia" w:ascii="宋体" w:hAnsi="宋体" w:cs="宋体"/>
          <w:b/>
          <w:bCs/>
          <w:color w:val="auto"/>
          <w:szCs w:val="21"/>
          <w:highlight w:val="none"/>
          <w:u w:val="single" w:color="000000"/>
          <w:lang w:eastAsia="zh-CN"/>
        </w:rPr>
        <w:t>承包人</w:t>
      </w:r>
      <w:r>
        <w:rPr>
          <w:rFonts w:hint="eastAsia" w:ascii="宋体" w:hAnsi="宋体" w:cs="宋体"/>
          <w:b/>
          <w:bCs/>
          <w:color w:val="auto"/>
          <w:szCs w:val="21"/>
          <w:highlight w:val="none"/>
          <w:u w:val="single" w:color="000000"/>
        </w:rPr>
        <w:t>应完成工程的责任或本合同规定的其他责任。</w:t>
      </w:r>
    </w:p>
    <w:p w14:paraId="6C1E9014">
      <w:pPr>
        <w:pageBreakBefore w:val="0"/>
        <w:widowControl w:val="0"/>
        <w:numPr>
          <w:ilvl w:val="0"/>
          <w:numId w:val="8"/>
        </w:numPr>
        <w:kinsoku/>
        <w:wordWrap/>
        <w:overflowPunct/>
        <w:topLinePunct w:val="0"/>
        <w:bidi w:val="0"/>
        <w:snapToGrid w:val="0"/>
        <w:spacing w:line="360" w:lineRule="auto"/>
        <w:ind w:left="5" w:firstLine="415"/>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本工程材料采用市场中高档主流品牌/厂家。所有材料必须符合设计及发包人要求,由投标人在投标时根据招标文件及施工图、材料封样要求明确规格型号和报价。</w:t>
      </w:r>
    </w:p>
    <w:p w14:paraId="07CAD936">
      <w:pPr>
        <w:pageBreakBefore w:val="0"/>
        <w:widowControl w:val="0"/>
        <w:numPr>
          <w:ilvl w:val="0"/>
          <w:numId w:val="8"/>
        </w:numPr>
        <w:kinsoku/>
        <w:wordWrap/>
        <w:overflowPunct/>
        <w:topLinePunct w:val="0"/>
        <w:bidi w:val="0"/>
        <w:snapToGrid w:val="0"/>
        <w:spacing w:line="360" w:lineRule="auto"/>
        <w:ind w:left="5" w:firstLine="415"/>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各设备按规范或本招标文件要求需设置支架、基础、配置电源或防雷接地（除工程量清单有单列外），该项费用应包含在该设备的投标报价中。所有的系统检测、调试、培训费用均包含在投标价中。</w:t>
      </w:r>
    </w:p>
    <w:p w14:paraId="75AA0E3F">
      <w:pPr>
        <w:pageBreakBefore w:val="0"/>
        <w:widowControl w:val="0"/>
        <w:numPr>
          <w:ilvl w:val="0"/>
          <w:numId w:val="8"/>
        </w:numPr>
        <w:kinsoku/>
        <w:wordWrap/>
        <w:overflowPunct/>
        <w:topLinePunct w:val="0"/>
        <w:bidi w:val="0"/>
        <w:snapToGrid w:val="0"/>
        <w:spacing w:line="360" w:lineRule="auto"/>
        <w:ind w:left="5" w:firstLine="415"/>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施工过程中若发现材料品牌的供应厂家有垄断现象，发包人有权进行调整。在合同执行过程中，如果有比推荐品牌质量更好价格更低的品牌，发包人有权另行选择。</w:t>
      </w:r>
    </w:p>
    <w:p w14:paraId="6FC4BD54">
      <w:pPr>
        <w:pageBreakBefore w:val="0"/>
        <w:widowControl w:val="0"/>
        <w:numPr>
          <w:ilvl w:val="0"/>
          <w:numId w:val="8"/>
        </w:numPr>
        <w:kinsoku/>
        <w:wordWrap/>
        <w:overflowPunct/>
        <w:topLinePunct w:val="0"/>
        <w:bidi w:val="0"/>
        <w:snapToGrid w:val="0"/>
        <w:spacing w:line="360" w:lineRule="auto"/>
        <w:ind w:left="5" w:firstLine="415"/>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在发包人使用投标人的投标所有产品时不会因知识产权或产品所有权等问题引起第三方索赔或其他要求，否则由此给发包人造成的一切损失都应由投标人承担。</w:t>
      </w:r>
    </w:p>
    <w:p w14:paraId="19D734EA">
      <w:pPr>
        <w:pageBreakBefore w:val="0"/>
        <w:widowControl w:val="0"/>
        <w:numPr>
          <w:ilvl w:val="0"/>
          <w:numId w:val="8"/>
        </w:numPr>
        <w:kinsoku/>
        <w:wordWrap/>
        <w:overflowPunct/>
        <w:topLinePunct w:val="0"/>
        <w:bidi w:val="0"/>
        <w:snapToGrid w:val="0"/>
        <w:spacing w:line="360" w:lineRule="auto"/>
        <w:ind w:left="5" w:firstLine="415"/>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除招标文件要求外，本工程选用的材料必须达到国家质量标准及环保要求，若承包人未达到该要求，发包人有权要求承包人进行改正，而不予费用补偿。</w:t>
      </w:r>
    </w:p>
    <w:p w14:paraId="190DBD63">
      <w:pPr>
        <w:pageBreakBefore w:val="0"/>
        <w:widowControl w:val="0"/>
        <w:numPr>
          <w:ilvl w:val="0"/>
          <w:numId w:val="8"/>
        </w:numPr>
        <w:kinsoku/>
        <w:wordWrap/>
        <w:overflowPunct/>
        <w:topLinePunct w:val="0"/>
        <w:bidi w:val="0"/>
        <w:snapToGrid w:val="0"/>
        <w:spacing w:line="360" w:lineRule="auto"/>
        <w:ind w:left="5" w:firstLine="415"/>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合同双方确认，本合同及本合同约定的其它文件组成部分中的各项约定都是通过法定招标过程形成的合法成果，不存在与招标文件和中标人投标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14:paraId="7557C616">
      <w:pPr>
        <w:pageBreakBefore w:val="0"/>
        <w:widowControl w:val="0"/>
        <w:kinsoku/>
        <w:wordWrap/>
        <w:overflowPunct/>
        <w:topLinePunct w:val="0"/>
        <w:bidi w:val="0"/>
        <w:snapToGrid w:val="0"/>
        <w:spacing w:line="360" w:lineRule="auto"/>
        <w:textAlignment w:val="auto"/>
        <w:rPr>
          <w:rFonts w:ascii="宋体" w:hAnsi="宋体" w:cs="宋体"/>
          <w:b/>
          <w:bCs/>
          <w:color w:val="auto"/>
          <w:szCs w:val="21"/>
          <w:highlight w:val="none"/>
          <w:u w:val="single" w:color="000000"/>
        </w:rPr>
      </w:pPr>
    </w:p>
    <w:p w14:paraId="3AF100E5">
      <w:pPr>
        <w:pageBreakBefore w:val="0"/>
        <w:widowControl w:val="0"/>
        <w:kinsoku/>
        <w:wordWrap/>
        <w:overflowPunct/>
        <w:topLinePunct w:val="0"/>
        <w:bidi w:val="0"/>
        <w:snapToGrid w:val="0"/>
        <w:spacing w:line="360" w:lineRule="auto"/>
        <w:textAlignment w:val="auto"/>
        <w:rPr>
          <w:rFonts w:hint="eastAsia" w:ascii="宋体" w:hAnsi="宋体" w:cs="宋体"/>
          <w:b/>
          <w:bCs/>
          <w:color w:val="auto"/>
          <w:highlight w:val="none"/>
        </w:rPr>
      </w:pPr>
    </w:p>
    <w:p w14:paraId="3CF2289B">
      <w:pPr>
        <w:pageBreakBefore w:val="0"/>
        <w:widowControl w:val="0"/>
        <w:kinsoku/>
        <w:wordWrap/>
        <w:overflowPunct/>
        <w:topLinePunct w:val="0"/>
        <w:bidi w:val="0"/>
        <w:snapToGrid w:val="0"/>
        <w:spacing w:line="360" w:lineRule="auto"/>
        <w:textAlignment w:val="auto"/>
        <w:rPr>
          <w:rFonts w:ascii="宋体" w:hAnsi="宋体" w:cs="宋体"/>
          <w:b/>
          <w:bCs/>
          <w:color w:val="auto"/>
          <w:highlight w:val="none"/>
        </w:rPr>
      </w:pPr>
      <w:r>
        <w:rPr>
          <w:rFonts w:hint="eastAsia" w:ascii="宋体" w:hAnsi="宋体" w:cs="宋体"/>
          <w:b/>
          <w:bCs/>
          <w:color w:val="auto"/>
          <w:highlight w:val="none"/>
        </w:rPr>
        <w:t xml:space="preserve">注：本合同作为示范文本，具体以采购人与中标供应商所签定正式合同为准。 </w:t>
      </w:r>
    </w:p>
    <w:p w14:paraId="7C44FA17">
      <w:pPr>
        <w:pageBreakBefore w:val="0"/>
        <w:widowControl w:val="0"/>
        <w:kinsoku/>
        <w:wordWrap/>
        <w:overflowPunct/>
        <w:topLinePunct w:val="0"/>
        <w:bidi w:val="0"/>
        <w:snapToGrid w:val="0"/>
        <w:spacing w:line="360" w:lineRule="auto"/>
        <w:textAlignment w:val="auto"/>
        <w:rPr>
          <w:rFonts w:hint="eastAsia" w:ascii="宋体" w:hAnsi="宋体" w:eastAsia="宋体" w:cs="宋体"/>
          <w:b/>
          <w:bCs/>
          <w:color w:val="auto"/>
          <w:highlight w:val="none"/>
        </w:rPr>
      </w:pPr>
    </w:p>
    <w:p w14:paraId="3A307068">
      <w:pPr>
        <w:pageBreakBefore w:val="0"/>
        <w:widowControl w:val="0"/>
        <w:kinsoku/>
        <w:wordWrap/>
        <w:overflowPunct/>
        <w:topLinePunct w:val="0"/>
        <w:bidi w:val="0"/>
        <w:snapToGrid w:val="0"/>
        <w:spacing w:line="36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附件：建筑工程质量保修书</w:t>
      </w:r>
    </w:p>
    <w:p w14:paraId="53803CD6">
      <w:pPr>
        <w:adjustRightInd/>
        <w:ind w:firstLine="371" w:firstLineChars="177"/>
        <w:jc w:val="left"/>
        <w:rPr>
          <w:rFonts w:ascii="宋体" w:hAnsi="宋体"/>
          <w:snapToGrid w:val="0"/>
          <w:color w:val="auto"/>
          <w:kern w:val="0"/>
          <w:szCs w:val="21"/>
          <w:highlight w:val="none"/>
        </w:rPr>
      </w:pPr>
    </w:p>
    <w:p w14:paraId="1182E31B">
      <w:pPr>
        <w:spacing w:before="162" w:line="440" w:lineRule="exact"/>
        <w:ind w:firstLine="480"/>
        <w:rPr>
          <w:rFonts w:hint="eastAsia" w:ascii="宋体" w:hAnsi="宋体" w:eastAsia="宋体"/>
          <w:b/>
          <w:bCs/>
          <w:color w:val="auto"/>
          <w:sz w:val="24"/>
          <w:highlight w:val="none"/>
          <w:lang w:eastAsia="zh-CN"/>
        </w:rPr>
      </w:pPr>
      <w:r>
        <w:rPr>
          <w:rFonts w:ascii="宋体" w:hAnsi="宋体"/>
          <w:color w:val="auto"/>
          <w:sz w:val="24"/>
          <w:highlight w:val="none"/>
          <w:u w:val="single"/>
        </w:rPr>
        <w:br w:type="page"/>
      </w:r>
      <w:bookmarkStart w:id="992" w:name="_Toc534620509"/>
      <w:bookmarkStart w:id="993" w:name="_Toc249091536"/>
      <w:r>
        <w:rPr>
          <w:rFonts w:hint="eastAsia" w:ascii="宋体" w:hAnsi="宋体"/>
          <w:b/>
          <w:bCs/>
          <w:color w:val="auto"/>
          <w:sz w:val="24"/>
          <w:highlight w:val="none"/>
        </w:rPr>
        <w:t>附件</w:t>
      </w:r>
      <w:r>
        <w:rPr>
          <w:rFonts w:hint="eastAsia" w:ascii="宋体" w:hAnsi="宋体"/>
          <w:b/>
          <w:bCs/>
          <w:color w:val="auto"/>
          <w:sz w:val="24"/>
          <w:highlight w:val="none"/>
          <w:lang w:eastAsia="zh-CN"/>
        </w:rPr>
        <w:t>：</w:t>
      </w:r>
    </w:p>
    <w:bookmarkEnd w:id="992"/>
    <w:bookmarkEnd w:id="993"/>
    <w:p w14:paraId="37A009B5">
      <w:pPr>
        <w:adjustRightInd/>
        <w:spacing w:before="120" w:beforeLines="50" w:after="120" w:afterLines="50" w:line="288" w:lineRule="auto"/>
        <w:jc w:val="center"/>
        <w:rPr>
          <w:rFonts w:ascii="宋体" w:hAnsi="宋体"/>
          <w:snapToGrid w:val="0"/>
          <w:color w:val="auto"/>
          <w:kern w:val="0"/>
          <w:szCs w:val="21"/>
          <w:highlight w:val="none"/>
        </w:rPr>
      </w:pPr>
      <w:r>
        <w:rPr>
          <w:rFonts w:ascii="宋体" w:hAnsi="宋体"/>
          <w:snapToGrid w:val="0"/>
          <w:color w:val="auto"/>
          <w:kern w:val="0"/>
          <w:szCs w:val="21"/>
          <w:highlight w:val="none"/>
        </w:rPr>
        <w:t>工程质量保修书</w:t>
      </w:r>
    </w:p>
    <w:p w14:paraId="0FDD206B">
      <w:pPr>
        <w:adjustRightInd/>
        <w:spacing w:line="288"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发包人（全称）：</w:t>
      </w:r>
      <w:r>
        <w:rPr>
          <w:rFonts w:hint="eastAsia" w:ascii="宋体" w:hAnsi="宋体" w:cs="宋体"/>
          <w:snapToGrid w:val="0"/>
          <w:color w:val="auto"/>
          <w:kern w:val="0"/>
          <w:szCs w:val="21"/>
          <w:highlight w:val="none"/>
          <w:u w:val="single"/>
          <w:lang w:val="en-US" w:eastAsia="zh-CN"/>
        </w:rPr>
        <w:t>杭州市美术职业学校</w:t>
      </w:r>
    </w:p>
    <w:p w14:paraId="79B947D4">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　　承包人（全称）：</w:t>
      </w:r>
      <w:r>
        <w:rPr>
          <w:rFonts w:ascii="宋体" w:hAnsi="宋体"/>
          <w:snapToGrid w:val="0"/>
          <w:color w:val="auto"/>
          <w:kern w:val="0"/>
          <w:szCs w:val="21"/>
          <w:highlight w:val="none"/>
          <w:u w:val="single"/>
        </w:rPr>
        <w:t xml:space="preserve">  </w:t>
      </w:r>
      <w:bookmarkStart w:id="994" w:name="SOA_zyht_zlbxcbr"/>
      <w:r>
        <w:rPr>
          <w:rFonts w:ascii="宋体" w:hAnsi="宋体"/>
          <w:snapToGrid w:val="0"/>
          <w:color w:val="auto"/>
          <w:kern w:val="0"/>
          <w:szCs w:val="21"/>
          <w:highlight w:val="none"/>
          <w:u w:val="single"/>
        </w:rPr>
        <w:t xml:space="preserve"> </w:t>
      </w:r>
      <w:bookmarkEnd w:id="994"/>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2F5C43A6">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　　发包人和承包人根据《中华人民共和国建筑法》和《建设工程质量管理条例》，经协商一致就</w:t>
      </w:r>
      <w:r>
        <w:rPr>
          <w:rFonts w:ascii="宋体" w:hAnsi="宋体"/>
          <w:snapToGrid w:val="0"/>
          <w:color w:val="auto"/>
          <w:kern w:val="0"/>
          <w:szCs w:val="21"/>
          <w:highlight w:val="none"/>
          <w:u w:val="single"/>
        </w:rPr>
        <w:t xml:space="preserve">  </w:t>
      </w:r>
      <w:bookmarkStart w:id="995" w:name="SOA_zyht_gcqc"/>
      <w:r>
        <w:rPr>
          <w:rFonts w:ascii="宋体" w:hAnsi="宋体"/>
          <w:snapToGrid w:val="0"/>
          <w:color w:val="auto"/>
          <w:kern w:val="0"/>
          <w:szCs w:val="21"/>
          <w:highlight w:val="none"/>
          <w:u w:val="single"/>
        </w:rPr>
        <w:t xml:space="preserve"> </w:t>
      </w:r>
      <w:r>
        <w:rPr>
          <w:rFonts w:hint="eastAsia" w:ascii="宋体" w:hAnsi="宋体" w:cs="宋体"/>
          <w:b/>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bookmarkEnd w:id="995"/>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eastAsia="zh-CN"/>
        </w:rPr>
        <w:t>杭州市美术职业学校莫干校区实训楼外立面改造项目</w:t>
      </w:r>
      <w:r>
        <w:rPr>
          <w:rFonts w:ascii="宋体" w:hAnsi="宋体"/>
          <w:snapToGrid w:val="0"/>
          <w:color w:val="auto"/>
          <w:kern w:val="0"/>
          <w:szCs w:val="21"/>
          <w:highlight w:val="none"/>
        </w:rPr>
        <w:t>签订工程质量保修书。</w:t>
      </w:r>
    </w:p>
    <w:p w14:paraId="40AD82AB">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一、工程质量保修范围和内容</w:t>
      </w:r>
    </w:p>
    <w:p w14:paraId="773D382A">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　　承包人在质量保修期内，按照有关法律规定和合同约定，承担工程质量保修责任。</w:t>
      </w:r>
    </w:p>
    <w:p w14:paraId="2C1EF425">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334BF62A">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u w:val="single"/>
        </w:rPr>
        <w:t xml:space="preserve">   </w:t>
      </w:r>
      <w:bookmarkStart w:id="996" w:name="SOA_zyht_gczlbxfw"/>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双方约定对施工承包范围内的所有内容实行保修</w:t>
      </w:r>
      <w:r>
        <w:rPr>
          <w:rFonts w:ascii="宋体" w:hAnsi="宋体"/>
          <w:snapToGrid w:val="0"/>
          <w:color w:val="auto"/>
          <w:kern w:val="0"/>
          <w:szCs w:val="21"/>
          <w:highlight w:val="none"/>
          <w:u w:val="single"/>
        </w:rPr>
        <w:t xml:space="preserve">   </w:t>
      </w:r>
      <w:bookmarkEnd w:id="996"/>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p>
    <w:p w14:paraId="0759516F">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二、质量保修期</w:t>
      </w:r>
    </w:p>
    <w:p w14:paraId="666139D7">
      <w:pPr>
        <w:adjustRightInd/>
        <w:spacing w:line="288"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根据《建设工程质量管理条例》及有关规定，工程的质量保修期如下：</w:t>
      </w:r>
    </w:p>
    <w:p w14:paraId="6D86FCF2">
      <w:pPr>
        <w:adjustRightInd/>
        <w:spacing w:line="288"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1．地基基础工程和主体结构工程为设计文件规定的工程合理使用年限；</w:t>
      </w:r>
    </w:p>
    <w:p w14:paraId="644B3EA4">
      <w:pPr>
        <w:adjustRightInd/>
        <w:spacing w:line="288"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2．</w:t>
      </w:r>
      <w:r>
        <w:rPr>
          <w:rFonts w:ascii="宋体" w:hAnsi="宋体"/>
          <w:snapToGrid w:val="0"/>
          <w:color w:val="auto"/>
          <w:kern w:val="0"/>
          <w:szCs w:val="21"/>
          <w:highlight w:val="none"/>
        </w:rPr>
        <w:t>屋面防水工程、有防水要求的卫生间、房间和外墙面的防渗</w:t>
      </w:r>
      <w:r>
        <w:rPr>
          <w:rFonts w:hint="eastAsia" w:ascii="宋体" w:hAnsi="宋体"/>
          <w:snapToGrid w:val="0"/>
          <w:color w:val="auto"/>
          <w:kern w:val="0"/>
          <w:szCs w:val="21"/>
          <w:highlight w:val="none"/>
        </w:rPr>
        <w:t>为</w:t>
      </w:r>
      <w:r>
        <w:rPr>
          <w:rFonts w:hint="eastAsia" w:ascii="宋体" w:hAnsi="宋体"/>
          <w:snapToGrid w:val="0"/>
          <w:color w:val="auto"/>
          <w:kern w:val="0"/>
          <w:szCs w:val="21"/>
          <w:highlight w:val="none"/>
          <w:u w:val="single"/>
        </w:rPr>
        <w:t xml:space="preserve"> 5 </w:t>
      </w:r>
      <w:r>
        <w:rPr>
          <w:rFonts w:ascii="宋体" w:hAnsi="宋体"/>
          <w:snapToGrid w:val="0"/>
          <w:color w:val="auto"/>
          <w:kern w:val="0"/>
          <w:szCs w:val="21"/>
          <w:highlight w:val="none"/>
        </w:rPr>
        <w:t>年；</w:t>
      </w:r>
    </w:p>
    <w:p w14:paraId="44C694F6">
      <w:pPr>
        <w:adjustRightInd/>
        <w:spacing w:line="288"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3．</w:t>
      </w:r>
      <w:r>
        <w:rPr>
          <w:rFonts w:ascii="宋体" w:hAnsi="宋体"/>
          <w:snapToGrid w:val="0"/>
          <w:color w:val="auto"/>
          <w:kern w:val="0"/>
          <w:szCs w:val="21"/>
          <w:highlight w:val="none"/>
        </w:rPr>
        <w:t>装修工程为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2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p>
    <w:p w14:paraId="0BE558C8">
      <w:pPr>
        <w:adjustRightInd/>
        <w:spacing w:line="288"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4．</w:t>
      </w:r>
      <w:r>
        <w:rPr>
          <w:rFonts w:ascii="宋体" w:hAnsi="宋体"/>
          <w:snapToGrid w:val="0"/>
          <w:color w:val="auto"/>
          <w:kern w:val="0"/>
          <w:szCs w:val="21"/>
          <w:highlight w:val="none"/>
        </w:rPr>
        <w:t>电气管线、给排水管道、设备安装工程为</w:t>
      </w:r>
      <w:bookmarkStart w:id="997" w:name="SOA_zyht_azbxnx"/>
      <w:r>
        <w:rPr>
          <w:rFonts w:ascii="宋体" w:hAnsi="宋体"/>
          <w:snapToGrid w:val="0"/>
          <w:color w:val="auto"/>
          <w:kern w:val="0"/>
          <w:szCs w:val="21"/>
          <w:highlight w:val="none"/>
          <w:u w:val="single"/>
        </w:rPr>
        <w:t xml:space="preserve"> </w:t>
      </w:r>
      <w:bookmarkEnd w:id="997"/>
      <w:r>
        <w:rPr>
          <w:rFonts w:hint="eastAsia" w:ascii="宋体" w:hAnsi="宋体"/>
          <w:snapToGrid w:val="0"/>
          <w:color w:val="auto"/>
          <w:kern w:val="0"/>
          <w:szCs w:val="21"/>
          <w:highlight w:val="none"/>
          <w:u w:val="single"/>
        </w:rPr>
        <w:t>2</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p>
    <w:p w14:paraId="07FA1C0F">
      <w:pPr>
        <w:adjustRightInd/>
        <w:spacing w:line="288"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5．</w:t>
      </w:r>
      <w:r>
        <w:rPr>
          <w:rFonts w:ascii="宋体" w:hAnsi="宋体"/>
          <w:snapToGrid w:val="0"/>
          <w:color w:val="auto"/>
          <w:kern w:val="0"/>
          <w:szCs w:val="21"/>
          <w:highlight w:val="none"/>
        </w:rPr>
        <w:t>供热与供冷系统为</w:t>
      </w:r>
      <w:r>
        <w:rPr>
          <w:rFonts w:ascii="宋体" w:hAnsi="宋体"/>
          <w:snapToGrid w:val="0"/>
          <w:color w:val="auto"/>
          <w:kern w:val="0"/>
          <w:szCs w:val="21"/>
          <w:highlight w:val="none"/>
          <w:u w:val="single"/>
        </w:rPr>
        <w:t xml:space="preserve"> </w:t>
      </w:r>
      <w:bookmarkStart w:id="998" w:name="SOA_zyht_grbxnx"/>
      <w:r>
        <w:rPr>
          <w:rFonts w:hint="eastAsia" w:ascii="宋体" w:hAnsi="宋体"/>
          <w:snapToGrid w:val="0"/>
          <w:color w:val="auto"/>
          <w:kern w:val="0"/>
          <w:szCs w:val="21"/>
          <w:highlight w:val="none"/>
          <w:u w:val="single"/>
        </w:rPr>
        <w:t>2</w:t>
      </w:r>
      <w:r>
        <w:rPr>
          <w:rFonts w:ascii="宋体" w:hAnsi="宋体"/>
          <w:snapToGrid w:val="0"/>
          <w:color w:val="auto"/>
          <w:kern w:val="0"/>
          <w:szCs w:val="21"/>
          <w:highlight w:val="none"/>
          <w:u w:val="single"/>
        </w:rPr>
        <w:t xml:space="preserve"> </w:t>
      </w:r>
      <w:bookmarkEnd w:id="998"/>
      <w:r>
        <w:rPr>
          <w:rFonts w:ascii="宋体" w:hAnsi="宋体"/>
          <w:snapToGrid w:val="0"/>
          <w:color w:val="auto"/>
          <w:kern w:val="0"/>
          <w:szCs w:val="21"/>
          <w:highlight w:val="none"/>
        </w:rPr>
        <w:t>个采暖期、供冷期；</w:t>
      </w:r>
    </w:p>
    <w:p w14:paraId="3E1CF0C3">
      <w:pPr>
        <w:adjustRightInd/>
        <w:spacing w:line="288"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6．</w:t>
      </w:r>
      <w:r>
        <w:rPr>
          <w:rFonts w:ascii="宋体" w:hAnsi="宋体"/>
          <w:snapToGrid w:val="0"/>
          <w:color w:val="auto"/>
          <w:kern w:val="0"/>
          <w:szCs w:val="21"/>
          <w:highlight w:val="none"/>
        </w:rPr>
        <w:t>住宅小区内的给排水设施、道路等配套工程为</w:t>
      </w:r>
      <w:r>
        <w:rPr>
          <w:rFonts w:hint="eastAsia" w:ascii="宋体" w:hAnsi="宋体"/>
          <w:snapToGrid w:val="0"/>
          <w:color w:val="auto"/>
          <w:kern w:val="0"/>
          <w:szCs w:val="21"/>
          <w:highlight w:val="none"/>
          <w:u w:val="single"/>
        </w:rPr>
        <w:t>2</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p>
    <w:p w14:paraId="52D17676">
      <w:pPr>
        <w:adjustRightInd/>
        <w:spacing w:line="288"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7．</w:t>
      </w:r>
      <w:r>
        <w:rPr>
          <w:rFonts w:ascii="宋体" w:hAnsi="宋体"/>
          <w:snapToGrid w:val="0"/>
          <w:color w:val="auto"/>
          <w:kern w:val="0"/>
          <w:szCs w:val="21"/>
          <w:highlight w:val="none"/>
        </w:rPr>
        <w:t>其他项目保修期限约定如下：</w:t>
      </w:r>
      <w:r>
        <w:rPr>
          <w:rFonts w:hint="eastAsia" w:ascii="宋体" w:hAnsi="宋体" w:cs="宋体"/>
          <w:snapToGrid w:val="0"/>
          <w:color w:val="auto"/>
          <w:kern w:val="0"/>
          <w:szCs w:val="21"/>
          <w:highlight w:val="none"/>
          <w:u w:val="single"/>
        </w:rPr>
        <w:t>防水不少于5年</w:t>
      </w:r>
      <w:r>
        <w:rPr>
          <w:rFonts w:ascii="宋体" w:hAnsi="宋体"/>
          <w:snapToGrid w:val="0"/>
          <w:color w:val="auto"/>
          <w:kern w:val="0"/>
          <w:szCs w:val="21"/>
          <w:highlight w:val="none"/>
        </w:rPr>
        <w:t>。</w:t>
      </w:r>
    </w:p>
    <w:p w14:paraId="58D5D3DA">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　　质量保修期自工程竣工验收合格之日起计算。</w:t>
      </w:r>
    </w:p>
    <w:p w14:paraId="72C17224">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三、缺陷责任期</w:t>
      </w:r>
    </w:p>
    <w:p w14:paraId="5059EEA2">
      <w:pPr>
        <w:adjustRightInd/>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工程缺陷责任期为</w:t>
      </w:r>
      <w:bookmarkStart w:id="999" w:name="SOA_zyht_gcqxq"/>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24 </w:t>
      </w:r>
      <w:r>
        <w:rPr>
          <w:rFonts w:ascii="宋体" w:hAnsi="宋体"/>
          <w:snapToGrid w:val="0"/>
          <w:color w:val="auto"/>
          <w:kern w:val="0"/>
          <w:szCs w:val="21"/>
          <w:highlight w:val="none"/>
          <w:u w:val="single"/>
        </w:rPr>
        <w:t xml:space="preserve"> </w:t>
      </w:r>
      <w:bookmarkEnd w:id="999"/>
      <w:r>
        <w:rPr>
          <w:rFonts w:ascii="宋体" w:hAnsi="宋体"/>
          <w:snapToGrid w:val="0"/>
          <w:color w:val="auto"/>
          <w:kern w:val="0"/>
          <w:szCs w:val="21"/>
          <w:highlight w:val="none"/>
        </w:rPr>
        <w:t>个月，缺陷责任期自</w:t>
      </w:r>
      <w:r>
        <w:rPr>
          <w:rFonts w:hint="eastAsia" w:ascii="宋体" w:hAnsi="宋体"/>
          <w:snapToGrid w:val="0"/>
          <w:color w:val="auto"/>
          <w:kern w:val="0"/>
          <w:szCs w:val="21"/>
          <w:highlight w:val="none"/>
        </w:rPr>
        <w:t>工程通过竣工验收合格之日</w:t>
      </w:r>
      <w:r>
        <w:rPr>
          <w:rFonts w:ascii="宋体" w:hAnsi="宋体"/>
          <w:snapToGrid w:val="0"/>
          <w:color w:val="auto"/>
          <w:kern w:val="0"/>
          <w:szCs w:val="21"/>
          <w:highlight w:val="none"/>
        </w:rPr>
        <w:t>起计算。单位工程先于全部工程进行验收，单位工程缺陷责任期自单位工程</w:t>
      </w:r>
      <w:r>
        <w:rPr>
          <w:rFonts w:hint="eastAsia" w:ascii="宋体" w:hAnsi="宋体"/>
          <w:snapToGrid w:val="0"/>
          <w:color w:val="auto"/>
          <w:kern w:val="0"/>
          <w:szCs w:val="21"/>
          <w:highlight w:val="none"/>
        </w:rPr>
        <w:t>验收合格之日</w:t>
      </w:r>
      <w:r>
        <w:rPr>
          <w:rFonts w:ascii="宋体" w:hAnsi="宋体"/>
          <w:snapToGrid w:val="0"/>
          <w:color w:val="auto"/>
          <w:kern w:val="0"/>
          <w:szCs w:val="21"/>
          <w:highlight w:val="none"/>
        </w:rPr>
        <w:t>起</w:t>
      </w:r>
      <w:r>
        <w:rPr>
          <w:rFonts w:hint="eastAsia" w:ascii="宋体" w:hAnsi="宋体"/>
          <w:snapToGrid w:val="0"/>
          <w:color w:val="auto"/>
          <w:kern w:val="0"/>
          <w:szCs w:val="21"/>
          <w:highlight w:val="none"/>
        </w:rPr>
        <w:t>计</w:t>
      </w:r>
      <w:r>
        <w:rPr>
          <w:rFonts w:ascii="宋体" w:hAnsi="宋体"/>
          <w:snapToGrid w:val="0"/>
          <w:color w:val="auto"/>
          <w:kern w:val="0"/>
          <w:szCs w:val="21"/>
          <w:highlight w:val="none"/>
        </w:rPr>
        <w:t>算。</w:t>
      </w:r>
    </w:p>
    <w:p w14:paraId="5D0DEF38">
      <w:pPr>
        <w:adjustRightInd/>
        <w:spacing w:line="288"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缺陷责任期终止后，发包人应退还剩余的质量保证金。</w:t>
      </w:r>
    </w:p>
    <w:p w14:paraId="000411F2">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四、质量保修责任</w:t>
      </w:r>
    </w:p>
    <w:p w14:paraId="63F0B742">
      <w:pPr>
        <w:adjustRightInd/>
        <w:spacing w:line="288" w:lineRule="auto"/>
        <w:ind w:left="105" w:leftChars="50" w:firstLine="430" w:firstLineChars="205"/>
        <w:rPr>
          <w:rFonts w:ascii="宋体" w:hAnsi="宋体"/>
          <w:snapToGrid w:val="0"/>
          <w:color w:val="auto"/>
          <w:kern w:val="0"/>
          <w:szCs w:val="21"/>
          <w:highlight w:val="none"/>
        </w:rPr>
      </w:pPr>
      <w:r>
        <w:rPr>
          <w:rFonts w:hint="eastAsia" w:ascii="宋体" w:hAnsi="宋体"/>
          <w:snapToGrid w:val="0"/>
          <w:color w:val="auto"/>
          <w:kern w:val="0"/>
          <w:szCs w:val="21"/>
          <w:highlight w:val="none"/>
        </w:rPr>
        <w:t>1．</w:t>
      </w:r>
      <w:r>
        <w:rPr>
          <w:rFonts w:ascii="宋体" w:hAnsi="宋体"/>
          <w:snapToGrid w:val="0"/>
          <w:color w:val="auto"/>
          <w:kern w:val="0"/>
          <w:szCs w:val="21"/>
          <w:highlight w:val="none"/>
        </w:rPr>
        <w:t>属于保修范围、内容的项目，承包人应当在接到保修通知之日起7天内派人保修。承包人不在约定期限内派人保修的，发包人可以委托他人修理。</w:t>
      </w:r>
    </w:p>
    <w:p w14:paraId="57358234">
      <w:pPr>
        <w:adjustRightInd/>
        <w:spacing w:line="300" w:lineRule="auto"/>
        <w:ind w:left="105" w:leftChars="50" w:firstLine="430" w:firstLineChars="205"/>
        <w:rPr>
          <w:rFonts w:ascii="宋体" w:hAnsi="宋体"/>
          <w:snapToGrid w:val="0"/>
          <w:color w:val="auto"/>
          <w:kern w:val="0"/>
          <w:szCs w:val="21"/>
          <w:highlight w:val="none"/>
        </w:rPr>
      </w:pPr>
      <w:r>
        <w:rPr>
          <w:rFonts w:hint="eastAsia" w:ascii="宋体" w:hAnsi="宋体"/>
          <w:snapToGrid w:val="0"/>
          <w:color w:val="auto"/>
          <w:kern w:val="0"/>
          <w:szCs w:val="21"/>
          <w:highlight w:val="none"/>
        </w:rPr>
        <w:t>2．</w:t>
      </w:r>
      <w:r>
        <w:rPr>
          <w:rFonts w:ascii="宋体" w:hAnsi="宋体"/>
          <w:snapToGrid w:val="0"/>
          <w:color w:val="auto"/>
          <w:kern w:val="0"/>
          <w:szCs w:val="21"/>
          <w:highlight w:val="none"/>
        </w:rPr>
        <w:t>发生紧急事故需抢修的，承包人在接到事故通知后，应当立即到达事故现场抢修。</w:t>
      </w:r>
    </w:p>
    <w:p w14:paraId="06867D9D">
      <w:pPr>
        <w:adjustRightInd/>
        <w:spacing w:line="300" w:lineRule="auto"/>
        <w:ind w:left="105" w:leftChars="50" w:firstLine="430" w:firstLineChars="205"/>
        <w:rPr>
          <w:rFonts w:ascii="宋体" w:hAnsi="宋体"/>
          <w:snapToGrid w:val="0"/>
          <w:color w:val="auto"/>
          <w:kern w:val="0"/>
          <w:szCs w:val="21"/>
          <w:highlight w:val="none"/>
        </w:rPr>
      </w:pPr>
      <w:r>
        <w:rPr>
          <w:rFonts w:hint="eastAsia" w:ascii="宋体" w:hAnsi="宋体"/>
          <w:snapToGrid w:val="0"/>
          <w:color w:val="auto"/>
          <w:kern w:val="0"/>
          <w:szCs w:val="21"/>
          <w:highlight w:val="none"/>
        </w:rPr>
        <w:t>3．</w:t>
      </w:r>
      <w:r>
        <w:rPr>
          <w:rFonts w:ascii="宋体" w:hAnsi="宋体"/>
          <w:snapToGrid w:val="0"/>
          <w:color w:val="auto"/>
          <w:kern w:val="0"/>
          <w:szCs w:val="21"/>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7BA8F041">
      <w:pPr>
        <w:adjustRightInd/>
        <w:spacing w:line="300" w:lineRule="auto"/>
        <w:ind w:left="420" w:leftChars="200" w:firstLine="105" w:firstLineChars="50"/>
        <w:rPr>
          <w:rFonts w:ascii="宋体" w:hAnsi="宋体"/>
          <w:snapToGrid w:val="0"/>
          <w:color w:val="auto"/>
          <w:kern w:val="0"/>
          <w:szCs w:val="21"/>
          <w:highlight w:val="none"/>
        </w:rPr>
      </w:pPr>
      <w:r>
        <w:rPr>
          <w:rFonts w:hint="eastAsia" w:ascii="宋体" w:hAnsi="宋体"/>
          <w:snapToGrid w:val="0"/>
          <w:color w:val="auto"/>
          <w:kern w:val="0"/>
          <w:szCs w:val="21"/>
          <w:highlight w:val="none"/>
        </w:rPr>
        <w:t>4．</w:t>
      </w:r>
      <w:r>
        <w:rPr>
          <w:rFonts w:ascii="宋体" w:hAnsi="宋体"/>
          <w:snapToGrid w:val="0"/>
          <w:color w:val="auto"/>
          <w:kern w:val="0"/>
          <w:szCs w:val="21"/>
          <w:highlight w:val="none"/>
        </w:rPr>
        <w:t>质量保修完成后，由发包人组织验收。</w:t>
      </w:r>
    </w:p>
    <w:p w14:paraId="3290B8F3">
      <w:pPr>
        <w:adjustRightInd/>
        <w:spacing w:line="300" w:lineRule="auto"/>
        <w:rPr>
          <w:rFonts w:ascii="宋体" w:hAnsi="宋体"/>
          <w:snapToGrid w:val="0"/>
          <w:color w:val="auto"/>
          <w:kern w:val="0"/>
          <w:szCs w:val="21"/>
          <w:highlight w:val="none"/>
        </w:rPr>
      </w:pPr>
      <w:r>
        <w:rPr>
          <w:rFonts w:ascii="宋体" w:hAnsi="宋体"/>
          <w:snapToGrid w:val="0"/>
          <w:color w:val="auto"/>
          <w:kern w:val="0"/>
          <w:szCs w:val="21"/>
          <w:highlight w:val="none"/>
        </w:rPr>
        <w:t>五、保修费用</w:t>
      </w:r>
    </w:p>
    <w:p w14:paraId="30BA6FBF">
      <w:pPr>
        <w:adjustRightInd/>
        <w:spacing w:line="300" w:lineRule="auto"/>
        <w:ind w:firstLine="480"/>
        <w:rPr>
          <w:rFonts w:ascii="宋体" w:hAnsi="宋体"/>
          <w:snapToGrid w:val="0"/>
          <w:color w:val="auto"/>
          <w:kern w:val="0"/>
          <w:szCs w:val="21"/>
          <w:highlight w:val="none"/>
        </w:rPr>
      </w:pPr>
      <w:r>
        <w:rPr>
          <w:rFonts w:ascii="宋体" w:hAnsi="宋体"/>
          <w:snapToGrid w:val="0"/>
          <w:color w:val="auto"/>
          <w:kern w:val="0"/>
          <w:szCs w:val="21"/>
          <w:highlight w:val="none"/>
        </w:rPr>
        <w:t>保修费用由造成质量缺陷的责任方承担。</w:t>
      </w:r>
    </w:p>
    <w:p w14:paraId="1CDC29F0">
      <w:pPr>
        <w:adjustRightInd/>
        <w:spacing w:line="360" w:lineRule="auto"/>
        <w:ind w:firstLine="600"/>
        <w:jc w:val="left"/>
        <w:rPr>
          <w:rFonts w:ascii="宋体" w:hAnsi="宋体"/>
          <w:snapToGrid w:val="0"/>
          <w:color w:val="auto"/>
          <w:kern w:val="0"/>
          <w:szCs w:val="21"/>
          <w:highlight w:val="none"/>
          <w:u w:val="single"/>
        </w:rPr>
      </w:pPr>
      <w:r>
        <w:rPr>
          <w:rFonts w:ascii="宋体" w:hAnsi="宋体"/>
          <w:b/>
          <w:snapToGrid w:val="0"/>
          <w:color w:val="auto"/>
          <w:kern w:val="0"/>
          <w:szCs w:val="21"/>
          <w:highlight w:val="none"/>
        </w:rPr>
        <w:t>六</w:t>
      </w:r>
      <w:r>
        <w:rPr>
          <w:rFonts w:ascii="宋体" w:hAnsi="宋体"/>
          <w:snapToGrid w:val="0"/>
          <w:color w:val="auto"/>
          <w:kern w:val="0"/>
          <w:szCs w:val="21"/>
          <w:highlight w:val="none"/>
        </w:rPr>
        <w:t>、双方约定的其他工程质量保修事项：</w:t>
      </w:r>
      <w:r>
        <w:rPr>
          <w:rFonts w:hint="eastAsia" w:ascii="宋体" w:hAnsi="宋体"/>
          <w:snapToGrid w:val="0"/>
          <w:color w:val="auto"/>
          <w:kern w:val="0"/>
          <w:szCs w:val="21"/>
          <w:highlight w:val="none"/>
          <w:u w:val="single"/>
          <w:lang w:val="en-US" w:eastAsia="zh-CN"/>
        </w:rPr>
        <w:t xml:space="preserve">                                         </w:t>
      </w:r>
      <w:r>
        <w:rPr>
          <w:rFonts w:hint="eastAsia" w:ascii="宋体" w:hAnsi="宋体"/>
          <w:snapToGrid w:val="0"/>
          <w:color w:val="auto"/>
          <w:kern w:val="0"/>
          <w:szCs w:val="21"/>
          <w:highlight w:val="none"/>
          <w:u w:val="none"/>
        </w:rPr>
        <w:t>。</w:t>
      </w:r>
    </w:p>
    <w:p w14:paraId="6AEBD6A2">
      <w:pPr>
        <w:adjustRightInd/>
        <w:spacing w:line="360" w:lineRule="auto"/>
        <w:ind w:firstLine="6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u w:val="single"/>
        </w:rPr>
        <w:t>甲方在保修期内发现质量问题并通知乙方，乙方应及时派专业人员进行维修，如乙方未及时派专业人员进行维修，甲方有权请其它人进行维修，由此产生的费用将从乙方的质量保修金中予以扣除，同时乙方将承担因维修延误给甲方造成的一切损失</w:t>
      </w:r>
      <w:r>
        <w:rPr>
          <w:rFonts w:ascii="宋体" w:hAnsi="宋体"/>
          <w:snapToGrid w:val="0"/>
          <w:color w:val="auto"/>
          <w:kern w:val="0"/>
          <w:szCs w:val="21"/>
          <w:highlight w:val="none"/>
        </w:rPr>
        <w:t>。</w:t>
      </w:r>
    </w:p>
    <w:p w14:paraId="6ADAB4BC">
      <w:pPr>
        <w:adjustRightInd/>
        <w:spacing w:line="300" w:lineRule="auto"/>
        <w:ind w:firstLine="399" w:firstLineChars="190"/>
        <w:rPr>
          <w:rFonts w:ascii="宋体" w:hAnsi="宋体"/>
          <w:snapToGrid w:val="0"/>
          <w:color w:val="auto"/>
          <w:kern w:val="0"/>
          <w:szCs w:val="21"/>
          <w:highlight w:val="none"/>
        </w:rPr>
      </w:pPr>
      <w:r>
        <w:rPr>
          <w:rFonts w:ascii="宋体" w:hAnsi="宋体"/>
          <w:snapToGrid w:val="0"/>
          <w:color w:val="auto"/>
          <w:kern w:val="0"/>
          <w:szCs w:val="21"/>
          <w:highlight w:val="none"/>
        </w:rPr>
        <w:t>工程质量保修书由发包人、承包人在工程竣工验收前共同签署，作为施工合同附件，其有效期限至保修期满。</w:t>
      </w:r>
    </w:p>
    <w:p w14:paraId="066D7991">
      <w:pPr>
        <w:adjustRightInd/>
        <w:spacing w:line="300" w:lineRule="auto"/>
        <w:rPr>
          <w:rFonts w:ascii="宋体" w:hAnsi="宋体"/>
          <w:snapToGrid w:val="0"/>
          <w:color w:val="auto"/>
          <w:kern w:val="0"/>
          <w:szCs w:val="21"/>
          <w:highlight w:val="none"/>
        </w:rPr>
      </w:pPr>
    </w:p>
    <w:p w14:paraId="45D0321A">
      <w:pPr>
        <w:adjustRightInd/>
        <w:spacing w:line="300" w:lineRule="auto"/>
        <w:rPr>
          <w:rFonts w:ascii="宋体" w:hAnsi="宋体"/>
          <w:snapToGrid w:val="0"/>
          <w:color w:val="auto"/>
          <w:kern w:val="0"/>
          <w:szCs w:val="21"/>
          <w:highlight w:val="none"/>
        </w:rPr>
      </w:pPr>
    </w:p>
    <w:p w14:paraId="178CBF34">
      <w:pPr>
        <w:adjustRightInd/>
        <w:spacing w:line="360" w:lineRule="auto"/>
        <w:rPr>
          <w:rFonts w:ascii="宋体" w:hAnsi="宋体"/>
          <w:snapToGrid w:val="0"/>
          <w:color w:val="auto"/>
          <w:kern w:val="0"/>
          <w:szCs w:val="21"/>
          <w:highlight w:val="none"/>
        </w:rPr>
      </w:pPr>
      <w:r>
        <w:rPr>
          <w:rFonts w:ascii="宋体" w:hAnsi="宋体"/>
          <w:snapToGrid w:val="0"/>
          <w:color w:val="auto"/>
          <w:kern w:val="0"/>
          <w:szCs w:val="21"/>
          <w:highlight w:val="none"/>
        </w:rPr>
        <w:t>发包人(公章)：</w:t>
      </w:r>
      <w:r>
        <w:rPr>
          <w:rFonts w:ascii="宋体" w:hAnsi="宋体"/>
          <w:snapToGrid w:val="0"/>
          <w:color w:val="auto"/>
          <w:kern w:val="0"/>
          <w:szCs w:val="21"/>
          <w:highlight w:val="none"/>
          <w:u w:val="single"/>
        </w:rPr>
        <w:t xml:space="preserve"> </w:t>
      </w:r>
      <w:bookmarkStart w:id="1000" w:name="SOA_zyht_fb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bookmarkEnd w:id="1000"/>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 xml:space="preserve">                   </w:t>
      </w:r>
      <w:r>
        <w:rPr>
          <w:rFonts w:ascii="宋体" w:hAnsi="宋体"/>
          <w:snapToGrid w:val="0"/>
          <w:color w:val="auto"/>
          <w:kern w:val="0"/>
          <w:szCs w:val="21"/>
          <w:highlight w:val="none"/>
        </w:rPr>
        <w:t>承包人(公章)：</w:t>
      </w:r>
      <w:r>
        <w:rPr>
          <w:rFonts w:ascii="宋体" w:hAnsi="宋体"/>
          <w:snapToGrid w:val="0"/>
          <w:color w:val="auto"/>
          <w:kern w:val="0"/>
          <w:szCs w:val="21"/>
          <w:highlight w:val="none"/>
          <w:u w:val="single"/>
        </w:rPr>
        <w:t></w:t>
      </w:r>
      <w:bookmarkStart w:id="1001" w:name="SOA_zyht_cb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bookmarkEnd w:id="1001"/>
      <w:r>
        <w:rPr>
          <w:rFonts w:hint="eastAsia" w:ascii="宋体" w:hAnsi="宋体"/>
          <w:snapToGrid w:val="0"/>
          <w:color w:val="auto"/>
          <w:kern w:val="0"/>
          <w:szCs w:val="21"/>
          <w:highlight w:val="none"/>
          <w:u w:val="single"/>
        </w:rPr>
        <w:t xml:space="preserve">  </w:t>
      </w:r>
    </w:p>
    <w:p w14:paraId="3C1CF022">
      <w:pPr>
        <w:adjustRightInd/>
        <w:spacing w:line="360" w:lineRule="auto"/>
        <w:rPr>
          <w:rFonts w:ascii="宋体" w:hAnsi="宋体"/>
          <w:snapToGrid w:val="0"/>
          <w:color w:val="auto"/>
          <w:kern w:val="0"/>
          <w:szCs w:val="21"/>
          <w:highlight w:val="none"/>
        </w:rPr>
      </w:pPr>
      <w:r>
        <w:rPr>
          <w:rFonts w:ascii="宋体" w:hAnsi="宋体"/>
          <w:snapToGrid w:val="0"/>
          <w:color w:val="auto"/>
          <w:kern w:val="0"/>
          <w:szCs w:val="21"/>
          <w:highlight w:val="none"/>
        </w:rPr>
        <w:t>地  址：</w:t>
      </w:r>
      <w:r>
        <w:rPr>
          <w:rFonts w:ascii="宋体" w:hAnsi="宋体"/>
          <w:snapToGrid w:val="0"/>
          <w:color w:val="auto"/>
          <w:kern w:val="0"/>
          <w:szCs w:val="21"/>
          <w:highlight w:val="none"/>
          <w:u w:val="single"/>
        </w:rPr>
        <w:t xml:space="preserve"> </w:t>
      </w:r>
      <w:bookmarkStart w:id="1002" w:name="SOA_zyht_fbrdz"/>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bookmarkEnd w:id="1002"/>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 xml:space="preserve">                   </w:t>
      </w:r>
      <w:r>
        <w:rPr>
          <w:rFonts w:ascii="宋体" w:hAnsi="宋体"/>
          <w:snapToGrid w:val="0"/>
          <w:color w:val="auto"/>
          <w:kern w:val="0"/>
          <w:szCs w:val="21"/>
          <w:highlight w:val="none"/>
        </w:rPr>
        <w:t>地  址：</w:t>
      </w:r>
      <w:r>
        <w:rPr>
          <w:rFonts w:ascii="宋体" w:hAnsi="宋体"/>
          <w:snapToGrid w:val="0"/>
          <w:color w:val="auto"/>
          <w:kern w:val="0"/>
          <w:szCs w:val="21"/>
          <w:highlight w:val="none"/>
          <w:u w:val="single"/>
        </w:rPr>
        <w:t></w:t>
      </w:r>
      <w:bookmarkStart w:id="1003" w:name="SOA_zyht_cbrdz"/>
      <w:r>
        <w:rPr>
          <w:rFonts w:ascii="宋体" w:hAnsi="宋体"/>
          <w:snapToGrid w:val="0"/>
          <w:color w:val="auto"/>
          <w:kern w:val="0"/>
          <w:szCs w:val="21"/>
          <w:highlight w:val="none"/>
          <w:u w:val="single"/>
        </w:rPr>
        <w:t xml:space="preserve">      </w:t>
      </w:r>
      <w:bookmarkEnd w:id="1003"/>
      <w:r>
        <w:rPr>
          <w:rFonts w:ascii="宋体" w:hAnsi="宋体"/>
          <w:snapToGrid w:val="0"/>
          <w:color w:val="auto"/>
          <w:kern w:val="0"/>
          <w:szCs w:val="21"/>
          <w:highlight w:val="none"/>
          <w:u w:val="single"/>
        </w:rPr>
        <w:t></w:t>
      </w:r>
    </w:p>
    <w:p w14:paraId="202C58A2">
      <w:pPr>
        <w:adjustRightInd/>
        <w:spacing w:line="360" w:lineRule="auto"/>
        <w:rPr>
          <w:rFonts w:ascii="宋体" w:hAnsi="宋体"/>
          <w:snapToGrid w:val="0"/>
          <w:color w:val="auto"/>
          <w:kern w:val="0"/>
          <w:szCs w:val="21"/>
          <w:highlight w:val="none"/>
        </w:rPr>
      </w:pPr>
      <w:r>
        <w:rPr>
          <w:rFonts w:ascii="宋体" w:hAnsi="宋体"/>
          <w:snapToGrid w:val="0"/>
          <w:color w:val="auto"/>
          <w:kern w:val="0"/>
          <w:szCs w:val="21"/>
          <w:highlight w:val="none"/>
        </w:rPr>
        <w:t>法定代表人(签字)：</w:t>
      </w:r>
      <w:bookmarkStart w:id="1004" w:name="SOA_zyht_fddbr1"/>
      <w:r>
        <w:rPr>
          <w:rFonts w:ascii="宋体" w:hAnsi="宋体"/>
          <w:snapToGrid w:val="0"/>
          <w:color w:val="auto"/>
          <w:kern w:val="0"/>
          <w:szCs w:val="21"/>
          <w:highlight w:val="none"/>
          <w:u w:val="single"/>
        </w:rPr>
        <w:t xml:space="preserve">      </w:t>
      </w:r>
      <w:bookmarkEnd w:id="1004"/>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 xml:space="preserve">                   </w:t>
      </w:r>
      <w:r>
        <w:rPr>
          <w:rFonts w:ascii="宋体" w:hAnsi="宋体"/>
          <w:snapToGrid w:val="0"/>
          <w:color w:val="auto"/>
          <w:kern w:val="0"/>
          <w:szCs w:val="21"/>
          <w:highlight w:val="none"/>
        </w:rPr>
        <w:t>法定代表人(签字)：</w:t>
      </w:r>
      <w:bookmarkStart w:id="1005" w:name="SOA_zyht_fddbr2"/>
      <w:r>
        <w:rPr>
          <w:rFonts w:ascii="宋体" w:hAnsi="宋体"/>
          <w:snapToGrid w:val="0"/>
          <w:color w:val="auto"/>
          <w:kern w:val="0"/>
          <w:szCs w:val="21"/>
          <w:highlight w:val="none"/>
          <w:u w:val="single"/>
        </w:rPr>
        <w:t xml:space="preserve">      </w:t>
      </w:r>
      <w:bookmarkEnd w:id="1005"/>
      <w:r>
        <w:rPr>
          <w:rFonts w:hint="eastAsia" w:ascii="宋体" w:hAnsi="宋体"/>
          <w:snapToGrid w:val="0"/>
          <w:color w:val="auto"/>
          <w:kern w:val="0"/>
          <w:szCs w:val="21"/>
          <w:highlight w:val="none"/>
          <w:u w:val="single"/>
        </w:rPr>
        <w:t xml:space="preserve">  </w:t>
      </w:r>
    </w:p>
    <w:p w14:paraId="12A2279C">
      <w:pPr>
        <w:adjustRightInd/>
        <w:spacing w:line="360" w:lineRule="auto"/>
        <w:rPr>
          <w:rFonts w:ascii="宋体" w:hAnsi="宋体"/>
          <w:snapToGrid w:val="0"/>
          <w:color w:val="auto"/>
          <w:kern w:val="0"/>
          <w:szCs w:val="21"/>
          <w:highlight w:val="none"/>
        </w:rPr>
      </w:pPr>
      <w:r>
        <w:rPr>
          <w:rFonts w:ascii="宋体" w:hAnsi="宋体"/>
          <w:snapToGrid w:val="0"/>
          <w:color w:val="auto"/>
          <w:kern w:val="0"/>
          <w:szCs w:val="21"/>
          <w:highlight w:val="none"/>
        </w:rPr>
        <w:t>委托代理人(签字)：</w:t>
      </w:r>
      <w:bookmarkStart w:id="1006" w:name="SOA_zyht_wtdlr1"/>
      <w:r>
        <w:rPr>
          <w:rFonts w:ascii="宋体" w:hAnsi="宋体"/>
          <w:snapToGrid w:val="0"/>
          <w:color w:val="auto"/>
          <w:kern w:val="0"/>
          <w:szCs w:val="21"/>
          <w:highlight w:val="none"/>
          <w:u w:val="single"/>
        </w:rPr>
        <w:t xml:space="preserve">      </w:t>
      </w:r>
      <w:bookmarkEnd w:id="1006"/>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 xml:space="preserve">                   </w:t>
      </w:r>
      <w:r>
        <w:rPr>
          <w:rFonts w:ascii="宋体" w:hAnsi="宋体"/>
          <w:snapToGrid w:val="0"/>
          <w:color w:val="auto"/>
          <w:kern w:val="0"/>
          <w:szCs w:val="21"/>
          <w:highlight w:val="none"/>
        </w:rPr>
        <w:t>委托代理人(签字)：</w:t>
      </w:r>
      <w:bookmarkStart w:id="1007" w:name="SOA_zyht_wtdlr2"/>
      <w:r>
        <w:rPr>
          <w:rFonts w:ascii="宋体" w:hAnsi="宋体"/>
          <w:snapToGrid w:val="0"/>
          <w:color w:val="auto"/>
          <w:kern w:val="0"/>
          <w:szCs w:val="21"/>
          <w:highlight w:val="none"/>
          <w:u w:val="single"/>
        </w:rPr>
        <w:t xml:space="preserve">      </w:t>
      </w:r>
      <w:bookmarkEnd w:id="1007"/>
      <w:r>
        <w:rPr>
          <w:rFonts w:hint="eastAsia" w:ascii="宋体" w:hAnsi="宋体"/>
          <w:snapToGrid w:val="0"/>
          <w:color w:val="auto"/>
          <w:kern w:val="0"/>
          <w:szCs w:val="21"/>
          <w:highlight w:val="none"/>
          <w:u w:val="single"/>
        </w:rPr>
        <w:t xml:space="preserve">  </w:t>
      </w:r>
    </w:p>
    <w:p w14:paraId="5046640A">
      <w:pPr>
        <w:adjustRightInd/>
        <w:spacing w:line="360" w:lineRule="auto"/>
        <w:rPr>
          <w:rFonts w:ascii="宋体" w:hAnsi="宋体"/>
          <w:snapToGrid w:val="0"/>
          <w:color w:val="auto"/>
          <w:kern w:val="0"/>
          <w:szCs w:val="21"/>
          <w:highlight w:val="none"/>
        </w:rPr>
      </w:pPr>
      <w:r>
        <w:rPr>
          <w:rFonts w:ascii="宋体" w:hAnsi="宋体"/>
          <w:snapToGrid w:val="0"/>
          <w:color w:val="auto"/>
          <w:kern w:val="0"/>
          <w:szCs w:val="21"/>
          <w:highlight w:val="none"/>
        </w:rPr>
        <w:t>电  话：</w:t>
      </w:r>
      <w:r>
        <w:rPr>
          <w:rFonts w:ascii="宋体" w:hAnsi="宋体"/>
          <w:snapToGrid w:val="0"/>
          <w:color w:val="auto"/>
          <w:kern w:val="0"/>
          <w:szCs w:val="21"/>
          <w:highlight w:val="none"/>
          <w:u w:val="single"/>
        </w:rPr>
        <w:t></w:t>
      </w:r>
      <w:bookmarkStart w:id="1008" w:name="SOA_zyht_fbrdh1"/>
      <w:r>
        <w:rPr>
          <w:rFonts w:ascii="宋体" w:hAnsi="宋体"/>
          <w:snapToGrid w:val="0"/>
          <w:color w:val="auto"/>
          <w:kern w:val="0"/>
          <w:szCs w:val="21"/>
          <w:highlight w:val="none"/>
          <w:u w:val="single"/>
        </w:rPr>
        <w:t xml:space="preserve">      </w:t>
      </w:r>
      <w:bookmarkEnd w:id="1008"/>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 xml:space="preserve">                   </w:t>
      </w:r>
      <w:r>
        <w:rPr>
          <w:rFonts w:ascii="宋体" w:hAnsi="宋体"/>
          <w:snapToGrid w:val="0"/>
          <w:color w:val="auto"/>
          <w:kern w:val="0"/>
          <w:szCs w:val="21"/>
          <w:highlight w:val="none"/>
        </w:rPr>
        <w:t>电  话：</w:t>
      </w:r>
      <w:r>
        <w:rPr>
          <w:rFonts w:ascii="宋体" w:hAnsi="宋体"/>
          <w:snapToGrid w:val="0"/>
          <w:color w:val="auto"/>
          <w:kern w:val="0"/>
          <w:szCs w:val="21"/>
          <w:highlight w:val="none"/>
          <w:u w:val="single"/>
        </w:rPr>
        <w:t></w:t>
      </w:r>
      <w:bookmarkStart w:id="1009" w:name="SOA_zyht_cbrdh"/>
      <w:r>
        <w:rPr>
          <w:rFonts w:ascii="宋体" w:hAnsi="宋体"/>
          <w:snapToGrid w:val="0"/>
          <w:color w:val="auto"/>
          <w:kern w:val="0"/>
          <w:szCs w:val="21"/>
          <w:highlight w:val="none"/>
          <w:u w:val="single"/>
        </w:rPr>
        <w:t xml:space="preserve">      </w:t>
      </w:r>
      <w:bookmarkEnd w:id="1009"/>
      <w:r>
        <w:rPr>
          <w:rFonts w:ascii="宋体" w:hAnsi="宋体"/>
          <w:snapToGrid w:val="0"/>
          <w:color w:val="auto"/>
          <w:kern w:val="0"/>
          <w:szCs w:val="21"/>
          <w:highlight w:val="none"/>
          <w:u w:val="single"/>
        </w:rPr>
        <w:t xml:space="preserve"> </w:t>
      </w:r>
    </w:p>
    <w:p w14:paraId="11391DE6">
      <w:pPr>
        <w:adjustRightInd/>
        <w:spacing w:line="360" w:lineRule="auto"/>
        <w:rPr>
          <w:rFonts w:ascii="宋体" w:hAnsi="宋体"/>
          <w:snapToGrid w:val="0"/>
          <w:color w:val="auto"/>
          <w:kern w:val="0"/>
          <w:szCs w:val="21"/>
          <w:highlight w:val="none"/>
        </w:rPr>
      </w:pPr>
      <w:r>
        <w:rPr>
          <w:rFonts w:ascii="宋体" w:hAnsi="宋体"/>
          <w:snapToGrid w:val="0"/>
          <w:color w:val="auto"/>
          <w:kern w:val="0"/>
          <w:szCs w:val="21"/>
          <w:highlight w:val="none"/>
        </w:rPr>
        <w:t>传  真：</w:t>
      </w:r>
      <w:r>
        <w:rPr>
          <w:rFonts w:hint="eastAsia" w:ascii="宋体" w:hAnsi="宋体"/>
          <w:snapToGrid w:val="0"/>
          <w:color w:val="auto"/>
          <w:kern w:val="0"/>
          <w:szCs w:val="21"/>
          <w:highlight w:val="none"/>
          <w:u w:val="single"/>
        </w:rPr>
        <w:t xml:space="preserve">  </w:t>
      </w:r>
      <w:bookmarkStart w:id="1010" w:name="SOA_zyht_fbrcz"/>
      <w:r>
        <w:rPr>
          <w:rFonts w:ascii="宋体" w:hAnsi="宋体"/>
          <w:snapToGrid w:val="0"/>
          <w:color w:val="auto"/>
          <w:kern w:val="0"/>
          <w:szCs w:val="21"/>
          <w:highlight w:val="none"/>
          <w:u w:val="single"/>
        </w:rPr>
        <w:t xml:space="preserve">      </w:t>
      </w:r>
      <w:bookmarkEnd w:id="1010"/>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 xml:space="preserve">                   </w:t>
      </w:r>
      <w:r>
        <w:rPr>
          <w:rFonts w:ascii="宋体" w:hAnsi="宋体"/>
          <w:snapToGrid w:val="0"/>
          <w:color w:val="auto"/>
          <w:kern w:val="0"/>
          <w:szCs w:val="21"/>
          <w:highlight w:val="none"/>
        </w:rPr>
        <w:t>传  真：</w:t>
      </w:r>
      <w:r>
        <w:rPr>
          <w:rFonts w:ascii="宋体" w:hAnsi="宋体"/>
          <w:snapToGrid w:val="0"/>
          <w:color w:val="auto"/>
          <w:kern w:val="0"/>
          <w:szCs w:val="21"/>
          <w:highlight w:val="none"/>
          <w:u w:val="single"/>
        </w:rPr>
        <w:t></w:t>
      </w:r>
      <w:bookmarkStart w:id="1011" w:name="SOA_zyht_cbrcz"/>
      <w:r>
        <w:rPr>
          <w:rFonts w:ascii="宋体" w:hAnsi="宋体"/>
          <w:snapToGrid w:val="0"/>
          <w:color w:val="auto"/>
          <w:kern w:val="0"/>
          <w:szCs w:val="21"/>
          <w:highlight w:val="none"/>
          <w:u w:val="single"/>
        </w:rPr>
        <w:t xml:space="preserve">      </w:t>
      </w:r>
      <w:bookmarkEnd w:id="1011"/>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u w:val="single"/>
        </w:rPr>
        <w:t xml:space="preserve"> </w:t>
      </w:r>
    </w:p>
    <w:p w14:paraId="3EFBE24F">
      <w:pPr>
        <w:adjustRightInd/>
        <w:spacing w:line="360" w:lineRule="auto"/>
        <w:rPr>
          <w:rFonts w:ascii="宋体" w:hAnsi="宋体"/>
          <w:snapToGrid w:val="0"/>
          <w:color w:val="auto"/>
          <w:kern w:val="0"/>
          <w:szCs w:val="21"/>
          <w:highlight w:val="none"/>
        </w:rPr>
      </w:pPr>
      <w:r>
        <w:rPr>
          <w:rFonts w:ascii="宋体" w:hAnsi="宋体"/>
          <w:snapToGrid w:val="0"/>
          <w:color w:val="auto"/>
          <w:kern w:val="0"/>
          <w:szCs w:val="21"/>
          <w:highlight w:val="none"/>
        </w:rPr>
        <w:t>开户银行：</w:t>
      </w:r>
      <w:bookmarkStart w:id="1012" w:name="SOA_zyht_fbrkhyh"/>
      <w:r>
        <w:rPr>
          <w:rFonts w:ascii="宋体" w:hAnsi="宋体"/>
          <w:snapToGrid w:val="0"/>
          <w:color w:val="auto"/>
          <w:kern w:val="0"/>
          <w:szCs w:val="21"/>
          <w:highlight w:val="none"/>
          <w:u w:val="single"/>
        </w:rPr>
        <w:t xml:space="preserve">      </w:t>
      </w:r>
      <w:bookmarkEnd w:id="1012"/>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 xml:space="preserve">                   </w:t>
      </w:r>
      <w:r>
        <w:rPr>
          <w:rFonts w:ascii="宋体" w:hAnsi="宋体"/>
          <w:snapToGrid w:val="0"/>
          <w:color w:val="auto"/>
          <w:kern w:val="0"/>
          <w:szCs w:val="21"/>
          <w:highlight w:val="none"/>
        </w:rPr>
        <w:t>开户银行：</w:t>
      </w:r>
      <w:bookmarkStart w:id="1013" w:name="SOA_zyht_cbrkhyh"/>
      <w:r>
        <w:rPr>
          <w:rFonts w:ascii="宋体" w:hAnsi="宋体"/>
          <w:snapToGrid w:val="0"/>
          <w:color w:val="auto"/>
          <w:kern w:val="0"/>
          <w:szCs w:val="21"/>
          <w:highlight w:val="none"/>
          <w:u w:val="single"/>
        </w:rPr>
        <w:t xml:space="preserve">      </w:t>
      </w:r>
      <w:bookmarkEnd w:id="1013"/>
      <w:r>
        <w:rPr>
          <w:rFonts w:hint="eastAsia" w:ascii="宋体" w:hAnsi="宋体"/>
          <w:snapToGrid w:val="0"/>
          <w:color w:val="auto"/>
          <w:kern w:val="0"/>
          <w:szCs w:val="21"/>
          <w:highlight w:val="none"/>
          <w:u w:val="single"/>
        </w:rPr>
        <w:t xml:space="preserve">  </w:t>
      </w:r>
    </w:p>
    <w:p w14:paraId="39E908FD">
      <w:pPr>
        <w:adjustRightInd/>
        <w:spacing w:line="360" w:lineRule="auto"/>
        <w:rPr>
          <w:rFonts w:ascii="宋体" w:hAnsi="宋体"/>
          <w:snapToGrid w:val="0"/>
          <w:color w:val="auto"/>
          <w:kern w:val="0"/>
          <w:szCs w:val="21"/>
          <w:highlight w:val="none"/>
        </w:rPr>
      </w:pPr>
      <w:r>
        <w:rPr>
          <w:rFonts w:ascii="宋体" w:hAnsi="宋体"/>
          <w:snapToGrid w:val="0"/>
          <w:color w:val="auto"/>
          <w:kern w:val="0"/>
          <w:szCs w:val="21"/>
          <w:highlight w:val="none"/>
        </w:rPr>
        <w:t>账  号：</w:t>
      </w:r>
      <w:r>
        <w:rPr>
          <w:rFonts w:ascii="宋体" w:hAnsi="宋体"/>
          <w:snapToGrid w:val="0"/>
          <w:color w:val="auto"/>
          <w:kern w:val="0"/>
          <w:szCs w:val="21"/>
          <w:highlight w:val="none"/>
          <w:u w:val="single"/>
        </w:rPr>
        <w:t></w:t>
      </w:r>
      <w:bookmarkStart w:id="1014" w:name="SOA_zyht_fbrzh"/>
      <w:r>
        <w:rPr>
          <w:rFonts w:ascii="宋体" w:hAnsi="宋体"/>
          <w:snapToGrid w:val="0"/>
          <w:color w:val="auto"/>
          <w:kern w:val="0"/>
          <w:szCs w:val="21"/>
          <w:highlight w:val="none"/>
          <w:u w:val="single"/>
        </w:rPr>
        <w:t xml:space="preserve">      </w:t>
      </w:r>
      <w:bookmarkEnd w:id="1014"/>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 xml:space="preserve">                   </w:t>
      </w:r>
      <w:r>
        <w:rPr>
          <w:rFonts w:ascii="宋体" w:hAnsi="宋体"/>
          <w:snapToGrid w:val="0"/>
          <w:color w:val="auto"/>
          <w:kern w:val="0"/>
          <w:szCs w:val="21"/>
          <w:highlight w:val="none"/>
        </w:rPr>
        <w:t>账</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 xml:space="preserve"> 号：</w:t>
      </w:r>
      <w:r>
        <w:rPr>
          <w:rFonts w:ascii="宋体" w:hAnsi="宋体"/>
          <w:snapToGrid w:val="0"/>
          <w:color w:val="auto"/>
          <w:kern w:val="0"/>
          <w:szCs w:val="21"/>
          <w:highlight w:val="none"/>
          <w:u w:val="single"/>
        </w:rPr>
        <w:t></w:t>
      </w:r>
      <w:bookmarkStart w:id="1015" w:name="SOA_zyht_cbrzh"/>
      <w:r>
        <w:rPr>
          <w:rFonts w:ascii="宋体" w:hAnsi="宋体"/>
          <w:snapToGrid w:val="0"/>
          <w:color w:val="auto"/>
          <w:kern w:val="0"/>
          <w:szCs w:val="21"/>
          <w:highlight w:val="none"/>
          <w:u w:val="single"/>
        </w:rPr>
        <w:t xml:space="preserve">      </w:t>
      </w:r>
      <w:bookmarkEnd w:id="1015"/>
      <w:r>
        <w:rPr>
          <w:rFonts w:hint="eastAsia" w:ascii="宋体" w:hAnsi="宋体"/>
          <w:snapToGrid w:val="0"/>
          <w:color w:val="auto"/>
          <w:kern w:val="0"/>
          <w:szCs w:val="21"/>
          <w:highlight w:val="none"/>
          <w:u w:val="single"/>
        </w:rPr>
        <w:t xml:space="preserve">  </w:t>
      </w:r>
    </w:p>
    <w:p w14:paraId="1A8F8F69">
      <w:pPr>
        <w:adjustRightInd/>
        <w:spacing w:line="360" w:lineRule="auto"/>
        <w:rPr>
          <w:rFonts w:ascii="宋体" w:hAnsi="宋体"/>
          <w:snapToGrid w:val="0"/>
          <w:color w:val="auto"/>
          <w:kern w:val="0"/>
          <w:szCs w:val="21"/>
          <w:highlight w:val="none"/>
        </w:rPr>
      </w:pPr>
      <w:r>
        <w:rPr>
          <w:rFonts w:ascii="宋体" w:hAnsi="宋体"/>
          <w:snapToGrid w:val="0"/>
          <w:color w:val="auto"/>
          <w:kern w:val="0"/>
          <w:szCs w:val="21"/>
          <w:highlight w:val="none"/>
        </w:rPr>
        <w:t>邮政编码：</w:t>
      </w:r>
      <w:r>
        <w:rPr>
          <w:rFonts w:ascii="宋体" w:hAnsi="宋体"/>
          <w:snapToGrid w:val="0"/>
          <w:color w:val="auto"/>
          <w:kern w:val="0"/>
          <w:szCs w:val="21"/>
          <w:highlight w:val="none"/>
          <w:u w:val="single"/>
        </w:rPr>
        <w:t xml:space="preserve"> </w:t>
      </w:r>
      <w:bookmarkStart w:id="1016" w:name="SOA_zyht_fbryb"/>
      <w:r>
        <w:rPr>
          <w:rFonts w:ascii="宋体" w:hAnsi="宋体"/>
          <w:snapToGrid w:val="0"/>
          <w:color w:val="auto"/>
          <w:kern w:val="0"/>
          <w:szCs w:val="21"/>
          <w:highlight w:val="none"/>
          <w:u w:val="single"/>
        </w:rPr>
        <w:t xml:space="preserve">      </w:t>
      </w:r>
      <w:bookmarkEnd w:id="1016"/>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 xml:space="preserve">                   </w:t>
      </w:r>
      <w:r>
        <w:rPr>
          <w:rFonts w:ascii="宋体" w:hAnsi="宋体"/>
          <w:snapToGrid w:val="0"/>
          <w:color w:val="auto"/>
          <w:kern w:val="0"/>
          <w:szCs w:val="21"/>
          <w:highlight w:val="none"/>
        </w:rPr>
        <w:t>邮政编码：</w:t>
      </w:r>
      <w:r>
        <w:rPr>
          <w:rFonts w:ascii="宋体" w:hAnsi="宋体"/>
          <w:snapToGrid w:val="0"/>
          <w:color w:val="auto"/>
          <w:kern w:val="0"/>
          <w:szCs w:val="21"/>
          <w:highlight w:val="none"/>
          <w:u w:val="single"/>
        </w:rPr>
        <w:t></w:t>
      </w:r>
      <w:bookmarkStart w:id="1017" w:name="SOA_zyht_cbryb"/>
      <w:r>
        <w:rPr>
          <w:rFonts w:ascii="宋体" w:hAnsi="宋体"/>
          <w:snapToGrid w:val="0"/>
          <w:color w:val="auto"/>
          <w:kern w:val="0"/>
          <w:szCs w:val="21"/>
          <w:highlight w:val="none"/>
          <w:u w:val="single"/>
        </w:rPr>
        <w:t xml:space="preserve">     </w:t>
      </w:r>
      <w:bookmarkEnd w:id="1017"/>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p>
    <w:p w14:paraId="741A6938">
      <w:pPr>
        <w:spacing w:line="480" w:lineRule="auto"/>
        <w:jc w:val="center"/>
        <w:rPr>
          <w:rFonts w:ascii="宋体" w:hAnsi="宋体" w:cs="宋体"/>
          <w:b/>
          <w:color w:val="auto"/>
          <w:sz w:val="28"/>
          <w:szCs w:val="28"/>
          <w:highlight w:val="none"/>
        </w:rPr>
      </w:pPr>
    </w:p>
    <w:p w14:paraId="11A4C5D4">
      <w:pPr>
        <w:spacing w:line="360" w:lineRule="auto"/>
        <w:ind w:left="-420" w:leftChars="-200" w:right="-420" w:rightChars="-200" w:firstLine="480" w:firstLineChars="200"/>
        <w:jc w:val="center"/>
        <w:outlineLvl w:val="0"/>
        <w:rPr>
          <w:rFonts w:ascii="宋体" w:hAnsi="宋体" w:cs="宋体"/>
          <w:color w:val="auto"/>
          <w:sz w:val="24"/>
          <w:highlight w:val="none"/>
        </w:rPr>
      </w:pPr>
    </w:p>
    <w:p w14:paraId="167E165E">
      <w:pPr>
        <w:spacing w:line="360" w:lineRule="auto"/>
        <w:ind w:left="-420" w:leftChars="-200" w:right="-420" w:rightChars="-200" w:firstLine="480" w:firstLineChars="200"/>
        <w:jc w:val="center"/>
        <w:outlineLvl w:val="0"/>
        <w:rPr>
          <w:rFonts w:ascii="宋体" w:hAnsi="宋体" w:cs="宋体"/>
          <w:color w:val="auto"/>
          <w:sz w:val="24"/>
          <w:highlight w:val="none"/>
        </w:rPr>
        <w:sectPr>
          <w:headerReference r:id="rId8" w:type="first"/>
          <w:footerReference r:id="rId10" w:type="first"/>
          <w:footerReference r:id="rId9" w:type="default"/>
          <w:pgSz w:w="11906" w:h="16838"/>
          <w:pgMar w:top="1440" w:right="1080" w:bottom="1440" w:left="1080" w:header="851" w:footer="992" w:gutter="0"/>
          <w:pgNumType w:fmt="decimal"/>
          <w:cols w:space="720" w:num="1"/>
          <w:titlePg/>
          <w:docGrid w:linePitch="312" w:charSpace="0"/>
        </w:sectPr>
      </w:pPr>
    </w:p>
    <w:p w14:paraId="5C72A3A9">
      <w:pPr>
        <w:snapToGrid w:val="0"/>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7"/>
      <w:r>
        <w:rPr>
          <w:rFonts w:hint="eastAsia" w:ascii="宋体" w:hAnsi="宋体" w:cs="宋体"/>
          <w:b/>
          <w:color w:val="auto"/>
          <w:sz w:val="36"/>
          <w:szCs w:val="20"/>
          <w:highlight w:val="none"/>
        </w:rPr>
        <w:t xml:space="preserve"> </w:t>
      </w:r>
      <w:bookmarkEnd w:id="398"/>
      <w:r>
        <w:rPr>
          <w:rFonts w:hint="eastAsia" w:ascii="宋体" w:hAnsi="宋体" w:cs="宋体"/>
          <w:b/>
          <w:color w:val="auto"/>
          <w:sz w:val="36"/>
          <w:szCs w:val="20"/>
          <w:highlight w:val="none"/>
        </w:rPr>
        <w:t>应提交的有关格式范例</w:t>
      </w:r>
    </w:p>
    <w:p w14:paraId="4B2E0FCB">
      <w:pPr>
        <w:spacing w:line="360" w:lineRule="auto"/>
        <w:jc w:val="center"/>
        <w:outlineLvl w:val="0"/>
        <w:rPr>
          <w:rFonts w:ascii="宋体" w:hAnsi="宋体" w:cs="宋体"/>
          <w:b/>
          <w:color w:val="auto"/>
          <w:kern w:val="0"/>
          <w:sz w:val="36"/>
          <w:szCs w:val="36"/>
          <w:highlight w:val="none"/>
        </w:rPr>
      </w:pPr>
    </w:p>
    <w:p w14:paraId="0C518B01">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53AA6FC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3F362BAC">
      <w:pPr>
        <w:spacing w:line="360" w:lineRule="auto"/>
        <w:jc w:val="center"/>
        <w:outlineLvl w:val="0"/>
        <w:rPr>
          <w:rFonts w:ascii="宋体" w:hAnsi="宋体" w:cs="宋体"/>
          <w:b/>
          <w:color w:val="auto"/>
          <w:kern w:val="0"/>
          <w:sz w:val="36"/>
          <w:szCs w:val="36"/>
          <w:highlight w:val="none"/>
        </w:rPr>
      </w:pPr>
    </w:p>
    <w:p w14:paraId="13A436A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66ADDA6F">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0A2A36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76F7D76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4B0759CA">
      <w:pPr>
        <w:snapToGrid w:val="0"/>
        <w:spacing w:line="360" w:lineRule="auto"/>
        <w:ind w:firstLine="480" w:firstLineChars="200"/>
        <w:rPr>
          <w:rFonts w:ascii="宋体" w:hAnsi="宋体" w:cs="宋体"/>
          <w:color w:val="auto"/>
          <w:sz w:val="24"/>
          <w:highlight w:val="none"/>
        </w:rPr>
      </w:pPr>
    </w:p>
    <w:p w14:paraId="37C8F700">
      <w:pPr>
        <w:spacing w:line="360" w:lineRule="auto"/>
        <w:ind w:firstLine="480" w:firstLineChars="200"/>
        <w:rPr>
          <w:rFonts w:ascii="宋体" w:hAnsi="宋体" w:cs="宋体"/>
          <w:color w:val="auto"/>
          <w:sz w:val="24"/>
          <w:highlight w:val="none"/>
        </w:rPr>
      </w:pPr>
    </w:p>
    <w:p w14:paraId="15FDF7D3">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1712CE49">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杭州市美术职业学校</w:t>
      </w:r>
      <w:r>
        <w:rPr>
          <w:rFonts w:hint="eastAsia" w:ascii="宋体" w:hAnsi="宋体" w:cs="宋体"/>
          <w:color w:val="auto"/>
          <w:sz w:val="24"/>
          <w:highlight w:val="none"/>
        </w:rPr>
        <w:t>、</w:t>
      </w:r>
      <w:r>
        <w:rPr>
          <w:rFonts w:hint="eastAsia" w:ascii="宋体" w:hAnsi="宋体" w:cs="宋体"/>
          <w:color w:val="auto"/>
          <w:sz w:val="24"/>
          <w:highlight w:val="none"/>
          <w:lang w:eastAsia="zh-CN"/>
        </w:rPr>
        <w:t>杭州洲源招标代理有限公司</w:t>
      </w:r>
      <w:r>
        <w:rPr>
          <w:rFonts w:hint="eastAsia" w:ascii="宋体" w:hAnsi="宋体" w:cs="宋体"/>
          <w:color w:val="auto"/>
          <w:sz w:val="24"/>
          <w:highlight w:val="none"/>
        </w:rPr>
        <w:t>：</w:t>
      </w:r>
    </w:p>
    <w:p w14:paraId="2506144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杭州市美术职业学校莫干校区实训楼外立面改造项目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ZYZB-CS-2025-014</w:t>
      </w:r>
      <w:r>
        <w:rPr>
          <w:rFonts w:hint="eastAsia" w:ascii="宋体" w:hAnsi="宋体" w:cs="宋体"/>
          <w:color w:val="auto"/>
          <w:sz w:val="24"/>
          <w:highlight w:val="none"/>
        </w:rPr>
        <w:t>】政府采购活动，郑重承诺：</w:t>
      </w:r>
    </w:p>
    <w:p w14:paraId="27D2E83B">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4AD8FF7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191732F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0AB308C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4C9E5CF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E48893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3FEC4F7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5E5790F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1A8539C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5E52C1B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1391139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3F280B96">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74D1000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CB0ADEA">
      <w:pP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pgNumType w:fmt="decimal"/>
          <w:cols w:space="720" w:num="1"/>
          <w:titlePg/>
          <w:docGrid w:linePitch="312" w:charSpace="0"/>
        </w:sectPr>
      </w:pPr>
    </w:p>
    <w:p w14:paraId="1E66960B">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224C2241">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[以联合体形式参与的，提供联合协议（附件5）；本项目不接受联合体或者供应商不以联合体形式投参与的，则不需要提供]</w:t>
      </w:r>
    </w:p>
    <w:p w14:paraId="1C7C6F28">
      <w:pP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pgNumType w:fmt="decimal"/>
          <w:cols w:space="720" w:num="1"/>
          <w:titlePg/>
          <w:docGrid w:linePitch="312" w:charSpace="0"/>
        </w:sectPr>
      </w:pPr>
    </w:p>
    <w:p w14:paraId="63482C8D">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17F502C5">
      <w:pPr>
        <w:spacing w:line="360" w:lineRule="auto"/>
        <w:rPr>
          <w:rFonts w:ascii="宋体" w:hAnsi="宋体" w:cs="宋体"/>
          <w:color w:val="auto"/>
          <w:sz w:val="24"/>
          <w:highlight w:val="none"/>
        </w:rPr>
      </w:pPr>
      <w:r>
        <w:rPr>
          <w:rFonts w:hint="eastAsia" w:ascii="宋体" w:hAnsi="宋体" w:cs="宋体"/>
          <w:color w:val="auto"/>
          <w:sz w:val="24"/>
          <w:highlight w:val="none"/>
        </w:rPr>
        <w:t>（根据竞争性磋商公告落实政府采购政策需满足的资格要求选择提供相应的材料；未要求的，无需提供）</w:t>
      </w:r>
    </w:p>
    <w:p w14:paraId="267C835F">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.专门面向中小企业，工程全部由符合政策要求的中小企业（或小微企业）承建的，提供相应的中小企业声明函（附件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33412DB2">
      <w:pPr>
        <w:widowControl/>
        <w:spacing w:line="360" w:lineRule="auto"/>
        <w:ind w:firstLine="480"/>
        <w:jc w:val="left"/>
        <w:rPr>
          <w:rFonts w:ascii="宋体" w:hAnsi="宋体" w:cs="宋体"/>
          <w:color w:val="auto"/>
          <w:sz w:val="24"/>
          <w:highlight w:val="none"/>
        </w:rPr>
      </w:pPr>
    </w:p>
    <w:p w14:paraId="3CF4C219">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），联合协议中中小企业合同金额应当达到竞争性磋商公告载明的比例；如果供应商本身提供所有标的均由中小企业承建的，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244FF967">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487138F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b/>
          <w:color w:val="auto"/>
          <w:sz w:val="24"/>
          <w:highlight w:val="none"/>
          <w:lang w:val="en-US" w:eastAsia="zh-CN"/>
        </w:rPr>
        <w:t>.</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），分包意向协议中中小企业合同金额应当达到竞争性磋商公告载明的比例；如果供应商本身提供所有标的均由中小企业承建，</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666AE39F">
      <w:pPr>
        <w:widowControl/>
        <w:spacing w:line="360" w:lineRule="auto"/>
        <w:ind w:left="150"/>
        <w:jc w:val="center"/>
        <w:rPr>
          <w:rFonts w:ascii="宋体" w:hAnsi="宋体" w:cs="宋体"/>
          <w:b/>
          <w:color w:val="auto"/>
          <w:kern w:val="0"/>
          <w:sz w:val="32"/>
          <w:szCs w:val="32"/>
          <w:highlight w:val="none"/>
        </w:rPr>
      </w:pPr>
    </w:p>
    <w:p w14:paraId="5F5855DB">
      <w:pPr>
        <w:widowControl/>
        <w:spacing w:line="360" w:lineRule="auto"/>
        <w:ind w:left="150"/>
        <w:jc w:val="center"/>
        <w:rPr>
          <w:rFonts w:hint="eastAsia" w:ascii="宋体" w:hAnsi="宋体" w:cs="宋体"/>
          <w:b/>
          <w:color w:val="auto"/>
          <w:kern w:val="0"/>
          <w:sz w:val="32"/>
          <w:szCs w:val="32"/>
          <w:highlight w:val="none"/>
        </w:rPr>
      </w:pPr>
    </w:p>
    <w:p w14:paraId="7DAD35B9">
      <w:pPr>
        <w:widowControl/>
        <w:spacing w:line="360" w:lineRule="auto"/>
        <w:ind w:left="150"/>
        <w:jc w:val="center"/>
        <w:rPr>
          <w:rFonts w:hint="eastAsia" w:ascii="宋体" w:hAnsi="宋体" w:cs="宋体"/>
          <w:b/>
          <w:color w:val="auto"/>
          <w:kern w:val="0"/>
          <w:sz w:val="32"/>
          <w:szCs w:val="32"/>
          <w:highlight w:val="none"/>
        </w:rPr>
      </w:pPr>
    </w:p>
    <w:p w14:paraId="094B0CA0">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6C1ABA2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（根据竞争性磋商公告本项目的特定资格要求提供相应的材料；未要求的，无需提供）</w:t>
      </w:r>
    </w:p>
    <w:p w14:paraId="50923D8D">
      <w:pPr>
        <w:rPr>
          <w:rFonts w:ascii="宋体" w:hAnsi="宋体" w:cs="宋体"/>
          <w:color w:val="auto"/>
          <w:highlight w:val="none"/>
        </w:rPr>
      </w:pPr>
    </w:p>
    <w:p w14:paraId="2791DDCE">
      <w:pP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pgNumType w:fmt="decimal"/>
          <w:cols w:space="720" w:num="1"/>
          <w:titlePg/>
          <w:docGrid w:linePitch="312" w:charSpace="0"/>
        </w:sectPr>
      </w:pPr>
    </w:p>
    <w:p w14:paraId="5CDEA90D">
      <w:pPr>
        <w:pStyle w:val="4"/>
        <w:rPr>
          <w:rFonts w:ascii="宋体" w:hAnsi="宋体" w:cs="宋体"/>
          <w:b w:val="0"/>
          <w:color w:val="auto"/>
          <w:kern w:val="0"/>
          <w:sz w:val="36"/>
          <w:szCs w:val="36"/>
          <w:highlight w:val="none"/>
        </w:rPr>
      </w:pPr>
    </w:p>
    <w:p w14:paraId="360E3705">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72CE7F4">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6423553B">
      <w:pPr>
        <w:numPr>
          <w:ilvl w:val="255"/>
          <w:numId w:val="0"/>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响应函……………………………………………………………………………（页码）</w:t>
      </w:r>
    </w:p>
    <w:p w14:paraId="011D0D30">
      <w:pPr>
        <w:numPr>
          <w:ilvl w:val="255"/>
          <w:numId w:val="0"/>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2）授权委托书或法定代表人（单位负责人、自然人本人）身份证明</w:t>
      </w:r>
      <w:r>
        <w:rPr>
          <w:rFonts w:hint="eastAsia" w:ascii="宋体" w:hAnsi="宋体" w:cs="宋体"/>
          <w:color w:val="auto"/>
          <w:sz w:val="24"/>
          <w:highlight w:val="none"/>
        </w:rPr>
        <w:t>……………（页码）</w:t>
      </w:r>
    </w:p>
    <w:p w14:paraId="1CC35B49">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）分包意向协议………………………………………………………………………（页码）</w:t>
      </w:r>
    </w:p>
    <w:p w14:paraId="6B7C0EE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）符合性审查资料……………………………………………………………………（页码）</w:t>
      </w:r>
    </w:p>
    <w:p w14:paraId="79F46179">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）评审标准相应的商务技术资料……………………………………………………（页码）（</w:t>
      </w:r>
      <w:r>
        <w:rPr>
          <w:rFonts w:ascii="宋体" w:hAnsi="宋体" w:cs="宋体"/>
          <w:color w:val="auto"/>
          <w:sz w:val="24"/>
          <w:highlight w:val="none"/>
        </w:rPr>
        <w:t>6</w:t>
      </w:r>
      <w:r>
        <w:rPr>
          <w:rFonts w:hint="eastAsia" w:ascii="宋体" w:hAnsi="宋体" w:cs="宋体"/>
          <w:color w:val="auto"/>
          <w:sz w:val="24"/>
          <w:highlight w:val="none"/>
        </w:rPr>
        <w:t>）商务技术偏离表……………………………………………………………………（页码）</w:t>
      </w:r>
    </w:p>
    <w:p w14:paraId="53B14922">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lang w:val="zh-CN"/>
        </w:rPr>
        <w:t>（</w:t>
      </w:r>
      <w:r>
        <w:rPr>
          <w:rFonts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r>
        <w:rPr>
          <w:rFonts w:hint="eastAsia" w:ascii="宋体" w:hAnsi="宋体" w:cs="宋体"/>
          <w:color w:val="auto"/>
          <w:sz w:val="24"/>
          <w:highlight w:val="none"/>
        </w:rPr>
        <w:t>…………………………………………………（页码）</w:t>
      </w:r>
    </w:p>
    <w:p w14:paraId="4F835599">
      <w:pPr>
        <w:snapToGrid w:val="0"/>
        <w:spacing w:line="360" w:lineRule="auto"/>
        <w:jc w:val="center"/>
        <w:rPr>
          <w:rFonts w:ascii="宋体" w:hAnsi="宋体" w:cs="宋体"/>
          <w:b/>
          <w:color w:val="auto"/>
          <w:kern w:val="0"/>
          <w:sz w:val="24"/>
          <w:szCs w:val="32"/>
          <w:highlight w:val="none"/>
          <w:lang w:val="zh-CN"/>
        </w:rPr>
        <w:sectPr>
          <w:pgSz w:w="11906" w:h="16838"/>
          <w:pgMar w:top="1440" w:right="1080" w:bottom="1440" w:left="1080" w:header="851" w:footer="992" w:gutter="0"/>
          <w:pgNumType w:fmt="decimal"/>
          <w:cols w:space="720" w:num="1"/>
          <w:titlePg/>
          <w:docGrid w:linePitch="312" w:charSpace="0"/>
        </w:sectPr>
      </w:pPr>
    </w:p>
    <w:p w14:paraId="22959E16">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一、响应函</w:t>
      </w:r>
    </w:p>
    <w:p w14:paraId="0679D7EE">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杭州市美术职业学校</w:t>
      </w:r>
      <w:r>
        <w:rPr>
          <w:rFonts w:hint="eastAsia" w:ascii="宋体" w:hAnsi="宋体" w:cs="宋体"/>
          <w:color w:val="auto"/>
          <w:sz w:val="24"/>
          <w:highlight w:val="none"/>
        </w:rPr>
        <w:t>、</w:t>
      </w:r>
      <w:r>
        <w:rPr>
          <w:rFonts w:hint="eastAsia" w:ascii="宋体" w:hAnsi="宋体" w:cs="宋体"/>
          <w:color w:val="auto"/>
          <w:sz w:val="24"/>
          <w:highlight w:val="none"/>
          <w:lang w:eastAsia="zh-CN"/>
        </w:rPr>
        <w:t>杭州洲源招标代理有限公司</w:t>
      </w:r>
      <w:r>
        <w:rPr>
          <w:rFonts w:hint="eastAsia" w:ascii="宋体" w:hAnsi="宋体" w:cs="宋体"/>
          <w:color w:val="auto"/>
          <w:sz w:val="24"/>
          <w:highlight w:val="none"/>
        </w:rPr>
        <w:t>：</w:t>
      </w:r>
    </w:p>
    <w:p w14:paraId="7656E41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杭州市美术职业学校莫干校区实训楼外立面改造项目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ZYZB-CS-2025-014</w:t>
      </w:r>
      <w:r>
        <w:rPr>
          <w:rFonts w:hint="eastAsia" w:ascii="宋体" w:hAnsi="宋体" w:cs="宋体"/>
          <w:color w:val="auto"/>
          <w:sz w:val="24"/>
          <w:highlight w:val="none"/>
        </w:rPr>
        <w:t>】采购的有关活动，并对此项目提交响应文件及报价。为此：</w:t>
      </w:r>
    </w:p>
    <w:p w14:paraId="7BE186A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1、我方承诺响应文件有效期从提交响应文件的截止之日起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本响应文件在响应文件有效期满之前均具有约束力。</w:t>
      </w:r>
    </w:p>
    <w:p w14:paraId="6CDEC27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2、我方的响应文件包括以下内容：</w:t>
      </w:r>
    </w:p>
    <w:p w14:paraId="5E7CD99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1EE50E3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7705831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7803CC4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4B16C90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717F3505">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679D213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2.2.1响应函；</w:t>
      </w:r>
      <w:r>
        <w:rPr>
          <w:rFonts w:hint="eastAsia" w:ascii="宋体" w:hAnsi="宋体" w:cs="宋体"/>
          <w:color w:val="auto"/>
          <w:sz w:val="24"/>
          <w:highlight w:val="none"/>
          <w:lang w:val="zh-CN"/>
        </w:rPr>
        <w:t xml:space="preserve"> </w:t>
      </w:r>
    </w:p>
    <w:p w14:paraId="12DAFEE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2CDE5F8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42AED59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40613BE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评审标准相应的商务技术资料；</w:t>
      </w:r>
    </w:p>
    <w:p w14:paraId="68C658D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2.2.6商务技术偏离表；</w:t>
      </w:r>
    </w:p>
    <w:p w14:paraId="12235A44">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3C442E6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65F3989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2.3.1报价单；</w:t>
      </w:r>
    </w:p>
    <w:p w14:paraId="571EBA3C">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2.3.2已标价工程量清单；</w:t>
      </w:r>
    </w:p>
    <w:p w14:paraId="4A648363">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2.3.3中小企业声明函（如果有）。</w:t>
      </w:r>
    </w:p>
    <w:p w14:paraId="3D73E18B">
      <w:pPr>
        <w:pStyle w:val="8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3、我方承诺除商务技术偏离表列出的偏离外，我方响应采购文件的全部要求。对</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文件中材料的真实性、合法性负责</w:t>
      </w:r>
      <w:r>
        <w:rPr>
          <w:rFonts w:hint="eastAsia" w:ascii="宋体" w:hAnsi="宋体" w:eastAsia="宋体" w:cs="宋体"/>
          <w:color w:val="auto"/>
          <w:sz w:val="24"/>
          <w:highlight w:val="none"/>
          <w:lang w:eastAsia="zh-CN"/>
        </w:rPr>
        <w:t>，积极配合采购人、采购代理机构复核响应文件中的资料</w:t>
      </w:r>
      <w:r>
        <w:rPr>
          <w:rFonts w:hint="eastAsia" w:ascii="宋体" w:hAnsi="宋体" w:eastAsia="宋体" w:cs="宋体"/>
          <w:color w:val="auto"/>
          <w:sz w:val="24"/>
          <w:highlight w:val="none"/>
        </w:rPr>
        <w:t>。</w:t>
      </w:r>
    </w:p>
    <w:p w14:paraId="2ACB191C">
      <w:pPr>
        <w:snapToGrid w:val="0"/>
        <w:spacing w:line="360" w:lineRule="auto"/>
        <w:ind w:firstLine="480" w:firstLineChars="200"/>
        <w:rPr>
          <w:rFonts w:hint="eastAsia" w:ascii="宋体" w:hAnsi="宋体" w:eastAsia="宋体" w:cs="宋体"/>
          <w:color w:val="auto"/>
          <w:sz w:val="24"/>
          <w:highlight w:val="none"/>
        </w:rPr>
      </w:pPr>
    </w:p>
    <w:p w14:paraId="5CFDD01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4、如我方成交，我方承诺：</w:t>
      </w:r>
    </w:p>
    <w:p w14:paraId="7B0EDC0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4.1在收到成交通知书后，在成交通知书规定的期限内与你方签订合同； </w:t>
      </w:r>
    </w:p>
    <w:p w14:paraId="4E43C6B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7200E3C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4.3按照采购文件要求提交履约保证金； </w:t>
      </w:r>
    </w:p>
    <w:p w14:paraId="70ED6DC7">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555636D2">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3197110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 xml:space="preserve">、其他补充说明: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39C0076">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供应商名称（电子签名）：                          </w:t>
      </w:r>
    </w:p>
    <w:p w14:paraId="6921BDE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3624C8A8">
      <w:pPr>
        <w:snapToGrid w:val="0"/>
        <w:spacing w:line="360" w:lineRule="auto"/>
        <w:ind w:left="420" w:leftChars="200" w:firstLine="4200" w:firstLineChars="1750"/>
        <w:rPr>
          <w:rFonts w:ascii="宋体" w:hAnsi="宋体" w:cs="宋体"/>
          <w:color w:val="auto"/>
          <w:kern w:val="0"/>
          <w:sz w:val="24"/>
          <w:highlight w:val="none"/>
          <w:u w:val="single"/>
        </w:rPr>
      </w:pPr>
    </w:p>
    <w:p w14:paraId="532B56B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1993CFF">
      <w:pPr>
        <w:snapToGrid w:val="0"/>
        <w:spacing w:line="360" w:lineRule="auto"/>
        <w:jc w:val="center"/>
        <w:rPr>
          <w:rFonts w:ascii="宋体" w:hAnsi="宋体" w:cs="宋体"/>
          <w:b/>
          <w:color w:val="auto"/>
          <w:kern w:val="0"/>
          <w:sz w:val="32"/>
          <w:szCs w:val="32"/>
          <w:highlight w:val="none"/>
        </w:rPr>
      </w:pPr>
    </w:p>
    <w:p w14:paraId="16CB97CE">
      <w:pPr>
        <w:snapToGrid w:val="0"/>
        <w:spacing w:line="360" w:lineRule="auto"/>
        <w:rPr>
          <w:rFonts w:ascii="宋体" w:hAnsi="宋体" w:cs="宋体"/>
          <w:color w:val="auto"/>
          <w:sz w:val="24"/>
          <w:highlight w:val="none"/>
        </w:rPr>
      </w:pPr>
    </w:p>
    <w:p w14:paraId="7EBFE4A5">
      <w:pPr>
        <w:jc w:val="center"/>
        <w:rPr>
          <w:rFonts w:ascii="宋体" w:hAnsi="宋体" w:cs="宋体"/>
          <w:b/>
          <w:color w:val="auto"/>
          <w:kern w:val="0"/>
          <w:sz w:val="32"/>
          <w:szCs w:val="32"/>
          <w:highlight w:val="none"/>
        </w:rPr>
      </w:pPr>
    </w:p>
    <w:p w14:paraId="14FF0E6B">
      <w:pPr>
        <w:jc w:val="center"/>
        <w:rPr>
          <w:rFonts w:ascii="宋体" w:hAnsi="宋体" w:cs="宋体"/>
          <w:b/>
          <w:color w:val="auto"/>
          <w:kern w:val="0"/>
          <w:sz w:val="32"/>
          <w:szCs w:val="32"/>
          <w:highlight w:val="none"/>
        </w:rPr>
        <w:sectPr>
          <w:pgSz w:w="11906" w:h="16838"/>
          <w:pgMar w:top="1440" w:right="1080" w:bottom="1440" w:left="1080" w:header="851" w:footer="992" w:gutter="0"/>
          <w:pgNumType w:fmt="decimal"/>
          <w:cols w:space="720" w:num="1"/>
          <w:titlePg/>
          <w:docGrid w:linePitch="312" w:charSpace="0"/>
        </w:sectPr>
      </w:pPr>
    </w:p>
    <w:p w14:paraId="481209BA">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二、授权委托书或法定代表人（单位负责人、自然人本人）身份证明</w:t>
      </w:r>
    </w:p>
    <w:p w14:paraId="2B992D6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59CE1F17">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授权委托书（适用于非联合体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14:paraId="38E4B43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杭州市美术职业学校</w:t>
      </w:r>
      <w:r>
        <w:rPr>
          <w:rFonts w:hint="eastAsia" w:ascii="宋体" w:hAnsi="宋体" w:cs="宋体"/>
          <w:color w:val="auto"/>
          <w:sz w:val="24"/>
          <w:highlight w:val="none"/>
        </w:rPr>
        <w:t>、</w:t>
      </w:r>
      <w:r>
        <w:rPr>
          <w:rFonts w:hint="eastAsia" w:ascii="宋体" w:hAnsi="宋体" w:cs="宋体"/>
          <w:color w:val="auto"/>
          <w:sz w:val="24"/>
          <w:highlight w:val="none"/>
          <w:lang w:eastAsia="zh-CN"/>
        </w:rPr>
        <w:t>杭州洲源招标代理有限公司</w:t>
      </w:r>
      <w:r>
        <w:rPr>
          <w:rFonts w:hint="eastAsia" w:ascii="宋体" w:hAnsi="宋体" w:cs="宋体"/>
          <w:color w:val="auto"/>
          <w:kern w:val="0"/>
          <w:sz w:val="24"/>
          <w:highlight w:val="none"/>
          <w:lang w:val="zh-CN"/>
        </w:rPr>
        <w:t>：</w:t>
      </w:r>
    </w:p>
    <w:p w14:paraId="4B2428FA">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杭州市美术职业学校莫干校区实训楼外立面改造项目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ZYZB-CS-2025-014</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的一切事项，其法律后果由我方承担。</w:t>
      </w:r>
    </w:p>
    <w:p w14:paraId="31C5CDE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42F10B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672D189B">
      <w:pPr>
        <w:snapToGrid w:val="0"/>
        <w:spacing w:line="360" w:lineRule="auto"/>
        <w:ind w:left="5986" w:leftChars="2736" w:hanging="240" w:hangingChars="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w:t>
      </w:r>
    </w:p>
    <w:p w14:paraId="621C1CD0">
      <w:pPr>
        <w:snapToGrid w:val="0"/>
        <w:spacing w:line="360" w:lineRule="auto"/>
        <w:ind w:firstLine="6000" w:firstLineChars="25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签发日期：  年  月   日</w:t>
      </w:r>
    </w:p>
    <w:p w14:paraId="2F74EC22">
      <w:pPr>
        <w:snapToGrid w:val="0"/>
        <w:spacing w:line="360" w:lineRule="auto"/>
        <w:rPr>
          <w:rFonts w:ascii="宋体" w:hAnsi="宋体" w:cs="宋体"/>
          <w:color w:val="auto"/>
          <w:sz w:val="24"/>
          <w:highlight w:val="none"/>
        </w:rPr>
      </w:pPr>
    </w:p>
    <w:p w14:paraId="1FEB5751">
      <w:pPr>
        <w:snapToGrid w:val="0"/>
        <w:spacing w:line="360" w:lineRule="auto"/>
        <w:rPr>
          <w:rFonts w:ascii="宋体" w:hAnsi="宋体" w:cs="宋体"/>
          <w:color w:val="auto"/>
          <w:sz w:val="24"/>
          <w:highlight w:val="none"/>
        </w:rPr>
      </w:pPr>
    </w:p>
    <w:p w14:paraId="073E4503">
      <w:pPr>
        <w:snapToGrid w:val="0"/>
        <w:spacing w:line="360" w:lineRule="auto"/>
        <w:rPr>
          <w:rFonts w:ascii="宋体" w:hAnsi="宋体" w:cs="宋体"/>
          <w:color w:val="auto"/>
          <w:sz w:val="24"/>
          <w:highlight w:val="none"/>
        </w:rPr>
      </w:pPr>
    </w:p>
    <w:p w14:paraId="17D2C902">
      <w:pPr>
        <w:snapToGrid w:val="0"/>
        <w:spacing w:line="360" w:lineRule="auto"/>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14:paraId="07271CB1">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杭州市美术职业学校</w:t>
      </w:r>
      <w:r>
        <w:rPr>
          <w:rFonts w:hint="eastAsia" w:ascii="宋体" w:hAnsi="宋体" w:cs="宋体"/>
          <w:color w:val="auto"/>
          <w:sz w:val="24"/>
          <w:highlight w:val="none"/>
        </w:rPr>
        <w:t>、</w:t>
      </w:r>
      <w:r>
        <w:rPr>
          <w:rFonts w:hint="eastAsia" w:ascii="宋体" w:hAnsi="宋体" w:cs="宋体"/>
          <w:color w:val="auto"/>
          <w:sz w:val="24"/>
          <w:highlight w:val="none"/>
          <w:lang w:eastAsia="zh-CN"/>
        </w:rPr>
        <w:t>杭州洲源招标代理有限公司</w:t>
      </w:r>
      <w:r>
        <w:rPr>
          <w:rFonts w:hint="eastAsia" w:ascii="宋体" w:hAnsi="宋体" w:cs="宋体"/>
          <w:color w:val="auto"/>
          <w:kern w:val="0"/>
          <w:sz w:val="24"/>
          <w:highlight w:val="none"/>
          <w:lang w:val="zh-CN"/>
        </w:rPr>
        <w:t>：</w:t>
      </w:r>
    </w:p>
    <w:p w14:paraId="3EF8B5D0">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杭州市美术职业学校莫干校区实训楼外立面改造项目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ZYZB-CS-2025-014</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的一切事项，其法律后果由我方承担。</w:t>
      </w:r>
    </w:p>
    <w:p w14:paraId="55B49A8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0350CE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25780FB">
      <w:pPr>
        <w:jc w:val="center"/>
        <w:rPr>
          <w:rFonts w:ascii="宋体" w:hAnsi="宋体" w:cs="宋体"/>
          <w:b/>
          <w:color w:val="auto"/>
          <w:kern w:val="0"/>
          <w:sz w:val="32"/>
          <w:szCs w:val="32"/>
          <w:highlight w:val="none"/>
        </w:rPr>
      </w:pPr>
    </w:p>
    <w:p w14:paraId="1A43F5FD">
      <w:pPr>
        <w:jc w:val="center"/>
        <w:rPr>
          <w:rFonts w:ascii="宋体" w:hAnsi="宋体" w:cs="宋体"/>
          <w:b/>
          <w:color w:val="auto"/>
          <w:kern w:val="0"/>
          <w:sz w:val="32"/>
          <w:szCs w:val="32"/>
          <w:highlight w:val="none"/>
        </w:rPr>
      </w:pPr>
    </w:p>
    <w:p w14:paraId="12189A20">
      <w:pPr>
        <w:jc w:val="center"/>
        <w:rPr>
          <w:rFonts w:ascii="宋体" w:hAnsi="宋体" w:cs="宋体"/>
          <w:b/>
          <w:color w:val="auto"/>
          <w:kern w:val="0"/>
          <w:sz w:val="32"/>
          <w:szCs w:val="32"/>
          <w:highlight w:val="none"/>
        </w:rPr>
      </w:pPr>
    </w:p>
    <w:p w14:paraId="72B6467F">
      <w:pPr>
        <w:rPr>
          <w:rFonts w:ascii="宋体" w:hAnsi="宋体" w:cs="宋体"/>
          <w:color w:val="auto"/>
          <w:highlight w:val="none"/>
        </w:rPr>
      </w:pPr>
    </w:p>
    <w:p w14:paraId="1BAEB116">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14D7D8A">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63DF4A2">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33DFEC40">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BD1BCBE">
      <w:pPr>
        <w:snapToGrid w:val="0"/>
        <w:jc w:val="center"/>
        <w:rPr>
          <w:rFonts w:hint="eastAsia" w:ascii="宋体" w:hAnsi="宋体" w:cs="宋体"/>
          <w:b/>
          <w:bCs/>
          <w:color w:val="auto"/>
          <w:sz w:val="32"/>
          <w:szCs w:val="32"/>
          <w:highlight w:val="none"/>
          <w:lang w:val="zh-CN"/>
        </w:rPr>
      </w:pPr>
    </w:p>
    <w:p w14:paraId="5A2E4594">
      <w:pPr>
        <w:snapToGrid w:val="0"/>
        <w:jc w:val="center"/>
        <w:rPr>
          <w:rFonts w:hint="eastAsia" w:ascii="宋体" w:hAnsi="宋体" w:cs="宋体"/>
          <w:b/>
          <w:bCs/>
          <w:color w:val="auto"/>
          <w:sz w:val="32"/>
          <w:szCs w:val="32"/>
          <w:highlight w:val="none"/>
          <w:lang w:val="zh-CN"/>
        </w:rPr>
      </w:pPr>
    </w:p>
    <w:p w14:paraId="6C534DFA">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lang w:val="zh-CN"/>
        </w:rPr>
        <w:t>法定代表人、单位负责人或自然人本人</w:t>
      </w:r>
      <w:r>
        <w:rPr>
          <w:rFonts w:hint="eastAsia" w:ascii="宋体" w:hAnsi="宋体" w:cs="宋体"/>
          <w:b/>
          <w:bCs/>
          <w:color w:val="auto"/>
          <w:sz w:val="32"/>
          <w:szCs w:val="32"/>
          <w:highlight w:val="none"/>
        </w:rPr>
        <w:t>的身份证明（适用于法定代表人、单位负责人或者自然人本人代表供应商参加响应）</w:t>
      </w:r>
    </w:p>
    <w:p w14:paraId="524E97B2">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40D2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6CFDAF9C">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61A67F9B">
            <w:pPr>
              <w:pStyle w:val="149"/>
              <w:adjustRightInd w:val="0"/>
              <w:spacing w:line="360" w:lineRule="auto"/>
              <w:rPr>
                <w:rFonts w:hAnsi="宋体" w:cs="宋体"/>
                <w:bCs/>
                <w:color w:val="auto"/>
                <w:sz w:val="24"/>
                <w:highlight w:val="none"/>
              </w:rPr>
            </w:pPr>
          </w:p>
        </w:tc>
      </w:tr>
    </w:tbl>
    <w:p w14:paraId="7ED35168">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9821CB2">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                              </w:t>
      </w:r>
    </w:p>
    <w:p w14:paraId="1B1FBE09">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04F86DC">
      <w:pPr>
        <w:jc w:val="center"/>
        <w:rPr>
          <w:rFonts w:ascii="宋体" w:hAnsi="宋体" w:cs="宋体"/>
          <w:b/>
          <w:color w:val="auto"/>
          <w:kern w:val="0"/>
          <w:sz w:val="32"/>
          <w:szCs w:val="32"/>
          <w:highlight w:val="none"/>
        </w:rPr>
      </w:pPr>
    </w:p>
    <w:p w14:paraId="3A269956">
      <w:pPr>
        <w:jc w:val="center"/>
        <w:rPr>
          <w:rFonts w:ascii="宋体" w:hAnsi="宋体" w:cs="宋体"/>
          <w:b/>
          <w:color w:val="auto"/>
          <w:kern w:val="0"/>
          <w:sz w:val="32"/>
          <w:szCs w:val="32"/>
          <w:highlight w:val="none"/>
        </w:rPr>
      </w:pPr>
    </w:p>
    <w:p w14:paraId="77C39B14">
      <w:pPr>
        <w:jc w:val="center"/>
        <w:rPr>
          <w:rFonts w:ascii="宋体" w:hAnsi="宋体" w:cs="宋体"/>
          <w:b/>
          <w:color w:val="auto"/>
          <w:kern w:val="0"/>
          <w:sz w:val="32"/>
          <w:szCs w:val="32"/>
          <w:highlight w:val="none"/>
        </w:rPr>
      </w:pPr>
    </w:p>
    <w:p w14:paraId="749030D8">
      <w:pPr>
        <w:jc w:val="center"/>
        <w:rPr>
          <w:rFonts w:ascii="宋体" w:hAnsi="宋体" w:cs="宋体"/>
          <w:b/>
          <w:color w:val="auto"/>
          <w:kern w:val="0"/>
          <w:sz w:val="32"/>
          <w:szCs w:val="32"/>
          <w:highlight w:val="none"/>
        </w:rPr>
      </w:pPr>
    </w:p>
    <w:p w14:paraId="6653C2F1">
      <w:pPr>
        <w:jc w:val="center"/>
        <w:rPr>
          <w:rFonts w:ascii="宋体" w:hAnsi="宋体" w:cs="宋体"/>
          <w:b/>
          <w:color w:val="auto"/>
          <w:kern w:val="0"/>
          <w:sz w:val="32"/>
          <w:szCs w:val="32"/>
          <w:highlight w:val="none"/>
        </w:rPr>
      </w:pPr>
    </w:p>
    <w:p w14:paraId="0002DF9D">
      <w:pPr>
        <w:jc w:val="center"/>
        <w:rPr>
          <w:rFonts w:ascii="宋体" w:hAnsi="宋体" w:cs="宋体"/>
          <w:b/>
          <w:color w:val="auto"/>
          <w:kern w:val="0"/>
          <w:sz w:val="32"/>
          <w:szCs w:val="32"/>
          <w:highlight w:val="none"/>
        </w:rPr>
      </w:pPr>
    </w:p>
    <w:p w14:paraId="6C7F2203">
      <w:pPr>
        <w:jc w:val="center"/>
        <w:rPr>
          <w:rFonts w:ascii="宋体" w:hAnsi="宋体" w:cs="宋体"/>
          <w:b/>
          <w:color w:val="auto"/>
          <w:kern w:val="0"/>
          <w:sz w:val="32"/>
          <w:szCs w:val="32"/>
          <w:highlight w:val="none"/>
        </w:rPr>
      </w:pPr>
    </w:p>
    <w:p w14:paraId="31E304DF">
      <w:pPr>
        <w:jc w:val="center"/>
        <w:rPr>
          <w:rFonts w:ascii="宋体" w:hAnsi="宋体" w:cs="宋体"/>
          <w:b/>
          <w:color w:val="auto"/>
          <w:kern w:val="0"/>
          <w:sz w:val="32"/>
          <w:szCs w:val="32"/>
          <w:highlight w:val="none"/>
        </w:rPr>
      </w:pPr>
    </w:p>
    <w:p w14:paraId="6BBD9077">
      <w:pPr>
        <w:jc w:val="center"/>
        <w:rPr>
          <w:rFonts w:ascii="宋体" w:hAnsi="宋体" w:cs="宋体"/>
          <w:b/>
          <w:color w:val="auto"/>
          <w:kern w:val="0"/>
          <w:sz w:val="32"/>
          <w:szCs w:val="32"/>
          <w:highlight w:val="none"/>
        </w:rPr>
      </w:pPr>
    </w:p>
    <w:p w14:paraId="1804BF84">
      <w:pPr>
        <w:jc w:val="center"/>
        <w:rPr>
          <w:rFonts w:ascii="宋体" w:hAnsi="宋体" w:cs="宋体"/>
          <w:b/>
          <w:color w:val="auto"/>
          <w:kern w:val="0"/>
          <w:sz w:val="32"/>
          <w:szCs w:val="32"/>
          <w:highlight w:val="none"/>
        </w:rPr>
      </w:pPr>
    </w:p>
    <w:p w14:paraId="4A53E283">
      <w:pPr>
        <w:snapToGrid w:val="0"/>
        <w:spacing w:line="360" w:lineRule="auto"/>
        <w:ind w:right="480"/>
        <w:rPr>
          <w:rFonts w:ascii="宋体" w:hAnsi="宋体" w:cs="宋体"/>
          <w:b/>
          <w:color w:val="auto"/>
          <w:kern w:val="0"/>
          <w:sz w:val="32"/>
          <w:szCs w:val="32"/>
          <w:highlight w:val="none"/>
        </w:rPr>
        <w:sectPr>
          <w:pgSz w:w="11906" w:h="16838"/>
          <w:pgMar w:top="1440" w:right="1080" w:bottom="1440" w:left="1080" w:header="851" w:footer="992" w:gutter="0"/>
          <w:pgNumType w:fmt="decimal"/>
          <w:cols w:space="720" w:num="1"/>
          <w:titlePg/>
          <w:docGrid w:linePitch="312" w:charSpace="0"/>
        </w:sectPr>
      </w:pPr>
    </w:p>
    <w:p w14:paraId="082E70FE">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三、分包意向协议</w:t>
      </w:r>
    </w:p>
    <w:p w14:paraId="71407AE2">
      <w:pPr>
        <w:widowControl/>
        <w:spacing w:line="360" w:lineRule="auto"/>
        <w:ind w:firstLine="120" w:firstLineChars="50"/>
        <w:jc w:val="left"/>
        <w:rPr>
          <w:rFonts w:ascii="宋体" w:hAnsi="宋体" w:cs="宋体"/>
          <w:color w:val="auto"/>
          <w:sz w:val="24"/>
          <w:highlight w:val="none"/>
        </w:rPr>
      </w:pPr>
      <w:bookmarkStart w:id="1018" w:name="_Hlk101169080"/>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；采购人不同意分包或者供应商成交后不以分包方式履行合同的，则不需要提供。</w:t>
      </w:r>
      <w:r>
        <w:rPr>
          <w:rFonts w:hint="eastAsia" w:ascii="宋体" w:hAnsi="宋体" w:cs="宋体"/>
          <w:color w:val="auto"/>
          <w:sz w:val="24"/>
          <w:highlight w:val="none"/>
        </w:rPr>
        <w:t>]</w:t>
      </w:r>
    </w:p>
    <w:bookmarkEnd w:id="1018"/>
    <w:p w14:paraId="0AAF190C">
      <w:pPr>
        <w:snapToGrid w:val="0"/>
        <w:spacing w:line="360" w:lineRule="auto"/>
        <w:rPr>
          <w:rFonts w:ascii="宋体" w:hAnsi="宋体" w:cs="宋体"/>
          <w:color w:val="auto"/>
          <w:kern w:val="0"/>
          <w:sz w:val="24"/>
          <w:highlight w:val="none"/>
        </w:rPr>
      </w:pPr>
    </w:p>
    <w:p w14:paraId="5F068EC2">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四、符合性审查资料</w:t>
      </w:r>
    </w:p>
    <w:p w14:paraId="1B2466F1">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762B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5D83F8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1DCEF6D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40EA638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4C3604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响应文件中的</w:t>
            </w:r>
          </w:p>
          <w:p w14:paraId="3FEF8096">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01F34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80A0047">
            <w:pP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14:paraId="07059DBF">
            <w:pPr>
              <w:spacing w:line="360" w:lineRule="auto"/>
              <w:rPr>
                <w:rFonts w:ascii="宋体" w:hAnsi="宋体" w:cs="宋体"/>
                <w:color w:val="auto"/>
                <w:sz w:val="24"/>
                <w:highlight w:val="none"/>
              </w:rPr>
            </w:pPr>
            <w:r>
              <w:rPr>
                <w:rFonts w:hint="eastAsia" w:ascii="宋体" w:hAnsi="宋体" w:cs="宋体"/>
                <w:color w:val="auto"/>
                <w:sz w:val="24"/>
                <w:highlight w:val="none"/>
              </w:rPr>
              <w:t>响应文件按照采购文件要求签署、盖章。</w:t>
            </w:r>
          </w:p>
        </w:tc>
        <w:tc>
          <w:tcPr>
            <w:tcW w:w="2551" w:type="dxa"/>
            <w:vAlign w:val="center"/>
          </w:tcPr>
          <w:p w14:paraId="3947F272">
            <w:pPr>
              <w:rPr>
                <w:rFonts w:ascii="宋体" w:hAnsi="宋体" w:cs="宋体"/>
                <w:color w:val="auto"/>
                <w:sz w:val="24"/>
                <w:highlight w:val="none"/>
              </w:rPr>
            </w:pPr>
            <w:r>
              <w:rPr>
                <w:rFonts w:hint="eastAsia" w:ascii="宋体" w:hAnsi="宋体" w:cs="宋体"/>
                <w:color w:val="auto"/>
                <w:sz w:val="24"/>
                <w:highlight w:val="none"/>
              </w:rPr>
              <w:t>需要使用电子签名或者签字盖章的响应文件的组成部分</w:t>
            </w:r>
          </w:p>
        </w:tc>
        <w:tc>
          <w:tcPr>
            <w:tcW w:w="1418" w:type="dxa"/>
            <w:vAlign w:val="center"/>
          </w:tcPr>
          <w:p w14:paraId="4B19B163">
            <w:pPr>
              <w:rPr>
                <w:rFonts w:ascii="宋体" w:hAnsi="宋体" w:cs="宋体"/>
                <w:color w:val="auto"/>
                <w:sz w:val="24"/>
                <w:highlight w:val="none"/>
              </w:rPr>
            </w:pPr>
            <w:r>
              <w:rPr>
                <w:rFonts w:hint="eastAsia" w:ascii="宋体" w:hAnsi="宋体" w:cs="宋体"/>
                <w:color w:val="auto"/>
                <w:sz w:val="24"/>
                <w:highlight w:val="none"/>
              </w:rPr>
              <w:t>见响应文件</w:t>
            </w:r>
          </w:p>
          <w:p w14:paraId="57E78F94">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BF2E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6146405">
            <w:pPr>
              <w:spacing w:line="360" w:lineRule="auto"/>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center"/>
          </w:tcPr>
          <w:p w14:paraId="7668C00F">
            <w:pPr>
              <w:spacing w:line="360" w:lineRule="auto"/>
              <w:rPr>
                <w:rFonts w:ascii="宋体" w:hAnsi="宋体" w:cs="宋体"/>
                <w:color w:val="auto"/>
                <w:sz w:val="24"/>
                <w:highlight w:val="none"/>
              </w:rPr>
            </w:pPr>
            <w:r>
              <w:rPr>
                <w:rFonts w:hint="eastAsia" w:ascii="宋体" w:hAnsi="宋体" w:cs="宋体"/>
                <w:color w:val="auto"/>
                <w:sz w:val="24"/>
                <w:highlight w:val="none"/>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061BA387">
            <w:pPr>
              <w:rPr>
                <w:rFonts w:ascii="宋体" w:hAnsi="宋体" w:cs="宋体"/>
                <w:color w:val="auto"/>
                <w:sz w:val="24"/>
                <w:highlight w:val="none"/>
              </w:rPr>
            </w:pPr>
            <w:r>
              <w:rPr>
                <w:rFonts w:hint="eastAsia" w:ascii="宋体" w:hAnsi="宋体" w:cs="宋体"/>
                <w:color w:val="auto"/>
                <w:sz w:val="24"/>
                <w:highlight w:val="none"/>
              </w:rPr>
              <w:t>节能产品认证证书（本项目拟采购的产品不属于政府强制采购的节能产品品目清单范围的，无需提供）</w:t>
            </w:r>
          </w:p>
        </w:tc>
        <w:tc>
          <w:tcPr>
            <w:tcW w:w="1418" w:type="dxa"/>
            <w:vAlign w:val="center"/>
          </w:tcPr>
          <w:p w14:paraId="6FA9BDAA">
            <w:pPr>
              <w:rPr>
                <w:rFonts w:ascii="宋体" w:hAnsi="宋体" w:cs="宋体"/>
                <w:color w:val="auto"/>
                <w:sz w:val="24"/>
                <w:highlight w:val="none"/>
              </w:rPr>
            </w:pPr>
            <w:r>
              <w:rPr>
                <w:rFonts w:hint="eastAsia" w:ascii="宋体" w:hAnsi="宋体" w:cs="宋体"/>
                <w:color w:val="auto"/>
                <w:sz w:val="24"/>
                <w:highlight w:val="none"/>
              </w:rPr>
              <w:t>见响应文件</w:t>
            </w:r>
          </w:p>
          <w:p w14:paraId="487220CB">
            <w:pPr>
              <w:pStyle w:val="4"/>
              <w:jc w:val="both"/>
              <w:rPr>
                <w:rFonts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第</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页</w:t>
            </w:r>
          </w:p>
        </w:tc>
      </w:tr>
      <w:tr w14:paraId="59C89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DFFBDB8">
            <w:pP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center"/>
          </w:tcPr>
          <w:p w14:paraId="7C478776">
            <w:pPr>
              <w:spacing w:line="360" w:lineRule="auto"/>
              <w:rPr>
                <w:rFonts w:ascii="宋体" w:hAnsi="宋体" w:cs="宋体"/>
                <w:color w:val="auto"/>
                <w:sz w:val="24"/>
                <w:highlight w:val="none"/>
              </w:rPr>
            </w:pPr>
            <w:r>
              <w:rPr>
                <w:rFonts w:hint="eastAsia" w:ascii="宋体" w:hAnsi="宋体" w:cs="宋体"/>
                <w:color w:val="auto"/>
                <w:sz w:val="24"/>
                <w:highlight w:val="none"/>
              </w:rPr>
              <w:t>响应文件中承诺的响应文件有效期不少于采购文件中载明的响应文件有效期。</w:t>
            </w:r>
          </w:p>
        </w:tc>
        <w:tc>
          <w:tcPr>
            <w:tcW w:w="2551" w:type="dxa"/>
            <w:vAlign w:val="center"/>
          </w:tcPr>
          <w:p w14:paraId="6377DF76">
            <w:pPr>
              <w:rPr>
                <w:rFonts w:ascii="宋体" w:hAnsi="宋体" w:cs="宋体"/>
                <w:color w:val="auto"/>
                <w:sz w:val="24"/>
                <w:highlight w:val="none"/>
              </w:rPr>
            </w:pPr>
            <w:r>
              <w:rPr>
                <w:rFonts w:hint="eastAsia" w:ascii="宋体" w:hAnsi="宋体" w:cs="宋体"/>
                <w:color w:val="auto"/>
                <w:sz w:val="24"/>
                <w:highlight w:val="none"/>
              </w:rPr>
              <w:t>响应函</w:t>
            </w:r>
          </w:p>
        </w:tc>
        <w:tc>
          <w:tcPr>
            <w:tcW w:w="1418" w:type="dxa"/>
            <w:vAlign w:val="center"/>
          </w:tcPr>
          <w:p w14:paraId="2E5F2D9C">
            <w:pP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A9CE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95CA9F8">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4</w:t>
            </w:r>
          </w:p>
        </w:tc>
        <w:tc>
          <w:tcPr>
            <w:tcW w:w="4991" w:type="dxa"/>
            <w:vAlign w:val="center"/>
          </w:tcPr>
          <w:p w14:paraId="241F0B4F">
            <w:pPr>
              <w:spacing w:line="360" w:lineRule="auto"/>
              <w:jc w:val="both"/>
              <w:rPr>
                <w:rFonts w:ascii="宋体" w:hAnsi="宋体" w:cs="宋体"/>
                <w:color w:val="auto"/>
                <w:sz w:val="24"/>
                <w:highlight w:val="none"/>
              </w:rPr>
            </w:pPr>
            <w:r>
              <w:rPr>
                <w:rFonts w:hint="eastAsia" w:ascii="宋体" w:hAnsi="宋体" w:cs="宋体"/>
                <w:color w:val="auto"/>
                <w:sz w:val="24"/>
                <w:highlight w:val="none"/>
              </w:rPr>
              <w:t>响应文件满足磋商文件的其它实质性要求。</w:t>
            </w:r>
          </w:p>
        </w:tc>
        <w:tc>
          <w:tcPr>
            <w:tcW w:w="2551" w:type="dxa"/>
            <w:vAlign w:val="center"/>
          </w:tcPr>
          <w:p w14:paraId="11F76747">
            <w:pPr>
              <w:rPr>
                <w:rFonts w:ascii="宋体" w:hAnsi="宋体" w:cs="宋体"/>
                <w:color w:val="auto"/>
                <w:sz w:val="24"/>
                <w:highlight w:val="none"/>
              </w:rPr>
            </w:pPr>
            <w:r>
              <w:rPr>
                <w:rFonts w:hint="eastAsia" w:ascii="宋体" w:hAnsi="宋体" w:cs="宋体"/>
                <w:color w:val="auto"/>
                <w:kern w:val="0"/>
                <w:sz w:val="24"/>
                <w:highlight w:val="none"/>
              </w:rPr>
              <w:t>采购文件其它实质性要求相应的材料（“▲” 系指实质性要求条款，采购文件无其它实质性要求的，无需提供）</w:t>
            </w:r>
          </w:p>
        </w:tc>
        <w:tc>
          <w:tcPr>
            <w:tcW w:w="1418" w:type="dxa"/>
            <w:vAlign w:val="center"/>
          </w:tcPr>
          <w:p w14:paraId="6AF60DB3">
            <w:pP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3BEA0B43">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p>
    <w:p w14:paraId="3066F093">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2BBD3B01">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文件中实质性要求必须明确响应。</w:t>
      </w:r>
    </w:p>
    <w:p w14:paraId="5C1BC328">
      <w:pPr>
        <w:pStyle w:val="79"/>
        <w:rPr>
          <w:color w:val="auto"/>
          <w:highlight w:val="none"/>
        </w:rPr>
      </w:pPr>
    </w:p>
    <w:p w14:paraId="299D746E">
      <w:pPr>
        <w:jc w:val="center"/>
        <w:rPr>
          <w:rFonts w:ascii="宋体" w:hAnsi="宋体" w:cs="宋体"/>
          <w:b/>
          <w:color w:val="auto"/>
          <w:kern w:val="0"/>
          <w:sz w:val="32"/>
          <w:szCs w:val="32"/>
          <w:highlight w:val="none"/>
        </w:rPr>
      </w:pPr>
    </w:p>
    <w:p w14:paraId="2762D0FC">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302AB817">
      <w:pPr>
        <w:jc w:val="center"/>
        <w:rPr>
          <w:rFonts w:ascii="宋体" w:hAnsi="宋体" w:cs="宋体"/>
          <w:b/>
          <w:color w:val="auto"/>
          <w:kern w:val="0"/>
          <w:sz w:val="32"/>
          <w:szCs w:val="32"/>
          <w:highlight w:val="none"/>
        </w:rPr>
      </w:pPr>
    </w:p>
    <w:p w14:paraId="7A2E40A6">
      <w:pPr>
        <w:jc w:val="center"/>
        <w:rPr>
          <w:rFonts w:ascii="宋体" w:hAnsi="宋体" w:cs="宋体"/>
          <w:b/>
          <w:color w:val="auto"/>
          <w:kern w:val="0"/>
          <w:sz w:val="32"/>
          <w:szCs w:val="32"/>
          <w:highlight w:val="none"/>
        </w:rPr>
      </w:pPr>
    </w:p>
    <w:p w14:paraId="24DADE47">
      <w:pPr>
        <w:jc w:val="center"/>
        <w:rPr>
          <w:rFonts w:ascii="宋体" w:hAnsi="宋体" w:cs="宋体"/>
          <w:b/>
          <w:color w:val="auto"/>
          <w:kern w:val="0"/>
          <w:sz w:val="32"/>
          <w:szCs w:val="32"/>
          <w:highlight w:val="none"/>
        </w:rPr>
      </w:pPr>
    </w:p>
    <w:p w14:paraId="41F53C1B">
      <w:pPr>
        <w:jc w:val="center"/>
        <w:rPr>
          <w:rFonts w:ascii="宋体" w:hAnsi="宋体" w:cs="宋体"/>
          <w:b/>
          <w:color w:val="auto"/>
          <w:kern w:val="0"/>
          <w:sz w:val="32"/>
          <w:szCs w:val="32"/>
          <w:highlight w:val="none"/>
        </w:rPr>
      </w:pPr>
    </w:p>
    <w:p w14:paraId="17E1CC46">
      <w:pPr>
        <w:jc w:val="center"/>
        <w:rPr>
          <w:rFonts w:ascii="宋体" w:hAnsi="宋体" w:cs="宋体"/>
          <w:b/>
          <w:color w:val="auto"/>
          <w:kern w:val="0"/>
          <w:sz w:val="32"/>
          <w:szCs w:val="32"/>
          <w:highlight w:val="none"/>
        </w:rPr>
      </w:pPr>
    </w:p>
    <w:p w14:paraId="2289AC04">
      <w:pPr>
        <w:jc w:val="center"/>
        <w:rPr>
          <w:rFonts w:ascii="宋体" w:hAnsi="宋体" w:cs="宋体"/>
          <w:b/>
          <w:color w:val="auto"/>
          <w:kern w:val="0"/>
          <w:sz w:val="32"/>
          <w:szCs w:val="32"/>
          <w:highlight w:val="none"/>
        </w:rPr>
      </w:pPr>
    </w:p>
    <w:p w14:paraId="5DDFE2A3">
      <w:pPr>
        <w:jc w:val="center"/>
        <w:rPr>
          <w:rFonts w:ascii="宋体" w:hAnsi="宋体" w:cs="宋体"/>
          <w:b/>
          <w:color w:val="auto"/>
          <w:kern w:val="0"/>
          <w:sz w:val="32"/>
          <w:szCs w:val="32"/>
          <w:highlight w:val="none"/>
        </w:rPr>
      </w:pPr>
    </w:p>
    <w:p w14:paraId="0858990B">
      <w:pPr>
        <w:jc w:val="center"/>
        <w:rPr>
          <w:rFonts w:ascii="宋体" w:hAnsi="宋体" w:cs="宋体"/>
          <w:b/>
          <w:color w:val="auto"/>
          <w:kern w:val="0"/>
          <w:sz w:val="32"/>
          <w:szCs w:val="32"/>
          <w:highlight w:val="none"/>
        </w:rPr>
      </w:pPr>
    </w:p>
    <w:p w14:paraId="6A803924">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五、评审标准相应的商务技术资料</w:t>
      </w:r>
    </w:p>
    <w:p w14:paraId="6D0218B7">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（按采购文件第四部分评审办法前附表中“响应文件中评审标准相应的商务技术资料目录”提供资料。）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5DDC6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EEE3697">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42A3E611">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lang w:eastAsia="zh-CN"/>
              </w:rPr>
              <w:t>响应</w:t>
            </w:r>
            <w:r>
              <w:rPr>
                <w:rFonts w:hint="eastAsia" w:cs="仿宋_GB2312" w:asciiTheme="minorEastAsia" w:hAnsiTheme="minorEastAsia" w:eastAsiaTheme="minorEastAsia"/>
                <w:b w:val="0"/>
                <w:bCs/>
                <w:color w:val="auto"/>
                <w:sz w:val="24"/>
                <w:highlight w:val="none"/>
              </w:rPr>
              <w:t>文件中评标标准相应的商务技术资料目录*</w:t>
            </w:r>
          </w:p>
        </w:tc>
        <w:tc>
          <w:tcPr>
            <w:tcW w:w="3046" w:type="dxa"/>
          </w:tcPr>
          <w:p w14:paraId="6E93722F">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lang w:eastAsia="zh-CN"/>
              </w:rPr>
              <w:t>响应</w:t>
            </w:r>
            <w:r>
              <w:rPr>
                <w:rFonts w:hint="eastAsia" w:ascii="宋体" w:hAnsi="宋体" w:cs="宋体"/>
                <w:b w:val="0"/>
                <w:bCs/>
                <w:color w:val="auto"/>
                <w:sz w:val="24"/>
                <w:highlight w:val="none"/>
              </w:rPr>
              <w:t>文件中的页码位置</w:t>
            </w:r>
          </w:p>
        </w:tc>
      </w:tr>
      <w:tr w14:paraId="252EB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BFA98D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79A8A677">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5292D76B">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w:t>
            </w:r>
            <w:r>
              <w:rPr>
                <w:rFonts w:hint="eastAsia" w:ascii="宋体" w:hAnsi="宋体" w:cs="宋体"/>
                <w:b w:val="0"/>
                <w:bCs/>
                <w:color w:val="auto"/>
                <w:sz w:val="24"/>
                <w:highlight w:val="none"/>
                <w:lang w:eastAsia="zh-CN"/>
              </w:rPr>
              <w:t>响应</w:t>
            </w:r>
            <w:r>
              <w:rPr>
                <w:rFonts w:hint="eastAsia" w:ascii="宋体" w:hAnsi="宋体" w:cs="宋体"/>
                <w:b w:val="0"/>
                <w:bCs/>
                <w:color w:val="auto"/>
                <w:sz w:val="24"/>
                <w:highlight w:val="none"/>
              </w:rPr>
              <w:t>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6B2C5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F5FA5AB">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6ADDE550">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2B516981">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w:t>
            </w:r>
            <w:r>
              <w:rPr>
                <w:rFonts w:hint="eastAsia" w:ascii="宋体" w:hAnsi="宋体" w:cs="宋体"/>
                <w:b w:val="0"/>
                <w:bCs/>
                <w:color w:val="auto"/>
                <w:sz w:val="24"/>
                <w:highlight w:val="none"/>
                <w:lang w:eastAsia="zh-CN"/>
              </w:rPr>
              <w:t>响应</w:t>
            </w:r>
            <w:r>
              <w:rPr>
                <w:rFonts w:hint="eastAsia" w:ascii="宋体" w:hAnsi="宋体" w:cs="宋体"/>
                <w:b w:val="0"/>
                <w:bCs/>
                <w:color w:val="auto"/>
                <w:sz w:val="24"/>
                <w:highlight w:val="none"/>
              </w:rPr>
              <w:t>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345F9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667BB14">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65C5E129">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6A56F894">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w:t>
            </w:r>
            <w:r>
              <w:rPr>
                <w:rFonts w:hint="eastAsia" w:ascii="宋体" w:hAnsi="宋体" w:cs="宋体"/>
                <w:b w:val="0"/>
                <w:bCs/>
                <w:color w:val="auto"/>
                <w:sz w:val="24"/>
                <w:highlight w:val="none"/>
                <w:lang w:eastAsia="zh-CN"/>
              </w:rPr>
              <w:t>响应</w:t>
            </w:r>
            <w:r>
              <w:rPr>
                <w:rFonts w:hint="eastAsia" w:ascii="宋体" w:hAnsi="宋体" w:cs="宋体"/>
                <w:b w:val="0"/>
                <w:bCs/>
                <w:color w:val="auto"/>
                <w:sz w:val="24"/>
                <w:highlight w:val="none"/>
              </w:rPr>
              <w:t>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4BD8BC16">
      <w:pPr>
        <w:jc w:val="center"/>
        <w:rPr>
          <w:rFonts w:ascii="宋体" w:hAnsi="宋体" w:cs="宋体"/>
          <w:b/>
          <w:color w:val="auto"/>
          <w:kern w:val="0"/>
          <w:sz w:val="32"/>
          <w:szCs w:val="32"/>
          <w:highlight w:val="none"/>
        </w:rPr>
      </w:pPr>
    </w:p>
    <w:p w14:paraId="3FEC87DF">
      <w:pPr>
        <w:jc w:val="left"/>
        <w:rPr>
          <w:rFonts w:ascii="宋体" w:hAnsi="宋体" w:cs="宋体"/>
          <w:b/>
          <w:color w:val="auto"/>
          <w:kern w:val="0"/>
          <w:sz w:val="32"/>
          <w:szCs w:val="32"/>
          <w:highlight w:val="none"/>
        </w:rPr>
      </w:pPr>
      <w:r>
        <w:rPr>
          <w:rFonts w:hint="eastAsia" w:ascii="宋体" w:hAnsi="宋体" w:cs="仿宋_GB2312"/>
          <w:b/>
          <w:color w:val="auto"/>
          <w:sz w:val="24"/>
          <w:highlight w:val="none"/>
        </w:rPr>
        <w:t>参考格式，可酌情调整；</w:t>
      </w:r>
    </w:p>
    <w:p w14:paraId="5241C19A">
      <w:pPr>
        <w:keepNext/>
        <w:autoSpaceDE w:val="0"/>
        <w:autoSpaceDN w:val="0"/>
        <w:spacing w:line="360" w:lineRule="auto"/>
        <w:jc w:val="center"/>
        <w:rPr>
          <w:rFonts w:hAnsi="宋体" w:cs="仿宋_GB2312"/>
          <w:b/>
          <w:color w:val="auto"/>
          <w:highlight w:val="none"/>
        </w:rPr>
      </w:pPr>
      <w:r>
        <w:rPr>
          <w:rFonts w:hint="eastAsia" w:ascii="宋体" w:hAnsi="宋体" w:cs="仿宋_GB2312"/>
          <w:b/>
          <w:color w:val="auto"/>
          <w:sz w:val="24"/>
          <w:highlight w:val="none"/>
        </w:rPr>
        <w:t>附表A：本项目的项目经理情况表</w:t>
      </w:r>
    </w:p>
    <w:tbl>
      <w:tblPr>
        <w:tblStyle w:val="62"/>
        <w:tblW w:w="9878" w:type="dxa"/>
        <w:tblInd w:w="0" w:type="dxa"/>
        <w:tblLayout w:type="fixed"/>
        <w:tblCellMar>
          <w:top w:w="0" w:type="dxa"/>
          <w:left w:w="108" w:type="dxa"/>
          <w:bottom w:w="0" w:type="dxa"/>
          <w:right w:w="108" w:type="dxa"/>
        </w:tblCellMar>
      </w:tblPr>
      <w:tblGrid>
        <w:gridCol w:w="1949"/>
        <w:gridCol w:w="2485"/>
        <w:gridCol w:w="2122"/>
        <w:gridCol w:w="1564"/>
        <w:gridCol w:w="1758"/>
      </w:tblGrid>
      <w:tr w14:paraId="1863D7C9">
        <w:tblPrEx>
          <w:tblCellMar>
            <w:top w:w="0" w:type="dxa"/>
            <w:left w:w="108" w:type="dxa"/>
            <w:bottom w:w="0" w:type="dxa"/>
            <w:right w:w="108" w:type="dxa"/>
          </w:tblCellMar>
        </w:tblPrEx>
        <w:trPr>
          <w:trHeight w:val="567" w:hRule="atLeast"/>
        </w:trPr>
        <w:tc>
          <w:tcPr>
            <w:tcW w:w="1949" w:type="dxa"/>
            <w:tcBorders>
              <w:top w:val="single" w:color="auto" w:sz="6" w:space="0"/>
              <w:left w:val="single" w:color="auto" w:sz="6" w:space="0"/>
              <w:bottom w:val="single" w:color="auto" w:sz="6" w:space="0"/>
              <w:right w:val="single" w:color="auto" w:sz="6" w:space="0"/>
            </w:tcBorders>
            <w:vAlign w:val="center"/>
          </w:tcPr>
          <w:p w14:paraId="771F2260">
            <w:pPr>
              <w:autoSpaceDE w:val="0"/>
              <w:autoSpaceDN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姓名</w:t>
            </w:r>
          </w:p>
        </w:tc>
        <w:tc>
          <w:tcPr>
            <w:tcW w:w="2485" w:type="dxa"/>
            <w:tcBorders>
              <w:top w:val="single" w:color="auto" w:sz="6" w:space="0"/>
              <w:left w:val="single" w:color="auto" w:sz="6" w:space="0"/>
              <w:bottom w:val="single" w:color="auto" w:sz="6" w:space="0"/>
              <w:right w:val="single" w:color="auto" w:sz="4" w:space="0"/>
            </w:tcBorders>
            <w:vAlign w:val="center"/>
          </w:tcPr>
          <w:p w14:paraId="5540D004">
            <w:pPr>
              <w:autoSpaceDE w:val="0"/>
              <w:autoSpaceDN w:val="0"/>
              <w:spacing w:line="360" w:lineRule="auto"/>
              <w:jc w:val="center"/>
              <w:rPr>
                <w:rFonts w:ascii="宋体" w:hAnsi="宋体" w:cs="仿宋_GB2312"/>
                <w:color w:val="auto"/>
                <w:sz w:val="24"/>
                <w:highlight w:val="none"/>
              </w:rPr>
            </w:pPr>
          </w:p>
        </w:tc>
        <w:tc>
          <w:tcPr>
            <w:tcW w:w="2122" w:type="dxa"/>
            <w:tcBorders>
              <w:top w:val="single" w:color="auto" w:sz="6" w:space="0"/>
              <w:left w:val="single" w:color="auto" w:sz="4" w:space="0"/>
              <w:bottom w:val="single" w:color="auto" w:sz="6" w:space="0"/>
              <w:right w:val="single" w:color="auto" w:sz="6" w:space="0"/>
            </w:tcBorders>
            <w:vAlign w:val="center"/>
          </w:tcPr>
          <w:p w14:paraId="2C23BC4C">
            <w:pPr>
              <w:autoSpaceDE w:val="0"/>
              <w:autoSpaceDN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性别</w:t>
            </w:r>
          </w:p>
        </w:tc>
        <w:tc>
          <w:tcPr>
            <w:tcW w:w="3322" w:type="dxa"/>
            <w:gridSpan w:val="2"/>
            <w:tcBorders>
              <w:top w:val="single" w:color="auto" w:sz="6" w:space="0"/>
              <w:left w:val="single" w:color="auto" w:sz="6" w:space="0"/>
              <w:bottom w:val="single" w:color="auto" w:sz="6" w:space="0"/>
              <w:right w:val="single" w:color="auto" w:sz="6" w:space="0"/>
            </w:tcBorders>
            <w:vAlign w:val="center"/>
          </w:tcPr>
          <w:p w14:paraId="3187EB00">
            <w:pPr>
              <w:autoSpaceDE w:val="0"/>
              <w:autoSpaceDN w:val="0"/>
              <w:spacing w:line="360" w:lineRule="auto"/>
              <w:jc w:val="center"/>
              <w:rPr>
                <w:rFonts w:ascii="宋体" w:hAnsi="宋体" w:cs="仿宋_GB2312"/>
                <w:color w:val="auto"/>
                <w:sz w:val="24"/>
                <w:highlight w:val="none"/>
              </w:rPr>
            </w:pPr>
          </w:p>
        </w:tc>
      </w:tr>
      <w:tr w14:paraId="643A0613">
        <w:tblPrEx>
          <w:tblCellMar>
            <w:top w:w="0" w:type="dxa"/>
            <w:left w:w="108" w:type="dxa"/>
            <w:bottom w:w="0" w:type="dxa"/>
            <w:right w:w="108" w:type="dxa"/>
          </w:tblCellMar>
        </w:tblPrEx>
        <w:trPr>
          <w:trHeight w:val="567" w:hRule="atLeast"/>
        </w:trPr>
        <w:tc>
          <w:tcPr>
            <w:tcW w:w="1949" w:type="dxa"/>
            <w:tcBorders>
              <w:top w:val="single" w:color="auto" w:sz="6" w:space="0"/>
              <w:left w:val="single" w:color="auto" w:sz="6" w:space="0"/>
              <w:bottom w:val="single" w:color="auto" w:sz="6" w:space="0"/>
              <w:right w:val="single" w:color="auto" w:sz="6" w:space="0"/>
            </w:tcBorders>
            <w:vAlign w:val="center"/>
          </w:tcPr>
          <w:p w14:paraId="51987FBF">
            <w:pPr>
              <w:autoSpaceDE w:val="0"/>
              <w:autoSpaceDN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身份证号码</w:t>
            </w:r>
          </w:p>
        </w:tc>
        <w:tc>
          <w:tcPr>
            <w:tcW w:w="2485" w:type="dxa"/>
            <w:tcBorders>
              <w:top w:val="single" w:color="auto" w:sz="6" w:space="0"/>
              <w:left w:val="single" w:color="auto" w:sz="6" w:space="0"/>
              <w:bottom w:val="single" w:color="auto" w:sz="6" w:space="0"/>
              <w:right w:val="single" w:color="auto" w:sz="4" w:space="0"/>
            </w:tcBorders>
            <w:vAlign w:val="center"/>
          </w:tcPr>
          <w:p w14:paraId="2A651B58">
            <w:pPr>
              <w:autoSpaceDE w:val="0"/>
              <w:autoSpaceDN w:val="0"/>
              <w:spacing w:line="360" w:lineRule="auto"/>
              <w:jc w:val="center"/>
              <w:rPr>
                <w:rFonts w:ascii="宋体" w:hAnsi="宋体" w:cs="仿宋_GB2312"/>
                <w:color w:val="auto"/>
                <w:sz w:val="24"/>
                <w:highlight w:val="none"/>
              </w:rPr>
            </w:pPr>
          </w:p>
        </w:tc>
        <w:tc>
          <w:tcPr>
            <w:tcW w:w="2122" w:type="dxa"/>
            <w:tcBorders>
              <w:top w:val="single" w:color="auto" w:sz="6" w:space="0"/>
              <w:left w:val="single" w:color="auto" w:sz="4" w:space="0"/>
              <w:bottom w:val="single" w:color="auto" w:sz="6" w:space="0"/>
              <w:right w:val="single" w:color="auto" w:sz="6" w:space="0"/>
            </w:tcBorders>
            <w:vAlign w:val="center"/>
          </w:tcPr>
          <w:p w14:paraId="5B681424">
            <w:pPr>
              <w:autoSpaceDE w:val="0"/>
              <w:autoSpaceDN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职称</w:t>
            </w:r>
          </w:p>
        </w:tc>
        <w:tc>
          <w:tcPr>
            <w:tcW w:w="3322" w:type="dxa"/>
            <w:gridSpan w:val="2"/>
            <w:tcBorders>
              <w:top w:val="single" w:color="auto" w:sz="6" w:space="0"/>
              <w:left w:val="single" w:color="auto" w:sz="6" w:space="0"/>
              <w:bottom w:val="single" w:color="auto" w:sz="6" w:space="0"/>
              <w:right w:val="single" w:color="auto" w:sz="6" w:space="0"/>
            </w:tcBorders>
            <w:vAlign w:val="center"/>
          </w:tcPr>
          <w:p w14:paraId="4300857F">
            <w:pPr>
              <w:autoSpaceDE w:val="0"/>
              <w:autoSpaceDN w:val="0"/>
              <w:spacing w:line="360" w:lineRule="auto"/>
              <w:jc w:val="center"/>
              <w:rPr>
                <w:rFonts w:ascii="宋体" w:hAnsi="宋体" w:cs="仿宋_GB2312"/>
                <w:color w:val="auto"/>
                <w:sz w:val="24"/>
                <w:highlight w:val="none"/>
              </w:rPr>
            </w:pPr>
          </w:p>
        </w:tc>
      </w:tr>
      <w:tr w14:paraId="68090CF6">
        <w:tblPrEx>
          <w:tblCellMar>
            <w:top w:w="0" w:type="dxa"/>
            <w:left w:w="108" w:type="dxa"/>
            <w:bottom w:w="0" w:type="dxa"/>
            <w:right w:w="108" w:type="dxa"/>
          </w:tblCellMar>
        </w:tblPrEx>
        <w:trPr>
          <w:trHeight w:val="567" w:hRule="atLeast"/>
        </w:trPr>
        <w:tc>
          <w:tcPr>
            <w:tcW w:w="1949" w:type="dxa"/>
            <w:tcBorders>
              <w:top w:val="single" w:color="auto" w:sz="6" w:space="0"/>
              <w:left w:val="single" w:color="auto" w:sz="6" w:space="0"/>
              <w:bottom w:val="single" w:color="auto" w:sz="6" w:space="0"/>
              <w:right w:val="single" w:color="auto" w:sz="6" w:space="0"/>
            </w:tcBorders>
            <w:vAlign w:val="center"/>
          </w:tcPr>
          <w:p w14:paraId="11CB9FE7">
            <w:pPr>
              <w:autoSpaceDE w:val="0"/>
              <w:autoSpaceDN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所学专业</w:t>
            </w:r>
          </w:p>
        </w:tc>
        <w:tc>
          <w:tcPr>
            <w:tcW w:w="2485" w:type="dxa"/>
            <w:tcBorders>
              <w:top w:val="single" w:color="auto" w:sz="6" w:space="0"/>
              <w:left w:val="single" w:color="auto" w:sz="6" w:space="0"/>
              <w:bottom w:val="single" w:color="auto" w:sz="6" w:space="0"/>
              <w:right w:val="single" w:color="auto" w:sz="4" w:space="0"/>
            </w:tcBorders>
            <w:vAlign w:val="center"/>
          </w:tcPr>
          <w:p w14:paraId="1B75F507">
            <w:pPr>
              <w:autoSpaceDE w:val="0"/>
              <w:autoSpaceDN w:val="0"/>
              <w:spacing w:line="360" w:lineRule="auto"/>
              <w:jc w:val="center"/>
              <w:rPr>
                <w:rFonts w:ascii="宋体" w:hAnsi="宋体" w:cs="仿宋_GB2312"/>
                <w:color w:val="auto"/>
                <w:sz w:val="24"/>
                <w:highlight w:val="none"/>
              </w:rPr>
            </w:pPr>
          </w:p>
        </w:tc>
        <w:tc>
          <w:tcPr>
            <w:tcW w:w="2122" w:type="dxa"/>
            <w:tcBorders>
              <w:top w:val="single" w:color="auto" w:sz="6" w:space="0"/>
              <w:left w:val="single" w:color="auto" w:sz="4" w:space="0"/>
              <w:bottom w:val="single" w:color="auto" w:sz="6" w:space="0"/>
              <w:right w:val="single" w:color="auto" w:sz="6" w:space="0"/>
            </w:tcBorders>
            <w:vAlign w:val="center"/>
          </w:tcPr>
          <w:p w14:paraId="21AA346A">
            <w:pPr>
              <w:autoSpaceDE w:val="0"/>
              <w:autoSpaceDN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毕业时间</w:t>
            </w:r>
          </w:p>
        </w:tc>
        <w:tc>
          <w:tcPr>
            <w:tcW w:w="3322" w:type="dxa"/>
            <w:gridSpan w:val="2"/>
            <w:tcBorders>
              <w:top w:val="single" w:color="auto" w:sz="6" w:space="0"/>
              <w:left w:val="single" w:color="auto" w:sz="6" w:space="0"/>
              <w:bottom w:val="single" w:color="auto" w:sz="6" w:space="0"/>
              <w:right w:val="single" w:color="auto" w:sz="6" w:space="0"/>
            </w:tcBorders>
            <w:vAlign w:val="center"/>
          </w:tcPr>
          <w:p w14:paraId="53BBC436">
            <w:pPr>
              <w:autoSpaceDE w:val="0"/>
              <w:autoSpaceDN w:val="0"/>
              <w:spacing w:line="360" w:lineRule="auto"/>
              <w:jc w:val="center"/>
              <w:rPr>
                <w:rFonts w:ascii="宋体" w:hAnsi="宋体" w:cs="仿宋_GB2312"/>
                <w:color w:val="auto"/>
                <w:sz w:val="24"/>
                <w:highlight w:val="none"/>
              </w:rPr>
            </w:pPr>
          </w:p>
        </w:tc>
      </w:tr>
      <w:tr w14:paraId="55D66561">
        <w:tblPrEx>
          <w:tblCellMar>
            <w:top w:w="0" w:type="dxa"/>
            <w:left w:w="108" w:type="dxa"/>
            <w:bottom w:w="0" w:type="dxa"/>
            <w:right w:w="108" w:type="dxa"/>
          </w:tblCellMar>
        </w:tblPrEx>
        <w:trPr>
          <w:trHeight w:val="567" w:hRule="atLeast"/>
        </w:trPr>
        <w:tc>
          <w:tcPr>
            <w:tcW w:w="1949" w:type="dxa"/>
            <w:tcBorders>
              <w:top w:val="single" w:color="auto" w:sz="6" w:space="0"/>
              <w:left w:val="single" w:color="auto" w:sz="6" w:space="0"/>
              <w:bottom w:val="single" w:color="auto" w:sz="6" w:space="0"/>
              <w:right w:val="single" w:color="auto" w:sz="6" w:space="0"/>
            </w:tcBorders>
            <w:vAlign w:val="center"/>
          </w:tcPr>
          <w:p w14:paraId="36D156CD">
            <w:pPr>
              <w:autoSpaceDE w:val="0"/>
              <w:autoSpaceDN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学历/学位</w:t>
            </w:r>
          </w:p>
        </w:tc>
        <w:tc>
          <w:tcPr>
            <w:tcW w:w="2485" w:type="dxa"/>
            <w:tcBorders>
              <w:top w:val="single" w:color="auto" w:sz="6" w:space="0"/>
              <w:left w:val="single" w:color="auto" w:sz="6" w:space="0"/>
              <w:bottom w:val="single" w:color="auto" w:sz="6" w:space="0"/>
              <w:right w:val="single" w:color="auto" w:sz="4" w:space="0"/>
            </w:tcBorders>
            <w:vAlign w:val="center"/>
          </w:tcPr>
          <w:p w14:paraId="3C7659B3">
            <w:pPr>
              <w:autoSpaceDE w:val="0"/>
              <w:autoSpaceDN w:val="0"/>
              <w:spacing w:line="360" w:lineRule="auto"/>
              <w:jc w:val="center"/>
              <w:rPr>
                <w:rFonts w:ascii="宋体" w:hAnsi="宋体" w:cs="仿宋_GB2312"/>
                <w:color w:val="auto"/>
                <w:sz w:val="24"/>
                <w:highlight w:val="none"/>
              </w:rPr>
            </w:pPr>
          </w:p>
        </w:tc>
        <w:tc>
          <w:tcPr>
            <w:tcW w:w="2122" w:type="dxa"/>
            <w:tcBorders>
              <w:top w:val="single" w:color="auto" w:sz="6" w:space="0"/>
              <w:left w:val="single" w:color="auto" w:sz="4" w:space="0"/>
              <w:bottom w:val="single" w:color="auto" w:sz="6" w:space="0"/>
              <w:right w:val="single" w:color="auto" w:sz="6" w:space="0"/>
            </w:tcBorders>
            <w:vAlign w:val="center"/>
          </w:tcPr>
          <w:p w14:paraId="31EB4C2B">
            <w:pPr>
              <w:autoSpaceDE w:val="0"/>
              <w:autoSpaceDN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联系电话</w:t>
            </w:r>
          </w:p>
        </w:tc>
        <w:tc>
          <w:tcPr>
            <w:tcW w:w="3322" w:type="dxa"/>
            <w:gridSpan w:val="2"/>
            <w:tcBorders>
              <w:top w:val="single" w:color="auto" w:sz="6" w:space="0"/>
              <w:left w:val="single" w:color="auto" w:sz="6" w:space="0"/>
              <w:bottom w:val="single" w:color="auto" w:sz="6" w:space="0"/>
              <w:right w:val="single" w:color="auto" w:sz="6" w:space="0"/>
            </w:tcBorders>
            <w:vAlign w:val="center"/>
          </w:tcPr>
          <w:p w14:paraId="608F0F76">
            <w:pPr>
              <w:autoSpaceDE w:val="0"/>
              <w:autoSpaceDN w:val="0"/>
              <w:spacing w:line="360" w:lineRule="auto"/>
              <w:jc w:val="center"/>
              <w:rPr>
                <w:rFonts w:ascii="宋体" w:hAnsi="宋体" w:cs="仿宋_GB2312"/>
                <w:color w:val="auto"/>
                <w:sz w:val="24"/>
                <w:highlight w:val="none"/>
              </w:rPr>
            </w:pPr>
          </w:p>
        </w:tc>
      </w:tr>
      <w:tr w14:paraId="0EB72F05">
        <w:tblPrEx>
          <w:tblCellMar>
            <w:top w:w="0" w:type="dxa"/>
            <w:left w:w="108" w:type="dxa"/>
            <w:bottom w:w="0" w:type="dxa"/>
            <w:right w:w="108" w:type="dxa"/>
          </w:tblCellMar>
        </w:tblPrEx>
        <w:trPr>
          <w:trHeight w:val="567" w:hRule="atLeast"/>
        </w:trPr>
        <w:tc>
          <w:tcPr>
            <w:tcW w:w="1949" w:type="dxa"/>
            <w:tcBorders>
              <w:top w:val="single" w:color="auto" w:sz="6" w:space="0"/>
              <w:left w:val="single" w:color="auto" w:sz="6" w:space="0"/>
              <w:bottom w:val="single" w:color="auto" w:sz="6" w:space="0"/>
              <w:right w:val="single" w:color="auto" w:sz="6" w:space="0"/>
            </w:tcBorders>
            <w:vAlign w:val="center"/>
          </w:tcPr>
          <w:p w14:paraId="502BF805">
            <w:pPr>
              <w:autoSpaceDE w:val="0"/>
              <w:autoSpaceDN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邮箱地址</w:t>
            </w:r>
          </w:p>
        </w:tc>
        <w:tc>
          <w:tcPr>
            <w:tcW w:w="2485" w:type="dxa"/>
            <w:tcBorders>
              <w:top w:val="single" w:color="auto" w:sz="6" w:space="0"/>
              <w:left w:val="single" w:color="auto" w:sz="6" w:space="0"/>
              <w:bottom w:val="single" w:color="auto" w:sz="6" w:space="0"/>
              <w:right w:val="single" w:color="auto" w:sz="4" w:space="0"/>
            </w:tcBorders>
            <w:vAlign w:val="center"/>
          </w:tcPr>
          <w:p w14:paraId="082B3BD7">
            <w:pPr>
              <w:autoSpaceDE w:val="0"/>
              <w:autoSpaceDN w:val="0"/>
              <w:spacing w:line="360" w:lineRule="auto"/>
              <w:jc w:val="center"/>
              <w:rPr>
                <w:rFonts w:ascii="宋体" w:hAnsi="宋体" w:cs="仿宋_GB2312"/>
                <w:color w:val="auto"/>
                <w:sz w:val="24"/>
                <w:highlight w:val="none"/>
              </w:rPr>
            </w:pPr>
          </w:p>
        </w:tc>
        <w:tc>
          <w:tcPr>
            <w:tcW w:w="2122" w:type="dxa"/>
            <w:tcBorders>
              <w:top w:val="single" w:color="auto" w:sz="6" w:space="0"/>
              <w:left w:val="single" w:color="auto" w:sz="4" w:space="0"/>
              <w:bottom w:val="single" w:color="auto" w:sz="6" w:space="0"/>
              <w:right w:val="single" w:color="auto" w:sz="6" w:space="0"/>
            </w:tcBorders>
            <w:vAlign w:val="center"/>
          </w:tcPr>
          <w:p w14:paraId="66B9C73F">
            <w:pPr>
              <w:autoSpaceDE w:val="0"/>
              <w:autoSpaceDN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资质证书编号</w:t>
            </w:r>
          </w:p>
        </w:tc>
        <w:tc>
          <w:tcPr>
            <w:tcW w:w="3322" w:type="dxa"/>
            <w:gridSpan w:val="2"/>
            <w:tcBorders>
              <w:top w:val="single" w:color="auto" w:sz="6" w:space="0"/>
              <w:left w:val="single" w:color="auto" w:sz="6" w:space="0"/>
              <w:bottom w:val="single" w:color="auto" w:sz="6" w:space="0"/>
              <w:right w:val="single" w:color="auto" w:sz="6" w:space="0"/>
            </w:tcBorders>
            <w:vAlign w:val="center"/>
          </w:tcPr>
          <w:p w14:paraId="2C2871CB">
            <w:pPr>
              <w:autoSpaceDE w:val="0"/>
              <w:autoSpaceDN w:val="0"/>
              <w:spacing w:line="360" w:lineRule="auto"/>
              <w:jc w:val="center"/>
              <w:rPr>
                <w:rFonts w:ascii="宋体" w:hAnsi="宋体" w:cs="仿宋_GB2312"/>
                <w:color w:val="auto"/>
                <w:sz w:val="24"/>
                <w:highlight w:val="none"/>
              </w:rPr>
            </w:pPr>
          </w:p>
        </w:tc>
      </w:tr>
      <w:tr w14:paraId="34BEFF58">
        <w:tblPrEx>
          <w:tblCellMar>
            <w:top w:w="0" w:type="dxa"/>
            <w:left w:w="108" w:type="dxa"/>
            <w:bottom w:w="0" w:type="dxa"/>
            <w:right w:w="108" w:type="dxa"/>
          </w:tblCellMar>
        </w:tblPrEx>
        <w:trPr>
          <w:trHeight w:val="567" w:hRule="atLeast"/>
        </w:trPr>
        <w:tc>
          <w:tcPr>
            <w:tcW w:w="1949" w:type="dxa"/>
            <w:tcBorders>
              <w:top w:val="single" w:color="auto" w:sz="6" w:space="0"/>
              <w:left w:val="single" w:color="auto" w:sz="6" w:space="0"/>
              <w:bottom w:val="single" w:color="auto" w:sz="6" w:space="0"/>
              <w:right w:val="single" w:color="auto" w:sz="6" w:space="0"/>
            </w:tcBorders>
            <w:vAlign w:val="center"/>
          </w:tcPr>
          <w:p w14:paraId="3C9ADA7E">
            <w:pPr>
              <w:autoSpaceDE w:val="0"/>
              <w:autoSpaceDN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执业证书编号</w:t>
            </w:r>
          </w:p>
        </w:tc>
        <w:tc>
          <w:tcPr>
            <w:tcW w:w="2485" w:type="dxa"/>
            <w:tcBorders>
              <w:top w:val="single" w:color="auto" w:sz="6" w:space="0"/>
              <w:left w:val="single" w:color="auto" w:sz="6" w:space="0"/>
              <w:bottom w:val="single" w:color="auto" w:sz="6" w:space="0"/>
              <w:right w:val="single" w:color="auto" w:sz="4" w:space="0"/>
            </w:tcBorders>
            <w:vAlign w:val="center"/>
          </w:tcPr>
          <w:p w14:paraId="23692083">
            <w:pPr>
              <w:autoSpaceDE w:val="0"/>
              <w:autoSpaceDN w:val="0"/>
              <w:spacing w:line="360" w:lineRule="auto"/>
              <w:jc w:val="center"/>
              <w:rPr>
                <w:rFonts w:ascii="宋体" w:hAnsi="宋体" w:cs="仿宋_GB2312"/>
                <w:color w:val="auto"/>
                <w:sz w:val="24"/>
                <w:highlight w:val="none"/>
              </w:rPr>
            </w:pPr>
          </w:p>
        </w:tc>
        <w:tc>
          <w:tcPr>
            <w:tcW w:w="2122" w:type="dxa"/>
            <w:tcBorders>
              <w:top w:val="single" w:color="auto" w:sz="6" w:space="0"/>
              <w:left w:val="single" w:color="auto" w:sz="4" w:space="0"/>
              <w:bottom w:val="single" w:color="auto" w:sz="6" w:space="0"/>
              <w:right w:val="single" w:color="auto" w:sz="6" w:space="0"/>
            </w:tcBorders>
            <w:vAlign w:val="center"/>
          </w:tcPr>
          <w:p w14:paraId="5D721CAC">
            <w:pPr>
              <w:autoSpaceDE w:val="0"/>
              <w:autoSpaceDN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安全生产考核合格证书编号（B证）</w:t>
            </w:r>
          </w:p>
        </w:tc>
        <w:tc>
          <w:tcPr>
            <w:tcW w:w="3322" w:type="dxa"/>
            <w:gridSpan w:val="2"/>
            <w:tcBorders>
              <w:top w:val="single" w:color="auto" w:sz="6" w:space="0"/>
              <w:left w:val="single" w:color="auto" w:sz="6" w:space="0"/>
              <w:bottom w:val="single" w:color="auto" w:sz="6" w:space="0"/>
              <w:right w:val="single" w:color="auto" w:sz="6" w:space="0"/>
            </w:tcBorders>
            <w:vAlign w:val="center"/>
          </w:tcPr>
          <w:p w14:paraId="0F39BD7C">
            <w:pPr>
              <w:autoSpaceDE w:val="0"/>
              <w:autoSpaceDN w:val="0"/>
              <w:spacing w:line="360" w:lineRule="auto"/>
              <w:jc w:val="center"/>
              <w:rPr>
                <w:rFonts w:ascii="宋体" w:hAnsi="宋体" w:cs="仿宋_GB2312"/>
                <w:color w:val="auto"/>
                <w:sz w:val="24"/>
                <w:highlight w:val="none"/>
              </w:rPr>
            </w:pPr>
          </w:p>
        </w:tc>
      </w:tr>
      <w:tr w14:paraId="16FF5A45">
        <w:tblPrEx>
          <w:tblCellMar>
            <w:top w:w="0" w:type="dxa"/>
            <w:left w:w="108" w:type="dxa"/>
            <w:bottom w:w="0" w:type="dxa"/>
            <w:right w:w="108" w:type="dxa"/>
          </w:tblCellMar>
        </w:tblPrEx>
        <w:trPr>
          <w:trHeight w:val="567" w:hRule="atLeast"/>
        </w:trPr>
        <w:tc>
          <w:tcPr>
            <w:tcW w:w="1949" w:type="dxa"/>
            <w:tcBorders>
              <w:top w:val="single" w:color="auto" w:sz="6" w:space="0"/>
              <w:left w:val="single" w:color="auto" w:sz="6" w:space="0"/>
              <w:bottom w:val="single" w:color="auto" w:sz="6" w:space="0"/>
              <w:right w:val="single" w:color="auto" w:sz="6" w:space="0"/>
            </w:tcBorders>
            <w:vAlign w:val="center"/>
          </w:tcPr>
          <w:p w14:paraId="0C9F93FE">
            <w:pPr>
              <w:autoSpaceDE w:val="0"/>
              <w:autoSpaceDN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其他资质情况</w:t>
            </w:r>
          </w:p>
        </w:tc>
        <w:tc>
          <w:tcPr>
            <w:tcW w:w="2485" w:type="dxa"/>
            <w:tcBorders>
              <w:top w:val="single" w:color="auto" w:sz="6" w:space="0"/>
              <w:left w:val="single" w:color="auto" w:sz="6" w:space="0"/>
              <w:bottom w:val="single" w:color="auto" w:sz="6" w:space="0"/>
              <w:right w:val="single" w:color="auto" w:sz="4" w:space="0"/>
            </w:tcBorders>
            <w:vAlign w:val="center"/>
          </w:tcPr>
          <w:p w14:paraId="22E45FF9">
            <w:pPr>
              <w:autoSpaceDE w:val="0"/>
              <w:autoSpaceDN w:val="0"/>
              <w:spacing w:line="360" w:lineRule="auto"/>
              <w:jc w:val="center"/>
              <w:rPr>
                <w:rFonts w:ascii="宋体" w:hAnsi="宋体" w:cs="仿宋_GB2312"/>
                <w:color w:val="auto"/>
                <w:sz w:val="24"/>
                <w:highlight w:val="none"/>
              </w:rPr>
            </w:pPr>
          </w:p>
        </w:tc>
        <w:tc>
          <w:tcPr>
            <w:tcW w:w="2122" w:type="dxa"/>
            <w:tcBorders>
              <w:top w:val="single" w:color="auto" w:sz="6" w:space="0"/>
              <w:left w:val="single" w:color="auto" w:sz="4" w:space="0"/>
              <w:bottom w:val="single" w:color="auto" w:sz="6" w:space="0"/>
              <w:right w:val="single" w:color="auto" w:sz="6" w:space="0"/>
            </w:tcBorders>
            <w:vAlign w:val="center"/>
          </w:tcPr>
          <w:p w14:paraId="7AA4827E">
            <w:pPr>
              <w:autoSpaceDE w:val="0"/>
              <w:autoSpaceDN w:val="0"/>
              <w:spacing w:line="360" w:lineRule="auto"/>
              <w:jc w:val="center"/>
              <w:rPr>
                <w:rFonts w:ascii="宋体" w:hAnsi="宋体" w:cs="仿宋_GB2312"/>
                <w:color w:val="auto"/>
                <w:sz w:val="24"/>
                <w:highlight w:val="none"/>
              </w:rPr>
            </w:pPr>
            <w:r>
              <w:rPr>
                <w:rFonts w:hint="eastAsia" w:ascii="宋体" w:hAnsi="宋体" w:cs="仿宋_GB2312"/>
                <w:b/>
                <w:bCs/>
                <w:color w:val="auto"/>
                <w:sz w:val="24"/>
                <w:highlight w:val="none"/>
              </w:rPr>
              <w:t>有无在建项目</w:t>
            </w:r>
          </w:p>
        </w:tc>
        <w:tc>
          <w:tcPr>
            <w:tcW w:w="3322" w:type="dxa"/>
            <w:gridSpan w:val="2"/>
            <w:tcBorders>
              <w:top w:val="single" w:color="auto" w:sz="6" w:space="0"/>
              <w:left w:val="single" w:color="auto" w:sz="6" w:space="0"/>
              <w:bottom w:val="single" w:color="auto" w:sz="6" w:space="0"/>
              <w:right w:val="single" w:color="auto" w:sz="6" w:space="0"/>
            </w:tcBorders>
            <w:vAlign w:val="center"/>
          </w:tcPr>
          <w:p w14:paraId="76512FEC">
            <w:pPr>
              <w:autoSpaceDE w:val="0"/>
              <w:autoSpaceDN w:val="0"/>
              <w:spacing w:line="360" w:lineRule="auto"/>
              <w:jc w:val="left"/>
              <w:rPr>
                <w:rFonts w:ascii="宋体" w:hAnsi="宋体" w:cs="仿宋_GB2312"/>
                <w:color w:val="auto"/>
                <w:sz w:val="24"/>
                <w:highlight w:val="none"/>
                <w:u w:val="single"/>
              </w:rPr>
            </w:pPr>
            <w:r>
              <w:rPr>
                <w:rFonts w:hint="eastAsia" w:ascii="宋体" w:hAnsi="宋体" w:cs="仿宋_GB2312"/>
                <w:color w:val="auto"/>
                <w:sz w:val="24"/>
                <w:highlight w:val="none"/>
              </w:rPr>
              <w:sym w:font="Wingdings 2" w:char="00A3"/>
            </w:r>
            <w:r>
              <w:rPr>
                <w:rFonts w:hint="eastAsia" w:ascii="宋体" w:hAnsi="宋体" w:cs="仿宋_GB2312"/>
                <w:color w:val="auto"/>
                <w:sz w:val="24"/>
                <w:highlight w:val="none"/>
              </w:rPr>
              <w:t>无；</w:t>
            </w:r>
            <w:r>
              <w:rPr>
                <w:rFonts w:hint="eastAsia" w:ascii="宋体" w:hAnsi="宋体" w:cs="仿宋_GB2312"/>
                <w:color w:val="auto"/>
                <w:sz w:val="24"/>
                <w:highlight w:val="none"/>
              </w:rPr>
              <w:sym w:font="Wingdings 2" w:char="00A3"/>
            </w:r>
            <w:r>
              <w:rPr>
                <w:rFonts w:hint="eastAsia" w:ascii="宋体" w:hAnsi="宋体" w:cs="仿宋_GB2312"/>
                <w:color w:val="auto"/>
                <w:sz w:val="24"/>
                <w:highlight w:val="none"/>
              </w:rPr>
              <w:t>有，</w:t>
            </w:r>
            <w:r>
              <w:rPr>
                <w:rFonts w:hint="eastAsia" w:ascii="宋体" w:hAnsi="宋体" w:cs="仿宋_GB2312"/>
                <w:color w:val="auto"/>
                <w:sz w:val="24"/>
                <w:highlight w:val="none"/>
                <w:u w:val="single"/>
              </w:rPr>
              <w:t xml:space="preserve">      </w:t>
            </w:r>
          </w:p>
        </w:tc>
      </w:tr>
      <w:tr w14:paraId="114EE336">
        <w:tblPrEx>
          <w:tblCellMar>
            <w:top w:w="0" w:type="dxa"/>
            <w:left w:w="108" w:type="dxa"/>
            <w:bottom w:w="0" w:type="dxa"/>
            <w:right w:w="108" w:type="dxa"/>
          </w:tblCellMar>
        </w:tblPrEx>
        <w:trPr>
          <w:trHeight w:val="567" w:hRule="atLeast"/>
        </w:trPr>
        <w:tc>
          <w:tcPr>
            <w:tcW w:w="9878" w:type="dxa"/>
            <w:gridSpan w:val="5"/>
            <w:tcBorders>
              <w:top w:val="single" w:color="auto" w:sz="6" w:space="0"/>
              <w:left w:val="single" w:color="auto" w:sz="6" w:space="0"/>
              <w:bottom w:val="single" w:color="auto" w:sz="6" w:space="0"/>
              <w:right w:val="single" w:color="auto" w:sz="6" w:space="0"/>
            </w:tcBorders>
            <w:vAlign w:val="center"/>
          </w:tcPr>
          <w:p w14:paraId="2D7721B3">
            <w:pPr>
              <w:autoSpaceDE w:val="0"/>
              <w:autoSpaceDN w:val="0"/>
              <w:spacing w:line="360" w:lineRule="auto"/>
              <w:jc w:val="center"/>
              <w:rPr>
                <w:rFonts w:ascii="宋体" w:hAnsi="宋体" w:cs="仿宋_GB2312"/>
                <w:color w:val="auto"/>
                <w:sz w:val="24"/>
                <w:highlight w:val="none"/>
              </w:rPr>
            </w:pPr>
            <w:r>
              <w:rPr>
                <w:rFonts w:hint="eastAsia" w:ascii="宋体" w:hAnsi="宋体" w:cs="仿宋_GB2312"/>
                <w:b/>
                <w:bCs/>
                <w:color w:val="auto"/>
                <w:sz w:val="24"/>
                <w:highlight w:val="none"/>
              </w:rPr>
              <w:t>工作履历</w:t>
            </w:r>
          </w:p>
        </w:tc>
      </w:tr>
      <w:tr w14:paraId="13E1B4A5">
        <w:tblPrEx>
          <w:tblCellMar>
            <w:top w:w="0" w:type="dxa"/>
            <w:left w:w="108" w:type="dxa"/>
            <w:bottom w:w="0" w:type="dxa"/>
            <w:right w:w="108" w:type="dxa"/>
          </w:tblCellMar>
        </w:tblPrEx>
        <w:trPr>
          <w:trHeight w:val="567" w:hRule="atLeast"/>
        </w:trPr>
        <w:tc>
          <w:tcPr>
            <w:tcW w:w="1949" w:type="dxa"/>
            <w:tcBorders>
              <w:top w:val="single" w:color="auto" w:sz="6" w:space="0"/>
              <w:left w:val="single" w:color="auto" w:sz="6" w:space="0"/>
              <w:bottom w:val="single" w:color="auto" w:sz="6" w:space="0"/>
              <w:right w:val="single" w:color="auto" w:sz="6" w:space="0"/>
            </w:tcBorders>
            <w:vAlign w:val="center"/>
          </w:tcPr>
          <w:p w14:paraId="26911511">
            <w:pPr>
              <w:pStyle w:val="957"/>
              <w:tabs>
                <w:tab w:val="left" w:pos="483"/>
              </w:tabs>
              <w:spacing w:before="104"/>
              <w:jc w:val="center"/>
              <w:rPr>
                <w:rFonts w:ascii="宋体" w:hAnsi="宋体" w:cs="仿宋_GB2312"/>
                <w:color w:val="auto"/>
                <w:sz w:val="24"/>
                <w:highlight w:val="none"/>
              </w:rPr>
            </w:pPr>
            <w:r>
              <w:rPr>
                <w:rFonts w:ascii="Times New Roman" w:hAnsi="Times New Roman" w:eastAsiaTheme="minorEastAsia"/>
                <w:color w:val="auto"/>
                <w:sz w:val="24"/>
                <w:highlight w:val="none"/>
                <w:shd w:val="clear" w:color="auto" w:fill="FFFFFF" w:themeFill="background1"/>
              </w:rPr>
              <w:t>起止时间</w:t>
            </w:r>
          </w:p>
        </w:tc>
        <w:tc>
          <w:tcPr>
            <w:tcW w:w="2485" w:type="dxa"/>
            <w:tcBorders>
              <w:top w:val="single" w:color="auto" w:sz="6" w:space="0"/>
              <w:left w:val="single" w:color="auto" w:sz="6" w:space="0"/>
              <w:bottom w:val="single" w:color="auto" w:sz="6" w:space="0"/>
              <w:right w:val="single" w:color="auto" w:sz="4" w:space="0"/>
            </w:tcBorders>
            <w:vAlign w:val="center"/>
          </w:tcPr>
          <w:p w14:paraId="07A108DF">
            <w:pPr>
              <w:pStyle w:val="957"/>
              <w:tabs>
                <w:tab w:val="left" w:pos="483"/>
              </w:tabs>
              <w:spacing w:before="104"/>
              <w:jc w:val="center"/>
              <w:rPr>
                <w:rFonts w:ascii="宋体" w:hAnsi="宋体" w:cs="仿宋_GB2312"/>
                <w:color w:val="auto"/>
                <w:sz w:val="24"/>
                <w:highlight w:val="none"/>
              </w:rPr>
            </w:pPr>
            <w:r>
              <w:rPr>
                <w:rFonts w:ascii="Times New Roman" w:hAnsi="Times New Roman" w:eastAsiaTheme="minorEastAsia"/>
                <w:color w:val="auto"/>
                <w:sz w:val="24"/>
                <w:highlight w:val="none"/>
                <w:shd w:val="clear" w:color="auto" w:fill="FFFFFF" w:themeFill="background1"/>
              </w:rPr>
              <w:t>任职单位</w:t>
            </w:r>
          </w:p>
        </w:tc>
        <w:tc>
          <w:tcPr>
            <w:tcW w:w="2122" w:type="dxa"/>
            <w:tcBorders>
              <w:top w:val="single" w:color="auto" w:sz="6" w:space="0"/>
              <w:left w:val="single" w:color="auto" w:sz="4" w:space="0"/>
              <w:bottom w:val="single" w:color="auto" w:sz="6" w:space="0"/>
              <w:right w:val="single" w:color="auto" w:sz="6" w:space="0"/>
            </w:tcBorders>
            <w:vAlign w:val="center"/>
          </w:tcPr>
          <w:p w14:paraId="29299890">
            <w:pPr>
              <w:pStyle w:val="957"/>
              <w:tabs>
                <w:tab w:val="left" w:pos="483"/>
              </w:tabs>
              <w:spacing w:before="104"/>
              <w:jc w:val="center"/>
              <w:rPr>
                <w:rFonts w:ascii="宋体" w:hAnsi="宋体" w:cs="仿宋_GB2312"/>
                <w:color w:val="auto"/>
                <w:sz w:val="24"/>
                <w:highlight w:val="none"/>
                <w:lang w:eastAsia="zh-CN"/>
              </w:rPr>
            </w:pPr>
            <w:r>
              <w:rPr>
                <w:rFonts w:ascii="Times New Roman" w:hAnsi="Times New Roman" w:eastAsiaTheme="minorEastAsia"/>
                <w:color w:val="auto"/>
                <w:sz w:val="24"/>
                <w:highlight w:val="none"/>
                <w:shd w:val="clear" w:color="auto" w:fill="FFFFFF" w:themeFill="background1"/>
              </w:rPr>
              <w:t>职务</w:t>
            </w:r>
          </w:p>
        </w:tc>
        <w:tc>
          <w:tcPr>
            <w:tcW w:w="3322" w:type="dxa"/>
            <w:gridSpan w:val="2"/>
            <w:tcBorders>
              <w:top w:val="single" w:color="auto" w:sz="6" w:space="0"/>
              <w:left w:val="single" w:color="auto" w:sz="6" w:space="0"/>
              <w:bottom w:val="single" w:color="auto" w:sz="6" w:space="0"/>
              <w:right w:val="single" w:color="auto" w:sz="6" w:space="0"/>
            </w:tcBorders>
            <w:vAlign w:val="center"/>
          </w:tcPr>
          <w:p w14:paraId="3C2B8A56">
            <w:pPr>
              <w:pStyle w:val="957"/>
              <w:tabs>
                <w:tab w:val="left" w:pos="483"/>
              </w:tabs>
              <w:spacing w:before="104"/>
              <w:jc w:val="center"/>
              <w:rPr>
                <w:rFonts w:ascii="宋体" w:hAnsi="宋体" w:cs="仿宋_GB2312"/>
                <w:color w:val="auto"/>
                <w:sz w:val="24"/>
                <w:highlight w:val="none"/>
              </w:rPr>
            </w:pPr>
            <w:r>
              <w:rPr>
                <w:rFonts w:ascii="Times New Roman" w:hAnsi="Times New Roman" w:eastAsiaTheme="minorEastAsia"/>
                <w:color w:val="auto"/>
                <w:sz w:val="24"/>
                <w:highlight w:val="none"/>
                <w:shd w:val="clear" w:color="auto" w:fill="FFFFFF" w:themeFill="background1"/>
              </w:rPr>
              <w:t>备注</w:t>
            </w:r>
          </w:p>
        </w:tc>
      </w:tr>
      <w:tr w14:paraId="115ABD0B">
        <w:tblPrEx>
          <w:tblCellMar>
            <w:top w:w="0" w:type="dxa"/>
            <w:left w:w="108" w:type="dxa"/>
            <w:bottom w:w="0" w:type="dxa"/>
            <w:right w:w="108" w:type="dxa"/>
          </w:tblCellMar>
        </w:tblPrEx>
        <w:trPr>
          <w:trHeight w:val="567" w:hRule="atLeast"/>
        </w:trPr>
        <w:tc>
          <w:tcPr>
            <w:tcW w:w="1949" w:type="dxa"/>
            <w:tcBorders>
              <w:top w:val="single" w:color="auto" w:sz="6" w:space="0"/>
              <w:left w:val="single" w:color="auto" w:sz="6" w:space="0"/>
              <w:bottom w:val="single" w:color="auto" w:sz="6" w:space="0"/>
              <w:right w:val="single" w:color="auto" w:sz="6" w:space="0"/>
            </w:tcBorders>
            <w:vAlign w:val="center"/>
          </w:tcPr>
          <w:p w14:paraId="611F4BDF">
            <w:pPr>
              <w:autoSpaceDE w:val="0"/>
              <w:autoSpaceDN w:val="0"/>
              <w:spacing w:line="360" w:lineRule="auto"/>
              <w:jc w:val="center"/>
              <w:rPr>
                <w:rFonts w:ascii="宋体" w:hAnsi="宋体" w:cs="仿宋_GB2312"/>
                <w:color w:val="auto"/>
                <w:sz w:val="24"/>
                <w:highlight w:val="none"/>
              </w:rPr>
            </w:pPr>
          </w:p>
        </w:tc>
        <w:tc>
          <w:tcPr>
            <w:tcW w:w="2485" w:type="dxa"/>
            <w:tcBorders>
              <w:top w:val="single" w:color="auto" w:sz="6" w:space="0"/>
              <w:left w:val="single" w:color="auto" w:sz="6" w:space="0"/>
              <w:bottom w:val="single" w:color="auto" w:sz="6" w:space="0"/>
              <w:right w:val="single" w:color="auto" w:sz="4" w:space="0"/>
            </w:tcBorders>
            <w:vAlign w:val="center"/>
          </w:tcPr>
          <w:p w14:paraId="11E8253E">
            <w:pPr>
              <w:autoSpaceDE w:val="0"/>
              <w:autoSpaceDN w:val="0"/>
              <w:spacing w:line="360" w:lineRule="auto"/>
              <w:jc w:val="center"/>
              <w:rPr>
                <w:rFonts w:ascii="宋体" w:hAnsi="宋体" w:cs="仿宋_GB2312"/>
                <w:color w:val="auto"/>
                <w:sz w:val="24"/>
                <w:highlight w:val="none"/>
              </w:rPr>
            </w:pPr>
          </w:p>
        </w:tc>
        <w:tc>
          <w:tcPr>
            <w:tcW w:w="2122" w:type="dxa"/>
            <w:tcBorders>
              <w:top w:val="single" w:color="auto" w:sz="6" w:space="0"/>
              <w:left w:val="single" w:color="auto" w:sz="4" w:space="0"/>
              <w:bottom w:val="single" w:color="auto" w:sz="6" w:space="0"/>
              <w:right w:val="single" w:color="auto" w:sz="6" w:space="0"/>
            </w:tcBorders>
            <w:vAlign w:val="center"/>
          </w:tcPr>
          <w:p w14:paraId="1E68663F">
            <w:pPr>
              <w:autoSpaceDE w:val="0"/>
              <w:autoSpaceDN w:val="0"/>
              <w:spacing w:line="360" w:lineRule="auto"/>
              <w:jc w:val="center"/>
              <w:rPr>
                <w:rFonts w:ascii="宋体" w:hAnsi="宋体" w:cs="仿宋_GB2312"/>
                <w:color w:val="auto"/>
                <w:sz w:val="24"/>
                <w:highlight w:val="none"/>
              </w:rPr>
            </w:pPr>
          </w:p>
        </w:tc>
        <w:tc>
          <w:tcPr>
            <w:tcW w:w="3322" w:type="dxa"/>
            <w:gridSpan w:val="2"/>
            <w:tcBorders>
              <w:top w:val="single" w:color="auto" w:sz="6" w:space="0"/>
              <w:left w:val="single" w:color="auto" w:sz="6" w:space="0"/>
              <w:bottom w:val="single" w:color="auto" w:sz="6" w:space="0"/>
              <w:right w:val="single" w:color="auto" w:sz="6" w:space="0"/>
            </w:tcBorders>
            <w:vAlign w:val="center"/>
          </w:tcPr>
          <w:p w14:paraId="5C1F3D7B">
            <w:pPr>
              <w:autoSpaceDE w:val="0"/>
              <w:autoSpaceDN w:val="0"/>
              <w:spacing w:line="360" w:lineRule="auto"/>
              <w:jc w:val="center"/>
              <w:rPr>
                <w:rFonts w:ascii="宋体" w:hAnsi="宋体" w:cs="仿宋_GB2312"/>
                <w:color w:val="auto"/>
                <w:sz w:val="24"/>
                <w:highlight w:val="none"/>
              </w:rPr>
            </w:pPr>
          </w:p>
        </w:tc>
      </w:tr>
      <w:tr w14:paraId="3CB9ECFF">
        <w:tblPrEx>
          <w:tblCellMar>
            <w:top w:w="0" w:type="dxa"/>
            <w:left w:w="108" w:type="dxa"/>
            <w:bottom w:w="0" w:type="dxa"/>
            <w:right w:w="108" w:type="dxa"/>
          </w:tblCellMar>
        </w:tblPrEx>
        <w:trPr>
          <w:trHeight w:val="567" w:hRule="atLeast"/>
        </w:trPr>
        <w:tc>
          <w:tcPr>
            <w:tcW w:w="1949" w:type="dxa"/>
            <w:tcBorders>
              <w:top w:val="single" w:color="auto" w:sz="6" w:space="0"/>
              <w:left w:val="single" w:color="auto" w:sz="6" w:space="0"/>
              <w:bottom w:val="single" w:color="auto" w:sz="6" w:space="0"/>
              <w:right w:val="single" w:color="auto" w:sz="6" w:space="0"/>
            </w:tcBorders>
            <w:vAlign w:val="center"/>
          </w:tcPr>
          <w:p w14:paraId="110A91AF">
            <w:pPr>
              <w:autoSpaceDE w:val="0"/>
              <w:autoSpaceDN w:val="0"/>
              <w:spacing w:line="360" w:lineRule="auto"/>
              <w:jc w:val="center"/>
              <w:rPr>
                <w:rFonts w:ascii="宋体" w:hAnsi="宋体" w:cs="仿宋_GB2312"/>
                <w:color w:val="auto"/>
                <w:sz w:val="24"/>
                <w:highlight w:val="none"/>
              </w:rPr>
            </w:pPr>
          </w:p>
        </w:tc>
        <w:tc>
          <w:tcPr>
            <w:tcW w:w="2485" w:type="dxa"/>
            <w:tcBorders>
              <w:top w:val="single" w:color="auto" w:sz="6" w:space="0"/>
              <w:left w:val="single" w:color="auto" w:sz="6" w:space="0"/>
              <w:bottom w:val="single" w:color="auto" w:sz="6" w:space="0"/>
              <w:right w:val="single" w:color="auto" w:sz="4" w:space="0"/>
            </w:tcBorders>
            <w:vAlign w:val="center"/>
          </w:tcPr>
          <w:p w14:paraId="5F0B62D1">
            <w:pPr>
              <w:autoSpaceDE w:val="0"/>
              <w:autoSpaceDN w:val="0"/>
              <w:spacing w:line="360" w:lineRule="auto"/>
              <w:jc w:val="center"/>
              <w:rPr>
                <w:rFonts w:ascii="宋体" w:hAnsi="宋体" w:cs="仿宋_GB2312"/>
                <w:color w:val="auto"/>
                <w:sz w:val="24"/>
                <w:highlight w:val="none"/>
              </w:rPr>
            </w:pPr>
          </w:p>
        </w:tc>
        <w:tc>
          <w:tcPr>
            <w:tcW w:w="2122" w:type="dxa"/>
            <w:tcBorders>
              <w:top w:val="single" w:color="auto" w:sz="6" w:space="0"/>
              <w:left w:val="single" w:color="auto" w:sz="4" w:space="0"/>
              <w:bottom w:val="single" w:color="auto" w:sz="6" w:space="0"/>
              <w:right w:val="single" w:color="auto" w:sz="6" w:space="0"/>
            </w:tcBorders>
            <w:vAlign w:val="center"/>
          </w:tcPr>
          <w:p w14:paraId="6F743675">
            <w:pPr>
              <w:autoSpaceDE w:val="0"/>
              <w:autoSpaceDN w:val="0"/>
              <w:spacing w:line="360" w:lineRule="auto"/>
              <w:jc w:val="center"/>
              <w:rPr>
                <w:rFonts w:ascii="宋体" w:hAnsi="宋体" w:cs="仿宋_GB2312"/>
                <w:color w:val="auto"/>
                <w:sz w:val="24"/>
                <w:highlight w:val="none"/>
              </w:rPr>
            </w:pPr>
          </w:p>
        </w:tc>
        <w:tc>
          <w:tcPr>
            <w:tcW w:w="3322" w:type="dxa"/>
            <w:gridSpan w:val="2"/>
            <w:tcBorders>
              <w:top w:val="single" w:color="auto" w:sz="6" w:space="0"/>
              <w:left w:val="single" w:color="auto" w:sz="6" w:space="0"/>
              <w:bottom w:val="single" w:color="auto" w:sz="6" w:space="0"/>
              <w:right w:val="single" w:color="auto" w:sz="6" w:space="0"/>
            </w:tcBorders>
            <w:vAlign w:val="center"/>
          </w:tcPr>
          <w:p w14:paraId="07B84633">
            <w:pPr>
              <w:autoSpaceDE w:val="0"/>
              <w:autoSpaceDN w:val="0"/>
              <w:spacing w:line="360" w:lineRule="auto"/>
              <w:jc w:val="center"/>
              <w:rPr>
                <w:rFonts w:ascii="宋体" w:hAnsi="宋体" w:cs="仿宋_GB2312"/>
                <w:color w:val="auto"/>
                <w:sz w:val="24"/>
                <w:highlight w:val="none"/>
              </w:rPr>
            </w:pPr>
          </w:p>
        </w:tc>
      </w:tr>
      <w:tr w14:paraId="4DA0586E">
        <w:tblPrEx>
          <w:tblCellMar>
            <w:top w:w="0" w:type="dxa"/>
            <w:left w:w="108" w:type="dxa"/>
            <w:bottom w:w="0" w:type="dxa"/>
            <w:right w:w="108" w:type="dxa"/>
          </w:tblCellMar>
        </w:tblPrEx>
        <w:trPr>
          <w:trHeight w:val="567" w:hRule="atLeast"/>
        </w:trPr>
        <w:tc>
          <w:tcPr>
            <w:tcW w:w="9878" w:type="dxa"/>
            <w:gridSpan w:val="5"/>
            <w:tcBorders>
              <w:top w:val="single" w:color="auto" w:sz="6" w:space="0"/>
              <w:left w:val="single" w:color="auto" w:sz="6" w:space="0"/>
              <w:bottom w:val="single" w:color="auto" w:sz="6" w:space="0"/>
              <w:right w:val="single" w:color="auto" w:sz="6" w:space="0"/>
            </w:tcBorders>
            <w:vAlign w:val="center"/>
          </w:tcPr>
          <w:p w14:paraId="69C2DE40">
            <w:pPr>
              <w:autoSpaceDE w:val="0"/>
              <w:autoSpaceDN w:val="0"/>
              <w:spacing w:line="360" w:lineRule="auto"/>
              <w:jc w:val="center"/>
              <w:rPr>
                <w:rFonts w:ascii="宋体" w:hAnsi="宋体" w:cs="仿宋_GB2312"/>
                <w:color w:val="auto"/>
                <w:sz w:val="24"/>
                <w:highlight w:val="none"/>
              </w:rPr>
            </w:pPr>
            <w:r>
              <w:rPr>
                <w:rFonts w:hint="eastAsia" w:ascii="宋体" w:hAnsi="宋体" w:cs="仿宋_GB2312"/>
                <w:b/>
                <w:bCs/>
                <w:color w:val="auto"/>
                <w:sz w:val="24"/>
                <w:highlight w:val="none"/>
              </w:rPr>
              <w:t>近年来管理实施业绩</w:t>
            </w:r>
          </w:p>
        </w:tc>
      </w:tr>
      <w:tr w14:paraId="1AEA23BB">
        <w:tblPrEx>
          <w:tblCellMar>
            <w:top w:w="0" w:type="dxa"/>
            <w:left w:w="108" w:type="dxa"/>
            <w:bottom w:w="0" w:type="dxa"/>
            <w:right w:w="108" w:type="dxa"/>
          </w:tblCellMar>
        </w:tblPrEx>
        <w:trPr>
          <w:trHeight w:val="567" w:hRule="atLeast"/>
        </w:trPr>
        <w:tc>
          <w:tcPr>
            <w:tcW w:w="4434" w:type="dxa"/>
            <w:gridSpan w:val="2"/>
            <w:tcBorders>
              <w:top w:val="single" w:color="auto" w:sz="6" w:space="0"/>
              <w:left w:val="single" w:color="auto" w:sz="6" w:space="0"/>
              <w:bottom w:val="single" w:color="auto" w:sz="6" w:space="0"/>
              <w:right w:val="single" w:color="auto" w:sz="6" w:space="0"/>
            </w:tcBorders>
            <w:vAlign w:val="center"/>
          </w:tcPr>
          <w:p w14:paraId="3A302750">
            <w:pPr>
              <w:pStyle w:val="957"/>
              <w:tabs>
                <w:tab w:val="left" w:pos="483"/>
              </w:tabs>
              <w:spacing w:before="104"/>
              <w:jc w:val="center"/>
              <w:rPr>
                <w:rFonts w:ascii="宋体" w:hAnsi="宋体" w:cs="仿宋_GB2312"/>
                <w:color w:val="auto"/>
                <w:sz w:val="24"/>
                <w:highlight w:val="none"/>
              </w:rPr>
            </w:pPr>
            <w:r>
              <w:rPr>
                <w:rFonts w:ascii="Times New Roman" w:hAnsi="Times New Roman" w:eastAsiaTheme="minorEastAsia"/>
                <w:color w:val="auto"/>
                <w:sz w:val="24"/>
                <w:highlight w:val="none"/>
                <w:shd w:val="clear" w:color="auto" w:fill="FFFFFF" w:themeFill="background1"/>
              </w:rPr>
              <w:t>项目名称</w:t>
            </w:r>
          </w:p>
        </w:tc>
        <w:tc>
          <w:tcPr>
            <w:tcW w:w="2122" w:type="dxa"/>
            <w:tcBorders>
              <w:top w:val="single" w:color="auto" w:sz="6" w:space="0"/>
              <w:left w:val="single" w:color="auto" w:sz="6" w:space="0"/>
              <w:bottom w:val="single" w:color="auto" w:sz="6" w:space="0"/>
              <w:right w:val="single" w:color="auto" w:sz="4" w:space="0"/>
            </w:tcBorders>
            <w:vAlign w:val="center"/>
          </w:tcPr>
          <w:p w14:paraId="447E5AC7">
            <w:pPr>
              <w:pStyle w:val="957"/>
              <w:tabs>
                <w:tab w:val="left" w:pos="483"/>
              </w:tabs>
              <w:spacing w:before="104"/>
              <w:jc w:val="center"/>
              <w:rPr>
                <w:rFonts w:ascii="宋体" w:hAnsi="宋体" w:cs="仿宋_GB2312"/>
                <w:color w:val="auto"/>
                <w:sz w:val="24"/>
                <w:highlight w:val="none"/>
              </w:rPr>
            </w:pPr>
            <w:r>
              <w:rPr>
                <w:rFonts w:ascii="Times New Roman" w:hAnsi="Times New Roman" w:eastAsiaTheme="minorEastAsia"/>
                <w:color w:val="auto"/>
                <w:sz w:val="24"/>
                <w:highlight w:val="none"/>
                <w:shd w:val="clear" w:color="auto" w:fill="FFFFFF" w:themeFill="background1"/>
              </w:rPr>
              <w:t>采购人</w:t>
            </w:r>
          </w:p>
        </w:tc>
        <w:tc>
          <w:tcPr>
            <w:tcW w:w="1564" w:type="dxa"/>
            <w:tcBorders>
              <w:top w:val="single" w:color="auto" w:sz="6" w:space="0"/>
              <w:left w:val="single" w:color="auto" w:sz="4" w:space="0"/>
              <w:bottom w:val="single" w:color="auto" w:sz="6" w:space="0"/>
              <w:right w:val="single" w:color="auto" w:sz="6" w:space="0"/>
            </w:tcBorders>
            <w:vAlign w:val="center"/>
          </w:tcPr>
          <w:p w14:paraId="273708A2">
            <w:pPr>
              <w:pStyle w:val="957"/>
              <w:tabs>
                <w:tab w:val="left" w:pos="483"/>
              </w:tabs>
              <w:spacing w:before="104"/>
              <w:jc w:val="center"/>
              <w:rPr>
                <w:rFonts w:ascii="宋体" w:hAnsi="宋体" w:cs="仿宋_GB2312"/>
                <w:color w:val="auto"/>
                <w:sz w:val="24"/>
                <w:highlight w:val="none"/>
                <w:lang w:eastAsia="zh-CN"/>
              </w:rPr>
            </w:pPr>
            <w:r>
              <w:rPr>
                <w:rFonts w:ascii="Times New Roman" w:hAnsi="Times New Roman" w:eastAsiaTheme="minorEastAsia"/>
                <w:color w:val="auto"/>
                <w:sz w:val="24"/>
                <w:highlight w:val="none"/>
                <w:shd w:val="clear" w:color="auto" w:fill="FFFFFF" w:themeFill="background1"/>
              </w:rPr>
              <w:t>起止年月</w:t>
            </w:r>
          </w:p>
        </w:tc>
        <w:tc>
          <w:tcPr>
            <w:tcW w:w="1758" w:type="dxa"/>
            <w:tcBorders>
              <w:top w:val="single" w:color="auto" w:sz="6" w:space="0"/>
              <w:left w:val="single" w:color="auto" w:sz="6" w:space="0"/>
              <w:bottom w:val="single" w:color="auto" w:sz="6" w:space="0"/>
              <w:right w:val="single" w:color="auto" w:sz="6" w:space="0"/>
            </w:tcBorders>
            <w:vAlign w:val="center"/>
          </w:tcPr>
          <w:p w14:paraId="3E62449D">
            <w:pPr>
              <w:pStyle w:val="957"/>
              <w:tabs>
                <w:tab w:val="left" w:pos="483"/>
              </w:tabs>
              <w:spacing w:before="104"/>
              <w:jc w:val="center"/>
              <w:rPr>
                <w:rFonts w:ascii="宋体" w:hAnsi="宋体" w:cs="仿宋_GB2312"/>
                <w:color w:val="auto"/>
                <w:sz w:val="24"/>
                <w:highlight w:val="none"/>
              </w:rPr>
            </w:pPr>
            <w:r>
              <w:rPr>
                <w:rFonts w:ascii="Times New Roman" w:hAnsi="Times New Roman" w:eastAsiaTheme="minorEastAsia"/>
                <w:color w:val="auto"/>
                <w:sz w:val="24"/>
                <w:highlight w:val="none"/>
                <w:shd w:val="clear" w:color="auto" w:fill="FFFFFF" w:themeFill="background1"/>
              </w:rPr>
              <w:t>该项目中任职</w:t>
            </w:r>
          </w:p>
        </w:tc>
      </w:tr>
      <w:tr w14:paraId="07D9141E">
        <w:tblPrEx>
          <w:tblCellMar>
            <w:top w:w="0" w:type="dxa"/>
            <w:left w:w="108" w:type="dxa"/>
            <w:bottom w:w="0" w:type="dxa"/>
            <w:right w:w="108" w:type="dxa"/>
          </w:tblCellMar>
        </w:tblPrEx>
        <w:trPr>
          <w:trHeight w:val="567" w:hRule="atLeast"/>
        </w:trPr>
        <w:tc>
          <w:tcPr>
            <w:tcW w:w="4434" w:type="dxa"/>
            <w:gridSpan w:val="2"/>
            <w:tcBorders>
              <w:top w:val="single" w:color="auto" w:sz="6" w:space="0"/>
              <w:left w:val="single" w:color="auto" w:sz="6" w:space="0"/>
              <w:bottom w:val="single" w:color="auto" w:sz="6" w:space="0"/>
              <w:right w:val="single" w:color="auto" w:sz="6" w:space="0"/>
            </w:tcBorders>
            <w:vAlign w:val="center"/>
          </w:tcPr>
          <w:p w14:paraId="16772BAC">
            <w:pPr>
              <w:autoSpaceDE w:val="0"/>
              <w:autoSpaceDN w:val="0"/>
              <w:spacing w:line="360" w:lineRule="auto"/>
              <w:jc w:val="center"/>
              <w:rPr>
                <w:rFonts w:ascii="宋体" w:hAnsi="宋体" w:cs="仿宋_GB2312"/>
                <w:color w:val="auto"/>
                <w:sz w:val="24"/>
                <w:highlight w:val="none"/>
              </w:rPr>
            </w:pPr>
          </w:p>
        </w:tc>
        <w:tc>
          <w:tcPr>
            <w:tcW w:w="2122" w:type="dxa"/>
            <w:tcBorders>
              <w:top w:val="single" w:color="auto" w:sz="6" w:space="0"/>
              <w:left w:val="single" w:color="auto" w:sz="6" w:space="0"/>
              <w:bottom w:val="single" w:color="auto" w:sz="6" w:space="0"/>
              <w:right w:val="single" w:color="auto" w:sz="4" w:space="0"/>
            </w:tcBorders>
            <w:vAlign w:val="center"/>
          </w:tcPr>
          <w:p w14:paraId="124EC5D7">
            <w:pPr>
              <w:autoSpaceDE w:val="0"/>
              <w:autoSpaceDN w:val="0"/>
              <w:spacing w:line="360" w:lineRule="auto"/>
              <w:jc w:val="center"/>
              <w:rPr>
                <w:rFonts w:ascii="宋体" w:hAnsi="宋体" w:cs="仿宋_GB2312"/>
                <w:color w:val="auto"/>
                <w:sz w:val="24"/>
                <w:highlight w:val="none"/>
              </w:rPr>
            </w:pPr>
          </w:p>
        </w:tc>
        <w:tc>
          <w:tcPr>
            <w:tcW w:w="1564" w:type="dxa"/>
            <w:tcBorders>
              <w:top w:val="single" w:color="auto" w:sz="6" w:space="0"/>
              <w:left w:val="single" w:color="auto" w:sz="4" w:space="0"/>
              <w:bottom w:val="single" w:color="auto" w:sz="6" w:space="0"/>
              <w:right w:val="single" w:color="auto" w:sz="6" w:space="0"/>
            </w:tcBorders>
            <w:vAlign w:val="center"/>
          </w:tcPr>
          <w:p w14:paraId="6DEEB9F2">
            <w:pPr>
              <w:autoSpaceDE w:val="0"/>
              <w:autoSpaceDN w:val="0"/>
              <w:spacing w:line="360" w:lineRule="auto"/>
              <w:jc w:val="center"/>
              <w:rPr>
                <w:rFonts w:ascii="宋体" w:hAnsi="宋体" w:cs="仿宋_GB2312"/>
                <w:color w:val="auto"/>
                <w:sz w:val="24"/>
                <w:highlight w:val="none"/>
              </w:rPr>
            </w:pPr>
          </w:p>
        </w:tc>
        <w:tc>
          <w:tcPr>
            <w:tcW w:w="1758" w:type="dxa"/>
            <w:tcBorders>
              <w:top w:val="single" w:color="auto" w:sz="6" w:space="0"/>
              <w:left w:val="single" w:color="auto" w:sz="6" w:space="0"/>
              <w:bottom w:val="single" w:color="auto" w:sz="6" w:space="0"/>
              <w:right w:val="single" w:color="auto" w:sz="6" w:space="0"/>
            </w:tcBorders>
            <w:vAlign w:val="center"/>
          </w:tcPr>
          <w:p w14:paraId="29C3E0B0">
            <w:pPr>
              <w:autoSpaceDE w:val="0"/>
              <w:autoSpaceDN w:val="0"/>
              <w:spacing w:line="360" w:lineRule="auto"/>
              <w:jc w:val="center"/>
              <w:rPr>
                <w:rFonts w:ascii="宋体" w:hAnsi="宋体" w:cs="仿宋_GB2312"/>
                <w:color w:val="auto"/>
                <w:sz w:val="24"/>
                <w:highlight w:val="none"/>
              </w:rPr>
            </w:pPr>
          </w:p>
        </w:tc>
      </w:tr>
      <w:tr w14:paraId="3B38DAA1">
        <w:tblPrEx>
          <w:tblCellMar>
            <w:top w:w="0" w:type="dxa"/>
            <w:left w:w="108" w:type="dxa"/>
            <w:bottom w:w="0" w:type="dxa"/>
            <w:right w:w="108" w:type="dxa"/>
          </w:tblCellMar>
        </w:tblPrEx>
        <w:trPr>
          <w:trHeight w:val="567" w:hRule="atLeast"/>
        </w:trPr>
        <w:tc>
          <w:tcPr>
            <w:tcW w:w="4434" w:type="dxa"/>
            <w:gridSpan w:val="2"/>
            <w:tcBorders>
              <w:top w:val="single" w:color="auto" w:sz="6" w:space="0"/>
              <w:left w:val="single" w:color="auto" w:sz="6" w:space="0"/>
              <w:bottom w:val="single" w:color="auto" w:sz="6" w:space="0"/>
              <w:right w:val="single" w:color="auto" w:sz="6" w:space="0"/>
            </w:tcBorders>
            <w:vAlign w:val="center"/>
          </w:tcPr>
          <w:p w14:paraId="79C3C9FB">
            <w:pPr>
              <w:autoSpaceDE w:val="0"/>
              <w:autoSpaceDN w:val="0"/>
              <w:spacing w:line="360" w:lineRule="auto"/>
              <w:jc w:val="center"/>
              <w:rPr>
                <w:rFonts w:ascii="宋体" w:hAnsi="宋体" w:cs="仿宋_GB2312"/>
                <w:color w:val="auto"/>
                <w:sz w:val="24"/>
                <w:highlight w:val="none"/>
              </w:rPr>
            </w:pPr>
          </w:p>
        </w:tc>
        <w:tc>
          <w:tcPr>
            <w:tcW w:w="2122" w:type="dxa"/>
            <w:tcBorders>
              <w:top w:val="single" w:color="auto" w:sz="6" w:space="0"/>
              <w:left w:val="single" w:color="auto" w:sz="6" w:space="0"/>
              <w:bottom w:val="single" w:color="auto" w:sz="6" w:space="0"/>
              <w:right w:val="single" w:color="auto" w:sz="4" w:space="0"/>
            </w:tcBorders>
            <w:vAlign w:val="center"/>
          </w:tcPr>
          <w:p w14:paraId="40552ED1">
            <w:pPr>
              <w:autoSpaceDE w:val="0"/>
              <w:autoSpaceDN w:val="0"/>
              <w:spacing w:line="360" w:lineRule="auto"/>
              <w:jc w:val="center"/>
              <w:rPr>
                <w:rFonts w:ascii="宋体" w:hAnsi="宋体" w:cs="仿宋_GB2312"/>
                <w:color w:val="auto"/>
                <w:sz w:val="24"/>
                <w:highlight w:val="none"/>
              </w:rPr>
            </w:pPr>
          </w:p>
        </w:tc>
        <w:tc>
          <w:tcPr>
            <w:tcW w:w="1564" w:type="dxa"/>
            <w:tcBorders>
              <w:top w:val="single" w:color="auto" w:sz="6" w:space="0"/>
              <w:left w:val="single" w:color="auto" w:sz="4" w:space="0"/>
              <w:bottom w:val="single" w:color="auto" w:sz="6" w:space="0"/>
              <w:right w:val="single" w:color="auto" w:sz="6" w:space="0"/>
            </w:tcBorders>
            <w:vAlign w:val="center"/>
          </w:tcPr>
          <w:p w14:paraId="17B39EC3">
            <w:pPr>
              <w:autoSpaceDE w:val="0"/>
              <w:autoSpaceDN w:val="0"/>
              <w:spacing w:line="360" w:lineRule="auto"/>
              <w:jc w:val="center"/>
              <w:rPr>
                <w:rFonts w:ascii="宋体" w:hAnsi="宋体" w:cs="仿宋_GB2312"/>
                <w:color w:val="auto"/>
                <w:sz w:val="24"/>
                <w:highlight w:val="none"/>
              </w:rPr>
            </w:pPr>
          </w:p>
        </w:tc>
        <w:tc>
          <w:tcPr>
            <w:tcW w:w="1758" w:type="dxa"/>
            <w:tcBorders>
              <w:top w:val="single" w:color="auto" w:sz="6" w:space="0"/>
              <w:left w:val="single" w:color="auto" w:sz="6" w:space="0"/>
              <w:bottom w:val="single" w:color="auto" w:sz="6" w:space="0"/>
              <w:right w:val="single" w:color="auto" w:sz="6" w:space="0"/>
            </w:tcBorders>
            <w:vAlign w:val="center"/>
          </w:tcPr>
          <w:p w14:paraId="2B722D9C">
            <w:pPr>
              <w:autoSpaceDE w:val="0"/>
              <w:autoSpaceDN w:val="0"/>
              <w:spacing w:line="360" w:lineRule="auto"/>
              <w:jc w:val="center"/>
              <w:rPr>
                <w:rFonts w:ascii="宋体" w:hAnsi="宋体" w:cs="仿宋_GB2312"/>
                <w:color w:val="auto"/>
                <w:sz w:val="24"/>
                <w:highlight w:val="none"/>
              </w:rPr>
            </w:pPr>
          </w:p>
        </w:tc>
      </w:tr>
    </w:tbl>
    <w:p w14:paraId="7EDE179F">
      <w:pPr>
        <w:pStyle w:val="969"/>
        <w:rPr>
          <w:rFonts w:hAnsi="宋体" w:cs="仿宋_GB2312"/>
          <w:b/>
          <w:color w:val="auto"/>
          <w:highlight w:val="none"/>
        </w:rPr>
      </w:pPr>
    </w:p>
    <w:p w14:paraId="0931FC38">
      <w:pPr>
        <w:autoSpaceDE w:val="0"/>
        <w:autoSpaceDN w:val="0"/>
        <w:spacing w:line="360" w:lineRule="auto"/>
        <w:rPr>
          <w:rFonts w:ascii="宋体" w:hAnsi="宋体" w:cs="仿宋_GB2312"/>
          <w:b/>
          <w:color w:val="auto"/>
          <w:sz w:val="24"/>
          <w:highlight w:val="none"/>
        </w:rPr>
      </w:pPr>
      <w:r>
        <w:rPr>
          <w:rFonts w:hint="eastAsia" w:ascii="宋体" w:hAnsi="宋体" w:cs="仿宋_GB2312"/>
          <w:b/>
          <w:color w:val="auto"/>
          <w:sz w:val="24"/>
          <w:highlight w:val="none"/>
        </w:rPr>
        <w:t>注：须随表提交相应的证书复印件、</w:t>
      </w:r>
      <w:r>
        <w:rPr>
          <w:rFonts w:hint="eastAsia" w:ascii="宋体" w:hAnsi="宋体" w:cs="仿宋_GB2312"/>
          <w:b/>
          <w:color w:val="auto"/>
          <w:sz w:val="24"/>
          <w:highlight w:val="none"/>
          <w:lang w:val="en-US" w:eastAsia="zh-CN"/>
        </w:rPr>
        <w:t>业绩证明、</w:t>
      </w:r>
      <w:r>
        <w:rPr>
          <w:rFonts w:hint="eastAsia" w:ascii="宋体" w:hAnsi="宋体" w:cs="仿宋_GB2312"/>
          <w:b/>
          <w:color w:val="auto"/>
          <w:sz w:val="24"/>
          <w:highlight w:val="none"/>
        </w:rPr>
        <w:t>近3个月内打印的缴纳社保记录。</w:t>
      </w:r>
    </w:p>
    <w:p w14:paraId="41FDBC91">
      <w:pPr>
        <w:autoSpaceDE w:val="0"/>
        <w:autoSpaceDN w:val="0"/>
        <w:spacing w:line="360" w:lineRule="auto"/>
        <w:rPr>
          <w:rFonts w:ascii="宋体" w:hAnsi="宋体" w:cs="仿宋_GB2312"/>
          <w:b/>
          <w:color w:val="auto"/>
          <w:sz w:val="24"/>
          <w:highlight w:val="none"/>
        </w:rPr>
      </w:pPr>
    </w:p>
    <w:p w14:paraId="6A9F2A48">
      <w:pPr>
        <w:keepNext/>
        <w:autoSpaceDE w:val="0"/>
        <w:autoSpaceDN w:val="0"/>
        <w:spacing w:line="360" w:lineRule="auto"/>
        <w:jc w:val="center"/>
        <w:rPr>
          <w:rFonts w:ascii="宋体" w:hAnsi="宋体" w:cs="仿宋_GB2312"/>
          <w:b/>
          <w:color w:val="auto"/>
          <w:sz w:val="24"/>
          <w:highlight w:val="none"/>
        </w:rPr>
      </w:pPr>
      <w:r>
        <w:rPr>
          <w:rFonts w:hint="eastAsia" w:ascii="宋体" w:hAnsi="宋体" w:cs="仿宋_GB2312"/>
          <w:b/>
          <w:color w:val="auto"/>
          <w:sz w:val="24"/>
          <w:highlight w:val="none"/>
        </w:rPr>
        <w:t>附表B：</w:t>
      </w:r>
      <w:r>
        <w:rPr>
          <w:rFonts w:ascii="宋体" w:hAnsi="宋体" w:cs="仿宋_GB2312"/>
          <w:b/>
          <w:color w:val="auto"/>
          <w:sz w:val="24"/>
          <w:highlight w:val="none"/>
        </w:rPr>
        <w:t>拟投入本项目的</w:t>
      </w:r>
      <w:r>
        <w:rPr>
          <w:rFonts w:hint="eastAsia" w:ascii="宋体" w:hAnsi="宋体" w:cs="仿宋_GB2312"/>
          <w:b/>
          <w:color w:val="auto"/>
          <w:sz w:val="24"/>
          <w:highlight w:val="none"/>
        </w:rPr>
        <w:t>所有</w:t>
      </w:r>
      <w:r>
        <w:rPr>
          <w:rFonts w:ascii="宋体" w:hAnsi="宋体" w:cs="仿宋_GB2312"/>
          <w:b/>
          <w:color w:val="auto"/>
          <w:sz w:val="24"/>
          <w:highlight w:val="none"/>
        </w:rPr>
        <w:t>人员组成表</w:t>
      </w:r>
    </w:p>
    <w:tbl>
      <w:tblPr>
        <w:tblStyle w:val="62"/>
        <w:tblW w:w="9854"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0" w:type="dxa"/>
          <w:bottom w:w="0" w:type="dxa"/>
          <w:right w:w="0" w:type="dxa"/>
        </w:tblCellMar>
      </w:tblPr>
      <w:tblGrid>
        <w:gridCol w:w="604"/>
        <w:gridCol w:w="1066"/>
        <w:gridCol w:w="834"/>
        <w:gridCol w:w="1169"/>
        <w:gridCol w:w="1296"/>
        <w:gridCol w:w="2399"/>
        <w:gridCol w:w="1314"/>
        <w:gridCol w:w="1172"/>
      </w:tblGrid>
      <w:tr w14:paraId="0D70896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0" w:type="dxa"/>
            <w:bottom w:w="0" w:type="dxa"/>
            <w:right w:w="0" w:type="dxa"/>
          </w:tblCellMar>
        </w:tblPrEx>
        <w:trPr>
          <w:trHeight w:val="669" w:hRule="atLeast"/>
          <w:jc w:val="center"/>
        </w:trPr>
        <w:tc>
          <w:tcPr>
            <w:tcW w:w="604" w:type="dxa"/>
            <w:vAlign w:val="center"/>
          </w:tcPr>
          <w:p w14:paraId="24D7AD44">
            <w:pPr>
              <w:spacing w:line="360" w:lineRule="auto"/>
              <w:jc w:val="center"/>
              <w:rPr>
                <w:rFonts w:ascii="宋体" w:hAnsi="宋体"/>
                <w:color w:val="auto"/>
                <w:sz w:val="24"/>
                <w:highlight w:val="none"/>
              </w:rPr>
            </w:pPr>
            <w:r>
              <w:rPr>
                <w:rFonts w:ascii="宋体" w:hAnsi="宋体"/>
                <w:color w:val="auto"/>
                <w:sz w:val="24"/>
                <w:highlight w:val="none"/>
              </w:rPr>
              <w:t>序号</w:t>
            </w:r>
          </w:p>
        </w:tc>
        <w:tc>
          <w:tcPr>
            <w:tcW w:w="1066" w:type="dxa"/>
            <w:vAlign w:val="center"/>
          </w:tcPr>
          <w:p w14:paraId="068DAE71">
            <w:pPr>
              <w:spacing w:line="360" w:lineRule="auto"/>
              <w:jc w:val="center"/>
              <w:rPr>
                <w:rFonts w:ascii="宋体" w:hAnsi="宋体"/>
                <w:color w:val="auto"/>
                <w:sz w:val="24"/>
                <w:highlight w:val="none"/>
              </w:rPr>
            </w:pPr>
            <w:r>
              <w:rPr>
                <w:rFonts w:ascii="宋体" w:hAnsi="宋体"/>
                <w:color w:val="auto"/>
                <w:sz w:val="24"/>
                <w:highlight w:val="none"/>
              </w:rPr>
              <w:t>姓名</w:t>
            </w:r>
          </w:p>
        </w:tc>
        <w:tc>
          <w:tcPr>
            <w:tcW w:w="834" w:type="dxa"/>
            <w:vAlign w:val="center"/>
          </w:tcPr>
          <w:p w14:paraId="34D66025">
            <w:pPr>
              <w:spacing w:line="360" w:lineRule="auto"/>
              <w:jc w:val="center"/>
              <w:rPr>
                <w:rFonts w:ascii="宋体" w:hAnsi="宋体"/>
                <w:color w:val="auto"/>
                <w:sz w:val="24"/>
                <w:highlight w:val="none"/>
              </w:rPr>
            </w:pPr>
            <w:r>
              <w:rPr>
                <w:rFonts w:ascii="宋体" w:hAnsi="宋体"/>
                <w:color w:val="auto"/>
                <w:sz w:val="24"/>
                <w:highlight w:val="none"/>
              </w:rPr>
              <w:t>年龄</w:t>
            </w:r>
          </w:p>
        </w:tc>
        <w:tc>
          <w:tcPr>
            <w:tcW w:w="1169" w:type="dxa"/>
            <w:vAlign w:val="center"/>
          </w:tcPr>
          <w:p w14:paraId="237DA132">
            <w:pPr>
              <w:spacing w:line="360" w:lineRule="auto"/>
              <w:jc w:val="center"/>
              <w:rPr>
                <w:rFonts w:ascii="宋体" w:hAnsi="宋体"/>
                <w:color w:val="auto"/>
                <w:sz w:val="24"/>
                <w:highlight w:val="none"/>
              </w:rPr>
            </w:pPr>
            <w:r>
              <w:rPr>
                <w:rFonts w:hint="eastAsia" w:ascii="宋体" w:hAnsi="宋体"/>
                <w:color w:val="auto"/>
                <w:sz w:val="24"/>
                <w:highlight w:val="none"/>
              </w:rPr>
              <w:t>性别</w:t>
            </w:r>
          </w:p>
        </w:tc>
        <w:tc>
          <w:tcPr>
            <w:tcW w:w="1296" w:type="dxa"/>
            <w:vAlign w:val="center"/>
          </w:tcPr>
          <w:p w14:paraId="24DB4E0E">
            <w:pPr>
              <w:spacing w:line="360" w:lineRule="auto"/>
              <w:jc w:val="center"/>
              <w:rPr>
                <w:rFonts w:ascii="宋体" w:hAnsi="宋体"/>
                <w:color w:val="auto"/>
                <w:sz w:val="24"/>
                <w:highlight w:val="none"/>
              </w:rPr>
            </w:pPr>
            <w:r>
              <w:rPr>
                <w:rFonts w:ascii="宋体" w:hAnsi="宋体"/>
                <w:color w:val="auto"/>
                <w:sz w:val="24"/>
                <w:highlight w:val="none"/>
              </w:rPr>
              <w:t>所从事专业</w:t>
            </w:r>
          </w:p>
        </w:tc>
        <w:tc>
          <w:tcPr>
            <w:tcW w:w="2399" w:type="dxa"/>
            <w:vAlign w:val="center"/>
          </w:tcPr>
          <w:p w14:paraId="2F449779">
            <w:pPr>
              <w:spacing w:line="360" w:lineRule="auto"/>
              <w:jc w:val="center"/>
              <w:rPr>
                <w:rFonts w:ascii="宋体" w:hAnsi="宋体"/>
                <w:color w:val="auto"/>
                <w:sz w:val="24"/>
                <w:highlight w:val="none"/>
              </w:rPr>
            </w:pPr>
            <w:r>
              <w:rPr>
                <w:rFonts w:ascii="宋体" w:hAnsi="宋体"/>
                <w:color w:val="auto"/>
                <w:sz w:val="24"/>
                <w:highlight w:val="none"/>
              </w:rPr>
              <w:t>拟担任何种专业岗位</w:t>
            </w:r>
          </w:p>
        </w:tc>
        <w:tc>
          <w:tcPr>
            <w:tcW w:w="1314" w:type="dxa"/>
            <w:vAlign w:val="center"/>
          </w:tcPr>
          <w:p w14:paraId="50B35A68">
            <w:pPr>
              <w:spacing w:line="360" w:lineRule="auto"/>
              <w:jc w:val="center"/>
              <w:rPr>
                <w:rFonts w:ascii="宋体" w:hAnsi="宋体"/>
                <w:color w:val="auto"/>
                <w:sz w:val="24"/>
                <w:highlight w:val="none"/>
              </w:rPr>
            </w:pPr>
            <w:r>
              <w:rPr>
                <w:rFonts w:hint="eastAsia" w:ascii="宋体" w:hAnsi="宋体"/>
                <w:color w:val="auto"/>
                <w:sz w:val="24"/>
                <w:highlight w:val="none"/>
              </w:rPr>
              <w:t>执业证书</w:t>
            </w:r>
          </w:p>
        </w:tc>
        <w:tc>
          <w:tcPr>
            <w:tcW w:w="1172" w:type="dxa"/>
            <w:vAlign w:val="center"/>
          </w:tcPr>
          <w:p w14:paraId="3D6900B8">
            <w:pPr>
              <w:spacing w:line="360" w:lineRule="auto"/>
              <w:jc w:val="center"/>
              <w:rPr>
                <w:rFonts w:ascii="宋体" w:hAnsi="宋体"/>
                <w:color w:val="auto"/>
                <w:sz w:val="24"/>
                <w:highlight w:val="none"/>
              </w:rPr>
            </w:pPr>
            <w:r>
              <w:rPr>
                <w:rFonts w:ascii="宋体" w:hAnsi="宋体"/>
                <w:color w:val="auto"/>
                <w:sz w:val="24"/>
                <w:highlight w:val="none"/>
              </w:rPr>
              <w:t>备注</w:t>
            </w:r>
          </w:p>
        </w:tc>
      </w:tr>
      <w:tr w14:paraId="3613B71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0" w:type="dxa"/>
            <w:bottom w:w="0" w:type="dxa"/>
            <w:right w:w="0" w:type="dxa"/>
          </w:tblCellMar>
        </w:tblPrEx>
        <w:trPr>
          <w:trHeight w:val="630" w:hRule="atLeast"/>
          <w:jc w:val="center"/>
        </w:trPr>
        <w:tc>
          <w:tcPr>
            <w:tcW w:w="604" w:type="dxa"/>
            <w:vAlign w:val="center"/>
          </w:tcPr>
          <w:p w14:paraId="05C5995F">
            <w:pPr>
              <w:spacing w:line="360" w:lineRule="auto"/>
              <w:jc w:val="center"/>
              <w:rPr>
                <w:rFonts w:ascii="宋体" w:hAnsi="宋体"/>
                <w:color w:val="auto"/>
                <w:sz w:val="24"/>
                <w:highlight w:val="none"/>
              </w:rPr>
            </w:pPr>
          </w:p>
        </w:tc>
        <w:tc>
          <w:tcPr>
            <w:tcW w:w="1066" w:type="dxa"/>
            <w:vAlign w:val="center"/>
          </w:tcPr>
          <w:p w14:paraId="74367AD2">
            <w:pPr>
              <w:spacing w:line="360" w:lineRule="auto"/>
              <w:jc w:val="center"/>
              <w:rPr>
                <w:rFonts w:ascii="宋体" w:hAnsi="宋体"/>
                <w:color w:val="auto"/>
                <w:sz w:val="24"/>
                <w:highlight w:val="none"/>
              </w:rPr>
            </w:pPr>
          </w:p>
        </w:tc>
        <w:tc>
          <w:tcPr>
            <w:tcW w:w="834" w:type="dxa"/>
            <w:vAlign w:val="center"/>
          </w:tcPr>
          <w:p w14:paraId="09662019">
            <w:pPr>
              <w:spacing w:line="360" w:lineRule="auto"/>
              <w:jc w:val="center"/>
              <w:rPr>
                <w:rFonts w:ascii="宋体" w:hAnsi="宋体"/>
                <w:color w:val="auto"/>
                <w:sz w:val="24"/>
                <w:highlight w:val="none"/>
              </w:rPr>
            </w:pPr>
          </w:p>
        </w:tc>
        <w:tc>
          <w:tcPr>
            <w:tcW w:w="1169" w:type="dxa"/>
            <w:vAlign w:val="center"/>
          </w:tcPr>
          <w:p w14:paraId="5F68B046">
            <w:pPr>
              <w:spacing w:line="360" w:lineRule="auto"/>
              <w:jc w:val="center"/>
              <w:rPr>
                <w:rFonts w:ascii="宋体" w:hAnsi="宋体"/>
                <w:color w:val="auto"/>
                <w:sz w:val="24"/>
                <w:highlight w:val="none"/>
              </w:rPr>
            </w:pPr>
          </w:p>
        </w:tc>
        <w:tc>
          <w:tcPr>
            <w:tcW w:w="1296" w:type="dxa"/>
            <w:vAlign w:val="center"/>
          </w:tcPr>
          <w:p w14:paraId="481B3AEE">
            <w:pPr>
              <w:spacing w:line="360" w:lineRule="auto"/>
              <w:jc w:val="center"/>
              <w:rPr>
                <w:rFonts w:ascii="宋体" w:hAnsi="宋体"/>
                <w:color w:val="auto"/>
                <w:sz w:val="24"/>
                <w:highlight w:val="none"/>
              </w:rPr>
            </w:pPr>
          </w:p>
        </w:tc>
        <w:tc>
          <w:tcPr>
            <w:tcW w:w="2399" w:type="dxa"/>
            <w:vAlign w:val="center"/>
          </w:tcPr>
          <w:p w14:paraId="1B77C52A">
            <w:pPr>
              <w:spacing w:line="360" w:lineRule="auto"/>
              <w:jc w:val="center"/>
              <w:rPr>
                <w:rFonts w:ascii="宋体" w:hAnsi="宋体"/>
                <w:color w:val="auto"/>
                <w:sz w:val="24"/>
                <w:highlight w:val="none"/>
              </w:rPr>
            </w:pPr>
          </w:p>
        </w:tc>
        <w:tc>
          <w:tcPr>
            <w:tcW w:w="1314" w:type="dxa"/>
            <w:vAlign w:val="center"/>
          </w:tcPr>
          <w:p w14:paraId="26AF175A">
            <w:pPr>
              <w:spacing w:line="360" w:lineRule="auto"/>
              <w:jc w:val="center"/>
              <w:rPr>
                <w:rFonts w:ascii="宋体" w:hAnsi="宋体"/>
                <w:color w:val="auto"/>
                <w:sz w:val="24"/>
                <w:highlight w:val="none"/>
              </w:rPr>
            </w:pPr>
          </w:p>
        </w:tc>
        <w:tc>
          <w:tcPr>
            <w:tcW w:w="1172" w:type="dxa"/>
            <w:vAlign w:val="center"/>
          </w:tcPr>
          <w:p w14:paraId="04F1115D">
            <w:pPr>
              <w:spacing w:line="360" w:lineRule="auto"/>
              <w:jc w:val="center"/>
              <w:rPr>
                <w:rFonts w:ascii="宋体" w:hAnsi="宋体"/>
                <w:color w:val="auto"/>
                <w:sz w:val="24"/>
                <w:highlight w:val="none"/>
              </w:rPr>
            </w:pPr>
          </w:p>
        </w:tc>
      </w:tr>
      <w:tr w14:paraId="53C3FB0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0" w:type="dxa"/>
            <w:bottom w:w="0" w:type="dxa"/>
            <w:right w:w="0" w:type="dxa"/>
          </w:tblCellMar>
        </w:tblPrEx>
        <w:trPr>
          <w:trHeight w:val="630" w:hRule="atLeast"/>
          <w:jc w:val="center"/>
        </w:trPr>
        <w:tc>
          <w:tcPr>
            <w:tcW w:w="604" w:type="dxa"/>
            <w:vAlign w:val="center"/>
          </w:tcPr>
          <w:p w14:paraId="1D4AB39F">
            <w:pPr>
              <w:spacing w:line="360" w:lineRule="auto"/>
              <w:jc w:val="center"/>
              <w:rPr>
                <w:rFonts w:ascii="宋体" w:hAnsi="宋体"/>
                <w:color w:val="auto"/>
                <w:sz w:val="24"/>
                <w:highlight w:val="none"/>
              </w:rPr>
            </w:pPr>
          </w:p>
        </w:tc>
        <w:tc>
          <w:tcPr>
            <w:tcW w:w="1066" w:type="dxa"/>
            <w:vAlign w:val="center"/>
          </w:tcPr>
          <w:p w14:paraId="5FEA89E7">
            <w:pPr>
              <w:spacing w:line="360" w:lineRule="auto"/>
              <w:jc w:val="center"/>
              <w:rPr>
                <w:rFonts w:ascii="宋体" w:hAnsi="宋体"/>
                <w:color w:val="auto"/>
                <w:sz w:val="24"/>
                <w:highlight w:val="none"/>
              </w:rPr>
            </w:pPr>
          </w:p>
        </w:tc>
        <w:tc>
          <w:tcPr>
            <w:tcW w:w="834" w:type="dxa"/>
            <w:vAlign w:val="center"/>
          </w:tcPr>
          <w:p w14:paraId="38EB52A8">
            <w:pPr>
              <w:spacing w:line="360" w:lineRule="auto"/>
              <w:jc w:val="center"/>
              <w:rPr>
                <w:rFonts w:ascii="宋体" w:hAnsi="宋体"/>
                <w:color w:val="auto"/>
                <w:sz w:val="24"/>
                <w:highlight w:val="none"/>
              </w:rPr>
            </w:pPr>
          </w:p>
        </w:tc>
        <w:tc>
          <w:tcPr>
            <w:tcW w:w="1169" w:type="dxa"/>
            <w:vAlign w:val="center"/>
          </w:tcPr>
          <w:p w14:paraId="5181871B">
            <w:pPr>
              <w:spacing w:line="360" w:lineRule="auto"/>
              <w:jc w:val="center"/>
              <w:rPr>
                <w:rFonts w:ascii="宋体" w:hAnsi="宋体"/>
                <w:color w:val="auto"/>
                <w:sz w:val="24"/>
                <w:highlight w:val="none"/>
              </w:rPr>
            </w:pPr>
          </w:p>
        </w:tc>
        <w:tc>
          <w:tcPr>
            <w:tcW w:w="1296" w:type="dxa"/>
            <w:vAlign w:val="center"/>
          </w:tcPr>
          <w:p w14:paraId="3594DC40">
            <w:pPr>
              <w:spacing w:line="360" w:lineRule="auto"/>
              <w:jc w:val="center"/>
              <w:rPr>
                <w:rFonts w:ascii="宋体" w:hAnsi="宋体"/>
                <w:color w:val="auto"/>
                <w:sz w:val="24"/>
                <w:highlight w:val="none"/>
              </w:rPr>
            </w:pPr>
          </w:p>
        </w:tc>
        <w:tc>
          <w:tcPr>
            <w:tcW w:w="2399" w:type="dxa"/>
            <w:vAlign w:val="center"/>
          </w:tcPr>
          <w:p w14:paraId="23B8AF7C">
            <w:pPr>
              <w:spacing w:line="360" w:lineRule="auto"/>
              <w:jc w:val="center"/>
              <w:rPr>
                <w:rFonts w:ascii="宋体" w:hAnsi="宋体"/>
                <w:color w:val="auto"/>
                <w:sz w:val="24"/>
                <w:highlight w:val="none"/>
              </w:rPr>
            </w:pPr>
          </w:p>
        </w:tc>
        <w:tc>
          <w:tcPr>
            <w:tcW w:w="1314" w:type="dxa"/>
            <w:vAlign w:val="center"/>
          </w:tcPr>
          <w:p w14:paraId="7F77014E">
            <w:pPr>
              <w:spacing w:line="360" w:lineRule="auto"/>
              <w:jc w:val="center"/>
              <w:rPr>
                <w:rFonts w:ascii="宋体" w:hAnsi="宋体"/>
                <w:color w:val="auto"/>
                <w:sz w:val="24"/>
                <w:highlight w:val="none"/>
              </w:rPr>
            </w:pPr>
          </w:p>
        </w:tc>
        <w:tc>
          <w:tcPr>
            <w:tcW w:w="1172" w:type="dxa"/>
            <w:vAlign w:val="center"/>
          </w:tcPr>
          <w:p w14:paraId="314905DD">
            <w:pPr>
              <w:spacing w:line="360" w:lineRule="auto"/>
              <w:jc w:val="center"/>
              <w:rPr>
                <w:rFonts w:ascii="宋体" w:hAnsi="宋体"/>
                <w:color w:val="auto"/>
                <w:sz w:val="24"/>
                <w:highlight w:val="none"/>
              </w:rPr>
            </w:pPr>
          </w:p>
        </w:tc>
      </w:tr>
      <w:tr w14:paraId="40DFD9E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0" w:type="dxa"/>
            <w:bottom w:w="0" w:type="dxa"/>
            <w:right w:w="0" w:type="dxa"/>
          </w:tblCellMar>
        </w:tblPrEx>
        <w:trPr>
          <w:trHeight w:val="630" w:hRule="atLeast"/>
          <w:jc w:val="center"/>
        </w:trPr>
        <w:tc>
          <w:tcPr>
            <w:tcW w:w="604" w:type="dxa"/>
            <w:vAlign w:val="center"/>
          </w:tcPr>
          <w:p w14:paraId="44C566F9">
            <w:pPr>
              <w:spacing w:line="360" w:lineRule="auto"/>
              <w:jc w:val="center"/>
              <w:rPr>
                <w:rFonts w:ascii="宋体" w:hAnsi="宋体"/>
                <w:color w:val="auto"/>
                <w:sz w:val="24"/>
                <w:highlight w:val="none"/>
              </w:rPr>
            </w:pPr>
          </w:p>
        </w:tc>
        <w:tc>
          <w:tcPr>
            <w:tcW w:w="1066" w:type="dxa"/>
            <w:vAlign w:val="center"/>
          </w:tcPr>
          <w:p w14:paraId="486AC295">
            <w:pPr>
              <w:spacing w:line="360" w:lineRule="auto"/>
              <w:jc w:val="center"/>
              <w:rPr>
                <w:rFonts w:ascii="宋体" w:hAnsi="宋体"/>
                <w:color w:val="auto"/>
                <w:sz w:val="24"/>
                <w:highlight w:val="none"/>
              </w:rPr>
            </w:pPr>
          </w:p>
        </w:tc>
        <w:tc>
          <w:tcPr>
            <w:tcW w:w="834" w:type="dxa"/>
            <w:vAlign w:val="center"/>
          </w:tcPr>
          <w:p w14:paraId="2EC4BF0F">
            <w:pPr>
              <w:spacing w:line="360" w:lineRule="auto"/>
              <w:jc w:val="center"/>
              <w:rPr>
                <w:rFonts w:ascii="宋体" w:hAnsi="宋体"/>
                <w:color w:val="auto"/>
                <w:sz w:val="24"/>
                <w:highlight w:val="none"/>
              </w:rPr>
            </w:pPr>
          </w:p>
        </w:tc>
        <w:tc>
          <w:tcPr>
            <w:tcW w:w="1169" w:type="dxa"/>
            <w:vAlign w:val="center"/>
          </w:tcPr>
          <w:p w14:paraId="1340BD1B">
            <w:pPr>
              <w:spacing w:line="360" w:lineRule="auto"/>
              <w:jc w:val="center"/>
              <w:rPr>
                <w:rFonts w:ascii="宋体" w:hAnsi="宋体"/>
                <w:color w:val="auto"/>
                <w:sz w:val="24"/>
                <w:highlight w:val="none"/>
              </w:rPr>
            </w:pPr>
          </w:p>
        </w:tc>
        <w:tc>
          <w:tcPr>
            <w:tcW w:w="1296" w:type="dxa"/>
            <w:vAlign w:val="center"/>
          </w:tcPr>
          <w:p w14:paraId="03EDCBF3">
            <w:pPr>
              <w:spacing w:line="360" w:lineRule="auto"/>
              <w:jc w:val="center"/>
              <w:rPr>
                <w:rFonts w:ascii="宋体" w:hAnsi="宋体"/>
                <w:color w:val="auto"/>
                <w:sz w:val="24"/>
                <w:highlight w:val="none"/>
              </w:rPr>
            </w:pPr>
          </w:p>
        </w:tc>
        <w:tc>
          <w:tcPr>
            <w:tcW w:w="2399" w:type="dxa"/>
            <w:vAlign w:val="center"/>
          </w:tcPr>
          <w:p w14:paraId="03370A57">
            <w:pPr>
              <w:spacing w:line="360" w:lineRule="auto"/>
              <w:jc w:val="center"/>
              <w:rPr>
                <w:rFonts w:ascii="宋体" w:hAnsi="宋体"/>
                <w:color w:val="auto"/>
                <w:sz w:val="24"/>
                <w:highlight w:val="none"/>
              </w:rPr>
            </w:pPr>
          </w:p>
        </w:tc>
        <w:tc>
          <w:tcPr>
            <w:tcW w:w="1314" w:type="dxa"/>
            <w:vAlign w:val="center"/>
          </w:tcPr>
          <w:p w14:paraId="55C31701">
            <w:pPr>
              <w:spacing w:line="360" w:lineRule="auto"/>
              <w:jc w:val="center"/>
              <w:rPr>
                <w:rFonts w:ascii="宋体" w:hAnsi="宋体"/>
                <w:color w:val="auto"/>
                <w:sz w:val="24"/>
                <w:highlight w:val="none"/>
              </w:rPr>
            </w:pPr>
          </w:p>
        </w:tc>
        <w:tc>
          <w:tcPr>
            <w:tcW w:w="1172" w:type="dxa"/>
            <w:vAlign w:val="center"/>
          </w:tcPr>
          <w:p w14:paraId="0F7D1DEC">
            <w:pPr>
              <w:spacing w:line="360" w:lineRule="auto"/>
              <w:jc w:val="center"/>
              <w:rPr>
                <w:rFonts w:ascii="宋体" w:hAnsi="宋体"/>
                <w:color w:val="auto"/>
                <w:sz w:val="24"/>
                <w:highlight w:val="none"/>
              </w:rPr>
            </w:pPr>
          </w:p>
        </w:tc>
      </w:tr>
      <w:tr w14:paraId="32ED30F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0" w:type="dxa"/>
            <w:bottom w:w="0" w:type="dxa"/>
            <w:right w:w="0" w:type="dxa"/>
          </w:tblCellMar>
        </w:tblPrEx>
        <w:trPr>
          <w:trHeight w:val="689" w:hRule="atLeast"/>
          <w:jc w:val="center"/>
        </w:trPr>
        <w:tc>
          <w:tcPr>
            <w:tcW w:w="604" w:type="dxa"/>
            <w:vAlign w:val="center"/>
          </w:tcPr>
          <w:p w14:paraId="70462484">
            <w:pPr>
              <w:spacing w:line="360" w:lineRule="auto"/>
              <w:jc w:val="center"/>
              <w:rPr>
                <w:rFonts w:ascii="宋体" w:hAnsi="宋体"/>
                <w:color w:val="auto"/>
                <w:sz w:val="24"/>
                <w:highlight w:val="none"/>
              </w:rPr>
            </w:pPr>
          </w:p>
        </w:tc>
        <w:tc>
          <w:tcPr>
            <w:tcW w:w="1066" w:type="dxa"/>
            <w:vAlign w:val="center"/>
          </w:tcPr>
          <w:p w14:paraId="6C4709CE">
            <w:pPr>
              <w:spacing w:line="360" w:lineRule="auto"/>
              <w:jc w:val="center"/>
              <w:rPr>
                <w:rFonts w:ascii="宋体" w:hAnsi="宋体"/>
                <w:color w:val="auto"/>
                <w:sz w:val="24"/>
                <w:highlight w:val="none"/>
              </w:rPr>
            </w:pPr>
          </w:p>
        </w:tc>
        <w:tc>
          <w:tcPr>
            <w:tcW w:w="834" w:type="dxa"/>
            <w:vAlign w:val="center"/>
          </w:tcPr>
          <w:p w14:paraId="7AA77CAE">
            <w:pPr>
              <w:spacing w:line="360" w:lineRule="auto"/>
              <w:jc w:val="center"/>
              <w:rPr>
                <w:rFonts w:ascii="宋体" w:hAnsi="宋体"/>
                <w:color w:val="auto"/>
                <w:sz w:val="24"/>
                <w:highlight w:val="none"/>
              </w:rPr>
            </w:pPr>
          </w:p>
        </w:tc>
        <w:tc>
          <w:tcPr>
            <w:tcW w:w="1169" w:type="dxa"/>
            <w:vAlign w:val="center"/>
          </w:tcPr>
          <w:p w14:paraId="2951D255">
            <w:pPr>
              <w:spacing w:line="360" w:lineRule="auto"/>
              <w:jc w:val="center"/>
              <w:rPr>
                <w:rFonts w:ascii="宋体" w:hAnsi="宋体"/>
                <w:color w:val="auto"/>
                <w:sz w:val="24"/>
                <w:highlight w:val="none"/>
              </w:rPr>
            </w:pPr>
          </w:p>
        </w:tc>
        <w:tc>
          <w:tcPr>
            <w:tcW w:w="1296" w:type="dxa"/>
            <w:vAlign w:val="center"/>
          </w:tcPr>
          <w:p w14:paraId="4C26EF02">
            <w:pPr>
              <w:spacing w:line="360" w:lineRule="auto"/>
              <w:jc w:val="center"/>
              <w:rPr>
                <w:rFonts w:ascii="宋体" w:hAnsi="宋体"/>
                <w:color w:val="auto"/>
                <w:sz w:val="24"/>
                <w:highlight w:val="none"/>
              </w:rPr>
            </w:pPr>
          </w:p>
        </w:tc>
        <w:tc>
          <w:tcPr>
            <w:tcW w:w="2399" w:type="dxa"/>
            <w:vAlign w:val="center"/>
          </w:tcPr>
          <w:p w14:paraId="55C28DE4">
            <w:pPr>
              <w:spacing w:line="360" w:lineRule="auto"/>
              <w:jc w:val="center"/>
              <w:rPr>
                <w:rFonts w:ascii="宋体" w:hAnsi="宋体"/>
                <w:color w:val="auto"/>
                <w:sz w:val="24"/>
                <w:highlight w:val="none"/>
              </w:rPr>
            </w:pPr>
          </w:p>
        </w:tc>
        <w:tc>
          <w:tcPr>
            <w:tcW w:w="1314" w:type="dxa"/>
            <w:vAlign w:val="center"/>
          </w:tcPr>
          <w:p w14:paraId="03A08061">
            <w:pPr>
              <w:spacing w:line="360" w:lineRule="auto"/>
              <w:jc w:val="center"/>
              <w:rPr>
                <w:rFonts w:ascii="宋体" w:hAnsi="宋体"/>
                <w:color w:val="auto"/>
                <w:sz w:val="24"/>
                <w:highlight w:val="none"/>
              </w:rPr>
            </w:pPr>
          </w:p>
        </w:tc>
        <w:tc>
          <w:tcPr>
            <w:tcW w:w="1172" w:type="dxa"/>
            <w:vAlign w:val="center"/>
          </w:tcPr>
          <w:p w14:paraId="49EA1EE1">
            <w:pPr>
              <w:spacing w:line="360" w:lineRule="auto"/>
              <w:jc w:val="center"/>
              <w:rPr>
                <w:rFonts w:ascii="宋体" w:hAnsi="宋体"/>
                <w:color w:val="auto"/>
                <w:sz w:val="24"/>
                <w:highlight w:val="none"/>
              </w:rPr>
            </w:pPr>
          </w:p>
        </w:tc>
      </w:tr>
    </w:tbl>
    <w:p w14:paraId="15B4F07E">
      <w:pPr>
        <w:autoSpaceDE w:val="0"/>
        <w:autoSpaceDN w:val="0"/>
        <w:spacing w:line="360" w:lineRule="auto"/>
        <w:rPr>
          <w:rFonts w:ascii="宋体" w:hAnsi="宋体" w:cs="仿宋_GB2312"/>
          <w:b/>
          <w:bCs/>
          <w:color w:val="auto"/>
          <w:sz w:val="30"/>
          <w:szCs w:val="30"/>
          <w:highlight w:val="none"/>
        </w:rPr>
      </w:pPr>
      <w:r>
        <w:rPr>
          <w:rFonts w:hint="eastAsia" w:ascii="宋体" w:hAnsi="宋体" w:cs="仿宋_GB2312"/>
          <w:b/>
          <w:color w:val="auto"/>
          <w:sz w:val="24"/>
          <w:highlight w:val="none"/>
        </w:rPr>
        <w:t>本项目小组人员证书，近3个月内打印的缴纳社保记录情况表</w:t>
      </w:r>
      <w:r>
        <w:rPr>
          <w:rFonts w:hint="eastAsia" w:ascii="宋体" w:hAnsi="宋体" w:cs="仿宋_GB2312"/>
          <w:color w:val="auto"/>
          <w:sz w:val="24"/>
          <w:highlight w:val="none"/>
        </w:rPr>
        <w:t>（以社保缴纳凭证作为附件）</w:t>
      </w:r>
    </w:p>
    <w:p w14:paraId="7155545F">
      <w:pPr>
        <w:snapToGrid w:val="0"/>
        <w:spacing w:line="360" w:lineRule="auto"/>
        <w:ind w:firstLine="34"/>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 xml:space="preserve">供应商名称(电子签名)：                              </w:t>
      </w:r>
    </w:p>
    <w:p w14:paraId="309FCA64">
      <w:pPr>
        <w:jc w:val="both"/>
        <w:rPr>
          <w:rFonts w:ascii="宋体" w:hAnsi="宋体" w:cs="宋体"/>
          <w:b/>
          <w:color w:val="auto"/>
          <w:kern w:val="0"/>
          <w:sz w:val="32"/>
          <w:szCs w:val="32"/>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 xml:space="preserve"> 日期：  年  月  日</w:t>
      </w:r>
    </w:p>
    <w:p w14:paraId="762346FF">
      <w:pPr>
        <w:jc w:val="center"/>
        <w:rPr>
          <w:rFonts w:ascii="宋体" w:hAnsi="宋体" w:cs="宋体"/>
          <w:b/>
          <w:color w:val="auto"/>
          <w:kern w:val="0"/>
          <w:sz w:val="32"/>
          <w:szCs w:val="32"/>
          <w:highlight w:val="none"/>
        </w:rPr>
      </w:pPr>
    </w:p>
    <w:p w14:paraId="0A24F3FB">
      <w:pPr>
        <w:jc w:val="center"/>
        <w:rPr>
          <w:rFonts w:ascii="宋体" w:hAnsi="宋体" w:cs="宋体"/>
          <w:b/>
          <w:color w:val="auto"/>
          <w:kern w:val="0"/>
          <w:sz w:val="32"/>
          <w:szCs w:val="32"/>
          <w:highlight w:val="none"/>
        </w:rPr>
      </w:pPr>
    </w:p>
    <w:p w14:paraId="10B23452">
      <w:pPr>
        <w:jc w:val="center"/>
        <w:rPr>
          <w:rFonts w:ascii="宋体" w:hAnsi="宋体" w:cs="宋体"/>
          <w:b/>
          <w:color w:val="auto"/>
          <w:kern w:val="0"/>
          <w:sz w:val="32"/>
          <w:szCs w:val="32"/>
          <w:highlight w:val="none"/>
        </w:rPr>
      </w:pPr>
    </w:p>
    <w:p w14:paraId="74941A54">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D75C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910F8A9">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253C0474">
            <w:pPr>
              <w:jc w:val="center"/>
              <w:rPr>
                <w:rFonts w:ascii="宋体" w:hAnsi="宋体" w:cs="宋体"/>
                <w:b/>
                <w:bCs/>
                <w:color w:val="auto"/>
                <w:sz w:val="24"/>
                <w:highlight w:val="none"/>
              </w:rPr>
            </w:pPr>
            <w:r>
              <w:rPr>
                <w:rFonts w:hint="eastAsia" w:ascii="宋体" w:hAnsi="宋体" w:cs="宋体"/>
                <w:b/>
                <w:bCs/>
                <w:color w:val="auto"/>
                <w:sz w:val="24"/>
                <w:highlight w:val="none"/>
              </w:rPr>
              <w:t>采购文件章节及具体内容</w:t>
            </w:r>
          </w:p>
        </w:tc>
        <w:tc>
          <w:tcPr>
            <w:tcW w:w="3546" w:type="dxa"/>
          </w:tcPr>
          <w:p w14:paraId="11B92A55">
            <w:pPr>
              <w:jc w:val="center"/>
              <w:rPr>
                <w:rFonts w:ascii="宋体" w:hAnsi="宋体" w:cs="宋体"/>
                <w:b/>
                <w:bCs/>
                <w:color w:val="auto"/>
                <w:sz w:val="24"/>
                <w:highlight w:val="none"/>
              </w:rPr>
            </w:pPr>
            <w:r>
              <w:rPr>
                <w:rFonts w:hint="eastAsia" w:ascii="宋体" w:hAnsi="宋体" w:cs="宋体"/>
                <w:b/>
                <w:bCs/>
                <w:color w:val="auto"/>
                <w:sz w:val="24"/>
                <w:highlight w:val="none"/>
              </w:rPr>
              <w:t>响应文件章节及具体内容</w:t>
            </w:r>
          </w:p>
        </w:tc>
        <w:tc>
          <w:tcPr>
            <w:tcW w:w="1276" w:type="dxa"/>
          </w:tcPr>
          <w:p w14:paraId="323FF461">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30A38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38DFDF8">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68E5416D">
            <w:pPr>
              <w:jc w:val="center"/>
              <w:rPr>
                <w:rFonts w:ascii="宋体" w:hAnsi="宋体" w:cs="宋体"/>
                <w:b/>
                <w:color w:val="auto"/>
                <w:kern w:val="0"/>
                <w:sz w:val="32"/>
                <w:szCs w:val="32"/>
                <w:highlight w:val="none"/>
              </w:rPr>
            </w:pPr>
          </w:p>
        </w:tc>
        <w:tc>
          <w:tcPr>
            <w:tcW w:w="3546" w:type="dxa"/>
          </w:tcPr>
          <w:p w14:paraId="2864FD3B">
            <w:pPr>
              <w:jc w:val="center"/>
              <w:rPr>
                <w:rFonts w:ascii="宋体" w:hAnsi="宋体" w:cs="宋体"/>
                <w:b/>
                <w:color w:val="auto"/>
                <w:kern w:val="0"/>
                <w:sz w:val="32"/>
                <w:szCs w:val="32"/>
                <w:highlight w:val="none"/>
              </w:rPr>
            </w:pPr>
          </w:p>
        </w:tc>
        <w:tc>
          <w:tcPr>
            <w:tcW w:w="1276" w:type="dxa"/>
          </w:tcPr>
          <w:p w14:paraId="47BA4B41">
            <w:pPr>
              <w:jc w:val="center"/>
              <w:rPr>
                <w:rFonts w:ascii="宋体" w:hAnsi="宋体" w:cs="宋体"/>
                <w:b/>
                <w:color w:val="auto"/>
                <w:kern w:val="0"/>
                <w:sz w:val="32"/>
                <w:szCs w:val="32"/>
                <w:highlight w:val="none"/>
              </w:rPr>
            </w:pPr>
          </w:p>
        </w:tc>
      </w:tr>
      <w:tr w14:paraId="6F8B4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22D71D2">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504AE58C">
            <w:pPr>
              <w:jc w:val="center"/>
              <w:rPr>
                <w:rFonts w:ascii="宋体" w:hAnsi="宋体" w:cs="宋体"/>
                <w:b/>
                <w:color w:val="auto"/>
                <w:kern w:val="0"/>
                <w:sz w:val="32"/>
                <w:szCs w:val="32"/>
                <w:highlight w:val="none"/>
              </w:rPr>
            </w:pPr>
          </w:p>
        </w:tc>
        <w:tc>
          <w:tcPr>
            <w:tcW w:w="3546" w:type="dxa"/>
          </w:tcPr>
          <w:p w14:paraId="32244795">
            <w:pPr>
              <w:jc w:val="center"/>
              <w:rPr>
                <w:rFonts w:ascii="宋体" w:hAnsi="宋体" w:cs="宋体"/>
                <w:b/>
                <w:color w:val="auto"/>
                <w:kern w:val="0"/>
                <w:sz w:val="32"/>
                <w:szCs w:val="32"/>
                <w:highlight w:val="none"/>
              </w:rPr>
            </w:pPr>
          </w:p>
        </w:tc>
        <w:tc>
          <w:tcPr>
            <w:tcW w:w="1276" w:type="dxa"/>
          </w:tcPr>
          <w:p w14:paraId="1DA7626B">
            <w:pPr>
              <w:jc w:val="center"/>
              <w:rPr>
                <w:rFonts w:ascii="宋体" w:hAnsi="宋体" w:cs="宋体"/>
                <w:b/>
                <w:color w:val="auto"/>
                <w:kern w:val="0"/>
                <w:sz w:val="32"/>
                <w:szCs w:val="32"/>
                <w:highlight w:val="none"/>
              </w:rPr>
            </w:pPr>
          </w:p>
        </w:tc>
      </w:tr>
      <w:tr w14:paraId="5814D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EA3B84A">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63AC202B">
            <w:pPr>
              <w:jc w:val="center"/>
              <w:rPr>
                <w:rFonts w:ascii="宋体" w:hAnsi="宋体" w:cs="宋体"/>
                <w:b/>
                <w:color w:val="auto"/>
                <w:kern w:val="0"/>
                <w:sz w:val="32"/>
                <w:szCs w:val="32"/>
                <w:highlight w:val="none"/>
              </w:rPr>
            </w:pPr>
          </w:p>
        </w:tc>
        <w:tc>
          <w:tcPr>
            <w:tcW w:w="3546" w:type="dxa"/>
          </w:tcPr>
          <w:p w14:paraId="1F7A1637">
            <w:pPr>
              <w:jc w:val="center"/>
              <w:rPr>
                <w:rFonts w:ascii="宋体" w:hAnsi="宋体" w:cs="宋体"/>
                <w:b/>
                <w:color w:val="auto"/>
                <w:kern w:val="0"/>
                <w:sz w:val="32"/>
                <w:szCs w:val="32"/>
                <w:highlight w:val="none"/>
              </w:rPr>
            </w:pPr>
          </w:p>
        </w:tc>
        <w:tc>
          <w:tcPr>
            <w:tcW w:w="1276" w:type="dxa"/>
          </w:tcPr>
          <w:p w14:paraId="576248C4">
            <w:pPr>
              <w:jc w:val="center"/>
              <w:rPr>
                <w:rFonts w:ascii="宋体" w:hAnsi="宋体" w:cs="宋体"/>
                <w:b/>
                <w:color w:val="auto"/>
                <w:kern w:val="0"/>
                <w:sz w:val="32"/>
                <w:szCs w:val="32"/>
                <w:highlight w:val="none"/>
              </w:rPr>
            </w:pPr>
          </w:p>
        </w:tc>
      </w:tr>
    </w:tbl>
    <w:p w14:paraId="238E9173">
      <w:pPr>
        <w:jc w:val="left"/>
        <w:rPr>
          <w:rFonts w:ascii="宋体" w:hAnsi="宋体" w:cs="宋体"/>
          <w:color w:val="auto"/>
          <w:kern w:val="0"/>
          <w:sz w:val="24"/>
          <w:highlight w:val="none"/>
        </w:rPr>
      </w:pPr>
      <w:r>
        <w:rPr>
          <w:rFonts w:hint="eastAsia" w:ascii="宋体" w:hAnsi="宋体" w:cs="宋体"/>
          <w:color w:val="auto"/>
          <w:kern w:val="0"/>
          <w:sz w:val="24"/>
          <w:highlight w:val="none"/>
        </w:rPr>
        <w:t>供应商保证：除商务技术偏离表列出的偏离外，供应商响应采购文件的全部要求</w:t>
      </w:r>
    </w:p>
    <w:p w14:paraId="1568373F">
      <w:pPr>
        <w:jc w:val="center"/>
        <w:rPr>
          <w:rFonts w:ascii="宋体" w:hAnsi="宋体" w:cs="宋体"/>
          <w:b/>
          <w:color w:val="auto"/>
          <w:kern w:val="0"/>
          <w:sz w:val="32"/>
          <w:szCs w:val="32"/>
          <w:highlight w:val="none"/>
        </w:rPr>
      </w:pPr>
    </w:p>
    <w:p w14:paraId="37EDF551">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3E742550">
      <w:pPr>
        <w:pStyle w:val="7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2.本表格所反映的偏离情况与“符合性审查资料”、“评标标准相应的商务技术资料”不一致的，以“符合性审查资料”、“评标标准相应的商务技术资料”为准。</w:t>
      </w:r>
    </w:p>
    <w:p w14:paraId="35F1055D">
      <w:pPr>
        <w:pStyle w:val="79"/>
        <w:rPr>
          <w:rFonts w:ascii="宋体" w:hAnsi="宋体" w:cs="宋体"/>
          <w:color w:val="auto"/>
          <w:sz w:val="24"/>
          <w:highlight w:val="none"/>
        </w:rPr>
      </w:pPr>
      <w:r>
        <w:rPr>
          <w:rFonts w:hint="eastAsia" w:ascii="宋体" w:hAnsi="宋体" w:eastAsia="宋体" w:cs="宋体"/>
          <w:color w:val="auto"/>
          <w:kern w:val="2"/>
          <w:sz w:val="24"/>
          <w:szCs w:val="24"/>
          <w:highlight w:val="none"/>
          <w:lang w:val="en-US" w:eastAsia="zh-CN" w:bidi="ar-SA"/>
        </w:rPr>
        <w:t>3.投标人须保证：除商务技术偏离表列出的偏离外，投标人响应招标文件的全部非实质性要求。</w:t>
      </w:r>
    </w:p>
    <w:p w14:paraId="0817BCE9">
      <w:pPr>
        <w:ind w:firstLine="1911" w:firstLineChars="595"/>
        <w:rPr>
          <w:rFonts w:ascii="宋体" w:hAnsi="宋体" w:cs="宋体"/>
          <w:b/>
          <w:bCs/>
          <w:color w:val="auto"/>
          <w:sz w:val="32"/>
          <w:szCs w:val="32"/>
          <w:highlight w:val="none"/>
        </w:rPr>
        <w:sectPr>
          <w:footerReference r:id="rId12" w:type="first"/>
          <w:footerReference r:id="rId11" w:type="default"/>
          <w:pgSz w:w="11906" w:h="16838"/>
          <w:pgMar w:top="1440" w:right="1080" w:bottom="1440" w:left="1080" w:header="851" w:footer="992" w:gutter="0"/>
          <w:pgNumType w:fmt="decimal"/>
          <w:cols w:space="720" w:num="1"/>
          <w:titlePg/>
          <w:docGrid w:linePitch="312" w:charSpace="0"/>
        </w:sectPr>
      </w:pPr>
    </w:p>
    <w:p w14:paraId="668AB885">
      <w:pPr>
        <w:snapToGrid w:val="0"/>
        <w:jc w:val="center"/>
        <w:rPr>
          <w:rFonts w:ascii="宋体" w:hAnsi="宋体" w:cs="宋体"/>
          <w:b/>
          <w:color w:val="auto"/>
          <w:kern w:val="0"/>
          <w:sz w:val="32"/>
          <w:szCs w:val="32"/>
          <w:highlight w:val="none"/>
        </w:rPr>
      </w:pPr>
      <w:r>
        <w:rPr>
          <w:rFonts w:hint="eastAsia" w:ascii="宋体" w:hAnsi="宋体" w:cs="宋体"/>
          <w:b/>
          <w:bCs/>
          <w:color w:val="auto"/>
          <w:sz w:val="32"/>
          <w:szCs w:val="32"/>
          <w:highlight w:val="none"/>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C75692A">
      <w:pPr>
        <w:snapToGrid w:val="0"/>
        <w:spacing w:line="360" w:lineRule="auto"/>
        <w:rPr>
          <w:rFonts w:ascii="宋体" w:hAnsi="宋体" w:cs="宋体"/>
          <w:color w:val="auto"/>
          <w:sz w:val="24"/>
          <w:highlight w:val="none"/>
        </w:rPr>
      </w:pPr>
    </w:p>
    <w:p w14:paraId="5FDE4651">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杭州市美术职业学校</w:t>
      </w:r>
      <w:r>
        <w:rPr>
          <w:rFonts w:hint="eastAsia" w:ascii="宋体" w:hAnsi="宋体" w:cs="宋体"/>
          <w:color w:val="auto"/>
          <w:sz w:val="24"/>
          <w:highlight w:val="none"/>
        </w:rPr>
        <w:t>、</w:t>
      </w:r>
      <w:r>
        <w:rPr>
          <w:rFonts w:hint="eastAsia" w:ascii="宋体" w:hAnsi="宋体" w:cs="宋体"/>
          <w:color w:val="auto"/>
          <w:sz w:val="24"/>
          <w:highlight w:val="none"/>
          <w:lang w:eastAsia="zh-CN"/>
        </w:rPr>
        <w:t>杭州洲源招标代理有限公司</w:t>
      </w:r>
      <w:r>
        <w:rPr>
          <w:rFonts w:hint="eastAsia" w:ascii="宋体" w:hAnsi="宋体" w:cs="宋体"/>
          <w:color w:val="auto"/>
          <w:kern w:val="0"/>
          <w:sz w:val="24"/>
          <w:highlight w:val="none"/>
          <w:lang w:val="zh-CN"/>
        </w:rPr>
        <w:t>：</w:t>
      </w:r>
    </w:p>
    <w:p w14:paraId="12443B19">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2DE42C3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40C3BE8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2D8DABF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58EB141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7A124E9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五、不为项目有关人员个人装修住房、婚丧嫁娶、配偶子女工作安排等提供好处；</w:t>
      </w:r>
    </w:p>
    <w:p w14:paraId="46B13A4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3C2AC0E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5712BE6D">
      <w:pPr>
        <w:autoSpaceDE w:val="0"/>
        <w:autoSpaceDN w:val="0"/>
        <w:spacing w:line="360" w:lineRule="auto"/>
        <w:ind w:left="2"/>
        <w:jc w:val="left"/>
        <w:rPr>
          <w:rFonts w:ascii="宋体" w:hAnsi="宋体" w:cs="宋体"/>
          <w:color w:val="auto"/>
          <w:kern w:val="0"/>
          <w:sz w:val="24"/>
          <w:highlight w:val="none"/>
          <w:lang w:val="zh-CN"/>
        </w:rPr>
      </w:pPr>
    </w:p>
    <w:p w14:paraId="5E99FD33">
      <w:pPr>
        <w:autoSpaceDE w:val="0"/>
        <w:autoSpaceDN w:val="0"/>
        <w:spacing w:line="360" w:lineRule="auto"/>
        <w:ind w:left="2"/>
        <w:jc w:val="left"/>
        <w:rPr>
          <w:rFonts w:ascii="宋体" w:hAnsi="宋体" w:cs="宋体"/>
          <w:color w:val="auto"/>
          <w:kern w:val="0"/>
          <w:sz w:val="24"/>
          <w:highlight w:val="none"/>
          <w:lang w:val="zh-CN"/>
        </w:rPr>
      </w:pPr>
    </w:p>
    <w:p w14:paraId="1D98C063">
      <w:pPr>
        <w:autoSpaceDE w:val="0"/>
        <w:autoSpaceDN w:val="0"/>
        <w:spacing w:line="360" w:lineRule="auto"/>
        <w:ind w:left="2"/>
        <w:jc w:val="left"/>
        <w:rPr>
          <w:rFonts w:ascii="宋体" w:hAnsi="宋体" w:cs="宋体"/>
          <w:color w:val="auto"/>
          <w:kern w:val="0"/>
          <w:sz w:val="24"/>
          <w:highlight w:val="none"/>
          <w:lang w:val="zh-CN"/>
        </w:rPr>
      </w:pPr>
    </w:p>
    <w:p w14:paraId="1D61FAEB">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527BC36F">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091FADB8">
      <w:pPr>
        <w:spacing w:line="360" w:lineRule="auto"/>
        <w:jc w:val="center"/>
        <w:rPr>
          <w:rFonts w:ascii="宋体" w:hAnsi="宋体" w:cs="宋体"/>
          <w:b/>
          <w:bCs/>
          <w:color w:val="auto"/>
          <w:sz w:val="24"/>
          <w:highlight w:val="none"/>
        </w:rPr>
      </w:pPr>
    </w:p>
    <w:p w14:paraId="0846239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4D4C6AC">
      <w:pPr>
        <w:spacing w:line="360" w:lineRule="auto"/>
        <w:jc w:val="center"/>
        <w:rPr>
          <w:rFonts w:ascii="宋体" w:hAnsi="宋体" w:cs="宋体"/>
          <w:b/>
          <w:bCs/>
          <w:color w:val="auto"/>
          <w:sz w:val="24"/>
          <w:highlight w:val="none"/>
        </w:rPr>
        <w:sectPr>
          <w:pgSz w:w="11906" w:h="16838"/>
          <w:pgMar w:top="1440" w:right="1080" w:bottom="1440" w:left="1080" w:header="851" w:footer="992" w:gutter="0"/>
          <w:pgNumType w:fmt="decimal"/>
          <w:cols w:space="720" w:num="1"/>
          <w:titlePg/>
          <w:docGrid w:linePitch="312" w:charSpace="0"/>
        </w:sectPr>
      </w:pPr>
    </w:p>
    <w:p w14:paraId="0A1B628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379E306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59C848A9">
      <w:pPr>
        <w:spacing w:line="360" w:lineRule="auto"/>
        <w:jc w:val="center"/>
        <w:outlineLvl w:val="0"/>
        <w:rPr>
          <w:rFonts w:ascii="宋体" w:hAnsi="宋体" w:cs="宋体"/>
          <w:b/>
          <w:color w:val="auto"/>
          <w:kern w:val="0"/>
          <w:sz w:val="36"/>
          <w:szCs w:val="36"/>
          <w:highlight w:val="none"/>
        </w:rPr>
      </w:pPr>
    </w:p>
    <w:p w14:paraId="5650E12C">
      <w:pPr>
        <w:numPr>
          <w:ilvl w:val="0"/>
          <w:numId w:val="9"/>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报价单…………………………………………………………………………（页码）</w:t>
      </w:r>
    </w:p>
    <w:p w14:paraId="45F8E0A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）已标价工程量清单……………………………………………………………（页码）</w:t>
      </w:r>
    </w:p>
    <w:p w14:paraId="450079E0">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如果有</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04B99200">
      <w:pPr>
        <w:pStyle w:val="80"/>
        <w:rPr>
          <w:color w:val="auto"/>
          <w:highlight w:val="none"/>
        </w:rPr>
      </w:pPr>
    </w:p>
    <w:p w14:paraId="5B47474F">
      <w:pPr>
        <w:snapToGrid w:val="0"/>
        <w:spacing w:line="360" w:lineRule="auto"/>
        <w:ind w:right="480"/>
        <w:jc w:val="center"/>
        <w:rPr>
          <w:rFonts w:ascii="宋体" w:hAnsi="宋体" w:cs="宋体"/>
          <w:b/>
          <w:color w:val="auto"/>
          <w:kern w:val="0"/>
          <w:sz w:val="32"/>
          <w:szCs w:val="32"/>
          <w:highlight w:val="none"/>
        </w:rPr>
      </w:pPr>
    </w:p>
    <w:p w14:paraId="185B3187">
      <w:pPr>
        <w:snapToGrid w:val="0"/>
        <w:spacing w:line="360" w:lineRule="auto"/>
        <w:ind w:right="480"/>
        <w:jc w:val="center"/>
        <w:rPr>
          <w:rFonts w:ascii="宋体" w:hAnsi="宋体" w:cs="宋体"/>
          <w:b/>
          <w:color w:val="auto"/>
          <w:kern w:val="0"/>
          <w:sz w:val="32"/>
          <w:szCs w:val="32"/>
          <w:highlight w:val="none"/>
        </w:rPr>
      </w:pPr>
    </w:p>
    <w:p w14:paraId="0C44D343">
      <w:pPr>
        <w:snapToGrid w:val="0"/>
        <w:spacing w:line="360" w:lineRule="auto"/>
        <w:ind w:right="480"/>
        <w:jc w:val="center"/>
        <w:rPr>
          <w:rFonts w:ascii="宋体" w:hAnsi="宋体" w:cs="宋体"/>
          <w:b/>
          <w:color w:val="auto"/>
          <w:kern w:val="0"/>
          <w:sz w:val="32"/>
          <w:szCs w:val="32"/>
          <w:highlight w:val="none"/>
        </w:rPr>
      </w:pPr>
    </w:p>
    <w:p w14:paraId="58D35FDD">
      <w:pPr>
        <w:snapToGrid w:val="0"/>
        <w:spacing w:line="360" w:lineRule="auto"/>
        <w:ind w:right="480"/>
        <w:jc w:val="center"/>
        <w:rPr>
          <w:rFonts w:ascii="宋体" w:hAnsi="宋体" w:cs="宋体"/>
          <w:b/>
          <w:color w:val="auto"/>
          <w:kern w:val="0"/>
          <w:sz w:val="32"/>
          <w:szCs w:val="32"/>
          <w:highlight w:val="none"/>
        </w:rPr>
      </w:pPr>
    </w:p>
    <w:p w14:paraId="132C44E5">
      <w:pPr>
        <w:snapToGrid w:val="0"/>
        <w:spacing w:line="360" w:lineRule="auto"/>
        <w:ind w:right="480"/>
        <w:jc w:val="center"/>
        <w:rPr>
          <w:rFonts w:ascii="宋体" w:hAnsi="宋体" w:cs="宋体"/>
          <w:b/>
          <w:color w:val="auto"/>
          <w:kern w:val="0"/>
          <w:sz w:val="32"/>
          <w:szCs w:val="32"/>
          <w:highlight w:val="none"/>
        </w:rPr>
      </w:pPr>
    </w:p>
    <w:p w14:paraId="06225D74">
      <w:pPr>
        <w:snapToGrid w:val="0"/>
        <w:spacing w:line="360" w:lineRule="auto"/>
        <w:ind w:right="480"/>
        <w:jc w:val="center"/>
        <w:rPr>
          <w:rFonts w:ascii="宋体" w:hAnsi="宋体" w:cs="宋体"/>
          <w:b/>
          <w:color w:val="auto"/>
          <w:kern w:val="0"/>
          <w:sz w:val="32"/>
          <w:szCs w:val="32"/>
          <w:highlight w:val="none"/>
        </w:rPr>
      </w:pPr>
    </w:p>
    <w:p w14:paraId="7E0C426A">
      <w:pPr>
        <w:snapToGrid w:val="0"/>
        <w:spacing w:line="360" w:lineRule="auto"/>
        <w:ind w:right="480"/>
        <w:jc w:val="center"/>
        <w:rPr>
          <w:rFonts w:ascii="宋体" w:hAnsi="宋体" w:cs="宋体"/>
          <w:b/>
          <w:color w:val="auto"/>
          <w:kern w:val="0"/>
          <w:sz w:val="32"/>
          <w:szCs w:val="32"/>
          <w:highlight w:val="none"/>
        </w:rPr>
      </w:pPr>
    </w:p>
    <w:p w14:paraId="070F4FAE">
      <w:pPr>
        <w:snapToGrid w:val="0"/>
        <w:spacing w:line="360" w:lineRule="auto"/>
        <w:ind w:right="480"/>
        <w:jc w:val="center"/>
        <w:rPr>
          <w:rFonts w:ascii="宋体" w:hAnsi="宋体" w:cs="宋体"/>
          <w:b/>
          <w:color w:val="auto"/>
          <w:kern w:val="0"/>
          <w:sz w:val="32"/>
          <w:szCs w:val="32"/>
          <w:highlight w:val="none"/>
        </w:rPr>
      </w:pPr>
    </w:p>
    <w:p w14:paraId="2080A078">
      <w:pPr>
        <w:snapToGrid w:val="0"/>
        <w:spacing w:line="360" w:lineRule="auto"/>
        <w:ind w:right="480"/>
        <w:jc w:val="center"/>
        <w:rPr>
          <w:rFonts w:ascii="宋体" w:hAnsi="宋体" w:cs="宋体"/>
          <w:b/>
          <w:color w:val="auto"/>
          <w:kern w:val="0"/>
          <w:sz w:val="32"/>
          <w:szCs w:val="32"/>
          <w:highlight w:val="none"/>
        </w:rPr>
      </w:pPr>
    </w:p>
    <w:p w14:paraId="4B73578F">
      <w:pPr>
        <w:snapToGrid w:val="0"/>
        <w:spacing w:line="360" w:lineRule="auto"/>
        <w:ind w:right="480"/>
        <w:jc w:val="center"/>
        <w:rPr>
          <w:rFonts w:ascii="宋体" w:hAnsi="宋体" w:cs="宋体"/>
          <w:b/>
          <w:color w:val="auto"/>
          <w:kern w:val="0"/>
          <w:sz w:val="32"/>
          <w:szCs w:val="32"/>
          <w:highlight w:val="none"/>
        </w:rPr>
      </w:pPr>
    </w:p>
    <w:p w14:paraId="17685E63">
      <w:pPr>
        <w:snapToGrid w:val="0"/>
        <w:spacing w:line="360" w:lineRule="auto"/>
        <w:ind w:right="480"/>
        <w:jc w:val="center"/>
        <w:rPr>
          <w:rFonts w:ascii="宋体" w:hAnsi="宋体" w:cs="宋体"/>
          <w:b/>
          <w:color w:val="auto"/>
          <w:kern w:val="0"/>
          <w:sz w:val="32"/>
          <w:szCs w:val="32"/>
          <w:highlight w:val="none"/>
        </w:rPr>
      </w:pPr>
    </w:p>
    <w:p w14:paraId="5DB8CD34">
      <w:pPr>
        <w:snapToGrid w:val="0"/>
        <w:spacing w:line="360" w:lineRule="auto"/>
        <w:ind w:right="480"/>
        <w:jc w:val="center"/>
        <w:rPr>
          <w:rFonts w:ascii="宋体" w:hAnsi="宋体" w:cs="宋体"/>
          <w:b/>
          <w:color w:val="auto"/>
          <w:kern w:val="0"/>
          <w:sz w:val="32"/>
          <w:szCs w:val="32"/>
          <w:highlight w:val="none"/>
        </w:rPr>
      </w:pPr>
    </w:p>
    <w:p w14:paraId="320791F0">
      <w:pPr>
        <w:snapToGrid w:val="0"/>
        <w:spacing w:line="360" w:lineRule="auto"/>
        <w:ind w:right="480"/>
        <w:jc w:val="center"/>
        <w:rPr>
          <w:rFonts w:ascii="宋体" w:hAnsi="宋体" w:cs="宋体"/>
          <w:b/>
          <w:color w:val="auto"/>
          <w:kern w:val="0"/>
          <w:sz w:val="32"/>
          <w:szCs w:val="32"/>
          <w:highlight w:val="none"/>
        </w:rPr>
      </w:pPr>
    </w:p>
    <w:p w14:paraId="16CCDA3B">
      <w:pPr>
        <w:snapToGrid w:val="0"/>
        <w:spacing w:line="360" w:lineRule="auto"/>
        <w:ind w:right="480"/>
        <w:jc w:val="center"/>
        <w:rPr>
          <w:rFonts w:ascii="宋体" w:hAnsi="宋体" w:cs="宋体"/>
          <w:b/>
          <w:color w:val="auto"/>
          <w:kern w:val="0"/>
          <w:sz w:val="32"/>
          <w:szCs w:val="32"/>
          <w:highlight w:val="none"/>
        </w:rPr>
      </w:pPr>
    </w:p>
    <w:p w14:paraId="501B6A16">
      <w:pPr>
        <w:snapToGrid w:val="0"/>
        <w:spacing w:line="360" w:lineRule="auto"/>
        <w:ind w:right="480"/>
        <w:jc w:val="center"/>
        <w:rPr>
          <w:rFonts w:ascii="宋体" w:hAnsi="宋体" w:cs="宋体"/>
          <w:b/>
          <w:color w:val="auto"/>
          <w:kern w:val="0"/>
          <w:sz w:val="32"/>
          <w:szCs w:val="32"/>
          <w:highlight w:val="none"/>
        </w:rPr>
      </w:pPr>
    </w:p>
    <w:p w14:paraId="2A018455">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footerReference r:id="rId15" w:type="first"/>
          <w:headerReference r:id="rId13" w:type="default"/>
          <w:footerReference r:id="rId14" w:type="default"/>
          <w:pgSz w:w="11906" w:h="16838"/>
          <w:pgMar w:top="1440" w:right="1080" w:bottom="1440" w:left="1080" w:header="851" w:footer="992" w:gutter="0"/>
          <w:pgNumType w:fmt="decimal"/>
          <w:cols w:space="720" w:num="1"/>
          <w:titlePg/>
          <w:docGrid w:linePitch="312" w:charSpace="0"/>
        </w:sectPr>
      </w:pPr>
    </w:p>
    <w:p w14:paraId="568401A9">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一、报价单</w:t>
      </w:r>
    </w:p>
    <w:p w14:paraId="0421FEA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杭州市美术职业学校</w:t>
      </w:r>
      <w:r>
        <w:rPr>
          <w:rFonts w:hint="eastAsia" w:ascii="宋体" w:hAnsi="宋体" w:cs="宋体"/>
          <w:color w:val="auto"/>
          <w:sz w:val="24"/>
          <w:highlight w:val="none"/>
        </w:rPr>
        <w:t>、</w:t>
      </w:r>
      <w:r>
        <w:rPr>
          <w:rFonts w:hint="eastAsia" w:ascii="宋体" w:hAnsi="宋体" w:cs="宋体"/>
          <w:color w:val="auto"/>
          <w:sz w:val="24"/>
          <w:highlight w:val="none"/>
          <w:lang w:eastAsia="zh-CN"/>
        </w:rPr>
        <w:t>杭州洲源招标代理有限公司</w:t>
      </w:r>
      <w:r>
        <w:rPr>
          <w:rFonts w:hint="eastAsia" w:ascii="宋体" w:hAnsi="宋体" w:cs="宋体"/>
          <w:color w:val="auto"/>
          <w:kern w:val="0"/>
          <w:sz w:val="24"/>
          <w:highlight w:val="none"/>
          <w:lang w:val="zh-CN"/>
        </w:rPr>
        <w:t>：</w:t>
      </w:r>
    </w:p>
    <w:p w14:paraId="296A2F4C">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按你方采购文件要求，我们，本响应文件签字方，谨此向你方发出要约如下：如你方接受本投标，我方承诺按照如下报价单的价格完成</w:t>
      </w:r>
      <w:r>
        <w:rPr>
          <w:rFonts w:hint="eastAsia" w:ascii="宋体" w:hAnsi="宋体" w:cs="宋体"/>
          <w:color w:val="auto"/>
          <w:sz w:val="24"/>
          <w:highlight w:val="none"/>
          <w:lang w:eastAsia="zh-CN"/>
        </w:rPr>
        <w:t>杭州市美术职业学校莫干校区实训楼外立面改造项目</w:t>
      </w:r>
      <w:r>
        <w:rPr>
          <w:rFonts w:hint="eastAsia" w:ascii="宋体" w:hAnsi="宋体" w:cs="宋体"/>
          <w:color w:val="auto"/>
          <w:kern w:val="0"/>
          <w:sz w:val="24"/>
          <w:highlight w:val="none"/>
          <w:lang w:val="zh-CN"/>
        </w:rPr>
        <w:t>【项目编号：</w:t>
      </w:r>
      <w:r>
        <w:rPr>
          <w:rFonts w:hint="eastAsia" w:ascii="宋体" w:hAnsi="宋体" w:cs="宋体"/>
          <w:color w:val="auto"/>
          <w:sz w:val="24"/>
          <w:highlight w:val="none"/>
          <w:lang w:eastAsia="zh-CN"/>
        </w:rPr>
        <w:t>ZYZB-CS-2025-014</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13787FE7">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报价单(单位均为人民币元)</w:t>
      </w:r>
    </w:p>
    <w:tbl>
      <w:tblPr>
        <w:tblStyle w:val="62"/>
        <w:tblW w:w="148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2185"/>
        <w:gridCol w:w="2612"/>
        <w:gridCol w:w="2413"/>
        <w:gridCol w:w="2012"/>
        <w:gridCol w:w="1875"/>
      </w:tblGrid>
      <w:tr w14:paraId="77ABD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951" w:type="dxa"/>
            <w:vAlign w:val="center"/>
          </w:tcPr>
          <w:p w14:paraId="66A925C8">
            <w:pPr>
              <w:snapToGrid w:val="0"/>
              <w:spacing w:line="360" w:lineRule="auto"/>
              <w:jc w:val="center"/>
              <w:rPr>
                <w:rFonts w:ascii="宋体" w:hAnsi="宋体" w:cs="宋体"/>
                <w:color w:val="auto"/>
                <w:sz w:val="24"/>
                <w:highlight w:val="none"/>
              </w:rPr>
            </w:pPr>
            <w:r>
              <w:rPr>
                <w:rFonts w:hint="eastAsia" w:ascii="宋体" w:hAnsi="宋体" w:cs="宋体"/>
                <w:b/>
                <w:color w:val="auto"/>
                <w:sz w:val="24"/>
                <w:highlight w:val="none"/>
              </w:rPr>
              <w:t>项目名称</w:t>
            </w:r>
          </w:p>
        </w:tc>
        <w:tc>
          <w:tcPr>
            <w:tcW w:w="1843" w:type="dxa"/>
            <w:vAlign w:val="center"/>
          </w:tcPr>
          <w:p w14:paraId="0EEF0CC1">
            <w:pPr>
              <w:snapToGrid w:val="0"/>
              <w:spacing w:line="360" w:lineRule="auto"/>
              <w:jc w:val="center"/>
              <w:rPr>
                <w:rFonts w:ascii="宋体" w:hAnsi="宋体" w:cs="宋体"/>
                <w:color w:val="auto"/>
                <w:sz w:val="24"/>
                <w:highlight w:val="none"/>
              </w:rPr>
            </w:pPr>
            <w:r>
              <w:rPr>
                <w:rFonts w:hint="eastAsia" w:ascii="宋体" w:hAnsi="宋体" w:cs="宋体"/>
                <w:b/>
                <w:color w:val="auto"/>
                <w:sz w:val="24"/>
                <w:highlight w:val="none"/>
              </w:rPr>
              <w:t>施工范围</w:t>
            </w:r>
          </w:p>
        </w:tc>
        <w:tc>
          <w:tcPr>
            <w:tcW w:w="2185" w:type="dxa"/>
            <w:vAlign w:val="center"/>
          </w:tcPr>
          <w:p w14:paraId="535AD6B8">
            <w:pPr>
              <w:snapToGrid w:val="0"/>
              <w:spacing w:line="360" w:lineRule="auto"/>
              <w:jc w:val="center"/>
              <w:rPr>
                <w:rFonts w:ascii="宋体" w:hAnsi="宋体" w:cs="宋体"/>
                <w:color w:val="auto"/>
                <w:sz w:val="24"/>
                <w:highlight w:val="none"/>
              </w:rPr>
            </w:pPr>
            <w:r>
              <w:rPr>
                <w:rFonts w:hint="eastAsia" w:ascii="宋体" w:hAnsi="宋体" w:cs="宋体"/>
                <w:b/>
                <w:color w:val="auto"/>
                <w:sz w:val="24"/>
                <w:highlight w:val="none"/>
              </w:rPr>
              <w:t>施工工期</w:t>
            </w:r>
          </w:p>
        </w:tc>
        <w:tc>
          <w:tcPr>
            <w:tcW w:w="2612" w:type="dxa"/>
            <w:vAlign w:val="center"/>
          </w:tcPr>
          <w:p w14:paraId="65E73F7F">
            <w:pPr>
              <w:spacing w:line="360" w:lineRule="auto"/>
              <w:jc w:val="center"/>
              <w:rPr>
                <w:rFonts w:ascii="宋体" w:hAnsi="宋体" w:cs="宋体"/>
                <w:color w:val="auto"/>
                <w:sz w:val="24"/>
                <w:highlight w:val="none"/>
              </w:rPr>
            </w:pPr>
            <w:r>
              <w:rPr>
                <w:rFonts w:hint="eastAsia" w:ascii="宋体" w:hAnsi="宋体" w:cs="宋体"/>
                <w:b/>
                <w:color w:val="auto"/>
                <w:sz w:val="24"/>
                <w:highlight w:val="none"/>
              </w:rPr>
              <w:t>项目经理</w:t>
            </w:r>
          </w:p>
        </w:tc>
        <w:tc>
          <w:tcPr>
            <w:tcW w:w="2413" w:type="dxa"/>
            <w:vAlign w:val="center"/>
          </w:tcPr>
          <w:p w14:paraId="5CFD9309">
            <w:pPr>
              <w:spacing w:line="360" w:lineRule="auto"/>
              <w:jc w:val="center"/>
              <w:rPr>
                <w:rFonts w:ascii="宋体" w:hAnsi="宋体" w:cs="宋体"/>
                <w:color w:val="auto"/>
                <w:sz w:val="24"/>
                <w:highlight w:val="none"/>
              </w:rPr>
            </w:pPr>
            <w:r>
              <w:rPr>
                <w:rFonts w:hint="eastAsia" w:ascii="宋体" w:hAnsi="宋体" w:cs="宋体"/>
                <w:b/>
                <w:color w:val="auto"/>
                <w:sz w:val="24"/>
                <w:highlight w:val="none"/>
              </w:rPr>
              <w:t>执业证书信息</w:t>
            </w:r>
          </w:p>
        </w:tc>
        <w:tc>
          <w:tcPr>
            <w:tcW w:w="2012" w:type="dxa"/>
            <w:vAlign w:val="center"/>
          </w:tcPr>
          <w:p w14:paraId="5AC99233">
            <w:pPr>
              <w:spacing w:line="360" w:lineRule="auto"/>
              <w:jc w:val="center"/>
              <w:rPr>
                <w:rFonts w:ascii="宋体" w:hAnsi="宋体" w:cs="宋体"/>
                <w:color w:val="auto"/>
                <w:sz w:val="24"/>
                <w:highlight w:val="none"/>
              </w:rPr>
            </w:pPr>
            <w:r>
              <w:rPr>
                <w:rFonts w:hint="eastAsia" w:ascii="宋体" w:hAnsi="宋体" w:cs="宋体"/>
                <w:b/>
                <w:color w:val="auto"/>
                <w:sz w:val="24"/>
                <w:highlight w:val="none"/>
                <w:lang w:val="en-US" w:eastAsia="zh-CN"/>
              </w:rPr>
              <w:t>质量标准</w:t>
            </w:r>
          </w:p>
        </w:tc>
        <w:tc>
          <w:tcPr>
            <w:tcW w:w="1875" w:type="dxa"/>
            <w:vAlign w:val="center"/>
          </w:tcPr>
          <w:p w14:paraId="4208D689">
            <w:pPr>
              <w:spacing w:line="360" w:lineRule="auto"/>
              <w:jc w:val="center"/>
              <w:rPr>
                <w:rFonts w:ascii="宋体" w:hAnsi="宋体" w:cs="宋体"/>
                <w:color w:val="auto"/>
                <w:sz w:val="24"/>
                <w:highlight w:val="none"/>
              </w:rPr>
            </w:pPr>
            <w:r>
              <w:rPr>
                <w:rFonts w:hint="eastAsia" w:ascii="宋体" w:hAnsi="宋体" w:cs="宋体"/>
                <w:b/>
                <w:color w:val="auto"/>
                <w:sz w:val="24"/>
                <w:highlight w:val="none"/>
              </w:rPr>
              <w:t>备注（如果有）</w:t>
            </w:r>
          </w:p>
        </w:tc>
      </w:tr>
      <w:tr w14:paraId="49855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14:paraId="6E110CD6">
            <w:pPr>
              <w:snapToGrid w:val="0"/>
              <w:spacing w:line="360" w:lineRule="auto"/>
              <w:jc w:val="center"/>
              <w:rPr>
                <w:rFonts w:ascii="宋体" w:hAnsi="宋体" w:cs="宋体"/>
                <w:color w:val="auto"/>
                <w:sz w:val="24"/>
                <w:highlight w:val="none"/>
              </w:rPr>
            </w:pPr>
          </w:p>
        </w:tc>
        <w:tc>
          <w:tcPr>
            <w:tcW w:w="1843" w:type="dxa"/>
            <w:vAlign w:val="center"/>
          </w:tcPr>
          <w:p w14:paraId="0DF529D8">
            <w:pPr>
              <w:snapToGrid w:val="0"/>
              <w:spacing w:line="360" w:lineRule="auto"/>
              <w:jc w:val="center"/>
              <w:rPr>
                <w:rFonts w:ascii="宋体" w:hAnsi="宋体" w:cs="宋体"/>
                <w:color w:val="auto"/>
                <w:sz w:val="24"/>
                <w:highlight w:val="none"/>
              </w:rPr>
            </w:pPr>
          </w:p>
        </w:tc>
        <w:tc>
          <w:tcPr>
            <w:tcW w:w="2185" w:type="dxa"/>
            <w:vAlign w:val="center"/>
          </w:tcPr>
          <w:p w14:paraId="2BBF1EE2">
            <w:pPr>
              <w:snapToGrid w:val="0"/>
              <w:spacing w:line="360" w:lineRule="auto"/>
              <w:jc w:val="center"/>
              <w:rPr>
                <w:rFonts w:ascii="宋体" w:hAnsi="宋体" w:cs="宋体"/>
                <w:color w:val="auto"/>
                <w:sz w:val="24"/>
                <w:highlight w:val="none"/>
              </w:rPr>
            </w:pPr>
          </w:p>
        </w:tc>
        <w:tc>
          <w:tcPr>
            <w:tcW w:w="2612" w:type="dxa"/>
            <w:vAlign w:val="center"/>
          </w:tcPr>
          <w:p w14:paraId="3A9DA786">
            <w:pPr>
              <w:spacing w:line="360" w:lineRule="auto"/>
              <w:jc w:val="center"/>
              <w:rPr>
                <w:rFonts w:ascii="宋体" w:hAnsi="宋体" w:cs="宋体"/>
                <w:color w:val="auto"/>
                <w:sz w:val="24"/>
                <w:highlight w:val="none"/>
              </w:rPr>
            </w:pPr>
          </w:p>
        </w:tc>
        <w:tc>
          <w:tcPr>
            <w:tcW w:w="2413" w:type="dxa"/>
            <w:vAlign w:val="center"/>
          </w:tcPr>
          <w:p w14:paraId="057F110C">
            <w:pPr>
              <w:spacing w:line="360" w:lineRule="auto"/>
              <w:jc w:val="center"/>
              <w:rPr>
                <w:rFonts w:ascii="宋体" w:hAnsi="宋体" w:cs="宋体"/>
                <w:color w:val="auto"/>
                <w:sz w:val="24"/>
                <w:highlight w:val="none"/>
              </w:rPr>
            </w:pPr>
          </w:p>
        </w:tc>
        <w:tc>
          <w:tcPr>
            <w:tcW w:w="2012" w:type="dxa"/>
            <w:vAlign w:val="center"/>
          </w:tcPr>
          <w:p w14:paraId="07BF4E4B">
            <w:pPr>
              <w:spacing w:line="360" w:lineRule="auto"/>
              <w:jc w:val="center"/>
              <w:rPr>
                <w:rFonts w:ascii="宋体" w:hAnsi="宋体" w:cs="宋体"/>
                <w:color w:val="auto"/>
                <w:sz w:val="24"/>
                <w:highlight w:val="none"/>
              </w:rPr>
            </w:pPr>
          </w:p>
        </w:tc>
        <w:tc>
          <w:tcPr>
            <w:tcW w:w="1875" w:type="dxa"/>
            <w:vAlign w:val="center"/>
          </w:tcPr>
          <w:p w14:paraId="55B11EBE">
            <w:pPr>
              <w:spacing w:line="360" w:lineRule="auto"/>
              <w:jc w:val="center"/>
              <w:rPr>
                <w:rFonts w:ascii="宋体" w:hAnsi="宋体" w:cs="宋体"/>
                <w:color w:val="auto"/>
                <w:sz w:val="24"/>
                <w:highlight w:val="none"/>
              </w:rPr>
            </w:pPr>
          </w:p>
        </w:tc>
      </w:tr>
      <w:tr w14:paraId="53C68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5979" w:type="dxa"/>
            <w:gridSpan w:val="3"/>
            <w:vAlign w:val="center"/>
          </w:tcPr>
          <w:p w14:paraId="092789D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磋商报价（小写）</w:t>
            </w:r>
          </w:p>
        </w:tc>
        <w:tc>
          <w:tcPr>
            <w:tcW w:w="8912" w:type="dxa"/>
            <w:gridSpan w:val="4"/>
            <w:vAlign w:val="center"/>
          </w:tcPr>
          <w:p w14:paraId="42A2673D">
            <w:pPr>
              <w:spacing w:line="360" w:lineRule="auto"/>
              <w:jc w:val="center"/>
              <w:rPr>
                <w:rFonts w:ascii="宋体" w:hAnsi="宋体" w:cs="宋体"/>
                <w:color w:val="auto"/>
                <w:sz w:val="24"/>
                <w:highlight w:val="none"/>
              </w:rPr>
            </w:pPr>
          </w:p>
        </w:tc>
      </w:tr>
      <w:tr w14:paraId="0E7CB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7" w:hRule="atLeast"/>
        </w:trPr>
        <w:tc>
          <w:tcPr>
            <w:tcW w:w="5979" w:type="dxa"/>
            <w:gridSpan w:val="3"/>
            <w:vAlign w:val="center"/>
          </w:tcPr>
          <w:p w14:paraId="5964150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磋商报价（大写）</w:t>
            </w:r>
          </w:p>
        </w:tc>
        <w:tc>
          <w:tcPr>
            <w:tcW w:w="8912" w:type="dxa"/>
            <w:gridSpan w:val="4"/>
            <w:vAlign w:val="center"/>
          </w:tcPr>
          <w:p w14:paraId="1A8145B9">
            <w:pPr>
              <w:spacing w:line="360" w:lineRule="auto"/>
              <w:jc w:val="center"/>
              <w:rPr>
                <w:rFonts w:ascii="宋体" w:hAnsi="宋体" w:cs="宋体"/>
                <w:color w:val="auto"/>
                <w:sz w:val="24"/>
                <w:highlight w:val="none"/>
              </w:rPr>
            </w:pPr>
          </w:p>
        </w:tc>
      </w:tr>
    </w:tbl>
    <w:p w14:paraId="0ED47B4B">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18F73525">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响应文件含有采购人不能接受的附加条件，响应文件无效</w:t>
      </w:r>
      <w:r>
        <w:rPr>
          <w:rFonts w:hint="eastAsia" w:ascii="宋体" w:hAnsi="宋体" w:cs="宋体"/>
          <w:color w:val="auto"/>
          <w:kern w:val="0"/>
          <w:sz w:val="24"/>
          <w:highlight w:val="none"/>
          <w:lang w:val="zh-CN"/>
        </w:rPr>
        <w:t>。</w:t>
      </w:r>
    </w:p>
    <w:p w14:paraId="7B88EAF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采购内容未包含在《报价单》名称栏中，供应商不能作出合理解释的，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响应文件含有采购人不能接受的附加条件的，响应文件无效。</w:t>
      </w:r>
    </w:p>
    <w:p w14:paraId="08C934BC">
      <w:pPr>
        <w:snapToGrid w:val="0"/>
        <w:spacing w:line="360" w:lineRule="auto"/>
        <w:ind w:firstLine="480" w:firstLineChars="200"/>
        <w:jc w:val="left"/>
        <w:rPr>
          <w:rFonts w:ascii="宋体" w:hAnsi="宋体" w:eastAsia="宋体" w:cs="宋体"/>
          <w:color w:val="auto"/>
          <w:kern w:val="2"/>
          <w:sz w:val="32"/>
          <w:szCs w:val="32"/>
          <w:highlight w:val="none"/>
        </w:rPr>
      </w:pPr>
      <w:r>
        <w:rPr>
          <w:rFonts w:hint="eastAsia" w:ascii="宋体" w:hAnsi="宋体" w:cs="宋体"/>
          <w:color w:val="auto"/>
          <w:kern w:val="0"/>
          <w:sz w:val="24"/>
          <w:highlight w:val="none"/>
          <w:lang w:val="zh-CN"/>
        </w:rPr>
        <w:t>3、特别提示：采购代理机构将对项目名称和项目编号，成交供应商名称、地址和成交金额、施工范围、施工工期、项目经理、执业证书信息、品牌（如果有）、规格型号、数量、单价等予以公示。</w:t>
      </w:r>
    </w:p>
    <w:p w14:paraId="26129875">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40" w:right="1080" w:bottom="1440" w:left="1080" w:header="851" w:footer="992" w:gutter="0"/>
          <w:pgNumType w:fmt="decimal"/>
          <w:cols w:space="720" w:num="1"/>
          <w:titlePg/>
          <w:docGrid w:linePitch="312" w:charSpace="0"/>
        </w:sectPr>
      </w:pPr>
    </w:p>
    <w:p w14:paraId="1146850D">
      <w:pPr>
        <w:pStyle w:val="693"/>
        <w:keepNext w:val="0"/>
        <w:pageBreakBefore/>
        <w:tabs>
          <w:tab w:val="clear" w:pos="720"/>
        </w:tabs>
        <w:snapToGrid w:val="0"/>
        <w:spacing w:before="120" w:after="120"/>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kern w:val="2"/>
          <w:sz w:val="32"/>
          <w:szCs w:val="32"/>
          <w:highlight w:val="none"/>
        </w:rPr>
        <w:t>、已标价工程量清单</w:t>
      </w:r>
    </w:p>
    <w:p w14:paraId="1EEF2BC4">
      <w:pPr>
        <w:spacing w:line="360" w:lineRule="auto"/>
        <w:ind w:right="420"/>
        <w:jc w:val="center"/>
        <w:rPr>
          <w:rFonts w:ascii="宋体" w:hAnsi="宋体" w:cs="宋体"/>
          <w:color w:val="auto"/>
          <w:sz w:val="24"/>
          <w:highlight w:val="none"/>
        </w:rPr>
      </w:pPr>
      <w:r>
        <w:rPr>
          <w:rFonts w:hint="eastAsia" w:ascii="宋体" w:hAnsi="宋体" w:cs="宋体"/>
          <w:color w:val="auto"/>
          <w:sz w:val="24"/>
          <w:highlight w:val="none"/>
        </w:rPr>
        <w:t>注：按采购文件工程量清单编制</w:t>
      </w:r>
    </w:p>
    <w:p w14:paraId="3A83C78C">
      <w:pPr>
        <w:pStyle w:val="61"/>
        <w:spacing w:line="360" w:lineRule="auto"/>
        <w:ind w:firstLine="480"/>
        <w:rPr>
          <w:rFonts w:cs="宋体"/>
          <w:color w:val="auto"/>
          <w:sz w:val="24"/>
          <w:highlight w:val="none"/>
        </w:rPr>
      </w:pPr>
    </w:p>
    <w:p w14:paraId="2CF9B39C">
      <w:pPr>
        <w:pStyle w:val="61"/>
        <w:spacing w:line="360" w:lineRule="auto"/>
        <w:ind w:firstLine="480"/>
        <w:rPr>
          <w:rFonts w:cs="宋体"/>
          <w:color w:val="auto"/>
          <w:sz w:val="24"/>
          <w:highlight w:val="none"/>
        </w:rPr>
      </w:pPr>
    </w:p>
    <w:p w14:paraId="4725F6A8">
      <w:pPr>
        <w:pStyle w:val="61"/>
        <w:spacing w:line="360" w:lineRule="auto"/>
        <w:ind w:left="0" w:leftChars="0" w:firstLine="0" w:firstLineChars="0"/>
        <w:rPr>
          <w:rFonts w:cs="宋体"/>
          <w:b/>
          <w:color w:val="auto"/>
          <w:kern w:val="0"/>
          <w:sz w:val="36"/>
          <w:szCs w:val="36"/>
          <w:highlight w:val="none"/>
        </w:rPr>
      </w:pPr>
      <w:r>
        <w:rPr>
          <w:rFonts w:hint="eastAsia" w:cs="宋体"/>
          <w:b/>
          <w:bCs/>
          <w:color w:val="auto"/>
          <w:sz w:val="32"/>
          <w:szCs w:val="32"/>
          <w:highlight w:val="none"/>
        </w:rPr>
        <w:t>注：按封面格式要求签章，投标报价封面须体现投标报价编制人员的执业章并本人签字</w:t>
      </w:r>
    </w:p>
    <w:p w14:paraId="4F7F871D">
      <w:pPr>
        <w:pStyle w:val="61"/>
        <w:ind w:firstLine="480"/>
        <w:rPr>
          <w:rFonts w:cs="宋体"/>
          <w:color w:val="auto"/>
          <w:sz w:val="24"/>
          <w:highlight w:val="none"/>
        </w:rPr>
      </w:pPr>
    </w:p>
    <w:p w14:paraId="569489BB">
      <w:pPr>
        <w:pStyle w:val="61"/>
        <w:ind w:left="0" w:leftChars="0" w:firstLine="0" w:firstLineChars="0"/>
        <w:rPr>
          <w:rFonts w:cs="宋体"/>
          <w:color w:val="auto"/>
          <w:sz w:val="24"/>
          <w:highlight w:val="none"/>
        </w:rPr>
        <w:sectPr>
          <w:footerReference r:id="rId19" w:type="first"/>
          <w:headerReference r:id="rId16" w:type="default"/>
          <w:footerReference r:id="rId17" w:type="default"/>
          <w:footerReference r:id="rId18" w:type="even"/>
          <w:pgSz w:w="11906" w:h="16838"/>
          <w:pgMar w:top="1440" w:right="1080" w:bottom="1440" w:left="1080" w:header="851" w:footer="992" w:gutter="0"/>
          <w:pgNumType w:fmt="decimal"/>
          <w:cols w:space="720" w:num="1"/>
          <w:titlePg/>
          <w:docGrid w:linePitch="312" w:charSpace="0"/>
        </w:sectPr>
      </w:pPr>
    </w:p>
    <w:p w14:paraId="3AB58E35">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三</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bookmarkStart w:id="1019" w:name="_Hlk101259491"/>
      <w:r>
        <w:rPr>
          <w:rFonts w:hint="eastAsia" w:ascii="宋体" w:hAnsi="宋体" w:eastAsia="宋体" w:cs="宋体"/>
          <w:color w:val="auto"/>
          <w:sz w:val="32"/>
          <w:szCs w:val="32"/>
          <w:highlight w:val="none"/>
        </w:rPr>
        <w:t>（如果有）</w:t>
      </w:r>
      <w:bookmarkEnd w:id="1019"/>
    </w:p>
    <w:p w14:paraId="50053099">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240D8DE5">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1020" w:name="_Toc465665161"/>
      <w:r>
        <w:rPr>
          <w:rFonts w:hint="eastAsia" w:ascii="宋体" w:hAnsi="宋体" w:cs="宋体"/>
          <w:color w:val="auto"/>
          <w:highlight w:val="none"/>
        </w:rPr>
        <w:t>附件</w:t>
      </w:r>
      <w:bookmarkEnd w:id="1020"/>
    </w:p>
    <w:p w14:paraId="3B48EA89">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6334E35B">
      <w:pPr>
        <w:spacing w:line="360" w:lineRule="auto"/>
        <w:jc w:val="center"/>
        <w:rPr>
          <w:rFonts w:ascii="宋体" w:hAnsi="宋体" w:cs="宋体"/>
          <w:b/>
          <w:color w:val="auto"/>
          <w:spacing w:val="6"/>
          <w:sz w:val="32"/>
          <w:szCs w:val="32"/>
          <w:highlight w:val="none"/>
        </w:rPr>
      </w:pPr>
      <w:bookmarkStart w:id="1021" w:name="OLE_LINK13"/>
      <w:bookmarkStart w:id="1022" w:name="OLE_LINK14"/>
      <w:r>
        <w:rPr>
          <w:rFonts w:hint="eastAsia" w:ascii="宋体" w:hAnsi="宋体" w:cs="宋体"/>
          <w:b/>
          <w:color w:val="auto"/>
          <w:spacing w:val="6"/>
          <w:sz w:val="32"/>
          <w:szCs w:val="32"/>
          <w:highlight w:val="none"/>
        </w:rPr>
        <w:t>残疾人福利性单位声明函</w:t>
      </w:r>
    </w:p>
    <w:bookmarkEnd w:id="1021"/>
    <w:bookmarkEnd w:id="1022"/>
    <w:p w14:paraId="6F368F22">
      <w:pPr>
        <w:spacing w:line="360" w:lineRule="auto"/>
        <w:rPr>
          <w:rFonts w:ascii="宋体" w:hAnsi="宋体" w:cs="宋体"/>
          <w:b/>
          <w:color w:val="auto"/>
          <w:spacing w:val="6"/>
          <w:sz w:val="30"/>
          <w:szCs w:val="30"/>
          <w:highlight w:val="none"/>
        </w:rPr>
      </w:pPr>
    </w:p>
    <w:p w14:paraId="45F430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452BD3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52F102F1">
      <w:pPr>
        <w:spacing w:line="360" w:lineRule="auto"/>
        <w:ind w:firstLine="480" w:firstLineChars="200"/>
        <w:rPr>
          <w:rFonts w:ascii="宋体" w:hAnsi="宋体" w:cs="宋体"/>
          <w:color w:val="auto"/>
          <w:sz w:val="24"/>
          <w:highlight w:val="none"/>
        </w:rPr>
      </w:pPr>
    </w:p>
    <w:p w14:paraId="457027EC">
      <w:pPr>
        <w:spacing w:line="360" w:lineRule="auto"/>
        <w:ind w:firstLine="480" w:firstLineChars="200"/>
        <w:rPr>
          <w:rFonts w:ascii="宋体" w:hAnsi="宋体" w:cs="宋体"/>
          <w:color w:val="auto"/>
          <w:sz w:val="24"/>
          <w:highlight w:val="none"/>
        </w:rPr>
      </w:pPr>
    </w:p>
    <w:p w14:paraId="0C0CB7EE">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供应商名称（电子签名）</w:t>
      </w:r>
      <w:r>
        <w:rPr>
          <w:rFonts w:hint="eastAsia" w:ascii="宋体" w:hAnsi="宋体" w:cs="宋体"/>
          <w:color w:val="auto"/>
          <w:sz w:val="24"/>
          <w:highlight w:val="none"/>
        </w:rPr>
        <w:t>：</w:t>
      </w:r>
    </w:p>
    <w:p w14:paraId="11B2B743">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0805EC54">
      <w:pPr>
        <w:spacing w:line="360" w:lineRule="auto"/>
        <w:ind w:firstLine="480" w:firstLineChars="200"/>
        <w:rPr>
          <w:rFonts w:ascii="宋体" w:hAnsi="宋体" w:cs="宋体"/>
          <w:color w:val="auto"/>
          <w:sz w:val="24"/>
          <w:highlight w:val="none"/>
        </w:rPr>
      </w:pPr>
    </w:p>
    <w:p w14:paraId="747E8719">
      <w:pPr>
        <w:spacing w:line="360" w:lineRule="auto"/>
        <w:ind w:firstLine="420" w:firstLineChars="200"/>
        <w:rPr>
          <w:rFonts w:ascii="宋体" w:hAnsi="宋体" w:cs="宋体"/>
          <w:color w:val="auto"/>
          <w:highlight w:val="none"/>
        </w:rPr>
      </w:pPr>
    </w:p>
    <w:p w14:paraId="3928B2EB">
      <w:pPr>
        <w:spacing w:line="360" w:lineRule="auto"/>
        <w:ind w:firstLine="420" w:firstLineChars="200"/>
        <w:rPr>
          <w:rFonts w:ascii="宋体" w:hAnsi="宋体" w:cs="宋体"/>
          <w:color w:val="auto"/>
          <w:highlight w:val="none"/>
        </w:rPr>
      </w:pPr>
    </w:p>
    <w:p w14:paraId="79321C80">
      <w:pPr>
        <w:spacing w:line="360" w:lineRule="auto"/>
        <w:ind w:firstLine="420" w:firstLineChars="200"/>
        <w:rPr>
          <w:rFonts w:ascii="宋体" w:hAnsi="宋体" w:cs="宋体"/>
          <w:color w:val="auto"/>
          <w:highlight w:val="none"/>
        </w:rPr>
      </w:pPr>
    </w:p>
    <w:p w14:paraId="1DBFC5D5">
      <w:pPr>
        <w:spacing w:line="360" w:lineRule="auto"/>
        <w:ind w:firstLine="420" w:firstLineChars="200"/>
        <w:rPr>
          <w:rFonts w:ascii="宋体" w:hAnsi="宋体" w:cs="宋体"/>
          <w:color w:val="auto"/>
          <w:highlight w:val="none"/>
        </w:rPr>
      </w:pPr>
    </w:p>
    <w:p w14:paraId="786E4ABE">
      <w:pPr>
        <w:spacing w:line="360" w:lineRule="auto"/>
        <w:rPr>
          <w:rFonts w:ascii="宋体" w:hAnsi="宋体" w:cs="宋体"/>
          <w:b/>
          <w:color w:val="auto"/>
          <w:sz w:val="24"/>
          <w:highlight w:val="none"/>
        </w:rPr>
      </w:pPr>
    </w:p>
    <w:p w14:paraId="599116D8">
      <w:pPr>
        <w:spacing w:line="360" w:lineRule="auto"/>
        <w:rPr>
          <w:rFonts w:ascii="宋体" w:hAnsi="宋体" w:cs="宋体"/>
          <w:b/>
          <w:color w:val="auto"/>
          <w:sz w:val="24"/>
          <w:highlight w:val="none"/>
        </w:rPr>
      </w:pPr>
    </w:p>
    <w:p w14:paraId="0359FC50">
      <w:pPr>
        <w:spacing w:line="360" w:lineRule="auto"/>
        <w:rPr>
          <w:rFonts w:ascii="宋体" w:hAnsi="宋体" w:cs="宋体"/>
          <w:b/>
          <w:color w:val="auto"/>
          <w:sz w:val="24"/>
          <w:highlight w:val="none"/>
        </w:rPr>
      </w:pPr>
    </w:p>
    <w:p w14:paraId="4139CCC7">
      <w:pPr>
        <w:spacing w:line="360" w:lineRule="auto"/>
        <w:rPr>
          <w:rFonts w:ascii="宋体" w:hAnsi="宋体" w:cs="宋体"/>
          <w:b/>
          <w:color w:val="auto"/>
          <w:sz w:val="24"/>
          <w:highlight w:val="none"/>
        </w:rPr>
      </w:pPr>
    </w:p>
    <w:p w14:paraId="196DCB60">
      <w:pPr>
        <w:spacing w:line="360" w:lineRule="auto"/>
        <w:rPr>
          <w:rFonts w:ascii="宋体" w:hAnsi="宋体" w:cs="宋体"/>
          <w:b/>
          <w:color w:val="auto"/>
          <w:sz w:val="24"/>
          <w:highlight w:val="none"/>
        </w:rPr>
      </w:pPr>
    </w:p>
    <w:p w14:paraId="24597C63">
      <w:pPr>
        <w:spacing w:line="360" w:lineRule="auto"/>
        <w:rPr>
          <w:rFonts w:ascii="宋体" w:hAnsi="宋体" w:cs="宋体"/>
          <w:b/>
          <w:color w:val="auto"/>
          <w:sz w:val="24"/>
          <w:highlight w:val="none"/>
        </w:rPr>
      </w:pPr>
    </w:p>
    <w:p w14:paraId="6AFBA8AD">
      <w:pPr>
        <w:spacing w:line="360" w:lineRule="auto"/>
        <w:rPr>
          <w:rFonts w:ascii="宋体" w:hAnsi="宋体" w:cs="宋体"/>
          <w:b/>
          <w:color w:val="auto"/>
          <w:sz w:val="24"/>
          <w:highlight w:val="none"/>
        </w:rPr>
      </w:pPr>
    </w:p>
    <w:p w14:paraId="257E5311">
      <w:pPr>
        <w:spacing w:line="360" w:lineRule="auto"/>
        <w:rPr>
          <w:rFonts w:ascii="宋体" w:hAnsi="宋体" w:cs="宋体"/>
          <w:b/>
          <w:color w:val="auto"/>
          <w:sz w:val="24"/>
          <w:highlight w:val="none"/>
        </w:rPr>
      </w:pPr>
    </w:p>
    <w:p w14:paraId="0AB8079C">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744B1A7B">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C28D85F">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2CBE86F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07E9271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BAA537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BECB54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50FAD62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04556A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C8AFFB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48BB95F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57D4FFF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CA55F1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08304E9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149E4F49">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37381B2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D64DED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1649906">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406D4C9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8C3F5A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0CB515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046D357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14D20CCC">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7001A0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2E622F1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3B36AB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58BF1A6">
      <w:pPr>
        <w:spacing w:line="360" w:lineRule="auto"/>
        <w:jc w:val="center"/>
        <w:rPr>
          <w:rFonts w:ascii="宋体" w:hAnsi="宋体" w:cs="宋体"/>
          <w:b/>
          <w:bCs/>
          <w:color w:val="auto"/>
          <w:sz w:val="24"/>
          <w:highlight w:val="none"/>
        </w:rPr>
      </w:pPr>
    </w:p>
    <w:p w14:paraId="65B0D152">
      <w:pPr>
        <w:spacing w:line="360" w:lineRule="auto"/>
        <w:rPr>
          <w:rFonts w:ascii="宋体" w:hAnsi="宋体" w:cs="宋体"/>
          <w:b/>
          <w:color w:val="auto"/>
          <w:sz w:val="24"/>
          <w:highlight w:val="none"/>
        </w:rPr>
      </w:pPr>
    </w:p>
    <w:p w14:paraId="39DFB869">
      <w:pPr>
        <w:spacing w:line="360" w:lineRule="auto"/>
        <w:rPr>
          <w:rFonts w:ascii="宋体" w:hAnsi="宋体" w:cs="宋体"/>
          <w:b/>
          <w:color w:val="auto"/>
          <w:sz w:val="24"/>
          <w:highlight w:val="none"/>
        </w:rPr>
      </w:pPr>
    </w:p>
    <w:p w14:paraId="14D737C5">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3F21A0A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121BA76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3D4469E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64B2A9E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12236B1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2E73A73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4D10FBE4">
      <w:pPr>
        <w:widowControl/>
        <w:spacing w:line="360" w:lineRule="auto"/>
        <w:ind w:firstLine="600" w:firstLineChars="200"/>
        <w:jc w:val="left"/>
        <w:rPr>
          <w:rFonts w:ascii="宋体" w:hAnsi="宋体" w:cs="宋体"/>
          <w:color w:val="auto"/>
          <w:sz w:val="30"/>
          <w:szCs w:val="30"/>
          <w:highlight w:val="none"/>
        </w:rPr>
      </w:pPr>
    </w:p>
    <w:p w14:paraId="3DA81567">
      <w:pPr>
        <w:spacing w:line="360" w:lineRule="auto"/>
        <w:jc w:val="center"/>
        <w:rPr>
          <w:rFonts w:ascii="宋体" w:hAnsi="宋体" w:cs="宋体"/>
          <w:b/>
          <w:color w:val="auto"/>
          <w:spacing w:val="6"/>
          <w:sz w:val="32"/>
          <w:szCs w:val="32"/>
          <w:highlight w:val="none"/>
        </w:rPr>
      </w:pPr>
    </w:p>
    <w:p w14:paraId="6D0F4310">
      <w:pPr>
        <w:spacing w:line="360" w:lineRule="auto"/>
        <w:jc w:val="center"/>
        <w:rPr>
          <w:rFonts w:ascii="宋体" w:hAnsi="宋体" w:cs="宋体"/>
          <w:b/>
          <w:color w:val="auto"/>
          <w:spacing w:val="6"/>
          <w:sz w:val="32"/>
          <w:szCs w:val="32"/>
          <w:highlight w:val="none"/>
        </w:rPr>
      </w:pPr>
    </w:p>
    <w:p w14:paraId="4F55F7BC">
      <w:pPr>
        <w:spacing w:line="360" w:lineRule="auto"/>
        <w:jc w:val="center"/>
        <w:rPr>
          <w:rFonts w:ascii="宋体" w:hAnsi="宋体" w:cs="宋体"/>
          <w:b/>
          <w:color w:val="auto"/>
          <w:spacing w:val="6"/>
          <w:sz w:val="32"/>
          <w:szCs w:val="32"/>
          <w:highlight w:val="none"/>
        </w:rPr>
      </w:pPr>
    </w:p>
    <w:p w14:paraId="284A90D7">
      <w:pPr>
        <w:spacing w:line="360" w:lineRule="auto"/>
        <w:jc w:val="center"/>
        <w:rPr>
          <w:rFonts w:ascii="宋体" w:hAnsi="宋体" w:cs="宋体"/>
          <w:b/>
          <w:color w:val="auto"/>
          <w:spacing w:val="6"/>
          <w:sz w:val="32"/>
          <w:szCs w:val="32"/>
          <w:highlight w:val="none"/>
        </w:rPr>
      </w:pPr>
    </w:p>
    <w:p w14:paraId="1808E2BB">
      <w:pPr>
        <w:spacing w:line="360" w:lineRule="auto"/>
        <w:jc w:val="center"/>
        <w:rPr>
          <w:rFonts w:ascii="宋体" w:hAnsi="宋体" w:cs="宋体"/>
          <w:b/>
          <w:color w:val="auto"/>
          <w:spacing w:val="6"/>
          <w:sz w:val="32"/>
          <w:szCs w:val="32"/>
          <w:highlight w:val="none"/>
        </w:rPr>
      </w:pPr>
    </w:p>
    <w:p w14:paraId="42D1CE21">
      <w:pPr>
        <w:spacing w:line="360" w:lineRule="auto"/>
        <w:jc w:val="center"/>
        <w:rPr>
          <w:rFonts w:ascii="宋体" w:hAnsi="宋体" w:cs="宋体"/>
          <w:b/>
          <w:color w:val="auto"/>
          <w:spacing w:val="6"/>
          <w:sz w:val="32"/>
          <w:szCs w:val="32"/>
          <w:highlight w:val="none"/>
        </w:rPr>
      </w:pPr>
    </w:p>
    <w:p w14:paraId="6C8CB909">
      <w:pPr>
        <w:spacing w:line="360" w:lineRule="auto"/>
        <w:jc w:val="center"/>
        <w:rPr>
          <w:rFonts w:ascii="宋体" w:hAnsi="宋体" w:cs="宋体"/>
          <w:b/>
          <w:color w:val="auto"/>
          <w:spacing w:val="6"/>
          <w:sz w:val="32"/>
          <w:szCs w:val="32"/>
          <w:highlight w:val="none"/>
        </w:rPr>
      </w:pPr>
    </w:p>
    <w:p w14:paraId="5C0845B5">
      <w:pPr>
        <w:spacing w:line="360" w:lineRule="auto"/>
        <w:jc w:val="center"/>
        <w:rPr>
          <w:rFonts w:ascii="宋体" w:hAnsi="宋体" w:cs="宋体"/>
          <w:b/>
          <w:color w:val="auto"/>
          <w:spacing w:val="6"/>
          <w:sz w:val="32"/>
          <w:szCs w:val="32"/>
          <w:highlight w:val="none"/>
        </w:rPr>
      </w:pPr>
    </w:p>
    <w:p w14:paraId="5C252B99">
      <w:pPr>
        <w:spacing w:line="360" w:lineRule="auto"/>
        <w:jc w:val="center"/>
        <w:rPr>
          <w:rFonts w:ascii="宋体" w:hAnsi="宋体" w:cs="宋体"/>
          <w:b/>
          <w:color w:val="auto"/>
          <w:spacing w:val="6"/>
          <w:sz w:val="32"/>
          <w:szCs w:val="32"/>
          <w:highlight w:val="none"/>
        </w:rPr>
      </w:pPr>
    </w:p>
    <w:p w14:paraId="3B714D0A">
      <w:pPr>
        <w:spacing w:line="360" w:lineRule="auto"/>
        <w:jc w:val="center"/>
        <w:rPr>
          <w:rFonts w:ascii="宋体" w:hAnsi="宋体" w:cs="宋体"/>
          <w:b/>
          <w:color w:val="auto"/>
          <w:spacing w:val="6"/>
          <w:sz w:val="32"/>
          <w:szCs w:val="32"/>
          <w:highlight w:val="none"/>
        </w:rPr>
      </w:pPr>
    </w:p>
    <w:p w14:paraId="34932EF0">
      <w:pPr>
        <w:spacing w:line="360" w:lineRule="auto"/>
        <w:jc w:val="center"/>
        <w:rPr>
          <w:rFonts w:ascii="宋体" w:hAnsi="宋体" w:cs="宋体"/>
          <w:b/>
          <w:color w:val="auto"/>
          <w:spacing w:val="6"/>
          <w:sz w:val="32"/>
          <w:szCs w:val="32"/>
          <w:highlight w:val="none"/>
        </w:rPr>
      </w:pPr>
    </w:p>
    <w:p w14:paraId="350B6C95">
      <w:pPr>
        <w:spacing w:line="360" w:lineRule="auto"/>
        <w:jc w:val="center"/>
        <w:rPr>
          <w:rFonts w:ascii="宋体" w:hAnsi="宋体" w:cs="宋体"/>
          <w:b/>
          <w:color w:val="auto"/>
          <w:spacing w:val="6"/>
          <w:sz w:val="32"/>
          <w:szCs w:val="32"/>
          <w:highlight w:val="none"/>
        </w:rPr>
      </w:pPr>
    </w:p>
    <w:p w14:paraId="7B18087B">
      <w:pPr>
        <w:spacing w:line="360" w:lineRule="auto"/>
        <w:jc w:val="left"/>
        <w:rPr>
          <w:rFonts w:ascii="宋体" w:hAnsi="宋体" w:cs="宋体"/>
          <w:b/>
          <w:color w:val="auto"/>
          <w:spacing w:val="6"/>
          <w:sz w:val="32"/>
          <w:szCs w:val="32"/>
          <w:highlight w:val="none"/>
        </w:rPr>
      </w:pPr>
    </w:p>
    <w:p w14:paraId="0D5B10C0">
      <w:pPr>
        <w:spacing w:line="360" w:lineRule="auto"/>
        <w:jc w:val="left"/>
        <w:rPr>
          <w:rFonts w:ascii="宋体" w:hAnsi="宋体" w:cs="宋体"/>
          <w:b/>
          <w:color w:val="auto"/>
          <w:spacing w:val="6"/>
          <w:sz w:val="32"/>
          <w:szCs w:val="32"/>
          <w:highlight w:val="none"/>
        </w:rPr>
      </w:pPr>
    </w:p>
    <w:p w14:paraId="62DC9A0E">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7E127387">
      <w:pPr>
        <w:spacing w:line="360" w:lineRule="auto"/>
        <w:jc w:val="center"/>
        <w:rPr>
          <w:rFonts w:ascii="宋体" w:hAnsi="宋体" w:cs="宋体"/>
          <w:b/>
          <w:color w:val="auto"/>
          <w:sz w:val="24"/>
          <w:highlight w:val="none"/>
        </w:rPr>
      </w:pPr>
    </w:p>
    <w:p w14:paraId="1984425C">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272FC7C0">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452914F1">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9D90502">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59F9E75">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B384D68">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E2066A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852C730">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6F72C849">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2BC39E2">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A0EB5B0">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530FB65">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7CF0DACF">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352AB0B4">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ACDDE1F">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10A9487">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87990BE">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4DC1C971">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000C7958">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3CE48CD1">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8D67BD0">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65A0AB58">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FF7D83D">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955E81C">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322ABDE1">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60B8F9FF">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69E116">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50F7820F">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1E8178A">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4A2A4ED3">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3097F48">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4A945C0">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82FB2AF">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93EEE6B">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72440BB1">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BBDF9FB">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53192C5E">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9DE7EB0">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5C870EE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45862D6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1CD9D464">
      <w:pPr>
        <w:spacing w:line="360" w:lineRule="auto"/>
        <w:rPr>
          <w:rFonts w:ascii="宋体" w:hAnsi="宋体" w:cs="宋体"/>
          <w:b/>
          <w:color w:val="auto"/>
          <w:sz w:val="24"/>
          <w:highlight w:val="none"/>
        </w:rPr>
      </w:pPr>
    </w:p>
    <w:p w14:paraId="518645B1">
      <w:pPr>
        <w:spacing w:line="360" w:lineRule="auto"/>
        <w:rPr>
          <w:rFonts w:ascii="宋体" w:hAnsi="宋体" w:cs="宋体"/>
          <w:b/>
          <w:color w:val="auto"/>
          <w:sz w:val="24"/>
          <w:highlight w:val="none"/>
        </w:rPr>
      </w:pPr>
    </w:p>
    <w:p w14:paraId="4A509DF5">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391374BC">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03A25681">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76C4B1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2C53F3C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4BB5E4B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BFE265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E997747">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20D392A4">
      <w:pPr>
        <w:spacing w:line="360" w:lineRule="auto"/>
        <w:rPr>
          <w:rFonts w:ascii="宋体" w:hAnsi="宋体" w:cs="宋体"/>
          <w:b/>
          <w:color w:val="auto"/>
          <w:sz w:val="24"/>
          <w:highlight w:val="none"/>
        </w:rPr>
      </w:pPr>
    </w:p>
    <w:p w14:paraId="0058E4FC">
      <w:pPr>
        <w:autoSpaceDE w:val="0"/>
        <w:autoSpaceDN w:val="0"/>
        <w:jc w:val="center"/>
        <w:rPr>
          <w:rFonts w:ascii="宋体" w:hAnsi="宋体" w:cs="宋体"/>
          <w:b/>
          <w:color w:val="auto"/>
          <w:spacing w:val="6"/>
          <w:sz w:val="32"/>
          <w:szCs w:val="32"/>
          <w:highlight w:val="none"/>
        </w:rPr>
      </w:pPr>
    </w:p>
    <w:p w14:paraId="3B1A98B6">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5DC0C327">
      <w:pPr>
        <w:spacing w:line="360" w:lineRule="auto"/>
        <w:rPr>
          <w:rFonts w:ascii="宋体" w:hAnsi="宋体" w:cs="宋体"/>
          <w:color w:val="auto"/>
          <w:sz w:val="24"/>
          <w:highlight w:val="none"/>
          <w:u w:val="single"/>
        </w:rPr>
      </w:pPr>
    </w:p>
    <w:p w14:paraId="31F0E7BD">
      <w:pPr>
        <w:spacing w:line="360" w:lineRule="auto"/>
        <w:ind w:firstLine="480" w:firstLineChars="200"/>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u w:val="single"/>
          <w:lang w:eastAsia="zh-CN"/>
        </w:rPr>
        <w:t>杭州市美术职业学校</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杭州洲源招标代理有限公司</w:t>
      </w:r>
    </w:p>
    <w:p w14:paraId="3B57F53D">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(供应商全称)是中华人民共和国依法登记注册的合法企业，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杭州市美术职业学校莫干校区实训楼外立面改造项目</w:t>
      </w:r>
      <w:r>
        <w:rPr>
          <w:rFonts w:hint="eastAsia" w:ascii="宋体" w:hAnsi="宋体" w:cs="宋体"/>
          <w:color w:val="auto"/>
          <w:sz w:val="24"/>
          <w:highlight w:val="none"/>
        </w:rPr>
        <w:t>项目【项目编号：</w:t>
      </w:r>
      <w:r>
        <w:rPr>
          <w:rFonts w:hint="eastAsia" w:ascii="宋体" w:hAnsi="宋体" w:cs="宋体"/>
          <w:color w:val="auto"/>
          <w:sz w:val="24"/>
          <w:highlight w:val="none"/>
          <w:lang w:eastAsia="zh-CN"/>
        </w:rPr>
        <w:t>ZYZB-CS-2025-014</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7269ADB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73D0B251">
      <w:pPr>
        <w:spacing w:line="360" w:lineRule="auto"/>
        <w:ind w:firstLine="494"/>
        <w:rPr>
          <w:rFonts w:ascii="宋体" w:hAnsi="宋体" w:cs="宋体"/>
          <w:color w:val="auto"/>
          <w:sz w:val="24"/>
          <w:highlight w:val="none"/>
        </w:rPr>
      </w:pPr>
    </w:p>
    <w:p w14:paraId="42429F75">
      <w:pPr>
        <w:spacing w:line="360" w:lineRule="auto"/>
        <w:ind w:firstLine="494"/>
        <w:rPr>
          <w:rFonts w:ascii="宋体" w:hAnsi="宋体" w:cs="宋体"/>
          <w:color w:val="auto"/>
          <w:sz w:val="24"/>
          <w:highlight w:val="none"/>
        </w:rPr>
      </w:pPr>
    </w:p>
    <w:p w14:paraId="62EC0320">
      <w:pPr>
        <w:spacing w:line="360" w:lineRule="auto"/>
        <w:ind w:firstLine="494"/>
        <w:rPr>
          <w:rFonts w:ascii="宋体" w:hAnsi="宋体" w:cs="宋体"/>
          <w:color w:val="auto"/>
          <w:sz w:val="24"/>
          <w:highlight w:val="none"/>
        </w:rPr>
      </w:pPr>
    </w:p>
    <w:p w14:paraId="4AE2DB00">
      <w:pPr>
        <w:spacing w:line="360" w:lineRule="auto"/>
        <w:ind w:firstLine="494"/>
        <w:rPr>
          <w:rFonts w:ascii="宋体" w:hAnsi="宋体" w:cs="宋体"/>
          <w:color w:val="auto"/>
          <w:sz w:val="24"/>
          <w:highlight w:val="none"/>
        </w:rPr>
      </w:pPr>
    </w:p>
    <w:p w14:paraId="2583541D">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供应商（法定名称章）：</w:t>
      </w:r>
    </w:p>
    <w:p w14:paraId="1C7E2A95">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3CCF5292">
      <w:pPr>
        <w:rPr>
          <w:rFonts w:ascii="宋体" w:hAnsi="宋体" w:cs="宋体"/>
          <w:color w:val="auto"/>
          <w:sz w:val="24"/>
          <w:highlight w:val="none"/>
        </w:rPr>
      </w:pPr>
      <w:r>
        <w:rPr>
          <w:rFonts w:hint="eastAsia" w:ascii="宋体" w:hAnsi="宋体" w:cs="宋体"/>
          <w:b/>
          <w:bCs/>
          <w:color w:val="auto"/>
          <w:sz w:val="24"/>
          <w:highlight w:val="none"/>
        </w:rPr>
        <w:t>附：</w:t>
      </w:r>
    </w:p>
    <w:p w14:paraId="4A5BFFA7">
      <w:pPr>
        <w:spacing w:line="360" w:lineRule="auto"/>
        <w:rPr>
          <w:rFonts w:ascii="宋体" w:hAnsi="宋体" w:cs="宋体"/>
          <w:bCs/>
          <w:color w:val="auto"/>
          <w:sz w:val="24"/>
          <w:highlight w:val="none"/>
        </w:rPr>
      </w:pPr>
      <w:r>
        <w:rPr>
          <w:rFonts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w:t>供应商</w:t>
      </w:r>
      <w:r>
        <w:rPr>
          <w:rFonts w:hint="eastAsia" w:ascii="宋体" w:hAnsi="宋体" w:cs="宋体"/>
          <w:color w:val="auto"/>
          <w:sz w:val="24"/>
          <w:highlight w:val="none"/>
        </w:rPr>
        <w:t>法定名称章（印模）                供应商“XX专用章”（印模）</w:t>
      </w:r>
    </w:p>
    <w:p w14:paraId="79D6F0EE">
      <w:pPr>
        <w:autoSpaceDE w:val="0"/>
        <w:autoSpaceDN w:val="0"/>
        <w:jc w:val="center"/>
        <w:rPr>
          <w:rFonts w:ascii="宋体" w:hAnsi="宋体" w:cs="宋体"/>
          <w:b/>
          <w:color w:val="auto"/>
          <w:spacing w:val="6"/>
          <w:sz w:val="32"/>
          <w:szCs w:val="32"/>
          <w:highlight w:val="none"/>
        </w:rPr>
      </w:pPr>
    </w:p>
    <w:p w14:paraId="1B60A9DB">
      <w:pPr>
        <w:autoSpaceDE w:val="0"/>
        <w:autoSpaceDN w:val="0"/>
        <w:jc w:val="center"/>
        <w:rPr>
          <w:rFonts w:ascii="宋体" w:hAnsi="宋体" w:cs="宋体"/>
          <w:b/>
          <w:color w:val="auto"/>
          <w:spacing w:val="6"/>
          <w:sz w:val="32"/>
          <w:szCs w:val="32"/>
          <w:highlight w:val="none"/>
        </w:rPr>
      </w:pPr>
    </w:p>
    <w:p w14:paraId="565CFAD4">
      <w:pPr>
        <w:autoSpaceDE w:val="0"/>
        <w:autoSpaceDN w:val="0"/>
        <w:jc w:val="center"/>
        <w:rPr>
          <w:rFonts w:ascii="宋体" w:hAnsi="宋体" w:cs="宋体"/>
          <w:b/>
          <w:color w:val="auto"/>
          <w:spacing w:val="6"/>
          <w:sz w:val="32"/>
          <w:szCs w:val="32"/>
          <w:highlight w:val="none"/>
        </w:rPr>
      </w:pPr>
    </w:p>
    <w:p w14:paraId="03F48ABD">
      <w:pPr>
        <w:autoSpaceDE w:val="0"/>
        <w:autoSpaceDN w:val="0"/>
        <w:jc w:val="center"/>
        <w:rPr>
          <w:rFonts w:ascii="宋体" w:hAnsi="宋体" w:cs="宋体"/>
          <w:b/>
          <w:color w:val="auto"/>
          <w:spacing w:val="6"/>
          <w:sz w:val="32"/>
          <w:szCs w:val="32"/>
          <w:highlight w:val="none"/>
        </w:rPr>
      </w:pPr>
    </w:p>
    <w:p w14:paraId="69956BC2">
      <w:pPr>
        <w:autoSpaceDE w:val="0"/>
        <w:autoSpaceDN w:val="0"/>
        <w:jc w:val="center"/>
        <w:rPr>
          <w:rFonts w:ascii="宋体" w:hAnsi="宋体" w:cs="宋体"/>
          <w:b/>
          <w:color w:val="auto"/>
          <w:spacing w:val="6"/>
          <w:sz w:val="32"/>
          <w:szCs w:val="32"/>
          <w:highlight w:val="none"/>
        </w:rPr>
      </w:pPr>
    </w:p>
    <w:p w14:paraId="2CF2B46F">
      <w:pPr>
        <w:autoSpaceDE w:val="0"/>
        <w:autoSpaceDN w:val="0"/>
        <w:jc w:val="center"/>
        <w:rPr>
          <w:rFonts w:ascii="宋体" w:hAnsi="宋体" w:cs="宋体"/>
          <w:b/>
          <w:color w:val="auto"/>
          <w:spacing w:val="6"/>
          <w:sz w:val="32"/>
          <w:szCs w:val="32"/>
          <w:highlight w:val="none"/>
        </w:rPr>
      </w:pPr>
    </w:p>
    <w:p w14:paraId="59A47484">
      <w:pPr>
        <w:autoSpaceDE w:val="0"/>
        <w:autoSpaceDN w:val="0"/>
        <w:jc w:val="center"/>
        <w:rPr>
          <w:rFonts w:ascii="宋体" w:hAnsi="宋体" w:cs="宋体"/>
          <w:b/>
          <w:color w:val="auto"/>
          <w:spacing w:val="6"/>
          <w:sz w:val="32"/>
          <w:szCs w:val="32"/>
          <w:highlight w:val="none"/>
        </w:rPr>
      </w:pPr>
    </w:p>
    <w:p w14:paraId="4B67482C">
      <w:pPr>
        <w:autoSpaceDE w:val="0"/>
        <w:autoSpaceDN w:val="0"/>
        <w:jc w:val="center"/>
        <w:rPr>
          <w:rFonts w:ascii="宋体" w:hAnsi="宋体" w:cs="宋体"/>
          <w:b/>
          <w:color w:val="auto"/>
          <w:spacing w:val="6"/>
          <w:sz w:val="32"/>
          <w:szCs w:val="32"/>
          <w:highlight w:val="none"/>
        </w:rPr>
      </w:pPr>
    </w:p>
    <w:p w14:paraId="12E5CC0C">
      <w:pPr>
        <w:autoSpaceDE w:val="0"/>
        <w:autoSpaceDN w:val="0"/>
        <w:jc w:val="center"/>
        <w:rPr>
          <w:rFonts w:ascii="宋体" w:hAnsi="宋体" w:cs="宋体"/>
          <w:b/>
          <w:color w:val="auto"/>
          <w:spacing w:val="6"/>
          <w:sz w:val="32"/>
          <w:szCs w:val="32"/>
          <w:highlight w:val="none"/>
        </w:rPr>
      </w:pPr>
    </w:p>
    <w:p w14:paraId="6AB73280">
      <w:pPr>
        <w:autoSpaceDE w:val="0"/>
        <w:autoSpaceDN w:val="0"/>
        <w:jc w:val="center"/>
        <w:rPr>
          <w:rFonts w:ascii="宋体" w:hAnsi="宋体" w:cs="宋体"/>
          <w:b/>
          <w:color w:val="auto"/>
          <w:spacing w:val="6"/>
          <w:sz w:val="32"/>
          <w:szCs w:val="32"/>
          <w:highlight w:val="none"/>
        </w:rPr>
      </w:pPr>
    </w:p>
    <w:p w14:paraId="0196EB03">
      <w:pPr>
        <w:autoSpaceDE w:val="0"/>
        <w:autoSpaceDN w:val="0"/>
        <w:jc w:val="center"/>
        <w:rPr>
          <w:rFonts w:ascii="宋体" w:hAnsi="宋体" w:cs="宋体"/>
          <w:b/>
          <w:color w:val="auto"/>
          <w:spacing w:val="6"/>
          <w:sz w:val="32"/>
          <w:szCs w:val="32"/>
          <w:highlight w:val="none"/>
        </w:rPr>
      </w:pPr>
    </w:p>
    <w:p w14:paraId="3C101781">
      <w:pPr>
        <w:autoSpaceDE w:val="0"/>
        <w:autoSpaceDN w:val="0"/>
        <w:jc w:val="center"/>
        <w:rPr>
          <w:rFonts w:ascii="宋体" w:hAnsi="宋体" w:cs="宋体"/>
          <w:b/>
          <w:color w:val="auto"/>
          <w:spacing w:val="6"/>
          <w:sz w:val="32"/>
          <w:szCs w:val="32"/>
          <w:highlight w:val="none"/>
        </w:rPr>
      </w:pPr>
    </w:p>
    <w:p w14:paraId="54DEF952">
      <w:pPr>
        <w:autoSpaceDE w:val="0"/>
        <w:autoSpaceDN w:val="0"/>
        <w:jc w:val="center"/>
        <w:rPr>
          <w:rFonts w:ascii="宋体" w:hAnsi="宋体" w:cs="宋体"/>
          <w:b/>
          <w:color w:val="auto"/>
          <w:spacing w:val="6"/>
          <w:sz w:val="32"/>
          <w:szCs w:val="32"/>
          <w:highlight w:val="none"/>
        </w:rPr>
      </w:pPr>
    </w:p>
    <w:p w14:paraId="4DC219E9">
      <w:pPr>
        <w:autoSpaceDE w:val="0"/>
        <w:autoSpaceDN w:val="0"/>
        <w:jc w:val="center"/>
        <w:rPr>
          <w:rFonts w:ascii="宋体" w:hAnsi="宋体" w:cs="宋体"/>
          <w:b/>
          <w:color w:val="auto"/>
          <w:spacing w:val="6"/>
          <w:sz w:val="32"/>
          <w:szCs w:val="32"/>
          <w:highlight w:val="none"/>
        </w:rPr>
      </w:pPr>
    </w:p>
    <w:p w14:paraId="2EAC6052">
      <w:pPr>
        <w:autoSpaceDE w:val="0"/>
        <w:autoSpaceDN w:val="0"/>
        <w:jc w:val="center"/>
        <w:rPr>
          <w:rFonts w:ascii="宋体" w:hAnsi="宋体" w:cs="宋体"/>
          <w:b/>
          <w:color w:val="auto"/>
          <w:spacing w:val="6"/>
          <w:sz w:val="32"/>
          <w:szCs w:val="32"/>
          <w:highlight w:val="none"/>
        </w:rPr>
      </w:pPr>
    </w:p>
    <w:p w14:paraId="2D7FB82C">
      <w:pPr>
        <w:autoSpaceDE w:val="0"/>
        <w:autoSpaceDN w:val="0"/>
        <w:jc w:val="center"/>
        <w:rPr>
          <w:rFonts w:ascii="宋体" w:hAnsi="宋体" w:cs="宋体"/>
          <w:b/>
          <w:color w:val="auto"/>
          <w:spacing w:val="6"/>
          <w:sz w:val="32"/>
          <w:szCs w:val="32"/>
          <w:highlight w:val="none"/>
        </w:rPr>
      </w:pPr>
    </w:p>
    <w:p w14:paraId="3F24CE0C">
      <w:pPr>
        <w:autoSpaceDE w:val="0"/>
        <w:autoSpaceDN w:val="0"/>
        <w:jc w:val="center"/>
        <w:rPr>
          <w:rFonts w:ascii="宋体" w:hAnsi="宋体" w:cs="宋体"/>
          <w:b/>
          <w:color w:val="auto"/>
          <w:spacing w:val="6"/>
          <w:sz w:val="32"/>
          <w:szCs w:val="32"/>
          <w:highlight w:val="none"/>
        </w:rPr>
      </w:pPr>
    </w:p>
    <w:p w14:paraId="6C72AC2D">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7463E9EC">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（以联合体形式参与的，提供联合协议；本项目不接受联合体或者供应商不以联合体形式参与的，则不需要提供）</w:t>
      </w:r>
    </w:p>
    <w:p w14:paraId="2707ABE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组成一个联合体，以一个供应商的身份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杭州市美术职业学校莫干校区实训楼外立面改造项目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ZYZB-CS-2025-014</w:t>
      </w:r>
      <w:r>
        <w:rPr>
          <w:rFonts w:hint="eastAsia" w:ascii="宋体" w:hAnsi="宋体" w:cs="宋体"/>
          <w:color w:val="auto"/>
          <w:sz w:val="24"/>
          <w:highlight w:val="none"/>
        </w:rPr>
        <w:t>】</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 xml:space="preserve">。 </w:t>
      </w:r>
    </w:p>
    <w:p w14:paraId="6AB6F8E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2D36ECE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授权代表根据采购文件规定及</w:t>
      </w:r>
      <w:r>
        <w:rPr>
          <w:rFonts w:hint="eastAsia" w:ascii="宋体" w:hAnsi="宋体" w:cs="宋体"/>
          <w:color w:val="auto"/>
          <w:kern w:val="0"/>
          <w:sz w:val="24"/>
          <w:highlight w:val="none"/>
        </w:rPr>
        <w:t>响应内容</w:t>
      </w:r>
      <w:r>
        <w:rPr>
          <w:rFonts w:hint="eastAsia" w:ascii="宋体" w:hAnsi="宋体" w:cs="宋体"/>
          <w:color w:val="auto"/>
          <w:kern w:val="0"/>
          <w:sz w:val="24"/>
          <w:highlight w:val="none"/>
          <w:lang w:val="zh-CN"/>
        </w:rPr>
        <w:t>而对采购人、采购代理机构所作的任何合法承诺，包括书面澄清及相应等均对联合投标各方产生约束力。</w:t>
      </w:r>
    </w:p>
    <w:p w14:paraId="025A6A0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中，分工如下：</w:t>
      </w:r>
    </w:p>
    <w:p w14:paraId="52B08E69">
      <w:pPr>
        <w:snapToGrid w:val="0"/>
        <w:spacing w:line="360" w:lineRule="auto"/>
        <w:ind w:firstLine="576"/>
        <w:rPr>
          <w:rFonts w:ascii="宋体" w:hAnsi="宋体" w:cs="宋体"/>
          <w:color w:val="auto"/>
          <w:kern w:val="0"/>
          <w:sz w:val="24"/>
          <w:highlight w:val="none"/>
          <w:lang w:val="zh-CN"/>
        </w:rPr>
      </w:pPr>
      <w:bookmarkStart w:id="1023"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1E49CE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76F52C8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1023"/>
    <w:p w14:paraId="5F0EA55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3C7275D6">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提供的全部工程由小微企业承建，其合同份额占到合同总金额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w:t>
      </w:r>
      <w:r>
        <w:rPr>
          <w:rFonts w:hint="eastAsia" w:ascii="宋体" w:hAnsi="宋体" w:cs="宋体"/>
          <w:b/>
          <w:color w:val="auto"/>
          <w:kern w:val="0"/>
          <w:sz w:val="24"/>
          <w:highlight w:val="none"/>
        </w:rPr>
        <w:t>磋商</w:t>
      </w:r>
      <w:r>
        <w:rPr>
          <w:rFonts w:hint="eastAsia" w:ascii="宋体" w:hAnsi="宋体" w:cs="宋体"/>
          <w:b/>
          <w:color w:val="auto"/>
          <w:kern w:val="0"/>
          <w:sz w:val="24"/>
          <w:highlight w:val="none"/>
          <w:lang w:val="zh-CN"/>
        </w:rPr>
        <w:t>的，联合协议约定小微企业的合同份额占到合同总金额30%以上的，对联合体报价给予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32FB1DF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2B12984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五、如果成交，</w:t>
      </w:r>
      <w:r>
        <w:rPr>
          <w:rFonts w:hint="eastAsia" w:ascii="宋体" w:hAnsi="宋体" w:cs="宋体"/>
          <w:color w:val="auto"/>
          <w:sz w:val="24"/>
          <w:highlight w:val="none"/>
        </w:rPr>
        <w:t>联合体各成员方共同与采购人签订合同，并就采购合同约定的事项对采购人承担连带责任。</w:t>
      </w:r>
    </w:p>
    <w:p w14:paraId="2AF0959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的其他事宜：</w:t>
      </w:r>
    </w:p>
    <w:p w14:paraId="040A70D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30553B2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3F12D40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1EA3951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96CFD01">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EE6710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4AD284B">
      <w:pPr>
        <w:autoSpaceDE w:val="0"/>
        <w:autoSpaceDN w:val="0"/>
        <w:jc w:val="center"/>
        <w:rPr>
          <w:rFonts w:ascii="宋体" w:hAnsi="宋体" w:cs="宋体"/>
          <w:b/>
          <w:color w:val="auto"/>
          <w:spacing w:val="6"/>
          <w:sz w:val="32"/>
          <w:szCs w:val="32"/>
          <w:highlight w:val="none"/>
        </w:rPr>
        <w:sectPr>
          <w:pgSz w:w="11906" w:h="16838"/>
          <w:pgMar w:top="1440" w:right="1080" w:bottom="1440" w:left="1080" w:header="851" w:footer="992" w:gutter="0"/>
          <w:pgNumType w:fmt="decimal"/>
          <w:cols w:space="720" w:num="1"/>
          <w:titlePg/>
          <w:docGrid w:linePitch="312" w:charSpace="0"/>
        </w:sectPr>
      </w:pPr>
    </w:p>
    <w:p w14:paraId="2C06BF8D">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7EA98181">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成交后以分包方式履行合同的，提供分包意向协议；采购人不同意分包或者供应商成交后不以分包方式履行合同的，则不需要提供。</w:t>
      </w:r>
      <w:r>
        <w:rPr>
          <w:rFonts w:hint="eastAsia" w:ascii="宋体" w:hAnsi="宋体" w:cs="宋体"/>
          <w:color w:val="auto"/>
          <w:sz w:val="24"/>
          <w:highlight w:val="none"/>
        </w:rPr>
        <w:t>）</w:t>
      </w:r>
    </w:p>
    <w:p w14:paraId="0399F66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杭州市美术职业学校莫干校区实训楼外立面改造项目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ZYZB-CS-2025-014</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的成交供应商，将依法采取分包方式履行合同。</w:t>
      </w: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1E39E0C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66AF1E2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52FCC815">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4C8C791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2069BCC0">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……）提供的工程全部由小微企业承建，</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2D9E8F65">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1024"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要求合同分包形式参加的项目或采购包，供应商按采购文件第一部分竞争性磋商公告申请人的资格要求中规定的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1024"/>
    </w:p>
    <w:p w14:paraId="704033BB">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101EA35A">
      <w:pPr>
        <w:snapToGrid w:val="0"/>
        <w:spacing w:line="24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EF231E8">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163FEF4E">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2588EBA">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0506D853">
      <w:pPr>
        <w:snapToGrid w:val="0"/>
        <w:spacing w:line="24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B7A0DB7">
      <w:pPr>
        <w:snapToGrid w:val="0"/>
        <w:spacing w:line="24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573A1155">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6B49AFD">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27ABC73A">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E03A84B">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w:t>
      </w:r>
    </w:p>
    <w:p w14:paraId="7C4991F5">
      <w:pPr>
        <w:snapToGrid w:val="0"/>
        <w:spacing w:line="360" w:lineRule="auto"/>
        <w:ind w:firstLine="5880" w:firstLineChars="24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w:t>
      </w:r>
    </w:p>
    <w:p w14:paraId="482BC2C7">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3662BCA6">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3CC2FC3">
      <w:pPr>
        <w:autoSpaceDE w:val="0"/>
        <w:autoSpaceDN w:val="0"/>
        <w:jc w:val="center"/>
        <w:rPr>
          <w:rFonts w:ascii="宋体" w:hAnsi="宋体" w:cs="宋体"/>
          <w:b/>
          <w:color w:val="auto"/>
          <w:spacing w:val="6"/>
          <w:sz w:val="32"/>
          <w:szCs w:val="32"/>
          <w:highlight w:val="none"/>
        </w:rPr>
      </w:pPr>
    </w:p>
    <w:p w14:paraId="1E9CF72C">
      <w:pPr>
        <w:autoSpaceDE w:val="0"/>
        <w:autoSpaceDN w:val="0"/>
        <w:jc w:val="center"/>
        <w:rPr>
          <w:rFonts w:ascii="宋体" w:hAnsi="宋体" w:cs="宋体"/>
          <w:b/>
          <w:color w:val="auto"/>
          <w:spacing w:val="6"/>
          <w:sz w:val="32"/>
          <w:szCs w:val="32"/>
          <w:highlight w:val="none"/>
        </w:rPr>
        <w:sectPr>
          <w:pgSz w:w="11906" w:h="16838"/>
          <w:pgMar w:top="1440" w:right="1080" w:bottom="1440" w:left="1080" w:header="851" w:footer="992" w:gutter="0"/>
          <w:pgNumType w:fmt="decimal"/>
          <w:cols w:space="720" w:num="1"/>
          <w:titlePg/>
          <w:docGrid w:linePitch="312" w:charSpace="0"/>
        </w:sectPr>
      </w:pPr>
    </w:p>
    <w:p w14:paraId="60E65BDE">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7</w:t>
      </w:r>
      <w:r>
        <w:rPr>
          <w:rFonts w:hint="eastAsia" w:ascii="宋体" w:hAnsi="宋体" w:cs="宋体"/>
          <w:b/>
          <w:color w:val="auto"/>
          <w:spacing w:val="6"/>
          <w:sz w:val="32"/>
          <w:szCs w:val="32"/>
          <w:highlight w:val="none"/>
        </w:rPr>
        <w:t>：</w:t>
      </w:r>
      <w:r>
        <w:rPr>
          <w:rFonts w:hint="eastAsia" w:ascii="宋体" w:hAnsi="宋体" w:cs="宋体"/>
          <w:b/>
          <w:color w:val="auto"/>
          <w:sz w:val="32"/>
          <w:szCs w:val="32"/>
          <w:highlight w:val="none"/>
        </w:rPr>
        <w:t>中小企业声明函</w:t>
      </w:r>
    </w:p>
    <w:p w14:paraId="594A0463">
      <w:pPr>
        <w:spacing w:line="360" w:lineRule="auto"/>
        <w:jc w:val="center"/>
        <w:rPr>
          <w:rFonts w:ascii="宋体" w:hAnsi="宋体" w:cs="宋体"/>
          <w:color w:val="auto"/>
          <w:sz w:val="24"/>
          <w:highlight w:val="none"/>
          <w:u w:val="single"/>
        </w:rPr>
      </w:pPr>
    </w:p>
    <w:p w14:paraId="2E668970">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中小企业声明函（工程）</w:t>
      </w:r>
    </w:p>
    <w:p w14:paraId="3DD43857">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杭州市美术职业学校</w:t>
      </w:r>
      <w:r>
        <w:rPr>
          <w:rFonts w:hint="eastAsia" w:ascii="宋体" w:hAnsi="宋体" w:cs="宋体"/>
          <w:color w:val="auto"/>
          <w:sz w:val="24"/>
          <w:highlight w:val="none"/>
        </w:rPr>
        <w:t>的</w:t>
      </w:r>
      <w:r>
        <w:rPr>
          <w:rFonts w:hint="eastAsia" w:ascii="宋体" w:hAnsi="宋体" w:cs="宋体"/>
          <w:color w:val="auto"/>
          <w:sz w:val="24"/>
          <w:highlight w:val="none"/>
          <w:u w:val="single"/>
          <w:lang w:eastAsia="zh-CN"/>
        </w:rPr>
        <w:t>杭州市美术职业学校莫干校区实训楼外立面改造项目</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58775C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3EAEB0B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0A90B0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4FB8526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414DF2D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35D00788">
      <w:pPr>
        <w:spacing w:line="360" w:lineRule="auto"/>
        <w:ind w:firstLine="480" w:firstLineChars="200"/>
        <w:rPr>
          <w:rFonts w:ascii="宋体" w:hAnsi="宋体" w:cs="宋体"/>
          <w:color w:val="auto"/>
          <w:sz w:val="24"/>
          <w:highlight w:val="none"/>
        </w:rPr>
      </w:pPr>
    </w:p>
    <w:p w14:paraId="2F9987CC">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4ABB7712">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9E6B03C">
      <w:pPr>
        <w:spacing w:line="360" w:lineRule="auto"/>
        <w:ind w:right="420" w:firstLine="480" w:firstLineChars="200"/>
        <w:rPr>
          <w:rFonts w:hint="eastAsia" w:ascii="宋体" w:hAnsi="宋体" w:cs="宋体"/>
          <w:color w:val="auto"/>
          <w:sz w:val="24"/>
          <w:highlight w:val="none"/>
        </w:rPr>
      </w:pPr>
    </w:p>
    <w:p w14:paraId="03220363">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01E46867">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sz w:val="24"/>
          <w:highlight w:val="none"/>
          <w:lang w:val="en-US" w:eastAsia="zh-CN"/>
        </w:rPr>
      </w:pPr>
      <w:r>
        <w:rPr>
          <w:rFonts w:hint="eastAsia" w:ascii="宋体" w:hAnsi="宋体" w:eastAsia="宋体" w:cs="宋体"/>
          <w:color w:val="auto"/>
          <w:kern w:val="2"/>
          <w:sz w:val="24"/>
          <w:szCs w:val="24"/>
          <w:highlight w:val="none"/>
          <w:lang w:val="en-US" w:eastAsia="zh-CN" w:bidi="ar"/>
        </w:rPr>
        <w:t>①从业人员、营业收入、资产总额填报上一年度数据，无上一年度数据的新成立企业可不填报</w:t>
      </w:r>
      <w:r>
        <w:rPr>
          <w:rFonts w:hint="eastAsia" w:ascii="宋体" w:hAnsi="宋体" w:eastAsia="宋体" w:cs="宋体"/>
          <w:color w:val="auto"/>
          <w:sz w:val="24"/>
          <w:highlight w:val="none"/>
          <w:lang w:val="en-US" w:eastAsia="zh-CN"/>
        </w:rPr>
        <w:t>。</w:t>
      </w:r>
    </w:p>
    <w:p w14:paraId="345735BE">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仿宋_GB2312"/>
          <w:b/>
          <w:bCs w:val="0"/>
          <w:color w:val="auto"/>
          <w:kern w:val="2"/>
          <w:sz w:val="24"/>
          <w:szCs w:val="24"/>
          <w:highlight w:val="none"/>
        </w:rPr>
      </w:pPr>
      <w:r>
        <w:rPr>
          <w:rFonts w:hint="eastAsia" w:ascii="宋体" w:hAnsi="宋体" w:eastAsia="宋体" w:cs="宋体"/>
          <w:color w:val="auto"/>
          <w:sz w:val="24"/>
          <w:highlight w:val="none"/>
          <w:lang w:val="en-US" w:eastAsia="zh-CN"/>
        </w:rPr>
        <w:t>②《中小企业声明函》中“标的名称”、“采购文件中明确的所属行业”依据招标文件第二部分投标人须知前附表中“采购标的及其对应的中小企业划分标准所属行业”的指引，逐一填写，不得缺漏。</w:t>
      </w:r>
    </w:p>
    <w:p w14:paraId="29104868">
      <w:pPr>
        <w:spacing w:line="360" w:lineRule="auto"/>
        <w:jc w:val="center"/>
        <w:rPr>
          <w:rFonts w:ascii="宋体" w:hAnsi="宋体" w:cs="宋体"/>
          <w:b/>
          <w:color w:val="auto"/>
          <w:sz w:val="32"/>
          <w:szCs w:val="32"/>
          <w:highlight w:val="none"/>
        </w:rPr>
      </w:pPr>
    </w:p>
    <w:p w14:paraId="1DE39478">
      <w:pPr>
        <w:spacing w:line="360" w:lineRule="auto"/>
        <w:rPr>
          <w:rFonts w:ascii="宋体" w:hAnsi="宋体" w:cs="宋体"/>
          <w:bCs/>
          <w:color w:val="auto"/>
          <w:sz w:val="24"/>
          <w:highlight w:val="none"/>
        </w:rPr>
        <w:sectPr>
          <w:pgSz w:w="11906" w:h="16838"/>
          <w:pgMar w:top="1440" w:right="1080" w:bottom="1440" w:left="1080" w:header="851" w:footer="992" w:gutter="0"/>
          <w:pgNumType w:fmt="decimal"/>
          <w:cols w:space="720" w:num="1"/>
          <w:titlePg/>
          <w:docGrid w:linePitch="312" w:charSpace="0"/>
        </w:sectPr>
      </w:pPr>
    </w:p>
    <w:p w14:paraId="4BF58AEB">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附件8：工程量清单（另附）</w:t>
      </w:r>
    </w:p>
    <w:p w14:paraId="79772648">
      <w:pPr>
        <w:spacing w:line="360" w:lineRule="auto"/>
        <w:rPr>
          <w:rFonts w:ascii="宋体" w:hAnsi="宋体" w:cs="宋体"/>
          <w:b/>
          <w:color w:val="auto"/>
          <w:spacing w:val="6"/>
          <w:sz w:val="32"/>
          <w:szCs w:val="32"/>
          <w:highlight w:val="none"/>
        </w:rPr>
      </w:pPr>
    </w:p>
    <w:p w14:paraId="63EB4FB0">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附件9：图纸（另附）</w:t>
      </w:r>
    </w:p>
    <w:p w14:paraId="4E003C65">
      <w:pPr>
        <w:pStyle w:val="25"/>
        <w:rPr>
          <w:color w:val="auto"/>
          <w:highlight w:val="none"/>
        </w:rPr>
      </w:pPr>
    </w:p>
    <w:sectPr>
      <w:pgSz w:w="11906" w:h="16838"/>
      <w:pgMar w:top="1440" w:right="1080" w:bottom="1440" w:left="1080"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0000000000000000000"/>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ans SC"/>
    <w:panose1 w:val="00000000000000000000"/>
    <w:charset w:val="00"/>
    <w:family w:val="roman"/>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Noto Sans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Noto Sans SC"/>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2"/>
    <w:family w:val="roman"/>
    <w:pitch w:val="default"/>
    <w:sig w:usb0="00000000" w:usb1="00000000" w:usb2="00000000" w:usb3="00000000" w:csb0="8000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45D46">
    <w:pPr>
      <w:pStyle w:val="40"/>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C58EA8">
                          <w:pPr>
                            <w:pStyle w:val="40"/>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CC58EA8">
                    <w:pPr>
                      <w:pStyle w:val="40"/>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97</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AB4D5">
    <w:pPr>
      <w:pStyle w:val="40"/>
      <w:jc w:val="center"/>
      <w:rPr>
        <w:rFonts w:ascii="仿宋_GB2312" w:eastAsia="仿宋_GB2312"/>
        <w:szCs w:val="24"/>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8D4879">
                          <w:pPr>
                            <w:pStyle w:val="40"/>
                          </w:pPr>
                          <w:r>
                            <w:fldChar w:fldCharType="begin"/>
                          </w:r>
                          <w:r>
                            <w:instrText xml:space="preserve"> PAGE  \* MERGEFORMAT </w:instrText>
                          </w:r>
                          <w:r>
                            <w:fldChar w:fldCharType="separate"/>
                          </w:r>
                          <w:r>
                            <w:t>86</w:t>
                          </w:r>
                          <w:r>
                            <w:fldChar w:fldCharType="end"/>
                          </w:r>
                          <w:r>
                            <w:t xml:space="preserve"> / </w:t>
                          </w:r>
                          <w:r>
                            <w:fldChar w:fldCharType="begin"/>
                          </w:r>
                          <w:r>
                            <w:instrText xml:space="preserve"> NUMPAGES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428D4879">
                    <w:pPr>
                      <w:pStyle w:val="40"/>
                    </w:pPr>
                    <w:r>
                      <w:fldChar w:fldCharType="begin"/>
                    </w:r>
                    <w:r>
                      <w:instrText xml:space="preserve"> PAGE  \* MERGEFORMAT </w:instrText>
                    </w:r>
                    <w:r>
                      <w:fldChar w:fldCharType="separate"/>
                    </w:r>
                    <w:r>
                      <w:t>86</w:t>
                    </w:r>
                    <w:r>
                      <w:fldChar w:fldCharType="end"/>
                    </w:r>
                    <w:r>
                      <w:t xml:space="preserve"> / </w:t>
                    </w:r>
                    <w:r>
                      <w:fldChar w:fldCharType="begin"/>
                    </w:r>
                    <w:r>
                      <w:instrText xml:space="preserve"> NUMPAGES  \* MERGEFORMAT </w:instrText>
                    </w:r>
                    <w:r>
                      <w:fldChar w:fldCharType="separate"/>
                    </w:r>
                    <w:r>
                      <w:t>97</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5FBE3">
    <w:pPr>
      <w:pStyle w:val="40"/>
      <w:framePr w:wrap="around" w:vAnchor="text" w:hAnchor="margin" w:xAlign="right" w:y="1"/>
      <w:rPr>
        <w:rStyle w:val="72"/>
      </w:rPr>
    </w:pPr>
    <w:r>
      <w:fldChar w:fldCharType="begin"/>
    </w:r>
    <w:r>
      <w:rPr>
        <w:rStyle w:val="72"/>
      </w:rPr>
      <w:instrText xml:space="preserve">PAGE  </w:instrText>
    </w:r>
    <w:r>
      <w:fldChar w:fldCharType="end"/>
    </w:r>
  </w:p>
  <w:p w14:paraId="7B15CEA0">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C0258">
    <w:pPr>
      <w:pStyle w:val="40"/>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D060BB">
                          <w:pPr>
                            <w:pStyle w:val="40"/>
                          </w:pPr>
                          <w:r>
                            <w:fldChar w:fldCharType="begin"/>
                          </w:r>
                          <w:r>
                            <w:instrText xml:space="preserve"> PAGE  \* MERGEFORMAT </w:instrText>
                          </w:r>
                          <w:r>
                            <w:fldChar w:fldCharType="separate"/>
                          </w:r>
                          <w:r>
                            <w:t>84</w:t>
                          </w:r>
                          <w:r>
                            <w:fldChar w:fldCharType="end"/>
                          </w:r>
                          <w:r>
                            <w:t xml:space="preserve"> / </w:t>
                          </w:r>
                          <w:r>
                            <w:fldChar w:fldCharType="begin"/>
                          </w:r>
                          <w:r>
                            <w:instrText xml:space="preserve"> NUMPAGES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CD060BB">
                    <w:pPr>
                      <w:pStyle w:val="40"/>
                    </w:pPr>
                    <w:r>
                      <w:fldChar w:fldCharType="begin"/>
                    </w:r>
                    <w:r>
                      <w:instrText xml:space="preserve"> PAGE  \* MERGEFORMAT </w:instrText>
                    </w:r>
                    <w:r>
                      <w:fldChar w:fldCharType="separate"/>
                    </w:r>
                    <w:r>
                      <w:t>84</w:t>
                    </w:r>
                    <w:r>
                      <w:fldChar w:fldCharType="end"/>
                    </w:r>
                    <w:r>
                      <w:t xml:space="preserve"> / </w:t>
                    </w:r>
                    <w:r>
                      <w:fldChar w:fldCharType="begin"/>
                    </w:r>
                    <w:r>
                      <w:instrText xml:space="preserve"> NUMPAGES  \* MERGEFORMAT </w:instrText>
                    </w:r>
                    <w:r>
                      <w:fldChar w:fldCharType="separate"/>
                    </w:r>
                    <w:r>
                      <w:t>97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24C18">
    <w:pPr>
      <w:pStyle w:val="40"/>
      <w:framePr w:wrap="around" w:vAnchor="text" w:hAnchor="margin" w:xAlign="right" w:y="1"/>
      <w:rPr>
        <w:rStyle w:val="72"/>
      </w:rPr>
    </w:pPr>
    <w:r>
      <w:fldChar w:fldCharType="begin"/>
    </w:r>
    <w:r>
      <w:rPr>
        <w:rStyle w:val="72"/>
      </w:rPr>
      <w:instrText xml:space="preserve">PAGE  </w:instrText>
    </w:r>
    <w:r>
      <w:fldChar w:fldCharType="end"/>
    </w:r>
  </w:p>
  <w:p w14:paraId="4569CCD2">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6D745">
    <w:pPr>
      <w:pStyle w:val="40"/>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646A6F">
                          <w:pPr>
                            <w:pStyle w:val="40"/>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0646A6F">
                    <w:pPr>
                      <w:pStyle w:val="40"/>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97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EF739">
    <w:pPr>
      <w:pStyle w:val="40"/>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1E3034">
                          <w:pPr>
                            <w:pStyle w:val="40"/>
                          </w:pPr>
                          <w:r>
                            <w:fldChar w:fldCharType="begin"/>
                          </w:r>
                          <w:r>
                            <w:instrText xml:space="preserve"> PAGE  \* MERGEFORMAT </w:instrText>
                          </w:r>
                          <w:r>
                            <w:fldChar w:fldCharType="separate"/>
                          </w:r>
                          <w:r>
                            <w:t>44</w:t>
                          </w:r>
                          <w:r>
                            <w:fldChar w:fldCharType="end"/>
                          </w:r>
                          <w:r>
                            <w:t xml:space="preserve"> / </w:t>
                          </w:r>
                          <w:r>
                            <w:fldChar w:fldCharType="begin"/>
                          </w:r>
                          <w:r>
                            <w:instrText xml:space="preserve"> NUMPAGES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81E3034">
                    <w:pPr>
                      <w:pStyle w:val="40"/>
                    </w:pPr>
                    <w:r>
                      <w:fldChar w:fldCharType="begin"/>
                    </w:r>
                    <w:r>
                      <w:instrText xml:space="preserve"> PAGE  \* MERGEFORMAT </w:instrText>
                    </w:r>
                    <w:r>
                      <w:fldChar w:fldCharType="separate"/>
                    </w:r>
                    <w:r>
                      <w:t>44</w:t>
                    </w:r>
                    <w:r>
                      <w:fldChar w:fldCharType="end"/>
                    </w:r>
                    <w:r>
                      <w:t xml:space="preserve"> / </w:t>
                    </w:r>
                    <w:r>
                      <w:fldChar w:fldCharType="begin"/>
                    </w:r>
                    <w:r>
                      <w:instrText xml:space="preserve"> NUMPAGES  \* MERGEFORMAT </w:instrText>
                    </w:r>
                    <w:r>
                      <w:fldChar w:fldCharType="separate"/>
                    </w:r>
                    <w:r>
                      <w:t>97</w:t>
                    </w:r>
                    <w:r>
                      <w:fldChar w:fldCharType="end"/>
                    </w:r>
                  </w:p>
                </w:txbxContent>
              </v:textbox>
            </v:shape>
          </w:pict>
        </mc:Fallback>
      </mc:AlternateContent>
    </w:r>
  </w:p>
  <w:p w14:paraId="39449E62">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061FB">
    <w:pPr>
      <w:pStyle w:val="40"/>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9A7792">
                          <w:pPr>
                            <w:pStyle w:val="40"/>
                          </w:pPr>
                          <w:r>
                            <w:fldChar w:fldCharType="begin"/>
                          </w:r>
                          <w:r>
                            <w:instrText xml:space="preserve"> PAGE  \* MERGEFORMAT </w:instrText>
                          </w:r>
                          <w:r>
                            <w:fldChar w:fldCharType="separate"/>
                          </w:r>
                          <w:r>
                            <w:t>43</w:t>
                          </w:r>
                          <w:r>
                            <w:fldChar w:fldCharType="end"/>
                          </w:r>
                          <w:r>
                            <w:t xml:space="preserve"> / </w:t>
                          </w:r>
                          <w:r>
                            <w:fldChar w:fldCharType="begin"/>
                          </w:r>
                          <w:r>
                            <w:instrText xml:space="preserve"> NUMPAGES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D9A7792">
                    <w:pPr>
                      <w:pStyle w:val="40"/>
                    </w:pPr>
                    <w:r>
                      <w:fldChar w:fldCharType="begin"/>
                    </w:r>
                    <w:r>
                      <w:instrText xml:space="preserve"> PAGE  \* MERGEFORMAT </w:instrText>
                    </w:r>
                    <w:r>
                      <w:fldChar w:fldCharType="separate"/>
                    </w:r>
                    <w:r>
                      <w:t>43</w:t>
                    </w:r>
                    <w:r>
                      <w:fldChar w:fldCharType="end"/>
                    </w:r>
                    <w:r>
                      <w:t xml:space="preserve"> / </w:t>
                    </w:r>
                    <w:r>
                      <w:fldChar w:fldCharType="begin"/>
                    </w:r>
                    <w:r>
                      <w:instrText xml:space="preserve"> NUMPAGES  \* MERGEFORMAT </w:instrText>
                    </w:r>
                    <w:r>
                      <w:fldChar w:fldCharType="separate"/>
                    </w:r>
                    <w:r>
                      <w:t>97</w:t>
                    </w:r>
                    <w:r>
                      <w:fldChar w:fldCharType="end"/>
                    </w:r>
                  </w:p>
                </w:txbxContent>
              </v:textbox>
            </v:shape>
          </w:pict>
        </mc:Fallback>
      </mc:AlternateContent>
    </w:r>
  </w:p>
  <w:p w14:paraId="06F33D4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7478F">
    <w:pPr>
      <w:pStyle w:val="40"/>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10944D">
                          <w:pPr>
                            <w:pStyle w:val="40"/>
                          </w:pPr>
                          <w:r>
                            <w:fldChar w:fldCharType="begin"/>
                          </w:r>
                          <w:r>
                            <w:instrText xml:space="preserve"> PAGE  \* MERGEFORMAT </w:instrText>
                          </w:r>
                          <w:r>
                            <w:fldChar w:fldCharType="separate"/>
                          </w:r>
                          <w:r>
                            <w:t>79</w:t>
                          </w:r>
                          <w:r>
                            <w:fldChar w:fldCharType="end"/>
                          </w:r>
                          <w:r>
                            <w:t xml:space="preserve"> / </w:t>
                          </w:r>
                          <w:r>
                            <w:fldChar w:fldCharType="begin"/>
                          </w:r>
                          <w:r>
                            <w:instrText xml:space="preserve"> NUMPAGES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010944D">
                    <w:pPr>
                      <w:pStyle w:val="40"/>
                    </w:pPr>
                    <w:r>
                      <w:fldChar w:fldCharType="begin"/>
                    </w:r>
                    <w:r>
                      <w:instrText xml:space="preserve"> PAGE  \* MERGEFORMAT </w:instrText>
                    </w:r>
                    <w:r>
                      <w:fldChar w:fldCharType="separate"/>
                    </w:r>
                    <w:r>
                      <w:t>79</w:t>
                    </w:r>
                    <w:r>
                      <w:fldChar w:fldCharType="end"/>
                    </w:r>
                    <w:r>
                      <w:t xml:space="preserve"> / </w:t>
                    </w:r>
                    <w:r>
                      <w:fldChar w:fldCharType="begin"/>
                    </w:r>
                    <w:r>
                      <w:instrText xml:space="preserve"> NUMPAGES  \* MERGEFORMAT </w:instrText>
                    </w:r>
                    <w:r>
                      <w:fldChar w:fldCharType="separate"/>
                    </w:r>
                    <w:r>
                      <w:t>97</w:t>
                    </w:r>
                    <w:r>
                      <w:fldChar w:fldCharType="end"/>
                    </w:r>
                  </w:p>
                </w:txbxContent>
              </v:textbox>
            </v:shape>
          </w:pict>
        </mc:Fallback>
      </mc:AlternateContent>
    </w:r>
  </w:p>
  <w:p w14:paraId="4245F6D8">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2E873">
    <w:pPr>
      <w:pStyle w:val="40"/>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06D9F7">
                          <w:pPr>
                            <w:pStyle w:val="40"/>
                          </w:pPr>
                          <w:r>
                            <w:fldChar w:fldCharType="begin"/>
                          </w:r>
                          <w:r>
                            <w:instrText xml:space="preserve"> PAGE  \* MERGEFORMAT </w:instrText>
                          </w:r>
                          <w:r>
                            <w:fldChar w:fldCharType="separate"/>
                          </w:r>
                          <w:r>
                            <w:t>78</w:t>
                          </w:r>
                          <w:r>
                            <w:fldChar w:fldCharType="end"/>
                          </w:r>
                          <w:r>
                            <w:t xml:space="preserve"> / </w:t>
                          </w:r>
                          <w:r>
                            <w:fldChar w:fldCharType="begin"/>
                          </w:r>
                          <w:r>
                            <w:instrText xml:space="preserve"> NUMPAGES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D06D9F7">
                    <w:pPr>
                      <w:pStyle w:val="40"/>
                    </w:pPr>
                    <w:r>
                      <w:fldChar w:fldCharType="begin"/>
                    </w:r>
                    <w:r>
                      <w:instrText xml:space="preserve"> PAGE  \* MERGEFORMAT </w:instrText>
                    </w:r>
                    <w:r>
                      <w:fldChar w:fldCharType="separate"/>
                    </w:r>
                    <w:r>
                      <w:t>78</w:t>
                    </w:r>
                    <w:r>
                      <w:fldChar w:fldCharType="end"/>
                    </w:r>
                    <w:r>
                      <w:t xml:space="preserve"> / </w:t>
                    </w:r>
                    <w:r>
                      <w:fldChar w:fldCharType="begin"/>
                    </w:r>
                    <w:r>
                      <w:instrText xml:space="preserve"> NUMPAGES  \* MERGEFORMAT </w:instrText>
                    </w:r>
                    <w:r>
                      <w:fldChar w:fldCharType="separate"/>
                    </w:r>
                    <w:r>
                      <w:t>97</w:t>
                    </w:r>
                    <w:r>
                      <w:fldChar w:fldCharType="end"/>
                    </w:r>
                  </w:p>
                </w:txbxContent>
              </v:textbox>
            </v:shape>
          </w:pict>
        </mc:Fallback>
      </mc:AlternateContent>
    </w:r>
  </w:p>
  <w:p w14:paraId="08A2A9C7">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0D5DE">
    <w:pPr>
      <w:pStyle w:val="40"/>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A48C6C">
                          <w:pPr>
                            <w:pStyle w:val="40"/>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AA48C6C">
                    <w:pPr>
                      <w:pStyle w:val="40"/>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97</w:t>
                    </w:r>
                    <w:r>
                      <w:fldChar w:fldCharType="end"/>
                    </w:r>
                  </w:p>
                </w:txbxContent>
              </v:textbox>
            </v:shape>
          </w:pict>
        </mc:Fallback>
      </mc:AlternateContent>
    </w:r>
  </w:p>
  <w:p w14:paraId="788E20BF">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5967F">
    <w:pPr>
      <w:pStyle w:val="40"/>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D97706">
                          <w:pPr>
                            <w:pStyle w:val="40"/>
                          </w:pPr>
                          <w:r>
                            <w:fldChar w:fldCharType="begin"/>
                          </w:r>
                          <w:r>
                            <w:instrText xml:space="preserve"> PAGE  \* MERGEFORMAT </w:instrText>
                          </w:r>
                          <w:r>
                            <w:fldChar w:fldCharType="separate"/>
                          </w:r>
                          <w:r>
                            <w:t>82</w:t>
                          </w:r>
                          <w:r>
                            <w:fldChar w:fldCharType="end"/>
                          </w:r>
                          <w:r>
                            <w:t xml:space="preserve"> / </w:t>
                          </w:r>
                          <w:r>
                            <w:fldChar w:fldCharType="begin"/>
                          </w:r>
                          <w:r>
                            <w:instrText xml:space="preserve"> NUMPAGES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FD97706">
                    <w:pPr>
                      <w:pStyle w:val="40"/>
                    </w:pPr>
                    <w:r>
                      <w:fldChar w:fldCharType="begin"/>
                    </w:r>
                    <w:r>
                      <w:instrText xml:space="preserve"> PAGE  \* MERGEFORMAT </w:instrText>
                    </w:r>
                    <w:r>
                      <w:fldChar w:fldCharType="separate"/>
                    </w:r>
                    <w:r>
                      <w:t>82</w:t>
                    </w:r>
                    <w:r>
                      <w:fldChar w:fldCharType="end"/>
                    </w:r>
                    <w:r>
                      <w:t xml:space="preserve"> / </w:t>
                    </w:r>
                    <w:r>
                      <w:fldChar w:fldCharType="begin"/>
                    </w:r>
                    <w:r>
                      <w:instrText xml:space="preserve"> NUMPAGES  \* MERGEFORMAT </w:instrText>
                    </w:r>
                    <w:r>
                      <w:fldChar w:fldCharType="separate"/>
                    </w:r>
                    <w:r>
                      <w:t>97</w:t>
                    </w:r>
                    <w:r>
                      <w:fldChar w:fldCharType="end"/>
                    </w:r>
                  </w:p>
                </w:txbxContent>
              </v:textbox>
            </v:shape>
          </w:pict>
        </mc:Fallback>
      </mc:AlternateContent>
    </w:r>
  </w:p>
  <w:p w14:paraId="12DDF1CA">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C46D5">
    <w:pPr>
      <w:pStyle w:val="41"/>
      <w:pBdr>
        <w:bottom w:val="single" w:color="auto" w:sz="6" w:space="0"/>
      </w:pBdr>
      <w:jc w:val="right"/>
      <w:rPr>
        <w:rFonts w:ascii="仿宋_GB2312" w:eastAsia="仿宋_GB2312"/>
        <w:i/>
        <w:u w:val="single"/>
      </w:rPr>
    </w:pPr>
    <w:r>
      <w:rPr>
        <w:lang w:val="zh-CN"/>
      </w:rPr>
      <w:t>杭州市政府采购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727CA">
    <w:pPr>
      <w:pStyle w:val="41"/>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94A57">
    <w:pPr>
      <w:pStyle w:val="41"/>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0DAA3">
    <w:pPr>
      <w:pStyle w:val="41"/>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EF419">
    <w:pPr>
      <w:pStyle w:val="41"/>
      <w:pBdr>
        <w:bottom w:val="single" w:color="auto" w:sz="6" w:space="0"/>
      </w:pBdr>
      <w:tabs>
        <w:tab w:val="center" w:pos="4535"/>
        <w:tab w:val="right" w:pos="9070"/>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E102D"/>
    <w:multiLevelType w:val="singleLevel"/>
    <w:tmpl w:val="8B1E102D"/>
    <w:lvl w:ilvl="0" w:tentative="0">
      <w:start w:val="1"/>
      <w:numFmt w:val="decimal"/>
      <w:suff w:val="nothing"/>
      <w:lvlText w:val="（%1）"/>
      <w:lvlJc w:val="left"/>
    </w:lvl>
  </w:abstractNum>
  <w:abstractNum w:abstractNumId="1">
    <w:nsid w:val="A4EA72A6"/>
    <w:multiLevelType w:val="singleLevel"/>
    <w:tmpl w:val="A4EA72A6"/>
    <w:lvl w:ilvl="0" w:tentative="0">
      <w:start w:val="1"/>
      <w:numFmt w:val="decimalEnclosedCircleChinese"/>
      <w:suff w:val="nothing"/>
      <w:lvlText w:val="%1　"/>
      <w:lvlJc w:val="left"/>
      <w:pPr>
        <w:ind w:left="0" w:firstLine="400"/>
      </w:pPr>
      <w:rPr>
        <w:rFonts w:hint="eastAsia"/>
      </w:rPr>
    </w:lvl>
  </w:abstractNum>
  <w:abstractNum w:abstractNumId="2">
    <w:nsid w:val="00000002"/>
    <w:multiLevelType w:val="singleLevel"/>
    <w:tmpl w:val="00000002"/>
    <w:lvl w:ilvl="0" w:tentative="0">
      <w:start w:val="1"/>
      <w:numFmt w:val="decimalEnclosedCircleChinese"/>
      <w:suff w:val="nothing"/>
      <w:lvlText w:val="%1　"/>
      <w:lvlJc w:val="left"/>
      <w:pPr>
        <w:ind w:left="26" w:firstLine="400"/>
      </w:pPr>
      <w:rPr>
        <w:rFonts w:hint="eastAsia" w:ascii="宋体" w:hAnsi="宋体" w:eastAsia="宋体" w:cs="宋体"/>
        <w:lang w:val="en-US"/>
      </w:rPr>
    </w:lvl>
  </w:abstractNum>
  <w:abstractNum w:abstractNumId="3">
    <w:nsid w:val="00000003"/>
    <w:multiLevelType w:val="multilevel"/>
    <w:tmpl w:val="00000003"/>
    <w:lvl w:ilvl="0" w:tentative="0">
      <w:start w:val="1"/>
      <w:numFmt w:val="decimal"/>
      <w:suff w:val="nothing"/>
      <w:lvlText w:val="（%1）"/>
      <w:lvlJc w:val="left"/>
      <w:rPr>
        <w:rFonts w:hint="default"/>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4"/>
    <w:multiLevelType w:val="multilevel"/>
    <w:tmpl w:val="00000004"/>
    <w:lvl w:ilvl="0" w:tentative="0">
      <w:start w:val="1"/>
      <w:numFmt w:val="decimal"/>
      <w:suff w:val="nothing"/>
      <w:lvlText w:val="（%1）"/>
      <w:lvlJc w:val="left"/>
      <w:pPr>
        <w:ind w:left="840" w:hanging="420"/>
      </w:pPr>
      <w:rPr>
        <w:rFonts w:hint="default"/>
        <w:b w:val="0"/>
        <w:bCs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00000008"/>
    <w:multiLevelType w:val="singleLevel"/>
    <w:tmpl w:val="00000008"/>
    <w:lvl w:ilvl="0" w:tentative="0">
      <w:start w:val="1"/>
      <w:numFmt w:val="decimal"/>
      <w:lvlText w:val="(%1)"/>
      <w:lvlJc w:val="left"/>
      <w:pPr>
        <w:ind w:left="425" w:hanging="425"/>
      </w:pPr>
      <w:rPr>
        <w:rFonts w:hint="default"/>
      </w:rPr>
    </w:lvl>
  </w:abstractNum>
  <w:abstractNum w:abstractNumId="6">
    <w:nsid w:val="12FE93AF"/>
    <w:multiLevelType w:val="singleLevel"/>
    <w:tmpl w:val="12FE93AF"/>
    <w:lvl w:ilvl="0" w:tentative="0">
      <w:start w:val="6"/>
      <w:numFmt w:val="chineseCounting"/>
      <w:suff w:val="nothing"/>
      <w:lvlText w:val="%1、"/>
      <w:lvlJc w:val="left"/>
      <w:rPr>
        <w:rFonts w:hint="eastAsia"/>
      </w:rPr>
    </w:lvl>
  </w:abstractNum>
  <w:abstractNum w:abstractNumId="7">
    <w:nsid w:val="40D082BB"/>
    <w:multiLevelType w:val="singleLevel"/>
    <w:tmpl w:val="40D082BB"/>
    <w:lvl w:ilvl="0" w:tentative="0">
      <w:start w:val="1"/>
      <w:numFmt w:val="decimal"/>
      <w:suff w:val="nothing"/>
      <w:lvlText w:val="（%1）"/>
      <w:lvlJc w:val="left"/>
    </w:lvl>
  </w:abstractNum>
  <w:abstractNum w:abstractNumId="8">
    <w:nsid w:val="7CBEA60C"/>
    <w:multiLevelType w:val="singleLevel"/>
    <w:tmpl w:val="7CBEA60C"/>
    <w:lvl w:ilvl="0" w:tentative="0">
      <w:start w:val="10"/>
      <w:numFmt w:val="decimal"/>
      <w:suff w:val="nothing"/>
      <w:lvlText w:val="（%1）"/>
      <w:lvlJc w:val="left"/>
    </w:lvl>
  </w:abstractNum>
  <w:num w:numId="1">
    <w:abstractNumId w:val="7"/>
  </w:num>
  <w:num w:numId="2">
    <w:abstractNumId w:val="6"/>
  </w:num>
  <w:num w:numId="3">
    <w:abstractNumId w:val="3"/>
  </w:num>
  <w:num w:numId="4">
    <w:abstractNumId w:val="4"/>
  </w:num>
  <w:num w:numId="5">
    <w:abstractNumId w:val="2"/>
  </w:num>
  <w:num w:numId="6">
    <w:abstractNumId w:val="8"/>
  </w:num>
  <w:num w:numId="7">
    <w:abstractNumId w:val="1"/>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0"/>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0YzJlNTRlZmEzZDk4NWFkM2I3YWM3NGE4ODU3Nj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456"/>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C65DA5"/>
    <w:rsid w:val="01D55165"/>
    <w:rsid w:val="01DF6BF8"/>
    <w:rsid w:val="01E70DB5"/>
    <w:rsid w:val="01EC2C57"/>
    <w:rsid w:val="025F0711"/>
    <w:rsid w:val="026B2E25"/>
    <w:rsid w:val="02824D4D"/>
    <w:rsid w:val="02DC4B10"/>
    <w:rsid w:val="02DD76CE"/>
    <w:rsid w:val="02F36323"/>
    <w:rsid w:val="02F5619C"/>
    <w:rsid w:val="0326446A"/>
    <w:rsid w:val="032D5555"/>
    <w:rsid w:val="036634D2"/>
    <w:rsid w:val="03A56CD8"/>
    <w:rsid w:val="03DD35E4"/>
    <w:rsid w:val="03F040A4"/>
    <w:rsid w:val="04076900"/>
    <w:rsid w:val="041A5A3B"/>
    <w:rsid w:val="042311BA"/>
    <w:rsid w:val="042B157A"/>
    <w:rsid w:val="047C3600"/>
    <w:rsid w:val="048F763B"/>
    <w:rsid w:val="049F330E"/>
    <w:rsid w:val="04AA775C"/>
    <w:rsid w:val="04AF1889"/>
    <w:rsid w:val="04C64E6C"/>
    <w:rsid w:val="04F66F48"/>
    <w:rsid w:val="05251E14"/>
    <w:rsid w:val="05A16594"/>
    <w:rsid w:val="05A7762D"/>
    <w:rsid w:val="060E5941"/>
    <w:rsid w:val="06110FAF"/>
    <w:rsid w:val="061E21DC"/>
    <w:rsid w:val="06493CA7"/>
    <w:rsid w:val="065A6178"/>
    <w:rsid w:val="066F1CF3"/>
    <w:rsid w:val="06930BB8"/>
    <w:rsid w:val="07124397"/>
    <w:rsid w:val="07245D42"/>
    <w:rsid w:val="07264C62"/>
    <w:rsid w:val="0779354C"/>
    <w:rsid w:val="07927288"/>
    <w:rsid w:val="07A46B95"/>
    <w:rsid w:val="07AD5B25"/>
    <w:rsid w:val="08061376"/>
    <w:rsid w:val="08452D77"/>
    <w:rsid w:val="086401F8"/>
    <w:rsid w:val="08661343"/>
    <w:rsid w:val="08751CAA"/>
    <w:rsid w:val="087E4C40"/>
    <w:rsid w:val="08923AEE"/>
    <w:rsid w:val="08A871D0"/>
    <w:rsid w:val="08D12F5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703465"/>
    <w:rsid w:val="0AA374A5"/>
    <w:rsid w:val="0AAB7649"/>
    <w:rsid w:val="0ABC5606"/>
    <w:rsid w:val="0B30404E"/>
    <w:rsid w:val="0B4C6C14"/>
    <w:rsid w:val="0B547599"/>
    <w:rsid w:val="0B631A88"/>
    <w:rsid w:val="0B683D45"/>
    <w:rsid w:val="0B7F3F11"/>
    <w:rsid w:val="0B884417"/>
    <w:rsid w:val="0BE508DA"/>
    <w:rsid w:val="0BF6188C"/>
    <w:rsid w:val="0BF73C91"/>
    <w:rsid w:val="0C170175"/>
    <w:rsid w:val="0C1F2BBE"/>
    <w:rsid w:val="0C571A41"/>
    <w:rsid w:val="0C5C1171"/>
    <w:rsid w:val="0C5E1CBC"/>
    <w:rsid w:val="0C615B50"/>
    <w:rsid w:val="0C6E02C3"/>
    <w:rsid w:val="0C8445DA"/>
    <w:rsid w:val="0C87121B"/>
    <w:rsid w:val="0CC007F7"/>
    <w:rsid w:val="0CC617AC"/>
    <w:rsid w:val="0CE618DF"/>
    <w:rsid w:val="0CFE707A"/>
    <w:rsid w:val="0D063BDA"/>
    <w:rsid w:val="0D08375F"/>
    <w:rsid w:val="0D184CFB"/>
    <w:rsid w:val="0D4A7419"/>
    <w:rsid w:val="0D5A05B1"/>
    <w:rsid w:val="0D827401"/>
    <w:rsid w:val="0D84094E"/>
    <w:rsid w:val="0D8A00E9"/>
    <w:rsid w:val="0D8D589E"/>
    <w:rsid w:val="0DA01C73"/>
    <w:rsid w:val="0DD63300"/>
    <w:rsid w:val="0DF50604"/>
    <w:rsid w:val="0DF702FE"/>
    <w:rsid w:val="0E060E51"/>
    <w:rsid w:val="0E2008DB"/>
    <w:rsid w:val="0E5604B2"/>
    <w:rsid w:val="0E5F0EF8"/>
    <w:rsid w:val="0E6D5D79"/>
    <w:rsid w:val="0E6F197A"/>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437C74"/>
    <w:rsid w:val="12530213"/>
    <w:rsid w:val="127723A9"/>
    <w:rsid w:val="12862074"/>
    <w:rsid w:val="12883966"/>
    <w:rsid w:val="129E45B4"/>
    <w:rsid w:val="12D81596"/>
    <w:rsid w:val="13072A44"/>
    <w:rsid w:val="130E34D1"/>
    <w:rsid w:val="131021B4"/>
    <w:rsid w:val="13467951"/>
    <w:rsid w:val="135F4BE2"/>
    <w:rsid w:val="139B1A0A"/>
    <w:rsid w:val="139D25C7"/>
    <w:rsid w:val="13A22590"/>
    <w:rsid w:val="13BF3CE4"/>
    <w:rsid w:val="141008D8"/>
    <w:rsid w:val="14125FE6"/>
    <w:rsid w:val="146D271E"/>
    <w:rsid w:val="14982588"/>
    <w:rsid w:val="149A5AD9"/>
    <w:rsid w:val="14A7619D"/>
    <w:rsid w:val="150536C3"/>
    <w:rsid w:val="150C1963"/>
    <w:rsid w:val="151447A0"/>
    <w:rsid w:val="152B4878"/>
    <w:rsid w:val="154A6454"/>
    <w:rsid w:val="15762120"/>
    <w:rsid w:val="15E9021F"/>
    <w:rsid w:val="166B4A01"/>
    <w:rsid w:val="16831BCC"/>
    <w:rsid w:val="16A8729C"/>
    <w:rsid w:val="16B33777"/>
    <w:rsid w:val="16BC70A7"/>
    <w:rsid w:val="16C6339E"/>
    <w:rsid w:val="172F2D79"/>
    <w:rsid w:val="17557BEF"/>
    <w:rsid w:val="17B959CB"/>
    <w:rsid w:val="17D349C1"/>
    <w:rsid w:val="17F92515"/>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841EA1"/>
    <w:rsid w:val="1BA209CF"/>
    <w:rsid w:val="1BB4777D"/>
    <w:rsid w:val="1BD34E61"/>
    <w:rsid w:val="1BD75AB8"/>
    <w:rsid w:val="1BF65ED9"/>
    <w:rsid w:val="1C0459C2"/>
    <w:rsid w:val="1C1B3B4A"/>
    <w:rsid w:val="1C7725CD"/>
    <w:rsid w:val="1C88086E"/>
    <w:rsid w:val="1C9E489C"/>
    <w:rsid w:val="1D266CE1"/>
    <w:rsid w:val="1D3963AF"/>
    <w:rsid w:val="1D3D0FE5"/>
    <w:rsid w:val="1D6A673C"/>
    <w:rsid w:val="1D9247AE"/>
    <w:rsid w:val="1DA040F5"/>
    <w:rsid w:val="1DB567EC"/>
    <w:rsid w:val="1DF51A98"/>
    <w:rsid w:val="1E3D060F"/>
    <w:rsid w:val="1E3F7D2E"/>
    <w:rsid w:val="1E4134E4"/>
    <w:rsid w:val="1E5062B3"/>
    <w:rsid w:val="1E523514"/>
    <w:rsid w:val="1E714A66"/>
    <w:rsid w:val="1E802593"/>
    <w:rsid w:val="1E8B6156"/>
    <w:rsid w:val="1E970559"/>
    <w:rsid w:val="1EA703CC"/>
    <w:rsid w:val="1EB7330C"/>
    <w:rsid w:val="1F0A0FF3"/>
    <w:rsid w:val="1F33644B"/>
    <w:rsid w:val="1F492249"/>
    <w:rsid w:val="1F5771FF"/>
    <w:rsid w:val="1F646BF6"/>
    <w:rsid w:val="1F904124"/>
    <w:rsid w:val="1FE868A9"/>
    <w:rsid w:val="20034907"/>
    <w:rsid w:val="2006175C"/>
    <w:rsid w:val="20173E4B"/>
    <w:rsid w:val="204E48BC"/>
    <w:rsid w:val="208921B3"/>
    <w:rsid w:val="20973DEB"/>
    <w:rsid w:val="20B26522"/>
    <w:rsid w:val="20B44310"/>
    <w:rsid w:val="211116EB"/>
    <w:rsid w:val="216133FC"/>
    <w:rsid w:val="21642238"/>
    <w:rsid w:val="21D56769"/>
    <w:rsid w:val="21E52EF3"/>
    <w:rsid w:val="21FB5D7B"/>
    <w:rsid w:val="22015E94"/>
    <w:rsid w:val="220B1C3D"/>
    <w:rsid w:val="221D1D20"/>
    <w:rsid w:val="22334A87"/>
    <w:rsid w:val="22AB1F9C"/>
    <w:rsid w:val="22BE6801"/>
    <w:rsid w:val="233500BF"/>
    <w:rsid w:val="23377FF7"/>
    <w:rsid w:val="236B425F"/>
    <w:rsid w:val="23836192"/>
    <w:rsid w:val="23901F29"/>
    <w:rsid w:val="239C0061"/>
    <w:rsid w:val="23A14683"/>
    <w:rsid w:val="23B908A4"/>
    <w:rsid w:val="23E95BEF"/>
    <w:rsid w:val="23FD0064"/>
    <w:rsid w:val="240F1B30"/>
    <w:rsid w:val="245375B0"/>
    <w:rsid w:val="24642C0A"/>
    <w:rsid w:val="24B22173"/>
    <w:rsid w:val="24B95AD9"/>
    <w:rsid w:val="24BE24DA"/>
    <w:rsid w:val="24CF5825"/>
    <w:rsid w:val="24D663E6"/>
    <w:rsid w:val="24D77F2B"/>
    <w:rsid w:val="2569116E"/>
    <w:rsid w:val="258B00E2"/>
    <w:rsid w:val="25A917A6"/>
    <w:rsid w:val="25BE27CC"/>
    <w:rsid w:val="25F74A5C"/>
    <w:rsid w:val="2628662C"/>
    <w:rsid w:val="262D45DE"/>
    <w:rsid w:val="265D648B"/>
    <w:rsid w:val="26871DC8"/>
    <w:rsid w:val="26A53EF9"/>
    <w:rsid w:val="26A94201"/>
    <w:rsid w:val="26AC274F"/>
    <w:rsid w:val="26C00BDB"/>
    <w:rsid w:val="2703128E"/>
    <w:rsid w:val="27044A29"/>
    <w:rsid w:val="271D34C8"/>
    <w:rsid w:val="276142BF"/>
    <w:rsid w:val="27783712"/>
    <w:rsid w:val="27907362"/>
    <w:rsid w:val="28333E1D"/>
    <w:rsid w:val="28364C21"/>
    <w:rsid w:val="28454BD6"/>
    <w:rsid w:val="28455253"/>
    <w:rsid w:val="28551971"/>
    <w:rsid w:val="285B1C53"/>
    <w:rsid w:val="289F7086"/>
    <w:rsid w:val="28B203F9"/>
    <w:rsid w:val="28BE2623"/>
    <w:rsid w:val="28C32028"/>
    <w:rsid w:val="28CC490F"/>
    <w:rsid w:val="28DC1152"/>
    <w:rsid w:val="28DE40AA"/>
    <w:rsid w:val="29345E77"/>
    <w:rsid w:val="2943145A"/>
    <w:rsid w:val="294C65AD"/>
    <w:rsid w:val="29806583"/>
    <w:rsid w:val="298B3C4C"/>
    <w:rsid w:val="29F26D24"/>
    <w:rsid w:val="2A15033F"/>
    <w:rsid w:val="2A1662C1"/>
    <w:rsid w:val="2A1C7367"/>
    <w:rsid w:val="2A2815FA"/>
    <w:rsid w:val="2A6D6092"/>
    <w:rsid w:val="2A7D76B4"/>
    <w:rsid w:val="2A984574"/>
    <w:rsid w:val="2B437463"/>
    <w:rsid w:val="2B7807EE"/>
    <w:rsid w:val="2BA50BF7"/>
    <w:rsid w:val="2BBF00EC"/>
    <w:rsid w:val="2BC37CFD"/>
    <w:rsid w:val="2BD5237F"/>
    <w:rsid w:val="2BE536CE"/>
    <w:rsid w:val="2BE758D9"/>
    <w:rsid w:val="2C09049E"/>
    <w:rsid w:val="2C0A653C"/>
    <w:rsid w:val="2C191F85"/>
    <w:rsid w:val="2C363DD6"/>
    <w:rsid w:val="2CE82D6F"/>
    <w:rsid w:val="2D343236"/>
    <w:rsid w:val="2D8E266F"/>
    <w:rsid w:val="2DD15014"/>
    <w:rsid w:val="2DF72DE4"/>
    <w:rsid w:val="2E0220AF"/>
    <w:rsid w:val="2E4B082A"/>
    <w:rsid w:val="2E5D4E86"/>
    <w:rsid w:val="2E5D790B"/>
    <w:rsid w:val="2E9A3C18"/>
    <w:rsid w:val="2EBB0FEE"/>
    <w:rsid w:val="2EC63002"/>
    <w:rsid w:val="2ECB2EFB"/>
    <w:rsid w:val="2F0401BB"/>
    <w:rsid w:val="2F0A6B38"/>
    <w:rsid w:val="2F140557"/>
    <w:rsid w:val="2F946CCB"/>
    <w:rsid w:val="2FD25781"/>
    <w:rsid w:val="2FDC745C"/>
    <w:rsid w:val="2FFD7934"/>
    <w:rsid w:val="30733ACD"/>
    <w:rsid w:val="308C3862"/>
    <w:rsid w:val="309379D8"/>
    <w:rsid w:val="30A270F7"/>
    <w:rsid w:val="30AA14F8"/>
    <w:rsid w:val="30DF1478"/>
    <w:rsid w:val="30EC586F"/>
    <w:rsid w:val="319C6071"/>
    <w:rsid w:val="31A11ECE"/>
    <w:rsid w:val="31AC537E"/>
    <w:rsid w:val="31E3679B"/>
    <w:rsid w:val="31E732FD"/>
    <w:rsid w:val="32517576"/>
    <w:rsid w:val="32BE5C2C"/>
    <w:rsid w:val="32D63C1D"/>
    <w:rsid w:val="32E15AC4"/>
    <w:rsid w:val="32FB6478"/>
    <w:rsid w:val="32FC3357"/>
    <w:rsid w:val="332410BB"/>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8F04D44"/>
    <w:rsid w:val="39203C7B"/>
    <w:rsid w:val="39636459"/>
    <w:rsid w:val="396B7F6C"/>
    <w:rsid w:val="39B417A9"/>
    <w:rsid w:val="39FC5695"/>
    <w:rsid w:val="3A006D8E"/>
    <w:rsid w:val="3A204F94"/>
    <w:rsid w:val="3A3651E5"/>
    <w:rsid w:val="3A744481"/>
    <w:rsid w:val="3A8C7BEF"/>
    <w:rsid w:val="3A906246"/>
    <w:rsid w:val="3A9E536B"/>
    <w:rsid w:val="3B2349B7"/>
    <w:rsid w:val="3B616CFF"/>
    <w:rsid w:val="3B6259F6"/>
    <w:rsid w:val="3B976654"/>
    <w:rsid w:val="3BC01EFC"/>
    <w:rsid w:val="3BCA786A"/>
    <w:rsid w:val="3BD31E2F"/>
    <w:rsid w:val="3BF15831"/>
    <w:rsid w:val="3C105946"/>
    <w:rsid w:val="3C471448"/>
    <w:rsid w:val="3C5F759A"/>
    <w:rsid w:val="3C6C525A"/>
    <w:rsid w:val="3CCE23CB"/>
    <w:rsid w:val="3CD17D17"/>
    <w:rsid w:val="3D0B15E5"/>
    <w:rsid w:val="3D3C7F39"/>
    <w:rsid w:val="3D440F09"/>
    <w:rsid w:val="3D4504A0"/>
    <w:rsid w:val="3D8734BB"/>
    <w:rsid w:val="3D9A11D4"/>
    <w:rsid w:val="3DA16D89"/>
    <w:rsid w:val="3DA364BE"/>
    <w:rsid w:val="3DE041CB"/>
    <w:rsid w:val="3E0D48F6"/>
    <w:rsid w:val="3E1868B4"/>
    <w:rsid w:val="3E377251"/>
    <w:rsid w:val="3E42664B"/>
    <w:rsid w:val="3E4740D5"/>
    <w:rsid w:val="3E5A7334"/>
    <w:rsid w:val="3E7B5D6B"/>
    <w:rsid w:val="3E843E66"/>
    <w:rsid w:val="3E8F51FE"/>
    <w:rsid w:val="3E926F87"/>
    <w:rsid w:val="3E9A59DE"/>
    <w:rsid w:val="3EAF4836"/>
    <w:rsid w:val="3EB64111"/>
    <w:rsid w:val="3EC33DFA"/>
    <w:rsid w:val="3F060E16"/>
    <w:rsid w:val="3F1D1096"/>
    <w:rsid w:val="3F2F0234"/>
    <w:rsid w:val="3F6363FE"/>
    <w:rsid w:val="3F756B8F"/>
    <w:rsid w:val="3F95482B"/>
    <w:rsid w:val="4019356B"/>
    <w:rsid w:val="40592157"/>
    <w:rsid w:val="406E1CAE"/>
    <w:rsid w:val="40A0133A"/>
    <w:rsid w:val="40A8309D"/>
    <w:rsid w:val="40C31A53"/>
    <w:rsid w:val="40FF545D"/>
    <w:rsid w:val="410067C8"/>
    <w:rsid w:val="416176D3"/>
    <w:rsid w:val="418F0D2A"/>
    <w:rsid w:val="41D01505"/>
    <w:rsid w:val="42474939"/>
    <w:rsid w:val="424C3C57"/>
    <w:rsid w:val="42613FF3"/>
    <w:rsid w:val="42650648"/>
    <w:rsid w:val="42660D96"/>
    <w:rsid w:val="426D5BAD"/>
    <w:rsid w:val="428667D2"/>
    <w:rsid w:val="42CD1CE0"/>
    <w:rsid w:val="42E1381E"/>
    <w:rsid w:val="42ED6459"/>
    <w:rsid w:val="42FA125C"/>
    <w:rsid w:val="42FE58DD"/>
    <w:rsid w:val="43174B3D"/>
    <w:rsid w:val="431C0FA3"/>
    <w:rsid w:val="434B790E"/>
    <w:rsid w:val="4360274F"/>
    <w:rsid w:val="43977AB6"/>
    <w:rsid w:val="43A3342B"/>
    <w:rsid w:val="43A713E9"/>
    <w:rsid w:val="43AA5DF4"/>
    <w:rsid w:val="43C77C27"/>
    <w:rsid w:val="43DE09EE"/>
    <w:rsid w:val="43EC45A4"/>
    <w:rsid w:val="44002FAD"/>
    <w:rsid w:val="441C37AA"/>
    <w:rsid w:val="443D1266"/>
    <w:rsid w:val="449101DD"/>
    <w:rsid w:val="44B52F47"/>
    <w:rsid w:val="44DE1391"/>
    <w:rsid w:val="451B225C"/>
    <w:rsid w:val="452410C9"/>
    <w:rsid w:val="45317DFB"/>
    <w:rsid w:val="456D3CE4"/>
    <w:rsid w:val="4579042C"/>
    <w:rsid w:val="457F0571"/>
    <w:rsid w:val="45851176"/>
    <w:rsid w:val="45C55BC2"/>
    <w:rsid w:val="45C63B94"/>
    <w:rsid w:val="460E7DA5"/>
    <w:rsid w:val="46422483"/>
    <w:rsid w:val="4659254A"/>
    <w:rsid w:val="465B0637"/>
    <w:rsid w:val="465E3F0D"/>
    <w:rsid w:val="466A16E6"/>
    <w:rsid w:val="46893F2B"/>
    <w:rsid w:val="46C444E6"/>
    <w:rsid w:val="46C4686E"/>
    <w:rsid w:val="472467E8"/>
    <w:rsid w:val="4741387D"/>
    <w:rsid w:val="477B778F"/>
    <w:rsid w:val="478203EC"/>
    <w:rsid w:val="478A3956"/>
    <w:rsid w:val="47B025FA"/>
    <w:rsid w:val="4809698F"/>
    <w:rsid w:val="4811697D"/>
    <w:rsid w:val="487A3E25"/>
    <w:rsid w:val="488B5503"/>
    <w:rsid w:val="48937E21"/>
    <w:rsid w:val="489A0361"/>
    <w:rsid w:val="48A8102D"/>
    <w:rsid w:val="48B94FF3"/>
    <w:rsid w:val="48E37AAB"/>
    <w:rsid w:val="48FD4B4C"/>
    <w:rsid w:val="490A68E0"/>
    <w:rsid w:val="491055FE"/>
    <w:rsid w:val="49120D15"/>
    <w:rsid w:val="495F5B3E"/>
    <w:rsid w:val="496F77D7"/>
    <w:rsid w:val="497654FD"/>
    <w:rsid w:val="49B64211"/>
    <w:rsid w:val="49BB5CAE"/>
    <w:rsid w:val="49D41AAC"/>
    <w:rsid w:val="49F6167F"/>
    <w:rsid w:val="4A064FA0"/>
    <w:rsid w:val="4A16615C"/>
    <w:rsid w:val="4A403E6F"/>
    <w:rsid w:val="4A4424D7"/>
    <w:rsid w:val="4AB82D0F"/>
    <w:rsid w:val="4AEB7664"/>
    <w:rsid w:val="4AFD7C19"/>
    <w:rsid w:val="4B0567D1"/>
    <w:rsid w:val="4B236AAE"/>
    <w:rsid w:val="4B2F799D"/>
    <w:rsid w:val="4B707271"/>
    <w:rsid w:val="4B9739F7"/>
    <w:rsid w:val="4BEE2503"/>
    <w:rsid w:val="4BF727EA"/>
    <w:rsid w:val="4C245A30"/>
    <w:rsid w:val="4CB6685F"/>
    <w:rsid w:val="4CC367FE"/>
    <w:rsid w:val="4CF150D2"/>
    <w:rsid w:val="4CF34379"/>
    <w:rsid w:val="4D077F3C"/>
    <w:rsid w:val="4D123355"/>
    <w:rsid w:val="4D2A3B31"/>
    <w:rsid w:val="4D312C52"/>
    <w:rsid w:val="4D7F0CE1"/>
    <w:rsid w:val="4D905305"/>
    <w:rsid w:val="4D964A72"/>
    <w:rsid w:val="4D9C1254"/>
    <w:rsid w:val="4D9E5B15"/>
    <w:rsid w:val="4DED1297"/>
    <w:rsid w:val="4E793892"/>
    <w:rsid w:val="4E800872"/>
    <w:rsid w:val="4EC569ED"/>
    <w:rsid w:val="4ED50EA1"/>
    <w:rsid w:val="4EE1672B"/>
    <w:rsid w:val="4EEC050C"/>
    <w:rsid w:val="4F104EC3"/>
    <w:rsid w:val="4F47354A"/>
    <w:rsid w:val="4F911C54"/>
    <w:rsid w:val="4FE625E0"/>
    <w:rsid w:val="500F1438"/>
    <w:rsid w:val="5021480F"/>
    <w:rsid w:val="505C301C"/>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4C1537"/>
    <w:rsid w:val="53544462"/>
    <w:rsid w:val="5397158E"/>
    <w:rsid w:val="53E325D5"/>
    <w:rsid w:val="54013861"/>
    <w:rsid w:val="54155B02"/>
    <w:rsid w:val="54487265"/>
    <w:rsid w:val="544D6070"/>
    <w:rsid w:val="54605E1E"/>
    <w:rsid w:val="546A5834"/>
    <w:rsid w:val="54982E4C"/>
    <w:rsid w:val="54B3506A"/>
    <w:rsid w:val="54CA0D16"/>
    <w:rsid w:val="54CB15E0"/>
    <w:rsid w:val="54DD4057"/>
    <w:rsid w:val="54E7490F"/>
    <w:rsid w:val="550764A4"/>
    <w:rsid w:val="550B2BF6"/>
    <w:rsid w:val="55214EB5"/>
    <w:rsid w:val="55364EFD"/>
    <w:rsid w:val="555D4828"/>
    <w:rsid w:val="557A4C8B"/>
    <w:rsid w:val="558931E1"/>
    <w:rsid w:val="559002B6"/>
    <w:rsid w:val="55923347"/>
    <w:rsid w:val="55925180"/>
    <w:rsid w:val="55983B1B"/>
    <w:rsid w:val="55A8376B"/>
    <w:rsid w:val="55DC29B6"/>
    <w:rsid w:val="55DD4241"/>
    <w:rsid w:val="56223724"/>
    <w:rsid w:val="566B6D1E"/>
    <w:rsid w:val="567B1CCB"/>
    <w:rsid w:val="56940ACA"/>
    <w:rsid w:val="57032A2C"/>
    <w:rsid w:val="570F5219"/>
    <w:rsid w:val="572E78E5"/>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BA3515"/>
    <w:rsid w:val="58E363A9"/>
    <w:rsid w:val="591E264C"/>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BE2749"/>
    <w:rsid w:val="5AD63A24"/>
    <w:rsid w:val="5AE51A4D"/>
    <w:rsid w:val="5B2E1A1D"/>
    <w:rsid w:val="5B843A1C"/>
    <w:rsid w:val="5B873E3F"/>
    <w:rsid w:val="5C02690E"/>
    <w:rsid w:val="5C196DA7"/>
    <w:rsid w:val="5C2A048C"/>
    <w:rsid w:val="5C391402"/>
    <w:rsid w:val="5C4D2220"/>
    <w:rsid w:val="5C80234E"/>
    <w:rsid w:val="5C8A680C"/>
    <w:rsid w:val="5D0C4701"/>
    <w:rsid w:val="5D0F0395"/>
    <w:rsid w:val="5D221076"/>
    <w:rsid w:val="5D397964"/>
    <w:rsid w:val="5D5A391C"/>
    <w:rsid w:val="5D5F10C0"/>
    <w:rsid w:val="5D790E2F"/>
    <w:rsid w:val="5D891B7B"/>
    <w:rsid w:val="5DAD38EE"/>
    <w:rsid w:val="5E006862"/>
    <w:rsid w:val="5E0207B9"/>
    <w:rsid w:val="5E1834A1"/>
    <w:rsid w:val="5E261785"/>
    <w:rsid w:val="5E4A7017"/>
    <w:rsid w:val="5E552BBA"/>
    <w:rsid w:val="5E611C10"/>
    <w:rsid w:val="5E7A0F3F"/>
    <w:rsid w:val="5E9754E9"/>
    <w:rsid w:val="5ECC5D50"/>
    <w:rsid w:val="5EFC7377"/>
    <w:rsid w:val="5F06174D"/>
    <w:rsid w:val="5F3A3602"/>
    <w:rsid w:val="5F45733B"/>
    <w:rsid w:val="5F6277C6"/>
    <w:rsid w:val="5F6D0B1D"/>
    <w:rsid w:val="5F8D0B82"/>
    <w:rsid w:val="5FCC5339"/>
    <w:rsid w:val="5FE34A5B"/>
    <w:rsid w:val="5FFE1E36"/>
    <w:rsid w:val="60232584"/>
    <w:rsid w:val="607330CE"/>
    <w:rsid w:val="60825176"/>
    <w:rsid w:val="60912B1E"/>
    <w:rsid w:val="609F2AC4"/>
    <w:rsid w:val="60FA2EE8"/>
    <w:rsid w:val="61054A27"/>
    <w:rsid w:val="610A52BC"/>
    <w:rsid w:val="610D059B"/>
    <w:rsid w:val="611D2366"/>
    <w:rsid w:val="61421856"/>
    <w:rsid w:val="615227C4"/>
    <w:rsid w:val="61654E3F"/>
    <w:rsid w:val="6182292A"/>
    <w:rsid w:val="619F7F92"/>
    <w:rsid w:val="61D81D7A"/>
    <w:rsid w:val="61F94C26"/>
    <w:rsid w:val="62000E56"/>
    <w:rsid w:val="624A314E"/>
    <w:rsid w:val="624F3E49"/>
    <w:rsid w:val="62632286"/>
    <w:rsid w:val="62885958"/>
    <w:rsid w:val="62F40B65"/>
    <w:rsid w:val="62FC2CFE"/>
    <w:rsid w:val="63024505"/>
    <w:rsid w:val="635600A5"/>
    <w:rsid w:val="635B1DB5"/>
    <w:rsid w:val="63711FED"/>
    <w:rsid w:val="63880DDC"/>
    <w:rsid w:val="638D750D"/>
    <w:rsid w:val="63AC6CC0"/>
    <w:rsid w:val="63C45757"/>
    <w:rsid w:val="63D86F45"/>
    <w:rsid w:val="63DF3A11"/>
    <w:rsid w:val="63F23480"/>
    <w:rsid w:val="64055776"/>
    <w:rsid w:val="641F5B67"/>
    <w:rsid w:val="64240056"/>
    <w:rsid w:val="643E143A"/>
    <w:rsid w:val="64491666"/>
    <w:rsid w:val="648B6EEF"/>
    <w:rsid w:val="64C158BF"/>
    <w:rsid w:val="64CE2EAA"/>
    <w:rsid w:val="64EE6A8D"/>
    <w:rsid w:val="653C3090"/>
    <w:rsid w:val="65854376"/>
    <w:rsid w:val="658767BE"/>
    <w:rsid w:val="65892531"/>
    <w:rsid w:val="65D92F1F"/>
    <w:rsid w:val="66195831"/>
    <w:rsid w:val="662E75B1"/>
    <w:rsid w:val="66342C2E"/>
    <w:rsid w:val="663E784C"/>
    <w:rsid w:val="668B6A45"/>
    <w:rsid w:val="66F43AF7"/>
    <w:rsid w:val="67112C4A"/>
    <w:rsid w:val="672F3F24"/>
    <w:rsid w:val="673E055F"/>
    <w:rsid w:val="67551CE3"/>
    <w:rsid w:val="67A22552"/>
    <w:rsid w:val="67B22DCC"/>
    <w:rsid w:val="67BE71AA"/>
    <w:rsid w:val="67CF7323"/>
    <w:rsid w:val="67D90273"/>
    <w:rsid w:val="67DE5875"/>
    <w:rsid w:val="67E55852"/>
    <w:rsid w:val="67EB1AB4"/>
    <w:rsid w:val="67F64880"/>
    <w:rsid w:val="67FA1285"/>
    <w:rsid w:val="684309E8"/>
    <w:rsid w:val="68551F4F"/>
    <w:rsid w:val="687C10C9"/>
    <w:rsid w:val="68840C16"/>
    <w:rsid w:val="68876EFB"/>
    <w:rsid w:val="68884654"/>
    <w:rsid w:val="689F444F"/>
    <w:rsid w:val="68B96DBB"/>
    <w:rsid w:val="68CA2805"/>
    <w:rsid w:val="68E937A3"/>
    <w:rsid w:val="68FB149A"/>
    <w:rsid w:val="693E15D3"/>
    <w:rsid w:val="694A2693"/>
    <w:rsid w:val="69627681"/>
    <w:rsid w:val="6977531D"/>
    <w:rsid w:val="69BB561F"/>
    <w:rsid w:val="69CC2BFF"/>
    <w:rsid w:val="69FD55B8"/>
    <w:rsid w:val="6A0B1C62"/>
    <w:rsid w:val="6A2406C8"/>
    <w:rsid w:val="6A3813ED"/>
    <w:rsid w:val="6A3B7666"/>
    <w:rsid w:val="6A9A1ADF"/>
    <w:rsid w:val="6ADE0BD1"/>
    <w:rsid w:val="6AE81378"/>
    <w:rsid w:val="6AE96859"/>
    <w:rsid w:val="6B147746"/>
    <w:rsid w:val="6B24787C"/>
    <w:rsid w:val="6B573233"/>
    <w:rsid w:val="6B5B6274"/>
    <w:rsid w:val="6B935D53"/>
    <w:rsid w:val="6BFA3EFD"/>
    <w:rsid w:val="6C1316F7"/>
    <w:rsid w:val="6C196F71"/>
    <w:rsid w:val="6C226FCB"/>
    <w:rsid w:val="6C31226F"/>
    <w:rsid w:val="6C315445"/>
    <w:rsid w:val="6C517EC7"/>
    <w:rsid w:val="6C552F0B"/>
    <w:rsid w:val="6C8C67B7"/>
    <w:rsid w:val="6C9D744C"/>
    <w:rsid w:val="6D167928"/>
    <w:rsid w:val="6D26299B"/>
    <w:rsid w:val="6D34104B"/>
    <w:rsid w:val="6D4772EC"/>
    <w:rsid w:val="6D9078AF"/>
    <w:rsid w:val="6DAA3FEF"/>
    <w:rsid w:val="6DC0172B"/>
    <w:rsid w:val="6DCB690C"/>
    <w:rsid w:val="6DD41A5B"/>
    <w:rsid w:val="6DF36EF3"/>
    <w:rsid w:val="6DF43C2E"/>
    <w:rsid w:val="6DF51CA3"/>
    <w:rsid w:val="6E8335BD"/>
    <w:rsid w:val="6E8E12EF"/>
    <w:rsid w:val="6E972936"/>
    <w:rsid w:val="6ED446C5"/>
    <w:rsid w:val="6F2A7D94"/>
    <w:rsid w:val="6F8331F1"/>
    <w:rsid w:val="6FAE1A09"/>
    <w:rsid w:val="6FD75BF8"/>
    <w:rsid w:val="706978A3"/>
    <w:rsid w:val="707723D0"/>
    <w:rsid w:val="70F5661B"/>
    <w:rsid w:val="70F8010E"/>
    <w:rsid w:val="71360107"/>
    <w:rsid w:val="713B688E"/>
    <w:rsid w:val="7148279F"/>
    <w:rsid w:val="71D43752"/>
    <w:rsid w:val="71F1796A"/>
    <w:rsid w:val="71FB63D5"/>
    <w:rsid w:val="72154626"/>
    <w:rsid w:val="72262B5D"/>
    <w:rsid w:val="72283FF7"/>
    <w:rsid w:val="722E7212"/>
    <w:rsid w:val="723A0474"/>
    <w:rsid w:val="725923E4"/>
    <w:rsid w:val="72864BF7"/>
    <w:rsid w:val="729023FC"/>
    <w:rsid w:val="72D20C05"/>
    <w:rsid w:val="73C0646E"/>
    <w:rsid w:val="742222F5"/>
    <w:rsid w:val="74476126"/>
    <w:rsid w:val="74706664"/>
    <w:rsid w:val="747F3682"/>
    <w:rsid w:val="749C4185"/>
    <w:rsid w:val="75067759"/>
    <w:rsid w:val="752E6DCD"/>
    <w:rsid w:val="7551380D"/>
    <w:rsid w:val="755D394A"/>
    <w:rsid w:val="75600BE5"/>
    <w:rsid w:val="7564475C"/>
    <w:rsid w:val="7583797F"/>
    <w:rsid w:val="75D20F1D"/>
    <w:rsid w:val="75DA2C18"/>
    <w:rsid w:val="75F54412"/>
    <w:rsid w:val="761D08E0"/>
    <w:rsid w:val="765D347C"/>
    <w:rsid w:val="76826699"/>
    <w:rsid w:val="76AF647B"/>
    <w:rsid w:val="76C87133"/>
    <w:rsid w:val="76CD08D5"/>
    <w:rsid w:val="76DB4B92"/>
    <w:rsid w:val="77052AA4"/>
    <w:rsid w:val="77136511"/>
    <w:rsid w:val="77340A39"/>
    <w:rsid w:val="77351FD0"/>
    <w:rsid w:val="77472422"/>
    <w:rsid w:val="77485D9A"/>
    <w:rsid w:val="77533533"/>
    <w:rsid w:val="777F31F2"/>
    <w:rsid w:val="77D1700D"/>
    <w:rsid w:val="77EC04CC"/>
    <w:rsid w:val="780B2500"/>
    <w:rsid w:val="78775729"/>
    <w:rsid w:val="78A42DB0"/>
    <w:rsid w:val="78A656AB"/>
    <w:rsid w:val="78B2245C"/>
    <w:rsid w:val="78E172CC"/>
    <w:rsid w:val="78EA1D1F"/>
    <w:rsid w:val="79036DC3"/>
    <w:rsid w:val="7904172F"/>
    <w:rsid w:val="790F7E27"/>
    <w:rsid w:val="792A231A"/>
    <w:rsid w:val="79316829"/>
    <w:rsid w:val="797E66A9"/>
    <w:rsid w:val="798518A4"/>
    <w:rsid w:val="79A97383"/>
    <w:rsid w:val="79E27E8B"/>
    <w:rsid w:val="79F850CE"/>
    <w:rsid w:val="79FD443C"/>
    <w:rsid w:val="79FEE5E2"/>
    <w:rsid w:val="7A1D1975"/>
    <w:rsid w:val="7A227DD3"/>
    <w:rsid w:val="7A3E5150"/>
    <w:rsid w:val="7A4670D6"/>
    <w:rsid w:val="7A534B63"/>
    <w:rsid w:val="7A615382"/>
    <w:rsid w:val="7A67303B"/>
    <w:rsid w:val="7AAB1D04"/>
    <w:rsid w:val="7ABA4368"/>
    <w:rsid w:val="7AD05746"/>
    <w:rsid w:val="7B257FFD"/>
    <w:rsid w:val="7B343476"/>
    <w:rsid w:val="7B5A2978"/>
    <w:rsid w:val="7B5A7E4C"/>
    <w:rsid w:val="7B667AF9"/>
    <w:rsid w:val="7B697245"/>
    <w:rsid w:val="7B7468F8"/>
    <w:rsid w:val="7BEE0103"/>
    <w:rsid w:val="7C0A0FE4"/>
    <w:rsid w:val="7C254906"/>
    <w:rsid w:val="7C590818"/>
    <w:rsid w:val="7C7C10F6"/>
    <w:rsid w:val="7C853BEA"/>
    <w:rsid w:val="7C881368"/>
    <w:rsid w:val="7CD564F7"/>
    <w:rsid w:val="7CE27788"/>
    <w:rsid w:val="7D0C32F1"/>
    <w:rsid w:val="7D0F408D"/>
    <w:rsid w:val="7D256900"/>
    <w:rsid w:val="7D491C6C"/>
    <w:rsid w:val="7D5429C0"/>
    <w:rsid w:val="7D6513F2"/>
    <w:rsid w:val="7D693610"/>
    <w:rsid w:val="7D6E6D43"/>
    <w:rsid w:val="7D703C99"/>
    <w:rsid w:val="7DB57A34"/>
    <w:rsid w:val="7DE60973"/>
    <w:rsid w:val="7DEF0916"/>
    <w:rsid w:val="7E0366C5"/>
    <w:rsid w:val="7E1E5218"/>
    <w:rsid w:val="7E6C679B"/>
    <w:rsid w:val="7E9A4E1F"/>
    <w:rsid w:val="7EA7723A"/>
    <w:rsid w:val="7EF56FBB"/>
    <w:rsid w:val="7F0768EB"/>
    <w:rsid w:val="7F143BEC"/>
    <w:rsid w:val="7F1C3D32"/>
    <w:rsid w:val="7F362021"/>
    <w:rsid w:val="7F715AF2"/>
    <w:rsid w:val="7F7B47F9"/>
    <w:rsid w:val="7F886E69"/>
    <w:rsid w:val="AEFB2051"/>
    <w:rsid w:val="BB7FA927"/>
    <w:rsid w:val="EFF72F48"/>
    <w:rsid w:val="F5FFD31F"/>
    <w:rsid w:val="F7E57758"/>
    <w:rsid w:val="F7FD985E"/>
    <w:rsid w:val="FBDE7B37"/>
    <w:rsid w:val="FEF3980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next w:val="1"/>
    <w:link w:val="321"/>
    <w:qFormat/>
    <w:uiPriority w:val="0"/>
    <w:pPr>
      <w:ind w:firstLine="420"/>
    </w:pPr>
    <w:rPr>
      <w:rFonts w:hAnsi="Calibri" w:cs="Times New Roman"/>
      <w:snapToGrid/>
      <w:szCs w:val="20"/>
    </w:rPr>
  </w:style>
  <w:style w:type="paragraph" w:styleId="6">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9"/>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2"/>
    <w:qFormat/>
    <w:uiPriority w:val="0"/>
    <w:pPr>
      <w:shd w:val="clear" w:color="auto" w:fill="000080"/>
    </w:pPr>
  </w:style>
  <w:style w:type="paragraph" w:styleId="20">
    <w:name w:val="annotation text"/>
    <w:basedOn w:val="1"/>
    <w:link w:val="344"/>
    <w:qFormat/>
    <w:uiPriority w:val="99"/>
    <w:pPr>
      <w:jc w:val="left"/>
    </w:pPr>
  </w:style>
  <w:style w:type="paragraph" w:styleId="21">
    <w:name w:val="Salutation"/>
    <w:basedOn w:val="1"/>
    <w:next w:val="1"/>
    <w:link w:val="298"/>
    <w:qFormat/>
    <w:uiPriority w:val="0"/>
    <w:rPr>
      <w:rFonts w:ascii="仿宋_GB2312" w:eastAsia="仿宋_GB2312"/>
      <w:sz w:val="28"/>
      <w:szCs w:val="20"/>
    </w:rPr>
  </w:style>
  <w:style w:type="paragraph" w:styleId="22">
    <w:name w:val="Body Text 3"/>
    <w:basedOn w:val="1"/>
    <w:link w:val="330"/>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
    <w:link w:val="430"/>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1"/>
    <w:link w:val="265"/>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5"/>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1"/>
    <w:qFormat/>
    <w:uiPriority w:val="0"/>
    <w:pPr>
      <w:ind w:left="100" w:leftChars="2500"/>
    </w:pPr>
    <w:rPr>
      <w:rFonts w:ascii="宋体"/>
      <w:sz w:val="24"/>
      <w:szCs w:val="21"/>
      <w:lang w:val="zh-CN"/>
    </w:rPr>
  </w:style>
  <w:style w:type="paragraph" w:styleId="37">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8">
    <w:name w:val="endnote text"/>
    <w:basedOn w:val="1"/>
    <w:link w:val="932"/>
    <w:qFormat/>
    <w:uiPriority w:val="0"/>
    <w:rPr>
      <w:lang w:val="zh-CN"/>
    </w:rPr>
  </w:style>
  <w:style w:type="paragraph" w:styleId="39">
    <w:name w:val="Balloon Text"/>
    <w:basedOn w:val="1"/>
    <w:link w:val="188"/>
    <w:qFormat/>
    <w:uiPriority w:val="0"/>
    <w:rPr>
      <w:sz w:val="18"/>
      <w:szCs w:val="18"/>
    </w:rPr>
  </w:style>
  <w:style w:type="paragraph" w:styleId="40">
    <w:name w:val="footer"/>
    <w:basedOn w:val="1"/>
    <w:link w:val="383"/>
    <w:qFormat/>
    <w:uiPriority w:val="99"/>
    <w:pPr>
      <w:tabs>
        <w:tab w:val="center" w:pos="4153"/>
        <w:tab w:val="right" w:pos="8306"/>
      </w:tabs>
      <w:snapToGrid w:val="0"/>
      <w:jc w:val="left"/>
    </w:pPr>
    <w:rPr>
      <w:sz w:val="18"/>
      <w:szCs w:val="18"/>
    </w:rPr>
  </w:style>
  <w:style w:type="paragraph" w:styleId="41">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6"/>
    <w:link w:val="310"/>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6"/>
    <w:qFormat/>
    <w:uiPriority w:val="0"/>
    <w:rPr>
      <w:b/>
      <w:bCs/>
    </w:rPr>
  </w:style>
  <w:style w:type="paragraph" w:styleId="61">
    <w:name w:val="Body Text First Indent 2"/>
    <w:basedOn w:val="25"/>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7"/>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9"/>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4"/>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6"/>
    <w:qFormat/>
    <w:uiPriority w:val="0"/>
    <w:rPr>
      <w:rFonts w:ascii="宋体"/>
      <w:kern w:val="2"/>
      <w:sz w:val="24"/>
      <w:szCs w:val="21"/>
      <w:lang w:val="zh-CN"/>
    </w:rPr>
  </w:style>
  <w:style w:type="character" w:customStyle="1" w:styleId="182">
    <w:name w:val="标题 9 Char"/>
    <w:link w:val="12"/>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9"/>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6"/>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9"/>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0"/>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7"/>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7"/>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列出段落1"/>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5"/>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8"/>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1"/>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7"/>
    <w:qFormat/>
    <w:uiPriority w:val="0"/>
    <w:rPr>
      <w:rFonts w:ascii="黑体" w:hAnsi="Courier New" w:eastAsia="黑体"/>
    </w:rPr>
  </w:style>
  <w:style w:type="character" w:customStyle="1" w:styleId="302">
    <w:name w:val="正文文本 2 Char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7"/>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10"/>
    <w:qFormat/>
    <w:uiPriority w:val="0"/>
    <w:rPr>
      <w:b/>
      <w:bCs/>
      <w:kern w:val="2"/>
      <w:sz w:val="24"/>
      <w:szCs w:val="24"/>
    </w:rPr>
  </w:style>
  <w:style w:type="character" w:customStyle="1" w:styleId="308">
    <w:name w:val="正文文本缩进 2 Char"/>
    <w:link w:val="37"/>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0"/>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7"/>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2"/>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0"/>
    <w:qFormat/>
    <w:uiPriority w:val="99"/>
    <w:rPr>
      <w:kern w:val="2"/>
      <w:sz w:val="21"/>
      <w:szCs w:val="24"/>
    </w:rPr>
  </w:style>
  <w:style w:type="character" w:customStyle="1" w:styleId="345">
    <w:name w:val="签名 Char"/>
    <w:link w:val="42"/>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1"/>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0"/>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1"/>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6"/>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7"/>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无间隔2"/>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5"/>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8"/>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7"/>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7"/>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5"/>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0">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9"/>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8"/>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8"/>
    <w:qFormat/>
    <w:uiPriority w:val="0"/>
    <w:rPr>
      <w:kern w:val="2"/>
      <w:sz w:val="21"/>
      <w:szCs w:val="24"/>
      <w:lang w:val="zh-CN"/>
    </w:rPr>
  </w:style>
  <w:style w:type="character" w:customStyle="1" w:styleId="933">
    <w:name w:val="无间隔 字符"/>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样式 标题 2 + Times New Roman 四号 非加粗 段前: 5 磅 段后: 0 磅 行距: 固定值 20..."/>
    <w:basedOn w:val="4"/>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5">
    <w:name w:val="p16"/>
    <w:basedOn w:val="1"/>
    <w:qFormat/>
    <w:uiPriority w:val="0"/>
    <w:pPr>
      <w:widowControl/>
      <w:spacing w:before="100" w:after="100"/>
      <w:jc w:val="left"/>
    </w:pPr>
    <w:rPr>
      <w:rFonts w:ascii="宋体" w:hAnsi="宋体" w:cs="宋体"/>
      <w:color w:val="000000"/>
      <w:kern w:val="0"/>
      <w:sz w:val="24"/>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7">
    <w:name w:val="List Paragraph_41d0cc91-dce1-4733-b767-3adef058dad0"/>
    <w:basedOn w:val="1"/>
    <w:qFormat/>
    <w:uiPriority w:val="34"/>
    <w:pPr>
      <w:ind w:firstLine="420" w:firstLineChars="200"/>
    </w:pPr>
  </w:style>
  <w:style w:type="paragraph" w:styleId="968">
    <w:name w:val="List Paragraph"/>
    <w:basedOn w:val="1"/>
    <w:qFormat/>
    <w:uiPriority w:val="0"/>
    <w:pPr>
      <w:ind w:firstLine="420" w:firstLineChars="200"/>
    </w:pPr>
  </w:style>
  <w:style w:type="paragraph" w:customStyle="1" w:styleId="969">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95</Pages>
  <Words>26882</Words>
  <Characters>28772</Characters>
  <Lines>1</Lines>
  <Paragraphs>1</Paragraphs>
  <TotalTime>2</TotalTime>
  <ScaleCrop>false</ScaleCrop>
  <LinksUpToDate>false</LinksUpToDate>
  <CharactersWithSpaces>29372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2022-05-07T23:35:00Z</dcterms:created>
  <dc:creator>DELL</dc:creator>
  <cp:lastModifiedBy>呱呱</cp:lastModifiedBy>
  <cp:lastPrinted>2021-12-28T03:06:00Z</cp:lastPrinted>
  <dcterms:modified xsi:type="dcterms:W3CDTF">2025-07-02T11:31:20Z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08BFBF84EAF740008D0023533C84FAE8_13</vt:lpwstr>
  </property>
  <property fmtid="{D5CDD505-2E9C-101B-9397-08002B2CF9AE}" pid="5" name="commondata">
    <vt:lpwstr>eyJoZGlkIjoiNGNlMmFkMDQ1NDY0ZmRiM2Q0NjY4NTFjN2IwMTllYjMifQ==</vt:lpwstr>
  </property>
  <property fmtid="{D5CDD505-2E9C-101B-9397-08002B2CF9AE}" pid="6" name="KSOTemplateDocerSaveRecord">
    <vt:lpwstr>eyJoZGlkIjoiMTFjZGQ3ZjZkZGNiZmVlYjc2YzkxZWFiMjMyOTNkMjUiLCJ1c2VySWQiOiI0NDg3MDg0OTkifQ==</vt:lpwstr>
  </property>
</Properties>
</file>