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spacing w:line="360" w:lineRule="auto"/>
        <w:jc w:val="center"/>
        <w:rPr>
          <w:rFonts w:ascii="宋体" w:hAnsi="宋体" w:cs="宋体"/>
          <w:b/>
          <w:sz w:val="24"/>
        </w:rPr>
      </w:pPr>
    </w:p>
    <w:p>
      <w:pPr>
        <w:adjustRightInd/>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adjustRightInd/>
        <w:spacing w:line="360" w:lineRule="auto"/>
        <w:jc w:val="center"/>
        <w:rPr>
          <w:rFonts w:ascii="宋体" w:hAnsi="宋体" w:cs="宋体"/>
          <w:b/>
          <w:sz w:val="48"/>
          <w:szCs w:val="48"/>
        </w:rPr>
      </w:pPr>
    </w:p>
    <w:p>
      <w:pPr>
        <w:adjustRightInd/>
        <w:spacing w:line="360" w:lineRule="auto"/>
        <w:jc w:val="center"/>
        <w:rPr>
          <w:rFonts w:ascii="宋体" w:hAnsi="宋体" w:cs="宋体"/>
          <w:sz w:val="48"/>
          <w:szCs w:val="48"/>
        </w:rPr>
      </w:pPr>
      <w:r>
        <w:rPr>
          <w:rFonts w:hint="eastAsia" w:ascii="宋体" w:hAnsi="宋体" w:cs="宋体"/>
          <w:sz w:val="48"/>
          <w:szCs w:val="48"/>
        </w:rPr>
        <w:t>（</w:t>
      </w:r>
      <w:r>
        <w:rPr>
          <w:rFonts w:hint="eastAsia" w:ascii="宋体" w:hAnsi="宋体" w:cs="宋体"/>
          <w:sz w:val="48"/>
          <w:szCs w:val="48"/>
          <w:lang w:eastAsia="zh-CN"/>
        </w:rPr>
        <w:t>杭州市临安区昌化镇8300安置小区配套幼儿园厨房设备采购</w:t>
      </w:r>
      <w:r>
        <w:rPr>
          <w:rFonts w:hint="eastAsia" w:ascii="宋体" w:hAnsi="宋体" w:cs="宋体"/>
          <w:sz w:val="48"/>
          <w:szCs w:val="48"/>
          <w:lang w:val="en-US" w:eastAsia="zh-CN"/>
        </w:rPr>
        <w:t>项目</w:t>
      </w:r>
      <w:r>
        <w:rPr>
          <w:rFonts w:hint="eastAsia" w:ascii="宋体" w:hAnsi="宋体" w:cs="宋体"/>
          <w:sz w:val="48"/>
          <w:szCs w:val="48"/>
        </w:rPr>
        <w:t>）</w:t>
      </w:r>
    </w:p>
    <w:p>
      <w:pPr>
        <w:adjustRightInd/>
        <w:spacing w:line="360" w:lineRule="auto"/>
        <w:jc w:val="center"/>
        <w:rPr>
          <w:rFonts w:ascii="宋体" w:hAnsi="宋体" w:cs="宋体"/>
          <w:sz w:val="48"/>
          <w:szCs w:val="48"/>
        </w:rPr>
      </w:pPr>
      <w:r>
        <w:rPr>
          <w:rFonts w:hint="eastAsia" w:ascii="宋体" w:hAnsi="宋体" w:cs="宋体"/>
          <w:sz w:val="48"/>
          <w:szCs w:val="48"/>
          <w:lang w:val="en-US" w:eastAsia="zh-CN"/>
        </w:rPr>
        <w:t>竞争性磋商</w:t>
      </w:r>
      <w:r>
        <w:rPr>
          <w:rFonts w:hint="eastAsia" w:ascii="宋体" w:hAnsi="宋体" w:cs="宋体"/>
          <w:sz w:val="48"/>
          <w:szCs w:val="48"/>
        </w:rPr>
        <w:t xml:space="preserve">招标文件 </w:t>
      </w:r>
    </w:p>
    <w:p>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pPr>
        <w:snapToGrid w:val="0"/>
        <w:spacing w:line="360" w:lineRule="auto"/>
        <w:jc w:val="center"/>
        <w:rPr>
          <w:rFonts w:ascii="宋体" w:hAnsi="宋体" w:cs="宋体"/>
          <w:sz w:val="30"/>
          <w:szCs w:val="30"/>
        </w:rPr>
      </w:pPr>
      <w:r>
        <w:rPr>
          <w:rFonts w:hint="eastAsia" w:ascii="宋体" w:hAnsi="宋体" w:cs="宋体"/>
          <w:sz w:val="30"/>
          <w:szCs w:val="30"/>
        </w:rPr>
        <w:t>编号:[2022]146</w:t>
      </w:r>
      <w:r>
        <w:rPr>
          <w:rFonts w:hint="eastAsia" w:ascii="宋体" w:hAnsi="宋体" w:cs="宋体"/>
          <w:sz w:val="30"/>
          <w:szCs w:val="30"/>
          <w:lang w:val="en-US" w:eastAsia="zh-CN"/>
        </w:rPr>
        <w:t>1</w:t>
      </w:r>
      <w:r>
        <w:rPr>
          <w:rFonts w:hint="eastAsia" w:ascii="宋体" w:hAnsi="宋体" w:cs="宋体"/>
          <w:sz w:val="30"/>
          <w:szCs w:val="30"/>
        </w:rPr>
        <w:t>号</w:t>
      </w:r>
    </w:p>
    <w:p>
      <w:pPr>
        <w:adjustRightInd/>
        <w:spacing w:line="360" w:lineRule="auto"/>
        <w:rPr>
          <w:rFonts w:ascii="宋体" w:hAnsi="宋体" w:cs="宋体"/>
          <w:sz w:val="28"/>
          <w:szCs w:val="20"/>
        </w:rPr>
      </w:pPr>
    </w:p>
    <w:p>
      <w:pPr>
        <w:spacing w:line="360" w:lineRule="auto"/>
        <w:jc w:val="center"/>
        <w:rPr>
          <w:rFonts w:ascii="宋体" w:hAnsi="宋体" w:cs="宋体"/>
          <w:b/>
          <w:sz w:val="44"/>
          <w:szCs w:val="44"/>
        </w:rPr>
      </w:pPr>
      <w:r>
        <w:rPr>
          <w:rFonts w:hint="eastAsia" w:ascii="宋体" w:hAnsi="宋体" w:cs="宋体"/>
          <w:b/>
          <w:sz w:val="44"/>
          <w:szCs w:val="44"/>
        </w:rPr>
        <w:t xml:space="preserve"> </w:t>
      </w:r>
    </w:p>
    <w:p>
      <w:pPr>
        <w:spacing w:line="360" w:lineRule="auto"/>
        <w:jc w:val="center"/>
        <w:rPr>
          <w:rFonts w:ascii="宋体" w:hAnsi="宋体" w:cs="宋体"/>
          <w:b/>
          <w:sz w:val="44"/>
          <w:szCs w:val="44"/>
        </w:rPr>
      </w:pPr>
    </w:p>
    <w:p>
      <w:pPr>
        <w:spacing w:line="360" w:lineRule="auto"/>
        <w:jc w:val="center"/>
        <w:rPr>
          <w:rFonts w:ascii="宋体" w:hAnsi="宋体" w:cs="宋体"/>
          <w:sz w:val="24"/>
        </w:rPr>
      </w:pPr>
    </w:p>
    <w:p>
      <w:pPr>
        <w:spacing w:line="360" w:lineRule="auto"/>
        <w:jc w:val="center"/>
        <w:rPr>
          <w:rFonts w:ascii="宋体" w:hAnsi="宋体" w:cs="宋体"/>
          <w:sz w:val="24"/>
        </w:rPr>
      </w:pPr>
    </w:p>
    <w:p>
      <w:pPr>
        <w:spacing w:line="360" w:lineRule="auto"/>
        <w:rPr>
          <w:rFonts w:ascii="宋体" w:hAnsi="宋体" w:cs="宋体"/>
          <w:sz w:val="32"/>
          <w:szCs w:val="32"/>
        </w:rPr>
      </w:pPr>
    </w:p>
    <w:p>
      <w:pPr>
        <w:snapToGrid w:val="0"/>
        <w:spacing w:line="360" w:lineRule="auto"/>
        <w:jc w:val="center"/>
        <w:rPr>
          <w:rFonts w:ascii="宋体" w:hAnsi="宋体" w:cs="宋体"/>
          <w:sz w:val="32"/>
          <w:szCs w:val="32"/>
        </w:rPr>
      </w:pPr>
      <w:r>
        <w:rPr>
          <w:rFonts w:hint="eastAsia" w:ascii="宋体" w:hAnsi="宋体" w:cs="宋体"/>
          <w:sz w:val="32"/>
          <w:szCs w:val="32"/>
        </w:rPr>
        <w:t>（</w:t>
      </w:r>
      <w:r>
        <w:rPr>
          <w:rFonts w:hint="eastAsia" w:ascii="宋体" w:hAnsi="宋体"/>
          <w:color w:val="000000"/>
          <w:sz w:val="32"/>
          <w:szCs w:val="32"/>
          <w:lang w:eastAsia="zh-CN"/>
        </w:rPr>
        <w:t>杭州市临安区</w:t>
      </w:r>
      <w:r>
        <w:rPr>
          <w:rFonts w:hint="eastAsia" w:ascii="宋体" w:hAnsi="宋体"/>
          <w:color w:val="000000"/>
          <w:sz w:val="32"/>
          <w:szCs w:val="32"/>
          <w:lang w:val="en-US" w:eastAsia="zh-CN"/>
        </w:rPr>
        <w:t>昌化</w:t>
      </w:r>
      <w:r>
        <w:rPr>
          <w:rFonts w:hint="eastAsia" w:ascii="宋体" w:hAnsi="宋体"/>
          <w:color w:val="000000"/>
          <w:sz w:val="32"/>
          <w:szCs w:val="32"/>
          <w:lang w:eastAsia="zh-CN"/>
        </w:rPr>
        <w:t>镇人民政府</w:t>
      </w:r>
      <w:r>
        <w:rPr>
          <w:rFonts w:hint="eastAsia" w:ascii="宋体" w:hAnsi="宋体" w:cs="宋体"/>
          <w:sz w:val="32"/>
          <w:szCs w:val="32"/>
        </w:rPr>
        <w:t>）</w:t>
      </w:r>
    </w:p>
    <w:p>
      <w:pPr>
        <w:spacing w:line="360" w:lineRule="auto"/>
        <w:jc w:val="center"/>
        <w:rPr>
          <w:rFonts w:ascii="宋体" w:hAnsi="宋体" w:cs="宋体"/>
          <w:bCs/>
          <w:sz w:val="32"/>
          <w:szCs w:val="32"/>
        </w:rPr>
      </w:pPr>
      <w:r>
        <w:rPr>
          <w:rFonts w:hint="eastAsia" w:ascii="宋体" w:hAnsi="宋体" w:cs="宋体"/>
          <w:bCs/>
          <w:sz w:val="32"/>
          <w:szCs w:val="32"/>
        </w:rPr>
        <w:t>（</w:t>
      </w:r>
      <w:r>
        <w:rPr>
          <w:rFonts w:hint="eastAsia" w:ascii="宋体" w:hAnsi="宋体" w:cs="宋体"/>
          <w:sz w:val="32"/>
          <w:szCs w:val="32"/>
          <w:lang w:eastAsia="zh-CN"/>
        </w:rPr>
        <w:t>浙江联通工程咨询有限公司）</w:t>
      </w:r>
    </w:p>
    <w:p>
      <w:pPr>
        <w:snapToGrid w:val="0"/>
        <w:spacing w:line="360" w:lineRule="auto"/>
        <w:jc w:val="center"/>
        <w:rPr>
          <w:rFonts w:ascii="宋体" w:hAnsi="宋体" w:cs="宋体"/>
          <w:bCs/>
          <w:sz w:val="32"/>
          <w:szCs w:val="32"/>
        </w:rPr>
      </w:pPr>
      <w:r>
        <w:rPr>
          <w:rFonts w:hint="eastAsia" w:ascii="宋体" w:hAnsi="宋体" w:cs="宋体"/>
          <w:bCs/>
          <w:sz w:val="32"/>
          <w:szCs w:val="32"/>
        </w:rPr>
        <w:t>二〇二</w:t>
      </w:r>
      <w:r>
        <w:rPr>
          <w:rFonts w:hint="eastAsia" w:ascii="宋体" w:hAnsi="宋体" w:cs="宋体"/>
          <w:bCs/>
          <w:sz w:val="32"/>
          <w:szCs w:val="32"/>
          <w:lang w:val="en-US" w:eastAsia="zh-CN"/>
        </w:rPr>
        <w:t>二</w:t>
      </w:r>
      <w:r>
        <w:rPr>
          <w:rFonts w:hint="eastAsia" w:ascii="宋体" w:hAnsi="宋体" w:cs="宋体"/>
          <w:bCs/>
          <w:sz w:val="32"/>
          <w:szCs w:val="32"/>
        </w:rPr>
        <w:t>年</w:t>
      </w:r>
      <w:r>
        <w:rPr>
          <w:rFonts w:hint="eastAsia" w:ascii="宋体" w:hAnsi="宋体" w:cs="宋体"/>
          <w:bCs/>
          <w:sz w:val="32"/>
          <w:szCs w:val="32"/>
          <w:lang w:val="en-US" w:eastAsia="zh-CN"/>
        </w:rPr>
        <w:t>七</w:t>
      </w:r>
      <w:r>
        <w:rPr>
          <w:rFonts w:hint="eastAsia" w:ascii="宋体" w:hAnsi="宋体" w:cs="宋体"/>
          <w:bCs/>
          <w:sz w:val="32"/>
          <w:szCs w:val="32"/>
        </w:rPr>
        <w:t>月</w:t>
      </w:r>
    </w:p>
    <w:p>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pPr>
        <w:spacing w:line="360" w:lineRule="auto"/>
        <w:jc w:val="center"/>
        <w:rPr>
          <w:rFonts w:ascii="宋体" w:hAnsi="宋体" w:cs="宋体"/>
          <w:sz w:val="24"/>
        </w:rPr>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pPr>
        <w:spacing w:line="360" w:lineRule="auto"/>
        <w:ind w:firstLine="549" w:firstLineChars="229"/>
        <w:rPr>
          <w:rFonts w:ascii="宋体" w:hAnsi="宋体" w:cs="宋体"/>
          <w:sz w:val="24"/>
        </w:rPr>
      </w:pPr>
      <w:bookmarkStart w:id="1" w:name="_Hlt91233176"/>
      <w:bookmarkEnd w:id="1"/>
      <w:bookmarkStart w:id="2"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rPr>
          <w:rFonts w:ascii="宋体" w:hAnsi="宋体" w:cs="宋体"/>
          <w:sz w:val="24"/>
        </w:rPr>
      </w:pPr>
    </w:p>
    <w:p>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649545"/>
      <w:bookmarkEnd w:id="4"/>
      <w:bookmarkStart w:id="5" w:name="_Hlt74728647"/>
      <w:bookmarkEnd w:id="5"/>
      <w:bookmarkStart w:id="6" w:name="_Hlt74707423"/>
      <w:bookmarkEnd w:id="6"/>
      <w:bookmarkStart w:id="7" w:name="_Hlt74729822"/>
      <w:bookmarkEnd w:id="7"/>
      <w:bookmarkStart w:id="8" w:name="第二部分"/>
      <w:bookmarkStart w:id="9" w:name="_Toc91899870"/>
      <w:bookmarkStart w:id="10" w:name="_Toc91899871"/>
      <w:r>
        <w:rPr>
          <w:rFonts w:hint="eastAsia" w:ascii="宋体" w:hAnsi="宋体" w:cs="宋体"/>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u w:val="single"/>
        </w:rPr>
      </w:pPr>
      <w:r>
        <w:rPr>
          <w:rFonts w:hint="eastAsia" w:ascii="宋体" w:hAnsi="宋体" w:cs="宋体"/>
          <w:sz w:val="24"/>
          <w:u w:val="single"/>
        </w:rPr>
        <w:t>（</w:t>
      </w:r>
      <w:r>
        <w:rPr>
          <w:rFonts w:hint="eastAsia" w:ascii="宋体" w:hAnsi="宋体" w:cs="宋体"/>
          <w:sz w:val="24"/>
          <w:u w:val="single"/>
          <w:lang w:eastAsia="zh-CN"/>
        </w:rPr>
        <w:t>杭州市临安区昌化镇8300安置小区配套幼儿园厨房设备采购项目</w:t>
      </w:r>
      <w:r>
        <w:rPr>
          <w:rFonts w:hint="eastAsia" w:ascii="宋体" w:hAnsi="宋体" w:cs="宋体"/>
          <w:sz w:val="24"/>
          <w:u w:val="single"/>
        </w:rPr>
        <w:t>）</w:t>
      </w:r>
      <w:r>
        <w:rPr>
          <w:rFonts w:hint="eastAsia" w:ascii="宋体" w:hAnsi="宋体" w:cs="宋体"/>
          <w:sz w:val="24"/>
        </w:rPr>
        <w:t>招标项目的潜在投标人应在政采云平台（</w:t>
      </w:r>
      <w:r>
        <w:fldChar w:fldCharType="begin"/>
      </w:r>
      <w:r>
        <w:instrText xml:space="preserve"> HYPERLINK "https://www.zcygov.cn/）获取（下载）招标文件，并于2021年" </w:instrText>
      </w:r>
      <w:r>
        <w:fldChar w:fldCharType="separate"/>
      </w:r>
      <w:r>
        <w:rPr>
          <w:rStyle w:val="77"/>
          <w:rFonts w:hint="eastAsia" w:ascii="宋体" w:hAnsi="宋体" w:eastAsia="宋体" w:cs="宋体"/>
          <w:snapToGrid/>
          <w:color w:val="auto"/>
          <w:kern w:val="2"/>
          <w:sz w:val="24"/>
          <w:szCs w:val="24"/>
        </w:rPr>
        <w:t>https://www.zcygov.cn/）获取（下载）招标文件，并于</w:t>
      </w:r>
      <w:r>
        <w:rPr>
          <w:rFonts w:hint="eastAsia" w:ascii="宋体" w:hAnsi="宋体" w:cs="宋体"/>
          <w:sz w:val="24"/>
          <w:u w:val="single"/>
        </w:rPr>
        <w:t>202</w:t>
      </w:r>
      <w:r>
        <w:rPr>
          <w:rFonts w:hint="eastAsia" w:ascii="宋体" w:hAnsi="宋体" w:cs="宋体"/>
          <w:sz w:val="24"/>
          <w:u w:val="single"/>
          <w:lang w:val="en-US" w:eastAsia="zh-CN"/>
        </w:rPr>
        <w:t>2</w:t>
      </w:r>
      <w:r>
        <w:rPr>
          <w:rFonts w:hint="eastAsia" w:ascii="宋体" w:hAnsi="宋体" w:cs="宋体"/>
          <w:sz w:val="24"/>
          <w:u w:val="single"/>
        </w:rPr>
        <w:t>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18</w:t>
      </w:r>
      <w:r>
        <w:rPr>
          <w:rFonts w:hint="eastAsia" w:ascii="宋体" w:hAnsi="宋体" w:cs="宋体"/>
          <w:sz w:val="24"/>
          <w:u w:val="single"/>
        </w:rPr>
        <w:t>日</w:t>
      </w:r>
      <w:r>
        <w:rPr>
          <w:rFonts w:hint="eastAsia" w:ascii="宋体" w:hAnsi="宋体" w:cs="宋体"/>
          <w:sz w:val="24"/>
          <w:u w:val="single"/>
          <w:lang w:val="en-US" w:eastAsia="zh-CN"/>
        </w:rPr>
        <w:t>14</w:t>
      </w:r>
      <w:r>
        <w:rPr>
          <w:rFonts w:hint="eastAsia" w:ascii="宋体" w:hAnsi="宋体" w:cs="宋体"/>
          <w:sz w:val="24"/>
          <w:u w:val="single"/>
        </w:rPr>
        <w:t>点</w:t>
      </w:r>
      <w:r>
        <w:rPr>
          <w:rFonts w:hint="eastAsia" w:ascii="宋体" w:hAnsi="宋体" w:cs="宋体"/>
          <w:sz w:val="24"/>
          <w:u w:val="single"/>
          <w:lang w:val="en-US" w:eastAsia="zh-CN"/>
        </w:rPr>
        <w:t>00</w:t>
      </w:r>
      <w:r>
        <w:rPr>
          <w:rFonts w:hint="eastAsia" w:ascii="宋体" w:hAnsi="宋体" w:cs="宋体"/>
          <w:sz w:val="24"/>
          <w:u w:val="single"/>
        </w:rPr>
        <w:t>分</w:t>
      </w:r>
      <w:r>
        <w:rPr>
          <w:rFonts w:hint="eastAsia" w:ascii="宋体" w:hAnsi="宋体" w:cs="宋体"/>
          <w:bCs/>
          <w:sz w:val="24"/>
          <w:u w:val="single"/>
        </w:rPr>
        <w:t>00秒</w:t>
      </w:r>
      <w:r>
        <w:rPr>
          <w:rFonts w:hint="eastAsia" w:ascii="宋体" w:hAnsi="宋体" w:cs="宋体"/>
          <w:bCs/>
          <w:sz w:val="24"/>
          <w:u w:val="single"/>
        </w:rPr>
        <w:fldChar w:fldCharType="end"/>
      </w:r>
      <w:r>
        <w:rPr>
          <w:rFonts w:hint="eastAsia" w:ascii="宋体" w:hAnsi="宋体" w:cs="宋体"/>
          <w:bCs/>
          <w:sz w:val="24"/>
        </w:rPr>
        <w:t>（北京时间）前</w:t>
      </w:r>
      <w:r>
        <w:rPr>
          <w:rFonts w:hint="eastAsia" w:ascii="宋体" w:hAnsi="宋体" w:cs="宋体"/>
          <w:sz w:val="24"/>
        </w:rPr>
        <w:t>递交（上传）投标文件。</w:t>
      </w:r>
    </w:p>
    <w:p>
      <w:pPr>
        <w:spacing w:line="360" w:lineRule="auto"/>
        <w:rPr>
          <w:rFonts w:ascii="宋体" w:hAnsi="宋体" w:cs="宋体"/>
          <w:b/>
          <w:sz w:val="24"/>
        </w:rPr>
      </w:pPr>
      <w:r>
        <w:rPr>
          <w:rFonts w:hint="eastAsia" w:ascii="宋体" w:hAnsi="宋体" w:cs="宋体"/>
          <w:b/>
          <w:sz w:val="24"/>
        </w:rPr>
        <w:t xml:space="preserve">一、项目基本情况                                            </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项目编号：[2022]1461号</w:t>
      </w:r>
    </w:p>
    <w:p>
      <w:pPr>
        <w:spacing w:line="360" w:lineRule="auto"/>
        <w:rPr>
          <w:rFonts w:hint="eastAsia" w:ascii="宋体" w:hAnsi="宋体" w:eastAsia="宋体" w:cs="宋体"/>
          <w:sz w:val="24"/>
          <w:lang w:eastAsia="zh-CN"/>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sz w:val="24"/>
          <w:lang w:eastAsia="zh-CN"/>
        </w:rPr>
        <w:t>杭州市临安区昌化镇8300安置小区配套幼儿园厨房设备采购项目</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预算金额（元）：662425</w:t>
      </w:r>
      <w:r>
        <w:rPr>
          <w:rFonts w:hint="eastAsia" w:ascii="宋体" w:hAnsi="宋体" w:cs="宋体"/>
          <w:sz w:val="24"/>
        </w:rPr>
        <w:t xml:space="preserve"> </w:t>
      </w:r>
    </w:p>
    <w:p>
      <w:pPr>
        <w:spacing w:line="360" w:lineRule="auto"/>
        <w:ind w:firstLine="480"/>
        <w:rPr>
          <w:rFonts w:ascii="宋体" w:hAnsi="宋体" w:cs="宋体"/>
          <w:sz w:val="24"/>
        </w:rPr>
      </w:pPr>
      <w:r>
        <w:rPr>
          <w:rFonts w:hint="eastAsia" w:ascii="宋体" w:hAnsi="宋体" w:cs="宋体"/>
          <w:b/>
          <w:sz w:val="24"/>
        </w:rPr>
        <w:t>最高限价（元）：662425</w:t>
      </w:r>
      <w:r>
        <w:rPr>
          <w:rFonts w:hint="eastAsia" w:ascii="宋体" w:hAnsi="宋体" w:cs="宋体"/>
          <w:sz w:val="24"/>
        </w:rPr>
        <w:t xml:space="preserve"> </w:t>
      </w:r>
    </w:p>
    <w:p>
      <w:pPr>
        <w:pStyle w:val="6"/>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hAnsi="宋体" w:cs="宋体"/>
          <w:bCs/>
          <w:snapToGrid/>
          <w:color w:val="auto"/>
          <w:kern w:val="2"/>
          <w:sz w:val="24"/>
          <w:szCs w:val="24"/>
          <w:lang w:eastAsia="zh-CN"/>
        </w:rPr>
        <w:t>杭州市临安区昌化镇8300安置小区配套幼儿园厨房设备采购项目</w:t>
      </w:r>
      <w:r>
        <w:rPr>
          <w:rFonts w:hint="eastAsia" w:hAnsi="宋体" w:cs="宋体"/>
          <w:bCs/>
          <w:snapToGrid/>
          <w:color w:val="auto"/>
          <w:kern w:val="2"/>
          <w:sz w:val="24"/>
          <w:szCs w:val="24"/>
        </w:rPr>
        <w:t>主要内容： 双层工作台、洗手水池、四格保温台、单通工作柜、暖饭车、通道式洗碗机、集气罩、3#轴流风机、双门热风消毒柜、碗柜等。详见招标文件第三部分采购需求。</w:t>
      </w:r>
    </w:p>
    <w:p>
      <w:pPr>
        <w:pStyle w:val="129"/>
        <w:ind w:firstLine="482"/>
        <w:outlineLvl w:val="2"/>
        <w:rPr>
          <w:rFonts w:hint="default" w:ascii="宋体" w:hAnsi="宋体" w:eastAsia="宋体" w:cs="宋体"/>
          <w:highlight w:val="yellow"/>
          <w:lang w:val="en-US" w:eastAsia="zh-CN"/>
        </w:rPr>
      </w:pPr>
      <w:r>
        <w:rPr>
          <w:rFonts w:hint="eastAsia" w:ascii="宋体" w:hAnsi="宋体" w:cs="宋体"/>
          <w:b/>
        </w:rPr>
        <w:t>合同履约期限：30天内到货并完成安装跟调试</w:t>
      </w:r>
      <w:r>
        <w:rPr>
          <w:rFonts w:hint="eastAsia" w:ascii="宋体" w:hAnsi="宋体" w:cs="宋体"/>
          <w:b/>
          <w:lang w:eastAsia="zh-CN"/>
        </w:rPr>
        <w:t>。</w:t>
      </w:r>
    </w:p>
    <w:p>
      <w:pPr>
        <w:pStyle w:val="6"/>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ascii="MS Gothic" w:hAnsi="MS Gothic" w:eastAsia="宋体" w:cs="宋体"/>
              <w:snapToGrid w:val="0"/>
              <w:color w:val="auto"/>
              <w:kern w:val="0"/>
              <w:sz w:val="24"/>
              <w:szCs w:val="20"/>
              <w:lang w:val="en-US" w:eastAsia="zh-CN" w:bidi="ar-SA"/>
            </w:rPr>
            <w:t>☐</w:t>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ascii="Wingdings" w:hAnsi="Wingdings" w:eastAsia="宋体" w:cs="宋体"/>
              <w:snapToGrid w:val="0"/>
              <w:color w:val="auto"/>
              <w:kern w:val="0"/>
              <w:sz w:val="24"/>
              <w:szCs w:val="20"/>
              <w:lang w:val="en-US" w:eastAsia="zh-CN" w:bidi="ar-SA"/>
            </w:rPr>
            <w:t>þ</w:t>
          </w:r>
        </w:sdtContent>
      </w:sdt>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pPr>
        <w:spacing w:line="360" w:lineRule="auto"/>
        <w:ind w:firstLine="480" w:firstLineChars="200"/>
        <w:rPr>
          <w:rFonts w:ascii="宋体" w:hAnsi="宋体" w:cs="宋体"/>
          <w:sz w:val="24"/>
        </w:rPr>
      </w:pPr>
      <w:sdt>
        <w:sdtPr>
          <w:rPr>
            <w:rFonts w:hint="eastAsia" w:ascii="宋体" w:hAnsi="宋体" w:cs="宋体"/>
            <w:kern w:val="0"/>
            <w:sz w:val="24"/>
          </w:rPr>
          <w:id w:val="192861692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pPr>
        <w:spacing w:line="360" w:lineRule="auto"/>
        <w:ind w:firstLine="480" w:firstLineChars="200"/>
        <w:rPr>
          <w:rFonts w:ascii="宋体" w:hAnsi="宋体" w:cs="宋体"/>
          <w:sz w:val="24"/>
        </w:rPr>
      </w:pPr>
      <w:sdt>
        <w:sdtPr>
          <w:rPr>
            <w:rFonts w:hint="eastAsia" w:ascii="宋体" w:hAnsi="宋体" w:cs="宋体"/>
            <w:kern w:val="0"/>
            <w:sz w:val="24"/>
          </w:rPr>
          <w:id w:val="-1024704304"/>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专</w:t>
      </w:r>
      <w:r>
        <w:rPr>
          <w:rFonts w:hint="eastAsia" w:ascii="宋体" w:hAnsi="宋体" w:cs="宋体"/>
          <w:sz w:val="24"/>
        </w:rPr>
        <w:t>门面向中小企业</w:t>
      </w:r>
    </w:p>
    <w:p>
      <w:pPr>
        <w:spacing w:line="360" w:lineRule="auto"/>
        <w:ind w:firstLine="897" w:firstLineChars="374"/>
        <w:rPr>
          <w:rFonts w:ascii="宋体" w:hAnsi="宋体" w:cs="宋体"/>
          <w:sz w:val="24"/>
          <w:u w:val="single"/>
        </w:rPr>
      </w:pPr>
      <w:sdt>
        <w:sdtPr>
          <w:rPr>
            <w:rFonts w:hint="eastAsia" w:ascii="宋体" w:hAnsi="宋体" w:cs="宋体"/>
            <w:kern w:val="0"/>
            <w:sz w:val="24"/>
          </w:rPr>
          <w:id w:val="-924730588"/>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sz w:val="24"/>
        </w:rPr>
        <w:t>货物全部由符合政策要求的中小企业制造，提供中小企业声明函；</w:t>
      </w:r>
    </w:p>
    <w:p>
      <w:pPr>
        <w:spacing w:line="360" w:lineRule="auto"/>
        <w:ind w:firstLine="897" w:firstLineChars="374"/>
        <w:rPr>
          <w:rFonts w:ascii="宋体" w:hAnsi="宋体" w:cs="宋体"/>
          <w:sz w:val="24"/>
        </w:rPr>
      </w:pPr>
      <w:sdt>
        <w:sdtPr>
          <w:rPr>
            <w:rFonts w:hint="eastAsia" w:ascii="宋体" w:hAnsi="宋体" w:cs="宋体"/>
            <w:kern w:val="0"/>
            <w:sz w:val="24"/>
          </w:rPr>
          <w:id w:val="-115260493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货物全部由符合政策要求的小微企业制造，提供中小企业声明函；</w:t>
      </w:r>
    </w:p>
    <w:p>
      <w:pPr>
        <w:spacing w:line="360" w:lineRule="auto"/>
        <w:ind w:firstLine="480" w:firstLineChars="200"/>
        <w:rPr>
          <w:rFonts w:ascii="宋体" w:hAnsi="宋体" w:cs="宋体"/>
          <w:sz w:val="24"/>
        </w:rPr>
      </w:pPr>
      <w:sdt>
        <w:sdtPr>
          <w:rPr>
            <w:rFonts w:hint="eastAsia" w:ascii="宋体" w:hAnsi="宋体" w:cs="宋体"/>
            <w:kern w:val="0"/>
            <w:sz w:val="24"/>
          </w:rPr>
          <w:id w:val="-198560779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bookmarkStart w:id="12" w:name="_Hlk101132524"/>
        </w:sdtContent>
      </w:sdt>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宋体" w:hAnsi="宋体" w:cs="宋体"/>
          <w:sz w:val="24"/>
        </w:rPr>
        <w:t>；</w:t>
      </w:r>
    </w:p>
    <w:bookmarkEnd w:id="12"/>
    <w:p>
      <w:pPr>
        <w:spacing w:line="360" w:lineRule="auto"/>
        <w:ind w:firstLine="480" w:firstLineChars="200"/>
        <w:rPr>
          <w:rFonts w:ascii="宋体" w:hAnsi="宋体" w:cs="宋体"/>
          <w:sz w:val="24"/>
        </w:rPr>
      </w:pPr>
      <w:sdt>
        <w:sdtPr>
          <w:rPr>
            <w:rFonts w:hint="eastAsia" w:ascii="宋体" w:hAnsi="宋体" w:cs="宋体"/>
            <w:kern w:val="0"/>
            <w:sz w:val="24"/>
          </w:rPr>
          <w:id w:val="3463064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 ，小微企业合同金额应当达到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如果供应商本身提供所有标的均由中小企业制造、承建或承接，视同符合了资格条件，无需再向中小企业分包，无需提供分包意向协议</w:t>
      </w:r>
      <w:r>
        <w:rPr>
          <w:rFonts w:hint="eastAsia" w:ascii="宋体" w:hAnsi="宋体" w:cs="宋体"/>
          <w:sz w:val="24"/>
        </w:rPr>
        <w:t>；</w:t>
      </w:r>
    </w:p>
    <w:p>
      <w:pPr>
        <w:spacing w:line="360" w:lineRule="auto"/>
        <w:ind w:firstLine="480" w:firstLineChars="200"/>
        <w:rPr>
          <w:rFonts w:ascii="宋体" w:hAnsi="宋体" w:cs="宋体"/>
          <w:sz w:val="24"/>
        </w:rPr>
      </w:pPr>
      <w:r>
        <w:rPr>
          <w:rFonts w:ascii="宋体" w:hAnsi="宋体" w:cs="宋体"/>
          <w:sz w:val="24"/>
        </w:rPr>
        <w:t>4</w:t>
      </w:r>
      <w:r>
        <w:rPr>
          <w:rFonts w:hint="eastAsia" w:ascii="宋体" w:hAnsi="宋体" w:cs="宋体"/>
          <w:sz w:val="24"/>
        </w:rPr>
        <w:t>.本项目的特定资格要求：无；</w:t>
      </w:r>
    </w:p>
    <w:p>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sz w:val="24"/>
        </w:rPr>
      </w:pPr>
      <w:r>
        <w:rPr>
          <w:rFonts w:hint="eastAsia" w:ascii="宋体" w:hAnsi="宋体" w:cs="宋体"/>
          <w:b/>
          <w:sz w:val="24"/>
        </w:rPr>
        <w:t xml:space="preserve">三、获取招标文件 </w:t>
      </w:r>
    </w:p>
    <w:p>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w:t>
      </w:r>
      <w:r>
        <w:rPr>
          <w:rFonts w:hint="eastAsia" w:ascii="宋体" w:hAnsi="宋体" w:cs="宋体"/>
          <w:sz w:val="24"/>
          <w:u w:val="single"/>
          <w:lang w:val="en-US" w:eastAsia="zh-CN"/>
        </w:rPr>
        <w:t>2</w:t>
      </w:r>
      <w:r>
        <w:rPr>
          <w:rFonts w:hint="eastAsia" w:ascii="宋体" w:hAnsi="宋体" w:cs="宋体"/>
          <w:sz w:val="24"/>
          <w:u w:val="single"/>
        </w:rPr>
        <w:t>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18</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pPr>
        <w:spacing w:line="360" w:lineRule="auto"/>
        <w:rPr>
          <w:rFonts w:ascii="宋体" w:hAnsi="宋体" w:cs="宋体"/>
          <w:b/>
          <w:sz w:val="24"/>
        </w:rPr>
      </w:pPr>
      <w:r>
        <w:rPr>
          <w:rFonts w:hint="eastAsia" w:ascii="宋体" w:hAnsi="宋体" w:cs="宋体"/>
          <w:b/>
          <w:sz w:val="24"/>
        </w:rPr>
        <w:t>四、提交投标文件截止时间、开标时间和地点</w:t>
      </w:r>
    </w:p>
    <w:p>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u w:val="single"/>
        </w:rPr>
        <w:t xml:space="preserve"> 202</w:t>
      </w:r>
      <w:r>
        <w:rPr>
          <w:rFonts w:hint="eastAsia" w:ascii="宋体" w:hAnsi="宋体" w:cs="宋体"/>
          <w:sz w:val="24"/>
          <w:u w:val="single"/>
          <w:lang w:val="en-US" w:eastAsia="zh-CN"/>
        </w:rPr>
        <w:t>2</w:t>
      </w:r>
      <w:r>
        <w:rPr>
          <w:rFonts w:hint="eastAsia" w:ascii="宋体" w:hAnsi="宋体" w:cs="宋体"/>
          <w:sz w:val="24"/>
          <w:u w:val="single"/>
        </w:rPr>
        <w:t>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18</w:t>
      </w:r>
      <w:r>
        <w:rPr>
          <w:rFonts w:hint="eastAsia" w:ascii="宋体" w:hAnsi="宋体" w:cs="宋体"/>
          <w:sz w:val="24"/>
          <w:u w:val="single"/>
        </w:rPr>
        <w:t>日</w:t>
      </w:r>
      <w:r>
        <w:rPr>
          <w:rFonts w:hint="eastAsia" w:ascii="宋体" w:hAnsi="宋体" w:cs="宋体"/>
          <w:sz w:val="24"/>
          <w:u w:val="single"/>
          <w:lang w:val="en-US" w:eastAsia="zh-CN"/>
        </w:rPr>
        <w:t>14</w:t>
      </w:r>
      <w:r>
        <w:rPr>
          <w:rFonts w:hint="eastAsia" w:ascii="宋体" w:hAnsi="宋体" w:cs="宋体"/>
          <w:sz w:val="24"/>
          <w:u w:val="single"/>
        </w:rPr>
        <w:t xml:space="preserve"> 点</w:t>
      </w:r>
      <w:r>
        <w:rPr>
          <w:rFonts w:hint="eastAsia" w:ascii="宋体" w:hAnsi="宋体" w:cs="宋体"/>
          <w:sz w:val="24"/>
          <w:u w:val="single"/>
          <w:lang w:val="en-US" w:eastAsia="zh-CN"/>
        </w:rPr>
        <w:t>00</w:t>
      </w:r>
      <w:r>
        <w:rPr>
          <w:rFonts w:hint="eastAsia" w:ascii="宋体" w:hAnsi="宋体" w:cs="宋体"/>
          <w:sz w:val="24"/>
          <w:u w:val="single"/>
        </w:rPr>
        <w:t>分</w:t>
      </w:r>
      <w:r>
        <w:rPr>
          <w:rFonts w:hint="eastAsia" w:ascii="宋体" w:hAnsi="宋体" w:cs="宋体"/>
          <w:bCs/>
          <w:sz w:val="24"/>
          <w:u w:val="single"/>
        </w:rPr>
        <w:t xml:space="preserve"> </w:t>
      </w:r>
      <w:r>
        <w:rPr>
          <w:rFonts w:hint="eastAsia" w:ascii="宋体" w:hAnsi="宋体" w:cs="宋体"/>
          <w:sz w:val="24"/>
        </w:rPr>
        <w:t>（北京时间）</w:t>
      </w:r>
    </w:p>
    <w:p>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w:t>
      </w:r>
      <w:r>
        <w:rPr>
          <w:rFonts w:hint="eastAsia" w:ascii="宋体" w:hAnsi="宋体" w:cs="宋体"/>
          <w:sz w:val="24"/>
          <w:u w:val="single"/>
          <w:lang w:val="en-US" w:eastAsia="zh-CN"/>
        </w:rPr>
        <w:t>2</w:t>
      </w:r>
      <w:r>
        <w:rPr>
          <w:rFonts w:hint="eastAsia" w:ascii="宋体" w:hAnsi="宋体" w:cs="宋体"/>
          <w:sz w:val="24"/>
          <w:u w:val="single"/>
        </w:rPr>
        <w:t>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18</w:t>
      </w:r>
      <w:r>
        <w:rPr>
          <w:rFonts w:hint="eastAsia" w:ascii="宋体" w:hAnsi="宋体" w:cs="宋体"/>
          <w:sz w:val="24"/>
          <w:u w:val="single"/>
        </w:rPr>
        <w:t>日</w:t>
      </w:r>
      <w:r>
        <w:rPr>
          <w:rFonts w:hint="eastAsia" w:ascii="宋体" w:hAnsi="宋体" w:cs="宋体"/>
          <w:sz w:val="24"/>
          <w:u w:val="single"/>
          <w:lang w:val="en-US" w:eastAsia="zh-CN"/>
        </w:rPr>
        <w:t>14</w:t>
      </w:r>
      <w:r>
        <w:rPr>
          <w:rFonts w:hint="eastAsia" w:ascii="宋体" w:hAnsi="宋体" w:cs="宋体"/>
          <w:sz w:val="24"/>
          <w:u w:val="single"/>
        </w:rPr>
        <w:t xml:space="preserve"> 点</w:t>
      </w:r>
      <w:r>
        <w:rPr>
          <w:rFonts w:hint="eastAsia" w:ascii="宋体" w:hAnsi="宋体" w:cs="宋体"/>
          <w:sz w:val="24"/>
          <w:u w:val="single"/>
          <w:lang w:val="en-US" w:eastAsia="zh-CN"/>
        </w:rPr>
        <w:t>00</w:t>
      </w:r>
      <w:r>
        <w:rPr>
          <w:rFonts w:hint="eastAsia" w:ascii="宋体" w:hAnsi="宋体" w:cs="宋体"/>
          <w:sz w:val="24"/>
          <w:u w:val="single"/>
        </w:rPr>
        <w:t>分</w:t>
      </w:r>
      <w:r>
        <w:rPr>
          <w:rFonts w:hint="eastAsia" w:ascii="宋体" w:hAnsi="宋体" w:cs="宋体"/>
          <w:bCs/>
          <w:sz w:val="24"/>
          <w:u w:val="single"/>
        </w:rPr>
        <w:t xml:space="preserve"> </w:t>
      </w:r>
    </w:p>
    <w:p>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pPr>
        <w:spacing w:line="360" w:lineRule="auto"/>
        <w:rPr>
          <w:rFonts w:ascii="宋体" w:hAnsi="宋体" w:cs="宋体"/>
          <w:sz w:val="24"/>
        </w:rPr>
      </w:pPr>
      <w:r>
        <w:rPr>
          <w:rFonts w:hint="eastAsia" w:ascii="宋体" w:hAnsi="宋体" w:cs="宋体"/>
          <w:b/>
          <w:sz w:val="24"/>
        </w:rPr>
        <w:t xml:space="preserve">五、公告期限 </w:t>
      </w:r>
    </w:p>
    <w:p>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spacing w:line="360" w:lineRule="auto"/>
        <w:rPr>
          <w:rFonts w:ascii="宋体" w:hAnsi="宋体" w:cs="宋体"/>
          <w:b/>
          <w:sz w:val="24"/>
        </w:rPr>
      </w:pPr>
      <w:r>
        <w:rPr>
          <w:rFonts w:hint="eastAsia" w:ascii="宋体" w:hAnsi="宋体" w:cs="宋体"/>
          <w:b/>
          <w:sz w:val="24"/>
        </w:rPr>
        <w:t>六、其他补充事宜</w:t>
      </w:r>
    </w:p>
    <w:p>
      <w:pPr>
        <w:spacing w:line="360" w:lineRule="auto"/>
        <w:ind w:firstLine="480" w:firstLineChars="200"/>
        <w:rPr>
          <w:rFonts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sz w:val="24"/>
        </w:rPr>
      </w:pPr>
      <w:r>
        <w:rPr>
          <w:rFonts w:hint="eastAsia" w:ascii="宋体" w:hAnsi="宋体" w:cs="宋体"/>
          <w:b/>
          <w:sz w:val="24"/>
        </w:rPr>
        <w:t>七、对本次采购提出询问、质疑、投诉，请按以下方式联系</w:t>
      </w:r>
    </w:p>
    <w:p>
      <w:pPr>
        <w:spacing w:line="360" w:lineRule="auto"/>
        <w:rPr>
          <w:rFonts w:ascii="宋体" w:hAnsi="宋体" w:cs="宋体"/>
          <w:sz w:val="24"/>
        </w:rPr>
      </w:pPr>
      <w:r>
        <w:rPr>
          <w:rFonts w:hint="eastAsia" w:ascii="宋体" w:hAnsi="宋体" w:cs="宋体"/>
          <w:sz w:val="24"/>
        </w:rPr>
        <w:t xml:space="preserve">    1.采购人信息</w:t>
      </w:r>
    </w:p>
    <w:p>
      <w:pPr>
        <w:spacing w:line="360" w:lineRule="auto"/>
        <w:rPr>
          <w:rFonts w:ascii="宋体" w:hAnsi="宋体" w:cs="宋体"/>
          <w:sz w:val="24"/>
        </w:rPr>
      </w:pPr>
      <w:r>
        <w:rPr>
          <w:rFonts w:hint="eastAsia" w:ascii="宋体" w:hAnsi="宋体" w:cs="宋体"/>
          <w:sz w:val="24"/>
        </w:rPr>
        <w:t xml:space="preserve">    名    称：</w:t>
      </w:r>
      <w:r>
        <w:rPr>
          <w:rFonts w:hint="eastAsia" w:ascii="宋体" w:hAnsi="宋体" w:cs="宋体"/>
          <w:sz w:val="24"/>
          <w:lang w:val="en-US" w:eastAsia="zh-CN"/>
        </w:rPr>
        <w:t>杭州市临安区昌化镇人民政府</w:t>
      </w: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    地    址： 昌化镇西街58号     </w:t>
      </w:r>
    </w:p>
    <w:p>
      <w:pPr>
        <w:spacing w:line="360" w:lineRule="auto"/>
        <w:ind w:firstLine="480"/>
        <w:rPr>
          <w:rFonts w:ascii="宋体" w:hAnsi="宋体" w:cs="宋体"/>
          <w:sz w:val="24"/>
        </w:rPr>
      </w:pPr>
      <w:r>
        <w:rPr>
          <w:rFonts w:hint="eastAsia" w:ascii="宋体" w:hAnsi="宋体" w:cs="宋体"/>
          <w:sz w:val="24"/>
        </w:rPr>
        <w:t>传    真： /</w:t>
      </w:r>
    </w:p>
    <w:p>
      <w:pPr>
        <w:spacing w:line="360" w:lineRule="auto"/>
        <w:ind w:firstLine="480"/>
        <w:rPr>
          <w:rFonts w:ascii="宋体" w:hAnsi="宋体" w:cs="宋体"/>
          <w:sz w:val="24"/>
        </w:rPr>
      </w:pPr>
      <w:r>
        <w:rPr>
          <w:rFonts w:hint="eastAsia" w:ascii="宋体" w:hAnsi="宋体" w:cs="宋体"/>
          <w:sz w:val="24"/>
        </w:rPr>
        <w:t xml:space="preserve">项目联系人（询问）：郑黎  </w:t>
      </w:r>
    </w:p>
    <w:p>
      <w:pPr>
        <w:spacing w:line="360" w:lineRule="auto"/>
        <w:rPr>
          <w:rFonts w:ascii="宋体" w:hAnsi="宋体" w:cs="宋体"/>
          <w:sz w:val="24"/>
        </w:rPr>
      </w:pPr>
      <w:r>
        <w:rPr>
          <w:rFonts w:hint="eastAsia" w:ascii="宋体" w:hAnsi="宋体" w:cs="宋体"/>
          <w:sz w:val="24"/>
        </w:rPr>
        <w:t xml:space="preserve">    项目联系方式（询问）：0571-63668036 </w:t>
      </w:r>
    </w:p>
    <w:p>
      <w:pPr>
        <w:spacing w:line="360" w:lineRule="auto"/>
        <w:rPr>
          <w:rFonts w:ascii="宋体" w:hAnsi="宋体" w:cs="宋体"/>
          <w:sz w:val="24"/>
        </w:rPr>
      </w:pPr>
      <w:r>
        <w:rPr>
          <w:rFonts w:hint="eastAsia" w:ascii="宋体" w:hAnsi="宋体" w:cs="宋体"/>
          <w:sz w:val="24"/>
        </w:rPr>
        <w:t xml:space="preserve">    质疑联系人：邵洁</w:t>
      </w:r>
    </w:p>
    <w:p>
      <w:pPr>
        <w:spacing w:line="360" w:lineRule="auto"/>
        <w:rPr>
          <w:rFonts w:ascii="宋体" w:hAnsi="宋体" w:cs="宋体"/>
          <w:sz w:val="24"/>
        </w:rPr>
      </w:pPr>
      <w:r>
        <w:rPr>
          <w:rFonts w:hint="eastAsia" w:ascii="宋体" w:hAnsi="宋体" w:cs="宋体"/>
          <w:sz w:val="24"/>
        </w:rPr>
        <w:t xml:space="preserve">    质疑联系方式：13819490851</w:t>
      </w:r>
    </w:p>
    <w:p>
      <w:pPr>
        <w:spacing w:line="360" w:lineRule="auto"/>
        <w:rPr>
          <w:rFonts w:hint="eastAsia" w:ascii="宋体" w:hAnsi="宋体" w:cs="宋体"/>
          <w:sz w:val="24"/>
        </w:rPr>
      </w:pPr>
      <w:r>
        <w:rPr>
          <w:rFonts w:hint="eastAsia" w:ascii="宋体" w:hAnsi="宋体" w:cs="宋体"/>
          <w:sz w:val="24"/>
        </w:rPr>
        <w:t xml:space="preserve">    2、采购机构：浙江联通工程咨询有限公司</w:t>
      </w:r>
    </w:p>
    <w:p>
      <w:pPr>
        <w:spacing w:line="360" w:lineRule="auto"/>
        <w:ind w:firstLine="480" w:firstLineChars="200"/>
        <w:rPr>
          <w:rFonts w:hint="eastAsia" w:ascii="宋体" w:hAnsi="宋体" w:cs="宋体"/>
          <w:sz w:val="24"/>
        </w:rPr>
      </w:pPr>
      <w:r>
        <w:rPr>
          <w:rFonts w:hint="eastAsia" w:ascii="宋体" w:hAnsi="宋体" w:cs="宋体"/>
          <w:sz w:val="24"/>
        </w:rPr>
        <w:t xml:space="preserve">经办联系人（询问）：邹雪           联系电话（询问）：0571-61086283     </w:t>
      </w:r>
    </w:p>
    <w:p>
      <w:pPr>
        <w:spacing w:line="360" w:lineRule="auto"/>
        <w:ind w:firstLine="480" w:firstLineChars="200"/>
        <w:rPr>
          <w:rFonts w:hint="eastAsia" w:ascii="宋体" w:hAnsi="宋体" w:cs="宋体"/>
          <w:sz w:val="24"/>
        </w:rPr>
      </w:pPr>
      <w:r>
        <w:rPr>
          <w:rFonts w:hint="eastAsia" w:ascii="宋体" w:hAnsi="宋体" w:cs="宋体"/>
          <w:sz w:val="24"/>
        </w:rPr>
        <w:t xml:space="preserve">质疑答复联系人：蒋瑞阳             联系电话：18768114824        </w:t>
      </w:r>
    </w:p>
    <w:p>
      <w:pPr>
        <w:spacing w:line="360" w:lineRule="auto"/>
        <w:ind w:firstLine="480" w:firstLineChars="200"/>
        <w:rPr>
          <w:rFonts w:hint="eastAsia" w:ascii="宋体" w:hAnsi="宋体" w:cs="宋体"/>
          <w:sz w:val="24"/>
        </w:rPr>
      </w:pPr>
      <w:r>
        <w:rPr>
          <w:rFonts w:hint="eastAsia" w:ascii="宋体" w:hAnsi="宋体" w:cs="宋体"/>
          <w:sz w:val="24"/>
        </w:rPr>
        <w:t xml:space="preserve">地址：杭州市临安区跨境电商园二期508室    </w:t>
      </w:r>
    </w:p>
    <w:p>
      <w:pPr>
        <w:spacing w:line="360" w:lineRule="auto"/>
        <w:ind w:firstLine="480" w:firstLineChars="200"/>
        <w:rPr>
          <w:rFonts w:ascii="宋体" w:hAnsi="宋体" w:cs="宋体"/>
          <w:sz w:val="24"/>
        </w:rPr>
      </w:pPr>
      <w:r>
        <w:rPr>
          <w:rFonts w:hint="eastAsia" w:ascii="宋体" w:hAnsi="宋体" w:cs="宋体"/>
          <w:sz w:val="24"/>
        </w:rPr>
        <w:t xml:space="preserve">3.同级政府采购监督管理部门            </w:t>
      </w:r>
    </w:p>
    <w:p>
      <w:pPr>
        <w:spacing w:line="360" w:lineRule="auto"/>
        <w:rPr>
          <w:rFonts w:ascii="宋体" w:hAnsi="宋体" w:cs="宋体"/>
          <w:sz w:val="24"/>
        </w:rPr>
      </w:pPr>
      <w:r>
        <w:rPr>
          <w:rFonts w:hint="eastAsia" w:ascii="宋体" w:hAnsi="宋体" w:cs="宋体"/>
          <w:sz w:val="24"/>
        </w:rPr>
        <w:t xml:space="preserve">    名    称：杭州市临安区财政局政府采购监督管理科 </w:t>
      </w:r>
    </w:p>
    <w:p>
      <w:pPr>
        <w:spacing w:line="360" w:lineRule="auto"/>
        <w:rPr>
          <w:rFonts w:ascii="宋体" w:hAnsi="宋体" w:cs="宋体"/>
          <w:sz w:val="24"/>
        </w:rPr>
      </w:pPr>
      <w:r>
        <w:rPr>
          <w:rFonts w:hint="eastAsia" w:ascii="宋体" w:hAnsi="宋体" w:cs="宋体"/>
          <w:sz w:val="24"/>
        </w:rPr>
        <w:t xml:space="preserve">    地    址：</w:t>
      </w:r>
      <w:r>
        <w:rPr>
          <w:rFonts w:hint="eastAsia" w:ascii="宋体" w:hAnsi="宋体" w:eastAsia="宋体" w:cs="宋体"/>
          <w:b w:val="0"/>
          <w:bCs w:val="0"/>
          <w:kern w:val="2"/>
          <w:sz w:val="24"/>
          <w:szCs w:val="24"/>
          <w:lang w:val="en-US" w:eastAsia="zh-CN" w:bidi="ar-SA"/>
        </w:rPr>
        <w:t>杭州市临安区锦北街道科技大道4398号市民中心4号楼B座1129</w:t>
      </w:r>
      <w:r>
        <w:rPr>
          <w:rFonts w:hint="eastAsia" w:ascii="宋体" w:hAnsi="宋体" w:cs="宋体"/>
          <w:sz w:val="24"/>
        </w:rPr>
        <w:t xml:space="preserve"> </w:t>
      </w:r>
    </w:p>
    <w:p>
      <w:pPr>
        <w:spacing w:line="360" w:lineRule="auto"/>
        <w:ind w:firstLine="240" w:firstLineChars="100"/>
        <w:rPr>
          <w:rFonts w:ascii="宋体" w:hAnsi="宋体" w:cs="宋体"/>
          <w:sz w:val="24"/>
        </w:rPr>
      </w:pPr>
      <w:r>
        <w:rPr>
          <w:rFonts w:hint="eastAsia" w:ascii="宋体" w:hAnsi="宋体" w:cs="宋体"/>
          <w:sz w:val="24"/>
        </w:rPr>
        <w:t xml:space="preserve">  传    真： /</w:t>
      </w:r>
    </w:p>
    <w:p>
      <w:pPr>
        <w:spacing w:line="360" w:lineRule="auto"/>
        <w:rPr>
          <w:rFonts w:ascii="宋体" w:hAnsi="宋体" w:cs="宋体"/>
          <w:sz w:val="24"/>
        </w:rPr>
      </w:pPr>
      <w:r>
        <w:rPr>
          <w:rFonts w:hint="eastAsia" w:ascii="宋体" w:hAnsi="宋体" w:cs="宋体"/>
          <w:sz w:val="24"/>
        </w:rPr>
        <w:t xml:space="preserve">    联系人 ：喻伟建    </w:t>
      </w:r>
    </w:p>
    <w:p>
      <w:pPr>
        <w:spacing w:line="360" w:lineRule="auto"/>
        <w:ind w:firstLine="480" w:firstLineChars="200"/>
        <w:rPr>
          <w:rFonts w:ascii="宋体" w:hAnsi="宋体" w:cs="宋体"/>
          <w:sz w:val="24"/>
        </w:rPr>
      </w:pPr>
      <w:r>
        <w:rPr>
          <w:rFonts w:hint="eastAsia" w:ascii="宋体" w:hAnsi="宋体" w:cs="宋体"/>
          <w:sz w:val="24"/>
        </w:rPr>
        <w:t xml:space="preserve">监督投诉电话：0571-61073953    </w:t>
      </w:r>
    </w:p>
    <w:p>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pPr>
        <w:pStyle w:val="34"/>
        <w:spacing w:line="360" w:lineRule="auto"/>
        <w:rPr>
          <w:rFonts w:hint="eastAsia" w:hAnsi="宋体" w:cs="宋体"/>
          <w:sz w:val="24"/>
        </w:rPr>
      </w:pPr>
      <w:r>
        <w:rPr>
          <w:rFonts w:hint="eastAsia" w:hAnsi="宋体" w:cs="宋体"/>
          <w:sz w:val="24"/>
        </w:rPr>
        <w:t xml:space="preserve">                       </w:t>
      </w:r>
    </w:p>
    <w:p>
      <w:pPr>
        <w:pStyle w:val="34"/>
        <w:spacing w:line="360" w:lineRule="auto"/>
        <w:rPr>
          <w:rFonts w:hint="eastAsia" w:hAnsi="宋体" w:cs="宋体"/>
          <w:sz w:val="24"/>
        </w:rPr>
      </w:pPr>
    </w:p>
    <w:p>
      <w:pPr>
        <w:pStyle w:val="34"/>
        <w:spacing w:line="360" w:lineRule="auto"/>
        <w:rPr>
          <w:rFonts w:hint="eastAsia" w:hAnsi="宋体" w:cs="宋体"/>
          <w:sz w:val="24"/>
        </w:rPr>
      </w:pPr>
    </w:p>
    <w:p>
      <w:pPr>
        <w:pStyle w:val="34"/>
        <w:spacing w:line="360" w:lineRule="auto"/>
        <w:rPr>
          <w:rFonts w:hint="eastAsia" w:hAnsi="宋体" w:cs="宋体"/>
          <w:sz w:val="24"/>
        </w:rPr>
      </w:pPr>
    </w:p>
    <w:p>
      <w:pPr>
        <w:pStyle w:val="34"/>
        <w:spacing w:line="360" w:lineRule="auto"/>
        <w:ind w:firstLine="1680" w:firstLineChars="700"/>
        <w:rPr>
          <w:rFonts w:hAnsi="宋体" w:cs="宋体"/>
          <w:b/>
          <w:sz w:val="36"/>
          <w:szCs w:val="20"/>
        </w:rPr>
      </w:pPr>
      <w:r>
        <w:rPr>
          <w:rFonts w:hint="eastAsia" w:hAnsi="宋体" w:cs="宋体"/>
          <w:sz w:val="24"/>
        </w:rPr>
        <w:t xml:space="preserve"> </w:t>
      </w:r>
      <w:r>
        <w:rPr>
          <w:rFonts w:hAnsi="宋体" w:cs="宋体"/>
          <w:b/>
          <w:sz w:val="36"/>
          <w:szCs w:val="20"/>
        </w:rPr>
        <w:t xml:space="preserve"> </w:t>
      </w:r>
      <w:r>
        <w:rPr>
          <w:rFonts w:hint="eastAsia" w:hAnsi="宋体" w:cs="宋体"/>
          <w:b/>
          <w:sz w:val="36"/>
          <w:szCs w:val="20"/>
        </w:rPr>
        <w:t>第二部分</w:t>
      </w:r>
      <w:bookmarkEnd w:id="8"/>
      <w:r>
        <w:rPr>
          <w:rFonts w:hint="eastAsia" w:hAnsi="宋体" w:cs="宋体"/>
          <w:b/>
          <w:sz w:val="36"/>
          <w:szCs w:val="20"/>
        </w:rPr>
        <w:t xml:space="preserve"> 投标人须知</w:t>
      </w:r>
      <w:bookmarkEnd w:id="9"/>
    </w:p>
    <w:p>
      <w:pPr>
        <w:snapToGrid w:val="0"/>
        <w:spacing w:line="360" w:lineRule="auto"/>
        <w:jc w:val="center"/>
        <w:rPr>
          <w:rFonts w:ascii="宋体" w:hAnsi="宋体" w:cs="宋体"/>
          <w:b/>
          <w:sz w:val="32"/>
          <w:szCs w:val="20"/>
        </w:rPr>
      </w:pPr>
      <w:r>
        <w:rPr>
          <w:rFonts w:hint="eastAsia" w:ascii="宋体" w:hAnsi="宋体" w:cs="宋体"/>
          <w:b/>
          <w:sz w:val="32"/>
          <w:szCs w:val="20"/>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sz w:val="24"/>
                <w:u w:val="single"/>
              </w:rPr>
              <w:t xml:space="preserve"> </w:t>
            </w:r>
            <w:r>
              <w:rPr>
                <w:rFonts w:hint="eastAsia" w:ascii="宋体" w:hAnsi="宋体" w:cs="宋体"/>
                <w:sz w:val="24"/>
                <w:u w:val="single"/>
                <w:lang w:val="en-US" w:eastAsia="zh-CN"/>
              </w:rPr>
              <w:t>厨房设备</w:t>
            </w:r>
            <w:r>
              <w:rPr>
                <w:rFonts w:hint="eastAsia" w:ascii="宋体" w:hAnsi="宋体" w:cs="宋体"/>
                <w:sz w:val="24"/>
                <w:u w:val="single"/>
              </w:rPr>
              <w:t xml:space="preserve"> </w:t>
            </w:r>
            <w:r>
              <w:rPr>
                <w:rFonts w:hint="eastAsia" w:ascii="宋体" w:hAnsi="宋体" w:cs="宋体"/>
                <w:sz w:val="24"/>
              </w:rPr>
              <w:t>。</w:t>
            </w:r>
          </w:p>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kern w:val="0"/>
                <w:sz w:val="24"/>
              </w:rPr>
            </w:pPr>
            <w:r>
              <w:rPr>
                <w:rFonts w:hint="eastAsia" w:ascii="宋体" w:hAnsi="宋体" w:cs="宋体"/>
                <w:kern w:val="0"/>
                <w:sz w:val="24"/>
              </w:rPr>
              <w:t>（1）标的：</w:t>
            </w:r>
            <w:r>
              <w:rPr>
                <w:rFonts w:hint="eastAsia" w:ascii="宋体" w:hAnsi="宋体" w:cs="宋体"/>
                <w:kern w:val="0"/>
                <w:sz w:val="24"/>
                <w:u w:val="single"/>
              </w:rPr>
              <w:t xml:space="preserve"> </w:t>
            </w:r>
            <w:r>
              <w:rPr>
                <w:rFonts w:hint="eastAsia" w:ascii="宋体" w:hAnsi="宋体" w:cs="宋体"/>
                <w:kern w:val="0"/>
                <w:sz w:val="24"/>
                <w:u w:val="single"/>
                <w:lang w:val="en-US" w:eastAsia="zh-CN"/>
              </w:rPr>
              <w:t>厨房</w:t>
            </w:r>
            <w:r>
              <w:rPr>
                <w:rFonts w:hint="eastAsia" w:ascii="宋体" w:hAnsi="宋体" w:cs="宋体"/>
                <w:kern w:val="0"/>
                <w:sz w:val="24"/>
                <w:u w:val="single"/>
              </w:rPr>
              <w:t xml:space="preserve">设备采购 </w:t>
            </w:r>
            <w:r>
              <w:rPr>
                <w:rFonts w:hint="eastAsia" w:ascii="宋体" w:hAnsi="宋体" w:cs="宋体"/>
                <w:kern w:val="0"/>
                <w:sz w:val="24"/>
              </w:rPr>
              <w:t>，属于</w:t>
            </w:r>
            <w:r>
              <w:rPr>
                <w:rFonts w:hint="eastAsia" w:ascii="宋体" w:hAnsi="宋体" w:cs="宋体"/>
                <w:kern w:val="0"/>
                <w:sz w:val="24"/>
                <w:u w:val="single"/>
              </w:rPr>
              <w:t xml:space="preserve">  </w:t>
            </w:r>
            <w:r>
              <w:rPr>
                <w:rFonts w:hint="eastAsia" w:ascii="宋体" w:hAnsi="宋体" w:cs="宋体"/>
                <w:kern w:val="0"/>
                <w:sz w:val="24"/>
                <w:u w:val="single"/>
                <w:lang w:val="en-US" w:eastAsia="zh-CN"/>
              </w:rPr>
              <w:t>工业</w:t>
            </w:r>
            <w:r>
              <w:rPr>
                <w:rFonts w:hint="eastAsia" w:ascii="宋体" w:hAnsi="宋体" w:cs="宋体"/>
                <w:kern w:val="0"/>
                <w:sz w:val="24"/>
                <w:u w:val="single"/>
              </w:rPr>
              <w:t xml:space="preserve">  </w:t>
            </w:r>
            <w:r>
              <w:rPr>
                <w:rFonts w:hint="eastAsia" w:ascii="宋体" w:hAnsi="宋体" w:cs="宋体"/>
                <w:kern w:val="0"/>
                <w:sz w:val="24"/>
              </w:rPr>
              <w:t>行业；</w:t>
            </w:r>
          </w:p>
          <w:p>
            <w:pPr>
              <w:pStyle w:val="4"/>
              <w:rPr>
                <w:rFonts w:ascii="宋体" w:hAnsi="宋体" w:eastAsia="宋体" w:cs="宋体"/>
                <w:lang w:val="en-US"/>
              </w:rPr>
            </w:pPr>
            <w:r>
              <w:rPr>
                <w:rFonts w:hint="eastAsia" w:ascii="宋体" w:hAnsi="宋体" w:eastAsia="宋体" w:cs="宋体"/>
                <w:lang w:val="en-US"/>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9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kern w:val="0"/>
                <w:sz w:val="24"/>
              </w:rPr>
            </w:pPr>
            <w:sdt>
              <w:sdtPr>
                <w:rPr>
                  <w:rFonts w:hint="eastAsia" w:ascii="宋体" w:hAnsi="宋体" w:cs="宋体"/>
                  <w:kern w:val="0"/>
                  <w:sz w:val="24"/>
                </w:rPr>
                <w:id w:val="-182842570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pPr>
              <w:spacing w:line="360" w:lineRule="auto"/>
              <w:rPr>
                <w:rFonts w:ascii="宋体" w:hAnsi="宋体" w:cs="宋体"/>
              </w:rPr>
            </w:pPr>
            <w:sdt>
              <w:sdtPr>
                <w:rPr>
                  <w:rFonts w:hint="eastAsia" w:ascii="宋体" w:hAnsi="宋体" w:cs="宋体"/>
                  <w:kern w:val="0"/>
                  <w:sz w:val="24"/>
                </w:rPr>
                <w:id w:val="-5285282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0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47728692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cs="宋体"/>
                <w:kern w:val="0"/>
                <w:sz w:val="24"/>
              </w:rPr>
              <w:t xml:space="preserve"> A</w:t>
            </w:r>
            <w:r>
              <w:rPr>
                <w:rFonts w:hint="eastAsia" w:ascii="宋体" w:hAnsi="宋体" w:cs="宋体"/>
                <w:sz w:val="24"/>
              </w:rPr>
              <w:t>同意将非主体、非关键性的</w:t>
            </w:r>
            <w:r>
              <w:rPr>
                <w:rFonts w:hint="eastAsia" w:ascii="宋体" w:hAnsi="宋体" w:cs="宋体"/>
                <w:sz w:val="24"/>
                <w:u w:val="single"/>
              </w:rPr>
              <w:t xml:space="preserve">             </w:t>
            </w:r>
            <w:r>
              <w:rPr>
                <w:rFonts w:hint="eastAsia" w:ascii="宋体" w:hAnsi="宋体" w:cs="宋体"/>
                <w:sz w:val="24"/>
              </w:rPr>
              <w:t>工作分包。</w:t>
            </w:r>
            <w:sdt>
              <w:sdtPr>
                <w:rPr>
                  <w:rFonts w:hint="eastAsia" w:ascii="宋体" w:hAnsi="宋体" w:cs="宋体"/>
                  <w:kern w:val="0"/>
                  <w:sz w:val="24"/>
                </w:rPr>
                <w:id w:val="-127633135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cs="宋体"/>
                <w:kern w:val="0"/>
                <w:sz w:val="24"/>
              </w:rPr>
              <w:t xml:space="preserve"> B</w:t>
            </w:r>
            <w:r>
              <w:rPr>
                <w:rFonts w:hint="eastAsia" w:ascii="宋体" w:hAnsi="宋体" w:cs="宋体"/>
                <w:sz w:val="24"/>
              </w:rPr>
              <w:t>不同意分包。</w:t>
            </w:r>
          </w:p>
          <w:p>
            <w:pPr>
              <w:spacing w:line="360" w:lineRule="auto"/>
              <w:rPr>
                <w:rFonts w:ascii="宋体" w:hAnsi="宋体" w:cs="宋体"/>
                <w:sz w:val="24"/>
              </w:rPr>
            </w:pPr>
            <w:r>
              <w:rPr>
                <w:rFonts w:hint="eastAsia" w:ascii="宋体" w:hAnsi="宋体" w:cs="宋体"/>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21296641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sz w:val="24"/>
                <w:szCs w:val="20"/>
              </w:rPr>
            </w:pPr>
            <w:sdt>
              <w:sdtPr>
                <w:rPr>
                  <w:rFonts w:hint="eastAsia" w:ascii="宋体" w:hAnsi="宋体" w:cs="宋体"/>
                  <w:kern w:val="0"/>
                  <w:sz w:val="24"/>
                </w:rPr>
                <w:id w:val="-99980297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639946486"/>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cs="宋体"/>
                <w:kern w:val="0"/>
                <w:sz w:val="24"/>
              </w:rPr>
              <w:t>A</w:t>
            </w:r>
            <w:r>
              <w:rPr>
                <w:rFonts w:hint="eastAsia" w:ascii="宋体" w:hAnsi="宋体" w:cs="宋体"/>
                <w:sz w:val="24"/>
              </w:rPr>
              <w:t>不要求提供。</w:t>
            </w:r>
          </w:p>
          <w:p>
            <w:pPr>
              <w:spacing w:line="360" w:lineRule="auto"/>
              <w:rPr>
                <w:rFonts w:ascii="宋体" w:hAnsi="宋体" w:cs="宋体"/>
                <w:kern w:val="0"/>
                <w:sz w:val="24"/>
              </w:rPr>
            </w:pPr>
            <w:sdt>
              <w:sdtPr>
                <w:rPr>
                  <w:rFonts w:hint="eastAsia" w:ascii="宋体" w:hAnsi="宋体" w:cs="宋体"/>
                  <w:kern w:val="0"/>
                  <w:sz w:val="24"/>
                </w:rPr>
                <w:id w:val="1026831988"/>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cs="宋体"/>
                <w:kern w:val="0"/>
                <w:sz w:val="24"/>
              </w:rPr>
              <w:t>B要求提供，</w:t>
            </w:r>
          </w:p>
          <w:p>
            <w:pPr>
              <w:spacing w:line="360" w:lineRule="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w:t>
            </w:r>
            <w:r>
              <w:rPr>
                <w:rFonts w:hint="eastAsia" w:ascii="宋体" w:hAnsi="宋体" w:cs="宋体"/>
                <w:sz w:val="24"/>
                <w:u w:val="single"/>
                <w:lang w:val="en-US" w:eastAsia="zh-CN"/>
              </w:rPr>
              <w:t xml:space="preserve">采购需求中的样品           </w:t>
            </w:r>
            <w:r>
              <w:rPr>
                <w:rFonts w:hint="eastAsia" w:ascii="宋体" w:hAnsi="宋体" w:cs="宋体"/>
                <w:sz w:val="24"/>
                <w:u w:val="single"/>
              </w:rPr>
              <w:t xml:space="preserve"> </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sz w:val="24"/>
                <w:u w:val="single"/>
                <w:lang w:val="en-US" w:eastAsia="zh-CN"/>
              </w:rPr>
              <w:t>合格</w:t>
            </w:r>
            <w:r>
              <w:rPr>
                <w:rFonts w:hint="eastAsia" w:ascii="宋体" w:hAnsi="宋体" w:cs="宋体"/>
                <w:sz w:val="24"/>
                <w:u w:val="single"/>
              </w:rPr>
              <w:t xml:space="preserve">  </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u w:val="single"/>
                <w:lang w:val="en-US" w:eastAsia="zh-CN"/>
              </w:rPr>
              <w:t>查看评标要求</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u w:val="single"/>
                <w:lang w:val="en-US" w:eastAsia="zh-CN"/>
              </w:rPr>
              <w:t>技术要求</w:t>
            </w:r>
            <w:r>
              <w:rPr>
                <w:rFonts w:hint="eastAsia" w:ascii="宋体" w:hAnsi="宋体" w:cs="宋体"/>
                <w:sz w:val="24"/>
                <w:u w:val="single"/>
              </w:rPr>
              <w:t xml:space="preserve">  </w:t>
            </w:r>
            <w:r>
              <w:rPr>
                <w:rFonts w:hint="eastAsia" w:ascii="宋体" w:hAnsi="宋体" w:cs="宋体"/>
                <w:kern w:val="0"/>
                <w:sz w:val="24"/>
              </w:rPr>
              <w:t>。</w:t>
            </w:r>
          </w:p>
          <w:p>
            <w:pPr>
              <w:spacing w:line="360" w:lineRule="auto"/>
              <w:rPr>
                <w:rFonts w:ascii="宋体" w:hAnsi="宋体" w:cs="宋体"/>
                <w:color w:val="auto"/>
                <w:sz w:val="24"/>
              </w:rPr>
            </w:pPr>
            <w:r>
              <w:rPr>
                <w:rFonts w:hint="eastAsia" w:ascii="宋体" w:hAnsi="宋体" w:cs="宋体"/>
                <w:color w:val="auto"/>
                <w:sz w:val="24"/>
              </w:rPr>
              <w:t>（5）提供样品的时间：</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2022年7月18日14时</w:t>
            </w:r>
            <w:r>
              <w:rPr>
                <w:rFonts w:hint="eastAsia" w:ascii="宋体" w:hAnsi="宋体" w:cs="宋体"/>
                <w:color w:val="auto"/>
                <w:sz w:val="24"/>
                <w:u w:val="single"/>
              </w:rPr>
              <w:t xml:space="preserve">  </w:t>
            </w:r>
            <w:r>
              <w:rPr>
                <w:rFonts w:hint="eastAsia" w:ascii="宋体" w:hAnsi="宋体" w:cs="宋体"/>
                <w:color w:val="auto"/>
                <w:kern w:val="0"/>
                <w:sz w:val="24"/>
              </w:rPr>
              <w:t>；地点：</w:t>
            </w:r>
            <w:r>
              <w:rPr>
                <w:rFonts w:hint="eastAsia" w:ascii="宋体" w:hAnsi="宋体" w:cs="宋体"/>
                <w:color w:val="auto"/>
                <w:sz w:val="24"/>
                <w:u w:val="single"/>
              </w:rPr>
              <w:t xml:space="preserve">  杭州市临安区跨境电商园二期508室  </w:t>
            </w:r>
            <w:r>
              <w:rPr>
                <w:rFonts w:hint="eastAsia" w:ascii="宋体" w:hAnsi="宋体" w:cs="宋体"/>
                <w:color w:val="auto"/>
                <w:kern w:val="0"/>
                <w:sz w:val="24"/>
              </w:rPr>
              <w:t>；联系人</w:t>
            </w:r>
            <w:r>
              <w:rPr>
                <w:rFonts w:hint="eastAsia" w:ascii="宋体" w:hAnsi="宋体" w:cs="宋体"/>
                <w:color w:val="auto"/>
                <w:sz w:val="24"/>
              </w:rPr>
              <w:t>：</w:t>
            </w:r>
            <w:r>
              <w:rPr>
                <w:rFonts w:hint="eastAsia" w:ascii="宋体" w:hAnsi="宋体" w:cs="宋体"/>
                <w:color w:val="auto"/>
                <w:sz w:val="24"/>
                <w:u w:val="single"/>
              </w:rPr>
              <w:t xml:space="preserve"> 邹雪  </w:t>
            </w:r>
            <w:r>
              <w:rPr>
                <w:rFonts w:hint="eastAsia" w:ascii="宋体" w:hAnsi="宋体" w:cs="宋体"/>
                <w:color w:val="auto"/>
                <w:sz w:val="24"/>
              </w:rPr>
              <w:t>，</w:t>
            </w:r>
            <w:r>
              <w:rPr>
                <w:rFonts w:hint="eastAsia" w:ascii="宋体" w:hAnsi="宋体" w:cs="宋体"/>
                <w:color w:val="auto"/>
                <w:kern w:val="28"/>
                <w:sz w:val="24"/>
              </w:rPr>
              <w:t>联系电话：</w:t>
            </w:r>
            <w:r>
              <w:rPr>
                <w:rFonts w:hint="eastAsia" w:ascii="宋体" w:hAnsi="宋体" w:cs="宋体"/>
                <w:color w:val="auto"/>
                <w:sz w:val="24"/>
                <w:u w:val="single"/>
              </w:rPr>
              <w:t xml:space="preserve">  0571-61086283  </w:t>
            </w:r>
            <w:r>
              <w:rPr>
                <w:rFonts w:hint="eastAsia" w:ascii="宋体" w:hAnsi="宋体" w:cs="宋体"/>
                <w:color w:val="auto"/>
                <w:sz w:val="24"/>
              </w:rPr>
              <w:t>。请投标人在上述时间内提供样品并按规定位置安装完毕。超过截止时间的，采购人或采购代理机构将不予接收，并将清场并封闭样品现场。</w:t>
            </w:r>
          </w:p>
          <w:p>
            <w:pPr>
              <w:spacing w:line="360" w:lineRule="auto"/>
              <w:rPr>
                <w:rFonts w:ascii="宋体" w:hAnsi="宋体" w:cs="宋体"/>
                <w:sz w:val="24"/>
              </w:rPr>
            </w:pPr>
            <w:r>
              <w:rPr>
                <w:rFonts w:hint="eastAsia" w:ascii="宋体" w:hAnsi="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85934854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cs="宋体"/>
                    <w:kern w:val="0"/>
                    <w:sz w:val="24"/>
                  </w:rPr>
                  <w:t>þ</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ascii="宋体" w:hAnsi="宋体" w:cs="宋体"/>
                <w:kern w:val="0"/>
                <w:sz w:val="24"/>
              </w:rPr>
            </w:pPr>
            <w:r>
              <w:rPr>
                <w:rFonts w:hint="eastAsia" w:ascii="宋体" w:hAnsi="宋体" w:cs="宋体"/>
                <w:kern w:val="0"/>
                <w:sz w:val="24"/>
              </w:rPr>
              <w:t>（2）方案讲解演示可选择以下其中一种方式：</w:t>
            </w:r>
          </w:p>
          <w:p>
            <w:pPr>
              <w:snapToGrid w:val="0"/>
              <w:spacing w:line="36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sz w:val="24"/>
              </w:rPr>
              <w:t>开标一览表（报价表）是报价的唯一载体</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宋体" w:hAnsi="宋体" w:cs="宋体"/>
                <w:sz w:val="24"/>
              </w:rPr>
            </w:pPr>
            <w:r>
              <w:rPr>
                <w:rFonts w:hint="eastAsia" w:ascii="宋体" w:hAnsi="宋体" w:cs="宋体"/>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rPr>
                <w:rFonts w:ascii="宋体" w:hAnsi="宋体" w:cs="宋体"/>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rFonts w:ascii="宋体" w:hAnsi="宋体" w:cs="宋体"/>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hAnsi="宋体" w:cs="宋体"/>
                <w:kern w:val="28"/>
                <w:sz w:val="24"/>
              </w:rPr>
            </w:pPr>
            <w:r>
              <w:rPr>
                <w:rFonts w:hint="eastAsia" w:hAnsi="宋体" w:cs="宋体"/>
                <w:kern w:val="28"/>
                <w:sz w:val="24"/>
                <w:szCs w:val="24"/>
              </w:rPr>
              <w:t>备份投标文件送达地点：</w:t>
            </w:r>
            <w:r>
              <w:rPr>
                <w:rFonts w:hint="eastAsia" w:hAnsi="宋体" w:cs="宋体"/>
                <w:kern w:val="28"/>
                <w:sz w:val="24"/>
                <w:szCs w:val="24"/>
                <w:u w:val="single"/>
              </w:rPr>
              <w:t>杭州市临安区跨境电商园二期508室</w:t>
            </w:r>
            <w:r>
              <w:rPr>
                <w:rFonts w:hint="eastAsia" w:hAnsi="宋体" w:cs="宋体"/>
                <w:sz w:val="24"/>
                <w:u w:val="single"/>
              </w:rPr>
              <w:t xml:space="preserve">） </w:t>
            </w:r>
            <w:r>
              <w:rPr>
                <w:rFonts w:hint="eastAsia" w:hAnsi="宋体" w:cs="宋体"/>
                <w:kern w:val="28"/>
                <w:sz w:val="24"/>
                <w:szCs w:val="24"/>
              </w:rPr>
              <w:t>；备份投标文件签收人员联系电话：</w:t>
            </w:r>
            <w:r>
              <w:rPr>
                <w:rFonts w:hint="eastAsia" w:hAnsi="宋体" w:cs="宋体"/>
                <w:sz w:val="24"/>
                <w:u w:val="single"/>
              </w:rPr>
              <w:t xml:space="preserve">  0571-61086283</w:t>
            </w:r>
            <w:r>
              <w:rPr>
                <w:rFonts w:hint="eastAsia" w:hAnsi="宋体" w:cs="宋体"/>
                <w:sz w:val="24"/>
                <w:szCs w:val="24"/>
              </w:rPr>
              <w:t>。</w:t>
            </w:r>
            <w:r>
              <w:rPr>
                <w:rFonts w:hint="eastAsia" w:hAnsi="宋体" w:cs="宋体"/>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cs="宋体"/>
                <w:b/>
                <w:sz w:val="24"/>
              </w:rPr>
            </w:pPr>
            <w:r>
              <w:rPr>
                <w:rFonts w:hint="eastAsia" w:ascii="宋体" w:hAnsi="宋体" w:eastAsia="宋体" w:cs="宋体"/>
                <w:b/>
                <w:sz w:val="24"/>
              </w:rPr>
              <w:t>代理</w:t>
            </w:r>
            <w:r>
              <w:rPr>
                <w:rFonts w:hint="eastAsia" w:ascii="宋体" w:hAnsi="宋体" w:eastAsia="宋体" w:cs="宋体"/>
                <w:b/>
                <w:sz w:val="24"/>
                <w:lang w:eastAsia="zh-CN"/>
              </w:rPr>
              <w:t>服务</w:t>
            </w:r>
            <w:r>
              <w:rPr>
                <w:rFonts w:hint="eastAsia" w:ascii="宋体" w:hAnsi="宋体" w:eastAsia="宋体" w:cs="宋体"/>
                <w:b/>
                <w:sz w:val="24"/>
              </w:rPr>
              <w:t>费</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hint="eastAsia" w:hAnsi="宋体" w:cs="宋体"/>
                <w:kern w:val="28"/>
                <w:sz w:val="24"/>
                <w:szCs w:val="24"/>
              </w:rPr>
            </w:pPr>
            <w:r>
              <w:rPr>
                <w:rFonts w:hint="eastAsia" w:hAnsi="宋体" w:cs="宋体"/>
                <w:kern w:val="28"/>
                <w:sz w:val="24"/>
                <w:szCs w:val="24"/>
              </w:rPr>
              <w:t>由中标人支付。根据《关于规范政府采购相关付费范围及标准的有关通知》（临财发〔2021〕61号）收费标准执行。收费价格=收费标准。代理服务费参照发改价格〔2011〕534号文件、国家发改委计价格〔2002〕1980号文件规定收费标准的收取。单个采购项目代理服务费不足肆仟元按肆仟元收取。领取中标通知书前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hint="eastAsia" w:ascii="宋体" w:hAnsi="宋体" w:eastAsia="宋体" w:cs="宋体"/>
                <w:sz w:val="24"/>
                <w:lang w:eastAsia="zh-CN"/>
              </w:rPr>
            </w:pPr>
            <w:r>
              <w:rPr>
                <w:rFonts w:hint="eastAsia" w:ascii="宋体" w:hAnsi="宋体" w:cs="宋体"/>
                <w:sz w:val="24"/>
              </w:rPr>
              <w:t>1</w:t>
            </w:r>
            <w:r>
              <w:rPr>
                <w:rFonts w:hint="eastAsia" w:ascii="宋体" w:hAnsi="宋体" w:cs="宋体"/>
                <w:sz w:val="24"/>
                <w:lang w:val="en-US" w:eastAsia="zh-CN"/>
              </w:rPr>
              <w:t>4</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000000" w:sz="8" w:space="0"/>
              <w:right w:val="single" w:color="000000" w:sz="2" w:space="0"/>
            </w:tcBorders>
          </w:tcPr>
          <w:p>
            <w:pPr>
              <w:snapToGrid w:val="0"/>
              <w:spacing w:line="360" w:lineRule="auto"/>
              <w:jc w:val="center"/>
              <w:rPr>
                <w:rFonts w:ascii="宋体" w:hAnsi="宋体" w:cs="宋体"/>
                <w:sz w:val="24"/>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052570136"/>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Gothic" w:hAnsi="MS Gothic" w:cs="Arial" w:eastAsiaTheme="minorEastAsia"/>
                    <w:kern w:val="0"/>
                    <w:sz w:val="24"/>
                    <w:szCs w:val="24"/>
                    <w:lang w:val="en-US" w:eastAsia="zh-CN" w:bidi="ar-SA"/>
                  </w:rPr>
                  <w:t>☐</w:t>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000000" w:sz="8" w:space="0"/>
              <w:left w:val="single" w:color="000000" w:sz="8" w:space="0"/>
              <w:bottom w:val="single" w:color="000000" w:sz="8" w:space="0"/>
              <w:right w:val="single" w:color="000000" w:sz="8" w:space="0"/>
            </w:tcBorders>
          </w:tcPr>
          <w:p>
            <w:pPr>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15</w:t>
            </w:r>
          </w:p>
        </w:tc>
        <w:tc>
          <w:tcPr>
            <w:tcW w:w="1843" w:type="dxa"/>
            <w:tcBorders>
              <w:top w:val="single" w:color="000000" w:sz="8" w:space="0"/>
              <w:left w:val="single" w:color="000000" w:sz="8"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lang w:val="en-US" w:eastAsia="zh-CN"/>
              </w:rPr>
              <w:t>供货期、质保期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cs="Arial" w:asciiTheme="minorEastAsia" w:hAnsiTheme="minorEastAsia" w:eastAsiaTheme="minorEastAsia"/>
                <w:kern w:val="0"/>
                <w:sz w:val="24"/>
              </w:rPr>
            </w:pPr>
            <w:r>
              <w:rPr>
                <w:rFonts w:hint="eastAsia" w:cs="Arial" w:asciiTheme="minorEastAsia" w:hAnsiTheme="minorEastAsia" w:eastAsiaTheme="minorEastAsia"/>
                <w:b/>
                <w:bCs/>
                <w:kern w:val="0"/>
                <w:sz w:val="24"/>
              </w:rPr>
              <w:t>30天内到货并完成安装跟调试。</w:t>
            </w:r>
            <w:r>
              <w:rPr>
                <w:rFonts w:hint="eastAsia" w:cs="Arial" w:asciiTheme="minorEastAsia" w:hAnsiTheme="minorEastAsia" w:eastAsiaTheme="minorEastAsia"/>
                <w:b/>
                <w:bCs/>
                <w:kern w:val="0"/>
                <w:sz w:val="24"/>
                <w:lang w:val="en-US" w:eastAsia="zh-CN"/>
              </w:rPr>
              <w:t>所有产品货物质保期为24个月，若在质保期内出现质量问题，供应商需负责维修或者更换货物。</w:t>
            </w:r>
          </w:p>
        </w:tc>
      </w:tr>
    </w:tbl>
    <w:p>
      <w:pPr>
        <w:snapToGrid w:val="0"/>
        <w:spacing w:line="360" w:lineRule="auto"/>
        <w:jc w:val="center"/>
        <w:rPr>
          <w:rFonts w:ascii="宋体" w:hAnsi="宋体" w:cs="宋体"/>
          <w:b/>
          <w:sz w:val="32"/>
          <w:szCs w:val="20"/>
        </w:rPr>
      </w:pPr>
    </w:p>
    <w:p>
      <w:pPr>
        <w:pStyle w:val="24"/>
        <w:rPr>
          <w:rFonts w:ascii="宋体" w:hAnsi="宋体" w:cs="宋体"/>
          <w:b/>
          <w:sz w:val="32"/>
          <w:szCs w:val="20"/>
        </w:rPr>
      </w:pPr>
    </w:p>
    <w:p>
      <w:pPr>
        <w:pStyle w:val="963"/>
        <w:rPr>
          <w:rFonts w:ascii="宋体" w:hAnsi="宋体" w:cs="宋体"/>
          <w:b/>
          <w:sz w:val="32"/>
          <w:szCs w:val="20"/>
        </w:rPr>
      </w:pPr>
    </w:p>
    <w:p>
      <w:pPr>
        <w:pStyle w:val="963"/>
        <w:rPr>
          <w:rFonts w:ascii="宋体" w:hAnsi="宋体" w:cs="宋体"/>
          <w:b/>
          <w:sz w:val="32"/>
          <w:szCs w:val="20"/>
        </w:rPr>
      </w:pPr>
    </w:p>
    <w:p>
      <w:pPr>
        <w:pStyle w:val="963"/>
        <w:rPr>
          <w:rFonts w:ascii="宋体" w:hAnsi="宋体" w:cs="宋体"/>
          <w:b/>
          <w:sz w:val="32"/>
          <w:szCs w:val="20"/>
        </w:rPr>
      </w:pPr>
    </w:p>
    <w:p>
      <w:pPr>
        <w:pStyle w:val="963"/>
        <w:rPr>
          <w:rFonts w:ascii="宋体" w:hAnsi="宋体" w:cs="宋体"/>
          <w:b/>
          <w:sz w:val="32"/>
          <w:szCs w:val="20"/>
        </w:rPr>
      </w:pPr>
    </w:p>
    <w:p>
      <w:pPr>
        <w:pStyle w:val="963"/>
        <w:rPr>
          <w:rFonts w:ascii="宋体" w:hAnsi="宋体" w:cs="宋体"/>
          <w:b/>
          <w:sz w:val="32"/>
          <w:szCs w:val="20"/>
        </w:rPr>
      </w:pPr>
    </w:p>
    <w:p>
      <w:pPr>
        <w:pStyle w:val="963"/>
        <w:rPr>
          <w:rFonts w:ascii="宋体" w:hAnsi="宋体" w:cs="宋体"/>
          <w:b/>
          <w:sz w:val="32"/>
          <w:szCs w:val="20"/>
        </w:rPr>
      </w:pPr>
    </w:p>
    <w:p>
      <w:pPr>
        <w:pStyle w:val="963"/>
        <w:rPr>
          <w:rFonts w:ascii="宋体" w:hAnsi="宋体" w:cs="宋体"/>
          <w:b/>
          <w:sz w:val="32"/>
          <w:szCs w:val="20"/>
        </w:rPr>
      </w:pPr>
    </w:p>
    <w:p>
      <w:pPr>
        <w:pStyle w:val="963"/>
        <w:rPr>
          <w:rFonts w:ascii="宋体" w:hAnsi="宋体" w:cs="宋体"/>
          <w:b/>
          <w:sz w:val="32"/>
          <w:szCs w:val="20"/>
        </w:rPr>
      </w:pPr>
    </w:p>
    <w:p>
      <w:pPr>
        <w:pStyle w:val="963"/>
        <w:rPr>
          <w:rFonts w:ascii="宋体" w:hAnsi="宋体" w:cs="宋体"/>
          <w:b/>
          <w:sz w:val="32"/>
          <w:szCs w:val="20"/>
        </w:rPr>
      </w:pPr>
    </w:p>
    <w:bookmarkEnd w:id="10"/>
    <w:p>
      <w:pPr>
        <w:adjustRightInd/>
        <w:spacing w:line="360" w:lineRule="auto"/>
        <w:ind w:firstLine="3845" w:firstLineChars="1197"/>
        <w:outlineLvl w:val="0"/>
        <w:rPr>
          <w:rFonts w:ascii="宋体" w:hAnsi="宋体" w:cs="宋体"/>
          <w:b/>
          <w:sz w:val="32"/>
          <w:szCs w:val="20"/>
        </w:rPr>
      </w:pPr>
      <w:bookmarkStart w:id="13" w:name="第三部分"/>
      <w:bookmarkStart w:id="14" w:name="_Toc164416483"/>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360" w:lineRule="auto"/>
        <w:ind w:firstLine="480" w:firstLineChars="200"/>
        <w:rPr>
          <w:rFonts w:ascii="宋体" w:hAnsi="宋体" w:cs="宋体"/>
          <w:sz w:val="24"/>
        </w:rPr>
      </w:pPr>
      <w:r>
        <w:rPr>
          <w:rFonts w:hint="eastAsia" w:ascii="宋体" w:hAnsi="宋体" w:cs="宋体"/>
          <w:sz w:val="24"/>
        </w:rPr>
        <w:t>2.2 “采购机构”系指招标公告中载明的本项目的采购机构。</w:t>
      </w:r>
    </w:p>
    <w:p>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2.6“电子交易平台”是指本项目政府采购活动所依托的政府采购云平台（https://www.zcygov.cn/）。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cs="宋体"/>
              <w:kern w:val="0"/>
              <w:sz w:val="24"/>
            </w:rPr>
            <w:t>þ</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sz w:val="24"/>
          <w:highlight w:val="yellow"/>
        </w:rPr>
        <w:t>优先采购绿色包装产品、绿色物流配送服务以及循环利用产品</w:t>
      </w:r>
      <w:bookmarkEnd w:id="15"/>
      <w:r>
        <w:rPr>
          <w:rFonts w:hint="eastAsia" w:ascii="宋体" w:hAnsi="宋体" w:cs="宋体"/>
          <w:sz w:val="24"/>
          <w:highlight w:val="yellow"/>
        </w:rPr>
        <w:t>。</w:t>
      </w:r>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rPr>
        <w:t>联合协议或者分包意向协议约定小微企业的合同份额占到合同总金额30%以上的</w:t>
      </w:r>
      <w:bookmarkEnd w:id="16"/>
      <w:r>
        <w:rPr>
          <w:rFonts w:hint="eastAsia" w:ascii="宋体" w:hAnsi="宋体" w:cs="宋体"/>
          <w:sz w:val="24"/>
        </w:rPr>
        <w:t>，对联合体或者大中型企业的报价给予</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宋体" w:hAnsi="宋体" w:cs="宋体"/>
          <w:sz w:val="24"/>
        </w:rPr>
      </w:pPr>
      <w:r>
        <w:rPr>
          <w:rFonts w:hint="eastAsia" w:ascii="宋体" w:hAnsi="宋体" w:cs="宋体"/>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pPr>
        <w:spacing w:line="360" w:lineRule="auto"/>
        <w:ind w:firstLine="240" w:firstLineChars="100"/>
        <w:rPr>
          <w:rFonts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4.1供应商询问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4.2供应商质疑</w:t>
      </w:r>
    </w:p>
    <w:p>
      <w:pPr>
        <w:pStyle w:val="34"/>
        <w:spacing w:line="360" w:lineRule="auto"/>
        <w:ind w:firstLine="480" w:firstLineChars="200"/>
        <w:rPr>
          <w:rFonts w:hAnsi="宋体" w:cs="宋体"/>
          <w:sz w:val="24"/>
        </w:rPr>
      </w:pPr>
      <w:r>
        <w:rPr>
          <w:rFonts w:hint="eastAsia" w:hAnsi="宋体" w:cs="宋体"/>
          <w:kern w:val="0"/>
          <w:sz w:val="24"/>
          <w:lang w:val="zh-CN"/>
        </w:rPr>
        <w:t>4.2</w:t>
      </w:r>
      <w:r>
        <w:rPr>
          <w:rFonts w:hint="eastAsia" w:hAnsi="宋体" w:cs="宋体"/>
          <w:sz w:val="24"/>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Ansi="宋体" w:cs="宋体"/>
          <w:sz w:val="24"/>
        </w:rPr>
      </w:pPr>
      <w:r>
        <w:rPr>
          <w:rFonts w:hint="eastAsia" w:hAnsi="宋体" w:cs="宋体"/>
          <w:kern w:val="0"/>
          <w:sz w:val="24"/>
          <w:lang w:val="zh-CN"/>
        </w:rPr>
        <w:t>4.2</w:t>
      </w:r>
      <w:r>
        <w:rPr>
          <w:rFonts w:hint="eastAsia" w:hAnsi="宋体" w:cs="宋体"/>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4.2.2.1对招标文件提出质疑的，质疑期限为供应商获得招标文件之日或者招标文件公告期限届满之日起计算。</w:t>
      </w:r>
    </w:p>
    <w:p>
      <w:pPr>
        <w:pStyle w:val="34"/>
        <w:spacing w:line="360" w:lineRule="auto"/>
        <w:ind w:left="479" w:leftChars="228"/>
        <w:rPr>
          <w:rFonts w:hAnsi="宋体" w:cs="宋体"/>
          <w:sz w:val="24"/>
        </w:rPr>
      </w:pPr>
      <w:r>
        <w:rPr>
          <w:rFonts w:hint="eastAsia" w:hAnsi="宋体" w:cs="宋体"/>
          <w:sz w:val="24"/>
        </w:rPr>
        <w:t>4.2.2.2对采购过程提出质疑的，质疑期限为各采购程序环节结束之日起计算。4.2.2.3对采购结果提出质疑的，质疑期限自采购结果公告期限届满之日起计算。</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4.2.3</w:t>
      </w:r>
      <w:r>
        <w:rPr>
          <w:rFonts w:hint="eastAsia" w:hAnsi="宋体" w:cs="宋体"/>
          <w:sz w:val="24"/>
        </w:rPr>
        <w:t>供应商提出质疑应当提交质疑函和必要的证明材料。质疑函应当包括下列内容：</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　　4.2.3.1供应商的姓名或者名称、地址、邮编、联系人及联系电话；</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　　4.2.3.2质疑项目的名称、编号；</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　　4.2.3.3具体、明确的质疑事项和与质疑事项相关的请求；</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　　4.2.3.4事实依据；</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　　4.2.3.5必要的法律依据；</w:t>
      </w:r>
    </w:p>
    <w:p>
      <w:pPr>
        <w:pStyle w:val="34"/>
        <w:spacing w:line="360" w:lineRule="auto"/>
        <w:ind w:firstLine="960" w:firstLineChars="400"/>
        <w:rPr>
          <w:rFonts w:hAnsi="宋体" w:cs="宋体"/>
          <w:kern w:val="0"/>
          <w:sz w:val="24"/>
          <w:lang w:val="zh-CN"/>
        </w:rPr>
      </w:pPr>
      <w:r>
        <w:rPr>
          <w:rFonts w:hint="eastAsia" w:hAnsi="宋体" w:cs="宋体"/>
          <w:kern w:val="0"/>
          <w:sz w:val="24"/>
          <w:lang w:val="zh-CN"/>
        </w:rPr>
        <w:t>4.2.3.6提出质疑的日期。</w:t>
      </w:r>
    </w:p>
    <w:p>
      <w:pPr>
        <w:pStyle w:val="887"/>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fill="FFFFFF"/>
        <w:snapToGrid w:val="0"/>
        <w:spacing w:after="240" w:afterAutospacing="0" w:line="360" w:lineRule="auto"/>
        <w:ind w:firstLine="400"/>
        <w:contextualSpacing/>
      </w:pPr>
      <w:r>
        <w:rPr>
          <w:rFonts w:hint="eastAsia"/>
        </w:rPr>
        <w:t>质疑函范本及制作说明详见附件2。</w:t>
      </w:r>
    </w:p>
    <w:p>
      <w:pPr>
        <w:pStyle w:val="887"/>
        <w:shd w:val="clear" w:color="auto" w:fill="FFFFFF"/>
        <w:snapToGrid w:val="0"/>
        <w:spacing w:after="240" w:afterAutospacing="0" w:line="360" w:lineRule="auto"/>
        <w:ind w:firstLine="400"/>
        <w:contextualSpacing/>
      </w:pPr>
      <w:r>
        <w:rPr>
          <w:rFonts w:hint="eastAsia"/>
        </w:rPr>
        <w:t>4.2.4对同一采购程序环节的质疑，供应商须在法定质疑期内一次性提出。</w:t>
      </w:r>
    </w:p>
    <w:p>
      <w:pPr>
        <w:pStyle w:val="887"/>
        <w:shd w:val="clear" w:color="auto" w:fill="FFFFFF"/>
        <w:snapToGrid w:val="0"/>
        <w:spacing w:after="240" w:afterAutospacing="0" w:line="360" w:lineRule="auto"/>
        <w:ind w:firstLine="400"/>
        <w:contextualSpacing/>
      </w:pPr>
      <w:r>
        <w:rPr>
          <w:rFonts w:hint="eastAsia"/>
          <w:lang w:val="zh-CN"/>
        </w:rPr>
        <w:t>4.2</w:t>
      </w:r>
      <w:r>
        <w:rPr>
          <w:rFonts w:hint="eastAsia"/>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7"/>
        <w:shd w:val="clear" w:color="auto" w:fill="FFFFFF"/>
        <w:snapToGrid w:val="0"/>
        <w:spacing w:after="240" w:afterAutospacing="0" w:line="360" w:lineRule="auto"/>
        <w:ind w:firstLine="400"/>
        <w:contextualSpacing/>
      </w:pPr>
      <w:r>
        <w:rPr>
          <w:rFonts w:hint="eastAsia"/>
          <w:lang w:val="zh-CN"/>
        </w:rPr>
        <w:t>4.2</w:t>
      </w:r>
      <w:r>
        <w:rPr>
          <w:rFonts w:hint="eastAsia"/>
        </w:rPr>
        <w:t>.6询问或者质疑事项可能影响采购结果的，采购人应当暂停签订合同，已经签订合同的，应当中止履行合同。</w:t>
      </w:r>
    </w:p>
    <w:p>
      <w:pPr>
        <w:pStyle w:val="887"/>
        <w:shd w:val="clear" w:color="auto" w:fill="FFFFFF"/>
        <w:snapToGrid w:val="0"/>
        <w:spacing w:after="240" w:afterAutospacing="0" w:line="360" w:lineRule="auto"/>
        <w:ind w:firstLine="480" w:firstLineChars="200"/>
        <w:contextualSpacing/>
        <w:rPr>
          <w:lang w:val="zh-CN"/>
        </w:rPr>
      </w:pPr>
      <w:r>
        <w:rPr>
          <w:rFonts w:hint="eastAsia"/>
          <w:lang w:val="zh-CN"/>
        </w:rPr>
        <w:t>4.3供应商投诉</w:t>
      </w:r>
    </w:p>
    <w:p>
      <w:pPr>
        <w:pStyle w:val="887"/>
        <w:shd w:val="clear" w:color="auto" w:fill="FFFFFF"/>
        <w:snapToGrid w:val="0"/>
        <w:spacing w:after="240" w:afterAutospacing="0" w:line="360" w:lineRule="auto"/>
        <w:ind w:firstLine="400"/>
        <w:contextualSpacing/>
      </w:pPr>
      <w:r>
        <w:rPr>
          <w:rFonts w:hint="eastAsia"/>
        </w:rPr>
        <w:t>4.3.1质疑供应商对采购人、采购机构的答复不满意或者采购人、采购机构未在规定的时间内作出答复的，可以在答复期满后十五个工作日内向同级政府采购监督管理部门提出投诉。</w:t>
      </w:r>
    </w:p>
    <w:p>
      <w:pPr>
        <w:pStyle w:val="887"/>
        <w:shd w:val="clear" w:color="auto" w:fill="FFFFFF"/>
        <w:snapToGrid w:val="0"/>
        <w:spacing w:after="240" w:afterAutospacing="0" w:line="360" w:lineRule="auto"/>
        <w:ind w:firstLine="400"/>
        <w:contextualSpacing/>
      </w:pPr>
      <w:r>
        <w:rPr>
          <w:rFonts w:hint="eastAsia"/>
        </w:rPr>
        <w:t>4.3.</w:t>
      </w:r>
      <w:r>
        <w:rPr>
          <w:rFonts w:hint="eastAsia"/>
          <w:lang w:val="zh-CN"/>
        </w:rPr>
        <w:t>2</w:t>
      </w:r>
      <w:r>
        <w:rPr>
          <w:rFonts w:hint="eastAsia"/>
        </w:rPr>
        <w:t>供应商投诉的事项不得超出已质疑事项的范围，基于质疑答复内容提出的投诉事项除外。</w:t>
      </w:r>
    </w:p>
    <w:p>
      <w:pPr>
        <w:pStyle w:val="887"/>
        <w:shd w:val="clear" w:color="auto" w:fill="FFFFFF"/>
        <w:snapToGrid w:val="0"/>
        <w:spacing w:after="240" w:afterAutospacing="0" w:line="360" w:lineRule="auto"/>
        <w:ind w:firstLine="400"/>
        <w:contextualSpacing/>
      </w:pPr>
      <w:r>
        <w:rPr>
          <w:rFonts w:hint="eastAsia"/>
        </w:rPr>
        <w:t>4.3.3供应商投诉应当有明确的请求和必要的证明材料。</w:t>
      </w:r>
    </w:p>
    <w:p>
      <w:pPr>
        <w:pStyle w:val="887"/>
        <w:shd w:val="clear" w:color="auto" w:fill="FFFFFF"/>
        <w:snapToGrid w:val="0"/>
        <w:spacing w:after="240" w:afterAutospacing="0" w:line="360" w:lineRule="auto"/>
        <w:ind w:firstLine="400"/>
        <w:contextualSpacing/>
      </w:pPr>
      <w:r>
        <w:rPr>
          <w:rFonts w:hint="eastAsia"/>
        </w:rPr>
        <w:t>4.3.5 以联合体形式参加政府采购活动的，其投诉应当由组成联合体的所有供应商共同提出。</w:t>
      </w:r>
    </w:p>
    <w:p>
      <w:pPr>
        <w:pStyle w:val="887"/>
        <w:shd w:val="clear" w:color="auto" w:fill="FFFFFF"/>
        <w:snapToGrid w:val="0"/>
        <w:spacing w:after="240" w:afterAutospacing="0" w:line="360" w:lineRule="auto"/>
        <w:ind w:firstLine="400"/>
        <w:contextualSpacing/>
      </w:pPr>
      <w:r>
        <w:rPr>
          <w:rFonts w:hint="eastAsia"/>
        </w:rPr>
        <w:t>投诉书范本及制作说明详见附件3。</w:t>
      </w:r>
    </w:p>
    <w:p>
      <w:pPr>
        <w:pStyle w:val="887"/>
        <w:shd w:val="clear" w:color="auto" w:fill="FFFFFF"/>
        <w:snapToGrid w:val="0"/>
        <w:spacing w:after="240" w:afterAutospacing="0" w:line="360" w:lineRule="auto"/>
        <w:ind w:firstLine="400"/>
        <w:contextualSpacing/>
      </w:pPr>
      <w:r>
        <w:rPr>
          <w:rFonts w:hint="eastAsia"/>
        </w:rPr>
        <w:t>4.4在线质疑、投诉。</w:t>
      </w:r>
    </w:p>
    <w:p>
      <w:pPr>
        <w:pStyle w:val="887"/>
        <w:shd w:val="clear" w:color="auto" w:fill="FFFFFF"/>
        <w:snapToGrid w:val="0"/>
        <w:spacing w:after="240" w:afterAutospacing="0" w:line="360" w:lineRule="auto"/>
        <w:ind w:firstLine="480" w:firstLineChars="200"/>
        <w:contextualSpacing/>
      </w:pPr>
      <w:r>
        <w:rPr>
          <w:rFonts w:hint="eastAsi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4"/>
        <w:spacing w:line="360" w:lineRule="auto"/>
        <w:rPr>
          <w:rFonts w:hAnsi="宋体" w:cs="宋体"/>
          <w:b/>
          <w:sz w:val="24"/>
          <w:szCs w:val="24"/>
        </w:rPr>
      </w:pPr>
      <w:r>
        <w:rPr>
          <w:rFonts w:hint="eastAsia" w:hAnsi="宋体" w:cs="宋体"/>
          <w:b/>
          <w:sz w:val="24"/>
          <w:szCs w:val="24"/>
        </w:rPr>
        <w:t>5．招标文件的构成</w:t>
      </w:r>
    </w:p>
    <w:p>
      <w:pPr>
        <w:pStyle w:val="34"/>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4"/>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4"/>
        <w:spacing w:line="360" w:lineRule="auto"/>
        <w:rPr>
          <w:rFonts w:hAnsi="宋体" w:cs="宋体"/>
          <w:b/>
          <w:sz w:val="24"/>
          <w:szCs w:val="24"/>
        </w:rPr>
      </w:pPr>
      <w:r>
        <w:rPr>
          <w:rFonts w:hint="eastAsia" w:hAnsi="宋体" w:cs="宋体"/>
          <w:b/>
          <w:sz w:val="24"/>
          <w:szCs w:val="24"/>
        </w:rPr>
        <w:t>6. 招标文件的澄清、修改</w:t>
      </w:r>
    </w:p>
    <w:p>
      <w:pPr>
        <w:pStyle w:val="129"/>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6.1已获取招标文件的潜在投标人，若有问题需要澄清，应于投标截止时间前，以书面形式向采购机构提出。</w:t>
      </w:r>
    </w:p>
    <w:p>
      <w:pPr>
        <w:pStyle w:val="129"/>
        <w:snapToGrid w:val="0"/>
        <w:spacing w:before="0"/>
        <w:ind w:firstLine="480"/>
        <w:rPr>
          <w:rFonts w:ascii="宋体" w:hAnsi="宋体" w:cs="宋体"/>
        </w:rPr>
      </w:pPr>
      <w:r>
        <w:rPr>
          <w:rFonts w:hint="eastAsia" w:ascii="宋体" w:hAnsi="宋体" w:cs="宋体"/>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Ansi="宋体" w:cs="宋体"/>
          <w:sz w:val="18"/>
          <w:szCs w:val="18"/>
          <w:lang w:val="en-US"/>
        </w:rPr>
      </w:pPr>
      <w:r>
        <w:rPr>
          <w:rFonts w:hint="eastAsia" w:hAnsi="宋体" w:cs="宋体"/>
          <w:szCs w:val="24"/>
          <w:lang w:val="en-US"/>
        </w:rPr>
        <w:t xml:space="preserve">    </w:t>
      </w: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4"/>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4"/>
        <w:spacing w:line="360" w:lineRule="auto"/>
        <w:rPr>
          <w:rFonts w:hAnsi="宋体" w:cs="宋体"/>
          <w:b/>
          <w:sz w:val="24"/>
          <w:szCs w:val="24"/>
        </w:rPr>
      </w:pPr>
      <w:r>
        <w:rPr>
          <w:rFonts w:hint="eastAsia" w:hAnsi="宋体" w:cs="宋体"/>
          <w:b/>
          <w:sz w:val="24"/>
          <w:szCs w:val="24"/>
        </w:rPr>
        <w:t>8.开标前答疑会或现场考察</w:t>
      </w:r>
    </w:p>
    <w:p>
      <w:pPr>
        <w:pStyle w:val="34"/>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4"/>
        <w:spacing w:line="360" w:lineRule="auto"/>
        <w:rPr>
          <w:rFonts w:hAnsi="宋体" w:cs="宋体"/>
          <w:b/>
          <w:szCs w:val="24"/>
        </w:rPr>
      </w:pPr>
      <w:r>
        <w:rPr>
          <w:rFonts w:hint="eastAsia" w:hAnsi="宋体" w:cs="宋体"/>
          <w:b/>
          <w:kern w:val="28"/>
          <w:sz w:val="24"/>
          <w:szCs w:val="24"/>
        </w:rPr>
        <w:t>9.投标保证金</w:t>
      </w:r>
    </w:p>
    <w:p>
      <w:pPr>
        <w:pStyle w:val="6"/>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4"/>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4"/>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17" w:name="_Hlk101259339"/>
      <w:r>
        <w:rPr>
          <w:rFonts w:hint="eastAsia" w:ascii="宋体" w:hAnsi="宋体" w:cs="宋体"/>
          <w:snapToGrid w:val="0"/>
          <w:kern w:val="28"/>
          <w:sz w:val="24"/>
          <w:szCs w:val="20"/>
        </w:rPr>
        <w:t>联合协议</w:t>
      </w:r>
      <w:bookmarkStart w:id="18" w:name="_Hlk101257010"/>
      <w:r>
        <w:rPr>
          <w:rFonts w:hint="eastAsia" w:ascii="宋体" w:hAnsi="宋体" w:cs="宋体"/>
          <w:snapToGrid w:val="0"/>
          <w:kern w:val="28"/>
          <w:sz w:val="24"/>
          <w:szCs w:val="20"/>
        </w:rPr>
        <w:t>（如果有)</w:t>
      </w:r>
      <w:bookmarkEnd w:id="17"/>
      <w:bookmarkEnd w:id="18"/>
      <w:r>
        <w:rPr>
          <w:rFonts w:hint="eastAsia" w:ascii="宋体" w:hAnsi="宋体" w:cs="宋体"/>
          <w:snapToGrid w:val="0"/>
          <w:kern w:val="28"/>
          <w:sz w:val="24"/>
          <w:szCs w:val="20"/>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snapToGrid w:val="0"/>
        <w:spacing w:line="360" w:lineRule="auto"/>
        <w:ind w:firstLine="960" w:firstLineChars="400"/>
        <w:rPr>
          <w:rFonts w:ascii="宋体" w:hAnsi="宋体" w:cs="宋体"/>
          <w:sz w:val="24"/>
        </w:rPr>
      </w:pPr>
      <w:r>
        <w:rPr>
          <w:rFonts w:hint="eastAsia" w:ascii="宋体" w:hAnsi="宋体" w:cs="宋体"/>
          <w:sz w:val="24"/>
        </w:rPr>
        <w:t>11.3.2中小企业声明函。</w:t>
      </w:r>
    </w:p>
    <w:p>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pPr>
        <w:pStyle w:val="129"/>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29"/>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29"/>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129"/>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129"/>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宋体" w:hAnsi="宋体" w:cs="宋体"/>
          <w:szCs w:val="24"/>
        </w:rPr>
      </w:pPr>
      <w:r>
        <w:rPr>
          <w:rFonts w:hint="eastAsia" w:ascii="宋体" w:hAnsi="宋体" w:cs="宋体"/>
          <w:szCs w:val="24"/>
        </w:rPr>
        <w:t>14.3采购人、采购机构可以视情况延长投标文件提交的截止时间。在上述情况下，采购机构与投标人以前在投标截止期方面的全部权利、责任和义务，将适用于延长至新的投标截止期。</w:t>
      </w:r>
    </w:p>
    <w:p>
      <w:pPr>
        <w:pStyle w:val="34"/>
        <w:spacing w:line="360" w:lineRule="auto"/>
        <w:rPr>
          <w:rFonts w:hAnsi="宋体" w:cs="宋体"/>
          <w:b/>
          <w:sz w:val="24"/>
          <w:szCs w:val="24"/>
        </w:rPr>
      </w:pPr>
      <w:r>
        <w:rPr>
          <w:rFonts w:hint="eastAsia" w:hAnsi="宋体" w:cs="宋体"/>
          <w:b/>
          <w:sz w:val="24"/>
          <w:szCs w:val="24"/>
        </w:rPr>
        <w:t>15.备份投标文件</w:t>
      </w:r>
    </w:p>
    <w:p>
      <w:pPr>
        <w:pStyle w:val="34"/>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但采购人、采购机构不强制或变相强制投标人提交备份投标文件。</w:t>
      </w:r>
    </w:p>
    <w:p>
      <w:pPr>
        <w:pStyle w:val="34"/>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4"/>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15.3直接提交备份投标文件的，投标人应于投标截止时间前在招标公告中载明的开标地点将备份投标文件提交给采购机构，采购机构将拒绝接受逾期送达的备份投标文件。</w:t>
      </w:r>
    </w:p>
    <w:p>
      <w:pPr>
        <w:pStyle w:val="34"/>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送达时间以签收人签收时间为准。采购机构将拒绝接受逾期送达的备份投标文件。邮寄过程中，电子备份投标文件发生泄露、遗失、损坏或延期送达等情况的，由投标人自行负责。</w:t>
      </w:r>
    </w:p>
    <w:p>
      <w:pPr>
        <w:pStyle w:val="34"/>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129"/>
        <w:spacing w:before="0"/>
        <w:ind w:firstLine="0" w:firstLineChars="0"/>
        <w:rPr>
          <w:rFonts w:ascii="宋体" w:hAnsi="宋体" w:cs="宋体"/>
          <w:b/>
          <w:szCs w:val="24"/>
        </w:rPr>
      </w:pPr>
      <w:r>
        <w:rPr>
          <w:rFonts w:hint="eastAsia" w:ascii="宋体" w:hAnsi="宋体" w:cs="宋体"/>
          <w:b/>
          <w:szCs w:val="24"/>
        </w:rPr>
        <w:t>16.投标文件的无效处理</w:t>
      </w:r>
    </w:p>
    <w:p>
      <w:pPr>
        <w:pStyle w:val="26"/>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pPr>
        <w:pStyle w:val="129"/>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129"/>
        <w:spacing w:before="0"/>
        <w:ind w:firstLine="480"/>
        <w:rPr>
          <w:rFonts w:ascii="宋体" w:hAnsi="宋体" w:cs="宋体"/>
        </w:rPr>
      </w:pPr>
      <w:r>
        <w:rPr>
          <w:rFonts w:hint="eastAsia" w:ascii="宋体" w:hAnsi="宋体" w:cs="宋体"/>
        </w:rPr>
        <w:t>17.2投标文件合格投递后，自投标截止日期起，在投标有效期内有效。</w:t>
      </w:r>
    </w:p>
    <w:p>
      <w:pPr>
        <w:pStyle w:val="129"/>
        <w:spacing w:before="0"/>
        <w:ind w:firstLine="480"/>
        <w:rPr>
          <w:rFonts w:ascii="宋体" w:hAnsi="宋体" w:cs="宋体"/>
        </w:rPr>
      </w:pPr>
      <w:r>
        <w:rPr>
          <w:rFonts w:hint="eastAsia" w:ascii="宋体" w:hAnsi="宋体" w:cs="宋体"/>
        </w:rPr>
        <w:t>17.3在原定投标有效期满之前，如果出现特殊情况，采购机构可以以书面形式通知投标人延长投标有效期。投标人同意延长的，不得要求或被允许修改其投标文件，投标人拒绝延长的，其投标无效。</w:t>
      </w:r>
    </w:p>
    <w:p>
      <w:pPr>
        <w:pStyle w:val="129"/>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555"/>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pPr>
        <w:pStyle w:val="555"/>
        <w:spacing w:before="0" w:line="360" w:lineRule="auto"/>
        <w:ind w:left="0" w:firstLine="480" w:firstLineChars="200"/>
        <w:contextualSpacing/>
        <w:rPr>
          <w:rFonts w:ascii="宋体" w:hAnsi="宋体" w:cs="宋体"/>
          <w:sz w:val="24"/>
        </w:rPr>
      </w:pPr>
      <w:r>
        <w:rPr>
          <w:rFonts w:hint="eastAsia" w:ascii="宋体" w:hAnsi="宋体" w:cs="宋体"/>
          <w:sz w:val="24"/>
        </w:rPr>
        <w:t>18.1采购机构按照招标文件规定的时间通过电子交易平台组织开标，所有投标人均应当准时在线参加。投标人不足3家的，不得开标。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18.2开标时，电子交易平台按开标时间自动提取所有投标文件。采购机构依托电子交易平台发起开始解密指令，投标人按照平台提示和招标文件的规定在半小时内完成在线解密。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pPr>
        <w:pStyle w:val="129"/>
        <w:spacing w:before="0"/>
        <w:ind w:firstLine="480"/>
        <w:rPr>
          <w:rFonts w:ascii="宋体" w:hAnsi="宋体" w:cs="宋体"/>
          <w:kern w:val="0"/>
          <w:szCs w:val="24"/>
        </w:rPr>
      </w:pPr>
      <w:r>
        <w:rPr>
          <w:rFonts w:hint="eastAsia" w:ascii="宋体" w:hAnsi="宋体" w:cs="宋体"/>
          <w:kern w:val="0"/>
          <w:szCs w:val="24"/>
        </w:rPr>
        <w:t>19.1开标后，采购人或采购机构将依法对投标人的资格进行审查。</w:t>
      </w:r>
    </w:p>
    <w:p>
      <w:pPr>
        <w:snapToGrid w:val="0"/>
        <w:spacing w:line="360" w:lineRule="auto"/>
        <w:ind w:firstLine="480" w:firstLineChars="200"/>
        <w:rPr>
          <w:rFonts w:ascii="宋体" w:hAnsi="宋体" w:cs="宋体"/>
          <w:sz w:val="24"/>
        </w:rPr>
      </w:pPr>
      <w:r>
        <w:rPr>
          <w:rFonts w:hint="eastAsia" w:ascii="宋体" w:hAnsi="宋体" w:cs="宋体"/>
          <w:kern w:val="0"/>
          <w:sz w:val="24"/>
        </w:rPr>
        <w:t>19.2</w:t>
      </w:r>
      <w:r>
        <w:rPr>
          <w:rFonts w:hint="eastAsia" w:ascii="宋体" w:hAnsi="宋体" w:cs="宋体"/>
          <w:sz w:val="24"/>
        </w:rPr>
        <w:t>采购人或采购机构依据法律法规和招标文件的规定，对投标人的资格进行审查。</w:t>
      </w:r>
    </w:p>
    <w:p>
      <w:pPr>
        <w:pStyle w:val="129"/>
        <w:spacing w:before="0"/>
        <w:ind w:firstLine="480"/>
        <w:rPr>
          <w:rFonts w:ascii="宋体" w:hAnsi="宋体" w:cs="宋体"/>
        </w:rPr>
      </w:pPr>
      <w:r>
        <w:rPr>
          <w:rFonts w:hint="eastAsia" w:ascii="宋体" w:hAnsi="宋体" w:cs="宋体"/>
          <w:kern w:val="0"/>
          <w:szCs w:val="24"/>
        </w:rPr>
        <w:t>19.3投标人未按照招标文件要求提供与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129"/>
        <w:spacing w:before="0"/>
        <w:ind w:firstLine="480"/>
        <w:rPr>
          <w:rFonts w:ascii="宋体" w:hAnsi="宋体" w:cs="宋体"/>
        </w:rPr>
      </w:pPr>
      <w:r>
        <w:rPr>
          <w:rFonts w:hint="eastAsia" w:ascii="宋体" w:hAnsi="宋体" w:cs="宋体"/>
          <w:kern w:val="0"/>
          <w:szCs w:val="24"/>
        </w:rPr>
        <w:t>19.</w:t>
      </w:r>
      <w:r>
        <w:rPr>
          <w:rFonts w:hint="eastAsia" w:ascii="宋体" w:hAnsi="宋体" w:cs="宋体"/>
        </w:rPr>
        <w:t>4对未通过资格审查的投标人，采购人或采购机构告知其未通过的原因。</w:t>
      </w:r>
    </w:p>
    <w:p>
      <w:pPr>
        <w:pStyle w:val="129"/>
        <w:spacing w:before="0"/>
        <w:ind w:firstLine="480"/>
        <w:rPr>
          <w:rFonts w:ascii="宋体" w:hAnsi="宋体" w:cs="宋体"/>
        </w:rPr>
      </w:pPr>
      <w:r>
        <w:rPr>
          <w:rFonts w:hint="eastAsia" w:ascii="宋体" w:hAnsi="宋体" w:cs="宋体"/>
          <w:kern w:val="0"/>
          <w:szCs w:val="24"/>
        </w:rPr>
        <w:t>19.</w:t>
      </w:r>
      <w:r>
        <w:rPr>
          <w:rFonts w:hint="eastAsia" w:ascii="宋体" w:hAnsi="宋体" w:cs="宋体"/>
        </w:rPr>
        <w:t>5合格投标人不足3家的，不再评标。</w:t>
      </w:r>
    </w:p>
    <w:p>
      <w:pPr>
        <w:pStyle w:val="129"/>
        <w:spacing w:before="0"/>
        <w:ind w:firstLine="0" w:firstLineChars="0"/>
        <w:rPr>
          <w:rFonts w:ascii="宋体" w:hAnsi="宋体" w:cs="宋体"/>
          <w:b/>
          <w:szCs w:val="24"/>
        </w:rPr>
      </w:pPr>
      <w:r>
        <w:rPr>
          <w:rFonts w:hint="eastAsia" w:ascii="宋体" w:hAnsi="宋体" w:cs="宋体"/>
          <w:b/>
          <w:szCs w:val="24"/>
        </w:rPr>
        <w:t>20、信用信息查询</w:t>
      </w:r>
    </w:p>
    <w:p>
      <w:pPr>
        <w:pStyle w:val="129"/>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20.1信用信息查询渠道及截止时间：采购机构将在资格审查时通过“信用中国”网站(www.creditchina.gov.cn)、中国政府采购网(www.ccgp.gov.cn)渠道查询投标人接受资格审查时的信用记录。</w:t>
      </w:r>
    </w:p>
    <w:p>
      <w:pPr>
        <w:pStyle w:val="129"/>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29"/>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bookmarkStart w:id="19"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pPr>
        <w:pStyle w:val="26"/>
        <w:spacing w:line="360" w:lineRule="auto"/>
        <w:ind w:left="479" w:hanging="479" w:hangingChars="199"/>
        <w:rPr>
          <w:rFonts w:cs="宋体"/>
          <w:b/>
        </w:rPr>
      </w:pPr>
      <w:r>
        <w:rPr>
          <w:rFonts w:hint="eastAsia" w:cs="宋体"/>
          <w:b/>
        </w:rPr>
        <w:t>22. 确定中标供应商</w:t>
      </w:r>
    </w:p>
    <w:p>
      <w:pPr>
        <w:pStyle w:val="129"/>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9"/>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26"/>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pPr>
        <w:pStyle w:val="26"/>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29"/>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26"/>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pPr>
        <w:tabs>
          <w:tab w:val="left" w:pos="0"/>
        </w:tabs>
        <w:spacing w:line="360" w:lineRule="auto"/>
        <w:ind w:firstLine="482"/>
        <w:rPr>
          <w:rFonts w:ascii="宋体" w:hAnsi="宋体" w:cs="宋体"/>
          <w:sz w:val="24"/>
          <w:szCs w:val="20"/>
        </w:rPr>
      </w:pPr>
      <w:r>
        <w:rPr>
          <w:rFonts w:hint="eastAsia" w:ascii="宋体" w:hAnsi="宋体" w:cs="宋体"/>
          <w:sz w:val="24"/>
          <w:szCs w:val="20"/>
        </w:rPr>
        <w:t>政府采购货物和服务项目中，采购单位可根据杭州市政府采购网公布的供应商履约评价情况减免履约保证金。供应商履约验收评价总分为100分的，采购单位应当免收履约保证金。</w:t>
      </w:r>
    </w:p>
    <w:p>
      <w:pPr>
        <w:pStyle w:val="4"/>
        <w:ind w:left="0" w:firstLine="480" w:firstLineChars="200"/>
        <w:rPr>
          <w:rFonts w:ascii="宋体" w:hAnsi="宋体" w:eastAsia="宋体" w:cs="宋体"/>
          <w:lang w:val="en-US"/>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pPr>
        <w:pStyle w:val="129"/>
        <w:snapToGrid w:val="0"/>
        <w:spacing w:before="0"/>
        <w:ind w:firstLine="0" w:firstLineChars="0"/>
        <w:rPr>
          <w:rFonts w:ascii="宋体" w:hAnsi="宋体" w:cs="宋体"/>
        </w:rPr>
      </w:pPr>
      <w:r>
        <w:rPr>
          <w:rFonts w:hint="eastAsia" w:ascii="宋体" w:hAnsi="宋体" w:cs="宋体"/>
        </w:rPr>
        <w:t>2</w:t>
      </w:r>
      <w:r>
        <w:rPr>
          <w:rFonts w:hint="eastAsia" w:ascii="宋体" w:hAnsi="宋体" w:cs="宋体"/>
          <w:b/>
          <w:szCs w:val="24"/>
        </w:rPr>
        <w:t>7. 电子交易活动的中止。</w:t>
      </w:r>
      <w:r>
        <w:rPr>
          <w:rFonts w:hint="eastAsia" w:ascii="宋体" w:hAnsi="宋体" w:cs="宋体"/>
        </w:rPr>
        <w:t>采购过程中出现以下情形，导致电子交易平台无法正常运行，或者无法保证电子交易的公平、公正和安全时，采购机构可中止电子交易活动：</w:t>
      </w:r>
    </w:p>
    <w:p>
      <w:pPr>
        <w:pStyle w:val="129"/>
        <w:snapToGrid w:val="0"/>
        <w:spacing w:before="0"/>
        <w:ind w:firstLine="480"/>
        <w:rPr>
          <w:rFonts w:ascii="宋体" w:hAnsi="宋体" w:cs="宋体"/>
        </w:rPr>
      </w:pPr>
      <w:r>
        <w:rPr>
          <w:rFonts w:hint="eastAsia" w:ascii="宋体" w:hAnsi="宋体" w:cs="宋体"/>
        </w:rPr>
        <w:t xml:space="preserve">27.1电子交易平台发生故障而无法登录访问的； </w:t>
      </w:r>
    </w:p>
    <w:p>
      <w:pPr>
        <w:pStyle w:val="129"/>
        <w:snapToGrid w:val="0"/>
        <w:spacing w:before="0"/>
        <w:ind w:firstLine="480"/>
        <w:rPr>
          <w:rFonts w:ascii="宋体" w:hAnsi="宋体" w:cs="宋体"/>
        </w:rPr>
      </w:pPr>
      <w:r>
        <w:rPr>
          <w:rFonts w:hint="eastAsia" w:ascii="宋体" w:hAnsi="宋体" w:cs="宋体"/>
        </w:rPr>
        <w:t>27.2电子交易平台应用或数据库出现错误，不能进行正常操作的；</w:t>
      </w:r>
    </w:p>
    <w:p>
      <w:pPr>
        <w:pStyle w:val="129"/>
        <w:snapToGrid w:val="0"/>
        <w:spacing w:before="0"/>
        <w:ind w:firstLine="480"/>
        <w:rPr>
          <w:rFonts w:ascii="宋体" w:hAnsi="宋体" w:cs="宋体"/>
        </w:rPr>
      </w:pPr>
      <w:r>
        <w:rPr>
          <w:rFonts w:hint="eastAsia" w:ascii="宋体" w:hAnsi="宋体" w:cs="宋体"/>
        </w:rPr>
        <w:t>27.3电子交易平台发现严重安全漏洞，有潜在泄密危险的；</w:t>
      </w:r>
    </w:p>
    <w:p>
      <w:pPr>
        <w:pStyle w:val="129"/>
        <w:snapToGrid w:val="0"/>
        <w:spacing w:before="0"/>
        <w:ind w:firstLine="480"/>
        <w:rPr>
          <w:rFonts w:ascii="宋体" w:hAnsi="宋体" w:cs="宋体"/>
        </w:rPr>
      </w:pPr>
      <w:r>
        <w:rPr>
          <w:rFonts w:hint="eastAsia" w:ascii="宋体" w:hAnsi="宋体" w:cs="宋体"/>
        </w:rPr>
        <w:t xml:space="preserve">27.4病毒发作导致不能进行正常操作的； </w:t>
      </w:r>
    </w:p>
    <w:p>
      <w:pPr>
        <w:pStyle w:val="129"/>
        <w:snapToGrid w:val="0"/>
        <w:spacing w:before="0"/>
        <w:ind w:firstLine="480"/>
        <w:rPr>
          <w:rFonts w:ascii="宋体" w:hAnsi="宋体" w:cs="宋体"/>
        </w:rPr>
      </w:pPr>
      <w:r>
        <w:rPr>
          <w:rFonts w:hint="eastAsia" w:ascii="宋体" w:hAnsi="宋体" w:cs="宋体"/>
        </w:rPr>
        <w:t>27.5其他无法保证电子交易的公平、公正和安全的情况。</w:t>
      </w:r>
    </w:p>
    <w:p>
      <w:pPr>
        <w:pStyle w:val="129"/>
        <w:snapToGrid w:val="0"/>
        <w:spacing w:before="0"/>
        <w:ind w:firstLine="0" w:firstLineChars="0"/>
        <w:rPr>
          <w:rFonts w:ascii="宋体" w:hAnsi="宋体" w:cs="宋体"/>
        </w:rPr>
      </w:pPr>
      <w:r>
        <w:rPr>
          <w:rFonts w:hint="eastAsia" w:ascii="宋体" w:hAnsi="宋体" w:cs="宋体"/>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26"/>
        <w:spacing w:line="360" w:lineRule="auto"/>
        <w:ind w:firstLine="0" w:firstLineChars="0"/>
        <w:rPr>
          <w:rFonts w:cs="宋体"/>
          <w:b/>
        </w:rPr>
      </w:pPr>
      <w:r>
        <w:rPr>
          <w:rFonts w:hint="eastAsia" w:cs="宋体"/>
          <w:b/>
        </w:rPr>
        <w:t>29.验收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sz w:val="18"/>
          <w:szCs w:val="18"/>
        </w:rPr>
      </w:pPr>
      <w:r>
        <w:rPr>
          <w:rFonts w:hint="eastAsia" w:ascii="宋体" w:hAnsi="宋体" w:cs="宋体"/>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9"/>
    <w:p>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bookmarkStart w:id="20" w:name="_Hlt74730295"/>
      <w:bookmarkEnd w:id="20"/>
      <w:bookmarkStart w:id="21" w:name="_Hlt68057669"/>
      <w:bookmarkEnd w:id="21"/>
      <w:bookmarkStart w:id="22" w:name="_Hlt74729768"/>
      <w:bookmarkEnd w:id="22"/>
      <w:bookmarkStart w:id="23" w:name="_Hlt68072998"/>
      <w:bookmarkEnd w:id="23"/>
      <w:bookmarkStart w:id="24" w:name="_Hlt75236101"/>
      <w:bookmarkEnd w:id="24"/>
      <w:bookmarkStart w:id="25" w:name="_Hlt74707468"/>
      <w:bookmarkEnd w:id="25"/>
      <w:bookmarkStart w:id="26" w:name="_Hlt75236011"/>
      <w:bookmarkEnd w:id="26"/>
      <w:bookmarkStart w:id="27" w:name="_Hlt75236290"/>
      <w:bookmarkEnd w:id="27"/>
      <w:bookmarkStart w:id="28" w:name="_Hlt68073093"/>
      <w:bookmarkEnd w:id="28"/>
      <w:bookmarkStart w:id="29" w:name="_Hlt74714665"/>
      <w:bookmarkEnd w:id="29"/>
      <w:bookmarkStart w:id="30" w:name="_Hlt68072990"/>
      <w:bookmarkEnd w:id="30"/>
      <w:bookmarkStart w:id="31" w:name="_Hlt68403820"/>
      <w:bookmarkEnd w:id="31"/>
    </w:p>
    <w:bookmarkEnd w:id="13"/>
    <w:bookmarkEnd w:id="14"/>
    <w:p>
      <w:pPr>
        <w:spacing w:line="360" w:lineRule="auto"/>
        <w:jc w:val="center"/>
        <w:outlineLvl w:val="0"/>
        <w:rPr>
          <w:rFonts w:ascii="宋体" w:hAnsi="宋体" w:cs="宋体"/>
          <w:b/>
          <w:sz w:val="36"/>
          <w:szCs w:val="36"/>
        </w:rPr>
      </w:pPr>
      <w:bookmarkStart w:id="32" w:name="第四部分"/>
      <w:r>
        <w:rPr>
          <w:rFonts w:hint="eastAsia" w:ascii="宋体" w:hAnsi="宋体" w:cs="宋体"/>
          <w:b/>
          <w:sz w:val="36"/>
          <w:szCs w:val="36"/>
        </w:rPr>
        <w:t>第三部分   采购需求</w:t>
      </w:r>
    </w:p>
    <w:p>
      <w:pPr>
        <w:snapToGrid w:val="0"/>
        <w:spacing w:line="360" w:lineRule="auto"/>
        <w:jc w:val="left"/>
        <w:rPr>
          <w:rFonts w:hint="eastAsia" w:ascii="宋体" w:hAnsi="宋体" w:cs="宋体"/>
          <w:b/>
          <w:sz w:val="36"/>
          <w:szCs w:val="36"/>
          <w:highlight w:val="none"/>
          <w:lang w:val="en-US" w:eastAsia="zh-CN"/>
        </w:rPr>
      </w:pPr>
      <w:r>
        <w:rPr>
          <w:rFonts w:hint="eastAsia" w:ascii="宋体" w:hAnsi="宋体" w:cs="宋体"/>
          <w:b/>
          <w:sz w:val="36"/>
          <w:szCs w:val="36"/>
          <w:highlight w:val="none"/>
          <w:lang w:val="en-US" w:eastAsia="zh-CN"/>
        </w:rPr>
        <w:t xml:space="preserve"> </w:t>
      </w:r>
      <w:r>
        <w:rPr>
          <w:rFonts w:hint="eastAsia" w:ascii="宋体" w:hAnsi="宋体" w:cs="宋体"/>
          <w:b/>
          <w:sz w:val="32"/>
          <w:szCs w:val="32"/>
          <w:highlight w:val="none"/>
          <w:lang w:val="en-US" w:eastAsia="zh-CN"/>
        </w:rPr>
        <w:t>一、采购清单</w:t>
      </w:r>
      <w:r>
        <w:rPr>
          <w:rFonts w:hint="eastAsia" w:ascii="宋体" w:hAnsi="宋体" w:cs="宋体"/>
          <w:b/>
          <w:sz w:val="36"/>
          <w:szCs w:val="36"/>
          <w:highlight w:val="none"/>
          <w:lang w:val="en-US" w:eastAsia="zh-CN"/>
        </w:rPr>
        <w:t xml:space="preserve"> </w:t>
      </w:r>
    </w:p>
    <w:tbl>
      <w:tblPr>
        <w:tblStyle w:val="64"/>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5716"/>
        <w:gridCol w:w="636"/>
        <w:gridCol w:w="660"/>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620" w:type="dxa"/>
            <w:vAlign w:val="center"/>
          </w:tcPr>
          <w:p>
            <w:pPr>
              <w:keepNext w:val="0"/>
              <w:keepLines w:val="0"/>
              <w:widowControl/>
              <w:suppressLineNumbers w:val="0"/>
              <w:jc w:val="center"/>
              <w:textAlignment w:val="center"/>
              <w:rPr>
                <w:rFonts w:hint="eastAsia" w:ascii="宋体" w:hAnsi="宋体" w:cs="宋体"/>
                <w:b/>
                <w:sz w:val="28"/>
                <w:szCs w:val="28"/>
                <w:highlight w:val="none"/>
                <w:vertAlign w:val="baseline"/>
                <w:lang w:val="en-US" w:eastAsia="zh-CN"/>
              </w:rPr>
            </w:pPr>
            <w:r>
              <w:rPr>
                <w:rFonts w:hint="eastAsia" w:ascii="宋体" w:hAnsi="宋体" w:eastAsia="宋体" w:cs="宋体"/>
                <w:i w:val="0"/>
                <w:iCs w:val="0"/>
                <w:color w:val="000000"/>
                <w:kern w:val="0"/>
                <w:sz w:val="28"/>
                <w:szCs w:val="28"/>
                <w:u w:val="none"/>
                <w:lang w:val="en-US" w:eastAsia="zh-CN" w:bidi="ar"/>
              </w:rPr>
              <w:t>序号</w:t>
            </w:r>
          </w:p>
        </w:tc>
        <w:tc>
          <w:tcPr>
            <w:tcW w:w="5716" w:type="dxa"/>
            <w:vAlign w:val="center"/>
          </w:tcPr>
          <w:p>
            <w:pPr>
              <w:keepNext w:val="0"/>
              <w:keepLines w:val="0"/>
              <w:widowControl/>
              <w:suppressLineNumbers w:val="0"/>
              <w:jc w:val="center"/>
              <w:textAlignment w:val="center"/>
              <w:rPr>
                <w:rFonts w:hint="eastAsia" w:ascii="宋体" w:hAnsi="宋体" w:cs="宋体"/>
                <w:b/>
                <w:sz w:val="28"/>
                <w:szCs w:val="28"/>
                <w:highlight w:val="none"/>
                <w:vertAlign w:val="baseline"/>
                <w:lang w:val="en-US" w:eastAsia="zh-CN"/>
              </w:rPr>
            </w:pPr>
            <w:r>
              <w:rPr>
                <w:rFonts w:hint="eastAsia" w:ascii="宋体" w:hAnsi="宋体" w:cs="宋体"/>
                <w:b w:val="0"/>
                <w:color w:val="000000"/>
                <w:kern w:val="0"/>
                <w:sz w:val="28"/>
                <w:szCs w:val="28"/>
                <w:highlight w:val="none"/>
                <w:u w:val="none"/>
                <w:vertAlign w:val="baseline"/>
                <w:lang w:val="en-US" w:eastAsia="zh-CN" w:bidi="ar"/>
              </w:rPr>
              <w:t>设备名称及技术参数</w:t>
            </w:r>
          </w:p>
        </w:tc>
        <w:tc>
          <w:tcPr>
            <w:tcW w:w="636" w:type="dxa"/>
            <w:vAlign w:val="center"/>
          </w:tcPr>
          <w:p>
            <w:pPr>
              <w:keepNext w:val="0"/>
              <w:keepLines w:val="0"/>
              <w:widowControl/>
              <w:suppressLineNumbers w:val="0"/>
              <w:jc w:val="center"/>
              <w:textAlignment w:val="center"/>
              <w:rPr>
                <w:rFonts w:hint="eastAsia" w:ascii="宋体" w:hAnsi="宋体" w:cs="宋体"/>
                <w:b/>
                <w:sz w:val="28"/>
                <w:szCs w:val="28"/>
                <w:highlight w:val="none"/>
                <w:vertAlign w:val="baseline"/>
                <w:lang w:val="en-US" w:eastAsia="zh-CN"/>
              </w:rPr>
            </w:pPr>
            <w:r>
              <w:rPr>
                <w:rFonts w:hint="eastAsia" w:ascii="宋体" w:hAnsi="宋体" w:eastAsia="宋体" w:cs="宋体"/>
                <w:i w:val="0"/>
                <w:iCs w:val="0"/>
                <w:color w:val="000000"/>
                <w:kern w:val="0"/>
                <w:sz w:val="28"/>
                <w:szCs w:val="28"/>
                <w:u w:val="none"/>
                <w:lang w:val="en-US" w:eastAsia="zh-CN" w:bidi="ar"/>
              </w:rPr>
              <w:t>单位</w:t>
            </w:r>
          </w:p>
        </w:tc>
        <w:tc>
          <w:tcPr>
            <w:tcW w:w="660" w:type="dxa"/>
            <w:vAlign w:val="center"/>
          </w:tcPr>
          <w:p>
            <w:pPr>
              <w:keepNext w:val="0"/>
              <w:keepLines w:val="0"/>
              <w:widowControl/>
              <w:suppressLineNumbers w:val="0"/>
              <w:jc w:val="center"/>
              <w:textAlignment w:val="center"/>
              <w:rPr>
                <w:rFonts w:hint="eastAsia" w:ascii="宋体" w:hAnsi="宋体" w:cs="宋体"/>
                <w:b/>
                <w:sz w:val="28"/>
                <w:szCs w:val="28"/>
                <w:highlight w:val="none"/>
                <w:vertAlign w:val="baseline"/>
                <w:lang w:val="en-US" w:eastAsia="zh-CN"/>
              </w:rPr>
            </w:pPr>
            <w:r>
              <w:rPr>
                <w:rFonts w:hint="eastAsia" w:ascii="宋体" w:hAnsi="宋体" w:eastAsia="宋体" w:cs="宋体"/>
                <w:i w:val="0"/>
                <w:iCs w:val="0"/>
                <w:color w:val="000000"/>
                <w:kern w:val="0"/>
                <w:sz w:val="28"/>
                <w:szCs w:val="28"/>
                <w:u w:val="none"/>
                <w:lang w:val="en-US" w:eastAsia="zh-CN" w:bidi="ar"/>
              </w:rPr>
              <w:t>数量</w:t>
            </w:r>
          </w:p>
        </w:tc>
        <w:tc>
          <w:tcPr>
            <w:tcW w:w="198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验货区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620" w:type="dxa"/>
            <w:vAlign w:val="center"/>
          </w:tcPr>
          <w:p>
            <w:pPr>
              <w:keepNext w:val="0"/>
              <w:keepLines w:val="0"/>
              <w:widowControl/>
              <w:suppressLineNumbers w:val="0"/>
              <w:jc w:val="center"/>
              <w:textAlignment w:val="center"/>
              <w:rPr>
                <w:rFonts w:hint="default"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电子秤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不锈钢秤盘，高清液晶大屏，省电待机；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高精准称重计数，轻触大按键，两种蓄电模式；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(规格)：300kg</w:t>
            </w:r>
          </w:p>
        </w:tc>
        <w:tc>
          <w:tcPr>
            <w:tcW w:w="636" w:type="dxa"/>
            <w:vAlign w:val="center"/>
          </w:tcPr>
          <w:p>
            <w:pPr>
              <w:keepNext w:val="0"/>
              <w:keepLines w:val="0"/>
              <w:widowControl/>
              <w:suppressLineNumbers w:val="0"/>
              <w:jc w:val="center"/>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rPr>
                <w:rFonts w:hint="eastAsia" w:ascii="宋体" w:hAnsi="宋体" w:cs="宋体"/>
                <w:b/>
                <w:sz w:val="36"/>
                <w:szCs w:val="36"/>
                <w:highlight w:val="none"/>
                <w:vertAlign w:val="baseline"/>
                <w:lang w:val="en-US" w:eastAsia="zh-CN"/>
              </w:rPr>
            </w:pPr>
            <w:r>
              <w:drawing>
                <wp:anchor distT="0" distB="0" distL="114300" distR="114300" simplePos="0" relativeHeight="251661312" behindDoc="0" locked="0" layoutInCell="1" allowOverlap="1">
                  <wp:simplePos x="0" y="0"/>
                  <wp:positionH relativeFrom="column">
                    <wp:posOffset>176530</wp:posOffset>
                  </wp:positionH>
                  <wp:positionV relativeFrom="paragraph">
                    <wp:posOffset>33020</wp:posOffset>
                  </wp:positionV>
                  <wp:extent cx="691515" cy="928370"/>
                  <wp:effectExtent l="0" t="0" r="13335" b="5080"/>
                  <wp:wrapNone/>
                  <wp:docPr id="13"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9"/>
                          <pic:cNvPicPr>
                            <a:picLocks noChangeAspect="1"/>
                          </pic:cNvPicPr>
                        </pic:nvPicPr>
                        <pic:blipFill>
                          <a:blip r:embed="rId25"/>
                          <a:srcRect l="24277" r="29582"/>
                          <a:stretch>
                            <a:fillRect/>
                          </a:stretch>
                        </pic:blipFill>
                        <pic:spPr>
                          <a:xfrm>
                            <a:off x="0" y="0"/>
                            <a:ext cx="691515" cy="92837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620" w:type="dxa"/>
            <w:vAlign w:val="center"/>
          </w:tcPr>
          <w:p>
            <w:pPr>
              <w:keepNext w:val="0"/>
              <w:keepLines w:val="0"/>
              <w:widowControl/>
              <w:suppressLineNumbers w:val="0"/>
              <w:jc w:val="center"/>
              <w:textAlignment w:val="center"/>
              <w:rPr>
                <w:rFonts w:hint="default"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双层工作台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(技术参数)：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--选用SUS304-2B优质不锈钢板制作；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--台面δ=1.2mm，实厚δ≥1.08mm，层板δ=1.0mm，实厚δ≥0.88mm；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--圆通脚采用φ38*1.0mm不锈钢加厚圆管制作，实厚δ≥0.88mm；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--下衬12mm密度板减噪，配不锈钢加强筋、板δ=1.0mm，实厚δ≥0.88mm；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--层板型，配置重力不锈钢可调节子弹脚；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(规格)：1200*600*800mm                                                                                                                </w:t>
            </w:r>
          </w:p>
        </w:tc>
        <w:tc>
          <w:tcPr>
            <w:tcW w:w="636" w:type="dxa"/>
            <w:vAlign w:val="center"/>
          </w:tcPr>
          <w:p>
            <w:pPr>
              <w:keepNext w:val="0"/>
              <w:keepLines w:val="0"/>
              <w:widowControl/>
              <w:suppressLineNumbers w:val="0"/>
              <w:jc w:val="center"/>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rPr>
                <w:rFonts w:hint="eastAsia" w:ascii="宋体" w:hAnsi="宋体" w:cs="宋体"/>
                <w:b/>
                <w:sz w:val="36"/>
                <w:szCs w:val="36"/>
                <w:highlight w:val="none"/>
                <w:vertAlign w:val="baseline"/>
                <w:lang w:val="en-US" w:eastAsia="zh-CN"/>
              </w:rPr>
            </w:pPr>
            <w:r>
              <w:drawing>
                <wp:anchor distT="0" distB="0" distL="114300" distR="114300" simplePos="0" relativeHeight="251662336" behindDoc="0" locked="0" layoutInCell="1" allowOverlap="1">
                  <wp:simplePos x="0" y="0"/>
                  <wp:positionH relativeFrom="column">
                    <wp:posOffset>84455</wp:posOffset>
                  </wp:positionH>
                  <wp:positionV relativeFrom="paragraph">
                    <wp:posOffset>836295</wp:posOffset>
                  </wp:positionV>
                  <wp:extent cx="926465" cy="650240"/>
                  <wp:effectExtent l="0" t="0" r="6985" b="16510"/>
                  <wp:wrapNone/>
                  <wp:docPr id="43" name="Picture 11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16" descr="双层工作台"/>
                          <pic:cNvPicPr>
                            <a:picLocks noChangeAspect="1"/>
                          </pic:cNvPicPr>
                        </pic:nvPicPr>
                        <pic:blipFill>
                          <a:blip r:embed="rId26"/>
                          <a:srcRect l="2597" r="3896"/>
                          <a:stretch>
                            <a:fillRect/>
                          </a:stretch>
                        </pic:blipFill>
                        <pic:spPr>
                          <a:xfrm>
                            <a:off x="0" y="0"/>
                            <a:ext cx="926465" cy="65024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工具间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620" w:type="dxa"/>
            <w:vAlign w:val="center"/>
          </w:tcPr>
          <w:p>
            <w:pPr>
              <w:keepNext w:val="0"/>
              <w:keepLines w:val="0"/>
              <w:widowControl/>
              <w:suppressLineNumbers w:val="0"/>
              <w:jc w:val="center"/>
              <w:textAlignment w:val="center"/>
              <w:rPr>
                <w:rFonts w:hint="default"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拖把水池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(技术参数)：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--选用SUS304-2B优质不锈钢制作；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--台面及水斗δ=1.2mm，实厚δ≥1.08mm；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--圆通腿为φ38*1.0mm加厚不锈钢圆管，实厚δ≥0.88mm；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--下橫通为φ25*1.0mm加厚不锈钢圆管，实厚δ≥0.88mm；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(规格)：1200*600*(600+150)</w:t>
            </w:r>
          </w:p>
        </w:tc>
        <w:tc>
          <w:tcPr>
            <w:tcW w:w="636" w:type="dxa"/>
            <w:vAlign w:val="center"/>
          </w:tcPr>
          <w:p>
            <w:pPr>
              <w:keepNext w:val="0"/>
              <w:keepLines w:val="0"/>
              <w:widowControl/>
              <w:suppressLineNumbers w:val="0"/>
              <w:jc w:val="center"/>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rPr>
                <w:rFonts w:hint="eastAsia" w:ascii="宋体" w:hAnsi="宋体" w:cs="宋体"/>
                <w:b/>
                <w:sz w:val="36"/>
                <w:szCs w:val="36"/>
                <w:highlight w:val="none"/>
                <w:vertAlign w:val="baseline"/>
                <w:lang w:val="en-US" w:eastAsia="zh-CN"/>
              </w:rPr>
            </w:pPr>
            <w:r>
              <w:drawing>
                <wp:anchor distT="0" distB="0" distL="114300" distR="114300" simplePos="0" relativeHeight="251664384" behindDoc="0" locked="0" layoutInCell="1" allowOverlap="1">
                  <wp:simplePos x="0" y="0"/>
                  <wp:positionH relativeFrom="column">
                    <wp:posOffset>26670</wp:posOffset>
                  </wp:positionH>
                  <wp:positionV relativeFrom="paragraph">
                    <wp:posOffset>773430</wp:posOffset>
                  </wp:positionV>
                  <wp:extent cx="1007110" cy="981075"/>
                  <wp:effectExtent l="0" t="0" r="2540" b="9525"/>
                  <wp:wrapNone/>
                  <wp:docPr id="42" name="图片 41" descr="5b8877870a426e83891b8ab3f42b9a18_O1CN01YDDOfb1XvdK0WOW9T_!!0-item_pic.jpg_300x30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5b8877870a426e83891b8ab3f42b9a18_O1CN01YDDOfb1XvdK0WOW9T_!!0-item_pic.jpg_300x300q90"/>
                          <pic:cNvPicPr>
                            <a:picLocks noChangeAspect="1"/>
                          </pic:cNvPicPr>
                        </pic:nvPicPr>
                        <pic:blipFill>
                          <a:blip r:embed="rId27"/>
                          <a:srcRect l="8348" t="11015"/>
                          <a:stretch>
                            <a:fillRect/>
                          </a:stretch>
                        </pic:blipFill>
                        <pic:spPr>
                          <a:xfrm>
                            <a:off x="0" y="0"/>
                            <a:ext cx="1007110" cy="9810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default"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单星水池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(技术参数)：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--选用SUS304-2B优质不锈钢板制作；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--台面及水斗δ=1.2mm，实厚δ≥1.08mm；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--圆通腿为φ38*1.0mm加厚不锈钢圆管，实厚δ≥0.88mm；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--下橫通为φ25*1.0mm加厚不锈钢圆管，实厚δ≥0.88mm；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(规格)：500*500*（800+150）mm。                                              </w:t>
            </w:r>
          </w:p>
        </w:tc>
        <w:tc>
          <w:tcPr>
            <w:tcW w:w="636" w:type="dxa"/>
            <w:vAlign w:val="center"/>
          </w:tcPr>
          <w:p>
            <w:pPr>
              <w:keepNext w:val="0"/>
              <w:keepLines w:val="0"/>
              <w:widowControl/>
              <w:suppressLineNumbers w:val="0"/>
              <w:jc w:val="center"/>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cs="宋体"/>
                <w:b/>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rPr>
                <w:rFonts w:hint="eastAsia" w:ascii="宋体" w:hAnsi="宋体" w:cs="宋体"/>
                <w:b/>
                <w:sz w:val="36"/>
                <w:szCs w:val="36"/>
                <w:highlight w:val="none"/>
                <w:vertAlign w:val="baseline"/>
                <w:lang w:val="en-US" w:eastAsia="zh-CN"/>
              </w:rPr>
            </w:pPr>
            <w:r>
              <w:drawing>
                <wp:anchor distT="0" distB="0" distL="114300" distR="114300" simplePos="0" relativeHeight="251663360" behindDoc="0" locked="0" layoutInCell="1" allowOverlap="1">
                  <wp:simplePos x="0" y="0"/>
                  <wp:positionH relativeFrom="column">
                    <wp:posOffset>52070</wp:posOffset>
                  </wp:positionH>
                  <wp:positionV relativeFrom="paragraph">
                    <wp:posOffset>41910</wp:posOffset>
                  </wp:positionV>
                  <wp:extent cx="985520" cy="881380"/>
                  <wp:effectExtent l="0" t="0" r="5080" b="13970"/>
                  <wp:wrapNone/>
                  <wp:docPr id="15" name="Picture 524" descr="x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24" descr="xs_3"/>
                          <pic:cNvPicPr>
                            <a:picLocks noChangeAspect="1"/>
                          </pic:cNvPicPr>
                        </pic:nvPicPr>
                        <pic:blipFill>
                          <a:blip r:embed="rId28"/>
                          <a:stretch>
                            <a:fillRect/>
                          </a:stretch>
                        </pic:blipFill>
                        <pic:spPr>
                          <a:xfrm>
                            <a:off x="0" y="0"/>
                            <a:ext cx="985520" cy="88138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双温水龙头</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(技术参数)：外壳不锈钢材质，铜阀铜芯，双脚设计，两孔之间距离为：135mm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inline distT="0" distB="0" distL="114300" distR="114300">
                  <wp:extent cx="798830" cy="1200785"/>
                  <wp:effectExtent l="0" t="0" r="1270" b="18415"/>
                  <wp:docPr id="25" name="图片 24" descr="58584170c181890a6622d45ea783ded0_10431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58584170c181890a6622d45ea783ded0_104312597"/>
                          <pic:cNvPicPr>
                            <a:picLocks noChangeAspect="1"/>
                          </pic:cNvPicPr>
                        </pic:nvPicPr>
                        <pic:blipFill>
                          <a:blip r:embed="rId29"/>
                          <a:stretch>
                            <a:fillRect/>
                          </a:stretch>
                        </pic:blipFill>
                        <pic:spPr>
                          <a:xfrm>
                            <a:off x="0" y="0"/>
                            <a:ext cx="798830" cy="1200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单冷水龙头</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(技术参数)：外壳不锈钢材质，铜阀铜芯，双脚设计，两孔之间距离为：135mm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inline distT="0" distB="0" distL="114300" distR="114300">
                  <wp:extent cx="930910" cy="931545"/>
                  <wp:effectExtent l="0" t="0" r="2540" b="1905"/>
                  <wp:docPr id="19" name="图片 18" descr="c600fcf0d7a17403c3ee572f19e02d39_t0123a4a4f07925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c600fcf0d7a17403c3ee572f19e02d39_t0123a4a4f079259592"/>
                          <pic:cNvPicPr>
                            <a:picLocks noChangeAspect="1"/>
                          </pic:cNvPicPr>
                        </pic:nvPicPr>
                        <pic:blipFill>
                          <a:blip r:embed="rId30"/>
                          <a:stretch>
                            <a:fillRect/>
                          </a:stretch>
                        </pic:blipFill>
                        <pic:spPr>
                          <a:xfrm>
                            <a:off x="0" y="0"/>
                            <a:ext cx="930910" cy="931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618" w:type="dxa"/>
            <w:gridSpan w:val="5"/>
            <w:vAlign w:val="center"/>
          </w:tcPr>
          <w:p>
            <w:pPr>
              <w:snapToGrid w:val="0"/>
              <w:spacing w:line="360" w:lineRule="auto"/>
              <w:jc w:val="center"/>
            </w:pPr>
            <w:r>
              <w:rPr>
                <w:rFonts w:hint="eastAsia" w:ascii="宋体" w:hAnsi="宋体" w:eastAsia="宋体" w:cs="宋体"/>
                <w:i w:val="0"/>
                <w:iCs w:val="0"/>
                <w:color w:val="FF0000"/>
                <w:kern w:val="0"/>
                <w:sz w:val="36"/>
                <w:szCs w:val="36"/>
                <w:u w:val="none"/>
                <w:lang w:val="en-US" w:eastAsia="zh-CN" w:bidi="ar"/>
              </w:rPr>
              <w:t>更衣室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单星水池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(技术参数)：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--选用SUS304-2B优质不锈钢板制作；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--台面及水斗δ=1.2mm，实厚δ≥1.08mm；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--圆通腿为φ38*1.0mm加厚不锈钢圆管，实厚δ≥0.88mm；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--下橫通为φ25*1.0mm加厚不锈钢圆管，实厚δ≥0.88mm；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(规格)：500*500*（800+150）mm。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anchor distT="0" distB="0" distL="114300" distR="114300" simplePos="0" relativeHeight="251665408" behindDoc="0" locked="0" layoutInCell="1" allowOverlap="1">
                  <wp:simplePos x="0" y="0"/>
                  <wp:positionH relativeFrom="column">
                    <wp:posOffset>-41910</wp:posOffset>
                  </wp:positionH>
                  <wp:positionV relativeFrom="paragraph">
                    <wp:posOffset>805180</wp:posOffset>
                  </wp:positionV>
                  <wp:extent cx="1091565" cy="975995"/>
                  <wp:effectExtent l="0" t="0" r="13335" b="14605"/>
                  <wp:wrapNone/>
                  <wp:docPr id="29" name="Picture 524" descr="x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24" descr="xs_3"/>
                          <pic:cNvPicPr>
                            <a:picLocks noChangeAspect="1"/>
                          </pic:cNvPicPr>
                        </pic:nvPicPr>
                        <pic:blipFill>
                          <a:blip r:embed="rId28"/>
                          <a:stretch>
                            <a:fillRect/>
                          </a:stretch>
                        </pic:blipFill>
                        <pic:spPr>
                          <a:xfrm>
                            <a:off x="0" y="0"/>
                            <a:ext cx="1091565" cy="97599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双温水龙头</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(技术参数)：外壳不锈钢材质，铜阀铜芯，双脚设计，两孔之间距离为：135mm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inline distT="0" distB="0" distL="114300" distR="114300">
                  <wp:extent cx="798830" cy="1200785"/>
                  <wp:effectExtent l="0" t="0" r="1270" b="18415"/>
                  <wp:docPr id="32" name="图片 31" descr="58584170c181890a6622d45ea783ded0_10431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58584170c181890a6622d45ea783ded0_104312597"/>
                          <pic:cNvPicPr>
                            <a:picLocks noChangeAspect="1"/>
                          </pic:cNvPicPr>
                        </pic:nvPicPr>
                        <pic:blipFill>
                          <a:blip r:embed="rId29"/>
                          <a:stretch>
                            <a:fillRect/>
                          </a:stretch>
                        </pic:blipFill>
                        <pic:spPr>
                          <a:xfrm>
                            <a:off x="0" y="0"/>
                            <a:ext cx="798830" cy="1200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16" w:type="dxa"/>
            <w:vAlign w:val="bottom"/>
          </w:tcPr>
          <w:p>
            <w:pPr>
              <w:keepNext w:val="0"/>
              <w:keepLines w:val="0"/>
              <w:widowControl/>
              <w:suppressLineNumbers w:val="0"/>
              <w:jc w:val="left"/>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六格更衣柜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(技术参数)：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--采用优质SUS304-2B不锈钢板制作；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--门板、背板、侧板δ=1.0mm，实厚δ≥0.88mm；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--内置挂衣杆，每位配搁物层板，设有放鞋空格；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--共六门，独立开门带锁；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(规格)：1500*500*1800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anchor distT="0" distB="0" distL="114300" distR="114300" simplePos="0" relativeHeight="251666432" behindDoc="0" locked="0" layoutInCell="1" allowOverlap="1">
                  <wp:simplePos x="0" y="0"/>
                  <wp:positionH relativeFrom="column">
                    <wp:posOffset>-20320</wp:posOffset>
                  </wp:positionH>
                  <wp:positionV relativeFrom="paragraph">
                    <wp:posOffset>62865</wp:posOffset>
                  </wp:positionV>
                  <wp:extent cx="1035050" cy="1310005"/>
                  <wp:effectExtent l="0" t="0" r="12700" b="4445"/>
                  <wp:wrapNone/>
                  <wp:docPr id="30" name="图片 29" descr=")_D7RM%V[5SDFM2Q49}E0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_D7RM%V[5SDFM2Q49}E0DV"/>
                          <pic:cNvPicPr>
                            <a:picLocks noChangeAspect="1"/>
                          </pic:cNvPicPr>
                        </pic:nvPicPr>
                        <pic:blipFill>
                          <a:blip r:embed="rId31"/>
                          <a:stretch>
                            <a:fillRect/>
                          </a:stretch>
                        </pic:blipFill>
                        <pic:spPr>
                          <a:xfrm>
                            <a:off x="0" y="0"/>
                            <a:ext cx="1035050" cy="131000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粘捕式粘捕式灭蝇灯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(技术参数)：采用ABS阻燃材料，新型粘捕式，无声响、臭味、气体、虫尸不会散落在捕虫灯的外围；可捕杀蚊子、苍蝇、飞蛾等其它虫类，有效防蝇面积20-30㎡       </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(规格)：9W</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inline distT="0" distB="0" distL="114300" distR="114300">
                  <wp:extent cx="880745" cy="662940"/>
                  <wp:effectExtent l="0" t="0" r="14605" b="3810"/>
                  <wp:docPr id="14" name="图片 31" descr="{$PN`IE]KQ]@[0Z)AZ7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descr="{$PN`IE]KQ]@[0Z)AZ7CA[B"/>
                          <pic:cNvPicPr>
                            <a:picLocks noChangeAspect="1"/>
                          </pic:cNvPicPr>
                        </pic:nvPicPr>
                        <pic:blipFill>
                          <a:blip r:embed="rId32"/>
                          <a:stretch>
                            <a:fillRect/>
                          </a:stretch>
                        </pic:blipFill>
                        <pic:spPr>
                          <a:xfrm>
                            <a:off x="0" y="0"/>
                            <a:ext cx="880745" cy="6629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双层工作台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--台面δ=1.2mm，实厚δ≥1.08mm，层板δ=1.0mm，实厚δ≥0.88mm；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--下衬12mm密度板减噪，配不锈钢加强筋、板δ=1.0mm，实厚δ≥0.88mm；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--层板型，配置重力不锈钢可调节子弹脚；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(规格)：1350*750*800mm                                                                                                                须提供投标人自身具有的检测报告或证书需符合                                                                                                              ★GB/T10125-2012《人造气氛腐蚀试验 盐雾试验》经168小时乙酸盐雾试验后，表面耐腐蚀等级不小于10级、                                                                               GB/4806.9-2016《食品安全国家标准食品接触用金属材料及制品》、QB/T2139.3-1995《不锈钢厨房设备 操作台》、QB/T3832-1999《轻工产品金属镀层腐蚀试验结果的评价》的标准要求。                                                                                                                                                           ★GB4806.9-2016标准 食品接触产品安全认证证书，同时具备带CMA标识的检测报告。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86" w:type="dxa"/>
          </w:tcPr>
          <w:p>
            <w:pPr>
              <w:snapToGrid w:val="0"/>
              <w:spacing w:line="360" w:lineRule="auto"/>
              <w:jc w:val="left"/>
            </w:pPr>
            <w:r>
              <w:drawing>
                <wp:anchor distT="0" distB="0" distL="114300" distR="114300" simplePos="0" relativeHeight="251667456" behindDoc="0" locked="0" layoutInCell="1" allowOverlap="1">
                  <wp:simplePos x="0" y="0"/>
                  <wp:positionH relativeFrom="column">
                    <wp:posOffset>-31750</wp:posOffset>
                  </wp:positionH>
                  <wp:positionV relativeFrom="paragraph">
                    <wp:posOffset>1915795</wp:posOffset>
                  </wp:positionV>
                  <wp:extent cx="1132840" cy="958215"/>
                  <wp:effectExtent l="0" t="0" r="10160" b="13335"/>
                  <wp:wrapNone/>
                  <wp:docPr id="24" name="Picture 11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6" descr="双层工作台"/>
                          <pic:cNvPicPr>
                            <a:picLocks noChangeAspect="1"/>
                          </pic:cNvPicPr>
                        </pic:nvPicPr>
                        <pic:blipFill>
                          <a:blip r:embed="rId26"/>
                          <a:srcRect l="2597" r="3896"/>
                          <a:stretch>
                            <a:fillRect/>
                          </a:stretch>
                        </pic:blipFill>
                        <pic:spPr>
                          <a:xfrm>
                            <a:off x="0" y="0"/>
                            <a:ext cx="1132840" cy="95821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残菜回收台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--台面板δ=1.2mm，实厚δ≥1.08mm，下横通采用φ</w:t>
            </w:r>
            <w:r>
              <w:drawing>
                <wp:anchor distT="0" distB="0" distL="114300" distR="114300" simplePos="0" relativeHeight="251703296" behindDoc="0" locked="0" layoutInCell="1" allowOverlap="1">
                  <wp:simplePos x="0" y="0"/>
                  <wp:positionH relativeFrom="column">
                    <wp:posOffset>4500245</wp:posOffset>
                  </wp:positionH>
                  <wp:positionV relativeFrom="paragraph">
                    <wp:posOffset>32385</wp:posOffset>
                  </wp:positionV>
                  <wp:extent cx="938530" cy="1121410"/>
                  <wp:effectExtent l="0" t="0" r="13970" b="2540"/>
                  <wp:wrapNone/>
                  <wp:docPr id="163"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2"/>
                          <pic:cNvPicPr>
                            <a:picLocks noChangeAspect="1"/>
                          </pic:cNvPicPr>
                        </pic:nvPicPr>
                        <pic:blipFill>
                          <a:blip r:embed="rId33" r:link="rId34"/>
                          <a:srcRect r="17297" b="1376"/>
                          <a:stretch>
                            <a:fillRect/>
                          </a:stretch>
                        </pic:blipFill>
                        <pic:spPr>
                          <a:xfrm>
                            <a:off x="0" y="0"/>
                            <a:ext cx="938530" cy="1121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25*1.0mm圆管，实厚δ≥1.08mm；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--φ250残物回收孔，配不锈钢加强筋、δ=1.0mm，实厚δ≥0.88mm。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--配置重力不锈钢可调节子弹脚，车、桶、台配套；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(规格)：700*700*（800+150）mm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三星水池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--台面及水斗δ=1.2mm，实厚δ≥1.08mm，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--圆通腿为φ38*1.0mm加厚不锈钢圆管，实厚δ≥0.88mm；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--下橫通为φ25*1.0mm加厚不锈钢圆管，实厚δ≥0.88mm；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(规格)：1800*700*(800+150)mm                                                           投标人自身具有的检测报告或证书符合                                                                      ★GB/T10125-2012《人造气氛腐蚀试验盐雾试验》经168小时乙酸盐雾试验后，表面耐腐蚀等级不小于10级、                                            、GB/4806.9-2016《食品安全国家标准 食品接触用金属材料及制品》、QB/T2139.3-1995《不锈钢厨房设备 洗涮台(》、QB/T3832-1999《轻工产品金属镀层腐蚀试验结果的评价》的标准要求；                                                                ★GB4806.9-2016标准 食品接触产品安全认证证书，同时具备带CMA标识的检测报告。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p>
          <w:p>
            <w:pPr>
              <w:snapToGrid w:val="0"/>
              <w:spacing w:line="360" w:lineRule="auto"/>
              <w:jc w:val="left"/>
            </w:pPr>
          </w:p>
          <w:p>
            <w:pPr>
              <w:snapToGrid w:val="0"/>
              <w:spacing w:line="360" w:lineRule="auto"/>
              <w:jc w:val="left"/>
            </w:pPr>
          </w:p>
          <w:p>
            <w:pPr>
              <w:snapToGrid w:val="0"/>
              <w:spacing w:line="360" w:lineRule="auto"/>
              <w:jc w:val="left"/>
            </w:pPr>
          </w:p>
          <w:p>
            <w:pPr>
              <w:snapToGrid w:val="0"/>
              <w:spacing w:line="360" w:lineRule="auto"/>
              <w:jc w:val="left"/>
            </w:pPr>
          </w:p>
          <w:p>
            <w:pPr>
              <w:snapToGrid w:val="0"/>
              <w:spacing w:line="360" w:lineRule="auto"/>
              <w:jc w:val="left"/>
            </w:pPr>
          </w:p>
          <w:p>
            <w:pPr>
              <w:snapToGrid w:val="0"/>
              <w:spacing w:line="360" w:lineRule="auto"/>
              <w:jc w:val="left"/>
            </w:pPr>
          </w:p>
          <w:p>
            <w:pPr>
              <w:snapToGrid w:val="0"/>
              <w:spacing w:line="360" w:lineRule="auto"/>
              <w:jc w:val="left"/>
            </w:pPr>
          </w:p>
          <w:p>
            <w:pPr>
              <w:snapToGrid w:val="0"/>
              <w:spacing w:line="360" w:lineRule="auto"/>
              <w:jc w:val="left"/>
            </w:pPr>
            <w:r>
              <w:drawing>
                <wp:inline distT="0" distB="0" distL="114300" distR="114300">
                  <wp:extent cx="848360" cy="539750"/>
                  <wp:effectExtent l="0" t="0" r="8890" b="12700"/>
                  <wp:docPr id="23" name="Picture 319" descr="三星洗刷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19" descr="三星洗刷池"/>
                          <pic:cNvPicPr>
                            <a:picLocks noChangeAspect="1"/>
                          </pic:cNvPicPr>
                        </pic:nvPicPr>
                        <pic:blipFill>
                          <a:blip r:embed="rId35"/>
                          <a:stretch>
                            <a:fillRect/>
                          </a:stretch>
                        </pic:blipFill>
                        <pic:spPr>
                          <a:xfrm>
                            <a:off x="0" y="0"/>
                            <a:ext cx="848360" cy="539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双星水池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--台面及水斗δ=1.2mm，实厚δ≥1.08mm，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--圆通腿为φ38*1.0mm加厚不锈钢圆管，实厚δ≥0.88mm；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--下橫通为φ25*1.0mm加厚不锈钢圆管，实厚δ≥0.88mm；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(规格)：1800*700*(800+150)mm                                                           投标人自身具有的检测报告或证书符合                                                                      ★GB/T10125-2012《人造气氛腐蚀试验 盐雾试验》经168小时乙酸盐雾试验后，表面耐腐蚀等级不小于10级、                                            、GB/4806.9-2016《食品安全国家标准 食品接触用金属材料及制品》、QB/T2139.3-1995《不锈钢厨房设备 洗涮台(》、QB/T3832-1999《轻工产品金属镀层腐蚀试验结果的评价》的标准要求；                                                                ★GB4806.9-2016标准 食品接触产品安全认证证书，同时具备带CMA标识的检测报告。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p>
          <w:p>
            <w:pPr>
              <w:snapToGrid w:val="0"/>
              <w:spacing w:line="360" w:lineRule="auto"/>
              <w:jc w:val="left"/>
            </w:pPr>
          </w:p>
          <w:p>
            <w:pPr>
              <w:snapToGrid w:val="0"/>
              <w:spacing w:line="360" w:lineRule="auto"/>
              <w:jc w:val="left"/>
            </w:pPr>
          </w:p>
          <w:p>
            <w:pPr>
              <w:snapToGrid w:val="0"/>
              <w:spacing w:line="360" w:lineRule="auto"/>
              <w:jc w:val="left"/>
            </w:pPr>
          </w:p>
          <w:p>
            <w:pPr>
              <w:snapToGrid w:val="0"/>
              <w:spacing w:line="360" w:lineRule="auto"/>
              <w:jc w:val="left"/>
            </w:pPr>
            <w:r>
              <w:drawing>
                <wp:inline distT="0" distB="0" distL="114300" distR="114300">
                  <wp:extent cx="900430" cy="657225"/>
                  <wp:effectExtent l="0" t="0" r="13970" b="9525"/>
                  <wp:docPr id="16" name="图片 77" descr="G9~W983G4WTHE)V)TU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7" descr="G9~W983G4WTHE)V)TUD)6]C"/>
                          <pic:cNvPicPr>
                            <a:picLocks noChangeAspect="1"/>
                          </pic:cNvPicPr>
                        </pic:nvPicPr>
                        <pic:blipFill>
                          <a:blip r:embed="rId36"/>
                          <a:stretch>
                            <a:fillRect/>
                          </a:stretch>
                        </pic:blipFill>
                        <pic:spPr>
                          <a:xfrm>
                            <a:off x="0" y="0"/>
                            <a:ext cx="900430" cy="6572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双温水龙头</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(技术参数)：外壳不锈钢材质，铜阀铜芯，双脚设计，两孔之间距离为：135mm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986" w:type="dxa"/>
          </w:tcPr>
          <w:p>
            <w:pPr>
              <w:snapToGrid w:val="0"/>
              <w:spacing w:line="360" w:lineRule="auto"/>
              <w:jc w:val="left"/>
            </w:pPr>
            <w:r>
              <w:drawing>
                <wp:inline distT="0" distB="0" distL="114300" distR="114300">
                  <wp:extent cx="798830" cy="1200785"/>
                  <wp:effectExtent l="0" t="0" r="1270" b="18415"/>
                  <wp:docPr id="44" name="图片 43" descr="58584170c181890a6622d45ea783ded0_10431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58584170c181890a6622d45ea783ded0_104312597"/>
                          <pic:cNvPicPr>
                            <a:picLocks noChangeAspect="1"/>
                          </pic:cNvPicPr>
                        </pic:nvPicPr>
                        <pic:blipFill>
                          <a:blip r:embed="rId29"/>
                          <a:stretch>
                            <a:fillRect/>
                          </a:stretch>
                        </pic:blipFill>
                        <pic:spPr>
                          <a:xfrm>
                            <a:off x="0" y="0"/>
                            <a:ext cx="798830" cy="1200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四层格栅货架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--选用优质不锈钢管制作，立柱为φ38*1.0mm加厚圆管，实厚δ≥0.88mm；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--档为25*38*1.0mm加厚扁管，实厚δ≥0.88mm；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--格栅型，11根档，四层结构；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(规格)：1200*500*1800mm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68480" behindDoc="1" locked="0" layoutInCell="1" allowOverlap="1">
                  <wp:simplePos x="0" y="0"/>
                  <wp:positionH relativeFrom="column">
                    <wp:posOffset>137795</wp:posOffset>
                  </wp:positionH>
                  <wp:positionV relativeFrom="paragraph">
                    <wp:posOffset>327660</wp:posOffset>
                  </wp:positionV>
                  <wp:extent cx="709930" cy="1028065"/>
                  <wp:effectExtent l="0" t="0" r="13970" b="635"/>
                  <wp:wrapThrough wrapText="bothSides">
                    <wp:wrapPolygon>
                      <wp:start x="0" y="0"/>
                      <wp:lineTo x="0" y="21213"/>
                      <wp:lineTo x="20866" y="21213"/>
                      <wp:lineTo x="20866" y="0"/>
                      <wp:lineTo x="0" y="0"/>
                    </wp:wrapPolygon>
                  </wp:wrapThrough>
                  <wp:docPr id="2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1"/>
                          <pic:cNvPicPr>
                            <a:picLocks noChangeAspect="1"/>
                          </pic:cNvPicPr>
                        </pic:nvPicPr>
                        <pic:blipFill>
                          <a:blip r:embed="rId37"/>
                          <a:stretch>
                            <a:fillRect/>
                          </a:stretch>
                        </pic:blipFill>
                        <pic:spPr>
                          <a:xfrm>
                            <a:off x="0" y="0"/>
                            <a:ext cx="709930" cy="102806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洗地龙头</w:t>
            </w:r>
            <w:r>
              <w:rPr>
                <w:rFonts w:hint="eastAsia" w:ascii="宋体" w:hAnsi="宋体" w:eastAsia="宋体" w:cs="宋体"/>
                <w:b/>
                <w:bCs/>
                <w:i w:val="0"/>
                <w:iCs w:val="0"/>
                <w:color w:val="000000"/>
                <w:kern w:val="0"/>
                <w:sz w:val="22"/>
                <w:szCs w:val="22"/>
                <w:u w:val="none"/>
                <w:lang w:val="en-US" w:eastAsia="zh-CN" w:bidi="ar"/>
              </w:rPr>
              <w:br w:type="textWrapping"/>
            </w:r>
            <w:r>
              <w:rPr>
                <w:rStyle w:val="965"/>
                <w:rFonts w:ascii="宋体" w:hAnsi="宋体" w:cs="宋体"/>
                <w:sz w:val="24"/>
                <w:szCs w:val="24"/>
                <w:lang w:val="en-US" w:eastAsia="zh-CN" w:bidi="ar"/>
              </w:rPr>
              <w:t xml:space="preserve"> </w:t>
            </w:r>
            <w:r>
              <w:rPr>
                <w:rStyle w:val="965"/>
                <w:rFonts w:ascii="宋体" w:hAnsi="宋体" w:eastAsia="宋体" w:cs="宋体"/>
                <w:sz w:val="24"/>
                <w:szCs w:val="24"/>
                <w:lang w:val="en-US" w:eastAsia="zh-CN" w:bidi="ar"/>
              </w:rPr>
              <w:br w:type="textWrapping"/>
            </w:r>
            <w:r>
              <w:rPr>
                <w:rStyle w:val="965"/>
                <w:rFonts w:ascii="宋体" w:hAnsi="宋体" w:cs="宋体"/>
                <w:sz w:val="24"/>
                <w:szCs w:val="24"/>
                <w:lang w:val="en-US" w:eastAsia="zh-CN" w:bidi="ar"/>
              </w:rPr>
              <w:t xml:space="preserve"> </w:t>
            </w:r>
            <w:r>
              <w:rPr>
                <w:rStyle w:val="965"/>
                <w:rFonts w:ascii="宋体" w:hAnsi="宋体" w:eastAsia="宋体" w:cs="宋体"/>
                <w:sz w:val="24"/>
                <w:szCs w:val="24"/>
                <w:lang w:val="en-US" w:eastAsia="zh-CN" w:bidi="ar"/>
              </w:rPr>
              <w:t>(技术参数)：            --喉管自动回卷装置（棘轮系统，防锁死，棘轮保持放松）</w:t>
            </w:r>
            <w:r>
              <w:rPr>
                <w:rStyle w:val="965"/>
                <w:rFonts w:ascii="宋体" w:hAnsi="宋体" w:eastAsia="宋体" w:cs="宋体"/>
                <w:sz w:val="24"/>
                <w:szCs w:val="24"/>
                <w:lang w:val="en-US" w:eastAsia="zh-CN" w:bidi="ar"/>
              </w:rPr>
              <w:br w:type="textWrapping"/>
            </w:r>
            <w:r>
              <w:rPr>
                <w:rStyle w:val="965"/>
                <w:rFonts w:ascii="宋体" w:hAnsi="宋体" w:eastAsia="宋体" w:cs="宋体"/>
                <w:sz w:val="24"/>
                <w:szCs w:val="24"/>
                <w:lang w:val="en-US" w:eastAsia="zh-CN" w:bidi="ar"/>
              </w:rPr>
              <w:t>--配软管，喉管止动器，可调节；可安装于天花板、墙壁或台柜下。</w:t>
            </w:r>
            <w:r>
              <w:rPr>
                <w:rStyle w:val="965"/>
                <w:rFonts w:ascii="宋体" w:hAnsi="宋体" w:eastAsia="宋体" w:cs="宋体"/>
                <w:sz w:val="24"/>
                <w:szCs w:val="24"/>
                <w:lang w:val="en-US" w:eastAsia="zh-CN" w:bidi="ar"/>
              </w:rPr>
              <w:br w:type="textWrapping"/>
            </w:r>
            <w:r>
              <w:rPr>
                <w:rStyle w:val="965"/>
                <w:rFonts w:ascii="宋体" w:hAnsi="宋体" w:eastAsia="宋体" w:cs="宋体"/>
                <w:sz w:val="24"/>
                <w:szCs w:val="24"/>
                <w:lang w:val="en-US" w:eastAsia="zh-CN" w:bidi="ar"/>
              </w:rPr>
              <w:t>Specifications(规格)：10.7米</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anchor distT="0" distB="0" distL="114300" distR="114300" simplePos="0" relativeHeight="251669504" behindDoc="1" locked="0" layoutInCell="1" allowOverlap="1">
                  <wp:simplePos x="0" y="0"/>
                  <wp:positionH relativeFrom="column">
                    <wp:posOffset>-20955</wp:posOffset>
                  </wp:positionH>
                  <wp:positionV relativeFrom="paragraph">
                    <wp:posOffset>476250</wp:posOffset>
                  </wp:positionV>
                  <wp:extent cx="966470" cy="976630"/>
                  <wp:effectExtent l="0" t="0" r="0" b="0"/>
                  <wp:wrapThrough wrapText="bothSides">
                    <wp:wrapPolygon>
                      <wp:start x="6386" y="2949"/>
                      <wp:lineTo x="4683" y="5056"/>
                      <wp:lineTo x="2980" y="8848"/>
                      <wp:lineTo x="1277" y="11376"/>
                      <wp:lineTo x="426" y="14325"/>
                      <wp:lineTo x="1277" y="19381"/>
                      <wp:lineTo x="4683" y="19381"/>
                      <wp:lineTo x="4258" y="16432"/>
                      <wp:lineTo x="13624" y="16432"/>
                      <wp:lineTo x="20862" y="13482"/>
                      <wp:lineTo x="20862" y="8427"/>
                      <wp:lineTo x="15327" y="4213"/>
                      <wp:lineTo x="11921" y="2949"/>
                      <wp:lineTo x="6386" y="2949"/>
                    </wp:wrapPolygon>
                  </wp:wrapThrough>
                  <wp:docPr id="49" name="图片 562" descr="洗地龙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62" descr="洗地龙头"/>
                          <pic:cNvPicPr>
                            <a:picLocks noChangeAspect="1"/>
                          </pic:cNvPicPr>
                        </pic:nvPicPr>
                        <pic:blipFill>
                          <a:blip r:embed="rId38">
                            <a:clrChange>
                              <a:clrFrom>
                                <a:srgbClr val="FCFCFC"/>
                              </a:clrFrom>
                              <a:clrTo>
                                <a:srgbClr val="FCFCFC">
                                  <a:alpha val="0"/>
                                </a:srgbClr>
                              </a:clrTo>
                            </a:clrChange>
                          </a:blip>
                          <a:stretch>
                            <a:fillRect/>
                          </a:stretch>
                        </pic:blipFill>
                        <pic:spPr>
                          <a:xfrm>
                            <a:off x="0" y="0"/>
                            <a:ext cx="966470" cy="97663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开水器连底座</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         --说明:本机的进水口设在底部，再通过水流控制程序发出准确指令，在热水上升原理的作用下，原水被分层加热，分层烧开，确保水嘴 高度以上的水已烧开，实现水嘴出来的水都是开水。采用发泡保温结构，使本机保温节能率达30%以上。引入智能程序控制，智能化管理，使工作过程全自动，且准确可靠。 保温温度高，可精确控制在±1℃ 度范围，供水温度高。 采用高级不锈钢制造，涉水容器用食用级304不锈钢制造,功率：12KW/380V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(规格)：120L/h</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anchor distT="0" distB="0" distL="114300" distR="114300" simplePos="0" relativeHeight="251670528" behindDoc="1" locked="0" layoutInCell="1" allowOverlap="1">
                  <wp:simplePos x="0" y="0"/>
                  <wp:positionH relativeFrom="column">
                    <wp:posOffset>-47625</wp:posOffset>
                  </wp:positionH>
                  <wp:positionV relativeFrom="paragraph">
                    <wp:posOffset>349250</wp:posOffset>
                  </wp:positionV>
                  <wp:extent cx="1007110" cy="1157605"/>
                  <wp:effectExtent l="0" t="0" r="0" b="0"/>
                  <wp:wrapThrough wrapText="bothSides">
                    <wp:wrapPolygon>
                      <wp:start x="0" y="0"/>
                      <wp:lineTo x="0" y="21327"/>
                      <wp:lineTo x="21246" y="21327"/>
                      <wp:lineTo x="21246" y="0"/>
                      <wp:lineTo x="0" y="0"/>
                    </wp:wrapPolygon>
                  </wp:wrapThrough>
                  <wp:docPr id="2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0"/>
                          <pic:cNvPicPr>
                            <a:picLocks noChangeAspect="1"/>
                          </pic:cNvPicPr>
                        </pic:nvPicPr>
                        <pic:blipFill>
                          <a:blip r:embed="rId39"/>
                          <a:stretch>
                            <a:fillRect/>
                          </a:stretch>
                        </pic:blipFill>
                        <pic:spPr>
                          <a:xfrm>
                            <a:off x="0" y="0"/>
                            <a:ext cx="1007110" cy="115760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挂墙式开水器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规格：80L</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1</w:t>
            </w:r>
          </w:p>
        </w:tc>
        <w:tc>
          <w:tcPr>
            <w:tcW w:w="1986" w:type="dxa"/>
          </w:tcPr>
          <w:p>
            <w:pPr>
              <w:snapToGrid w:val="0"/>
              <w:spacing w:line="360" w:lineRule="auto"/>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snapToGrid w:val="0"/>
              <w:spacing w:line="360" w:lineRule="auto"/>
              <w:jc w:val="center"/>
            </w:pPr>
            <w:r>
              <w:rPr>
                <w:rFonts w:hint="eastAsia" w:ascii="宋体" w:hAnsi="宋体" w:cs="宋体"/>
                <w:color w:val="FF0000"/>
                <w:kern w:val="0"/>
                <w:sz w:val="36"/>
                <w:szCs w:val="36"/>
                <w:u w:val="none"/>
                <w:lang w:bidi="ar"/>
              </w:rPr>
              <w:t>主/副食库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四层平板货架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--层板δ=1.2mm，实厚δ≥0.88mm；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--立柱为φ38*1.0mm加厚管制，实厚δ≥0.88mm；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--层板型，四层结构，下衬不锈钢加强筋，实厚δ≥0.88mm；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(规格)：1200*500*1800mm投标人自身具有的检测报告或证书符合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★GB/3280-2015《不锈钢冷轧钢板和钢带》、GB/T10125-2012《人造气氛腐蚀试验 盐雾试验》经168小时乙酸盐雾试验后，表面耐腐蚀等级不小于10级、 GB/4806.9-2016《食品安全国家标准 食品接触用金属材料及制品》、QB/T2139.3-1995《不锈钢厨房设备 存放架》、QB/T3832-1999《轻工产品金属镀层腐蚀试验结果的评价》的标准要求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★GB4806.9-2016标准 食品接触产品安全认证证书，同时具备带CMA标识的检测报告。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Tahoma" w:hAnsi="Tahoma" w:eastAsia="Tahoma" w:cs="Tahoma"/>
                <w:i w:val="0"/>
                <w:iCs w:val="0"/>
                <w:color w:val="000000"/>
                <w:kern w:val="0"/>
                <w:sz w:val="22"/>
                <w:szCs w:val="22"/>
                <w:u w:val="none"/>
                <w:lang w:val="en-US" w:eastAsia="zh-CN" w:bidi="ar"/>
              </w:rPr>
              <w:t>2</w:t>
            </w:r>
          </w:p>
        </w:tc>
        <w:tc>
          <w:tcPr>
            <w:tcW w:w="1986" w:type="dxa"/>
          </w:tcPr>
          <w:p>
            <w:pPr>
              <w:snapToGrid w:val="0"/>
              <w:spacing w:line="360" w:lineRule="auto"/>
              <w:jc w:val="left"/>
            </w:pPr>
            <w:r>
              <w:drawing>
                <wp:anchor distT="0" distB="0" distL="114300" distR="114300" simplePos="0" relativeHeight="251671552" behindDoc="1" locked="0" layoutInCell="1" allowOverlap="1">
                  <wp:simplePos x="0" y="0"/>
                  <wp:positionH relativeFrom="column">
                    <wp:posOffset>-55245</wp:posOffset>
                  </wp:positionH>
                  <wp:positionV relativeFrom="paragraph">
                    <wp:posOffset>1598295</wp:posOffset>
                  </wp:positionV>
                  <wp:extent cx="1009650" cy="857885"/>
                  <wp:effectExtent l="0" t="0" r="0" b="18415"/>
                  <wp:wrapThrough wrapText="bothSides">
                    <wp:wrapPolygon>
                      <wp:start x="0" y="0"/>
                      <wp:lineTo x="0" y="21104"/>
                      <wp:lineTo x="21192" y="21104"/>
                      <wp:lineTo x="21192" y="0"/>
                      <wp:lineTo x="0" y="0"/>
                    </wp:wrapPolygon>
                  </wp:wrapThrough>
                  <wp:docPr id="27" name="图片 29" descr="平板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平板货架"/>
                          <pic:cNvPicPr>
                            <a:picLocks noChangeAspect="1"/>
                          </pic:cNvPicPr>
                        </pic:nvPicPr>
                        <pic:blipFill>
                          <a:blip r:embed="rId40"/>
                          <a:stretch>
                            <a:fillRect/>
                          </a:stretch>
                        </pic:blipFill>
                        <pic:spPr>
                          <a:xfrm>
                            <a:off x="0" y="0"/>
                            <a:ext cx="1009650" cy="8578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米面架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--选用优质38*38*1.0mm加厚不锈钢方管制作，管实厚δ≥0.88mm；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--格栅型，10根档，单层结构；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(规格)：1000*600*300mm                       ★提供投标人自身具有的符合GB4806.9-2016标准 食品接触产品安全认证证书，同时具备产品检测报告。                                                                                      ★提供投标人自身具有的符合GB4806.1-2016；GB4806.9-2016标准 食品接触产品卫生认证证书。</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Tahoma" w:hAnsi="Tahoma" w:eastAsia="Tahoma" w:cs="Tahoma"/>
                <w:i w:val="0"/>
                <w:iCs w:val="0"/>
                <w:color w:val="000000"/>
                <w:kern w:val="0"/>
                <w:sz w:val="22"/>
                <w:szCs w:val="22"/>
                <w:u w:val="none"/>
                <w:lang w:val="en-US" w:eastAsia="zh-CN" w:bidi="ar"/>
              </w:rPr>
              <w:t>2</w:t>
            </w:r>
          </w:p>
        </w:tc>
        <w:tc>
          <w:tcPr>
            <w:tcW w:w="1986" w:type="dxa"/>
          </w:tcPr>
          <w:p>
            <w:pPr>
              <w:snapToGrid w:val="0"/>
              <w:spacing w:line="360" w:lineRule="auto"/>
              <w:jc w:val="left"/>
            </w:pPr>
            <w:r>
              <w:drawing>
                <wp:inline distT="0" distB="0" distL="114300" distR="114300">
                  <wp:extent cx="865505" cy="673100"/>
                  <wp:effectExtent l="0" t="0" r="10795" b="12700"/>
                  <wp:docPr id="28" name="图片 31" descr="大米架白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descr="大米架白底图"/>
                          <pic:cNvPicPr>
                            <a:picLocks noChangeAspect="1"/>
                          </pic:cNvPicPr>
                        </pic:nvPicPr>
                        <pic:blipFill>
                          <a:blip r:embed="rId41"/>
                          <a:stretch>
                            <a:fillRect/>
                          </a:stretch>
                        </pic:blipFill>
                        <pic:spPr>
                          <a:xfrm>
                            <a:off x="0" y="0"/>
                            <a:ext cx="865505" cy="6731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切配间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粘捕式粘捕式灭蝇灯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(技术参数)：采用ABS阻燃材料，新型粘捕式，无声响、臭味、气体、虫尸不会散落在捕虫灯的外围；可捕杀蚊子、苍蝇、飞蛾等其它虫类，有效防蝇面积20-30㎡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(规格)：9W</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986" w:type="dxa"/>
          </w:tcPr>
          <w:p>
            <w:pPr>
              <w:snapToGrid w:val="0"/>
              <w:spacing w:line="360" w:lineRule="auto"/>
              <w:jc w:val="left"/>
            </w:pPr>
            <w:r>
              <w:drawing>
                <wp:inline distT="0" distB="0" distL="114300" distR="114300">
                  <wp:extent cx="880745" cy="662940"/>
                  <wp:effectExtent l="0" t="0" r="14605" b="3810"/>
                  <wp:docPr id="66" name="图片 31" descr="{$PN`IE]KQ]@[0Z)AZ7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descr="{$PN`IE]KQ]@[0Z)AZ7CA[B"/>
                          <pic:cNvPicPr>
                            <a:picLocks noChangeAspect="1"/>
                          </pic:cNvPicPr>
                        </pic:nvPicPr>
                        <pic:blipFill>
                          <a:blip r:embed="rId32"/>
                          <a:stretch>
                            <a:fillRect/>
                          </a:stretch>
                        </pic:blipFill>
                        <pic:spPr>
                          <a:xfrm>
                            <a:off x="0" y="0"/>
                            <a:ext cx="880745" cy="6629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智能四门冰箱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1、不锈钢门板，门内衬内箱底板一次性拉伸成型，圆角，方便清洁卫生，符合食品卫生安全标准。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2、容积：≥860L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3、制冷温度：上箱-5℃~+8℃；下箱：-5℃~-15℃4、输入功率：450W5、LED温度显示屏，机械温控器，柜内温度一目了然。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6、制冷方式：直冷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7、外壳采用优质不锈钢板制作，环戊烷聚氨酯发泡保温层。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(规格)：1220*700*1970mm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86" w:type="dxa"/>
          </w:tcPr>
          <w:p>
            <w:pPr>
              <w:snapToGrid w:val="0"/>
              <w:spacing w:line="360" w:lineRule="auto"/>
              <w:jc w:val="left"/>
            </w:pPr>
            <w:r>
              <w:drawing>
                <wp:anchor distT="0" distB="0" distL="114300" distR="114300" simplePos="0" relativeHeight="251681792" behindDoc="1" locked="0" layoutInCell="1" allowOverlap="1">
                  <wp:simplePos x="0" y="0"/>
                  <wp:positionH relativeFrom="column">
                    <wp:posOffset>-10795</wp:posOffset>
                  </wp:positionH>
                  <wp:positionV relativeFrom="paragraph">
                    <wp:posOffset>412750</wp:posOffset>
                  </wp:positionV>
                  <wp:extent cx="966470" cy="1360170"/>
                  <wp:effectExtent l="0" t="0" r="5080" b="11430"/>
                  <wp:wrapThrough wrapText="bothSides">
                    <wp:wrapPolygon>
                      <wp:start x="0" y="0"/>
                      <wp:lineTo x="0" y="21176"/>
                      <wp:lineTo x="21288" y="21176"/>
                      <wp:lineTo x="21288" y="0"/>
                      <wp:lineTo x="0" y="0"/>
                    </wp:wrapPolygon>
                  </wp:wrapThrough>
                  <wp:docPr id="70" name="图片 48" descr="K8WDH0@JA6}$2X1E0BP9V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descr="K8WDH0@JA6}$2X1E0BP9VJP"/>
                          <pic:cNvPicPr>
                            <a:picLocks noChangeAspect="1"/>
                          </pic:cNvPicPr>
                        </pic:nvPicPr>
                        <pic:blipFill>
                          <a:blip r:embed="rId42"/>
                          <a:stretch>
                            <a:fillRect/>
                          </a:stretch>
                        </pic:blipFill>
                        <pic:spPr>
                          <a:xfrm>
                            <a:off x="0" y="0"/>
                            <a:ext cx="966470" cy="136017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开水器连底座</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         --说明:本机的进水口设在底部，再通过水流控制程序发出准确指令，在热水上升原理的作用下，原水被分层加热，分层烧开，确保水嘴 高度以上的水已烧开，实现水嘴出来的水都是开水。采用发泡保温结构，使本机保温节能率达30%以上。引入智能程序控制，智能化管理，使工作过程全自动，且准确可靠。 保温温度高，可精确控制在±1℃ 度范围，供水温度高。 采用高级不锈钢制造，涉水容器用食用级304不锈钢制造,功率：12KW/380V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(规格)：120L/h</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anchor distT="0" distB="0" distL="114300" distR="114300" simplePos="0" relativeHeight="251680768" behindDoc="1" locked="0" layoutInCell="1" allowOverlap="1">
                  <wp:simplePos x="0" y="0"/>
                  <wp:positionH relativeFrom="column">
                    <wp:posOffset>63500</wp:posOffset>
                  </wp:positionH>
                  <wp:positionV relativeFrom="paragraph">
                    <wp:posOffset>878205</wp:posOffset>
                  </wp:positionV>
                  <wp:extent cx="786765" cy="904240"/>
                  <wp:effectExtent l="0" t="0" r="13335" b="10160"/>
                  <wp:wrapThrough wrapText="bothSides">
                    <wp:wrapPolygon>
                      <wp:start x="0" y="0"/>
                      <wp:lineTo x="0" y="20933"/>
                      <wp:lineTo x="20920" y="20933"/>
                      <wp:lineTo x="20920" y="0"/>
                      <wp:lineTo x="0" y="0"/>
                    </wp:wrapPolygon>
                  </wp:wrapThrough>
                  <wp:docPr id="14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0"/>
                          <pic:cNvPicPr>
                            <a:picLocks noChangeAspect="1"/>
                          </pic:cNvPicPr>
                        </pic:nvPicPr>
                        <pic:blipFill>
                          <a:blip r:embed="rId39"/>
                          <a:stretch>
                            <a:fillRect/>
                          </a:stretch>
                        </pic:blipFill>
                        <pic:spPr>
                          <a:xfrm>
                            <a:off x="0" y="0"/>
                            <a:ext cx="786765" cy="90424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碗碟柜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--采用优质SUS304-2B不锈钢板制作；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--台面为δ=1.2mm，实厚δ≥1.08mm；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--侧板δ=1.0mm，实厚δ≥0.88mm；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--门板δ=1.0mm，实厚δ≥0.88mm；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--底板、层板、背板δ=1.0mm，实厚δ≥0.88mm；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--单边上挂式尼龙静音滑轮移门，内置两层可调层板；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--配不锈钢加强筋δ=1.0mm，实厚δ≥0.88mm；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--配置Φ50*150*1.0mm重力不锈钢可调节子弹脚；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(规格)：1200*600*1800mm                                                                      投标人自身具有的检测报告或证书符合                                                              ★GB4806.9-2016标准 食品接触产品安全认证证书，同时具备带CMA标识的检测报告。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inline distT="0" distB="0" distL="114300" distR="114300">
                  <wp:extent cx="781050" cy="850900"/>
                  <wp:effectExtent l="0" t="0" r="0" b="6350"/>
                  <wp:docPr id="48" name="Picture 137" descr="四门储藏柜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37" descr="四门储藏柜 拷贝"/>
                          <pic:cNvPicPr>
                            <a:picLocks noChangeAspect="1"/>
                          </pic:cNvPicPr>
                        </pic:nvPicPr>
                        <pic:blipFill>
                          <a:blip r:embed="rId43"/>
                          <a:stretch>
                            <a:fillRect/>
                          </a:stretch>
                        </pic:blipFill>
                        <pic:spPr>
                          <a:xfrm>
                            <a:off x="0" y="0"/>
                            <a:ext cx="781050" cy="8509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智能双门热风循环消毒柜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                                                                                                                                       1.选用SUS304-2B优质不锈钢板制作；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3.外层板δ=0.8mm，实厚δ≥0.68mm；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4.内分四层，热风循环消毒；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5.设备特定中制系列安全保护系统及操作保护功能，预开放为一体智能专用数码显示微电脑控制系统；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6.标准时间数字显示，工作温度可调节设置；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7.恒温工作时间可自动关闭设置；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8.当前工作时间数字显示，当前温度数字显示；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9.预约式工作时段可调节设置；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10.面板控制规格：160*80mm；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11.固定螺丝不锈钢制；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12.功率：4KW/220V；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13.规格)：1200*700*1800mm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79744" behindDoc="1" locked="0" layoutInCell="1" allowOverlap="1">
                  <wp:simplePos x="0" y="0"/>
                  <wp:positionH relativeFrom="column">
                    <wp:posOffset>-36830</wp:posOffset>
                  </wp:positionH>
                  <wp:positionV relativeFrom="paragraph">
                    <wp:posOffset>941705</wp:posOffset>
                  </wp:positionV>
                  <wp:extent cx="1062990" cy="1067435"/>
                  <wp:effectExtent l="0" t="0" r="3810" b="18415"/>
                  <wp:wrapThrough wrapText="bothSides">
                    <wp:wrapPolygon>
                      <wp:start x="0" y="0"/>
                      <wp:lineTo x="0" y="21202"/>
                      <wp:lineTo x="21290" y="21202"/>
                      <wp:lineTo x="21290" y="0"/>
                      <wp:lineTo x="0" y="0"/>
                    </wp:wrapPolygon>
                  </wp:wrapThrough>
                  <wp:docPr id="146" name="图片 145" descr="37eb447a3aacdb354aca464cde8afac7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5" descr="37eb447a3aacdb354aca464cde8afac7_90"/>
                          <pic:cNvPicPr>
                            <a:picLocks noChangeAspect="1"/>
                          </pic:cNvPicPr>
                        </pic:nvPicPr>
                        <pic:blipFill>
                          <a:blip r:embed="rId44"/>
                          <a:stretch>
                            <a:fillRect/>
                          </a:stretch>
                        </pic:blipFill>
                        <pic:spPr>
                          <a:xfrm>
                            <a:off x="0" y="0"/>
                            <a:ext cx="1062990" cy="10674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双门平面冷柜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--内、外胆均采用优质不锈钢板制作，内胆板厚δ=0.8mm，外胆板厚δ=0.6mm；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--电子式温控数字显示，自动回归门；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--采用优质高压缩机组；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--聚胺脂一次发泡成型，R134a无氟环保制冷剂；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--全铜管冷凝器、蒸发器；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----单机单温，可选温度范围：冷冻温度：-15℃～-6℃或冷藏温度：-5℃～+10℃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(规格)：1800*800*800mm                                         ▲须提供制造商《中国电器节能产品安全认证证书》及其试验报告、均需加盖红色原章，扫描或黑色章无效</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78720" behindDoc="1" locked="0" layoutInCell="1" allowOverlap="1">
                  <wp:simplePos x="0" y="0"/>
                  <wp:positionH relativeFrom="column">
                    <wp:posOffset>31750</wp:posOffset>
                  </wp:positionH>
                  <wp:positionV relativeFrom="paragraph">
                    <wp:posOffset>1047750</wp:posOffset>
                  </wp:positionV>
                  <wp:extent cx="993775" cy="517525"/>
                  <wp:effectExtent l="0" t="0" r="15875" b="15875"/>
                  <wp:wrapThrough wrapText="bothSides">
                    <wp:wrapPolygon>
                      <wp:start x="0" y="0"/>
                      <wp:lineTo x="0" y="20672"/>
                      <wp:lineTo x="21117" y="20672"/>
                      <wp:lineTo x="21117" y="0"/>
                      <wp:lineTo x="0" y="0"/>
                    </wp:wrapPolygon>
                  </wp:wrapThrough>
                  <wp:docPr id="72" name="图片 53" descr="O{[~G6Z57Q`SV91EP]YC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3" descr="O{[~G6Z57Q`SV91EP]YCU}D"/>
                          <pic:cNvPicPr>
                            <a:picLocks noChangeAspect="1"/>
                          </pic:cNvPicPr>
                        </pic:nvPicPr>
                        <pic:blipFill>
                          <a:blip r:embed="rId45"/>
                          <a:stretch>
                            <a:fillRect/>
                          </a:stretch>
                        </pic:blipFill>
                        <pic:spPr>
                          <a:xfrm>
                            <a:off x="0" y="0"/>
                            <a:ext cx="993775" cy="51752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单星水池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--台面及水斗δ=1.2mm，实厚δ≥1.08mm；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--圆通腿为φ38*1.0mm加厚不锈钢圆管，实厚δ≥0.88mm；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--下橫通为φ25*1.0mm加厚不锈钢圆管，实厚δ≥0.88mm；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(Specifications(规格)：700*800*（800+150）mm。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77696" behindDoc="1" locked="0" layoutInCell="1" allowOverlap="1">
                  <wp:simplePos x="0" y="0"/>
                  <wp:positionH relativeFrom="column">
                    <wp:posOffset>52705</wp:posOffset>
                  </wp:positionH>
                  <wp:positionV relativeFrom="paragraph">
                    <wp:posOffset>783590</wp:posOffset>
                  </wp:positionV>
                  <wp:extent cx="833755" cy="744855"/>
                  <wp:effectExtent l="0" t="0" r="4445" b="17145"/>
                  <wp:wrapThrough wrapText="bothSides">
                    <wp:wrapPolygon>
                      <wp:start x="0" y="0"/>
                      <wp:lineTo x="0" y="20992"/>
                      <wp:lineTo x="21222" y="20992"/>
                      <wp:lineTo x="21222" y="0"/>
                      <wp:lineTo x="0" y="0"/>
                    </wp:wrapPolygon>
                  </wp:wrapThrough>
                  <wp:docPr id="58" name="Picture 524" descr="x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24" descr="xs_3"/>
                          <pic:cNvPicPr>
                            <a:picLocks noChangeAspect="1"/>
                          </pic:cNvPicPr>
                        </pic:nvPicPr>
                        <pic:blipFill>
                          <a:blip r:embed="rId28"/>
                          <a:stretch>
                            <a:fillRect/>
                          </a:stretch>
                        </pic:blipFill>
                        <pic:spPr>
                          <a:xfrm>
                            <a:off x="0" y="0"/>
                            <a:ext cx="833755" cy="7448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8</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单向移门调理台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--采用优质SUS304-2B不锈钢板制作；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--台面为δ=1.2mm，实厚δ≥1.08mm；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--侧板δ=1.0mm，实厚δ≥0.88mm；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--门板δ=1.0mm，实厚δ≥0.88mm；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--底板、层板、背板δ=1.0mm，实厚δ≥0.88mm；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--双边上挂式尼龙静音滑轮移门，内置一层可调层板，下衬12mm密度板减噪；--配不锈钢加强筋δ=1.0mm，实厚δ≥0.88mm；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--配置Φ50*150*1.0mm重力不锈钢可调节子弹脚；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(规格)：1500*800*800mm。                                                                须提供投标人自身具有的检测报告或证书符合                                                    ★GB/T10125-2012《人造气氛腐蚀试验 盐雾试验》经168小时乙酸盐雾试验后，表面耐腐蚀等级不小于10级、GB/4806.9-2016《食品安全国家标准 食品接触用金属材料及制品》的标准要求、QB/T2139.3-1995《不锈钢厨房设备 操作台》、QB/T3832-1999《轻工产品金属镀层腐蚀试验结果的评价》的标准要求；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76672" behindDoc="1" locked="0" layoutInCell="1" allowOverlap="1">
                  <wp:simplePos x="0" y="0"/>
                  <wp:positionH relativeFrom="column">
                    <wp:posOffset>42545</wp:posOffset>
                  </wp:positionH>
                  <wp:positionV relativeFrom="paragraph">
                    <wp:posOffset>1661795</wp:posOffset>
                  </wp:positionV>
                  <wp:extent cx="966470" cy="775335"/>
                  <wp:effectExtent l="0" t="0" r="5080" b="5715"/>
                  <wp:wrapThrough wrapText="bothSides">
                    <wp:wrapPolygon>
                      <wp:start x="0" y="0"/>
                      <wp:lineTo x="0" y="21229"/>
                      <wp:lineTo x="21288" y="21229"/>
                      <wp:lineTo x="21288" y="0"/>
                      <wp:lineTo x="0" y="0"/>
                    </wp:wrapPolygon>
                  </wp:wrapThrough>
                  <wp:docPr id="6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38"/>
                          <pic:cNvPicPr>
                            <a:picLocks noChangeAspect="1"/>
                          </pic:cNvPicPr>
                        </pic:nvPicPr>
                        <pic:blipFill>
                          <a:blip r:embed="rId46"/>
                          <a:stretch>
                            <a:fillRect/>
                          </a:stretch>
                        </pic:blipFill>
                        <pic:spPr>
                          <a:xfrm>
                            <a:off x="0" y="0"/>
                            <a:ext cx="966470" cy="77533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9</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四层格栅货架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--选用优质不锈钢管制作，立柱为φ38*1.0mm加厚圆管，实厚δ≥0.88mm；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--档为25*38*1.0mm加厚扁管，实厚δ≥0.88mm；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--格栅型，11根档，四层结构；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(规格)：1200*500*1800mm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986" w:type="dxa"/>
          </w:tcPr>
          <w:p>
            <w:pPr>
              <w:snapToGrid w:val="0"/>
              <w:spacing w:line="360" w:lineRule="auto"/>
              <w:jc w:val="left"/>
            </w:pPr>
            <w:r>
              <w:drawing>
                <wp:inline distT="0" distB="0" distL="114300" distR="114300">
                  <wp:extent cx="709930" cy="1028065"/>
                  <wp:effectExtent l="0" t="0" r="13970" b="635"/>
                  <wp:docPr id="7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41"/>
                          <pic:cNvPicPr>
                            <a:picLocks noChangeAspect="1"/>
                          </pic:cNvPicPr>
                        </pic:nvPicPr>
                        <pic:blipFill>
                          <a:blip r:embed="rId37"/>
                          <a:stretch>
                            <a:fillRect/>
                          </a:stretch>
                        </pic:blipFill>
                        <pic:spPr>
                          <a:xfrm>
                            <a:off x="0" y="0"/>
                            <a:ext cx="709930" cy="10280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10</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双层工作台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（产地品牌）：厂制品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--台面δ=1.2mm，实厚δ≥1.08mm，层板δ=1.0mm，实厚δ≥0.88mm；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--下衬12mm密度板减噪，配不锈钢加强筋、板δ=1.0mm，实厚δ≥0.88mm；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--层板型，配置重力不锈钢可调节子弹脚；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(规格)：1800*700*800mm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86" w:type="dxa"/>
          </w:tcPr>
          <w:p>
            <w:pPr>
              <w:snapToGrid w:val="0"/>
              <w:spacing w:line="360" w:lineRule="auto"/>
              <w:jc w:val="left"/>
            </w:pPr>
            <w:r>
              <w:drawing>
                <wp:anchor distT="0" distB="0" distL="114300" distR="114300" simplePos="0" relativeHeight="251675648" behindDoc="1" locked="0" layoutInCell="1" allowOverlap="1">
                  <wp:simplePos x="0" y="0"/>
                  <wp:positionH relativeFrom="column">
                    <wp:posOffset>10160</wp:posOffset>
                  </wp:positionH>
                  <wp:positionV relativeFrom="paragraph">
                    <wp:posOffset>751840</wp:posOffset>
                  </wp:positionV>
                  <wp:extent cx="969645" cy="819785"/>
                  <wp:effectExtent l="0" t="0" r="1905" b="18415"/>
                  <wp:wrapThrough wrapText="bothSides">
                    <wp:wrapPolygon>
                      <wp:start x="0" y="0"/>
                      <wp:lineTo x="0" y="21081"/>
                      <wp:lineTo x="21218" y="21081"/>
                      <wp:lineTo x="21218" y="0"/>
                      <wp:lineTo x="0" y="0"/>
                    </wp:wrapPolygon>
                  </wp:wrapThrough>
                  <wp:docPr id="65" name="Picture 11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16" descr="双层工作台"/>
                          <pic:cNvPicPr>
                            <a:picLocks noChangeAspect="1"/>
                          </pic:cNvPicPr>
                        </pic:nvPicPr>
                        <pic:blipFill>
                          <a:blip r:embed="rId26"/>
                          <a:srcRect l="2597" r="3896"/>
                          <a:stretch>
                            <a:fillRect/>
                          </a:stretch>
                        </pic:blipFill>
                        <pic:spPr>
                          <a:xfrm>
                            <a:off x="0" y="0"/>
                            <a:ext cx="969645" cy="8197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FF0000"/>
                <w:kern w:val="0"/>
                <w:sz w:val="22"/>
                <w:szCs w:val="22"/>
                <w:u w:val="none"/>
                <w:lang w:val="en-US" w:eastAsia="zh-CN" w:bidi="ar"/>
              </w:rPr>
              <w:t>11</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刀具消毒柜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--功率：15W/220V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--304食品级不锈钢制作，360度紫外线辐射，可放8∽10把刀，120分钟定时器，带有钥匙锁具，可挂墙，防辐射有机玻璃门。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(规格)：540×135×646mm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inline distT="0" distB="0" distL="114300" distR="114300">
                  <wp:extent cx="767080" cy="1186815"/>
                  <wp:effectExtent l="0" t="0" r="13970" b="13335"/>
                  <wp:docPr id="6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4"/>
                          <pic:cNvPicPr>
                            <a:picLocks noChangeAspect="1"/>
                          </pic:cNvPicPr>
                        </pic:nvPicPr>
                        <pic:blipFill>
                          <a:blip r:embed="rId47"/>
                          <a:stretch>
                            <a:fillRect/>
                          </a:stretch>
                        </pic:blipFill>
                        <pic:spPr>
                          <a:xfrm>
                            <a:off x="0" y="0"/>
                            <a:ext cx="767080" cy="11868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12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单向移门调理台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--采用优质SUS304-2B不锈钢板制作；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--台面为δ=1.2mm，实厚δ≥1.08mm；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--侧板δ=1.0mm，实厚δ≥0.88mm；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--门板δ=1.0mm，实厚δ≥0.88mm；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--底板、层板、背板δ=1.0mm，实厚δ≥0.88mm；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--双边上挂式尼龙静音滑轮移门，内置一层可调层板，下衬12mm密度板减噪；--配不锈钢加强筋δ=1.0mm，实厚δ≥0.88mm；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--配置Φ50*150*1.0mm重力不锈钢可调节子弹脚；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(规格)：1800*700*800mm。                                                                须提供投标人自身具有的检测报告或证书符合                                                    ★GB/T10125-2012《人造气氛腐蚀试验 盐雾试验》经168小时乙酸盐雾试验后，表面耐腐蚀等级不小于10级、GB/4806.9-2016《食品安全国家标准 食品接触用金属材料及制品》的标准要求、QB/T2139.3-1995《不锈钢厨房设备 操作台》、QB/T3832-1999《轻工产品金属镀层腐蚀试验结果的评价》的标准要求；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986" w:type="dxa"/>
          </w:tcPr>
          <w:p>
            <w:pPr>
              <w:snapToGrid w:val="0"/>
              <w:spacing w:line="360" w:lineRule="auto"/>
              <w:jc w:val="left"/>
            </w:pPr>
            <w:r>
              <w:drawing>
                <wp:anchor distT="0" distB="0" distL="114300" distR="114300" simplePos="0" relativeHeight="251674624" behindDoc="1" locked="0" layoutInCell="1" allowOverlap="1">
                  <wp:simplePos x="0" y="0"/>
                  <wp:positionH relativeFrom="column">
                    <wp:posOffset>85090</wp:posOffset>
                  </wp:positionH>
                  <wp:positionV relativeFrom="paragraph">
                    <wp:posOffset>1703705</wp:posOffset>
                  </wp:positionV>
                  <wp:extent cx="966470" cy="775335"/>
                  <wp:effectExtent l="0" t="0" r="5080" b="5715"/>
                  <wp:wrapThrough wrapText="bothSides">
                    <wp:wrapPolygon>
                      <wp:start x="0" y="0"/>
                      <wp:lineTo x="0" y="21229"/>
                      <wp:lineTo x="21288" y="21229"/>
                      <wp:lineTo x="21288" y="0"/>
                      <wp:lineTo x="0" y="0"/>
                    </wp:wrapPolygon>
                  </wp:wrapThrough>
                  <wp:docPr id="74"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38"/>
                          <pic:cNvPicPr>
                            <a:picLocks noChangeAspect="1"/>
                          </pic:cNvPicPr>
                        </pic:nvPicPr>
                        <pic:blipFill>
                          <a:blip r:embed="rId46"/>
                          <a:stretch>
                            <a:fillRect/>
                          </a:stretch>
                        </pic:blipFill>
                        <pic:spPr>
                          <a:xfrm>
                            <a:off x="0" y="0"/>
                            <a:ext cx="966470" cy="77533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20" w:type="dxa"/>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13</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双层工作台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--台面δ=1.2mm，实厚δ≥1.08mm，层板δ=1.0mm，实厚δ≥0.88mm；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--下衬12mm密度板减噪，配不锈钢加强筋、板δ=1.0mm，实厚δ≥0.88mm；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--层板型，配置重力不锈钢可调节子弹脚；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(规格)：825*700*800mm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73600" behindDoc="1" locked="0" layoutInCell="1" allowOverlap="1">
                  <wp:simplePos x="0" y="0"/>
                  <wp:positionH relativeFrom="column">
                    <wp:posOffset>20955</wp:posOffset>
                  </wp:positionH>
                  <wp:positionV relativeFrom="paragraph">
                    <wp:posOffset>687705</wp:posOffset>
                  </wp:positionV>
                  <wp:extent cx="969645" cy="819785"/>
                  <wp:effectExtent l="0" t="0" r="1905" b="18415"/>
                  <wp:wrapThrough wrapText="bothSides">
                    <wp:wrapPolygon>
                      <wp:start x="0" y="0"/>
                      <wp:lineTo x="0" y="21081"/>
                      <wp:lineTo x="21218" y="21081"/>
                      <wp:lineTo x="21218" y="0"/>
                      <wp:lineTo x="0" y="0"/>
                    </wp:wrapPolygon>
                  </wp:wrapThrough>
                  <wp:docPr id="91" name="Picture 11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16" descr="双层工作台"/>
                          <pic:cNvPicPr>
                            <a:picLocks noChangeAspect="1"/>
                          </pic:cNvPicPr>
                        </pic:nvPicPr>
                        <pic:blipFill>
                          <a:blip r:embed="rId26"/>
                          <a:srcRect l="2597" r="3896"/>
                          <a:stretch>
                            <a:fillRect/>
                          </a:stretch>
                        </pic:blipFill>
                        <pic:spPr>
                          <a:xfrm>
                            <a:off x="0" y="0"/>
                            <a:ext cx="969645" cy="8197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14</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单星水池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--台面及水斗δ=1.2mm，实厚δ≥1.08mm；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--圆通腿为φ38*1.0mm加厚不锈钢圆管，实厚δ≥0.88mm；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--下橫通为φ25*1.0mm加厚不锈钢圆管，实厚δ≥0.88mm；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(Specifications(规格)：1050*700*（800+150）mm。                                                投标人自身具有的检测报告或证书符合                                                                      ★GB/T10125-2012《人造气氛腐蚀试验 盐雾试验》经168小时乙酸盐雾试验后，表面耐腐蚀等级不小于10级、                                            、GB/4806.9-2016《食品安全国家标准 食品接触用金属材料及制品》、QB/T2139.3-1995《不锈钢厨房设备 洗涮台(》、QB/T3832-1999《轻工产品金属镀层腐蚀试验结果的评价》的标准要求；                                                                ★GB4806.9-2016标准 食品接触产品安全认证证书，同时具备带CMA标识的检测报告。                                                                                         ★GB4806.1-2016；GB4806.9-2016标准食品接触产品卫生认证证书，同时具备带CMA标识的检测报告。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default" w:ascii="Tahoma" w:hAnsi="Tahoma" w:eastAsia="Tahoma" w:cs="Tahom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72576" behindDoc="1" locked="0" layoutInCell="1" allowOverlap="1">
                  <wp:simplePos x="0" y="0"/>
                  <wp:positionH relativeFrom="column">
                    <wp:posOffset>105410</wp:posOffset>
                  </wp:positionH>
                  <wp:positionV relativeFrom="paragraph">
                    <wp:posOffset>1979295</wp:posOffset>
                  </wp:positionV>
                  <wp:extent cx="833755" cy="744855"/>
                  <wp:effectExtent l="0" t="0" r="4445" b="17145"/>
                  <wp:wrapThrough wrapText="bothSides">
                    <wp:wrapPolygon>
                      <wp:start x="0" y="0"/>
                      <wp:lineTo x="0" y="20992"/>
                      <wp:lineTo x="21222" y="20992"/>
                      <wp:lineTo x="21222" y="0"/>
                      <wp:lineTo x="0" y="0"/>
                    </wp:wrapPolygon>
                  </wp:wrapThrough>
                  <wp:docPr id="33" name="Picture 524" descr="x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24" descr="xs_3"/>
                          <pic:cNvPicPr>
                            <a:picLocks noChangeAspect="1"/>
                          </pic:cNvPicPr>
                        </pic:nvPicPr>
                        <pic:blipFill>
                          <a:blip r:embed="rId28"/>
                          <a:stretch>
                            <a:fillRect/>
                          </a:stretch>
                        </pic:blipFill>
                        <pic:spPr>
                          <a:xfrm>
                            <a:off x="0" y="0"/>
                            <a:ext cx="833755" cy="7448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4"/>
                <w:szCs w:val="24"/>
                <w:u w:val="none"/>
                <w:lang w:val="en-US" w:eastAsia="zh-CN" w:bidi="ar"/>
              </w:rPr>
              <w:t>15</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双温水龙头</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(技术参数)：外壳不锈钢材质，铜阀铜芯，双脚设计，两孔之间距离为：135mm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986" w:type="dxa"/>
          </w:tcPr>
          <w:p>
            <w:pPr>
              <w:snapToGrid w:val="0"/>
              <w:spacing w:line="360" w:lineRule="auto"/>
              <w:jc w:val="left"/>
            </w:pPr>
            <w:r>
              <w:drawing>
                <wp:inline distT="0" distB="0" distL="114300" distR="114300">
                  <wp:extent cx="798830" cy="1200785"/>
                  <wp:effectExtent l="0" t="0" r="1270" b="18415"/>
                  <wp:docPr id="76" name="图片 75" descr="58584170c181890a6622d45ea783ded0_10431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descr="58584170c181890a6622d45ea783ded0_104312597"/>
                          <pic:cNvPicPr>
                            <a:picLocks noChangeAspect="1"/>
                          </pic:cNvPicPr>
                        </pic:nvPicPr>
                        <pic:blipFill>
                          <a:blip r:embed="rId29"/>
                          <a:stretch>
                            <a:fillRect/>
                          </a:stretch>
                        </pic:blipFill>
                        <pic:spPr>
                          <a:xfrm>
                            <a:off x="0" y="0"/>
                            <a:ext cx="798830" cy="1200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烹饪区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一炒一大锅一温灶（新国标）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--优质SUS304-2B不锈钢板制造，炉面板δ＝1.5mm，实厚δ≥1.38mm，台面一次压制成型；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--侧板、前脸、后背板δ＝1.2mm，实厚δ≥1.08mm；龙骨架国标不锈钢方管25*38*1.2mm，衬板电解镀锌钢板厚δ＝1.2mm，炉膛为双层炉膛，隔热层厚40mm，炉膛为50mm厚耐高温材料，后背宽度100mm；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--炉膛采用不锈钢合金材料，一次成型，厚度2.0内配稀土贵金属聚能网；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--灶圈口径φ350mm+φ800mm，不锈钢灶圈δ＝1.5mm；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--配全预混式燃烧系统，节能静音炉头，热效率达45%以上，一氧化碳≤0.005%，低于国家标准20倍，炉灶噪音低于65分贝以下；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--标配熄火保护装置，红外防空烧系统，燃气泄漏报警自动关闭系统，一键启动；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--火力为5档，每档火力风气自动精确配比，火力大小数字可视化显示器，且故障代码显示；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--产品获得有专利证书；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--产品获得软件著作权；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(规格)：2000×1200×（800+450）mm                                             ▲须同时提供投标人自身拥有的有效期内国家燃气用具产品质量监督检验中心出具的炊用燃气大锅灶产品热效率≥65%（运行噪音等级不超过二级），达到1级能效标准的能效检测报告及擦炒菜灶和燃气大锅灶中国节能/环保产品认证合格试验报告，                                ▲提供符合GB4806.9-2016标准水龙头食品接触产品安全认证证书，同时具备产品检测报告。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▲提供符合GB4806.9-2016标准炒菜灶和大锅灶食品接触产品安全认证证书，同时具备产品检测报告。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anchor distT="0" distB="0" distL="114300" distR="114300" simplePos="0" relativeHeight="251682816" behindDoc="1" locked="0" layoutInCell="1" allowOverlap="1">
                  <wp:simplePos x="0" y="0"/>
                  <wp:positionH relativeFrom="column">
                    <wp:posOffset>-25400</wp:posOffset>
                  </wp:positionH>
                  <wp:positionV relativeFrom="paragraph">
                    <wp:posOffset>2476500</wp:posOffset>
                  </wp:positionV>
                  <wp:extent cx="1115060" cy="910590"/>
                  <wp:effectExtent l="0" t="0" r="8890" b="3810"/>
                  <wp:wrapThrough wrapText="bothSides">
                    <wp:wrapPolygon>
                      <wp:start x="0" y="0"/>
                      <wp:lineTo x="0" y="21238"/>
                      <wp:lineTo x="21403" y="21238"/>
                      <wp:lineTo x="21403" y="0"/>
                      <wp:lineTo x="0" y="0"/>
                    </wp:wrapPolygon>
                  </wp:wrapThrough>
                  <wp:docPr id="75" name="图片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descr="untitled"/>
                          <pic:cNvPicPr>
                            <a:picLocks noChangeAspect="1"/>
                          </pic:cNvPicPr>
                        </pic:nvPicPr>
                        <pic:blipFill>
                          <a:blip r:embed="rId48"/>
                          <a:srcRect r="4102"/>
                          <a:stretch>
                            <a:fillRect/>
                          </a:stretch>
                        </pic:blipFill>
                        <pic:spPr>
                          <a:xfrm>
                            <a:off x="0" y="0"/>
                            <a:ext cx="1115060" cy="91059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调料平台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--台面δ=1.2mm，实厚δ≥1.08mm，层板δ=1.0mm，实厚δ≥0.88mm；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--横通档采用25*38*1.0mm，实厚δ≥0.88mm；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--下衬12mm密度板减噪，配不锈钢加强筋、板δ=1.0mm，实厚δ≥0.88mm；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--外形与灶具同款设计，配置重力不锈钢可调节子弹脚。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(规格)：700*1200*（800+450）mm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86" w:type="dxa"/>
          </w:tcPr>
          <w:p>
            <w:pPr>
              <w:snapToGrid w:val="0"/>
              <w:spacing w:line="360" w:lineRule="auto"/>
              <w:jc w:val="left"/>
            </w:pPr>
            <w:r>
              <w:drawing>
                <wp:inline distT="0" distB="0" distL="114300" distR="114300">
                  <wp:extent cx="909955" cy="826770"/>
                  <wp:effectExtent l="0" t="0" r="4445" b="11430"/>
                  <wp:docPr id="77" name="Picture 109" descr="C:\Users\apple\AppData\Roaming\Tencent\Users\719736388\QQ\WinTemp\RichOle\H]QS]D{SZ{~_9FG6LNC$8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09" descr="C:\Users\apple\AppData\Roaming\Tencent\Users\719736388\QQ\WinTemp\RichOle\H]QS]D{SZ{~_9FG6LNC$8RL.png"/>
                          <pic:cNvPicPr>
                            <a:picLocks noChangeAspect="1"/>
                          </pic:cNvPicPr>
                        </pic:nvPicPr>
                        <pic:blipFill>
                          <a:blip r:embed="rId49"/>
                          <a:stretch>
                            <a:fillRect/>
                          </a:stretch>
                        </pic:blipFill>
                        <pic:spPr>
                          <a:xfrm>
                            <a:off x="0" y="0"/>
                            <a:ext cx="909955" cy="826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燃气双眼大锅灶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--台面板δ=1.2mm，实厚δ≥1.08mm；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--面板、侧板、后板板δ=1.0mm，实厚δ≥0.88mm；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--炉内胆不锈钢制，板δ=1.2mm，实厚δ≥1.08mm；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--炉支架为40*40*1.5mm镀锌角铁，重力脚φ50*1.0mm，配有重力可调子弹脚；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--炉面板及炮台用厚1.2mm不锈钢液压拉伸成型；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--炉芯采用铸铁炉头；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--炉膛采用耐火砖、耐火水泥、耐火砂打制而成；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--配助燃鼓风机、不锈钢摇摆水龙头、优质气阀，冷却水阀，灶圈口径Ф600mm。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--电源开关、点火开关、风机开关均为不锈钢防水带指示灯制；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--脉冲电子点火，配有火种阀；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--额定热负荷：45kW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--功率：2*180W/2PH/220V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(规格)：2000*1200*(800+300)mm                           ▲须同时提供投标人自身拥有的有效期内国家燃气用具产品质量监督检验中心出具的炊用燃气大锅灶产品热效率≥65%（运行噪音等级不超过二级），达到1级能效标准的能效检测报告及炊用燃气大锅灶中国节能/环保产品认证合格试验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anchor distT="0" distB="0" distL="114300" distR="114300" simplePos="0" relativeHeight="251683840" behindDoc="1" locked="0" layoutInCell="1" allowOverlap="1">
                  <wp:simplePos x="0" y="0"/>
                  <wp:positionH relativeFrom="column">
                    <wp:posOffset>-15875</wp:posOffset>
                  </wp:positionH>
                  <wp:positionV relativeFrom="paragraph">
                    <wp:posOffset>1925955</wp:posOffset>
                  </wp:positionV>
                  <wp:extent cx="1056640" cy="780415"/>
                  <wp:effectExtent l="0" t="0" r="10160" b="635"/>
                  <wp:wrapThrough wrapText="bothSides">
                    <wp:wrapPolygon>
                      <wp:start x="0" y="0"/>
                      <wp:lineTo x="0" y="21090"/>
                      <wp:lineTo x="21029" y="21090"/>
                      <wp:lineTo x="21029" y="0"/>
                      <wp:lineTo x="0" y="0"/>
                    </wp:wrapPolygon>
                  </wp:wrapThrough>
                  <wp:docPr id="78" name="图片 3" descr="u=2408949728,408804951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descr="u=2408949728,4088049517&amp;fm=26&amp;gp=0"/>
                          <pic:cNvPicPr>
                            <a:picLocks noChangeAspect="1"/>
                          </pic:cNvPicPr>
                        </pic:nvPicPr>
                        <pic:blipFill>
                          <a:blip r:embed="rId50"/>
                          <a:srcRect t="21893" b="14600"/>
                          <a:stretch>
                            <a:fillRect/>
                          </a:stretch>
                        </pic:blipFill>
                        <pic:spPr>
                          <a:xfrm>
                            <a:off x="0" y="0"/>
                            <a:ext cx="1056640" cy="78041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烟罩净化一体机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内容描述：TL设备由下罩和上罩组成，下罩由外壳，挡板，动态拦截，触摸面板，照 明等组成，外壳的下部和侧面无铆钉，方便维护；动态拦截采用防水防油耐高温通 电机和防水街头引线；触摸面板具备手势识别，延时关机等功能。上罩由电箱，电 场箱，风机箱,清洗模块等组成。电场箱中的电场采用纯高压和纯低压的方式，材质 为 304 不锈钢。 ★1：持有电源检测报（电源检测品牌与一体机品牌一致，内容可写：电源输入与外 壳绝缘电阻≥200MΩ；电源输入与外壳之间应能承受 2000V，10MA，1min 无击穿闪 烁，无异响；电源功率因素≥0.85；检测报告里检测结果的 11-17 都可以用）。 ★2：持有 CNAS,MA,iacMRA 盖章的 EMC 电磁兼容报告（含静电放电干扰度，电快速 瞬变脉冲群抗扰度，浪涌（冲击）抗扰度； ★3：持有处理油烟 98%以上省级检测报告； ★4：持有数码显示屏检测报告； ★5：持有国家版权局颁发的油烟净化设备运行及故障显示软件著作权登记证书，油 烟净化设备数字电源软件著作权登记证书； ★6：所投油烟净化设备符合第三方产品责任保险，且产品累计赔偿限额不低于 6000 万，提供加制造商公章保险单; ★7：持有一体机净化效率≥95％，非甲烷总烃去除率≥65％，颗粒物净化效率≥ 95％，臭气排放浓度≤60 检测报告 ★8：持有 CMA 省级产品质量监督计数効率 0.3~1.0μm 效率≥92.9％，1.0~3.0μm 效率≥95.9％，3.0~10.0μm ≥98.9％ 检测报告 ★9：持有具有防水防尘 IP55 等级的检测报告 ★10：自动清洗系统油渍清洗效率≥96%，并提供相应测试报告 ★11：设备具备自动加液，自动喷淋，加热温度精度正负一度等功能。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(规格)：规格：5900*1300*1000mm，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5.8</w:t>
            </w:r>
          </w:p>
        </w:tc>
        <w:tc>
          <w:tcPr>
            <w:tcW w:w="1986" w:type="dxa"/>
          </w:tcPr>
          <w:p>
            <w:pPr>
              <w:snapToGrid w:val="0"/>
              <w:spacing w:line="360" w:lineRule="auto"/>
              <w:jc w:val="left"/>
            </w:pPr>
            <w:r>
              <w:drawing>
                <wp:anchor distT="0" distB="0" distL="114300" distR="114300" simplePos="0" relativeHeight="251684864" behindDoc="1" locked="0" layoutInCell="1" allowOverlap="1">
                  <wp:simplePos x="0" y="0"/>
                  <wp:positionH relativeFrom="column">
                    <wp:posOffset>-10160</wp:posOffset>
                  </wp:positionH>
                  <wp:positionV relativeFrom="paragraph">
                    <wp:posOffset>1344295</wp:posOffset>
                  </wp:positionV>
                  <wp:extent cx="968375" cy="634365"/>
                  <wp:effectExtent l="0" t="0" r="3175" b="13335"/>
                  <wp:wrapThrough wrapText="bothSides">
                    <wp:wrapPolygon>
                      <wp:start x="0" y="0"/>
                      <wp:lineTo x="0" y="20757"/>
                      <wp:lineTo x="21246" y="20757"/>
                      <wp:lineTo x="21246" y="0"/>
                      <wp:lineTo x="0" y="0"/>
                    </wp:wrapPolygon>
                  </wp:wrapThrough>
                  <wp:docPr id="79"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141"/>
                          <pic:cNvPicPr>
                            <a:picLocks noChangeAspect="1"/>
                          </pic:cNvPicPr>
                        </pic:nvPicPr>
                        <pic:blipFill>
                          <a:blip r:embed="rId51"/>
                          <a:stretch>
                            <a:fillRect/>
                          </a:stretch>
                        </pic:blipFill>
                        <pic:spPr>
                          <a:xfrm>
                            <a:off x="0" y="0"/>
                            <a:ext cx="968375" cy="634365"/>
                          </a:xfrm>
                          <a:prstGeom prst="rect">
                            <a:avLst/>
                          </a:prstGeom>
                          <a:noFill/>
                          <a:ln w="1">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蒸煮间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智能型双门蒸饭箱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--电热型电量：12kW*2/5PH/380V；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--选用SUS304-2B优质不锈钢制作；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--内、外双层板δ=1.2mm，实测≧1.08mm；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--配螺旋式门把手，每格5公斤的饭盘共30只；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--定制饭铲、分饭器各两套；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--具有高温保温，设备特定中制系列安全保护系统及操作保护功能，预开放为一体智能专用数码显示微电脑控制系统,面板控制规格：160*80mm;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--标准时间数字显示，工作温度可调节设置；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--恒温工作时间可自动关闭设置；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--当前工作时间数字显示，当前温度数字显示；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--设置蒸饭时间、工作状况数字显示；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--12V进水电磁阀，自动加水和缺水保护；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--预约式工作时段可调节设置；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--功率：2*12kW/3PH/380V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(规格)：150kg                                                                                                                          须提供投标人自身拥有的市级及以上质量技术监督部门出具的检验报告且符合：                                                                           ▲GB/3280-2015《不锈钢冷轧钢板和钢带》、GB/T10125-2012《人造气氛腐蚀试验 盐雾试验》经168小时乙酸盐雾试验后，表面耐腐蚀等级不小于10级、GB/4806.9-2016《食品安全国家标准 食品接触用金属材料及制品》、 GB/11170-2008《不锈钢多元素含量的测定 火花放电原子发射光谱法（常规法）》、GB/4706.1-2005《家用和类似用途电器的安全 第1部分：通用要求》、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GB14934--2016《食品安全国家标准 消毒餐（饮）具》、 GB 4706.1-2005《家用和类似用途电器的安全第1部分：通用要求》、投标人GB 4706.34-2008《家用和类似用途电器的安全 商用电强对流烤炉、蒸汽炊具和蒸汽对流炉的特殊要求》                                                                                                               ▲须提供投标人自身拥有的国家认可检测机构出具的符合：GB 4806.9-2016《食品接触产品安全认证证书》复印件加盖红色原章，原件核查。                                                 ▲须提供投标人自身拥有的国家认可检测机构出具的符合GB4706.1-2005、GB4706.34-2008的《产品安全和性能认证证书》复印件加盖红色原章，原件核查。</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85888" behindDoc="1" locked="0" layoutInCell="1" allowOverlap="1">
                  <wp:simplePos x="0" y="0"/>
                  <wp:positionH relativeFrom="column">
                    <wp:posOffset>53340</wp:posOffset>
                  </wp:positionH>
                  <wp:positionV relativeFrom="paragraph">
                    <wp:posOffset>2296795</wp:posOffset>
                  </wp:positionV>
                  <wp:extent cx="847725" cy="979170"/>
                  <wp:effectExtent l="0" t="0" r="9525" b="11430"/>
                  <wp:wrapThrough wrapText="bothSides">
                    <wp:wrapPolygon>
                      <wp:start x="0" y="0"/>
                      <wp:lineTo x="0" y="21012"/>
                      <wp:lineTo x="21357" y="21012"/>
                      <wp:lineTo x="21357" y="0"/>
                      <wp:lineTo x="0" y="0"/>
                    </wp:wrapPolygon>
                  </wp:wrapThrough>
                  <wp:docPr id="83" name="Picture 104" descr="yf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4" descr="yf0101"/>
                          <pic:cNvPicPr>
                            <a:picLocks noChangeAspect="1"/>
                          </pic:cNvPicPr>
                        </pic:nvPicPr>
                        <pic:blipFill>
                          <a:blip r:embed="rId52"/>
                          <a:srcRect l="24692" t="10588" r="25452" b="12941"/>
                          <a:stretch>
                            <a:fillRect/>
                          </a:stretch>
                        </pic:blipFill>
                        <pic:spPr>
                          <a:xfrm>
                            <a:off x="0" y="0"/>
                            <a:ext cx="847725" cy="97917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智能型单门蒸饭箱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--内、外双层板δ=1.2mm，实测≧1.08mm；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--每格5公斤的饭盘共15只；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--定制饭铲、分饭器各两套；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--内部骨架均采用镀锌型钢焊接，内置B1级阻燃隔热保温板双层保温；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--不接受发泡型结构产品，配全不锈钢渐进式手轮门铰链。不锈钢发热管，自动浮球进补；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--具有高温保温，设备特定中制系列安全保护系统及操作保护功能，预开放为一体智能专用数码显示微电脑控制系统,面板控制规格：160*80mm;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--标准时间数字显示，工作温度可调节设置；                              --恒温工作时间可自动关闭设置；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--当前工作时间数字显示，当前温度数字显示；                           --设置蒸饭时间、工作状况数字显示；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--12V进水电磁阀，自动加水和缺水保护；                                 --预约式工作时段可调节设置；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--功率：12kW/3PH/380V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86912" behindDoc="1" locked="0" layoutInCell="1" allowOverlap="1">
                  <wp:simplePos x="0" y="0"/>
                  <wp:positionH relativeFrom="column">
                    <wp:posOffset>95250</wp:posOffset>
                  </wp:positionH>
                  <wp:positionV relativeFrom="paragraph">
                    <wp:posOffset>1464310</wp:posOffset>
                  </wp:positionV>
                  <wp:extent cx="847725" cy="979170"/>
                  <wp:effectExtent l="0" t="0" r="9525" b="11430"/>
                  <wp:wrapThrough wrapText="bothSides">
                    <wp:wrapPolygon>
                      <wp:start x="0" y="0"/>
                      <wp:lineTo x="0" y="21012"/>
                      <wp:lineTo x="21357" y="21012"/>
                      <wp:lineTo x="21357" y="0"/>
                      <wp:lineTo x="0" y="0"/>
                    </wp:wrapPolygon>
                  </wp:wrapThrough>
                  <wp:docPr id="1" name="Picture 104" descr="yf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4" descr="yf0101"/>
                          <pic:cNvPicPr>
                            <a:picLocks noChangeAspect="1"/>
                          </pic:cNvPicPr>
                        </pic:nvPicPr>
                        <pic:blipFill>
                          <a:blip r:embed="rId52"/>
                          <a:srcRect l="24692" t="10588" r="25452" b="12941"/>
                          <a:stretch>
                            <a:fillRect/>
                          </a:stretch>
                        </pic:blipFill>
                        <pic:spPr>
                          <a:xfrm>
                            <a:off x="0" y="0"/>
                            <a:ext cx="847725" cy="97917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双层工作台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--台面δ=1.2mm，实厚δ≥1.08mm，层板δ=1.0mm，实厚δ≥0.88mm；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--下衬12mm密度板减噪，配不锈钢加强筋、板δ=1.0mm，实厚δ≥0.88mm；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--层板型，配置重力不锈钢可调节子弹脚；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(规格)：1200*600*800mm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87936" behindDoc="1" locked="0" layoutInCell="1" allowOverlap="1">
                  <wp:simplePos x="0" y="0"/>
                  <wp:positionH relativeFrom="column">
                    <wp:posOffset>-10795</wp:posOffset>
                  </wp:positionH>
                  <wp:positionV relativeFrom="paragraph">
                    <wp:posOffset>666750</wp:posOffset>
                  </wp:positionV>
                  <wp:extent cx="969645" cy="819785"/>
                  <wp:effectExtent l="0" t="0" r="1905" b="18415"/>
                  <wp:wrapThrough wrapText="bothSides">
                    <wp:wrapPolygon>
                      <wp:start x="0" y="0"/>
                      <wp:lineTo x="0" y="21081"/>
                      <wp:lineTo x="21218" y="21081"/>
                      <wp:lineTo x="21218" y="0"/>
                      <wp:lineTo x="0" y="0"/>
                    </wp:wrapPolygon>
                  </wp:wrapThrough>
                  <wp:docPr id="73" name="Picture 11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16" descr="双层工作台"/>
                          <pic:cNvPicPr>
                            <a:picLocks noChangeAspect="1"/>
                          </pic:cNvPicPr>
                        </pic:nvPicPr>
                        <pic:blipFill>
                          <a:blip r:embed="rId26"/>
                          <a:srcRect l="2597" r="3896"/>
                          <a:stretch>
                            <a:fillRect/>
                          </a:stretch>
                        </pic:blipFill>
                        <pic:spPr>
                          <a:xfrm>
                            <a:off x="0" y="0"/>
                            <a:ext cx="969645" cy="8197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烟罩净化一体机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内容描述：TL设备由下罩和上罩组成，下罩由外壳，挡板，动态拦截，触摸面板，照 明等组成，外壳的下部和侧面无铆钉，方便维护；动态拦截采用防水防油耐高温通 电机和防水街头引线；触摸面板具备手势识别，延时关机等功能。上罩由电箱，电 场箱，风机箱,清洗模块等组成。电场箱中的电场采用纯高压和纯低压的方式，材质 为 304 不锈钢。 ★1：持有电源检测报（电源检测品牌与一体机品牌一致，内容可写：电源输入与外 壳绝缘电阻≥200MΩ；电源输入与外壳之间应能承受 2000V，10MA，1min 无击穿闪 烁，无异响；电源功率因素≥0.85；检测报告里检测结果的 11-17 都可以用）。 ★2：持有 CNAS,MA,iacMRA 盖章的 EMC 电磁兼容报告（含静电放电干扰度，电快速 瞬变脉冲群抗扰度，浪涌（冲击）抗扰度； ★3：持有处理油烟 98%以上省级检测报告； ★4：持有数码显示屏检测报告； ★5：持有国家版权局颁发的油烟净化设备运行及故障显示软件著作权登记证书，油 烟净化设备数字电源软件著作权登记证书； ★6：所投油烟净化设备符合第三方产品责任保险，且产品累计赔偿限额不低于 6000 万，提供加制造商公章保险单; ★7：持有一体机净化效率≥95％，非甲烷总烃去除率≥65％，颗粒物净化效率≥ 95％，臭气排放浓度≤60 检测报告 ★8：持有 CMA 省级产品质量监督计数効率 0.3~1.0μm 效率≥92.9％，1.0~3.0μm 效率≥95.9％，3.0~10.0μm ≥98.9％ 检测报告 ★9：持有具有防水防尘 IP55 等级的检测报告 ★10：自动清洗系统油渍清洗效率≥96%，并提供相应测试报告 ★11：设备具备自动加液，自动喷淋，加热温度精度正负一度等功能。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(规格)：规格：2800*1300*1000mm，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1986" w:type="dxa"/>
          </w:tcPr>
          <w:p>
            <w:pPr>
              <w:snapToGrid w:val="0"/>
              <w:spacing w:line="360" w:lineRule="auto"/>
              <w:jc w:val="left"/>
            </w:pPr>
            <w:r>
              <w:drawing>
                <wp:anchor distT="0" distB="0" distL="114300" distR="114300" simplePos="0" relativeHeight="251688960" behindDoc="1" locked="0" layoutInCell="1" allowOverlap="1">
                  <wp:simplePos x="0" y="0"/>
                  <wp:positionH relativeFrom="column">
                    <wp:posOffset>74295</wp:posOffset>
                  </wp:positionH>
                  <wp:positionV relativeFrom="paragraph">
                    <wp:posOffset>899160</wp:posOffset>
                  </wp:positionV>
                  <wp:extent cx="913130" cy="598170"/>
                  <wp:effectExtent l="0" t="0" r="1270" b="11430"/>
                  <wp:wrapThrough wrapText="bothSides">
                    <wp:wrapPolygon>
                      <wp:start x="0" y="0"/>
                      <wp:lineTo x="0" y="20637"/>
                      <wp:lineTo x="21179" y="20637"/>
                      <wp:lineTo x="21179" y="0"/>
                      <wp:lineTo x="0" y="0"/>
                    </wp:wrapPolygon>
                  </wp:wrapThrough>
                  <wp:docPr id="84"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141"/>
                          <pic:cNvPicPr>
                            <a:picLocks noChangeAspect="1"/>
                          </pic:cNvPicPr>
                        </pic:nvPicPr>
                        <pic:blipFill>
                          <a:blip r:embed="rId51"/>
                          <a:stretch>
                            <a:fillRect/>
                          </a:stretch>
                        </pic:blipFill>
                        <pic:spPr>
                          <a:xfrm>
                            <a:off x="0" y="0"/>
                            <a:ext cx="913130" cy="598170"/>
                          </a:xfrm>
                          <a:prstGeom prst="rect">
                            <a:avLst/>
                          </a:prstGeom>
                          <a:noFill/>
                          <a:ln w="1">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面点早点间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双层电炉豪华型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要配置：采用微电脑数字控制系统，温度精准+-1度，进口电子元件，控制精准耐用，2.加厚保温层，更加密封节能环保，烤箱内部采用食品级镀铝板材，导热均匀，烘焙食品安全好用，3.双层钢化玻璃，视线好便于观察烘焙情况，4.磨砂拉手，不传热，无高温，不烫手，5.外观全不锈钢，适用于商场、超市、现烤门店以及星级酒店等高端场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--主要功能：用于烘烤各类面包、各类蛋糕、中式点心、西式饼干。无论面包工厂或是各式面包西饼屋，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--主要特点：烘烤均匀，炉温精准，面包出炉色泽鲜艳，（1） 进口加热原件，触摸电脑控制面板，使用简单方便，寿命长，控温准确（2） 外形豪华美观，更适用于现烤店、大卖场。（3） 特殊设计加热板，热量分布均匀，烘焙效果均匀。炉温精准，烘烤中途不需开门调头，炉温少流失，起到节约能耗，（4） 加厚保温层及优质保温材料，热量损失少。节约能耗，（5)产品规格温度调节范围0度到300度，每层独立上下分开加热，烤盘规格40cm乘60cm标准烤盘，二层四盘，功率：380V/13KW，需要预留进水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--Specification（规格）：1320*1070*1840mm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89984" behindDoc="1" locked="0" layoutInCell="1" allowOverlap="1">
                  <wp:simplePos x="0" y="0"/>
                  <wp:positionH relativeFrom="column">
                    <wp:posOffset>-26670</wp:posOffset>
                  </wp:positionH>
                  <wp:positionV relativeFrom="paragraph">
                    <wp:posOffset>1630045</wp:posOffset>
                  </wp:positionV>
                  <wp:extent cx="1073785" cy="1074420"/>
                  <wp:effectExtent l="0" t="0" r="12065" b="11430"/>
                  <wp:wrapThrough wrapText="bothSides">
                    <wp:wrapPolygon>
                      <wp:start x="0" y="0"/>
                      <wp:lineTo x="0" y="21064"/>
                      <wp:lineTo x="21076" y="21064"/>
                      <wp:lineTo x="21076" y="0"/>
                      <wp:lineTo x="0" y="0"/>
                    </wp:wrapPolygon>
                  </wp:wrapThrough>
                  <wp:docPr id="164" name="图片 163" descr="d39a644b88a507635a747a2a101e004c_TB28YVYnXXXXXcvXpXXXXXXXXXX_!!198305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3" descr="d39a644b88a507635a747a2a101e004c_TB28YVYnXXXXXcvXpXXXXXXXXXX_!!1983052551"/>
                          <pic:cNvPicPr>
                            <a:picLocks noChangeAspect="1"/>
                          </pic:cNvPicPr>
                        </pic:nvPicPr>
                        <pic:blipFill>
                          <a:blip r:embed="rId53"/>
                          <a:stretch>
                            <a:fillRect/>
                          </a:stretch>
                        </pic:blipFill>
                        <pic:spPr>
                          <a:xfrm>
                            <a:off x="0" y="0"/>
                            <a:ext cx="1073785" cy="10744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电饼铛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1、选用性能优良的电子元件，发热管采用高碳钢制，干烧也不会损坏，安全可靠，使用寿命长。热效率高，省时省电；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2、发热盘均采用一次压铸成型、密度高强度大，不变形，受热均匀；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3、上下盘同时加热，食物两面同时均匀受热，并有自动控温，调温装置，当内部温度达到设定值时，加温自动停止；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4、机身外壳采用不锈钢板制。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--温度范围：50-250℃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--功率：380V/50HZ/4.8KW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(规格)640*840*760mm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inline distT="0" distB="0" distL="114300" distR="114300">
                  <wp:extent cx="927100" cy="1235075"/>
                  <wp:effectExtent l="0" t="0" r="6350" b="3175"/>
                  <wp:docPr id="143" name="图片 3" descr="4f073830b5b2aa8d0d9707de8345d114_resize,l_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 descr="4f073830b5b2aa8d0d9707de8345d114_resize,l_124"/>
                          <pic:cNvPicPr>
                            <a:picLocks noChangeAspect="1"/>
                          </pic:cNvPicPr>
                        </pic:nvPicPr>
                        <pic:blipFill>
                          <a:blip r:embed="rId54"/>
                          <a:stretch>
                            <a:fillRect/>
                          </a:stretch>
                        </pic:blipFill>
                        <pic:spPr>
                          <a:xfrm>
                            <a:off x="0" y="0"/>
                            <a:ext cx="927100" cy="12350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4"/>
                <w:szCs w:val="24"/>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电热煮面炉连下柜</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(技术参数)：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-电热型电量：12kW*2/5PH/380V；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--选用SUS304-2B优质不锈钢制作；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--内、外双层板δ=1.2mm，实测≧1.08mm；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--具有高温保温，设备特定中制系列安全保护系统及操作保护功能，预开放为一体智能专用数码显示微电脑控制系统,面板控制规格：160*80mm;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--标准时间数字显示，工作温度可调节设置；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--恒温工作时间可自动关闭设置；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--当前工作时间数字显示，当前温度数字显示；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--设置蒸饭时间、工作状况数字显示；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--12V进水电磁阀，自动加水和缺水保护；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--预约式工作时段可调节设置；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(规格)：700*700*600mm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anchor distT="0" distB="0" distL="114300" distR="114300" simplePos="0" relativeHeight="251691008" behindDoc="1" locked="0" layoutInCell="1" allowOverlap="1">
                  <wp:simplePos x="0" y="0"/>
                  <wp:positionH relativeFrom="column">
                    <wp:posOffset>106045</wp:posOffset>
                  </wp:positionH>
                  <wp:positionV relativeFrom="paragraph">
                    <wp:posOffset>1270000</wp:posOffset>
                  </wp:positionV>
                  <wp:extent cx="793750" cy="779780"/>
                  <wp:effectExtent l="0" t="0" r="6350" b="1270"/>
                  <wp:wrapThrough wrapText="bothSides">
                    <wp:wrapPolygon>
                      <wp:start x="0" y="0"/>
                      <wp:lineTo x="0" y="21107"/>
                      <wp:lineTo x="21254" y="21107"/>
                      <wp:lineTo x="21254" y="0"/>
                      <wp:lineTo x="0" y="0"/>
                    </wp:wrapPolygon>
                  </wp:wrapThrough>
                  <wp:docPr id="142" name="图片 2" descr="8I3AQ)JO94PD4}`G)NEAY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 descr="8I3AQ)JO94PD4}`G)NEAYMM"/>
                          <pic:cNvPicPr>
                            <a:picLocks noChangeAspect="1"/>
                          </pic:cNvPicPr>
                        </pic:nvPicPr>
                        <pic:blipFill>
                          <a:blip r:embed="rId55"/>
                          <a:stretch>
                            <a:fillRect/>
                          </a:stretch>
                        </pic:blipFill>
                        <pic:spPr>
                          <a:xfrm>
                            <a:off x="0" y="0"/>
                            <a:ext cx="793750" cy="77978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烟罩净化一体机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内容描述：TL设备由下罩和上罩组成，下罩由外壳，挡板，动态拦截，触摸面板，照 明等组成，外壳的下部和侧面无铆钉，方便维护；动态拦截采用防水防油耐高温通 电机和防水街头引线；触摸面板具备手势识别，延时关机等功能。上罩由电箱，电 场箱，风机箱,清洗模块等组成。电场箱中的电场采用纯高压和纯低压的方式，材质 为 304 不锈钢。 ★1：持有电源检测报（电源检测品牌与一体机品牌一致，内容可写：电源输入与外 壳绝缘电阻≥200MΩ；电源输入与外壳之间应能承受 2000V，10MA，1min 无击穿闪 烁，无异响；电源功率因素≥0.85；检测报告里检测结果的 11-17 都可以用）。 ★2：持有 CNAS,MA,iacMRA 盖章的 EMC 电磁兼容报告（含静电放电干扰度，电快速 瞬变脉冲群抗扰度，浪涌（冲击）抗扰度； ★3：持有处理油烟 98%以上省级检测报告； ★4：持有数码显示屏检测报告； ★5：持有国家版权局颁发的油烟净化设备运行及故障显示软件著作权登记证书，油 烟净化设备数字电源软件著作权登记证书； ★6：所投油烟净化设备符合第三方产品责任保险，且产品累计赔偿限额不低于 6000 万，提供加制造商公章保险单; ★7：持有一体机净化效率≥95％，非甲烷总烃去除率≥65％，颗粒物净化效率≥ 95％，臭气排放浓度≤60 检测报告 ★8：持有 CMA 省级产品质量监督计数効率 0.3~1.0μm 效率≥92.9％，1.0~3.0μm 效率≥95.9％，3.0~10.0μm ≥98.9％ 检测报告 ★9：持有具有防水防尘 IP55 等级的检测报告 ★10：自动清洗系统油渍清洗效率≥96%，并提供相应测试报告 ★11：设备具备自动加液，自动喷淋，加热温度精度正负一度等功能。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(规格)：规格：2700*1300*1000mm，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1986" w:type="dxa"/>
          </w:tcPr>
          <w:p>
            <w:pPr>
              <w:snapToGrid w:val="0"/>
              <w:spacing w:line="360" w:lineRule="auto"/>
              <w:jc w:val="left"/>
            </w:pPr>
            <w:r>
              <w:drawing>
                <wp:anchor distT="0" distB="0" distL="114300" distR="114300" simplePos="0" relativeHeight="251692032" behindDoc="1" locked="0" layoutInCell="1" allowOverlap="1">
                  <wp:simplePos x="0" y="0"/>
                  <wp:positionH relativeFrom="column">
                    <wp:posOffset>42545</wp:posOffset>
                  </wp:positionH>
                  <wp:positionV relativeFrom="paragraph">
                    <wp:posOffset>1693545</wp:posOffset>
                  </wp:positionV>
                  <wp:extent cx="968375" cy="634365"/>
                  <wp:effectExtent l="0" t="0" r="3175" b="13335"/>
                  <wp:wrapThrough wrapText="bothSides">
                    <wp:wrapPolygon>
                      <wp:start x="0" y="0"/>
                      <wp:lineTo x="0" y="20757"/>
                      <wp:lineTo x="21246" y="20757"/>
                      <wp:lineTo x="21246" y="0"/>
                      <wp:lineTo x="0" y="0"/>
                    </wp:wrapPolygon>
                  </wp:wrapThrough>
                  <wp:docPr id="124"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3141"/>
                          <pic:cNvPicPr>
                            <a:picLocks noChangeAspect="1"/>
                          </pic:cNvPicPr>
                        </pic:nvPicPr>
                        <pic:blipFill>
                          <a:blip r:embed="rId51"/>
                          <a:stretch>
                            <a:fillRect/>
                          </a:stretch>
                        </pic:blipFill>
                        <pic:spPr>
                          <a:xfrm>
                            <a:off x="0" y="0"/>
                            <a:ext cx="968375" cy="634365"/>
                          </a:xfrm>
                          <a:prstGeom prst="rect">
                            <a:avLst/>
                          </a:prstGeom>
                          <a:noFill/>
                          <a:ln w="1">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二次更衣间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干手机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--配备红外自动感应系统和高级芯片控制技术，性能稳定，控制效果精准。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--连续感应测试超过30万次运全新轻巧设计，款式时尚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--高速动力设计，干手使用5~9秒。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--采用防火工程塑料。环保、安全、超时保暖。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--可切换凉风/热风，因不同季节调节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--功率：1.8KW/50Hz/220V；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(规格)：不大于210*195*235mm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99200" behindDoc="1" locked="0" layoutInCell="1" allowOverlap="1">
                  <wp:simplePos x="0" y="0"/>
                  <wp:positionH relativeFrom="column">
                    <wp:posOffset>41910</wp:posOffset>
                  </wp:positionH>
                  <wp:positionV relativeFrom="paragraph">
                    <wp:posOffset>582295</wp:posOffset>
                  </wp:positionV>
                  <wp:extent cx="909955" cy="915670"/>
                  <wp:effectExtent l="0" t="0" r="4445" b="17780"/>
                  <wp:wrapThrough wrapText="bothSides">
                    <wp:wrapPolygon>
                      <wp:start x="0" y="0"/>
                      <wp:lineTo x="0" y="21121"/>
                      <wp:lineTo x="21253" y="21121"/>
                      <wp:lineTo x="21253" y="0"/>
                      <wp:lineTo x="0" y="0"/>
                    </wp:wrapPolygon>
                  </wp:wrapThrough>
                  <wp:docPr id="35" name="图片 16" descr="干手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干手器"/>
                          <pic:cNvPicPr>
                            <a:picLocks noChangeAspect="1"/>
                          </pic:cNvPicPr>
                        </pic:nvPicPr>
                        <pic:blipFill>
                          <a:blip r:embed="rId56"/>
                          <a:stretch>
                            <a:fillRect/>
                          </a:stretch>
                        </pic:blipFill>
                        <pic:spPr>
                          <a:xfrm>
                            <a:off x="0" y="0"/>
                            <a:ext cx="909955" cy="91567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单星水池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--台面及水斗δ=1.2mm，实厚δ≥1.08mm；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--圆通腿为φ38*1.0mm加厚不锈钢圆管，实厚δ≥0.88mm；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--下橫通为φ25*1.0mm加厚不锈钢圆管，实厚δ≥0.88mm；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(Specifications(规格)：500*500*（800+150）mm。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98176" behindDoc="1" locked="0" layoutInCell="1" allowOverlap="1">
                  <wp:simplePos x="0" y="0"/>
                  <wp:positionH relativeFrom="column">
                    <wp:posOffset>63500</wp:posOffset>
                  </wp:positionH>
                  <wp:positionV relativeFrom="paragraph">
                    <wp:posOffset>899795</wp:posOffset>
                  </wp:positionV>
                  <wp:extent cx="833755" cy="744855"/>
                  <wp:effectExtent l="0" t="0" r="4445" b="17145"/>
                  <wp:wrapThrough wrapText="bothSides">
                    <wp:wrapPolygon>
                      <wp:start x="0" y="0"/>
                      <wp:lineTo x="0" y="20992"/>
                      <wp:lineTo x="21222" y="20992"/>
                      <wp:lineTo x="21222" y="0"/>
                      <wp:lineTo x="0" y="0"/>
                    </wp:wrapPolygon>
                  </wp:wrapThrough>
                  <wp:docPr id="36" name="Picture 524" descr="x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24" descr="xs_3"/>
                          <pic:cNvPicPr>
                            <a:picLocks noChangeAspect="1"/>
                          </pic:cNvPicPr>
                        </pic:nvPicPr>
                        <pic:blipFill>
                          <a:blip r:embed="rId28"/>
                          <a:stretch>
                            <a:fillRect/>
                          </a:stretch>
                        </pic:blipFill>
                        <pic:spPr>
                          <a:xfrm>
                            <a:off x="0" y="0"/>
                            <a:ext cx="833755" cy="7448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脚踏龙头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--精铜主体RVD电镀处理，蜂窝起泡器，台式安装、以红外线感应，通过集成线路微电脑处理发送脉冲主导电磁阀工作，功率：3W/220V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(规格)：H120MM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inline distT="0" distB="0" distL="114300" distR="114300">
                  <wp:extent cx="1057910" cy="1058545"/>
                  <wp:effectExtent l="0" t="0" r="8890" b="8255"/>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pic:cNvPicPr>
                        </pic:nvPicPr>
                        <pic:blipFill>
                          <a:blip r:embed="rId57" r:link="rId34"/>
                          <a:stretch>
                            <a:fillRect/>
                          </a:stretch>
                        </pic:blipFill>
                        <pic:spPr>
                          <a:xfrm>
                            <a:off x="0" y="0"/>
                            <a:ext cx="1057910" cy="1058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毛巾衣服挂架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--功能特点：通过紫外线杀灭包括细菌繁殖体、芽胞、分支杆菌、冠状病毒、真菌、立克次体和衣原体等；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--1.热阴极有效寿命8000小时，冷阴极在20000小时以上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--2.优质石英玻璃管，羟基含量小于等于50ppm、紫外线透过率大于等于90%；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--3.锆铝片技术，吸附管内杂气，延长使用寿命；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--4.超低汞技术，汞含量小于等于5mg，达欧盟标准；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--功率：220V/50HZ/36W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(规格)：1210*50*30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inline distT="0" distB="0" distL="114300" distR="114300">
                  <wp:extent cx="1100455" cy="734060"/>
                  <wp:effectExtent l="0" t="0" r="4445" b="8890"/>
                  <wp:docPr id="82" name="图片 81" descr="d70fabb031772807b08bb46db7822d5b_3014966552_192925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descr="d70fabb031772807b08bb46db7822d5b_3014966552_1929254196"/>
                          <pic:cNvPicPr>
                            <a:picLocks noChangeAspect="1"/>
                          </pic:cNvPicPr>
                        </pic:nvPicPr>
                        <pic:blipFill>
                          <a:blip r:embed="rId58"/>
                          <a:stretch>
                            <a:fillRect/>
                          </a:stretch>
                        </pic:blipFill>
                        <pic:spPr>
                          <a:xfrm>
                            <a:off x="0" y="0"/>
                            <a:ext cx="1100455" cy="7340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备餐间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粘捕式粘捕式灭蝇灯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(技术参数)：采用ABS阻燃材料，新型粘捕式，无声响、臭味、气体、虫尸不会散落在捕虫灯的外围；可捕杀蚊子、苍蝇、飞蛾等其它虫类，有效防蝇面积20-30㎡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(规格)：9W</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986" w:type="dxa"/>
          </w:tcPr>
          <w:p>
            <w:pPr>
              <w:snapToGrid w:val="0"/>
              <w:spacing w:line="360" w:lineRule="auto"/>
              <w:jc w:val="left"/>
            </w:pPr>
            <w:r>
              <w:drawing>
                <wp:inline distT="0" distB="0" distL="114300" distR="114300">
                  <wp:extent cx="880745" cy="662940"/>
                  <wp:effectExtent l="0" t="0" r="14605" b="3810"/>
                  <wp:docPr id="86" name="图片 31" descr="{$PN`IE]KQ]@[0Z)AZ7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descr="{$PN`IE]KQ]@[0Z)AZ7CA[B"/>
                          <pic:cNvPicPr>
                            <a:picLocks noChangeAspect="1"/>
                          </pic:cNvPicPr>
                        </pic:nvPicPr>
                        <pic:blipFill>
                          <a:blip r:embed="rId32"/>
                          <a:stretch>
                            <a:fillRect/>
                          </a:stretch>
                        </pic:blipFill>
                        <pic:spPr>
                          <a:xfrm>
                            <a:off x="0" y="0"/>
                            <a:ext cx="880745" cy="6629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紫外线消毒灯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--功能特点：通过紫外线杀灭包括细菌繁殖体、芽胞、分支杆菌、冠状病毒、真菌、立克次体和衣原体等；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--1.热阴极有效寿命8000小时，冷阴极在20000小时以上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--2.优质石英玻璃管，羟基含量小于等于50ppm、紫外线透过率大于等于90%；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--3.锆铝片技术，吸附管内杂气，延长使用寿命；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--4.超低汞技术，汞含量小于等于5mg，达欧盟标准；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--功率：220V/50HZ/36W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(规格)：1210*50*30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97152" behindDoc="1" locked="0" layoutInCell="1" allowOverlap="1">
                  <wp:simplePos x="0" y="0"/>
                  <wp:positionH relativeFrom="column">
                    <wp:posOffset>31750</wp:posOffset>
                  </wp:positionH>
                  <wp:positionV relativeFrom="paragraph">
                    <wp:posOffset>984250</wp:posOffset>
                  </wp:positionV>
                  <wp:extent cx="900430" cy="527050"/>
                  <wp:effectExtent l="0" t="0" r="13970" b="6350"/>
                  <wp:wrapThrough wrapText="bothSides">
                    <wp:wrapPolygon>
                      <wp:start x="0" y="0"/>
                      <wp:lineTo x="0" y="21080"/>
                      <wp:lineTo x="21021" y="21080"/>
                      <wp:lineTo x="21021" y="0"/>
                      <wp:lineTo x="0" y="0"/>
                    </wp:wrapPolygon>
                  </wp:wrapThrough>
                  <wp:docPr id="152" name="图片 140" descr="紫外线消毒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0" descr="紫外线消毒灯"/>
                          <pic:cNvPicPr>
                            <a:picLocks noChangeAspect="1"/>
                          </pic:cNvPicPr>
                        </pic:nvPicPr>
                        <pic:blipFill>
                          <a:blip r:embed="rId59"/>
                          <a:stretch>
                            <a:fillRect/>
                          </a:stretch>
                        </pic:blipFill>
                        <pic:spPr>
                          <a:xfrm>
                            <a:off x="0" y="0"/>
                            <a:ext cx="900430" cy="527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双层角弧工作台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--台面δ=1.2mm，实厚δ≥1.08mm，层板δ=1.0mm，实厚δ≥0.88mm；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--下衬12mm密度板减噪，配不锈钢加强筋、板δ=1.0mm，实厚δ≥0.88mm；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--层板型，配置重力不锈钢可调节子弹脚；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(规格)：1800*800*800mm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96128" behindDoc="1" locked="0" layoutInCell="1" allowOverlap="1">
                  <wp:simplePos x="0" y="0"/>
                  <wp:positionH relativeFrom="column">
                    <wp:posOffset>63500</wp:posOffset>
                  </wp:positionH>
                  <wp:positionV relativeFrom="paragraph">
                    <wp:posOffset>772160</wp:posOffset>
                  </wp:positionV>
                  <wp:extent cx="832485" cy="703580"/>
                  <wp:effectExtent l="0" t="0" r="5715" b="1270"/>
                  <wp:wrapThrough wrapText="bothSides">
                    <wp:wrapPolygon>
                      <wp:start x="0" y="0"/>
                      <wp:lineTo x="0" y="21054"/>
                      <wp:lineTo x="21254" y="21054"/>
                      <wp:lineTo x="21254" y="0"/>
                      <wp:lineTo x="0" y="0"/>
                    </wp:wrapPolygon>
                  </wp:wrapThrough>
                  <wp:docPr id="87" name="Picture 11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16" descr="双层工作台"/>
                          <pic:cNvPicPr>
                            <a:picLocks noChangeAspect="1"/>
                          </pic:cNvPicPr>
                        </pic:nvPicPr>
                        <pic:blipFill>
                          <a:blip r:embed="rId26"/>
                          <a:srcRect l="2597" r="3896"/>
                          <a:stretch>
                            <a:fillRect/>
                          </a:stretch>
                        </pic:blipFill>
                        <pic:spPr>
                          <a:xfrm>
                            <a:off x="0" y="0"/>
                            <a:ext cx="832485" cy="70358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双层工作台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--台面δ=1.2mm，实厚δ≥1.08mm，层板δ=1.0mm，实厚δ≥0.88mm；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--下衬12mm密度板减噪，配不锈钢加强筋、板δ=1.0mm，实厚δ≥0.88mm；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--层板型，配置重力不锈钢可调节子弹脚；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(规格)：1800*800*800mm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95104" behindDoc="1" locked="0" layoutInCell="1" allowOverlap="1">
                  <wp:simplePos x="0" y="0"/>
                  <wp:positionH relativeFrom="column">
                    <wp:posOffset>116840</wp:posOffset>
                  </wp:positionH>
                  <wp:positionV relativeFrom="paragraph">
                    <wp:posOffset>709295</wp:posOffset>
                  </wp:positionV>
                  <wp:extent cx="832485" cy="703580"/>
                  <wp:effectExtent l="0" t="0" r="5715" b="1270"/>
                  <wp:wrapThrough wrapText="bothSides">
                    <wp:wrapPolygon>
                      <wp:start x="0" y="0"/>
                      <wp:lineTo x="0" y="21054"/>
                      <wp:lineTo x="21254" y="21054"/>
                      <wp:lineTo x="21254" y="0"/>
                      <wp:lineTo x="0" y="0"/>
                    </wp:wrapPolygon>
                  </wp:wrapThrough>
                  <wp:docPr id="89" name="Picture 11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6" descr="双层工作台"/>
                          <pic:cNvPicPr>
                            <a:picLocks noChangeAspect="1"/>
                          </pic:cNvPicPr>
                        </pic:nvPicPr>
                        <pic:blipFill>
                          <a:blip r:embed="rId26"/>
                          <a:srcRect l="2597" r="3896"/>
                          <a:stretch>
                            <a:fillRect/>
                          </a:stretch>
                        </pic:blipFill>
                        <pic:spPr>
                          <a:xfrm>
                            <a:off x="0" y="0"/>
                            <a:ext cx="832485" cy="70358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单星水池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--台面及水斗δ=1.2mm，实厚δ≥1.08mm；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--圆通腿为φ38*1.0mm加厚不锈钢圆管，实厚δ≥0.88mm；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--下橫通为φ25*1.0mm加厚不锈钢圆管，实厚δ≥0.88mm；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(Specifications(规格)：600*600*（800+150）mm。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tcPr>
          <w:p>
            <w:pPr>
              <w:snapToGrid w:val="0"/>
              <w:spacing w:line="360" w:lineRule="auto"/>
              <w:jc w:val="left"/>
            </w:pPr>
            <w:r>
              <w:drawing>
                <wp:anchor distT="0" distB="0" distL="114300" distR="114300" simplePos="0" relativeHeight="251694080" behindDoc="1" locked="0" layoutInCell="1" allowOverlap="1">
                  <wp:simplePos x="0" y="0"/>
                  <wp:positionH relativeFrom="column">
                    <wp:posOffset>63500</wp:posOffset>
                  </wp:positionH>
                  <wp:positionV relativeFrom="paragraph">
                    <wp:posOffset>930910</wp:posOffset>
                  </wp:positionV>
                  <wp:extent cx="833755" cy="744855"/>
                  <wp:effectExtent l="0" t="0" r="4445" b="17145"/>
                  <wp:wrapThrough wrapText="bothSides">
                    <wp:wrapPolygon>
                      <wp:start x="0" y="0"/>
                      <wp:lineTo x="0" y="20992"/>
                      <wp:lineTo x="21222" y="20992"/>
                      <wp:lineTo x="21222" y="0"/>
                      <wp:lineTo x="0" y="0"/>
                    </wp:wrapPolygon>
                  </wp:wrapThrough>
                  <wp:docPr id="90" name="Picture 524" descr="x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24" descr="xs_3"/>
                          <pic:cNvPicPr>
                            <a:picLocks noChangeAspect="1"/>
                          </pic:cNvPicPr>
                        </pic:nvPicPr>
                        <pic:blipFill>
                          <a:blip r:embed="rId28"/>
                          <a:stretch>
                            <a:fillRect/>
                          </a:stretch>
                        </pic:blipFill>
                        <pic:spPr>
                          <a:xfrm>
                            <a:off x="0" y="0"/>
                            <a:ext cx="833755" cy="7448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4"/>
                <w:szCs w:val="24"/>
                <w:u w:val="none"/>
                <w:lang w:val="en-US" w:eastAsia="zh-CN" w:bidi="ar"/>
              </w:rPr>
              <w:t>6</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脚踏龙头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--精铜主体RVD电镀处理，蜂窝起泡器，台式安装、以红外线感应，通过集成线路微电脑处理发送脉冲主导电磁阀工作，功率：3W/220V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(规格)：H120MM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tcPr>
          <w:p>
            <w:pPr>
              <w:snapToGrid w:val="0"/>
              <w:spacing w:line="360" w:lineRule="auto"/>
              <w:jc w:val="left"/>
            </w:pPr>
            <w:r>
              <w:drawing>
                <wp:inline distT="0" distB="0" distL="114300" distR="114300">
                  <wp:extent cx="1057910" cy="1058545"/>
                  <wp:effectExtent l="0" t="0" r="8890" b="8255"/>
                  <wp:docPr id="167"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6"/>
                          <pic:cNvPicPr>
                            <a:picLocks noChangeAspect="1"/>
                          </pic:cNvPicPr>
                        </pic:nvPicPr>
                        <pic:blipFill>
                          <a:blip r:embed="rId57" r:link="rId34"/>
                          <a:stretch>
                            <a:fillRect/>
                          </a:stretch>
                        </pic:blipFill>
                        <pic:spPr>
                          <a:xfrm>
                            <a:off x="0" y="0"/>
                            <a:ext cx="1057910" cy="1058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保鲜工作台                                                                     技术参数                                                                 1、不锈钢门板，门内衬内箱底板一次性拉伸成型，圆角，方便清洁卫生，符合食品卫生安全标准。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2、容积：≥320L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3、制冷温度：-5℃~+8℃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4、输入功率：220W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5、LED温度显示屏，机械温控器，柜内温度一目了然。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6、制冷方式：直冷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7、外形尺寸：1800*700*800mm（允许误差范围±10mm）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8、外壳采用优质不锈钢板制作，环戊烷聚氨酯发泡保温层。</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33655</wp:posOffset>
                  </wp:positionH>
                  <wp:positionV relativeFrom="paragraph">
                    <wp:posOffset>814705</wp:posOffset>
                  </wp:positionV>
                  <wp:extent cx="1088390" cy="567055"/>
                  <wp:effectExtent l="0" t="0" r="16510" b="4445"/>
                  <wp:wrapNone/>
                  <wp:docPr id="5" name="图片_53"/>
                  <wp:cNvGraphicFramePr/>
                  <a:graphic xmlns:a="http://schemas.openxmlformats.org/drawingml/2006/main">
                    <a:graphicData uri="http://schemas.openxmlformats.org/drawingml/2006/picture">
                      <pic:pic xmlns:pic="http://schemas.openxmlformats.org/drawingml/2006/picture">
                        <pic:nvPicPr>
                          <pic:cNvPr id="5" name="图片_53"/>
                          <pic:cNvPicPr/>
                        </pic:nvPicPr>
                        <pic:blipFill>
                          <a:blip r:embed="rId60"/>
                          <a:stretch>
                            <a:fillRect/>
                          </a:stretch>
                        </pic:blipFill>
                        <pic:spPr>
                          <a:xfrm>
                            <a:off x="0" y="0"/>
                            <a:ext cx="1088390" cy="5670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4"/>
                <w:szCs w:val="24"/>
                <w:u w:val="none"/>
                <w:lang w:val="en-US" w:eastAsia="zh-CN" w:bidi="ar"/>
              </w:rPr>
              <w:t>8</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落地式双通传菜梯</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（产地品牌）：</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drawing>
                <wp:inline distT="0" distB="0" distL="114300" distR="114300">
                  <wp:extent cx="927735" cy="928370"/>
                  <wp:effectExtent l="0" t="0" r="5715" b="5080"/>
                  <wp:docPr id="151" name="图片 150" descr="dd3b698e8111fe8daf0f8e775c7231ed_20211119081423004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0" descr="dd3b698e8111fe8daf0f8e775c7231ed_202111190814230048894"/>
                          <pic:cNvPicPr>
                            <a:picLocks noChangeAspect="1"/>
                          </pic:cNvPicPr>
                        </pic:nvPicPr>
                        <pic:blipFill>
                          <a:blip r:embed="rId61"/>
                          <a:stretch>
                            <a:fillRect/>
                          </a:stretch>
                        </pic:blipFill>
                        <pic:spPr>
                          <a:xfrm>
                            <a:off x="0" y="0"/>
                            <a:ext cx="927735" cy="9283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分餐间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粘捕式粘捕式灭蝇灯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(技术参数)：采用ABS阻燃材料，新型粘捕式，无声响、臭味、气体、虫尸不会散落在捕虫灯的外围；可捕杀蚊子、苍蝇、飞蛾等其它虫类，有效防蝇面积20-30㎡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(规格)：9W</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880745" cy="662940"/>
                  <wp:effectExtent l="0" t="0" r="14605" b="3810"/>
                  <wp:docPr id="94" name="图片 31" descr="{$PN`IE]KQ]@[0Z)AZ7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1" descr="{$PN`IE]KQ]@[0Z)AZ7CA[B"/>
                          <pic:cNvPicPr>
                            <a:picLocks noChangeAspect="1"/>
                          </pic:cNvPicPr>
                        </pic:nvPicPr>
                        <pic:blipFill>
                          <a:blip r:embed="rId32"/>
                          <a:stretch>
                            <a:fillRect/>
                          </a:stretch>
                        </pic:blipFill>
                        <pic:spPr>
                          <a:xfrm>
                            <a:off x="0" y="0"/>
                            <a:ext cx="880745" cy="6629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紫外线消毒灯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--功能特点：通过紫外线杀灭包括细菌繁殖体、芽胞、分支杆菌、冠状病毒、真菌、立克次体和衣原体等；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--1.热阴极有效寿命8000小时，冷阴极在20000小时以上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--2.优质石英玻璃管，羟基含量小于等于50ppm、紫外线透过率大于等于90%；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--3.锆铝片技术，吸附管内杂气，延长使用寿命；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--4.超低汞技术，汞含量小于等于5mg，达欧盟标准；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--功率：220V/50HZ/36W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(规格)：1210*50*30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900430" cy="527050"/>
                  <wp:effectExtent l="0" t="0" r="13970" b="6350"/>
                  <wp:docPr id="95" name="图片 140" descr="紫外线消毒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0" descr="紫外线消毒灯"/>
                          <pic:cNvPicPr>
                            <a:picLocks noChangeAspect="1"/>
                          </pic:cNvPicPr>
                        </pic:nvPicPr>
                        <pic:blipFill>
                          <a:blip r:embed="rId59"/>
                          <a:stretch>
                            <a:fillRect/>
                          </a:stretch>
                        </pic:blipFill>
                        <pic:spPr>
                          <a:xfrm>
                            <a:off x="0" y="0"/>
                            <a:ext cx="900430" cy="5270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定制带弧角转角工作台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（产地品牌）：厂制品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--采用优质SUS304-2B不锈钢板制作；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--台面为δ=1.2mm，实厚δ≥1.08mm；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--侧板δ=1.0mm，实厚δ≥0.88mm；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--门板δ=1.0mm，实厚δ≥0.88mm；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--底板、层板、背板δ=1.0mm，实厚δ≥0.88mm；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--双边上挂式尼龙静音滑轮移门，内置一层可调层板，下衬12mm密度板减噪；--配不锈钢加强筋δ=1.0mm，实厚δ≥0.88mm；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--配置Φ50*150*1.0mm重力不锈钢可调节子弹脚；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(规格)：1550*1050*800mm。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800735" cy="1330960"/>
                  <wp:effectExtent l="0" t="0" r="18415" b="2540"/>
                  <wp:docPr id="166"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5"/>
                          <pic:cNvPicPr>
                            <a:picLocks noChangeAspect="1"/>
                          </pic:cNvPicPr>
                        </pic:nvPicPr>
                        <pic:blipFill>
                          <a:blip r:embed="rId62"/>
                          <a:srcRect l="43355" t="19115" r="28148" b="32203"/>
                          <a:stretch>
                            <a:fillRect/>
                          </a:stretch>
                        </pic:blipFill>
                        <pic:spPr>
                          <a:xfrm>
                            <a:off x="0" y="0"/>
                            <a:ext cx="800735" cy="13309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ahoma" w:hAnsi="Tahoma" w:eastAsia="Tahoma" w:cs="Tahoma"/>
                <w:i w:val="0"/>
                <w:iCs w:val="0"/>
                <w:color w:val="000000"/>
                <w:kern w:val="0"/>
                <w:sz w:val="22"/>
                <w:szCs w:val="22"/>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三格保温售菜台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--采用SUS304-2B不锈钢板制造，台面板δ=1.2mm，实厚δ≥1.08mm；围板δ=1.0mm，实厚δ≥0.88mm；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--圆通脚为Φ38*1.0mm加厚不锈钢圆管，实厚δ≥0.88mm；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--配有重力可调子弹脚。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--3只机压不锈钢份数盘，份数盘规格1/1*150，实厚δ≥0.71mm；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--设备特定中制系列安全保护系统及操作保护功能，预开放为一体智能专用数码显示微电脑控制系统,面板控制规格：160*80mm；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--标准时间数字显示，工作温度可调节设置；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--恒温工作时间可自动关闭设置；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--当前工作时间数字显示，当前温度数字显示；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--12V进水电磁阀，自动加水和缺水保护；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--预约式工作时段可调节设置；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--功率：3KW/220V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(规格)：1200×700×800mm                                                             须提供投标人自身具有的检测报告或证书符合                                         ★GB/T10125-2012《人造气氛腐蚀试验 盐雾试验》经168小时乙酸盐雾试验后，表面耐腐蚀等级不小于10级、GB/4806.9-2016《食品安全国家标准 食品接触用金属材料及制品》、 QB/T2139.3-1995《不锈钢厨房设备 操作台》、QB/T3832-1999《轻工产品金属镀层腐蚀试验结果的评价》的标准要求；                                                                                                    ★GB4806.9-2016标准 食品接触产品安全认证证书，同时具备带CMA标识的检测报告。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1022350" cy="716915"/>
                  <wp:effectExtent l="0" t="0" r="6350" b="6985"/>
                  <wp:docPr id="150" name="图片 149" descr="c824ba8230aa68c14050f366e168ab8e_200910271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9" descr="c824ba8230aa68c14050f366e168ab8e_2009102712925"/>
                          <pic:cNvPicPr>
                            <a:picLocks noChangeAspect="1"/>
                          </pic:cNvPicPr>
                        </pic:nvPicPr>
                        <pic:blipFill>
                          <a:blip r:embed="rId63"/>
                          <a:stretch>
                            <a:fillRect/>
                          </a:stretch>
                        </pic:blipFill>
                        <pic:spPr>
                          <a:xfrm>
                            <a:off x="0" y="0"/>
                            <a:ext cx="1022350" cy="7169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双层工作台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--台面δ=1.2mm，实厚δ≥1.08mm，层板δ=1.0mm，实厚δ≥0.88mm；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--下衬12mm密度板减噪，配不锈钢加强筋、板δ=1.0mm，实厚δ≥0.88mm；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--层板型，配置重力不锈钢可调节子弹脚；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(规格)：1700*700*800mm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832485" cy="703580"/>
                  <wp:effectExtent l="0" t="0" r="5715" b="1270"/>
                  <wp:docPr id="96" name="Picture 11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16" descr="双层工作台"/>
                          <pic:cNvPicPr>
                            <a:picLocks noChangeAspect="1"/>
                          </pic:cNvPicPr>
                        </pic:nvPicPr>
                        <pic:blipFill>
                          <a:blip r:embed="rId26"/>
                          <a:srcRect l="2597" r="3896"/>
                          <a:stretch>
                            <a:fillRect/>
                          </a:stretch>
                        </pic:blipFill>
                        <pic:spPr>
                          <a:xfrm>
                            <a:off x="0" y="0"/>
                            <a:ext cx="832485" cy="7035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单门留样冰箱（掩门）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--箱体外面材料是冷轧钢钣、喷漆钣制作，，内胆采用优质光铝板喷涂制作，板厚δ=0.6mm；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--门采用双层中空钢化玻璃，自动回归门；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--采用优质高品质国产名牌压缩机组；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--聚胺脂一次发泡成型，R600a无氟环保制冷剂；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--全铜管冷凝器、蒸发器；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--单机单温，温度范围：0℃～+10℃；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--容积：300L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--制冷方式：风直冷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(规格)：500*50*1000mm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1004570" cy="1634490"/>
                  <wp:effectExtent l="0" t="0" r="5080" b="3810"/>
                  <wp:docPr id="155" name="图片 20" descr="3RG323[F47L~SJM~}J~}KPO"/>
                  <wp:cNvGraphicFramePr/>
                  <a:graphic xmlns:a="http://schemas.openxmlformats.org/drawingml/2006/main">
                    <a:graphicData uri="http://schemas.openxmlformats.org/drawingml/2006/picture">
                      <pic:pic xmlns:pic="http://schemas.openxmlformats.org/drawingml/2006/picture">
                        <pic:nvPicPr>
                          <pic:cNvPr id="155" name="图片 20" descr="3RG323[F47L~SJM~}J~}KPO"/>
                          <pic:cNvPicPr/>
                        </pic:nvPicPr>
                        <pic:blipFill>
                          <a:blip r:embed="rId64"/>
                          <a:srcRect/>
                          <a:stretch>
                            <a:fillRect/>
                          </a:stretch>
                        </pic:blipFill>
                        <pic:spPr>
                          <a:xfrm>
                            <a:off x="0" y="0"/>
                            <a:ext cx="1004570" cy="1634490"/>
                          </a:xfrm>
                          <a:prstGeom prst="rect">
                            <a:avLst/>
                          </a:prstGeom>
                          <a:noFill/>
                          <a:ln w="9525" cap="flat" cmpd="sng">
                            <a:noFill/>
                            <a:prstDash val="solid"/>
                            <a:miter/>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单星水池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--台面及水斗δ=1.2mm，实厚δ≥1.08mm；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--圆通腿为φ38*1.0mm加厚不锈钢圆管，实厚δ≥0.88mm；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--下橫通为φ25*1.0mm加厚不锈钢圆管，实厚δ≥0.88mm；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(Specifications(规格)：600*700*（800+150）mm。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833755" cy="744855"/>
                  <wp:effectExtent l="0" t="0" r="4445" b="17145"/>
                  <wp:docPr id="168" name="Picture 524" descr="x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524" descr="xs_3"/>
                          <pic:cNvPicPr>
                            <a:picLocks noChangeAspect="1"/>
                          </pic:cNvPicPr>
                        </pic:nvPicPr>
                        <pic:blipFill>
                          <a:blip r:embed="rId28"/>
                          <a:stretch>
                            <a:fillRect/>
                          </a:stretch>
                        </pic:blipFill>
                        <pic:spPr>
                          <a:xfrm>
                            <a:off x="0" y="0"/>
                            <a:ext cx="833755" cy="7448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8</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脚踏龙头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--精铜主体RVD电镀处理，蜂窝起泡器，台式安装、以红外线感应，通过集成线路微电脑处理发送脉冲主导电磁阀工作，功率：3W/220V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(规格)：H120MM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1057910" cy="1058545"/>
                  <wp:effectExtent l="0" t="0" r="8890" b="8255"/>
                  <wp:docPr id="169"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8"/>
                          <pic:cNvPicPr>
                            <a:picLocks noChangeAspect="1"/>
                          </pic:cNvPicPr>
                        </pic:nvPicPr>
                        <pic:blipFill>
                          <a:blip r:embed="rId57" r:link="rId34"/>
                          <a:stretch>
                            <a:fillRect/>
                          </a:stretch>
                        </pic:blipFill>
                        <pic:spPr>
                          <a:xfrm>
                            <a:off x="0" y="0"/>
                            <a:ext cx="1057910" cy="1058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9</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双层工作台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--台面δ=1.2mm，实厚δ≥1.08mm，层板δ=1.0mm，实厚δ≥0.88mm；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--下衬12mm密度板减噪，配不锈钢加强筋、板δ=1.0mm，实厚δ≥0.88mm；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--层板型，配置重力不锈钢可调节子弹脚；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(规格)：1450*700*800mm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136525</wp:posOffset>
                  </wp:positionH>
                  <wp:positionV relativeFrom="paragraph">
                    <wp:posOffset>752475</wp:posOffset>
                  </wp:positionV>
                  <wp:extent cx="832485" cy="703580"/>
                  <wp:effectExtent l="0" t="0" r="5715" b="1270"/>
                  <wp:wrapNone/>
                  <wp:docPr id="7" name="Picture_116"/>
                  <wp:cNvGraphicFramePr/>
                  <a:graphic xmlns:a="http://schemas.openxmlformats.org/drawingml/2006/main">
                    <a:graphicData uri="http://schemas.openxmlformats.org/drawingml/2006/picture">
                      <pic:pic xmlns:pic="http://schemas.openxmlformats.org/drawingml/2006/picture">
                        <pic:nvPicPr>
                          <pic:cNvPr id="7" name="Picture_116"/>
                          <pic:cNvPicPr/>
                        </pic:nvPicPr>
                        <pic:blipFill>
                          <a:blip r:embed="rId65"/>
                          <a:stretch>
                            <a:fillRect/>
                          </a:stretch>
                        </pic:blipFill>
                        <pic:spPr>
                          <a:xfrm>
                            <a:off x="0" y="0"/>
                            <a:ext cx="832485" cy="703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粘捕式粘捕式灭蝇灯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--采用ABS阻燃材料，新型粘捕式，无声响、臭味、气体、虫尸不会散落在捕虫灯的外围；可捕杀蚊子、苍蝇、飞蛾等其它虫类，有效防蝇面积20-30㎡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(规格)：9W</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986" w:type="dxa"/>
            <w:vAlign w:val="center"/>
          </w:tcPr>
          <w:p>
            <w:pPr>
              <w:keepNext w:val="0"/>
              <w:keepLines w:val="0"/>
              <w:widowControl/>
              <w:suppressLineNumbers w:val="0"/>
              <w:jc w:val="center"/>
              <w:textAlignment w:val="center"/>
            </w:pPr>
            <w:r>
              <w:drawing>
                <wp:inline distT="0" distB="0" distL="114300" distR="114300">
                  <wp:extent cx="880745" cy="657860"/>
                  <wp:effectExtent l="0" t="0" r="14605" b="8890"/>
                  <wp:docPr id="100" name="图片 31" descr="{$PN`IE]KQ]@[0Z)AZ7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1" descr="{$PN`IE]KQ]@[0Z)AZ7CA[B"/>
                          <pic:cNvPicPr>
                            <a:picLocks noChangeAspect="1"/>
                          </pic:cNvPicPr>
                        </pic:nvPicPr>
                        <pic:blipFill>
                          <a:blip r:embed="rId32"/>
                          <a:stretch>
                            <a:fillRect/>
                          </a:stretch>
                        </pic:blipFill>
                        <pic:spPr>
                          <a:xfrm>
                            <a:off x="0" y="0"/>
                            <a:ext cx="880745" cy="6578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一开一温触控式节能饮水机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w:t>
            </w:r>
          </w:p>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--台面及水斗δ=1.0mm，实厚δ≥0.88mm；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--二出水，聚氨酯发泡加厚保温层，优质食品级不锈钢热水快开龙头，新型加热技术及控制系统，防干烧、防开盖、防漏电；LED显示屏，触摸开关，随意定制多嘴出水温度。自动反冲洗技术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--功率：3KW/380V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(规格)：460x450x1170mm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873760" cy="1024890"/>
                  <wp:effectExtent l="0" t="0" r="2540" b="3810"/>
                  <wp:docPr id="101" name="图片 14" descr="}CC%DN]J1JB`YC}QKYE[_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 descr="}CC%DN]J1JB`YC}QKYE[_EI"/>
                          <pic:cNvPicPr>
                            <a:picLocks noChangeAspect="1"/>
                          </pic:cNvPicPr>
                        </pic:nvPicPr>
                        <pic:blipFill>
                          <a:blip r:embed="rId66"/>
                          <a:stretch>
                            <a:fillRect/>
                          </a:stretch>
                        </pic:blipFill>
                        <pic:spPr>
                          <a:xfrm>
                            <a:off x="0" y="0"/>
                            <a:ext cx="873760" cy="10248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保温汤饭车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--选用SUS304-2B优质不锈钢制作，台面板δ=1.2mm，实厚δ≥1.08mm，围板δ=0.8mm，实厚δ≥0.68mm；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--推手采用28*28*1.0mm加厚方管制，实厚δ≥0.88mm；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--配重力定轮2只，万向轮1只，万向刹车轮1只。配φ400不锈钢圆桶1只。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--设备特定中制系列安全保护系统及操作保护功能，预开放为一体智能专用数码显示微电脑控制系统，面板控制规格：160*80mm；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--标准时间数字显示，工作温度可调节设置；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--恒温工作时间可自动关闭设置；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--当前工作时间数字显示，当前温度数字显示；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--12V进水电磁阀，自动加水和缺水保护；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--预约式工作时段可调节设置；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--功率：2KW/220V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(规格)：600*600*800mm★须提供投标人自身具有的符合GB4806.9-2016标准 食品接触产品安全认证证书，同时具备产品检测报告。★须提供投标人自身具有的符合GB4806.1-2016；GB4806.9-2016标准 食品接触产品卫生认证证书。</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1039495" cy="1055370"/>
                  <wp:effectExtent l="0" t="0" r="8255" b="11430"/>
                  <wp:docPr id="102" name="Picture 460" descr="wps_clip_image-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60" descr="wps_clip_image-5064"/>
                          <pic:cNvPicPr>
                            <a:picLocks noChangeAspect="1"/>
                          </pic:cNvPicPr>
                        </pic:nvPicPr>
                        <pic:blipFill>
                          <a:blip r:embed="rId67"/>
                          <a:stretch>
                            <a:fillRect/>
                          </a:stretch>
                        </pic:blipFill>
                        <pic:spPr>
                          <a:xfrm>
                            <a:off x="0" y="0"/>
                            <a:ext cx="1039495" cy="10553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收残台带水池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--斗选用SUS304-2B不锈钢制作，板δ=1.2mm，实厚δ≥1.08mm；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--推手采用28*28*1.0mm不锈钢方管一次成型，厚≥0.88mm；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--手柄采用φ25*1.0mm不锈钢加厚圆管，实厚δ≥0.88mm；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--双层设计，凹槽型浅斗，车斗900*500*20mm；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--配重力定轮2只，万向轮1只，万向刹车轮1只；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(规格)：1200*600*850mm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辆</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1110615" cy="1040130"/>
                  <wp:effectExtent l="0" t="0" r="13335" b="7620"/>
                  <wp:docPr id="156" name="图片 155" descr="18cac50d903fa04da8c1b81f0822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5" descr="18cac50d903fa04da8c1b81f0822eb7"/>
                          <pic:cNvPicPr>
                            <a:picLocks noChangeAspect="1"/>
                          </pic:cNvPicPr>
                        </pic:nvPicPr>
                        <pic:blipFill>
                          <a:blip r:embed="rId68"/>
                          <a:srcRect t="24270" r="30375" b="27023"/>
                          <a:stretch>
                            <a:fillRect/>
                          </a:stretch>
                        </pic:blipFill>
                        <pic:spPr>
                          <a:xfrm>
                            <a:off x="0" y="0"/>
                            <a:ext cx="1110615" cy="10401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pPr>
            <w:r>
              <w:rPr>
                <w:rFonts w:hint="eastAsia" w:ascii="宋体" w:hAnsi="宋体" w:eastAsia="宋体" w:cs="宋体"/>
                <w:i w:val="0"/>
                <w:iCs w:val="0"/>
                <w:color w:val="FF0000"/>
                <w:kern w:val="0"/>
                <w:sz w:val="36"/>
                <w:szCs w:val="36"/>
                <w:u w:val="none"/>
                <w:lang w:val="en-US" w:eastAsia="zh-CN" w:bidi="ar"/>
              </w:rPr>
              <w:t>包厢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挂墙柜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--采用优质SUS304-2B不锈钢板制作；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--台面为δ=1.2mm，实厚δ≥1.08mm；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--侧板δ=1.0mm，实厚δ≥0.88mm；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--门板δ=1.0mm，实厚δ≥0.88mm；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--底板、层板、背板δ=1.0mm，实厚δ≥0.88mm；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--单边上挂式尼龙静音滑轮移门，内置一层可调层板，下衬12mm密度板减噪；--配不锈钢加强筋δ=1.0mm，实厚δ≥0.88mm；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--背部配置两个不锈钢挂耳；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(规格)：1160*450*700mm。                                                                投标人自身具有的检测报告或证书符合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★GB4806.9-2016标准 食品接触产品安全认证证书，同时具备带CMA标识的检测报告。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946150" cy="455930"/>
                  <wp:effectExtent l="0" t="0" r="6350" b="127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pic:cNvPicPr>
                            <a:picLocks noChangeAspect="1"/>
                          </pic:cNvPicPr>
                        </pic:nvPicPr>
                        <pic:blipFill>
                          <a:blip r:embed="rId69"/>
                          <a:stretch>
                            <a:fillRect/>
                          </a:stretch>
                        </pic:blipFill>
                        <pic:spPr>
                          <a:xfrm>
                            <a:off x="0" y="0"/>
                            <a:ext cx="946150" cy="4559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ahoma" w:hAnsi="Tahoma" w:eastAsia="Tahoma" w:cs="Tahoma"/>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备餐台消毒柜(抽屉）</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ahoma" w:hAnsi="Tahoma" w:eastAsia="Tahoma" w:cs="Tahoma"/>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813435" cy="618490"/>
                  <wp:effectExtent l="0" t="0" r="5715" b="10160"/>
                  <wp:docPr id="157" name="图片 156" descr="a70dfab2cadd94c780d23a0f48ba3538_O1CN01zO3bCb1NrpoZxYt76_!!241001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6" descr="a70dfab2cadd94c780d23a0f48ba3538_O1CN01zO3bCb1NrpoZxYt76_!!2410011624"/>
                          <pic:cNvPicPr>
                            <a:picLocks noChangeAspect="1"/>
                          </pic:cNvPicPr>
                        </pic:nvPicPr>
                        <pic:blipFill>
                          <a:blip r:embed="rId70"/>
                          <a:srcRect l="-53" t="19632" r="-1553" b="22437"/>
                          <a:stretch>
                            <a:fillRect/>
                          </a:stretch>
                        </pic:blipFill>
                        <pic:spPr>
                          <a:xfrm>
                            <a:off x="0" y="0"/>
                            <a:ext cx="813435" cy="6184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pPr>
            <w:r>
              <w:rPr>
                <w:rFonts w:hint="eastAsia" w:ascii="宋体" w:hAnsi="宋体" w:eastAsia="宋体" w:cs="宋体"/>
                <w:i w:val="0"/>
                <w:iCs w:val="0"/>
                <w:color w:val="FF0000"/>
                <w:kern w:val="0"/>
                <w:sz w:val="36"/>
                <w:szCs w:val="36"/>
                <w:u w:val="none"/>
                <w:lang w:val="en-US" w:eastAsia="zh-CN" w:bidi="ar"/>
              </w:rPr>
              <w:t>洗消间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粘捕式粘捕式灭蝇灯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(技术参数)：采用ABS阻燃材料，新型粘捕式，无声响、臭味、气体、虫尸不会散落在捕虫灯的外围；可捕杀蚊子、苍蝇、飞蛾等其它虫类，有效防蝇面积20-30㎡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(规格)：9W</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986" w:type="dxa"/>
            <w:vAlign w:val="center"/>
          </w:tcPr>
          <w:p>
            <w:pPr>
              <w:keepNext w:val="0"/>
              <w:keepLines w:val="0"/>
              <w:widowControl/>
              <w:suppressLineNumbers w:val="0"/>
              <w:jc w:val="center"/>
              <w:textAlignment w:val="center"/>
            </w:pPr>
            <w:r>
              <w:drawing>
                <wp:inline distT="0" distB="0" distL="114300" distR="114300">
                  <wp:extent cx="880745" cy="662940"/>
                  <wp:effectExtent l="0" t="0" r="14605" b="3810"/>
                  <wp:docPr id="45" name="图片 31" descr="{$PN`IE]KQ]@[0Z)AZ7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descr="{$PN`IE]KQ]@[0Z)AZ7CA[B"/>
                          <pic:cNvPicPr>
                            <a:picLocks noChangeAspect="1"/>
                          </pic:cNvPicPr>
                        </pic:nvPicPr>
                        <pic:blipFill>
                          <a:blip r:embed="rId32"/>
                          <a:stretch>
                            <a:fillRect/>
                          </a:stretch>
                        </pic:blipFill>
                        <pic:spPr>
                          <a:xfrm>
                            <a:off x="0" y="0"/>
                            <a:ext cx="880745" cy="6629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污碟台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--台面板δ=1.2mm，实厚δ≥1.08mm，下横通采用φ25*1.0mm圆管，实厚δ≥1.08mm；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--φ250残物回收孔，配不锈钢加强筋、δ=1.0mm，实厚δ≥0.88mm。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--配置重力不锈钢可调节子弹脚，车、桶、台配套；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(规格)：650*800*（800+150）mm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1074420" cy="1283335"/>
                  <wp:effectExtent l="0" t="0" r="11430" b="12065"/>
                  <wp:docPr id="159"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8"/>
                          <pic:cNvPicPr>
                            <a:picLocks noChangeAspect="1"/>
                          </pic:cNvPicPr>
                        </pic:nvPicPr>
                        <pic:blipFill>
                          <a:blip r:embed="rId33" r:link="rId34"/>
                          <a:srcRect r="17297" b="1376"/>
                          <a:stretch>
                            <a:fillRect/>
                          </a:stretch>
                        </pic:blipFill>
                        <pic:spPr>
                          <a:xfrm>
                            <a:off x="0" y="0"/>
                            <a:ext cx="1074420" cy="1283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c>
          <w:tcPr>
            <w:tcW w:w="5716"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单星水池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--台面及水斗δ=1.2mm，实厚δ≥1.08mm，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--圆通腿为φ38*1.0mm加厚不锈钢圆管，实厚δ≥0.88mm；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--下橫通为φ25*1.0mm加厚不锈钢圆管，实厚δ≥0.88mm；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(规格)：700*800*(800+150)mm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875665" cy="562610"/>
                  <wp:effectExtent l="0" t="0" r="635" b="8890"/>
                  <wp:docPr id="51" name="Picture 444" descr="wps_clip_image-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44" descr="wps_clip_image-15394"/>
                          <pic:cNvPicPr>
                            <a:picLocks noChangeAspect="1"/>
                          </pic:cNvPicPr>
                        </pic:nvPicPr>
                        <pic:blipFill>
                          <a:blip r:embed="rId71"/>
                          <a:stretch>
                            <a:fillRect/>
                          </a:stretch>
                        </pic:blipFill>
                        <pic:spPr>
                          <a:xfrm>
                            <a:off x="0" y="0"/>
                            <a:ext cx="875665" cy="5626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带传式洗碗机（电热型带烘干）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洗涤缸数≥3个，洗涤程序≥4个，烘干程序≥2个2、机器传送带速度无极变速可调，最大速度：≥3.5米/分钟;洗涤能力4500-5000蝶/小时（6寸）3、由入口区、预洗区、主洗区、预漂洗区、清水漂洗区、烘干1区、烘干2区、出口区组成8个部分组成；机器采用模块化设计.尺寸要求：≥3400*1018*2113；入口区长度≥900mm，预洗区长度≥800mm，主洗区长度≥800mm，高温漂洗区（包括：预漂洗、清水漂洗）长度≥600mm，烘干1区长度≥800mm，烘干2区长度≥800mm，出口区长度≥1100mm，综合以上要求洗碗机总长度≥5800mm。4、机器最大清洗高度≥420mm，机器入口宽度≥605mm，传送网带宽度≥510mm，机器最大宽度≥1018mm；5、主洗区由5根上洗涤臂和4根下洗涤臂组成，每根喷淋管为不锈钢圆管，管径为38mm±0.5mm,使用55—60℃的循环水在高压下清洗污渍；高温漂洗区由上下各2根漂洗臂组成，使用82—95℃的高温清水进行消毒；洗涤臂采用内凹8字形喷嘴，避免残渣堵住喷嘴，提高餐具跟水流的接触面积，保证360°喷淋无死角；6、总功率35KW。7、★水泵、电磁阀、加热管、挡水帘、水位开关、网爪、传送电机等核心部件全部提供相关证明材料。8、配置洗涤剂节省系统，将60%以上的漂洗水直接引到除渣冲洗缸，避免大量漂洗水溢到主洗水缸导致主洗水的清洁剂浓度降低。清洁剂节省最高达到70%。除渣冲洗缸能有效去除餐具大部分食物残渣，此区域滤网能在机器运行中取出，操作简易；9、在机器前端设有启动暂停开关，操作简单。入口区配置抽屉式接渣过滤装置，并且抽屉滤网在机器运行过程中能取出清洁;10、预漂洗区配置旋转分离器，在机器运行中去除水缸中食物残渣，净化循环水，改善洗涤效果；机器漂洗区设有反虹吸装置，防止设备停止运转时，漂水不停，将加热包中的水排干导致加热器干烧。11、出口区末端配置限位开关，当洗涤完毕的餐具触碰限位开关后，机器传送带停止运行；出端传送电机设有过载保护装置，当输送带遇意外卡顿停止或载物过重，传送电机会自动停止运行，保护设备长期运行；★设备需带设备工单管理平台二维码，能直接与设备厂家微公众号互动，实现设备档案列表、一键报单、在线反馈、报修等功能；（需提供微信报单报修界面功能截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所投洗碗机须具有由中国质量认证中心出具的CQC食品接触产品安全认证证书，产品标准和技术要求符合GB4806.7-2016;GB4806.9-2016；（须提供有效的厂家盖章复印件及认证中心官网查询截图（或网页）打印（含网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14、★所投洗碗机具有中国质量认证中心出具的CQC产品认证证书，产品符合CQC12-439351-2009;CQC12-448100-2009认证规则的要求；（须提供有效的厂家盖章复印件及认证中心官网查询截图（或网页）打印（含网站））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所投洗碗机依据GB4706.1-2005和GB4706.50-2008标准，在正常工作温度下，输入功率与额定功率的偏差不应超过标准规定的范围（偏差极值：+15%），对有害进水的防护等级≥IPX4（须提供投标产品由具有检验检测机构资质的第三方机构出具的有效检验检测报告复印件，检测报告上须体现“CMA,CNAS”标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16、★所投洗碗机具有保险公司提供的产品责任险保单（须提供有效的厂家盖章复印件及保险公司官网保单查询截图（或网页）打印））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17、★所投洗碗机须提供省级以上疾病预防控制中心依据GB14934-1994标准针对洗碗机清洗过的餐具中大肠杆菌的指标出具的检测报告。检测报告上须体现“CMA,CNAS”标识。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18、★所投洗碗机须提供国际知名检测机构SGS依据GB14934-2016标准针对洗碗机清洗过的餐具关于所含大肠菌群，沙门氏菌，阴离子合成洗涤剂，游离余氯的指标的出具的检测报告。（须提供有效的厂家盖章复印件）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19、★所有资质证件必须提供生产厂家复印件盖鲜红公章（黑章无效）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1009015" cy="748030"/>
                  <wp:effectExtent l="0" t="0" r="635" b="1397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pic:cNvPicPr>
                            <a:picLocks noChangeAspect="1"/>
                          </pic:cNvPicPr>
                        </pic:nvPicPr>
                        <pic:blipFill>
                          <a:blip r:embed="rId72"/>
                          <a:stretch>
                            <a:fillRect/>
                          </a:stretch>
                        </pic:blipFill>
                        <pic:spPr>
                          <a:xfrm>
                            <a:off x="0" y="0"/>
                            <a:ext cx="1009015" cy="74803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洗碗机洁碟台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--选用SUS304-2B优质不锈钢板制作，台面δ=1.2mm，实厚δ≥1.08mm；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--下横通采用φ25*1.0mm圆管，实厚δ≥0.88mm；--圆通脚采用φ38*1.0mm不锈钢加厚圆管制作，实厚δ≥0.88mm。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--前口与洗碗机衔接相扣，配不锈钢可调子弹脚。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(规格)：1000*800*（850+150）mm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1062355" cy="580390"/>
                  <wp:effectExtent l="0" t="0" r="4445" b="10160"/>
                  <wp:docPr id="54" name="Picture 99" descr="洁碟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9" descr="洁碟台-1"/>
                          <pic:cNvPicPr>
                            <a:picLocks noChangeAspect="1"/>
                          </pic:cNvPicPr>
                        </pic:nvPicPr>
                        <pic:blipFill>
                          <a:blip r:embed="rId73"/>
                          <a:stretch>
                            <a:fillRect/>
                          </a:stretch>
                        </pic:blipFill>
                        <pic:spPr>
                          <a:xfrm>
                            <a:off x="0" y="0"/>
                            <a:ext cx="1062355" cy="5803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花洒水龙头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--增压、喷冲洗、座台双联式、高压；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--加厚铜制，重力压铸、镀铬工艺；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--台盆单孔径22mm安装，重量3.1KG；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--单、双温均可，出水压力高，墙上支架固定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(规格)：φ356*1090（高）mm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752475" cy="1406525"/>
                  <wp:effectExtent l="0" t="0" r="9525" b="0"/>
                  <wp:docPr id="56" name="图片 92" descr="天仕花洒龙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2" descr="天仕花洒龙头"/>
                          <pic:cNvPicPr>
                            <a:picLocks noChangeAspect="1"/>
                          </pic:cNvPicPr>
                        </pic:nvPicPr>
                        <pic:blipFill>
                          <a:blip r:embed="rId74"/>
                          <a:srcRect l="26497" r="16913" b="-4768"/>
                          <a:stretch>
                            <a:fillRect/>
                          </a:stretch>
                        </pic:blipFill>
                        <pic:spPr>
                          <a:xfrm>
                            <a:off x="0" y="0"/>
                            <a:ext cx="752475" cy="14065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Tahoma" w:hAnsi="Tahoma" w:eastAsia="Tahoma" w:cs="Tahoma"/>
                <w:i w:val="0"/>
                <w:iCs w:val="0"/>
                <w:color w:val="000000"/>
                <w:kern w:val="0"/>
                <w:sz w:val="22"/>
                <w:szCs w:val="22"/>
                <w:u w:val="none"/>
                <w:lang w:val="en-US" w:eastAsia="zh-CN" w:bidi="ar"/>
              </w:rPr>
              <w:t>7</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药水分配器</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ahoma" w:hAnsi="Tahoma" w:eastAsia="Tahoma" w:cs="Tahoma"/>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Tahoma" w:hAnsi="Tahoma" w:eastAsia="Tahoma" w:cs="Tahoma"/>
                <w:i w:val="0"/>
                <w:iCs w:val="0"/>
                <w:color w:val="000000"/>
                <w:kern w:val="0"/>
                <w:sz w:val="22"/>
                <w:szCs w:val="22"/>
                <w:u w:val="none"/>
                <w:lang w:val="en-US" w:eastAsia="zh-CN" w:bidi="ar"/>
              </w:rPr>
              <w:t>8</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药水</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ahoma" w:hAnsi="Tahoma" w:eastAsia="Tahoma" w:cs="Tahoma"/>
                <w:i w:val="0"/>
                <w:iCs w:val="0"/>
                <w:color w:val="000000"/>
                <w:kern w:val="0"/>
                <w:sz w:val="22"/>
                <w:szCs w:val="22"/>
                <w:u w:val="none"/>
                <w:lang w:val="en-US" w:eastAsia="zh-CN" w:bidi="ar"/>
              </w:rPr>
              <w:t>4</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w:t>
            </w:r>
          </w:p>
        </w:tc>
        <w:tc>
          <w:tcPr>
            <w:tcW w:w="571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挂墙立体油烟罩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4583430</wp:posOffset>
                  </wp:positionH>
                  <wp:positionV relativeFrom="paragraph">
                    <wp:posOffset>343535</wp:posOffset>
                  </wp:positionV>
                  <wp:extent cx="838200" cy="400050"/>
                  <wp:effectExtent l="0" t="0" r="0" b="0"/>
                  <wp:wrapNone/>
                  <wp:docPr id="9" name="图片_22"/>
                  <wp:cNvGraphicFramePr/>
                  <a:graphic xmlns:a="http://schemas.openxmlformats.org/drawingml/2006/main">
                    <a:graphicData uri="http://schemas.openxmlformats.org/drawingml/2006/picture">
                      <pic:pic xmlns:pic="http://schemas.openxmlformats.org/drawingml/2006/picture">
                        <pic:nvPicPr>
                          <pic:cNvPr id="9" name="图片_22"/>
                          <pic:cNvPicPr/>
                        </pic:nvPicPr>
                        <pic:blipFill>
                          <a:blip r:embed="rId75"/>
                          <a:stretch>
                            <a:fillRect/>
                          </a:stretch>
                        </pic:blipFill>
                        <pic:spPr>
                          <a:xfrm>
                            <a:off x="0" y="0"/>
                            <a:ext cx="838200" cy="400050"/>
                          </a:xfrm>
                          <a:prstGeom prst="rect">
                            <a:avLst/>
                          </a:prstGeom>
                          <a:noFill/>
                          <a:ln>
                            <a:noFill/>
                          </a:ln>
                        </pic:spPr>
                      </pic:pic>
                    </a:graphicData>
                  </a:graphic>
                </wp:anchor>
              </w:draw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--材质：选用SUS304-2B不锈钢板制作，δ=1.2mm，实厚δ≥1.08mm，沥油网选用优质不锈钢板制作，实厚δ≥0.68mm；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--说明：可见面立体挡板造型，配积油杯，新型防爆灯，沥油槽（风机及排烟管另计）。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(规格)：2900*1200*500mm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60" w:type="dxa"/>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3.48</w:t>
            </w:r>
          </w:p>
        </w:tc>
        <w:tc>
          <w:tcPr>
            <w:tcW w:w="1986"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储碗间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碗碟柜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--采用优质SUS304-2B不锈钢板制作；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--台面为δ=1.2mm，实厚δ≥1.08mm；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--侧板δ=1.0mm，实厚δ≥0.88mm；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--门板δ=1.0mm，实厚δ≥0.88mm；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--底板、层板、背板δ=1.0mm，实厚δ≥0.88mm；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--单边上挂式尼龙静音滑轮移门，内置两层可调层板；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--配不锈钢加强筋δ=1.0mm，实厚δ≥0.88mm；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--配置Φ50*150*1.0mm重力不锈钢可调节子弹脚；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(规格)：1500*600*1800mm                                                                      投标人自身具有的检测报告或证书符合                                                              ★GB4806.9-2016标准 食品接触产品安全认证证书，同时具备带CMA标识的检测报告。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86" w:type="dxa"/>
            <w:vAlign w:val="center"/>
          </w:tcPr>
          <w:p>
            <w:pPr>
              <w:keepNext w:val="0"/>
              <w:keepLines w:val="0"/>
              <w:widowControl/>
              <w:suppressLineNumbers w:val="0"/>
              <w:jc w:val="center"/>
              <w:textAlignment w:val="center"/>
            </w:pPr>
            <w:r>
              <w:drawing>
                <wp:inline distT="0" distB="0" distL="114300" distR="114300">
                  <wp:extent cx="781050" cy="850900"/>
                  <wp:effectExtent l="0" t="0" r="0" b="6350"/>
                  <wp:docPr id="38" name="Picture 137" descr="四门储藏柜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7" descr="四门储藏柜 拷贝"/>
                          <pic:cNvPicPr>
                            <a:picLocks noChangeAspect="1"/>
                          </pic:cNvPicPr>
                        </pic:nvPicPr>
                        <pic:blipFill>
                          <a:blip r:embed="rId43"/>
                          <a:stretch>
                            <a:fillRect/>
                          </a:stretch>
                        </pic:blipFill>
                        <pic:spPr>
                          <a:xfrm>
                            <a:off x="0" y="0"/>
                            <a:ext cx="781050" cy="8509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三星水池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--台面及水斗δ=1.2mm，实厚δ≥1.08mm，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--水斗圆角模压成型，配优质不锈钢提笼式落水器及烂渣篮，水龙头另计；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--圆通腿为φ38*1.0mm加厚不锈钢圆管，实厚δ≥0.88mm；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--下橫通为φ25*1.0mm加厚不锈钢圆管，实厚δ≥0.88mm；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(规格)：1800*700*(800+150)mm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848360" cy="539750"/>
                  <wp:effectExtent l="0" t="0" r="8890" b="12700"/>
                  <wp:docPr id="160" name="Picture 319" descr="三星洗刷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19" descr="三星洗刷池"/>
                          <pic:cNvPicPr>
                            <a:picLocks noChangeAspect="1"/>
                          </pic:cNvPicPr>
                        </pic:nvPicPr>
                        <pic:blipFill>
                          <a:blip r:embed="rId35"/>
                          <a:stretch>
                            <a:fillRect/>
                          </a:stretch>
                        </pic:blipFill>
                        <pic:spPr>
                          <a:xfrm>
                            <a:off x="0" y="0"/>
                            <a:ext cx="848360" cy="539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4"/>
                <w:szCs w:val="24"/>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双温水龙头</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(技术参数)：外壳不锈钢材质，铜阀铜芯，双脚设计，两孔之间距离为：135mm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986" w:type="dxa"/>
            <w:vAlign w:val="center"/>
          </w:tcPr>
          <w:p>
            <w:pPr>
              <w:keepNext w:val="0"/>
              <w:keepLines w:val="0"/>
              <w:widowControl/>
              <w:suppressLineNumbers w:val="0"/>
              <w:jc w:val="center"/>
              <w:textAlignment w:val="center"/>
            </w:pPr>
            <w:r>
              <w:drawing>
                <wp:inline distT="0" distB="0" distL="114300" distR="114300">
                  <wp:extent cx="798830" cy="1200785"/>
                  <wp:effectExtent l="0" t="0" r="1270" b="18415"/>
                  <wp:docPr id="162" name="图片 161" descr="58584170c181890a6622d45ea783ded0_10431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1" descr="58584170c181890a6622d45ea783ded0_104312597"/>
                          <pic:cNvPicPr>
                            <a:picLocks noChangeAspect="1"/>
                          </pic:cNvPicPr>
                        </pic:nvPicPr>
                        <pic:blipFill>
                          <a:blip r:embed="rId29"/>
                          <a:stretch>
                            <a:fillRect/>
                          </a:stretch>
                        </pic:blipFill>
                        <pic:spPr>
                          <a:xfrm>
                            <a:off x="0" y="0"/>
                            <a:ext cx="798830" cy="1200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5716" w:type="dxa"/>
            <w:vAlign w:val="center"/>
          </w:tcPr>
          <w:p>
            <w:pPr>
              <w:keepNext w:val="0"/>
              <w:keepLines w:val="0"/>
              <w:widowControl/>
              <w:suppressLineNumbers w:val="0"/>
              <w:spacing w:after="220" w:afterAutospacing="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热风循环消毒柜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                                                                                                                                       1.选用SUS304-2B优质不锈钢板制作；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2.内层板δ=1.0mm，实厚δ≥0.88mm；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3.外层板δ=0.8mm，实厚δ≥0.68mm；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4.内分四层，热风循环消毒；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5.设备特定中制系列安全保护系统及操作保护功能，预开放为一体智能专用数码显示微电脑控制系统；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6.标准时间数字显示，工作温度可调节设置；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7.恒温工作时间可自动关闭设置；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8.当前工作时间数字显示，当前温度数字显示；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9.预约式工作时段可调节设置；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10.面板控制规格：160*80mm；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11.固定螺丝不锈钢制；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12.功率：4KW/220V；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13.规格)：1300*650*1800mm                                                                                                                           须提供投标人自身具有的检测报告或证书需符合                                                                                                         ★GB/3280-2015《不锈钢冷轧钢板和钢带》、GB/T10125-2012《人造气氛腐蚀试验 盐雾试验》经168小时乙酸盐雾试验后，表面耐腐蚀等级不小于10级、GB/4806.9-2016《食品安全国家标准 食品接触用金属材料及制品》、 ★GB/11170-2008《不锈钢多元素含量的测定 火花放电原子发射光谱法（常规法）》、GB/4706.1-2005《家用和类似用途电器的安全 第1部分：通用要求》、GB14934--2016《食品安全国家标准 消毒餐（饮）具》的标准要求；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★GB4806.9-2016标准 食品接触产品安全认证证书，同时具备带CMA标识的检测报告。                                                                                         ★GB4806.1-2016；GB4806.9-2016标准食品接触产品卫生认证证书，同时具备带CMA标识的检测报告。</w:t>
            </w:r>
            <w:r>
              <w:rPr>
                <w:rFonts w:hint="eastAsia" w:ascii="宋体" w:hAnsi="宋体" w:eastAsia="宋体" w:cs="宋体"/>
                <w:i w:val="0"/>
                <w:iCs w:val="0"/>
                <w:color w:val="000000"/>
                <w:kern w:val="0"/>
                <w:sz w:val="22"/>
                <w:szCs w:val="22"/>
                <w:u w:val="none"/>
                <w:lang w:val="en-US" w:eastAsia="zh-CN" w:bidi="ar"/>
              </w:rPr>
              <w:br w:type="textWrapping"/>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86" w:type="dxa"/>
            <w:vAlign w:val="center"/>
          </w:tcPr>
          <w:p>
            <w:pPr>
              <w:keepNext w:val="0"/>
              <w:keepLines w:val="0"/>
              <w:widowControl/>
              <w:suppressLineNumbers w:val="0"/>
              <w:jc w:val="center"/>
              <w:textAlignment w:val="center"/>
            </w:pPr>
            <w:r>
              <w:drawing>
                <wp:inline distT="0" distB="0" distL="114300" distR="114300">
                  <wp:extent cx="986790" cy="1169670"/>
                  <wp:effectExtent l="0" t="0" r="3810" b="11430"/>
                  <wp:docPr id="170" name="图片 169" descr="0b53b812d3eb54eb0468b2059de4a743_1441154779_w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9" descr="0b53b812d3eb54eb0468b2059de4a743_1441154779_wvru"/>
                          <pic:cNvPicPr>
                            <a:picLocks noChangeAspect="1"/>
                          </pic:cNvPicPr>
                        </pic:nvPicPr>
                        <pic:blipFill>
                          <a:blip r:embed="rId76"/>
                          <a:srcRect l="10244" t="3278" r="12094" b="4921"/>
                          <a:stretch>
                            <a:fillRect/>
                          </a:stretch>
                        </pic:blipFill>
                        <pic:spPr>
                          <a:xfrm>
                            <a:off x="0" y="0"/>
                            <a:ext cx="986790" cy="1169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推车储藏室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三层送餐车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--斗选用SUS304-2B不锈钢板制作，板δ=1.2mm，实厚δ≥1.08mm；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--推手采用28*28*1.0mm不锈钢方管一次成型，厚≥0.88mm；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--手柄采用φ25*1.0mm不锈钢加厚圆管，实厚δ≥0.88mm；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--三层设计，凹槽型浅斗，车斗820*450*20mm；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--配重力定轮2只，万向轮1只，万向刹车轮1只；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(规格)：650*550*1000mm                                                             须提供投标人自身具有的检测报告或证书符合：                                                                             ★GB/T10125-2012《人造气氛腐蚀试验 盐雾试验》经168小时乙酸盐雾试验后，表面耐腐蚀等级不小于10级、GB/4806.9-2016《食品安全国家标准 食品接触用金属材料及制品》、QB/T2139.3-1995《不锈钢厨房设备 餐车》、QB/T3832-1999《轻工产品金属镀层腐蚀试验结果的评价》的标准要求；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★GB4806.9-2016标准 食品接触产品安全认证证书，同时具备带CMA标识的检测报告。                                                                                         ★GB4806.1-2016；GB4806.9-2016标准食品接触产品卫生认证证书，同时具备带CMA标识的检测报告。</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辆</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986" w:type="dxa"/>
            <w:vAlign w:val="center"/>
          </w:tcPr>
          <w:p>
            <w:pPr>
              <w:keepNext w:val="0"/>
              <w:keepLines w:val="0"/>
              <w:widowControl/>
              <w:suppressLineNumbers w:val="0"/>
              <w:jc w:val="center"/>
              <w:textAlignment w:val="center"/>
            </w:pPr>
            <w:r>
              <w:drawing>
                <wp:inline distT="0" distB="0" distL="114300" distR="114300">
                  <wp:extent cx="980440" cy="862330"/>
                  <wp:effectExtent l="0" t="0" r="10160" b="13970"/>
                  <wp:docPr id="165" name="图片 164" descr="e91d1f033068d626f7609ba47b5c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4" descr="e91d1f033068d626f7609ba47b5ce89"/>
                          <pic:cNvPicPr>
                            <a:picLocks noChangeAspect="1"/>
                          </pic:cNvPicPr>
                        </pic:nvPicPr>
                        <pic:blipFill>
                          <a:blip r:embed="rId77"/>
                          <a:srcRect l="22287" t="2742" r="15175" b="23952"/>
                          <a:stretch>
                            <a:fillRect/>
                          </a:stretch>
                        </pic:blipFill>
                        <pic:spPr>
                          <a:xfrm>
                            <a:off x="0" y="0"/>
                            <a:ext cx="980440" cy="862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4"/>
                <w:szCs w:val="24"/>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洗地龙头</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            --喉管自动回卷装置（棘轮系统，防锁死，棘轮保持放松）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--配软管，喉管止动器，可调节；可安装于天花板、墙壁或台柜下。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Specifications(规格)：10.7米</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705485" cy="712470"/>
                  <wp:effectExtent l="0" t="0" r="18415" b="0"/>
                  <wp:docPr id="47" name="图片 562" descr="洗地龙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62" descr="洗地龙头"/>
                          <pic:cNvPicPr>
                            <a:picLocks noChangeAspect="1"/>
                          </pic:cNvPicPr>
                        </pic:nvPicPr>
                        <pic:blipFill>
                          <a:blip r:embed="rId38">
                            <a:clrChange>
                              <a:clrFrom>
                                <a:srgbClr val="FCFCFC"/>
                              </a:clrFrom>
                              <a:clrTo>
                                <a:srgbClr val="FCFCFC">
                                  <a:alpha val="0"/>
                                </a:srgbClr>
                              </a:clrTo>
                            </a:clrChange>
                          </a:blip>
                          <a:stretch>
                            <a:fillRect/>
                          </a:stretch>
                        </pic:blipFill>
                        <pic:spPr>
                          <a:xfrm>
                            <a:off x="0" y="0"/>
                            <a:ext cx="705485" cy="7124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18" w:type="dxa"/>
            <w:gridSpan w:val="5"/>
            <w:vAlign w:val="center"/>
          </w:tcPr>
          <w:p>
            <w:pPr>
              <w:keepNext w:val="0"/>
              <w:keepLines w:val="0"/>
              <w:widowControl/>
              <w:suppressLineNumbers w:val="0"/>
              <w:jc w:val="center"/>
              <w:textAlignment w:val="center"/>
              <w:rPr>
                <w:rFonts w:hint="eastAsia" w:ascii="宋体" w:hAnsi="宋体" w:eastAsia="宋体" w:cs="宋体"/>
                <w:i w:val="0"/>
                <w:iCs w:val="0"/>
                <w:color w:val="5B9BD5"/>
                <w:kern w:val="2"/>
                <w:sz w:val="22"/>
                <w:szCs w:val="22"/>
                <w:u w:val="none"/>
                <w:lang w:val="en-US" w:eastAsia="zh-CN" w:bidi="ar-SA"/>
              </w:rPr>
            </w:pPr>
            <w:r>
              <w:rPr>
                <w:rFonts w:hint="eastAsia" w:ascii="宋体" w:hAnsi="宋体" w:eastAsia="宋体" w:cs="宋体"/>
                <w:i w:val="0"/>
                <w:iCs w:val="0"/>
                <w:color w:val="FF0000"/>
                <w:kern w:val="0"/>
                <w:sz w:val="36"/>
                <w:szCs w:val="36"/>
                <w:u w:val="none"/>
                <w:lang w:val="en-US" w:eastAsia="zh-CN" w:bidi="ar"/>
              </w:rPr>
              <w:t>厨房小件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长方形蔬菜收纳筐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--采用优质食用级PE材料制作，分布均匀的沥水网孔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(规格)：740*410*320mm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986" w:type="dxa"/>
            <w:vAlign w:val="center"/>
          </w:tcPr>
          <w:p>
            <w:pPr>
              <w:keepNext w:val="0"/>
              <w:keepLines w:val="0"/>
              <w:widowControl/>
              <w:suppressLineNumbers w:val="0"/>
              <w:jc w:val="center"/>
              <w:textAlignment w:val="center"/>
            </w:pPr>
            <w:r>
              <w:drawing>
                <wp:inline distT="0" distB="0" distL="114300" distR="114300">
                  <wp:extent cx="1072515" cy="645795"/>
                  <wp:effectExtent l="0" t="0" r="13335" b="1905"/>
                  <wp:docPr id="112" name="图片 9" descr="1CW4B1HJY[HYYW4THNAP5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 descr="1CW4B1HJY[HYYW4THNAP5J1"/>
                          <pic:cNvPicPr>
                            <a:picLocks noChangeAspect="1"/>
                          </pic:cNvPicPr>
                        </pic:nvPicPr>
                        <pic:blipFill>
                          <a:blip r:embed="rId78"/>
                          <a:stretch>
                            <a:fillRect/>
                          </a:stretch>
                        </pic:blipFill>
                        <pic:spPr>
                          <a:xfrm>
                            <a:off x="0" y="0"/>
                            <a:ext cx="1072515" cy="6457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色标剪刀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--不锈钢制，色标手柄及刀口套n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(规格)：大号</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986" w:type="dxa"/>
            <w:vAlign w:val="center"/>
          </w:tcPr>
          <w:p>
            <w:pPr>
              <w:keepNext w:val="0"/>
              <w:keepLines w:val="0"/>
              <w:widowControl/>
              <w:suppressLineNumbers w:val="0"/>
              <w:jc w:val="center"/>
              <w:textAlignment w:val="center"/>
            </w:pPr>
            <w:r>
              <w:drawing>
                <wp:inline distT="0" distB="0" distL="114300" distR="114300">
                  <wp:extent cx="805180" cy="757555"/>
                  <wp:effectExtent l="0" t="0" r="13970" b="4445"/>
                  <wp:docPr id="105" name="图片 22" descr="IMG_4140(20210104-174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descr="IMG_4140(20210104-174124).PNG"/>
                          <pic:cNvPicPr>
                            <a:picLocks noChangeAspect="1"/>
                          </pic:cNvPicPr>
                        </pic:nvPicPr>
                        <pic:blipFill>
                          <a:blip r:embed="rId79"/>
                          <a:stretch>
                            <a:fillRect/>
                          </a:stretch>
                        </pic:blipFill>
                        <pic:spPr>
                          <a:xfrm>
                            <a:off x="0" y="0"/>
                            <a:ext cx="805180" cy="7575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不锈钢菜盆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--说明：不锈钢制，δ=1.0mm。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(规格)：直径340mm,按校方要求</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986" w:type="dxa"/>
            <w:vAlign w:val="center"/>
          </w:tcPr>
          <w:p>
            <w:pPr>
              <w:keepNext w:val="0"/>
              <w:keepLines w:val="0"/>
              <w:widowControl/>
              <w:suppressLineNumbers w:val="0"/>
              <w:jc w:val="center"/>
              <w:textAlignment w:val="center"/>
            </w:pPr>
            <w:r>
              <w:drawing>
                <wp:inline distT="0" distB="0" distL="114300" distR="114300">
                  <wp:extent cx="781050" cy="502285"/>
                  <wp:effectExtent l="0" t="0" r="0" b="12065"/>
                  <wp:docPr id="109" name="图片 5" descr="CFDM0K~]9W%Q[XL8~MSU$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descr="CFDM0K~]9W%Q[XL8~MSU$WX"/>
                          <pic:cNvPicPr>
                            <a:picLocks noChangeAspect="1"/>
                          </pic:cNvPicPr>
                        </pic:nvPicPr>
                        <pic:blipFill>
                          <a:blip r:embed="rId80">
                            <a:clrChange>
                              <a:clrFrom>
                                <a:srgbClr val="FCFCFC"/>
                              </a:clrFrom>
                              <a:clrTo>
                                <a:srgbClr val="FCFCFC">
                                  <a:alpha val="0"/>
                                </a:srgbClr>
                              </a:clrTo>
                            </a:clrChange>
                          </a:blip>
                          <a:stretch>
                            <a:fillRect/>
                          </a:stretch>
                        </pic:blipFill>
                        <pic:spPr>
                          <a:xfrm>
                            <a:off x="0" y="0"/>
                            <a:ext cx="781050" cy="5022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不锈钢菜刀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--不锈钢制，色标手柄，按校方要求</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986" w:type="dxa"/>
            <w:vAlign w:val="center"/>
          </w:tcPr>
          <w:p>
            <w:pPr>
              <w:keepNext w:val="0"/>
              <w:keepLines w:val="0"/>
              <w:widowControl/>
              <w:suppressLineNumbers w:val="0"/>
              <w:jc w:val="center"/>
              <w:textAlignment w:val="center"/>
            </w:pPr>
            <w:r>
              <w:drawing>
                <wp:inline distT="0" distB="0" distL="114300" distR="114300">
                  <wp:extent cx="577215" cy="631825"/>
                  <wp:effectExtent l="0" t="0" r="13335" b="15875"/>
                  <wp:docPr id="107" name="图片 12" descr="B0]{SQ@2V{)CFW6FER~{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2" descr="B0]{SQ@2V{)CFW6FER~{Z`8"/>
                          <pic:cNvPicPr>
                            <a:picLocks noChangeAspect="1"/>
                          </pic:cNvPicPr>
                        </pic:nvPicPr>
                        <pic:blipFill>
                          <a:blip r:embed="rId81"/>
                          <a:stretch>
                            <a:fillRect/>
                          </a:stretch>
                        </pic:blipFill>
                        <pic:spPr>
                          <a:xfrm>
                            <a:off x="0" y="0"/>
                            <a:ext cx="577215" cy="6318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砍骨刀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--HRC硬度不锈钢加厚刀身，防滑手柄，直接砍骨头或者用手拍刀背切鸡鸭排骨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(规格)：285*175*110mm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986" w:type="dxa"/>
            <w:vAlign w:val="center"/>
          </w:tcPr>
          <w:p>
            <w:pPr>
              <w:keepNext w:val="0"/>
              <w:keepLines w:val="0"/>
              <w:widowControl/>
              <w:suppressLineNumbers w:val="0"/>
              <w:jc w:val="center"/>
              <w:textAlignment w:val="center"/>
            </w:pPr>
            <w:r>
              <w:drawing>
                <wp:inline distT="0" distB="0" distL="114300" distR="114300">
                  <wp:extent cx="400685" cy="946785"/>
                  <wp:effectExtent l="0" t="0" r="18415" b="5715"/>
                  <wp:docPr id="108" name="图片 6" descr="1615117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 descr="1615117702(1)"/>
                          <pic:cNvPicPr>
                            <a:picLocks noChangeAspect="1"/>
                          </pic:cNvPicPr>
                        </pic:nvPicPr>
                        <pic:blipFill>
                          <a:blip r:embed="rId82"/>
                          <a:stretch>
                            <a:fillRect/>
                          </a:stretch>
                        </pic:blipFill>
                        <pic:spPr>
                          <a:xfrm>
                            <a:off x="0" y="0"/>
                            <a:ext cx="400685" cy="9467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水果刀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--不锈钢制，彩色无胶水PP手柄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(规格)：Ф14*50mm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986" w:type="dxa"/>
            <w:vAlign w:val="center"/>
          </w:tcPr>
          <w:p>
            <w:pPr>
              <w:keepNext w:val="0"/>
              <w:keepLines w:val="0"/>
              <w:widowControl/>
              <w:suppressLineNumbers w:val="0"/>
              <w:jc w:val="center"/>
              <w:textAlignment w:val="center"/>
            </w:pPr>
            <w:r>
              <w:drawing>
                <wp:inline distT="0" distB="0" distL="114300" distR="114300">
                  <wp:extent cx="852170" cy="692150"/>
                  <wp:effectExtent l="0" t="0" r="5080" b="12700"/>
                  <wp:docPr id="110" name="图片 23" descr="IMG_4146(20210104-17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 descr="IMG_4146(20210104-175044).PNG"/>
                          <pic:cNvPicPr>
                            <a:picLocks noChangeAspect="1"/>
                          </pic:cNvPicPr>
                        </pic:nvPicPr>
                        <pic:blipFill>
                          <a:blip r:embed="rId83"/>
                          <a:stretch>
                            <a:fillRect/>
                          </a:stretch>
                        </pic:blipFill>
                        <pic:spPr>
                          <a:xfrm>
                            <a:off x="0" y="0"/>
                            <a:ext cx="852170" cy="6921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色标树脂砧板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--采用优质食用级PE材料制作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(规格)：¢420*40mm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986" w:type="dxa"/>
            <w:vAlign w:val="center"/>
          </w:tcPr>
          <w:p>
            <w:pPr>
              <w:keepNext w:val="0"/>
              <w:keepLines w:val="0"/>
              <w:widowControl/>
              <w:suppressLineNumbers w:val="0"/>
              <w:jc w:val="center"/>
              <w:textAlignment w:val="center"/>
            </w:pPr>
            <w:r>
              <w:drawing>
                <wp:inline distT="0" distB="0" distL="114300" distR="114300">
                  <wp:extent cx="823595" cy="763270"/>
                  <wp:effectExtent l="0" t="0" r="14605" b="17780"/>
                  <wp:docPr id="111" name="图片 1" descr="IMG_4195(20210105-093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descr="IMG_4195(20210105-093204).PNG"/>
                          <pic:cNvPicPr>
                            <a:picLocks noChangeAspect="1"/>
                          </pic:cNvPicPr>
                        </pic:nvPicPr>
                        <pic:blipFill>
                          <a:blip r:embed="rId84"/>
                          <a:stretch>
                            <a:fillRect/>
                          </a:stretch>
                        </pic:blipFill>
                        <pic:spPr>
                          <a:xfrm>
                            <a:off x="0" y="0"/>
                            <a:ext cx="823595" cy="7632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木头砧板（圆）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(规格)：¢450mm，高60-80mm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2</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加厚不锈钢漏网盆（中号）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(技术参数)：600，盆口外径580，盆口内径520，底部直径350，盆高度175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。1.2厚600小孔米筛</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10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加厚不锈钢漏网盆（小号）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(技术参数)：405，盆口外径405，盆口内径360，底部直径270，盆高度125</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10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不锈钢菜盆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--说明：不锈钢制，δ=1.0mm。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(规格)：直径600mm,按校方要求</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986" w:type="dxa"/>
            <w:vAlign w:val="center"/>
          </w:tcPr>
          <w:p>
            <w:pPr>
              <w:keepNext w:val="0"/>
              <w:keepLines w:val="0"/>
              <w:widowControl/>
              <w:suppressLineNumbers w:val="0"/>
              <w:jc w:val="center"/>
              <w:textAlignment w:val="center"/>
            </w:pPr>
            <w:r>
              <w:drawing>
                <wp:inline distT="0" distB="0" distL="114300" distR="114300">
                  <wp:extent cx="781050" cy="502285"/>
                  <wp:effectExtent l="0" t="0" r="0" b="12065"/>
                  <wp:docPr id="113" name="图片 5" descr="CFDM0K~]9W%Q[XL8~MSU$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descr="CFDM0K~]9W%Q[XL8~MSU$WX"/>
                          <pic:cNvPicPr>
                            <a:picLocks noChangeAspect="1"/>
                          </pic:cNvPicPr>
                        </pic:nvPicPr>
                        <pic:blipFill>
                          <a:blip r:embed="rId80">
                            <a:clrChange>
                              <a:clrFrom>
                                <a:srgbClr val="FCFCFC"/>
                              </a:clrFrom>
                              <a:clrTo>
                                <a:srgbClr val="FCFCFC">
                                  <a:alpha val="0"/>
                                </a:srgbClr>
                              </a:clrTo>
                            </a:clrChange>
                          </a:blip>
                          <a:stretch>
                            <a:fillRect/>
                          </a:stretch>
                        </pic:blipFill>
                        <pic:spPr>
                          <a:xfrm>
                            <a:off x="0" y="0"/>
                            <a:ext cx="781050" cy="5022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5716" w:type="dxa"/>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磨刀棒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w:t>
            </w:r>
          </w:p>
          <w:p>
            <w:pPr>
              <w:keepNext w:val="0"/>
              <w:keepLines w:val="0"/>
              <w:widowControl/>
              <w:suppressLineNumbers w:val="0"/>
              <w:jc w:val="left"/>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--选用优质氧化铝材质制成，150粗/320细两面，坚固耐磨，打磨效果好，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 12寸420*50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986" w:type="dxa"/>
            <w:vAlign w:val="center"/>
          </w:tcPr>
          <w:p>
            <w:pPr>
              <w:keepNext w:val="0"/>
              <w:keepLines w:val="0"/>
              <w:widowControl/>
              <w:suppressLineNumbers w:val="0"/>
              <w:jc w:val="center"/>
              <w:textAlignment w:val="center"/>
            </w:pPr>
            <w:r>
              <w:drawing>
                <wp:inline distT="0" distB="0" distL="114300" distR="114300">
                  <wp:extent cx="623570" cy="544830"/>
                  <wp:effectExtent l="0" t="0" r="5080" b="7620"/>
                  <wp:docPr id="114" name="图片 4" descr="1615117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descr="1615117024(1)"/>
                          <pic:cNvPicPr>
                            <a:picLocks noChangeAspect="1"/>
                          </pic:cNvPicPr>
                        </pic:nvPicPr>
                        <pic:blipFill>
                          <a:blip r:embed="rId85"/>
                          <a:stretch>
                            <a:fillRect/>
                          </a:stretch>
                        </pic:blipFill>
                        <pic:spPr>
                          <a:xfrm>
                            <a:off x="0" y="0"/>
                            <a:ext cx="623570" cy="5448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5716" w:type="dxa"/>
            <w:vAlign w:val="bottom"/>
          </w:tcPr>
          <w:p>
            <w:pPr>
              <w:keepNext w:val="0"/>
              <w:keepLines w:val="0"/>
              <w:widowControl/>
              <w:suppressLineNumbers w:val="0"/>
              <w:jc w:val="left"/>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不锈钢调味品缸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                   --选用优质不锈钢板一次性冲压制成，厚δ=0.8mm；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(规格)：Ф160mm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986" w:type="dxa"/>
            <w:vAlign w:val="center"/>
          </w:tcPr>
          <w:p>
            <w:pPr>
              <w:keepNext w:val="0"/>
              <w:keepLines w:val="0"/>
              <w:widowControl/>
              <w:suppressLineNumbers w:val="0"/>
              <w:jc w:val="center"/>
              <w:textAlignment w:val="center"/>
            </w:pPr>
            <w:r>
              <w:drawing>
                <wp:inline distT="0" distB="0" distL="114300" distR="114300">
                  <wp:extent cx="1004570" cy="732155"/>
                  <wp:effectExtent l="0" t="0" r="5080" b="10795"/>
                  <wp:docPr id="115" name="图片 4" descr="u=2835847432,153614721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 descr="u=2835847432,1536147215&amp;fm=26&amp;gp=0"/>
                          <pic:cNvPicPr>
                            <a:picLocks noChangeAspect="1"/>
                          </pic:cNvPicPr>
                        </pic:nvPicPr>
                        <pic:blipFill>
                          <a:blip r:embed="rId86"/>
                          <a:srcRect t="31989" b="4880"/>
                          <a:stretch>
                            <a:fillRect/>
                          </a:stretch>
                        </pic:blipFill>
                        <pic:spPr>
                          <a:xfrm>
                            <a:off x="0" y="0"/>
                            <a:ext cx="1004570" cy="7321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不锈钢菜盆大盆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--说明：不锈钢制，δ=1.0mm。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(规格)：直径600,高度240。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1986" w:type="dxa"/>
            <w:vAlign w:val="center"/>
          </w:tcPr>
          <w:p>
            <w:pPr>
              <w:keepNext w:val="0"/>
              <w:keepLines w:val="0"/>
              <w:widowControl/>
              <w:suppressLineNumbers w:val="0"/>
              <w:jc w:val="center"/>
              <w:textAlignment w:val="center"/>
            </w:pPr>
            <w:r>
              <w:drawing>
                <wp:inline distT="0" distB="0" distL="114300" distR="114300">
                  <wp:extent cx="781050" cy="502285"/>
                  <wp:effectExtent l="0" t="0" r="0" b="12065"/>
                  <wp:docPr id="10" name="图片 5" descr="CFDM0K~]9W%Q[XL8~MSU$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FDM0K~]9W%Q[XL8~MSU$WX"/>
                          <pic:cNvPicPr>
                            <a:picLocks noChangeAspect="1"/>
                          </pic:cNvPicPr>
                        </pic:nvPicPr>
                        <pic:blipFill>
                          <a:blip r:embed="rId80">
                            <a:clrChange>
                              <a:clrFrom>
                                <a:srgbClr val="FCFCFC"/>
                              </a:clrFrom>
                              <a:clrTo>
                                <a:srgbClr val="FCFCFC">
                                  <a:alpha val="0"/>
                                </a:srgbClr>
                              </a:clrTo>
                            </a:clrChange>
                          </a:blip>
                          <a:stretch>
                            <a:fillRect/>
                          </a:stretch>
                        </pic:blipFill>
                        <pic:spPr>
                          <a:xfrm>
                            <a:off x="0" y="0"/>
                            <a:ext cx="781050" cy="5022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不锈钢菜盆小盆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--说明：不锈钢制，δ=1.0mm。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(规格)：直径380,高度180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1986" w:type="dxa"/>
            <w:vAlign w:val="center"/>
          </w:tcPr>
          <w:p>
            <w:pPr>
              <w:keepNext w:val="0"/>
              <w:keepLines w:val="0"/>
              <w:widowControl/>
              <w:suppressLineNumbers w:val="0"/>
              <w:jc w:val="center"/>
              <w:textAlignment w:val="center"/>
            </w:pPr>
            <w:r>
              <w:drawing>
                <wp:inline distT="0" distB="0" distL="114300" distR="114300">
                  <wp:extent cx="781050" cy="502285"/>
                  <wp:effectExtent l="0" t="0" r="0" b="12065"/>
                  <wp:docPr id="11" name="图片 5" descr="CFDM0K~]9W%Q[XL8~MSU$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FDM0K~]9W%Q[XL8~MSU$WX"/>
                          <pic:cNvPicPr>
                            <a:picLocks noChangeAspect="1"/>
                          </pic:cNvPicPr>
                        </pic:nvPicPr>
                        <pic:blipFill>
                          <a:blip r:embed="rId80">
                            <a:clrChange>
                              <a:clrFrom>
                                <a:srgbClr val="FCFCFC"/>
                              </a:clrFrom>
                              <a:clrTo>
                                <a:srgbClr val="FCFCFC">
                                  <a:alpha val="0"/>
                                </a:srgbClr>
                              </a:clrTo>
                            </a:clrChange>
                          </a:blip>
                          <a:stretch>
                            <a:fillRect/>
                          </a:stretch>
                        </pic:blipFill>
                        <pic:spPr>
                          <a:xfrm>
                            <a:off x="0" y="0"/>
                            <a:ext cx="781050" cy="5022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锅铲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--不锈钢制，木手柄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(规格)：650*165mm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986" w:type="dxa"/>
            <w:vAlign w:val="center"/>
          </w:tcPr>
          <w:p>
            <w:pPr>
              <w:keepNext w:val="0"/>
              <w:keepLines w:val="0"/>
              <w:widowControl/>
              <w:suppressLineNumbers w:val="0"/>
              <w:jc w:val="center"/>
              <w:textAlignment w:val="center"/>
            </w:pPr>
            <w:r>
              <w:drawing>
                <wp:inline distT="0" distB="0" distL="114300" distR="114300">
                  <wp:extent cx="647700" cy="810895"/>
                  <wp:effectExtent l="0" t="0" r="0" b="8255"/>
                  <wp:docPr id="118" name="图片 30" descr="IMG_4193(20210105-09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0" descr="IMG_4193(20210105-093022).PNG"/>
                          <pic:cNvPicPr>
                            <a:picLocks noChangeAspect="1"/>
                          </pic:cNvPicPr>
                        </pic:nvPicPr>
                        <pic:blipFill>
                          <a:blip r:embed="rId87"/>
                          <a:stretch>
                            <a:fillRect/>
                          </a:stretch>
                        </pic:blipFill>
                        <pic:spPr>
                          <a:xfrm>
                            <a:off x="0" y="0"/>
                            <a:ext cx="647700" cy="8108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大漏勺</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6</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长柄马勺</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6</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勺子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--不锈钢制，胶木手柄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(规格)：Ф105*450mm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986" w:type="dxa"/>
            <w:vAlign w:val="center"/>
          </w:tcPr>
          <w:p>
            <w:pPr>
              <w:keepNext w:val="0"/>
              <w:keepLines w:val="0"/>
              <w:widowControl/>
              <w:suppressLineNumbers w:val="0"/>
              <w:jc w:val="center"/>
              <w:textAlignment w:val="center"/>
            </w:pPr>
            <w:r>
              <w:drawing>
                <wp:inline distT="0" distB="0" distL="114300" distR="114300">
                  <wp:extent cx="633095" cy="863600"/>
                  <wp:effectExtent l="0" t="0" r="14605" b="12700"/>
                  <wp:docPr id="119" name="图片 32" descr="IMG_4198(20210105-093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2" descr="IMG_4198(20210105-093854).PNG"/>
                          <pic:cNvPicPr>
                            <a:picLocks noChangeAspect="1"/>
                          </pic:cNvPicPr>
                        </pic:nvPicPr>
                        <pic:blipFill>
                          <a:blip r:embed="rId88"/>
                          <a:stretch>
                            <a:fillRect/>
                          </a:stretch>
                        </pic:blipFill>
                        <pic:spPr>
                          <a:xfrm>
                            <a:off x="0" y="0"/>
                            <a:ext cx="633095" cy="8636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5716" w:type="dxa"/>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不锈钢水勺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w:t>
            </w:r>
          </w:p>
          <w:p>
            <w:pPr>
              <w:keepNext w:val="0"/>
              <w:keepLines w:val="0"/>
              <w:widowControl/>
              <w:suppressLineNumbers w:val="0"/>
              <w:jc w:val="left"/>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--采用优质304食品级不锈钢制作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(规格)：Ф165*550mm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986" w:type="dxa"/>
            <w:vAlign w:val="center"/>
          </w:tcPr>
          <w:p>
            <w:pPr>
              <w:keepNext w:val="0"/>
              <w:keepLines w:val="0"/>
              <w:widowControl/>
              <w:suppressLineNumbers w:val="0"/>
              <w:jc w:val="center"/>
              <w:textAlignment w:val="center"/>
            </w:pPr>
            <w:r>
              <w:drawing>
                <wp:inline distT="0" distB="0" distL="114300" distR="114300">
                  <wp:extent cx="647700" cy="635000"/>
                  <wp:effectExtent l="0" t="0" r="0" b="12700"/>
                  <wp:docPr id="120" name="图片 31" descr="IMG_4181(20210105-090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1" descr="IMG_4181(20210105-090236).PNG"/>
                          <pic:cNvPicPr>
                            <a:picLocks noChangeAspect="1"/>
                          </pic:cNvPicPr>
                        </pic:nvPicPr>
                        <pic:blipFill>
                          <a:blip r:embed="rId89"/>
                          <a:stretch>
                            <a:fillRect/>
                          </a:stretch>
                        </pic:blipFill>
                        <pic:spPr>
                          <a:xfrm>
                            <a:off x="0" y="0"/>
                            <a:ext cx="647700" cy="635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不锈钢漏勺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--不锈钢制，竹木手柄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(规格)：490*210mm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986" w:type="dxa"/>
            <w:vAlign w:val="center"/>
          </w:tcPr>
          <w:p>
            <w:pPr>
              <w:keepNext w:val="0"/>
              <w:keepLines w:val="0"/>
              <w:widowControl/>
              <w:suppressLineNumbers w:val="0"/>
              <w:jc w:val="center"/>
              <w:textAlignment w:val="center"/>
            </w:pPr>
            <w:r>
              <w:drawing>
                <wp:inline distT="0" distB="0" distL="114300" distR="114300">
                  <wp:extent cx="757555" cy="548005"/>
                  <wp:effectExtent l="0" t="0" r="4445" b="4445"/>
                  <wp:docPr id="121" name="图片 28" descr="9F0238738117B159AAC1DD2D3CBF9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8" descr="9F0238738117B159AAC1DD2D3CBF9DE5.png"/>
                          <pic:cNvPicPr>
                            <a:picLocks noChangeAspect="1"/>
                          </pic:cNvPicPr>
                        </pic:nvPicPr>
                        <pic:blipFill>
                          <a:blip r:embed="rId90"/>
                          <a:stretch>
                            <a:fillRect/>
                          </a:stretch>
                        </pic:blipFill>
                        <pic:spPr>
                          <a:xfrm>
                            <a:off x="0" y="0"/>
                            <a:ext cx="757555" cy="5480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不锈钢食品夹（大）</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10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耐高温手套</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10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304不锈钢方盘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(规格)：蒸饭车。600*400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60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304不锈钢漏孔方盘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(规格)：蒸饭车。600*400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20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淘米篮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--采用优质食用级PE材料制作，分布均匀的沥水网孔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(规格)：大号洗米桶厚0.8，直径475，高330,底径320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98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2272" behindDoc="0" locked="0" layoutInCell="1" allowOverlap="1">
                  <wp:simplePos x="0" y="0"/>
                  <wp:positionH relativeFrom="column">
                    <wp:posOffset>172085</wp:posOffset>
                  </wp:positionH>
                  <wp:positionV relativeFrom="paragraph">
                    <wp:posOffset>257175</wp:posOffset>
                  </wp:positionV>
                  <wp:extent cx="605155" cy="599440"/>
                  <wp:effectExtent l="0" t="0" r="4445" b="10160"/>
                  <wp:wrapNone/>
                  <wp:docPr id="17" name="图片_5"/>
                  <wp:cNvGraphicFramePr/>
                  <a:graphic xmlns:a="http://schemas.openxmlformats.org/drawingml/2006/main">
                    <a:graphicData uri="http://schemas.openxmlformats.org/drawingml/2006/picture">
                      <pic:pic xmlns:pic="http://schemas.openxmlformats.org/drawingml/2006/picture">
                        <pic:nvPicPr>
                          <pic:cNvPr id="17" name="图片_5"/>
                          <pic:cNvPicPr/>
                        </pic:nvPicPr>
                        <pic:blipFill>
                          <a:blip r:embed="rId91"/>
                          <a:stretch>
                            <a:fillRect/>
                          </a:stretch>
                        </pic:blipFill>
                        <pic:spPr>
                          <a:xfrm>
                            <a:off x="0" y="0"/>
                            <a:ext cx="605155" cy="5994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(规格)：300*400*30mm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不锈钢调羹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--材质：选用优质不锈钢板制作，一次性压铸成型，防划处理。                                          -- 说明：加厚型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(规格)：长137*31mm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400</w:t>
            </w:r>
          </w:p>
        </w:tc>
        <w:tc>
          <w:tcPr>
            <w:tcW w:w="1986" w:type="dxa"/>
            <w:vAlign w:val="center"/>
          </w:tcPr>
          <w:p>
            <w:pPr>
              <w:keepNext w:val="0"/>
              <w:keepLines w:val="0"/>
              <w:widowControl/>
              <w:suppressLineNumbers w:val="0"/>
              <w:jc w:val="center"/>
              <w:textAlignment w:val="center"/>
            </w:pPr>
            <w:r>
              <w:drawing>
                <wp:inline distT="0" distB="0" distL="114300" distR="114300">
                  <wp:extent cx="771525" cy="734060"/>
                  <wp:effectExtent l="0" t="0" r="9525" b="8890"/>
                  <wp:docPr id="127" name="图片 20" descr="IMG_4100(20210104-113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 descr="IMG_4100(20210104-113855).PNG"/>
                          <pic:cNvPicPr>
                            <a:picLocks noChangeAspect="1"/>
                          </pic:cNvPicPr>
                        </pic:nvPicPr>
                        <pic:blipFill>
                          <a:blip r:embed="rId92"/>
                          <a:stretch>
                            <a:fillRect/>
                          </a:stretch>
                        </pic:blipFill>
                        <pic:spPr>
                          <a:xfrm>
                            <a:off x="0" y="0"/>
                            <a:ext cx="771525" cy="7340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不锈钢调羹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--材质：选用优质不锈钢板制作，一次性压铸成型，防划处理。                        说明：加厚型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(规格)：长170*45mm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60</w:t>
            </w:r>
          </w:p>
        </w:tc>
        <w:tc>
          <w:tcPr>
            <w:tcW w:w="1986" w:type="dxa"/>
            <w:vAlign w:val="center"/>
          </w:tcPr>
          <w:p>
            <w:pPr>
              <w:keepNext w:val="0"/>
              <w:keepLines w:val="0"/>
              <w:widowControl/>
              <w:suppressLineNumbers w:val="0"/>
              <w:jc w:val="center"/>
              <w:textAlignment w:val="center"/>
            </w:pPr>
            <w:r>
              <w:drawing>
                <wp:inline distT="0" distB="0" distL="114300" distR="114300">
                  <wp:extent cx="771525" cy="734060"/>
                  <wp:effectExtent l="0" t="0" r="9525" b="8890"/>
                  <wp:docPr id="18" name="图片 20" descr="IMG_4100(20210104-113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IMG_4100(20210104-113855).PNG"/>
                          <pic:cNvPicPr>
                            <a:picLocks noChangeAspect="1"/>
                          </pic:cNvPicPr>
                        </pic:nvPicPr>
                        <pic:blipFill>
                          <a:blip r:embed="rId92"/>
                          <a:stretch>
                            <a:fillRect/>
                          </a:stretch>
                        </pic:blipFill>
                        <pic:spPr>
                          <a:xfrm>
                            <a:off x="0" y="0"/>
                            <a:ext cx="771525" cy="7340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筷子，幼儿自主用餐用</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400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5716" w:type="dxa"/>
            <w:vAlign w:val="bottom"/>
          </w:tcPr>
          <w:p>
            <w:pPr>
              <w:keepNext w:val="0"/>
              <w:keepLines w:val="0"/>
              <w:widowControl/>
              <w:suppressLineNumbers w:val="0"/>
              <w:jc w:val="left"/>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双层隔热碗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（产地品牌）：厂制品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              --采用优质304食品级不锈钢制作，双层隔热结果，焊边打磨处理。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(规格)：直径100(mm)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400</w:t>
            </w:r>
          </w:p>
        </w:tc>
        <w:tc>
          <w:tcPr>
            <w:tcW w:w="1986" w:type="dxa"/>
            <w:vAlign w:val="center"/>
          </w:tcPr>
          <w:p>
            <w:pPr>
              <w:keepNext w:val="0"/>
              <w:keepLines w:val="0"/>
              <w:widowControl/>
              <w:suppressLineNumbers w:val="0"/>
              <w:jc w:val="center"/>
              <w:textAlignment w:val="center"/>
            </w:pPr>
            <w:r>
              <w:drawing>
                <wp:inline distT="0" distB="0" distL="114300" distR="114300">
                  <wp:extent cx="728980" cy="516255"/>
                  <wp:effectExtent l="0" t="0" r="13970" b="17145"/>
                  <wp:docPr id="133" name="图片 1" descr="K[)Q~TV)_KH$}P{L`4TOX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K[)Q~TV)_KH$}P{L`4TOXI2"/>
                          <pic:cNvPicPr>
                            <a:picLocks noChangeAspect="1"/>
                          </pic:cNvPicPr>
                        </pic:nvPicPr>
                        <pic:blipFill>
                          <a:blip r:embed="rId93"/>
                          <a:stretch>
                            <a:fillRect/>
                          </a:stretch>
                        </pic:blipFill>
                        <pic:spPr>
                          <a:xfrm>
                            <a:off x="0" y="0"/>
                            <a:ext cx="728980" cy="5162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不锈钢汤盆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(规格)：口径120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60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5716" w:type="dxa"/>
            <w:vAlign w:val="center"/>
          </w:tcPr>
          <w:p>
            <w:pPr>
              <w:keepNext w:val="0"/>
              <w:keepLines w:val="0"/>
              <w:widowControl/>
              <w:suppressLineNumbers w:val="0"/>
              <w:spacing w:after="220" w:afterAutospacing="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四格快餐盘</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400</w:t>
            </w:r>
          </w:p>
        </w:tc>
        <w:tc>
          <w:tcPr>
            <w:tcW w:w="1986" w:type="dxa"/>
            <w:vAlign w:val="center"/>
          </w:tcPr>
          <w:p>
            <w:pPr>
              <w:keepNext w:val="0"/>
              <w:keepLines w:val="0"/>
              <w:widowControl/>
              <w:suppressLineNumbers w:val="0"/>
              <w:jc w:val="center"/>
              <w:textAlignment w:val="center"/>
            </w:pPr>
            <w:r>
              <w:drawing>
                <wp:inline distT="0" distB="0" distL="114300" distR="114300">
                  <wp:extent cx="643255" cy="410210"/>
                  <wp:effectExtent l="0" t="0" r="4445" b="8890"/>
                  <wp:docPr id="132" name="图片 2" descr="B9@)VAS5DYZ)9NY765)UU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descr="B9@)VAS5DYZ)9NY765)UU2R"/>
                          <pic:cNvPicPr>
                            <a:picLocks noChangeAspect="1"/>
                          </pic:cNvPicPr>
                        </pic:nvPicPr>
                        <pic:blipFill>
                          <a:blip r:embed="rId94"/>
                          <a:stretch>
                            <a:fillRect/>
                          </a:stretch>
                        </pic:blipFill>
                        <pic:spPr>
                          <a:xfrm>
                            <a:off x="0" y="0"/>
                            <a:ext cx="643255" cy="4102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不锈钢菜桶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(技术参数)：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规格：¢300*220mm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72</w:t>
            </w:r>
          </w:p>
        </w:tc>
        <w:tc>
          <w:tcPr>
            <w:tcW w:w="1986" w:type="dxa"/>
            <w:vAlign w:val="center"/>
          </w:tcPr>
          <w:p>
            <w:pPr>
              <w:keepNext w:val="0"/>
              <w:keepLines w:val="0"/>
              <w:widowControl/>
              <w:suppressLineNumbers w:val="0"/>
              <w:jc w:val="center"/>
              <w:textAlignment w:val="center"/>
            </w:pPr>
            <w:r>
              <w:drawing>
                <wp:inline distT="0" distB="0" distL="114300" distR="114300">
                  <wp:extent cx="847725" cy="716280"/>
                  <wp:effectExtent l="0" t="0" r="9525" b="7620"/>
                  <wp:docPr id="135" name="Picture 4" descr="SM({ZD`PYBX1L)N5J9Y46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4" descr="SM({ZD`PYBX1L)N5J9Y46AI"/>
                          <pic:cNvPicPr>
                            <a:picLocks noChangeAspect="1"/>
                          </pic:cNvPicPr>
                        </pic:nvPicPr>
                        <pic:blipFill>
                          <a:blip r:embed="rId95">
                            <a:clrChange>
                              <a:clrFrom>
                                <a:srgbClr val="FCFCFC"/>
                              </a:clrFrom>
                              <a:clrTo>
                                <a:srgbClr val="FCFCFC">
                                  <a:alpha val="0"/>
                                </a:srgbClr>
                              </a:clrTo>
                            </a:clrChange>
                          </a:blip>
                          <a:stretch>
                            <a:fillRect/>
                          </a:stretch>
                        </pic:blipFill>
                        <pic:spPr>
                          <a:xfrm>
                            <a:off x="0" y="0"/>
                            <a:ext cx="847725" cy="7162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菜勺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(技术参数)：                                       --说明：不锈钢制，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(规格)：勺口径约10CM,按校方要求</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w:t>
            </w:r>
          </w:p>
        </w:tc>
        <w:tc>
          <w:tcPr>
            <w:tcW w:w="1986" w:type="dxa"/>
            <w:vAlign w:val="center"/>
          </w:tcPr>
          <w:p>
            <w:pPr>
              <w:keepNext w:val="0"/>
              <w:keepLines w:val="0"/>
              <w:widowControl/>
              <w:suppressLineNumbers w:val="0"/>
              <w:jc w:val="center"/>
              <w:textAlignment w:val="center"/>
            </w:pPr>
            <w:r>
              <w:drawing>
                <wp:inline distT="0" distB="0" distL="114300" distR="114300">
                  <wp:extent cx="641350" cy="630555"/>
                  <wp:effectExtent l="0" t="0" r="6350" b="17145"/>
                  <wp:docPr id="136" name="图片 7" descr="_H`N_4Q@G]1WG])BDXZ3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 descr="_H`N_4Q@G]1WG])BDXZ3E}I"/>
                          <pic:cNvPicPr>
                            <a:picLocks noChangeAspect="1"/>
                          </pic:cNvPicPr>
                        </pic:nvPicPr>
                        <pic:blipFill>
                          <a:blip r:embed="rId96">
                            <a:clrChange>
                              <a:clrFrom>
                                <a:srgbClr val="FCFCFC"/>
                              </a:clrFrom>
                              <a:clrTo>
                                <a:srgbClr val="FCFCFC">
                                  <a:alpha val="0"/>
                                </a:srgbClr>
                              </a:clrTo>
                            </a:clrChange>
                          </a:blip>
                          <a:stretch>
                            <a:fillRect/>
                          </a:stretch>
                        </pic:blipFill>
                        <pic:spPr>
                          <a:xfrm>
                            <a:off x="0" y="0"/>
                            <a:ext cx="641350" cy="6305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5716" w:type="dxa"/>
            <w:vAlign w:val="bottom"/>
          </w:tcPr>
          <w:p>
            <w:pPr>
              <w:keepNext w:val="0"/>
              <w:keepLines w:val="0"/>
              <w:widowControl/>
              <w:suppressLineNumbers w:val="0"/>
              <w:jc w:val="left"/>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不锈钢饭勺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                                        --采用优质304食品级不锈钢制作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(规格)：Ф50*230mm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986" w:type="dxa"/>
            <w:vAlign w:val="center"/>
          </w:tcPr>
          <w:p>
            <w:pPr>
              <w:keepNext w:val="0"/>
              <w:keepLines w:val="0"/>
              <w:widowControl/>
              <w:suppressLineNumbers w:val="0"/>
              <w:jc w:val="center"/>
              <w:textAlignment w:val="center"/>
            </w:pPr>
            <w:r>
              <w:drawing>
                <wp:inline distT="0" distB="0" distL="114300" distR="114300">
                  <wp:extent cx="667385" cy="652780"/>
                  <wp:effectExtent l="0" t="0" r="18415" b="13970"/>
                  <wp:docPr id="137" name="图片 38" descr="(3TL{{`ED7)NK482ONY~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8" descr="(3TL{{`ED7)NK482ONY~2AA.png"/>
                          <pic:cNvPicPr>
                            <a:picLocks noChangeAspect="1"/>
                          </pic:cNvPicPr>
                        </pic:nvPicPr>
                        <pic:blipFill>
                          <a:blip r:embed="rId97"/>
                          <a:stretch>
                            <a:fillRect/>
                          </a:stretch>
                        </pic:blipFill>
                        <pic:spPr>
                          <a:xfrm>
                            <a:off x="0" y="0"/>
                            <a:ext cx="667385" cy="6527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37</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304不锈钢份数盆加盖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（规格）：320*220*100                      </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5716" w:type="dxa"/>
            <w:vAlign w:val="bottom"/>
          </w:tcPr>
          <w:p>
            <w:pPr>
              <w:keepNext w:val="0"/>
              <w:keepLines w:val="0"/>
              <w:widowControl/>
              <w:suppressLineNumbers w:val="0"/>
              <w:jc w:val="left"/>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不锈钢口杯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                 --采用优质304食品级不锈钢制作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(规格)：Ф70mm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400</w:t>
            </w:r>
          </w:p>
        </w:tc>
        <w:tc>
          <w:tcPr>
            <w:tcW w:w="1986" w:type="dxa"/>
            <w:vAlign w:val="center"/>
          </w:tcPr>
          <w:p>
            <w:pPr>
              <w:keepNext w:val="0"/>
              <w:keepLines w:val="0"/>
              <w:widowControl/>
              <w:suppressLineNumbers w:val="0"/>
              <w:jc w:val="center"/>
              <w:textAlignment w:val="center"/>
            </w:pPr>
            <w:r>
              <w:drawing>
                <wp:inline distT="0" distB="0" distL="114300" distR="114300">
                  <wp:extent cx="728980" cy="641350"/>
                  <wp:effectExtent l="0" t="0" r="13970" b="6350"/>
                  <wp:docPr id="139" name="图片 14" descr="IMG_4116(20210104-125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 descr="IMG_4116(20210104-125516).PNG"/>
                          <pic:cNvPicPr>
                            <a:picLocks noChangeAspect="1"/>
                          </pic:cNvPicPr>
                        </pic:nvPicPr>
                        <pic:blipFill>
                          <a:blip r:embed="rId98"/>
                          <a:stretch>
                            <a:fillRect/>
                          </a:stretch>
                        </pic:blipFill>
                        <pic:spPr>
                          <a:xfrm>
                            <a:off x="0" y="0"/>
                            <a:ext cx="728980" cy="6413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39</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餐巾（方巾）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(规格)：全棉 210×210</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400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不锈钢带盖分格餐盒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(规格)：290×230×22</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80</w:t>
            </w:r>
          </w:p>
        </w:tc>
        <w:tc>
          <w:tcPr>
            <w:tcW w:w="1986" w:type="dxa"/>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双层保温桶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--内外胆选用SUS304-2B优质不锈钢板制作，δ=0.8mm。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--内置B1级阻燃隔热保温板双层保温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(规格)：Ф500*500mm</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986" w:type="dxa"/>
            <w:vAlign w:val="center"/>
          </w:tcPr>
          <w:p>
            <w:pPr>
              <w:keepNext w:val="0"/>
              <w:keepLines w:val="0"/>
              <w:widowControl/>
              <w:suppressLineNumbers w:val="0"/>
              <w:jc w:val="center"/>
              <w:textAlignment w:val="center"/>
            </w:pPr>
            <w:r>
              <w:drawing>
                <wp:inline distT="0" distB="0" distL="114300" distR="114300">
                  <wp:extent cx="975995" cy="981710"/>
                  <wp:effectExtent l="0" t="0" r="14605" b="8890"/>
                  <wp:docPr id="140" name="图片 35" descr="@~GW0J_TV8)KNNU5@GE3E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5" descr="@~GW0J_TV8)KNNU5@GE3EOV.png"/>
                          <pic:cNvPicPr>
                            <a:picLocks noChangeAspect="1"/>
                          </pic:cNvPicPr>
                        </pic:nvPicPr>
                        <pic:blipFill>
                          <a:blip r:embed="rId99"/>
                          <a:stretch>
                            <a:fillRect/>
                          </a:stretch>
                        </pic:blipFill>
                        <pic:spPr>
                          <a:xfrm>
                            <a:off x="0" y="0"/>
                            <a:ext cx="975995" cy="9817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5716"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餐饮塑料透明口罩</w:t>
            </w:r>
          </w:p>
        </w:tc>
        <w:tc>
          <w:tcPr>
            <w:tcW w:w="6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只</w:t>
            </w:r>
          </w:p>
        </w:tc>
        <w:tc>
          <w:tcPr>
            <w:tcW w:w="6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Tahoma" w:hAnsi="Tahoma" w:eastAsia="Tahoma" w:cs="Tahoma"/>
                <w:i w:val="0"/>
                <w:iCs w:val="0"/>
                <w:color w:val="000000"/>
                <w:kern w:val="0"/>
                <w:sz w:val="22"/>
                <w:szCs w:val="22"/>
                <w:u w:val="none"/>
                <w:lang w:val="en-US" w:eastAsia="zh-CN" w:bidi="ar"/>
              </w:rPr>
              <w:t>100</w:t>
            </w:r>
          </w:p>
        </w:tc>
        <w:tc>
          <w:tcPr>
            <w:tcW w:w="1986" w:type="dxa"/>
            <w:vAlign w:val="center"/>
          </w:tcPr>
          <w:p>
            <w:pPr>
              <w:keepNext w:val="0"/>
              <w:keepLines w:val="0"/>
              <w:widowControl/>
              <w:suppressLineNumbers w:val="0"/>
              <w:jc w:val="center"/>
              <w:textAlignment w:val="center"/>
            </w:pPr>
          </w:p>
        </w:tc>
      </w:tr>
    </w:tbl>
    <w:p>
      <w:pPr>
        <w:pStyle w:val="2"/>
        <w:rPr>
          <w:rFonts w:hint="eastAsia" w:ascii="宋体" w:hAnsi="宋体" w:cs="宋体"/>
          <w:b/>
          <w:sz w:val="36"/>
          <w:szCs w:val="36"/>
          <w:highlight w:val="none"/>
          <w:lang w:val="en-US" w:eastAsia="zh-CN"/>
        </w:rPr>
      </w:pPr>
    </w:p>
    <w:p>
      <w:pPr>
        <w:pStyle w:val="2"/>
        <w:rPr>
          <w:rFonts w:hint="eastAsia" w:ascii="宋体" w:hAnsi="宋体" w:cs="宋体"/>
          <w:b/>
          <w:sz w:val="36"/>
          <w:szCs w:val="36"/>
          <w:highlight w:val="none"/>
          <w:lang w:val="en-US" w:eastAsia="zh-CN"/>
        </w:rPr>
      </w:pPr>
    </w:p>
    <w:p>
      <w:pPr>
        <w:pStyle w:val="2"/>
        <w:rPr>
          <w:rFonts w:hint="eastAsia" w:ascii="宋体" w:hAnsi="宋体" w:cs="宋体"/>
          <w:b/>
          <w:sz w:val="36"/>
          <w:szCs w:val="36"/>
          <w:highlight w:val="none"/>
          <w:lang w:val="en-US" w:eastAsia="zh-CN"/>
        </w:rPr>
      </w:pPr>
    </w:p>
    <w:p>
      <w:pPr>
        <w:pStyle w:val="2"/>
        <w:rPr>
          <w:rFonts w:hint="eastAsia" w:ascii="宋体" w:hAnsi="宋体" w:cs="宋体"/>
          <w:b/>
          <w:sz w:val="36"/>
          <w:szCs w:val="36"/>
          <w:highlight w:val="none"/>
          <w:lang w:val="en-US" w:eastAsia="zh-CN"/>
        </w:rPr>
      </w:pPr>
    </w:p>
    <w:p>
      <w:pPr>
        <w:pStyle w:val="2"/>
        <w:rPr>
          <w:rFonts w:hint="eastAsia" w:ascii="宋体" w:hAnsi="宋体" w:cs="宋体"/>
          <w:b/>
          <w:sz w:val="36"/>
          <w:szCs w:val="36"/>
          <w:highlight w:val="none"/>
          <w:lang w:val="en-US" w:eastAsia="zh-CN"/>
        </w:rPr>
      </w:pPr>
    </w:p>
    <w:p>
      <w:pPr>
        <w:pStyle w:val="2"/>
        <w:rPr>
          <w:rFonts w:hint="eastAsia" w:ascii="宋体" w:hAnsi="宋体" w:cs="宋体"/>
          <w:b/>
          <w:sz w:val="36"/>
          <w:szCs w:val="36"/>
          <w:highlight w:val="none"/>
          <w:lang w:val="en-US" w:eastAsia="zh-CN"/>
        </w:rPr>
      </w:pPr>
    </w:p>
    <w:p>
      <w:pPr>
        <w:pStyle w:val="2"/>
        <w:rPr>
          <w:rFonts w:hint="eastAsia" w:ascii="宋体" w:hAnsi="宋体" w:cs="宋体"/>
          <w:b/>
          <w:sz w:val="36"/>
          <w:szCs w:val="36"/>
          <w:highlight w:val="none"/>
          <w:lang w:val="en-US" w:eastAsia="zh-CN"/>
        </w:rPr>
      </w:pPr>
    </w:p>
    <w:p>
      <w:pPr>
        <w:pStyle w:val="2"/>
        <w:rPr>
          <w:rFonts w:hint="eastAsia" w:ascii="宋体" w:hAnsi="宋体" w:cs="宋体"/>
          <w:b/>
          <w:sz w:val="36"/>
          <w:szCs w:val="36"/>
          <w:highlight w:val="none"/>
          <w:lang w:val="en-US" w:eastAsia="zh-CN"/>
        </w:rPr>
      </w:pPr>
    </w:p>
    <w:p>
      <w:pPr>
        <w:pStyle w:val="2"/>
        <w:rPr>
          <w:rFonts w:hint="eastAsia" w:ascii="宋体" w:hAnsi="宋体" w:cs="宋体"/>
          <w:b/>
          <w:sz w:val="36"/>
          <w:szCs w:val="36"/>
          <w:highlight w:val="none"/>
          <w:lang w:val="en-US" w:eastAsia="zh-CN"/>
        </w:rPr>
      </w:pPr>
    </w:p>
    <w:p>
      <w:pPr>
        <w:pStyle w:val="2"/>
        <w:rPr>
          <w:rFonts w:hint="eastAsia" w:ascii="宋体" w:hAnsi="宋体" w:cs="宋体"/>
          <w:b/>
          <w:sz w:val="36"/>
          <w:szCs w:val="36"/>
          <w:highlight w:val="none"/>
          <w:lang w:val="en-US" w:eastAsia="zh-CN"/>
        </w:rPr>
      </w:pPr>
    </w:p>
    <w:p>
      <w:pPr>
        <w:pStyle w:val="2"/>
        <w:rPr>
          <w:rFonts w:hint="eastAsia" w:ascii="宋体" w:hAnsi="宋体" w:cs="宋体"/>
          <w:b/>
          <w:sz w:val="36"/>
          <w:szCs w:val="36"/>
          <w:highlight w:val="none"/>
          <w:lang w:val="en-US" w:eastAsia="zh-CN"/>
        </w:rPr>
      </w:pP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
        <w:gridCol w:w="4970"/>
        <w:gridCol w:w="600"/>
        <w:gridCol w:w="516"/>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5" w:type="dxa"/>
            <w:gridSpan w:val="5"/>
          </w:tcPr>
          <w:p>
            <w:pPr>
              <w:snapToGrid w:val="0"/>
              <w:spacing w:line="360" w:lineRule="auto"/>
              <w:jc w:val="center"/>
              <w:rPr>
                <w:rFonts w:hint="eastAsia" w:ascii="宋体" w:hAnsi="宋体" w:cs="宋体"/>
                <w:b/>
                <w:sz w:val="36"/>
                <w:szCs w:val="36"/>
                <w:highlight w:val="none"/>
                <w:vertAlign w:val="baseline"/>
                <w:lang w:val="en-US" w:eastAsia="zh-CN"/>
              </w:rPr>
            </w:pPr>
            <w:r>
              <w:rPr>
                <w:rFonts w:hint="eastAsia" w:ascii="宋体" w:hAnsi="宋体" w:cs="宋体"/>
                <w:b/>
                <w:sz w:val="36"/>
                <w:szCs w:val="36"/>
                <w:highlight w:val="none"/>
                <w:vertAlign w:val="baseline"/>
                <w:lang w:val="en-US" w:eastAsia="zh-CN"/>
              </w:rPr>
              <w:t>样品要求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dxa"/>
            <w:vAlign w:val="center"/>
          </w:tcPr>
          <w:p>
            <w:pPr>
              <w:keepNext w:val="0"/>
              <w:keepLines w:val="0"/>
              <w:widowControl/>
              <w:suppressLineNumbers w:val="0"/>
              <w:jc w:val="center"/>
              <w:textAlignment w:val="center"/>
              <w:rPr>
                <w:rFonts w:hint="eastAsia" w:ascii="宋体" w:hAnsi="宋体" w:cs="宋体"/>
                <w:b/>
                <w:sz w:val="36"/>
                <w:szCs w:val="36"/>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4970" w:type="dxa"/>
            <w:vAlign w:val="center"/>
          </w:tcPr>
          <w:p>
            <w:pPr>
              <w:keepNext w:val="0"/>
              <w:keepLines w:val="0"/>
              <w:widowControl/>
              <w:suppressLineNumbers w:val="0"/>
              <w:jc w:val="left"/>
              <w:textAlignment w:val="center"/>
              <w:rPr>
                <w:rFonts w:hint="eastAsia" w:ascii="宋体" w:hAnsi="宋体" w:cs="宋体"/>
                <w:b/>
                <w:sz w:val="36"/>
                <w:szCs w:val="36"/>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智能型双门蒸饭箱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--电热型电量：12kW*2/5PH/380V；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--内、外双层板δ=1.2mm，实测≧1.08mm；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--配螺旋式门把手，每格5公斤的饭盘共30只；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--定制饭铲、分饭器各两套；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--具有高温保温，设备特定中制系列安全保护系统及操作保护功能，预开放为一体智能专用数码显示微电脑控制系统,面板控制规格：160*80mm;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--标准时间数字显示，工作温度可调节设置；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--恒温工作时间可自动关闭设置；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--当前工作时间数字显示，当前温度数字显示；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--设置蒸饭时间、工作状况数字显示；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--12V进水电磁阀，自动加水和缺水保护；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--预约式工作时段可调节设置；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--功率：2*12kW/3PH/380V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(规格)：150kg                                                                                                                          须提供投标人自身拥有的市级及以上质量技术监督部门出具的检验报告且符合：                                                                           ▲GB/3280-2015《不锈钢冷轧钢板和钢带》、GB/T10125-2012《人造气氛腐蚀试验 盐雾试验》经168小时乙酸盐雾试验后，表面耐腐蚀等级不小于10级、GB/4806.9-2016《食品安全国家标准 食品接触用金属材料及制品》、 GB/11170-2008《不锈钢多元素含量的测定 火花放电原子发射光谱法（常规法）》、GB/4706.1-2005《家用和类似用途电器的安全 第1部分：通用要求》、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GB14934--2016《食品安全国家标准 消毒餐（饮）具》、 GB 4706.1-2005《家用和类似用途电器的安全第1部分：通用要求》、投标人GB 4706.34-2008《家用和类似用途电器的安全 商用电强对流烤炉、蒸汽炊具和蒸汽对流炉的特殊要求》                                                                                                               ▲须提供投标人自身拥有的国家认可检测机构出具的符合：GB 4806.9-2016《食品接触产品安全认证证书》复印件加盖红色原章，原件核查。                                                 ▲须提供投标人自身拥有的国家认可检测机构出具的符合GB4706.1-2005、GB4706.34-2008的《产品安全和性能认证证书》复印件加盖红色原章。</w:t>
            </w:r>
          </w:p>
        </w:tc>
        <w:tc>
          <w:tcPr>
            <w:tcW w:w="600" w:type="dxa"/>
            <w:vAlign w:val="center"/>
          </w:tcPr>
          <w:p>
            <w:pPr>
              <w:keepNext w:val="0"/>
              <w:keepLines w:val="0"/>
              <w:widowControl/>
              <w:suppressLineNumbers w:val="0"/>
              <w:jc w:val="center"/>
              <w:textAlignment w:val="center"/>
              <w:rPr>
                <w:rFonts w:hint="eastAsia" w:ascii="宋体" w:hAnsi="宋体" w:cs="宋体"/>
                <w:b/>
                <w:sz w:val="36"/>
                <w:szCs w:val="36"/>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516" w:type="dxa"/>
            <w:vAlign w:val="center"/>
          </w:tcPr>
          <w:p>
            <w:pPr>
              <w:keepNext w:val="0"/>
              <w:keepLines w:val="0"/>
              <w:widowControl/>
              <w:suppressLineNumbers w:val="0"/>
              <w:jc w:val="center"/>
              <w:textAlignment w:val="center"/>
              <w:rPr>
                <w:rFonts w:hint="eastAsia" w:ascii="宋体" w:hAnsi="宋体" w:cs="宋体"/>
                <w:b/>
                <w:sz w:val="36"/>
                <w:szCs w:val="36"/>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944245" cy="1196975"/>
                  <wp:effectExtent l="0" t="0" r="8255" b="3175"/>
                  <wp:docPr id="171" name="Picture 110" descr="双门蒸饭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10" descr="双门蒸饭车"/>
                          <pic:cNvPicPr>
                            <a:picLocks noChangeAspect="1"/>
                          </pic:cNvPicPr>
                        </pic:nvPicPr>
                        <pic:blipFill>
                          <a:blip r:embed="rId100"/>
                          <a:stretch>
                            <a:fillRect/>
                          </a:stretch>
                        </pic:blipFill>
                        <pic:spPr>
                          <a:xfrm>
                            <a:off x="0" y="0"/>
                            <a:ext cx="944245" cy="11969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dxa"/>
            <w:vAlign w:val="center"/>
          </w:tcPr>
          <w:p>
            <w:pPr>
              <w:keepNext w:val="0"/>
              <w:keepLines w:val="0"/>
              <w:widowControl/>
              <w:suppressLineNumbers w:val="0"/>
              <w:jc w:val="center"/>
              <w:textAlignment w:val="center"/>
              <w:rPr>
                <w:rFonts w:hint="eastAsia" w:ascii="宋体" w:hAnsi="宋体" w:cs="宋体"/>
                <w:b/>
                <w:sz w:val="36"/>
                <w:szCs w:val="36"/>
                <w:highlight w:val="none"/>
                <w:vertAlign w:val="baseline"/>
                <w:lang w:val="en-US" w:eastAsia="zh-CN"/>
              </w:rPr>
            </w:pPr>
            <w:r>
              <w:rPr>
                <w:rFonts w:hint="eastAsia" w:ascii="宋体" w:hAnsi="宋体" w:cs="宋体"/>
                <w:i w:val="0"/>
                <w:iCs w:val="0"/>
                <w:color w:val="000000"/>
                <w:kern w:val="0"/>
                <w:sz w:val="24"/>
                <w:szCs w:val="24"/>
                <w:u w:val="none"/>
                <w:lang w:val="en-US" w:eastAsia="zh-CN" w:bidi="ar"/>
              </w:rPr>
              <w:t>2</w:t>
            </w:r>
          </w:p>
        </w:tc>
        <w:tc>
          <w:tcPr>
            <w:tcW w:w="4970" w:type="dxa"/>
            <w:vAlign w:val="center"/>
          </w:tcPr>
          <w:p>
            <w:pPr>
              <w:keepNext w:val="0"/>
              <w:keepLines w:val="0"/>
              <w:widowControl/>
              <w:suppressLineNumbers w:val="0"/>
              <w:jc w:val="left"/>
              <w:textAlignment w:val="center"/>
              <w:rPr>
                <w:rFonts w:hint="eastAsia" w:ascii="宋体" w:hAnsi="宋体" w:cs="宋体"/>
                <w:b/>
                <w:sz w:val="36"/>
                <w:szCs w:val="36"/>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燃气双眼大锅灶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--选用SUS304-2B优质不锈钢板制作；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--台面板δ=1.2mm，实厚δ≥1.08mm；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--面板、侧板、后板板δ=1.0mm，实厚δ≥0.88mm；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--炉内胆不锈钢制，板δ=1.2mm，实厚δ≥1.08mm；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--炉支架为40*40*1.5mm镀锌角铁，重力脚φ50*1.0mm，配有重力可调子弹脚；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--炉面板及炮台用厚1.2mm不锈钢液压拉伸成型；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--炉芯采用铸铁炉头；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--炉膛采用耐火砖、耐火水泥、耐火砂打制而成；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--配助燃鼓风机、不锈钢摇摆水龙头、优质气阀，冷却水阀，灶圈口径Ф600mm。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--电源开关、点火开关、风机开关均为不锈钢防水带指示灯制；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--脉冲电子点火，配有火种阀；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--额定热负荷：45kW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--功率：2*180W/2PH/220V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(规格)：2000*1200*(800+300)mm                           ▲须同时提供投标人自身拥有的有效期内国家燃气用具产品质量监督检验中心出具的炊用燃气大锅灶产品热效率≥65%（运行噪音等级不超过二级），达到1级能效标准的能效检测报告及炊用燃气大锅灶中国节能/环保产品认证合格试验报告，</w:t>
            </w:r>
          </w:p>
        </w:tc>
        <w:tc>
          <w:tcPr>
            <w:tcW w:w="600" w:type="dxa"/>
            <w:vAlign w:val="center"/>
          </w:tcPr>
          <w:p>
            <w:pPr>
              <w:keepNext w:val="0"/>
              <w:keepLines w:val="0"/>
              <w:widowControl/>
              <w:suppressLineNumbers w:val="0"/>
              <w:jc w:val="center"/>
              <w:textAlignment w:val="center"/>
              <w:rPr>
                <w:rFonts w:hint="eastAsia" w:ascii="宋体" w:hAnsi="宋体" w:cs="宋体"/>
                <w:b/>
                <w:sz w:val="36"/>
                <w:szCs w:val="36"/>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台</w:t>
            </w:r>
          </w:p>
        </w:tc>
        <w:tc>
          <w:tcPr>
            <w:tcW w:w="516" w:type="dxa"/>
            <w:vAlign w:val="center"/>
          </w:tcPr>
          <w:p>
            <w:pPr>
              <w:keepNext w:val="0"/>
              <w:keepLines w:val="0"/>
              <w:widowControl/>
              <w:suppressLineNumbers w:val="0"/>
              <w:jc w:val="center"/>
              <w:textAlignment w:val="center"/>
              <w:rPr>
                <w:rFonts w:hint="eastAsia" w:ascii="宋体" w:hAnsi="宋体" w:cs="宋体"/>
                <w:b/>
                <w:sz w:val="36"/>
                <w:szCs w:val="36"/>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20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1056640" cy="780415"/>
                  <wp:effectExtent l="0" t="0" r="10160" b="635"/>
                  <wp:docPr id="172" name="图片 3" descr="u=2408949728,408804951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 descr="u=2408949728,4088049517&amp;fm=26&amp;gp=0"/>
                          <pic:cNvPicPr>
                            <a:picLocks noChangeAspect="1"/>
                          </pic:cNvPicPr>
                        </pic:nvPicPr>
                        <pic:blipFill>
                          <a:blip r:embed="rId50"/>
                          <a:srcRect t="21893" b="14600"/>
                          <a:stretch>
                            <a:fillRect/>
                          </a:stretch>
                        </pic:blipFill>
                        <pic:spPr>
                          <a:xfrm>
                            <a:off x="0" y="0"/>
                            <a:ext cx="1056640" cy="7804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dxa"/>
            <w:vAlign w:val="center"/>
          </w:tcPr>
          <w:p>
            <w:pPr>
              <w:keepNext w:val="0"/>
              <w:keepLines w:val="0"/>
              <w:widowControl/>
              <w:suppressLineNumbers w:val="0"/>
              <w:jc w:val="center"/>
              <w:textAlignment w:val="center"/>
              <w:rPr>
                <w:rFonts w:hint="eastAsia" w:ascii="宋体" w:hAnsi="宋体" w:cs="宋体"/>
                <w:b/>
                <w:sz w:val="36"/>
                <w:szCs w:val="36"/>
                <w:highlight w:val="none"/>
                <w:vertAlign w:val="baseline"/>
                <w:lang w:val="en-US" w:eastAsia="zh-CN"/>
              </w:rPr>
            </w:pPr>
            <w:r>
              <w:rPr>
                <w:rFonts w:hint="eastAsia" w:ascii="宋体" w:hAnsi="宋体" w:cs="宋体"/>
                <w:i w:val="0"/>
                <w:iCs w:val="0"/>
                <w:color w:val="000000"/>
                <w:kern w:val="0"/>
                <w:sz w:val="22"/>
                <w:szCs w:val="22"/>
                <w:u w:val="none"/>
                <w:lang w:val="en-US" w:eastAsia="zh-CN" w:bidi="ar"/>
              </w:rPr>
              <w:t>3</w:t>
            </w:r>
          </w:p>
        </w:tc>
        <w:tc>
          <w:tcPr>
            <w:tcW w:w="4970" w:type="dxa"/>
            <w:vAlign w:val="center"/>
          </w:tcPr>
          <w:p>
            <w:pPr>
              <w:keepNext w:val="0"/>
              <w:keepLines w:val="0"/>
              <w:widowControl/>
              <w:suppressLineNumbers w:val="0"/>
              <w:jc w:val="left"/>
              <w:textAlignment w:val="center"/>
              <w:rPr>
                <w:rFonts w:hint="eastAsia" w:ascii="宋体" w:hAnsi="宋体" w:cs="宋体"/>
                <w:b/>
                <w:sz w:val="36"/>
                <w:szCs w:val="36"/>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单向移门调理台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--采用优质SUS304-2B不锈钢板制作；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--台面为δ=1.2mm，实厚δ≥1.08mm；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--侧板δ=1.0mm，实厚δ≥0.88mm；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--门板δ=1.0mm，实厚δ≥0.88mm；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--底板、层板、背板δ=1.0mm，实厚δ≥0.88mm；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--双边上挂式尼龙静音滑轮移门，内置一层可调层板，下衬12mm密度板减噪；--配不锈钢加强筋δ=1.0mm，实厚δ≥0.88mm；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--配置Φ50*150*1.0mm重力不锈钢可调节子弹脚；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(规格)：1800*700*800mm。                                                                须提供投标人自身具有的检测报告或证书符合                                                    ★GB/T10125-2012《人造气氛腐蚀试验 盐雾试验》经168小时乙酸盐雾试验后，表面耐腐蚀等级不小于10级、GB/4806.9-2016《食品安全国家标准 食品接触用金属材料及制品》的标准要求、QB/T2139.3-1995《不锈钢厨房设备 操作台》、QB/T3832-1999《轻工产品金属镀层腐蚀试验结果的评价》的标准要求；                                                                                                                                                                                                       ★GB4806.1-2016；GB4806.9-2016标准食品接触产品卫生认证证书，同时具备带CMA标识的检测报告。</w:t>
            </w:r>
          </w:p>
        </w:tc>
        <w:tc>
          <w:tcPr>
            <w:tcW w:w="600" w:type="dxa"/>
            <w:vAlign w:val="center"/>
          </w:tcPr>
          <w:p>
            <w:pPr>
              <w:keepNext w:val="0"/>
              <w:keepLines w:val="0"/>
              <w:widowControl/>
              <w:suppressLineNumbers w:val="0"/>
              <w:jc w:val="center"/>
              <w:textAlignment w:val="center"/>
              <w:rPr>
                <w:rFonts w:hint="eastAsia" w:ascii="宋体" w:hAnsi="宋体" w:cs="宋体"/>
                <w:b/>
                <w:sz w:val="36"/>
                <w:szCs w:val="36"/>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516" w:type="dxa"/>
            <w:vAlign w:val="center"/>
          </w:tcPr>
          <w:p>
            <w:pPr>
              <w:keepNext w:val="0"/>
              <w:keepLines w:val="0"/>
              <w:widowControl/>
              <w:suppressLineNumbers w:val="0"/>
              <w:jc w:val="center"/>
              <w:textAlignment w:val="center"/>
              <w:rPr>
                <w:rFonts w:hint="eastAsia" w:ascii="宋体" w:hAnsi="宋体" w:cs="宋体"/>
                <w:b/>
                <w:sz w:val="36"/>
                <w:szCs w:val="36"/>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966470" cy="775335"/>
                  <wp:effectExtent l="0" t="0" r="5080" b="5715"/>
                  <wp:docPr id="17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38"/>
                          <pic:cNvPicPr>
                            <a:picLocks noChangeAspect="1"/>
                          </pic:cNvPicPr>
                        </pic:nvPicPr>
                        <pic:blipFill>
                          <a:blip r:embed="rId46"/>
                          <a:stretch>
                            <a:fillRect/>
                          </a:stretch>
                        </pic:blipFill>
                        <pic:spPr>
                          <a:xfrm>
                            <a:off x="0" y="0"/>
                            <a:ext cx="966470" cy="775335"/>
                          </a:xfrm>
                          <a:prstGeom prst="rect">
                            <a:avLst/>
                          </a:prstGeom>
                          <a:noFill/>
                          <a:ln w="9525">
                            <a:noFill/>
                          </a:ln>
                        </pic:spPr>
                      </pic:pic>
                    </a:graphicData>
                  </a:graphic>
                </wp:inline>
              </w:drawing>
            </w:r>
          </w:p>
        </w:tc>
      </w:tr>
    </w:tbl>
    <w:p>
      <w:pPr>
        <w:snapToGrid w:val="0"/>
        <w:spacing w:line="360" w:lineRule="auto"/>
        <w:ind w:firstLine="0" w:firstLineChars="0"/>
        <w:jc w:val="left"/>
        <w:rPr>
          <w:rFonts w:hint="default" w:ascii="宋体" w:hAnsi="宋体" w:cs="宋体"/>
          <w:b/>
          <w:color w:val="FF0000"/>
          <w:sz w:val="36"/>
          <w:szCs w:val="36"/>
          <w:highlight w:val="none"/>
          <w:lang w:val="en-US" w:eastAsia="zh-CN"/>
        </w:rPr>
      </w:pPr>
      <w:r>
        <w:rPr>
          <w:rFonts w:hint="eastAsia" w:ascii="宋体" w:hAnsi="宋体" w:cs="宋体"/>
          <w:b/>
          <w:color w:val="FF0000"/>
          <w:sz w:val="36"/>
          <w:szCs w:val="36"/>
          <w:highlight w:val="none"/>
          <w:lang w:val="en-US" w:eastAsia="zh-CN"/>
        </w:rPr>
        <w:t>注：</w:t>
      </w:r>
      <w:r>
        <w:rPr>
          <w:rFonts w:hint="eastAsia" w:ascii="宋体" w:hAnsi="宋体" w:cs="宋体"/>
          <w:b/>
          <w:color w:val="FF0000"/>
          <w:sz w:val="28"/>
          <w:szCs w:val="28"/>
          <w:highlight w:val="none"/>
          <w:lang w:val="en-US" w:eastAsia="zh-CN"/>
        </w:rPr>
        <w:t>本样品需运至采购人指定定点，具体地址详看前附表。</w:t>
      </w:r>
    </w:p>
    <w:p>
      <w:pPr>
        <w:snapToGrid w:val="0"/>
        <w:spacing w:line="360" w:lineRule="auto"/>
        <w:ind w:firstLine="723" w:firstLineChars="200"/>
        <w:jc w:val="center"/>
        <w:rPr>
          <w:rFonts w:ascii="宋体" w:hAnsi="宋体" w:cs="宋体"/>
          <w:b/>
          <w:sz w:val="36"/>
          <w:szCs w:val="36"/>
        </w:rPr>
      </w:pPr>
      <w:r>
        <w:rPr>
          <w:rFonts w:hint="eastAsia" w:ascii="宋体" w:hAnsi="宋体" w:cs="宋体"/>
          <w:b/>
          <w:sz w:val="36"/>
          <w:szCs w:val="36"/>
        </w:rPr>
        <w:t xml:space="preserve">第四部分   </w:t>
      </w:r>
      <w:bookmarkStart w:id="33" w:name="_Toc184313277"/>
      <w:bookmarkEnd w:id="33"/>
      <w:bookmarkStart w:id="34" w:name="_Toc184314432"/>
      <w:bookmarkEnd w:id="34"/>
      <w:bookmarkStart w:id="35" w:name="_Toc184314477"/>
      <w:bookmarkEnd w:id="35"/>
      <w:bookmarkStart w:id="36" w:name="_Toc184314468"/>
      <w:bookmarkEnd w:id="36"/>
      <w:bookmarkStart w:id="37" w:name="_Toc184314453"/>
      <w:bookmarkEnd w:id="37"/>
      <w:bookmarkStart w:id="38" w:name="_Toc184313295"/>
      <w:bookmarkEnd w:id="38"/>
      <w:bookmarkStart w:id="39" w:name="_Toc184308086"/>
      <w:bookmarkEnd w:id="39"/>
      <w:bookmarkStart w:id="40" w:name="_Toc184313301"/>
      <w:bookmarkEnd w:id="40"/>
      <w:bookmarkStart w:id="41" w:name="_Toc184314473"/>
      <w:bookmarkEnd w:id="41"/>
      <w:bookmarkStart w:id="42" w:name="_Toc184314414"/>
      <w:bookmarkEnd w:id="42"/>
      <w:bookmarkStart w:id="43" w:name="_Toc184312139"/>
      <w:bookmarkEnd w:id="43"/>
      <w:bookmarkStart w:id="44" w:name="_Toc184308089"/>
      <w:bookmarkEnd w:id="44"/>
      <w:bookmarkStart w:id="45" w:name="_Toc184312067"/>
      <w:bookmarkEnd w:id="45"/>
      <w:bookmarkStart w:id="46" w:name="_Toc184308061"/>
      <w:bookmarkEnd w:id="46"/>
      <w:bookmarkStart w:id="47" w:name="_Toc184313239"/>
      <w:bookmarkEnd w:id="47"/>
      <w:bookmarkStart w:id="48" w:name="_Toc184313266"/>
      <w:bookmarkEnd w:id="48"/>
      <w:bookmarkStart w:id="49" w:name="_Toc184310279"/>
      <w:bookmarkEnd w:id="49"/>
      <w:bookmarkStart w:id="50" w:name="_Toc184314428"/>
      <w:bookmarkEnd w:id="50"/>
      <w:bookmarkStart w:id="51" w:name="_Toc184312082"/>
      <w:bookmarkEnd w:id="51"/>
      <w:bookmarkStart w:id="52" w:name="_Toc184312078"/>
      <w:bookmarkEnd w:id="52"/>
      <w:bookmarkStart w:id="53" w:name="_Toc184310287"/>
      <w:bookmarkEnd w:id="53"/>
      <w:bookmarkStart w:id="54" w:name="_Toc184313274"/>
      <w:bookmarkEnd w:id="54"/>
      <w:bookmarkStart w:id="55" w:name="_Toc184313256"/>
      <w:bookmarkEnd w:id="55"/>
      <w:bookmarkStart w:id="56" w:name="_Toc184310289"/>
      <w:bookmarkEnd w:id="56"/>
      <w:bookmarkStart w:id="57" w:name="_Toc184310335"/>
      <w:bookmarkEnd w:id="57"/>
      <w:bookmarkStart w:id="58" w:name="_Toc184313306"/>
      <w:bookmarkEnd w:id="58"/>
      <w:bookmarkStart w:id="59" w:name="_Toc184310333"/>
      <w:bookmarkEnd w:id="59"/>
      <w:bookmarkStart w:id="60" w:name="_Toc184310331"/>
      <w:bookmarkEnd w:id="60"/>
      <w:bookmarkStart w:id="61" w:name="_Toc184310299"/>
      <w:bookmarkEnd w:id="61"/>
      <w:bookmarkStart w:id="62" w:name="_Toc184314431"/>
      <w:bookmarkEnd w:id="62"/>
      <w:bookmarkStart w:id="63" w:name="_Toc184308100"/>
      <w:bookmarkEnd w:id="63"/>
      <w:bookmarkStart w:id="64" w:name="_Toc184310337"/>
      <w:bookmarkEnd w:id="64"/>
      <w:bookmarkStart w:id="65" w:name="_Toc184308065"/>
      <w:bookmarkEnd w:id="65"/>
      <w:bookmarkStart w:id="66" w:name="_Toc184314472"/>
      <w:bookmarkEnd w:id="66"/>
      <w:bookmarkStart w:id="67" w:name="_Toc184314470"/>
      <w:bookmarkEnd w:id="67"/>
      <w:bookmarkStart w:id="68" w:name="_Toc184308106"/>
      <w:bookmarkEnd w:id="68"/>
      <w:bookmarkStart w:id="69" w:name="_Toc184308042"/>
      <w:bookmarkEnd w:id="69"/>
      <w:bookmarkStart w:id="70" w:name="_Toc184308085"/>
      <w:bookmarkEnd w:id="70"/>
      <w:bookmarkStart w:id="71" w:name="_Toc184312095"/>
      <w:bookmarkEnd w:id="71"/>
      <w:bookmarkStart w:id="72" w:name="_Toc184310290"/>
      <w:bookmarkEnd w:id="72"/>
      <w:bookmarkStart w:id="73" w:name="_Toc184312120"/>
      <w:bookmarkEnd w:id="73"/>
      <w:bookmarkStart w:id="74" w:name="_Toc184310304"/>
      <w:bookmarkEnd w:id="74"/>
      <w:bookmarkStart w:id="75" w:name="_Toc184314433"/>
      <w:bookmarkEnd w:id="75"/>
      <w:bookmarkStart w:id="76" w:name="_Toc184312097"/>
      <w:bookmarkEnd w:id="76"/>
      <w:bookmarkStart w:id="77" w:name="_Toc184310285"/>
      <w:bookmarkEnd w:id="77"/>
      <w:bookmarkStart w:id="78" w:name="_Toc184313244"/>
      <w:bookmarkEnd w:id="78"/>
      <w:bookmarkStart w:id="79" w:name="_Toc184308048"/>
      <w:bookmarkEnd w:id="79"/>
      <w:bookmarkStart w:id="80" w:name="_Toc184308081"/>
      <w:bookmarkEnd w:id="80"/>
      <w:bookmarkStart w:id="81" w:name="_Toc184314465"/>
      <w:bookmarkEnd w:id="81"/>
      <w:bookmarkStart w:id="82" w:name="_Toc184310344"/>
      <w:bookmarkEnd w:id="82"/>
      <w:bookmarkStart w:id="83" w:name="_Toc184308064"/>
      <w:bookmarkEnd w:id="83"/>
      <w:bookmarkStart w:id="84" w:name="_Toc184314475"/>
      <w:bookmarkEnd w:id="84"/>
      <w:bookmarkStart w:id="85" w:name="_Toc184313245"/>
      <w:bookmarkEnd w:id="85"/>
      <w:bookmarkStart w:id="86" w:name="_Toc184313267"/>
      <w:bookmarkEnd w:id="86"/>
      <w:bookmarkStart w:id="87" w:name="_Toc184313261"/>
      <w:bookmarkEnd w:id="87"/>
      <w:bookmarkStart w:id="88" w:name="_Toc184313308"/>
      <w:bookmarkEnd w:id="88"/>
      <w:bookmarkStart w:id="89" w:name="_Toc184313264"/>
      <w:bookmarkEnd w:id="89"/>
      <w:bookmarkStart w:id="90" w:name="_Toc184310314"/>
      <w:bookmarkEnd w:id="90"/>
      <w:bookmarkStart w:id="91" w:name="_Toc184314474"/>
      <w:bookmarkEnd w:id="91"/>
      <w:bookmarkStart w:id="92" w:name="_Toc184310303"/>
      <w:bookmarkEnd w:id="92"/>
      <w:bookmarkStart w:id="93" w:name="_Toc184313282"/>
      <w:bookmarkEnd w:id="93"/>
      <w:bookmarkStart w:id="94" w:name="_Toc184313299"/>
      <w:bookmarkEnd w:id="94"/>
      <w:bookmarkStart w:id="95" w:name="_Toc184314447"/>
      <w:bookmarkEnd w:id="95"/>
      <w:bookmarkStart w:id="96" w:name="_Toc184308053"/>
      <w:bookmarkEnd w:id="96"/>
      <w:bookmarkStart w:id="97" w:name="_Toc184308094"/>
      <w:bookmarkEnd w:id="97"/>
      <w:bookmarkStart w:id="98" w:name="_Toc184314419"/>
      <w:bookmarkEnd w:id="98"/>
      <w:bookmarkStart w:id="99" w:name="_Toc184312077"/>
      <w:bookmarkEnd w:id="99"/>
      <w:bookmarkStart w:id="100" w:name="_Toc184314418"/>
      <w:bookmarkEnd w:id="100"/>
      <w:bookmarkStart w:id="101" w:name="_Toc184312076"/>
      <w:bookmarkEnd w:id="101"/>
      <w:bookmarkStart w:id="102" w:name="_Toc184308097"/>
      <w:bookmarkEnd w:id="102"/>
      <w:bookmarkStart w:id="103" w:name="_Toc184314438"/>
      <w:bookmarkEnd w:id="103"/>
      <w:bookmarkStart w:id="104" w:name="_Toc184313273"/>
      <w:bookmarkEnd w:id="104"/>
      <w:bookmarkStart w:id="105" w:name="_Toc184312083"/>
      <w:bookmarkEnd w:id="105"/>
      <w:bookmarkStart w:id="106" w:name="_Toc184313287"/>
      <w:bookmarkEnd w:id="106"/>
      <w:bookmarkStart w:id="107" w:name="_Toc184310326"/>
      <w:bookmarkEnd w:id="107"/>
      <w:bookmarkStart w:id="108" w:name="_Toc184312109"/>
      <w:bookmarkEnd w:id="108"/>
      <w:bookmarkStart w:id="109" w:name="_Toc184308037"/>
      <w:bookmarkEnd w:id="109"/>
      <w:bookmarkStart w:id="110" w:name="_Toc184312137"/>
      <w:bookmarkEnd w:id="110"/>
      <w:bookmarkStart w:id="111" w:name="_Toc184314439"/>
      <w:bookmarkEnd w:id="111"/>
      <w:bookmarkStart w:id="112" w:name="_Toc184310317"/>
      <w:bookmarkEnd w:id="112"/>
      <w:bookmarkStart w:id="113" w:name="_Toc184313288"/>
      <w:bookmarkEnd w:id="113"/>
      <w:bookmarkStart w:id="114" w:name="_Toc184313269"/>
      <w:bookmarkEnd w:id="114"/>
      <w:bookmarkStart w:id="115" w:name="_Toc184312069"/>
      <w:bookmarkEnd w:id="115"/>
      <w:bookmarkStart w:id="116" w:name="_Toc184310275"/>
      <w:bookmarkEnd w:id="116"/>
      <w:bookmarkStart w:id="117" w:name="_Toc184308066"/>
      <w:bookmarkEnd w:id="117"/>
      <w:bookmarkStart w:id="118" w:name="_Toc184310327"/>
      <w:bookmarkEnd w:id="118"/>
      <w:bookmarkStart w:id="119" w:name="_Toc184314426"/>
      <w:bookmarkEnd w:id="119"/>
      <w:bookmarkStart w:id="120" w:name="_Toc184312134"/>
      <w:bookmarkEnd w:id="120"/>
      <w:bookmarkStart w:id="121" w:name="_Toc184310278"/>
      <w:bookmarkEnd w:id="121"/>
      <w:bookmarkStart w:id="122" w:name="_Toc184314461"/>
      <w:bookmarkEnd w:id="122"/>
      <w:bookmarkStart w:id="123" w:name="_Toc184308055"/>
      <w:bookmarkEnd w:id="123"/>
      <w:bookmarkStart w:id="124" w:name="_Toc184308084"/>
      <w:bookmarkEnd w:id="124"/>
      <w:bookmarkStart w:id="125" w:name="_Toc184308059"/>
      <w:bookmarkEnd w:id="125"/>
      <w:bookmarkStart w:id="126" w:name="_Toc184314466"/>
      <w:bookmarkEnd w:id="126"/>
      <w:bookmarkStart w:id="127" w:name="_Toc184312100"/>
      <w:bookmarkEnd w:id="127"/>
      <w:bookmarkStart w:id="128" w:name="_Toc184314435"/>
      <w:bookmarkEnd w:id="128"/>
      <w:bookmarkStart w:id="129" w:name="_Toc184313259"/>
      <w:bookmarkEnd w:id="129"/>
      <w:bookmarkStart w:id="130" w:name="_Toc184314412"/>
      <w:bookmarkEnd w:id="130"/>
      <w:bookmarkStart w:id="131" w:name="_Toc184308057"/>
      <w:bookmarkEnd w:id="131"/>
      <w:bookmarkStart w:id="132" w:name="_Toc184310305"/>
      <w:bookmarkEnd w:id="132"/>
      <w:bookmarkStart w:id="133" w:name="_Toc184314425"/>
      <w:bookmarkEnd w:id="133"/>
      <w:bookmarkStart w:id="134" w:name="_Toc184312106"/>
      <w:bookmarkEnd w:id="134"/>
      <w:bookmarkStart w:id="135" w:name="_Toc184313260"/>
      <w:bookmarkEnd w:id="135"/>
      <w:bookmarkStart w:id="136" w:name="_Toc184312129"/>
      <w:bookmarkEnd w:id="136"/>
      <w:bookmarkStart w:id="137" w:name="_Toc184313272"/>
      <w:bookmarkEnd w:id="137"/>
      <w:bookmarkStart w:id="138" w:name="_Toc184312111"/>
      <w:bookmarkEnd w:id="138"/>
      <w:bookmarkStart w:id="139" w:name="_Toc184308107"/>
      <w:bookmarkEnd w:id="139"/>
      <w:bookmarkStart w:id="140" w:name="_Toc184314478"/>
      <w:bookmarkEnd w:id="140"/>
      <w:bookmarkStart w:id="141" w:name="_Toc184310339"/>
      <w:bookmarkEnd w:id="141"/>
      <w:bookmarkStart w:id="142" w:name="_Toc184312073"/>
      <w:bookmarkEnd w:id="142"/>
      <w:bookmarkStart w:id="143" w:name="_Toc184312130"/>
      <w:bookmarkEnd w:id="143"/>
      <w:bookmarkStart w:id="144" w:name="_Toc184313304"/>
      <w:bookmarkEnd w:id="144"/>
      <w:bookmarkStart w:id="145" w:name="_Toc184310318"/>
      <w:bookmarkEnd w:id="145"/>
      <w:bookmarkStart w:id="146" w:name="_Toc184313258"/>
      <w:bookmarkEnd w:id="146"/>
      <w:bookmarkStart w:id="147" w:name="_Toc184314416"/>
      <w:bookmarkEnd w:id="147"/>
      <w:bookmarkStart w:id="148" w:name="_Toc184310313"/>
      <w:bookmarkEnd w:id="148"/>
      <w:bookmarkStart w:id="149" w:name="_Toc184313280"/>
      <w:bookmarkEnd w:id="149"/>
      <w:bookmarkStart w:id="150" w:name="_Toc184312132"/>
      <w:bookmarkEnd w:id="150"/>
      <w:bookmarkStart w:id="151" w:name="_Toc184312136"/>
      <w:bookmarkEnd w:id="151"/>
      <w:bookmarkStart w:id="152" w:name="_Toc184308102"/>
      <w:bookmarkEnd w:id="152"/>
      <w:bookmarkStart w:id="153" w:name="_Toc184310286"/>
      <w:bookmarkEnd w:id="153"/>
      <w:bookmarkStart w:id="154" w:name="_Toc184308071"/>
      <w:bookmarkEnd w:id="154"/>
      <w:bookmarkStart w:id="155" w:name="_Toc184312094"/>
      <w:bookmarkEnd w:id="155"/>
      <w:bookmarkStart w:id="156" w:name="_Toc184312127"/>
      <w:bookmarkEnd w:id="156"/>
      <w:bookmarkStart w:id="157" w:name="_Toc184308067"/>
      <w:bookmarkEnd w:id="157"/>
      <w:bookmarkStart w:id="158" w:name="_Toc184308036"/>
      <w:bookmarkEnd w:id="158"/>
      <w:bookmarkStart w:id="159" w:name="_Toc184308105"/>
      <w:bookmarkEnd w:id="159"/>
      <w:bookmarkStart w:id="160" w:name="_Toc184310276"/>
      <w:bookmarkEnd w:id="160"/>
      <w:bookmarkStart w:id="161" w:name="_Toc184308062"/>
      <w:bookmarkEnd w:id="161"/>
      <w:bookmarkStart w:id="162" w:name="_Toc184308091"/>
      <w:bookmarkEnd w:id="162"/>
      <w:bookmarkStart w:id="163" w:name="_Toc184312092"/>
      <w:bookmarkEnd w:id="163"/>
      <w:bookmarkStart w:id="164" w:name="_Toc184312116"/>
      <w:bookmarkEnd w:id="164"/>
      <w:bookmarkStart w:id="165" w:name="_Toc184308068"/>
      <w:bookmarkEnd w:id="165"/>
      <w:bookmarkStart w:id="166" w:name="_Toc184308083"/>
      <w:bookmarkEnd w:id="166"/>
      <w:bookmarkStart w:id="167" w:name="_Toc184310274"/>
      <w:bookmarkEnd w:id="167"/>
      <w:bookmarkStart w:id="168" w:name="_Toc184310342"/>
      <w:bookmarkEnd w:id="168"/>
      <w:bookmarkStart w:id="169" w:name="_Toc184312126"/>
      <w:bookmarkEnd w:id="169"/>
      <w:bookmarkStart w:id="170" w:name="_Toc184310309"/>
      <w:bookmarkEnd w:id="170"/>
      <w:bookmarkStart w:id="171" w:name="_Toc184310294"/>
      <w:bookmarkEnd w:id="171"/>
      <w:bookmarkStart w:id="172" w:name="_Toc184314457"/>
      <w:bookmarkEnd w:id="172"/>
      <w:bookmarkStart w:id="173" w:name="_Toc184314434"/>
      <w:bookmarkEnd w:id="173"/>
      <w:bookmarkStart w:id="174" w:name="_Toc184312119"/>
      <w:bookmarkEnd w:id="174"/>
      <w:bookmarkStart w:id="175" w:name="_Toc184310288"/>
      <w:bookmarkEnd w:id="175"/>
      <w:bookmarkStart w:id="176" w:name="_Toc184308049"/>
      <w:bookmarkEnd w:id="176"/>
      <w:bookmarkStart w:id="177" w:name="_Toc184313305"/>
      <w:bookmarkEnd w:id="177"/>
      <w:bookmarkStart w:id="178" w:name="_Toc184310322"/>
      <w:bookmarkEnd w:id="178"/>
      <w:bookmarkStart w:id="179" w:name="_Toc184310321"/>
      <w:bookmarkEnd w:id="179"/>
      <w:bookmarkStart w:id="180" w:name="_Toc184314423"/>
      <w:bookmarkEnd w:id="180"/>
      <w:bookmarkStart w:id="181" w:name="_Toc184310308"/>
      <w:bookmarkEnd w:id="181"/>
      <w:bookmarkStart w:id="182" w:name="_Toc184313253"/>
      <w:bookmarkEnd w:id="182"/>
      <w:bookmarkStart w:id="183" w:name="_Toc184312088"/>
      <w:bookmarkEnd w:id="183"/>
      <w:bookmarkStart w:id="184" w:name="_Toc184314462"/>
      <w:bookmarkEnd w:id="184"/>
      <w:bookmarkStart w:id="185" w:name="_Toc184308054"/>
      <w:bookmarkEnd w:id="185"/>
      <w:bookmarkStart w:id="186" w:name="_Toc184310277"/>
      <w:bookmarkEnd w:id="186"/>
      <w:bookmarkStart w:id="187" w:name="_Toc184313298"/>
      <w:bookmarkEnd w:id="187"/>
      <w:bookmarkStart w:id="188" w:name="_Toc184314481"/>
      <w:bookmarkEnd w:id="188"/>
      <w:bookmarkStart w:id="189" w:name="_Toc184312122"/>
      <w:bookmarkEnd w:id="189"/>
      <w:bookmarkStart w:id="190" w:name="_Toc184308077"/>
      <w:bookmarkEnd w:id="190"/>
      <w:bookmarkStart w:id="191" w:name="_Toc184308099"/>
      <w:bookmarkEnd w:id="191"/>
      <w:bookmarkStart w:id="192" w:name="_Toc184310330"/>
      <w:bookmarkEnd w:id="192"/>
      <w:bookmarkStart w:id="193" w:name="_Toc184314427"/>
      <w:bookmarkEnd w:id="193"/>
      <w:bookmarkStart w:id="194" w:name="_Toc184308058"/>
      <w:bookmarkEnd w:id="194"/>
      <w:bookmarkStart w:id="195" w:name="_Toc184313246"/>
      <w:bookmarkEnd w:id="195"/>
      <w:bookmarkStart w:id="196" w:name="_Toc184308103"/>
      <w:bookmarkEnd w:id="196"/>
      <w:bookmarkStart w:id="197" w:name="_Toc184312086"/>
      <w:bookmarkEnd w:id="197"/>
      <w:bookmarkStart w:id="198" w:name="_Toc184313307"/>
      <w:bookmarkEnd w:id="198"/>
      <w:bookmarkStart w:id="199" w:name="_Toc184312096"/>
      <w:bookmarkEnd w:id="199"/>
      <w:bookmarkStart w:id="200" w:name="_Toc184314442"/>
      <w:bookmarkEnd w:id="200"/>
      <w:bookmarkStart w:id="201" w:name="_Toc184313248"/>
      <w:bookmarkEnd w:id="201"/>
      <w:bookmarkStart w:id="202" w:name="_Toc184310325"/>
      <w:bookmarkEnd w:id="202"/>
      <w:bookmarkStart w:id="203" w:name="_Toc184313247"/>
      <w:bookmarkEnd w:id="203"/>
      <w:bookmarkStart w:id="204" w:name="_Toc184314410"/>
      <w:bookmarkEnd w:id="204"/>
      <w:bookmarkStart w:id="205" w:name="_Toc184312074"/>
      <w:bookmarkEnd w:id="205"/>
      <w:bookmarkStart w:id="206" w:name="_Toc184314454"/>
      <w:bookmarkEnd w:id="206"/>
      <w:bookmarkStart w:id="207" w:name="_Toc184314452"/>
      <w:bookmarkEnd w:id="207"/>
      <w:bookmarkStart w:id="208" w:name="_Toc184314413"/>
      <w:bookmarkEnd w:id="208"/>
      <w:bookmarkStart w:id="209" w:name="_Toc184314449"/>
      <w:bookmarkEnd w:id="209"/>
      <w:bookmarkStart w:id="210" w:name="_Toc184312121"/>
      <w:bookmarkEnd w:id="210"/>
      <w:bookmarkStart w:id="211" w:name="_Toc184312128"/>
      <w:bookmarkEnd w:id="211"/>
      <w:bookmarkStart w:id="212" w:name="_Toc184312079"/>
      <w:bookmarkEnd w:id="212"/>
      <w:bookmarkStart w:id="213" w:name="_Toc184308072"/>
      <w:bookmarkEnd w:id="213"/>
      <w:bookmarkStart w:id="214" w:name="_Toc184314424"/>
      <w:bookmarkEnd w:id="214"/>
      <w:bookmarkStart w:id="215" w:name="_Toc184310336"/>
      <w:bookmarkEnd w:id="215"/>
      <w:bookmarkStart w:id="216" w:name="_Toc184313296"/>
      <w:bookmarkEnd w:id="216"/>
      <w:bookmarkStart w:id="217" w:name="_Toc184308056"/>
      <w:bookmarkEnd w:id="217"/>
      <w:bookmarkStart w:id="218" w:name="_Toc184308095"/>
      <w:bookmarkEnd w:id="218"/>
      <w:bookmarkStart w:id="219" w:name="_Toc184312133"/>
      <w:bookmarkEnd w:id="219"/>
      <w:bookmarkStart w:id="220" w:name="_Toc184310310"/>
      <w:bookmarkEnd w:id="220"/>
      <w:bookmarkStart w:id="221" w:name="_Toc184310329"/>
      <w:bookmarkEnd w:id="221"/>
      <w:bookmarkStart w:id="222" w:name="_Toc184310320"/>
      <w:bookmarkEnd w:id="222"/>
      <w:bookmarkStart w:id="223" w:name="_Toc184314476"/>
      <w:bookmarkEnd w:id="223"/>
      <w:bookmarkStart w:id="224" w:name="_Toc184314436"/>
      <w:bookmarkEnd w:id="224"/>
      <w:bookmarkStart w:id="225" w:name="_Toc184312089"/>
      <w:bookmarkEnd w:id="225"/>
      <w:bookmarkStart w:id="226" w:name="_Toc184313286"/>
      <w:bookmarkEnd w:id="226"/>
      <w:bookmarkStart w:id="227" w:name="_Toc184310319"/>
      <w:bookmarkEnd w:id="227"/>
      <w:bookmarkStart w:id="228" w:name="_Toc184310338"/>
      <w:bookmarkEnd w:id="228"/>
      <w:bookmarkStart w:id="229" w:name="_Toc184310272"/>
      <w:bookmarkEnd w:id="229"/>
      <w:bookmarkStart w:id="230" w:name="_Toc184314437"/>
      <w:bookmarkEnd w:id="230"/>
      <w:bookmarkStart w:id="231" w:name="_Toc184308073"/>
      <w:bookmarkEnd w:id="231"/>
      <w:bookmarkStart w:id="232" w:name="_Toc184314441"/>
      <w:bookmarkEnd w:id="232"/>
      <w:bookmarkStart w:id="233" w:name="_Toc184313262"/>
      <w:bookmarkEnd w:id="233"/>
      <w:bookmarkStart w:id="234" w:name="_Toc184308060"/>
      <w:bookmarkEnd w:id="234"/>
      <w:bookmarkStart w:id="235" w:name="_Toc184308079"/>
      <w:bookmarkEnd w:id="235"/>
      <w:bookmarkStart w:id="236" w:name="_Toc184313242"/>
      <w:bookmarkEnd w:id="236"/>
      <w:bookmarkStart w:id="237" w:name="_Toc184308044"/>
      <w:bookmarkEnd w:id="237"/>
      <w:bookmarkStart w:id="238" w:name="_Toc184310298"/>
      <w:bookmarkEnd w:id="238"/>
      <w:bookmarkStart w:id="239" w:name="_Toc184308051"/>
      <w:bookmarkEnd w:id="239"/>
      <w:bookmarkStart w:id="240" w:name="_Toc184314422"/>
      <w:bookmarkEnd w:id="240"/>
      <w:bookmarkStart w:id="241" w:name="_Toc184308104"/>
      <w:bookmarkEnd w:id="241"/>
      <w:bookmarkStart w:id="242" w:name="_Toc184308076"/>
      <w:bookmarkEnd w:id="242"/>
      <w:bookmarkStart w:id="243" w:name="_Toc184310340"/>
      <w:bookmarkEnd w:id="243"/>
      <w:bookmarkStart w:id="244" w:name="_Toc184308078"/>
      <w:bookmarkEnd w:id="244"/>
      <w:bookmarkStart w:id="245" w:name="_Toc184308041"/>
      <w:bookmarkEnd w:id="245"/>
      <w:bookmarkStart w:id="246" w:name="_Toc184314444"/>
      <w:bookmarkEnd w:id="246"/>
      <w:bookmarkStart w:id="247" w:name="_Toc184310323"/>
      <w:bookmarkEnd w:id="247"/>
      <w:bookmarkStart w:id="248" w:name="_Toc184308069"/>
      <w:bookmarkEnd w:id="248"/>
      <w:bookmarkStart w:id="249" w:name="_Toc184314450"/>
      <w:bookmarkEnd w:id="249"/>
      <w:bookmarkStart w:id="250" w:name="_Toc184312118"/>
      <w:bookmarkEnd w:id="250"/>
      <w:bookmarkStart w:id="251" w:name="_Toc184312125"/>
      <w:bookmarkEnd w:id="251"/>
      <w:bookmarkStart w:id="252" w:name="_Toc184313251"/>
      <w:bookmarkEnd w:id="252"/>
      <w:bookmarkStart w:id="253" w:name="_Toc184312098"/>
      <w:bookmarkEnd w:id="253"/>
      <w:bookmarkStart w:id="254" w:name="_Toc184308070"/>
      <w:bookmarkEnd w:id="254"/>
      <w:bookmarkStart w:id="255" w:name="_Toc184312081"/>
      <w:bookmarkEnd w:id="255"/>
      <w:bookmarkStart w:id="256" w:name="_Toc184313265"/>
      <w:bookmarkEnd w:id="256"/>
      <w:bookmarkStart w:id="257" w:name="_Toc184312124"/>
      <w:bookmarkEnd w:id="257"/>
      <w:bookmarkStart w:id="258" w:name="_Toc184310307"/>
      <w:bookmarkEnd w:id="258"/>
      <w:bookmarkStart w:id="259" w:name="_Toc184310311"/>
      <w:bookmarkEnd w:id="259"/>
      <w:bookmarkStart w:id="260" w:name="_Toc184308098"/>
      <w:bookmarkEnd w:id="260"/>
      <w:bookmarkStart w:id="261" w:name="_Toc184313278"/>
      <w:bookmarkEnd w:id="261"/>
      <w:bookmarkStart w:id="262" w:name="_Toc184312085"/>
      <w:bookmarkEnd w:id="262"/>
      <w:bookmarkStart w:id="263" w:name="_Toc184314421"/>
      <w:bookmarkEnd w:id="263"/>
      <w:bookmarkStart w:id="264" w:name="_Toc184310297"/>
      <w:bookmarkEnd w:id="264"/>
      <w:bookmarkStart w:id="265" w:name="_Toc184310315"/>
      <w:bookmarkEnd w:id="265"/>
      <w:bookmarkStart w:id="266" w:name="_Toc184313297"/>
      <w:bookmarkEnd w:id="266"/>
      <w:bookmarkStart w:id="267" w:name="_Toc184313303"/>
      <w:bookmarkEnd w:id="267"/>
      <w:bookmarkStart w:id="268" w:name="_Toc184313285"/>
      <w:bookmarkEnd w:id="268"/>
      <w:bookmarkStart w:id="269" w:name="_Toc184313240"/>
      <w:bookmarkEnd w:id="269"/>
      <w:bookmarkStart w:id="270" w:name="_Toc184312102"/>
      <w:bookmarkEnd w:id="270"/>
      <w:bookmarkStart w:id="271" w:name="_Toc184314415"/>
      <w:bookmarkEnd w:id="271"/>
      <w:bookmarkStart w:id="272" w:name="_Toc184310324"/>
      <w:bookmarkEnd w:id="272"/>
      <w:bookmarkStart w:id="273" w:name="_Toc184313250"/>
      <w:bookmarkEnd w:id="273"/>
      <w:bookmarkStart w:id="274" w:name="_Toc184312138"/>
      <w:bookmarkEnd w:id="274"/>
      <w:bookmarkStart w:id="275" w:name="_Toc184310301"/>
      <w:bookmarkEnd w:id="275"/>
      <w:bookmarkStart w:id="276" w:name="_Toc184312104"/>
      <w:bookmarkEnd w:id="276"/>
      <w:bookmarkStart w:id="277" w:name="_Toc184310284"/>
      <w:bookmarkEnd w:id="277"/>
      <w:bookmarkStart w:id="278" w:name="_Toc184312093"/>
      <w:bookmarkEnd w:id="278"/>
      <w:bookmarkStart w:id="279" w:name="_Toc184308108"/>
      <w:bookmarkEnd w:id="279"/>
      <w:bookmarkStart w:id="280" w:name="_Toc184310341"/>
      <w:bookmarkEnd w:id="280"/>
      <w:bookmarkStart w:id="281" w:name="_Toc184314480"/>
      <w:bookmarkEnd w:id="281"/>
      <w:bookmarkStart w:id="282" w:name="_Toc184313243"/>
      <w:bookmarkEnd w:id="282"/>
      <w:bookmarkStart w:id="283" w:name="_Toc184310312"/>
      <w:bookmarkEnd w:id="283"/>
      <w:bookmarkStart w:id="284" w:name="_Toc184314420"/>
      <w:bookmarkEnd w:id="284"/>
      <w:bookmarkStart w:id="285" w:name="_Toc184314463"/>
      <w:bookmarkEnd w:id="285"/>
      <w:bookmarkStart w:id="286" w:name="_Toc184310296"/>
      <w:bookmarkEnd w:id="286"/>
      <w:bookmarkStart w:id="287" w:name="_Toc184313254"/>
      <w:bookmarkEnd w:id="287"/>
      <w:bookmarkStart w:id="288" w:name="_Toc184314411"/>
      <w:bookmarkEnd w:id="288"/>
      <w:bookmarkStart w:id="289" w:name="_Toc184312071"/>
      <w:bookmarkEnd w:id="289"/>
      <w:bookmarkStart w:id="290" w:name="_Toc184314445"/>
      <w:bookmarkEnd w:id="290"/>
      <w:bookmarkStart w:id="291" w:name="_Toc184312075"/>
      <w:bookmarkEnd w:id="291"/>
      <w:bookmarkStart w:id="292" w:name="_Toc184308047"/>
      <w:bookmarkEnd w:id="292"/>
      <w:bookmarkStart w:id="293" w:name="_Toc184314460"/>
      <w:bookmarkEnd w:id="293"/>
      <w:bookmarkStart w:id="294" w:name="_Toc184314482"/>
      <w:bookmarkEnd w:id="294"/>
      <w:bookmarkStart w:id="295" w:name="_Toc184314417"/>
      <w:bookmarkEnd w:id="295"/>
      <w:bookmarkStart w:id="296" w:name="_Toc184308096"/>
      <w:bookmarkEnd w:id="296"/>
      <w:bookmarkStart w:id="297" w:name="_Toc184313238"/>
      <w:bookmarkEnd w:id="297"/>
      <w:bookmarkStart w:id="298" w:name="_Toc184312099"/>
      <w:bookmarkEnd w:id="298"/>
      <w:bookmarkStart w:id="299" w:name="_Toc184313290"/>
      <w:bookmarkEnd w:id="299"/>
      <w:bookmarkStart w:id="300" w:name="_Toc184308039"/>
      <w:bookmarkEnd w:id="300"/>
      <w:bookmarkStart w:id="301" w:name="_Toc184310328"/>
      <w:bookmarkEnd w:id="301"/>
      <w:bookmarkStart w:id="302" w:name="_Toc184310300"/>
      <w:bookmarkEnd w:id="302"/>
      <w:bookmarkStart w:id="303" w:name="_Toc184310316"/>
      <w:bookmarkEnd w:id="303"/>
      <w:bookmarkStart w:id="304" w:name="_Toc184314467"/>
      <w:bookmarkEnd w:id="304"/>
      <w:bookmarkStart w:id="305" w:name="_Toc184312123"/>
      <w:bookmarkEnd w:id="305"/>
      <w:bookmarkStart w:id="306" w:name="_Toc184310283"/>
      <w:bookmarkEnd w:id="306"/>
      <w:bookmarkStart w:id="307" w:name="_Toc184310295"/>
      <w:bookmarkEnd w:id="307"/>
      <w:bookmarkStart w:id="308" w:name="_Toc184308087"/>
      <w:bookmarkEnd w:id="308"/>
      <w:bookmarkStart w:id="309" w:name="_Toc184310273"/>
      <w:bookmarkEnd w:id="309"/>
      <w:bookmarkStart w:id="310" w:name="_Toc184314479"/>
      <w:bookmarkEnd w:id="310"/>
      <w:bookmarkStart w:id="311" w:name="_Toc184312068"/>
      <w:bookmarkEnd w:id="311"/>
      <w:bookmarkStart w:id="312" w:name="_Toc184308088"/>
      <w:bookmarkEnd w:id="312"/>
      <w:bookmarkStart w:id="313" w:name="_Toc184314429"/>
      <w:bookmarkEnd w:id="313"/>
      <w:bookmarkStart w:id="314" w:name="_Toc184310334"/>
      <w:bookmarkEnd w:id="314"/>
      <w:bookmarkStart w:id="315" w:name="_Toc184312135"/>
      <w:bookmarkEnd w:id="315"/>
      <w:bookmarkStart w:id="316" w:name="_Toc184313309"/>
      <w:bookmarkEnd w:id="316"/>
      <w:bookmarkStart w:id="317" w:name="_Toc184313241"/>
      <w:bookmarkEnd w:id="317"/>
      <w:bookmarkStart w:id="318" w:name="_Toc184313284"/>
      <w:bookmarkEnd w:id="318"/>
      <w:bookmarkStart w:id="319" w:name="_Toc184308090"/>
      <w:bookmarkEnd w:id="319"/>
      <w:bookmarkStart w:id="320" w:name="_Toc184312110"/>
      <w:bookmarkEnd w:id="320"/>
      <w:bookmarkStart w:id="321" w:name="_Toc184314446"/>
      <w:bookmarkEnd w:id="321"/>
      <w:bookmarkStart w:id="322" w:name="_Toc184313294"/>
      <w:bookmarkEnd w:id="322"/>
      <w:bookmarkStart w:id="323" w:name="_Toc184314451"/>
      <w:bookmarkEnd w:id="323"/>
      <w:bookmarkStart w:id="324" w:name="_Toc184312101"/>
      <w:bookmarkEnd w:id="324"/>
      <w:bookmarkStart w:id="325" w:name="_Toc184310292"/>
      <w:bookmarkEnd w:id="325"/>
      <w:bookmarkStart w:id="326" w:name="_Toc184313310"/>
      <w:bookmarkEnd w:id="326"/>
      <w:bookmarkStart w:id="327" w:name="_Toc184313300"/>
      <w:bookmarkEnd w:id="327"/>
      <w:bookmarkStart w:id="328" w:name="_Toc184312091"/>
      <w:bookmarkEnd w:id="328"/>
      <w:bookmarkStart w:id="329" w:name="_Toc184310332"/>
      <w:bookmarkEnd w:id="329"/>
      <w:bookmarkStart w:id="330" w:name="_Toc184313255"/>
      <w:bookmarkEnd w:id="330"/>
      <w:bookmarkStart w:id="331" w:name="_Toc184310293"/>
      <w:bookmarkEnd w:id="331"/>
      <w:bookmarkStart w:id="332" w:name="_Toc184308040"/>
      <w:bookmarkEnd w:id="332"/>
      <w:bookmarkStart w:id="333" w:name="_Toc184314459"/>
      <w:bookmarkEnd w:id="333"/>
      <w:bookmarkStart w:id="334" w:name="_Toc184312114"/>
      <w:bookmarkEnd w:id="334"/>
      <w:bookmarkStart w:id="335" w:name="_Toc184313271"/>
      <w:bookmarkEnd w:id="335"/>
      <w:bookmarkStart w:id="336" w:name="_Toc184310302"/>
      <w:bookmarkEnd w:id="336"/>
      <w:bookmarkStart w:id="337" w:name="_Toc184314430"/>
      <w:bookmarkEnd w:id="337"/>
      <w:bookmarkStart w:id="338" w:name="_Toc184308046"/>
      <w:bookmarkEnd w:id="338"/>
      <w:bookmarkStart w:id="339" w:name="_Toc184313268"/>
      <w:bookmarkEnd w:id="339"/>
      <w:bookmarkStart w:id="340" w:name="_Toc184310343"/>
      <w:bookmarkEnd w:id="340"/>
      <w:bookmarkStart w:id="341" w:name="_Toc184312090"/>
      <w:bookmarkEnd w:id="341"/>
      <w:bookmarkStart w:id="342" w:name="_Toc184310291"/>
      <w:bookmarkEnd w:id="342"/>
      <w:bookmarkStart w:id="343" w:name="_Toc184308101"/>
      <w:bookmarkEnd w:id="343"/>
      <w:bookmarkStart w:id="344" w:name="_Toc184312131"/>
      <w:bookmarkEnd w:id="344"/>
      <w:bookmarkStart w:id="345" w:name="_Toc184308052"/>
      <w:bookmarkEnd w:id="345"/>
      <w:bookmarkStart w:id="346" w:name="_Toc184314464"/>
      <w:bookmarkEnd w:id="346"/>
      <w:bookmarkStart w:id="347" w:name="_Toc184313302"/>
      <w:bookmarkEnd w:id="347"/>
      <w:bookmarkStart w:id="348" w:name="_Toc184310280"/>
      <w:bookmarkEnd w:id="348"/>
      <w:bookmarkStart w:id="349" w:name="_Toc184312108"/>
      <w:bookmarkEnd w:id="349"/>
      <w:bookmarkStart w:id="350" w:name="_Toc184308093"/>
      <w:bookmarkEnd w:id="350"/>
      <w:bookmarkStart w:id="351" w:name="_Toc184310306"/>
      <w:bookmarkEnd w:id="351"/>
      <w:bookmarkStart w:id="352" w:name="_Toc184308080"/>
      <w:bookmarkEnd w:id="352"/>
      <w:bookmarkStart w:id="353" w:name="_Toc184312115"/>
      <w:bookmarkEnd w:id="353"/>
      <w:bookmarkStart w:id="354" w:name="_Toc184312084"/>
      <w:bookmarkEnd w:id="354"/>
      <w:bookmarkStart w:id="355" w:name="_Toc184314448"/>
      <w:bookmarkEnd w:id="355"/>
      <w:bookmarkStart w:id="356" w:name="_Toc184308050"/>
      <w:bookmarkEnd w:id="356"/>
      <w:bookmarkStart w:id="357" w:name="_Toc184312070"/>
      <w:bookmarkEnd w:id="357"/>
      <w:bookmarkStart w:id="358" w:name="_Toc184313263"/>
      <w:bookmarkEnd w:id="358"/>
      <w:bookmarkStart w:id="359" w:name="_Toc184312103"/>
      <w:bookmarkEnd w:id="359"/>
      <w:bookmarkStart w:id="360" w:name="_Toc184313281"/>
      <w:bookmarkEnd w:id="360"/>
      <w:bookmarkStart w:id="361" w:name="_Toc184313275"/>
      <w:bookmarkEnd w:id="361"/>
      <w:bookmarkStart w:id="362" w:name="_Toc184313283"/>
      <w:bookmarkEnd w:id="362"/>
      <w:bookmarkStart w:id="363" w:name="_Toc184312087"/>
      <w:bookmarkEnd w:id="363"/>
      <w:bookmarkStart w:id="364" w:name="_Toc184310282"/>
      <w:bookmarkEnd w:id="364"/>
      <w:bookmarkStart w:id="365" w:name="_Toc184312112"/>
      <w:bookmarkEnd w:id="365"/>
      <w:bookmarkStart w:id="366" w:name="_Toc184313292"/>
      <w:bookmarkEnd w:id="366"/>
      <w:bookmarkStart w:id="367" w:name="_Toc184314469"/>
      <w:bookmarkEnd w:id="367"/>
      <w:bookmarkStart w:id="368" w:name="_Toc184308045"/>
      <w:bookmarkEnd w:id="368"/>
      <w:bookmarkStart w:id="369" w:name="_Toc184314455"/>
      <w:bookmarkEnd w:id="369"/>
      <w:bookmarkStart w:id="370" w:name="_Toc184308063"/>
      <w:bookmarkEnd w:id="370"/>
      <w:bookmarkStart w:id="371" w:name="_Toc184308043"/>
      <w:bookmarkEnd w:id="371"/>
      <w:bookmarkStart w:id="372" w:name="_Toc184313270"/>
      <w:bookmarkEnd w:id="372"/>
      <w:bookmarkStart w:id="373" w:name="_Toc184313293"/>
      <w:bookmarkEnd w:id="373"/>
      <w:bookmarkStart w:id="374" w:name="_Toc184308092"/>
      <w:bookmarkEnd w:id="374"/>
      <w:bookmarkStart w:id="375" w:name="_Toc184313252"/>
      <w:bookmarkEnd w:id="375"/>
      <w:bookmarkStart w:id="376" w:name="_Toc184314443"/>
      <w:bookmarkEnd w:id="376"/>
      <w:bookmarkStart w:id="377" w:name="_Toc184312105"/>
      <w:bookmarkEnd w:id="377"/>
      <w:bookmarkStart w:id="378" w:name="_Toc184308074"/>
      <w:bookmarkEnd w:id="378"/>
      <w:bookmarkStart w:id="379" w:name="_Toc184313249"/>
      <w:bookmarkEnd w:id="379"/>
      <w:bookmarkStart w:id="380" w:name="_Toc184312080"/>
      <w:bookmarkEnd w:id="380"/>
      <w:bookmarkStart w:id="381" w:name="_Toc184312107"/>
      <w:bookmarkEnd w:id="381"/>
      <w:bookmarkStart w:id="382" w:name="_Toc184313289"/>
      <w:bookmarkEnd w:id="382"/>
      <w:bookmarkStart w:id="383" w:name="_Toc184314456"/>
      <w:bookmarkEnd w:id="383"/>
      <w:bookmarkStart w:id="384" w:name="_Toc184313279"/>
      <w:bookmarkEnd w:id="384"/>
      <w:bookmarkStart w:id="385" w:name="_Toc184310281"/>
      <w:bookmarkEnd w:id="385"/>
      <w:bookmarkStart w:id="386" w:name="_Toc184312072"/>
      <w:bookmarkEnd w:id="386"/>
      <w:bookmarkStart w:id="387" w:name="_Toc184308075"/>
      <w:bookmarkEnd w:id="387"/>
      <w:bookmarkStart w:id="388" w:name="_Toc184308082"/>
      <w:bookmarkEnd w:id="388"/>
      <w:bookmarkStart w:id="389" w:name="_Toc184314440"/>
      <w:bookmarkEnd w:id="389"/>
      <w:bookmarkStart w:id="390" w:name="_Toc184314458"/>
      <w:bookmarkEnd w:id="390"/>
      <w:bookmarkStart w:id="391" w:name="_Toc184312117"/>
      <w:bookmarkEnd w:id="391"/>
      <w:bookmarkStart w:id="392" w:name="_Toc184313257"/>
      <w:bookmarkEnd w:id="392"/>
      <w:bookmarkStart w:id="393" w:name="_Toc184308038"/>
      <w:bookmarkEnd w:id="393"/>
      <w:bookmarkStart w:id="394" w:name="_Toc184313291"/>
      <w:bookmarkEnd w:id="394"/>
      <w:bookmarkStart w:id="395" w:name="_Toc184312113"/>
      <w:bookmarkEnd w:id="395"/>
      <w:bookmarkStart w:id="396" w:name="_Toc184313276"/>
      <w:bookmarkEnd w:id="396"/>
      <w:bookmarkStart w:id="397" w:name="_Toc184314471"/>
      <w:bookmarkEnd w:id="397"/>
      <w:r>
        <w:rPr>
          <w:rFonts w:hint="eastAsia" w:ascii="宋体" w:hAnsi="宋体" w:cs="宋体"/>
          <w:b/>
          <w:sz w:val="36"/>
          <w:szCs w:val="36"/>
        </w:rPr>
        <w:t>评标办法</w:t>
      </w:r>
    </w:p>
    <w:p>
      <w:pPr>
        <w:snapToGrid w:val="0"/>
        <w:spacing w:line="360" w:lineRule="auto"/>
        <w:jc w:val="center"/>
        <w:rPr>
          <w:rFonts w:hint="eastAsia" w:ascii="宋体" w:hAnsi="宋体" w:cs="宋体"/>
          <w:b/>
          <w:sz w:val="32"/>
          <w:szCs w:val="20"/>
        </w:rPr>
      </w:pPr>
      <w:r>
        <w:rPr>
          <w:rFonts w:hint="eastAsia" w:ascii="宋体" w:hAnsi="宋体" w:cs="宋体"/>
          <w:b/>
          <w:sz w:val="32"/>
          <w:szCs w:val="20"/>
        </w:rPr>
        <w:t>评标办法前附表</w:t>
      </w:r>
    </w:p>
    <w:tbl>
      <w:tblPr>
        <w:tblStyle w:val="63"/>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27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844" w:type="dxa"/>
            <w:vAlign w:val="center"/>
          </w:tcPr>
          <w:p>
            <w:pPr>
              <w:spacing w:line="400" w:lineRule="exact"/>
              <w:jc w:val="center"/>
              <w:rPr>
                <w:rFonts w:ascii="宋体" w:hAnsi="宋体" w:eastAsia="宋体"/>
                <w:color w:val="auto"/>
              </w:rPr>
            </w:pPr>
            <w:r>
              <w:rPr>
                <w:rFonts w:hint="eastAsia" w:ascii="宋体" w:hAnsi="宋体" w:eastAsia="宋体"/>
                <w:color w:val="auto"/>
              </w:rPr>
              <w:t>评标因素</w:t>
            </w:r>
          </w:p>
        </w:tc>
        <w:tc>
          <w:tcPr>
            <w:tcW w:w="1275" w:type="dxa"/>
            <w:vAlign w:val="center"/>
          </w:tcPr>
          <w:p>
            <w:pPr>
              <w:spacing w:line="400" w:lineRule="exact"/>
              <w:jc w:val="center"/>
              <w:rPr>
                <w:rFonts w:ascii="宋体" w:hAnsi="宋体" w:eastAsia="宋体"/>
                <w:color w:val="auto"/>
              </w:rPr>
            </w:pPr>
            <w:r>
              <w:rPr>
                <w:rFonts w:hint="eastAsia" w:ascii="宋体" w:hAnsi="宋体" w:eastAsia="宋体"/>
                <w:color w:val="auto"/>
              </w:rPr>
              <w:t>分值</w:t>
            </w:r>
          </w:p>
        </w:tc>
        <w:tc>
          <w:tcPr>
            <w:tcW w:w="7371" w:type="dxa"/>
            <w:vAlign w:val="center"/>
          </w:tcPr>
          <w:p>
            <w:pPr>
              <w:spacing w:line="400" w:lineRule="exact"/>
              <w:jc w:val="center"/>
              <w:rPr>
                <w:rFonts w:ascii="宋体" w:hAnsi="宋体" w:eastAsia="宋体"/>
                <w:color w:val="auto"/>
              </w:rPr>
            </w:pPr>
            <w:r>
              <w:rPr>
                <w:rFonts w:hint="eastAsia" w:ascii="宋体" w:hAnsi="宋体" w:eastAsia="宋体"/>
                <w:color w:val="auto"/>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844" w:type="dxa"/>
            <w:vAlign w:val="center"/>
          </w:tcPr>
          <w:p>
            <w:pPr>
              <w:spacing w:line="400" w:lineRule="exact"/>
              <w:jc w:val="center"/>
              <w:rPr>
                <w:rFonts w:ascii="宋体" w:hAnsi="宋体" w:eastAsia="宋体"/>
                <w:color w:val="auto"/>
                <w:sz w:val="20"/>
                <w:szCs w:val="20"/>
              </w:rPr>
            </w:pPr>
            <w:r>
              <w:rPr>
                <w:rFonts w:hint="eastAsia" w:ascii="宋体" w:hAnsi="宋体" w:eastAsia="宋体"/>
                <w:color w:val="auto"/>
                <w:sz w:val="20"/>
                <w:szCs w:val="20"/>
              </w:rPr>
              <w:t>价格总分</w:t>
            </w:r>
          </w:p>
        </w:tc>
        <w:tc>
          <w:tcPr>
            <w:tcW w:w="1275" w:type="dxa"/>
            <w:vAlign w:val="center"/>
          </w:tcPr>
          <w:p>
            <w:pPr>
              <w:spacing w:line="400" w:lineRule="exact"/>
              <w:jc w:val="center"/>
              <w:rPr>
                <w:rFonts w:ascii="宋体" w:hAnsi="宋体" w:eastAsia="宋体"/>
                <w:color w:val="auto"/>
                <w:sz w:val="20"/>
                <w:szCs w:val="20"/>
              </w:rPr>
            </w:pPr>
            <w:r>
              <w:rPr>
                <w:rFonts w:hint="eastAsia" w:ascii="宋体" w:hAnsi="宋体" w:eastAsia="宋体"/>
                <w:color w:val="auto"/>
                <w:sz w:val="20"/>
                <w:szCs w:val="20"/>
              </w:rPr>
              <w:t>3</w:t>
            </w:r>
            <w:r>
              <w:rPr>
                <w:rFonts w:ascii="宋体" w:hAnsi="宋体" w:eastAsia="宋体"/>
                <w:color w:val="auto"/>
                <w:sz w:val="20"/>
                <w:szCs w:val="20"/>
              </w:rPr>
              <w:t>0</w:t>
            </w:r>
            <w:r>
              <w:rPr>
                <w:rFonts w:hint="eastAsia" w:ascii="宋体" w:hAnsi="宋体" w:eastAsia="宋体"/>
                <w:color w:val="auto"/>
                <w:sz w:val="20"/>
                <w:szCs w:val="20"/>
              </w:rPr>
              <w:t>分</w:t>
            </w:r>
          </w:p>
        </w:tc>
        <w:tc>
          <w:tcPr>
            <w:tcW w:w="7371" w:type="dxa"/>
            <w:vAlign w:val="center"/>
          </w:tcPr>
          <w:p>
            <w:pPr>
              <w:spacing w:line="360" w:lineRule="auto"/>
              <w:rPr>
                <w:rFonts w:ascii="宋体" w:hAnsi="宋体" w:eastAsia="宋体"/>
                <w:color w:val="auto"/>
                <w:sz w:val="20"/>
                <w:szCs w:val="20"/>
                <w:lang w:eastAsia="zh-CN"/>
              </w:rPr>
            </w:pPr>
            <w:r>
              <w:rPr>
                <w:rFonts w:ascii="宋体" w:hAnsi="宋体" w:eastAsia="宋体"/>
                <w:color w:val="auto"/>
                <w:sz w:val="20"/>
                <w:szCs w:val="20"/>
                <w:lang w:eastAsia="zh-CN"/>
              </w:rPr>
              <w:t>采用低价优先法计算，即满足招标文件要求且投标价格最低的投标</w:t>
            </w:r>
            <w:r>
              <w:rPr>
                <w:rFonts w:hint="eastAsia" w:ascii="宋体" w:hAnsi="宋体" w:eastAsia="宋体"/>
                <w:color w:val="auto"/>
                <w:sz w:val="20"/>
                <w:szCs w:val="20"/>
                <w:lang w:eastAsia="zh-CN"/>
              </w:rPr>
              <w:t>报价为评标基准价，其价格分为满分。其他投标人的价格分统一按下列公式计算：</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400" w:firstLineChars="200"/>
              <w:rPr>
                <w:rFonts w:ascii="宋体" w:hAnsi="宋体" w:eastAsia="宋体"/>
                <w:color w:val="auto"/>
                <w:sz w:val="20"/>
                <w:szCs w:val="20"/>
                <w:lang w:eastAsia="zh-CN"/>
              </w:rPr>
            </w:pPr>
            <w:r>
              <w:rPr>
                <w:rFonts w:ascii="宋体" w:hAnsi="宋体" w:eastAsia="宋体"/>
                <w:color w:val="auto"/>
                <w:sz w:val="20"/>
                <w:szCs w:val="20"/>
                <w:lang w:eastAsia="zh-CN"/>
              </w:rPr>
              <w:t>投标报价得分=（评标基准价/投标报价）×价格权值（0.</w:t>
            </w:r>
            <w:r>
              <w:rPr>
                <w:rFonts w:hint="eastAsia" w:ascii="宋体" w:hAnsi="宋体" w:eastAsia="宋体"/>
                <w:color w:val="auto"/>
                <w:sz w:val="20"/>
                <w:szCs w:val="20"/>
                <w:lang w:eastAsia="zh-CN"/>
              </w:rPr>
              <w:t>3</w:t>
            </w:r>
            <w:r>
              <w:rPr>
                <w:rFonts w:ascii="宋体" w:hAnsi="宋体" w:eastAsia="宋体"/>
                <w:color w:val="auto"/>
                <w:sz w:val="20"/>
                <w:szCs w:val="20"/>
                <w:lang w:eastAsia="zh-CN"/>
              </w:rPr>
              <w:t>0）× 100</w:t>
            </w:r>
            <w:r>
              <w:rPr>
                <w:rFonts w:hint="eastAsia" w:ascii="宋体" w:hAnsi="宋体" w:eastAsia="宋体"/>
                <w:color w:val="auto"/>
                <w:sz w:val="20"/>
                <w:szCs w:val="20"/>
                <w:lang w:eastAsia="zh-CN"/>
              </w:rPr>
              <w:t>（</w:t>
            </w:r>
            <w:r>
              <w:rPr>
                <w:rFonts w:ascii="宋体" w:hAnsi="宋体" w:eastAsia="宋体"/>
                <w:color w:val="auto"/>
                <w:sz w:val="20"/>
                <w:szCs w:val="20"/>
                <w:lang w:eastAsia="zh-CN"/>
              </w:rPr>
              <w:t xml:space="preserve"> 精确到两位小数位，两位小数位后实行四舍五入</w:t>
            </w:r>
            <w:r>
              <w:rPr>
                <w:rFonts w:hint="eastAsia" w:ascii="宋体" w:hAnsi="宋体" w:eastAsia="宋体"/>
                <w:color w:val="auto"/>
                <w:sz w:val="20"/>
                <w:szCs w:val="20"/>
                <w:lang w:eastAsia="zh-CN"/>
              </w:rPr>
              <w:t>）。</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400" w:firstLineChars="200"/>
              <w:rPr>
                <w:rFonts w:ascii="宋体" w:hAnsi="宋体" w:eastAsia="宋体"/>
                <w:color w:val="auto"/>
                <w:sz w:val="20"/>
                <w:szCs w:val="20"/>
                <w:lang w:eastAsia="zh-CN" w:bidi="zh-CN"/>
              </w:rPr>
            </w:pPr>
            <w:r>
              <w:rPr>
                <w:rFonts w:hint="eastAsia" w:ascii="宋体" w:hAnsi="宋体" w:eastAsia="宋体"/>
                <w:color w:val="auto"/>
                <w:sz w:val="20"/>
                <w:szCs w:val="20"/>
                <w:lang w:eastAsia="zh-CN" w:bidi="zh-CN"/>
              </w:rPr>
              <w:t>因落实政府采购政策需要进行价格调整的，以调整后的价格计算评标基准价和投标报价。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490" w:type="dxa"/>
            <w:gridSpan w:val="3"/>
            <w:vAlign w:val="center"/>
          </w:tcPr>
          <w:p>
            <w:pPr>
              <w:spacing w:line="360" w:lineRule="auto"/>
              <w:ind w:firstLine="100" w:firstLineChars="50"/>
              <w:rPr>
                <w:rFonts w:ascii="宋体" w:hAnsi="宋体" w:eastAsia="宋体"/>
                <w:color w:val="auto"/>
                <w:sz w:val="20"/>
                <w:szCs w:val="20"/>
              </w:rPr>
            </w:pPr>
            <w:r>
              <w:rPr>
                <w:rFonts w:hint="eastAsia" w:ascii="宋体" w:hAnsi="宋体" w:eastAsia="宋体"/>
                <w:color w:val="auto"/>
                <w:sz w:val="20"/>
                <w:szCs w:val="20"/>
              </w:rPr>
              <w:t>技术分（</w:t>
            </w:r>
            <w:r>
              <w:rPr>
                <w:rFonts w:ascii="宋体" w:hAnsi="宋体" w:eastAsia="宋体"/>
                <w:color w:val="auto"/>
                <w:sz w:val="20"/>
                <w:szCs w:val="20"/>
                <w:lang w:eastAsia="zh-CN"/>
              </w:rPr>
              <w:t>5</w:t>
            </w:r>
            <w:r>
              <w:rPr>
                <w:rFonts w:hint="eastAsia" w:ascii="宋体" w:hAnsi="宋体"/>
                <w:color w:val="auto"/>
                <w:sz w:val="20"/>
                <w:szCs w:val="20"/>
                <w:lang w:val="en-US" w:eastAsia="zh-CN"/>
              </w:rPr>
              <w:t>0</w:t>
            </w:r>
            <w:r>
              <w:rPr>
                <w:rFonts w:hint="eastAsia" w:ascii="宋体" w:hAnsi="宋体" w:eastAsia="宋体"/>
                <w:color w:val="auto"/>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844" w:type="dxa"/>
            <w:vMerge w:val="restart"/>
            <w:vAlign w:val="center"/>
          </w:tcPr>
          <w:p>
            <w:pPr>
              <w:spacing w:line="400" w:lineRule="exact"/>
              <w:jc w:val="center"/>
              <w:rPr>
                <w:rFonts w:ascii="宋体" w:hAnsi="宋体" w:eastAsia="宋体"/>
                <w:color w:val="auto"/>
                <w:sz w:val="20"/>
                <w:szCs w:val="20"/>
                <w:lang w:eastAsia="zh-CN"/>
              </w:rPr>
            </w:pPr>
            <w:r>
              <w:rPr>
                <w:rFonts w:ascii="宋体" w:hAnsi="宋体" w:eastAsia="宋体"/>
                <w:bCs/>
                <w:color w:val="auto"/>
                <w:sz w:val="20"/>
                <w:szCs w:val="20"/>
              </w:rPr>
              <w:t>技术</w:t>
            </w:r>
            <w:r>
              <w:rPr>
                <w:rFonts w:hint="eastAsia" w:ascii="宋体" w:hAnsi="宋体" w:eastAsia="宋体"/>
                <w:bCs/>
                <w:color w:val="auto"/>
                <w:sz w:val="20"/>
                <w:szCs w:val="20"/>
                <w:lang w:eastAsia="zh-CN"/>
              </w:rPr>
              <w:t>部分</w:t>
            </w:r>
          </w:p>
        </w:tc>
        <w:tc>
          <w:tcPr>
            <w:tcW w:w="1275" w:type="dxa"/>
            <w:vAlign w:val="center"/>
          </w:tcPr>
          <w:p>
            <w:pPr>
              <w:spacing w:line="360" w:lineRule="auto"/>
              <w:ind w:firstLine="105" w:firstLineChars="50"/>
              <w:rPr>
                <w:rFonts w:ascii="宋体" w:hAnsi="宋体" w:eastAsia="宋体" w:cs="宋体"/>
                <w:b/>
                <w:color w:val="auto"/>
                <w:sz w:val="21"/>
                <w:szCs w:val="21"/>
                <w:lang w:eastAsia="zh-CN" w:bidi="zh-CN"/>
              </w:rPr>
            </w:pPr>
            <w:r>
              <w:rPr>
                <w:rFonts w:hint="eastAsia" w:ascii="宋体" w:hAnsi="宋体" w:eastAsia="宋体" w:cs="微软雅黑"/>
                <w:color w:val="auto"/>
                <w:sz w:val="21"/>
                <w:szCs w:val="21"/>
                <w:lang w:eastAsia="zh-CN"/>
              </w:rPr>
              <w:t>基本技术</w:t>
            </w:r>
            <w:r>
              <w:rPr>
                <w:rFonts w:ascii="宋体" w:hAnsi="宋体" w:eastAsia="宋体" w:cs="微软雅黑"/>
                <w:color w:val="auto"/>
                <w:sz w:val="21"/>
                <w:szCs w:val="21"/>
                <w:lang w:eastAsia="zh-CN"/>
              </w:rPr>
              <w:t>要求</w:t>
            </w:r>
            <w:r>
              <w:rPr>
                <w:rFonts w:hint="eastAsia" w:ascii="宋体" w:hAnsi="宋体" w:cs="微软雅黑"/>
                <w:color w:val="auto"/>
                <w:sz w:val="21"/>
                <w:szCs w:val="21"/>
                <w:lang w:val="en-US" w:eastAsia="zh-CN"/>
              </w:rPr>
              <w:t>22</w:t>
            </w:r>
            <w:r>
              <w:rPr>
                <w:rFonts w:hint="eastAsia" w:ascii="宋体" w:hAnsi="宋体" w:eastAsia="宋体"/>
                <w:color w:val="auto"/>
                <w:sz w:val="21"/>
                <w:szCs w:val="21"/>
              </w:rPr>
              <w:t>分</w:t>
            </w:r>
          </w:p>
        </w:tc>
        <w:tc>
          <w:tcPr>
            <w:tcW w:w="7371" w:type="dxa"/>
            <w:vAlign w:val="center"/>
          </w:tcPr>
          <w:p>
            <w:pPr>
              <w:spacing w:line="360" w:lineRule="exact"/>
              <w:rPr>
                <w:rFonts w:ascii="宋体" w:hAnsi="宋体" w:eastAsia="宋体" w:cs="宋体"/>
                <w:color w:val="auto"/>
                <w:sz w:val="21"/>
                <w:szCs w:val="21"/>
                <w:lang w:eastAsia="zh-CN" w:bidi="zh-CN"/>
              </w:rPr>
            </w:pPr>
            <w:r>
              <w:rPr>
                <w:rFonts w:hint="eastAsia" w:ascii="宋体" w:hAnsi="宋体" w:eastAsia="宋体" w:cs="宋体"/>
                <w:color w:val="auto"/>
                <w:sz w:val="21"/>
                <w:szCs w:val="21"/>
                <w:lang w:eastAsia="zh-CN"/>
              </w:rPr>
              <w:t>产品设备技术参数等完全满足招标文件要求的，得</w:t>
            </w:r>
            <w:r>
              <w:rPr>
                <w:rFonts w:hint="eastAsia" w:ascii="宋体" w:hAnsi="宋体" w:cs="宋体"/>
                <w:color w:val="auto"/>
                <w:sz w:val="21"/>
                <w:szCs w:val="21"/>
                <w:lang w:val="en-US" w:eastAsia="zh-CN"/>
              </w:rPr>
              <w:t>22</w:t>
            </w:r>
            <w:r>
              <w:rPr>
                <w:rFonts w:hint="eastAsia" w:ascii="宋体" w:hAnsi="宋体" w:eastAsia="宋体" w:cs="宋体"/>
                <w:color w:val="auto"/>
                <w:sz w:val="21"/>
                <w:szCs w:val="21"/>
                <w:lang w:eastAsia="zh-CN"/>
              </w:rPr>
              <w:t>分，带“★”招标参数每有一项负偏离扣1分，带“▲”招标参数要求为重要功能需求，每有一项负偏离扣2分，扣完为止。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44" w:type="dxa"/>
            <w:vMerge w:val="continue"/>
            <w:vAlign w:val="center"/>
          </w:tcPr>
          <w:p>
            <w:pPr>
              <w:spacing w:line="400" w:lineRule="exact"/>
              <w:jc w:val="center"/>
              <w:rPr>
                <w:rFonts w:ascii="宋体" w:hAnsi="宋体" w:eastAsia="宋体"/>
                <w:color w:val="auto"/>
                <w:sz w:val="20"/>
                <w:szCs w:val="20"/>
                <w:lang w:eastAsia="zh-CN"/>
              </w:rPr>
            </w:pPr>
          </w:p>
        </w:tc>
        <w:tc>
          <w:tcPr>
            <w:tcW w:w="1275" w:type="dxa"/>
            <w:vAlign w:val="center"/>
          </w:tcPr>
          <w:p>
            <w:pPr>
              <w:tabs>
                <w:tab w:val="left" w:pos="482"/>
                <w:tab w:val="left" w:pos="2183"/>
                <w:tab w:val="left" w:pos="3884"/>
                <w:tab w:val="left" w:pos="5585"/>
              </w:tabs>
              <w:spacing w:line="320" w:lineRule="exact"/>
              <w:rPr>
                <w:rFonts w:ascii="宋体" w:hAnsi="宋体" w:eastAsiaTheme="minorEastAsia"/>
                <w:color w:val="auto"/>
                <w:sz w:val="22"/>
                <w:szCs w:val="22"/>
                <w:lang w:eastAsia="zh-CN"/>
              </w:rPr>
            </w:pPr>
            <w:r>
              <w:rPr>
                <w:rFonts w:hint="eastAsia" w:ascii="宋体" w:hAnsi="宋体" w:eastAsia="宋体" w:cs="Times New Roman"/>
                <w:color w:val="auto"/>
                <w:sz w:val="22"/>
                <w:szCs w:val="22"/>
                <w:lang w:val="en-US" w:eastAsia="zh-CN"/>
              </w:rPr>
              <w:t>保鲜工作台</w:t>
            </w:r>
            <w:r>
              <w:rPr>
                <w:rFonts w:hint="eastAsia" w:ascii="宋体" w:hAnsi="宋体" w:cs="Times New Roman"/>
                <w:color w:val="auto"/>
                <w:sz w:val="22"/>
                <w:szCs w:val="22"/>
                <w:lang w:val="en-US" w:eastAsia="zh-CN"/>
              </w:rPr>
              <w:t>3</w:t>
            </w:r>
            <w:r>
              <w:rPr>
                <w:rFonts w:hint="eastAsia" w:ascii="宋体" w:hAnsi="宋体" w:cs="Times New Roman"/>
                <w:color w:val="auto"/>
                <w:sz w:val="22"/>
                <w:szCs w:val="22"/>
                <w:lang w:eastAsia="zh-CN"/>
              </w:rPr>
              <w:t>分</w:t>
            </w:r>
          </w:p>
          <w:p>
            <w:pPr>
              <w:pStyle w:val="2"/>
              <w:ind w:firstLine="198" w:firstLineChars="99"/>
              <w:rPr>
                <w:rFonts w:ascii="宋体" w:hAnsi="宋体" w:eastAsia="宋体"/>
                <w:bCs/>
                <w:color w:val="auto"/>
                <w:sz w:val="20"/>
                <w:szCs w:val="20"/>
                <w:lang w:bidi="en-US"/>
              </w:rPr>
            </w:pPr>
          </w:p>
        </w:tc>
        <w:tc>
          <w:tcPr>
            <w:tcW w:w="7371" w:type="dxa"/>
            <w:vAlign w:val="center"/>
          </w:tcPr>
          <w:p>
            <w:pPr>
              <w:pStyle w:val="789"/>
              <w:spacing w:line="360" w:lineRule="auto"/>
              <w:ind w:left="0" w:leftChars="0" w:firstLine="0" w:firstLineChars="0"/>
              <w:rPr>
                <w:rFonts w:hint="eastAsia" w:ascii="宋体" w:hAnsi="宋体" w:cs="Times New Roman"/>
                <w:color w:val="auto"/>
                <w:sz w:val="22"/>
                <w:szCs w:val="22"/>
                <w:lang w:eastAsia="zh-CN"/>
              </w:rPr>
            </w:pPr>
            <w:r>
              <w:rPr>
                <w:rFonts w:hint="eastAsia" w:ascii="宋体" w:hAnsi="宋体" w:cs="Times New Roman"/>
                <w:color w:val="auto"/>
                <w:sz w:val="22"/>
                <w:szCs w:val="22"/>
                <w:lang w:val="en-US" w:eastAsia="zh-CN"/>
              </w:rPr>
              <w:t>1</w:t>
            </w:r>
            <w:r>
              <w:rPr>
                <w:rFonts w:hint="eastAsia" w:ascii="宋体" w:hAnsi="宋体" w:cs="Times New Roman"/>
                <w:color w:val="auto"/>
                <w:sz w:val="22"/>
                <w:szCs w:val="22"/>
                <w:lang w:eastAsia="zh-CN"/>
              </w:rPr>
              <w:t>、所投冰核心元器件胶条符合GB 31604.2-2016《食品安全国家标准 食品接触材料及制品 高锰酸钾消耗的测定》、GB 31604.8-2016《食品安全国家标准 食品接触材料及制品 总迁移量的测定》、GB 31604.9-2016 《食品安全国家标准食品接触材料及制品食品模拟中重金属的测定》，判定依据 GB 4806.7-2016  《食品安全国家标准食品接触用塑料材料及制品》，所检测的项目全部合格。</w:t>
            </w:r>
            <w:r>
              <w:rPr>
                <w:rFonts w:hint="eastAsia" w:ascii="宋体" w:hAnsi="宋体" w:cs="Times New Roman"/>
                <w:color w:val="auto"/>
                <w:sz w:val="22"/>
                <w:szCs w:val="22"/>
                <w:lang w:val="en-US" w:eastAsia="zh-CN"/>
              </w:rPr>
              <w:t>得1.5分</w:t>
            </w:r>
            <w:r>
              <w:rPr>
                <w:rFonts w:hint="eastAsia" w:ascii="宋体" w:hAnsi="宋体" w:cs="Times New Roman"/>
                <w:color w:val="auto"/>
                <w:sz w:val="22"/>
                <w:szCs w:val="22"/>
                <w:lang w:eastAsia="zh-CN"/>
              </w:rPr>
              <w:t>（需提供专业第三方检测机构出具的检测报告复印件予以佐证）。</w:t>
            </w:r>
          </w:p>
          <w:p>
            <w:pPr>
              <w:pStyle w:val="789"/>
              <w:spacing w:line="360" w:lineRule="auto"/>
              <w:ind w:left="0" w:leftChars="0" w:firstLine="0" w:firstLineChars="0"/>
              <w:rPr>
                <w:rFonts w:ascii="宋体" w:hAnsi="宋体"/>
                <w:bCs/>
                <w:sz w:val="20"/>
                <w:szCs w:val="20"/>
              </w:rPr>
            </w:pPr>
            <w:r>
              <w:rPr>
                <w:rFonts w:hint="eastAsia" w:ascii="宋体" w:hAnsi="宋体" w:cs="Times New Roman"/>
                <w:color w:val="auto"/>
                <w:sz w:val="22"/>
                <w:szCs w:val="22"/>
                <w:lang w:val="en-US" w:eastAsia="zh-CN"/>
              </w:rPr>
              <w:t>2</w:t>
            </w:r>
            <w:r>
              <w:rPr>
                <w:rFonts w:hint="eastAsia" w:ascii="宋体" w:hAnsi="宋体" w:cs="Times New Roman"/>
                <w:color w:val="auto"/>
                <w:sz w:val="22"/>
                <w:szCs w:val="22"/>
                <w:lang w:eastAsia="zh-CN"/>
              </w:rPr>
              <w:t>、所投冰核心元器件层架符合GB 31604.2-2016《食品安全国家标准 食品接触材料及制品 高锰酸钾消耗的测定》、GB 31604.8-2016《食品安全国家标准 食品接触材料及制品 总迁移量的测定》、GB 31604.9-2016 《食品安全国家标准 食品接触材料及制品 食品模拟中重金属的测定》，判定依据 GB 4806.7-2016  《食品安全国家标准 食品接触用塑料材料及制品》，所检测的项目全部合格。</w:t>
            </w:r>
            <w:r>
              <w:rPr>
                <w:rFonts w:hint="eastAsia" w:ascii="宋体" w:hAnsi="宋体" w:cs="Times New Roman"/>
                <w:color w:val="auto"/>
                <w:sz w:val="22"/>
                <w:szCs w:val="22"/>
                <w:lang w:val="en-US" w:eastAsia="zh-CN"/>
              </w:rPr>
              <w:t>得1.5分</w:t>
            </w:r>
            <w:r>
              <w:rPr>
                <w:rFonts w:hint="eastAsia" w:ascii="宋体" w:hAnsi="宋体" w:cs="Times New Roman"/>
                <w:color w:val="auto"/>
                <w:sz w:val="22"/>
                <w:szCs w:val="22"/>
                <w:lang w:eastAsia="zh-CN"/>
              </w:rPr>
              <w:t>（需提供专业第三方检测机构出具的检测报告复印件予以佐证）。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8" w:hRule="atLeast"/>
          <w:jc w:val="center"/>
        </w:trPr>
        <w:tc>
          <w:tcPr>
            <w:tcW w:w="1844" w:type="dxa"/>
            <w:vMerge w:val="continue"/>
            <w:vAlign w:val="center"/>
          </w:tcPr>
          <w:p>
            <w:pPr>
              <w:spacing w:line="400" w:lineRule="exact"/>
              <w:jc w:val="center"/>
              <w:rPr>
                <w:rFonts w:ascii="宋体" w:hAnsi="宋体" w:eastAsia="宋体"/>
                <w:color w:val="auto"/>
                <w:sz w:val="20"/>
                <w:szCs w:val="20"/>
                <w:lang w:eastAsia="zh-CN"/>
              </w:rPr>
            </w:pPr>
          </w:p>
        </w:tc>
        <w:tc>
          <w:tcPr>
            <w:tcW w:w="1275" w:type="dxa"/>
            <w:vAlign w:val="center"/>
          </w:tcPr>
          <w:p>
            <w:pPr>
              <w:tabs>
                <w:tab w:val="left" w:pos="482"/>
                <w:tab w:val="left" w:pos="2183"/>
                <w:tab w:val="left" w:pos="3884"/>
                <w:tab w:val="left" w:pos="5585"/>
              </w:tabs>
              <w:spacing w:line="320" w:lineRule="exact"/>
              <w:rPr>
                <w:rFonts w:ascii="宋体" w:hAnsi="宋体" w:eastAsiaTheme="minorEastAsia"/>
                <w:color w:val="auto"/>
                <w:sz w:val="22"/>
                <w:szCs w:val="22"/>
                <w:lang w:eastAsia="zh-CN"/>
              </w:rPr>
            </w:pPr>
            <w:r>
              <w:rPr>
                <w:rFonts w:hint="eastAsia" w:ascii="Calibri" w:hAnsi="Calibri" w:eastAsia="宋体" w:cs="Times New Roman"/>
                <w:color w:val="auto"/>
                <w:sz w:val="21"/>
                <w:szCs w:val="21"/>
                <w:lang w:eastAsia="zh-CN" w:bidi="ar-SA"/>
              </w:rPr>
              <w:t>炊用燃气大锅灶</w:t>
            </w:r>
            <w:r>
              <w:rPr>
                <w:rFonts w:hint="eastAsia" w:ascii="宋体" w:hAnsi="宋体" w:cs="Times New Roman"/>
                <w:color w:val="auto"/>
                <w:sz w:val="22"/>
                <w:szCs w:val="22"/>
                <w:lang w:eastAsia="zh-CN"/>
              </w:rPr>
              <w:t xml:space="preserve"> </w:t>
            </w:r>
            <w:r>
              <w:rPr>
                <w:rFonts w:hint="eastAsia" w:ascii="宋体" w:hAnsi="宋体" w:cs="Times New Roman"/>
                <w:color w:val="auto"/>
                <w:sz w:val="22"/>
                <w:szCs w:val="22"/>
                <w:lang w:val="en-US" w:eastAsia="zh-CN"/>
              </w:rPr>
              <w:t>3</w:t>
            </w:r>
            <w:r>
              <w:rPr>
                <w:rFonts w:hint="eastAsia" w:ascii="宋体" w:hAnsi="宋体" w:cs="Times New Roman"/>
                <w:color w:val="auto"/>
                <w:sz w:val="22"/>
                <w:szCs w:val="22"/>
                <w:lang w:eastAsia="zh-CN"/>
              </w:rPr>
              <w:t>分</w:t>
            </w:r>
          </w:p>
          <w:p>
            <w:pPr>
              <w:tabs>
                <w:tab w:val="left" w:pos="482"/>
                <w:tab w:val="left" w:pos="2183"/>
                <w:tab w:val="left" w:pos="3884"/>
                <w:tab w:val="left" w:pos="5585"/>
              </w:tabs>
              <w:spacing w:line="320" w:lineRule="exact"/>
              <w:rPr>
                <w:rFonts w:hint="eastAsia" w:ascii="宋体" w:hAnsi="宋体" w:eastAsia="宋体" w:cs="Times New Roman"/>
                <w:color w:val="auto"/>
                <w:sz w:val="22"/>
                <w:szCs w:val="22"/>
                <w:lang w:eastAsia="zh-CN"/>
              </w:rPr>
            </w:pPr>
          </w:p>
        </w:tc>
        <w:tc>
          <w:tcPr>
            <w:tcW w:w="7371" w:type="dxa"/>
            <w:vAlign w:val="center"/>
          </w:tcPr>
          <w:p>
            <w:pPr>
              <w:pStyle w:val="789"/>
              <w:spacing w:line="360" w:lineRule="auto"/>
              <w:ind w:left="0" w:leftChars="0" w:firstLine="0" w:firstLineChars="0"/>
              <w:rPr>
                <w:rFonts w:hint="eastAsia" w:ascii="宋体" w:hAnsi="宋体" w:cs="Times New Roman"/>
                <w:color w:val="auto"/>
                <w:sz w:val="22"/>
                <w:szCs w:val="22"/>
                <w:lang w:eastAsia="zh-CN"/>
              </w:rPr>
            </w:pPr>
            <w:r>
              <w:rPr>
                <w:rFonts w:hint="eastAsia" w:ascii="宋体" w:hAnsi="宋体" w:cs="Times New Roman"/>
                <w:color w:val="auto"/>
                <w:sz w:val="22"/>
                <w:szCs w:val="22"/>
                <w:lang w:eastAsia="zh-CN"/>
              </w:rPr>
              <w:t>1.所投产品需提供有效期内炊用燃气大锅灶产品热效率≥65%（运行噪音等级不超过二级），达到1级能效标准的能效检测报告及炊用燃气大锅灶中国节能/环保产品认证合格试验报告，每项得1分，最高得2分；</w:t>
            </w:r>
          </w:p>
          <w:p>
            <w:pPr>
              <w:pStyle w:val="789"/>
              <w:spacing w:line="360" w:lineRule="auto"/>
              <w:ind w:left="0" w:leftChars="0" w:firstLine="0" w:firstLineChars="0"/>
              <w:rPr>
                <w:rFonts w:hint="eastAsia" w:ascii="宋体" w:hAnsi="宋体" w:cs="Times New Roman"/>
                <w:b/>
                <w:bCs/>
                <w:color w:val="auto"/>
                <w:sz w:val="22"/>
                <w:szCs w:val="22"/>
                <w:lang w:eastAsia="zh-CN"/>
              </w:rPr>
            </w:pPr>
            <w:r>
              <w:rPr>
                <w:rFonts w:hint="eastAsia" w:ascii="宋体" w:hAnsi="宋体" w:cs="Times New Roman"/>
                <w:b/>
                <w:bCs/>
                <w:color w:val="auto"/>
                <w:sz w:val="22"/>
                <w:szCs w:val="22"/>
                <w:lang w:eastAsia="zh-CN"/>
              </w:rPr>
              <w:t>评审依据：提供第三方专业权威检测机构出具的检验报告复印件加盖制造商原色公章予以佐证)</w:t>
            </w:r>
          </w:p>
          <w:p>
            <w:pPr>
              <w:pStyle w:val="789"/>
              <w:spacing w:line="360" w:lineRule="auto"/>
              <w:ind w:left="0" w:leftChars="0" w:firstLine="0" w:firstLineChars="0"/>
              <w:rPr>
                <w:rFonts w:hint="eastAsia" w:ascii="宋体" w:hAnsi="宋体" w:cs="Times New Roman"/>
                <w:color w:val="auto"/>
                <w:sz w:val="22"/>
                <w:szCs w:val="22"/>
                <w:lang w:eastAsia="zh-CN"/>
              </w:rPr>
            </w:pPr>
            <w:r>
              <w:rPr>
                <w:rFonts w:hint="eastAsia" w:ascii="宋体" w:hAnsi="宋体" w:cs="Times New Roman"/>
                <w:color w:val="auto"/>
                <w:sz w:val="22"/>
                <w:szCs w:val="22"/>
                <w:lang w:eastAsia="zh-CN"/>
              </w:rPr>
              <w:t>2、提供炊用燃气大锅灶符合CJ/T392-2012《炊用燃气大锅灶》标准，热负荷准确度≤+1%、热效率≥66%、燃烧噪音≤65dB(A)、干烟气中CO（α=1）≤0.001%、有熄火保护装置，得1分。</w:t>
            </w:r>
          </w:p>
          <w:p>
            <w:pPr>
              <w:pStyle w:val="789"/>
              <w:spacing w:line="360" w:lineRule="auto"/>
              <w:ind w:left="0" w:leftChars="0" w:firstLine="0" w:firstLineChars="0"/>
              <w:rPr>
                <w:rFonts w:hint="eastAsia" w:ascii="宋体" w:hAnsi="宋体" w:cs="Times New Roman"/>
                <w:color w:val="auto"/>
                <w:sz w:val="22"/>
                <w:szCs w:val="22"/>
                <w:lang w:eastAsia="zh-CN"/>
              </w:rPr>
            </w:pPr>
            <w:r>
              <w:rPr>
                <w:rFonts w:hint="eastAsia" w:ascii="宋体" w:hAnsi="宋体" w:cs="Times New Roman"/>
                <w:b/>
                <w:bCs/>
                <w:color w:val="auto"/>
                <w:sz w:val="22"/>
                <w:szCs w:val="22"/>
                <w:lang w:eastAsia="zh-CN"/>
              </w:rPr>
              <w:t>评审依据：提供第三方专业权威检测机构出具的能源效率检测报告复印件加盖制造商原色公章予以佐证）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44" w:type="dxa"/>
            <w:vMerge w:val="continue"/>
            <w:vAlign w:val="center"/>
          </w:tcPr>
          <w:p>
            <w:pPr>
              <w:spacing w:line="400" w:lineRule="exact"/>
              <w:jc w:val="center"/>
              <w:rPr>
                <w:rFonts w:ascii="宋体" w:hAnsi="宋体" w:eastAsia="宋体"/>
                <w:color w:val="auto"/>
                <w:sz w:val="20"/>
                <w:szCs w:val="20"/>
                <w:lang w:eastAsia="zh-CN"/>
              </w:rPr>
            </w:pPr>
          </w:p>
        </w:tc>
        <w:tc>
          <w:tcPr>
            <w:tcW w:w="1275" w:type="dxa"/>
            <w:vAlign w:val="center"/>
          </w:tcPr>
          <w:p>
            <w:pPr>
              <w:tabs>
                <w:tab w:val="left" w:pos="482"/>
                <w:tab w:val="left" w:pos="2183"/>
                <w:tab w:val="left" w:pos="3884"/>
                <w:tab w:val="left" w:pos="5585"/>
              </w:tabs>
              <w:spacing w:line="320" w:lineRule="exact"/>
              <w:rPr>
                <w:rFonts w:hint="default" w:ascii="宋体" w:hAnsi="宋体" w:eastAsia="宋体" w:cs="Times New Roman"/>
                <w:color w:val="auto"/>
                <w:sz w:val="22"/>
                <w:szCs w:val="22"/>
                <w:lang w:val="en-US" w:eastAsia="zh-CN"/>
              </w:rPr>
            </w:pPr>
            <w:r>
              <w:rPr>
                <w:rFonts w:hint="eastAsia" w:ascii="宋体" w:hAnsi="宋体" w:eastAsia="宋体" w:cs="宋体"/>
                <w:color w:val="auto"/>
                <w:sz w:val="22"/>
                <w:szCs w:val="22"/>
                <w:lang w:eastAsia="zh-CN"/>
              </w:rPr>
              <w:t>中餐燃气炒菜灶</w:t>
            </w:r>
            <w:r>
              <w:rPr>
                <w:rFonts w:hint="eastAsia" w:ascii="宋体" w:hAnsi="宋体" w:cs="宋体"/>
                <w:color w:val="auto"/>
                <w:sz w:val="22"/>
                <w:szCs w:val="22"/>
                <w:lang w:val="en-US" w:eastAsia="zh-CN"/>
              </w:rPr>
              <w:t>4</w:t>
            </w:r>
            <w:r>
              <w:rPr>
                <w:rFonts w:hint="eastAsia" w:ascii="宋体" w:hAnsi="宋体" w:eastAsia="宋体" w:cs="宋体"/>
                <w:color w:val="auto"/>
                <w:sz w:val="22"/>
                <w:szCs w:val="22"/>
                <w:lang w:val="en-US" w:eastAsia="zh-CN"/>
              </w:rPr>
              <w:t>分</w:t>
            </w:r>
          </w:p>
        </w:tc>
        <w:tc>
          <w:tcPr>
            <w:tcW w:w="7371" w:type="dxa"/>
            <w:vAlign w:val="center"/>
          </w:tcPr>
          <w:p>
            <w:pPr>
              <w:pStyle w:val="789"/>
              <w:spacing w:line="360" w:lineRule="auto"/>
              <w:ind w:left="0" w:leftChars="0" w:firstLine="0" w:firstLineChars="0"/>
              <w:rPr>
                <w:rFonts w:hint="eastAsia" w:ascii="宋体" w:hAnsi="宋体" w:cs="Times New Roman"/>
                <w:color w:val="auto"/>
                <w:sz w:val="22"/>
                <w:szCs w:val="22"/>
                <w:lang w:eastAsia="zh-CN"/>
              </w:rPr>
            </w:pPr>
            <w:r>
              <w:rPr>
                <w:rFonts w:hint="eastAsia" w:ascii="宋体" w:hAnsi="宋体" w:cs="Times New Roman"/>
                <w:color w:val="auto"/>
                <w:sz w:val="22"/>
                <w:szCs w:val="22"/>
                <w:lang w:val="en-US" w:eastAsia="zh-CN"/>
              </w:rPr>
              <w:t>1、提供</w:t>
            </w:r>
            <w:r>
              <w:rPr>
                <w:rFonts w:hint="eastAsia" w:ascii="宋体" w:hAnsi="宋体" w:cs="Times New Roman"/>
                <w:color w:val="auto"/>
                <w:sz w:val="22"/>
                <w:szCs w:val="22"/>
                <w:lang w:eastAsia="zh-CN"/>
              </w:rPr>
              <w:t>符合国家住房和城乡建设部GB35848-2018商用燃气燃烧器具标准，热负荷准确度≤+7%,热效率≥51%，达到上述要求的得2分，</w:t>
            </w:r>
            <w:r>
              <w:rPr>
                <w:rFonts w:hint="eastAsia" w:ascii="宋体" w:hAnsi="宋体" w:cs="Times New Roman"/>
                <w:color w:val="auto"/>
                <w:sz w:val="22"/>
                <w:szCs w:val="22"/>
                <w:lang w:val="en-US" w:eastAsia="zh-CN"/>
              </w:rPr>
              <w:t xml:space="preserve">                    </w:t>
            </w:r>
            <w:r>
              <w:rPr>
                <w:rFonts w:hint="eastAsia" w:ascii="宋体" w:hAnsi="宋体" w:cs="Times New Roman"/>
                <w:b/>
                <w:bCs/>
                <w:color w:val="auto"/>
                <w:sz w:val="22"/>
                <w:szCs w:val="22"/>
                <w:lang w:eastAsia="zh-CN"/>
              </w:rPr>
              <w:t>评审依据：提供第三方专业权威检测机构出具的能源效率检测报告复印件加盖制造商原色公章予以佐证。）</w:t>
            </w:r>
          </w:p>
          <w:p>
            <w:pPr>
              <w:pStyle w:val="789"/>
              <w:spacing w:line="360" w:lineRule="auto"/>
              <w:ind w:left="0" w:leftChars="0" w:firstLine="0" w:firstLineChars="0"/>
              <w:rPr>
                <w:rFonts w:hint="eastAsia" w:ascii="宋体" w:hAnsi="宋体" w:cs="Times New Roman"/>
                <w:color w:val="auto"/>
                <w:sz w:val="22"/>
                <w:szCs w:val="22"/>
                <w:lang w:val="en-US" w:eastAsia="zh-CN"/>
              </w:rPr>
            </w:pPr>
            <w:r>
              <w:rPr>
                <w:rFonts w:hint="eastAsia" w:ascii="宋体" w:hAnsi="宋体" w:cs="Times New Roman"/>
                <w:color w:val="auto"/>
                <w:sz w:val="22"/>
                <w:szCs w:val="22"/>
                <w:lang w:val="en-US" w:eastAsia="zh-CN"/>
              </w:rPr>
              <w:t>2、</w:t>
            </w:r>
            <w:r>
              <w:rPr>
                <w:rFonts w:hint="eastAsia" w:ascii="宋体" w:hAnsi="宋体" w:cs="Times New Roman"/>
                <w:color w:val="auto"/>
                <w:sz w:val="22"/>
                <w:szCs w:val="22"/>
                <w:lang w:eastAsia="zh-CN"/>
              </w:rPr>
              <w:t xml:space="preserve"> 提供有效期内国家燃气用具产品质量监督检验中心出具的中餐燃气炒菜灶产品热效率≥65%（运行噪音等级不超过二级），达到1级能效标准的能效检测报告及中餐燃气炒菜灶中国节能/环保产品认证合格试验报告，每项得1分，最高得2分；  </w:t>
            </w:r>
            <w:r>
              <w:rPr>
                <w:rFonts w:hint="eastAsia" w:ascii="宋体" w:hAnsi="宋体" w:cs="Times New Roman"/>
                <w:color w:val="auto"/>
                <w:sz w:val="22"/>
                <w:szCs w:val="22"/>
                <w:lang w:val="en-US" w:eastAsia="zh-CN"/>
              </w:rPr>
              <w:t xml:space="preserve">                       </w:t>
            </w:r>
          </w:p>
          <w:p>
            <w:pPr>
              <w:pStyle w:val="789"/>
              <w:spacing w:line="360" w:lineRule="auto"/>
              <w:ind w:left="0" w:leftChars="0" w:firstLine="0" w:firstLineChars="0"/>
              <w:rPr>
                <w:rFonts w:hint="eastAsia" w:ascii="宋体" w:hAnsi="宋体" w:cs="Times New Roman"/>
                <w:b/>
                <w:bCs/>
                <w:color w:val="auto"/>
                <w:sz w:val="22"/>
                <w:szCs w:val="22"/>
                <w:lang w:eastAsia="zh-CN"/>
              </w:rPr>
            </w:pPr>
            <w:r>
              <w:rPr>
                <w:rFonts w:hint="eastAsia" w:ascii="宋体" w:hAnsi="宋体" w:cs="Times New Roman"/>
                <w:b/>
                <w:bCs/>
                <w:color w:val="auto"/>
                <w:sz w:val="22"/>
                <w:szCs w:val="22"/>
                <w:lang w:eastAsia="zh-CN"/>
              </w:rPr>
              <w:t>评审依据：提供第三方专业权威检测机构出具的检验报告复印件加盖制造商原色公章予以佐证。)</w:t>
            </w:r>
          </w:p>
          <w:p>
            <w:pPr>
              <w:numPr>
                <w:ilvl w:val="0"/>
                <w:numId w:val="0"/>
              </w:numPr>
              <w:tabs>
                <w:tab w:val="left" w:pos="482"/>
                <w:tab w:val="left" w:pos="2183"/>
                <w:tab w:val="left" w:pos="3884"/>
                <w:tab w:val="left" w:pos="5585"/>
              </w:tabs>
              <w:spacing w:line="320" w:lineRule="exact"/>
              <w:rPr>
                <w:rFonts w:hint="eastAsia" w:ascii="宋体" w:hAnsi="宋体" w:cs="Times New Roman"/>
                <w:color w:val="auto"/>
                <w:sz w:val="22"/>
                <w:szCs w:val="22"/>
                <w:lang w:eastAsia="zh-CN"/>
              </w:rPr>
            </w:pPr>
            <w:r>
              <w:rPr>
                <w:rFonts w:hint="eastAsia"/>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44" w:type="dxa"/>
            <w:vMerge w:val="continue"/>
            <w:vAlign w:val="center"/>
          </w:tcPr>
          <w:p>
            <w:pPr>
              <w:spacing w:line="400" w:lineRule="exact"/>
              <w:jc w:val="center"/>
              <w:rPr>
                <w:rFonts w:ascii="宋体" w:hAnsi="宋体" w:eastAsia="宋体"/>
                <w:color w:val="auto"/>
                <w:sz w:val="20"/>
                <w:szCs w:val="20"/>
                <w:lang w:eastAsia="zh-CN"/>
              </w:rPr>
            </w:pPr>
          </w:p>
        </w:tc>
        <w:tc>
          <w:tcPr>
            <w:tcW w:w="1275" w:type="dxa"/>
            <w:vAlign w:val="center"/>
          </w:tcPr>
          <w:p>
            <w:pPr>
              <w:pStyle w:val="2"/>
              <w:ind w:left="0" w:leftChars="0" w:firstLine="0" w:firstLineChars="0"/>
              <w:rPr>
                <w:rFonts w:ascii="宋体" w:hAnsi="宋体"/>
                <w:bCs/>
                <w:sz w:val="20"/>
                <w:szCs w:val="20"/>
                <w:lang w:bidi="en-US"/>
              </w:rPr>
            </w:pPr>
            <w:r>
              <w:rPr>
                <w:rFonts w:hint="eastAsia" w:ascii="Calibri" w:hAnsi="Calibri" w:eastAsia="宋体" w:cs="Times New Roman"/>
                <w:color w:val="auto"/>
                <w:sz w:val="21"/>
                <w:szCs w:val="21"/>
                <w:lang w:val="en-US" w:eastAsia="zh-CN" w:bidi="ar-SA"/>
              </w:rPr>
              <w:t>智能型双门蒸饭箱2分</w:t>
            </w:r>
          </w:p>
        </w:tc>
        <w:tc>
          <w:tcPr>
            <w:tcW w:w="7371" w:type="dxa"/>
            <w:vAlign w:val="center"/>
          </w:tcPr>
          <w:p>
            <w:pPr>
              <w:spacing w:line="360" w:lineRule="auto"/>
              <w:ind w:firstLine="440" w:firstLineChars="200"/>
              <w:rPr>
                <w:rFonts w:ascii="宋体" w:hAnsi="宋体"/>
                <w:bCs/>
                <w:sz w:val="20"/>
                <w:szCs w:val="20"/>
                <w:lang w:eastAsia="zh-CN"/>
              </w:rPr>
            </w:pPr>
            <w:r>
              <w:rPr>
                <w:rFonts w:hint="eastAsia" w:ascii="宋体" w:hAnsi="宋体" w:eastAsia="宋体" w:cs="Times New Roman"/>
                <w:color w:val="auto"/>
                <w:kern w:val="2"/>
                <w:sz w:val="22"/>
                <w:szCs w:val="22"/>
                <w:lang w:val="en-US" w:eastAsia="zh-CN" w:bidi="ar-SA"/>
              </w:rPr>
              <w:t>提供蒸饭箱（车）的检验报告符合：GB 4706.1-2005《家用和类似用途电器的安全第1部分：通用要求》、GB 4706.34-2008《家用和类似用途电器的安全 商用电强对流烤炉、蒸汽炊具和蒸汽对流炉的特殊要求》得2分                                                                                            评审依据：提供第三方专业权威检测机构出具的检测报告和认证证书复印件加盖制造商原色公章作佐证。（提供网站截图）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44" w:type="dxa"/>
            <w:vMerge w:val="continue"/>
            <w:vAlign w:val="center"/>
          </w:tcPr>
          <w:p>
            <w:pPr>
              <w:spacing w:line="400" w:lineRule="exact"/>
              <w:jc w:val="center"/>
              <w:rPr>
                <w:rFonts w:ascii="宋体" w:hAnsi="宋体" w:eastAsia="宋体"/>
                <w:color w:val="auto"/>
                <w:sz w:val="20"/>
                <w:szCs w:val="20"/>
                <w:lang w:eastAsia="zh-CN"/>
              </w:rPr>
            </w:pPr>
          </w:p>
        </w:tc>
        <w:tc>
          <w:tcPr>
            <w:tcW w:w="1275" w:type="dxa"/>
            <w:vAlign w:val="center"/>
          </w:tcPr>
          <w:p>
            <w:pPr>
              <w:spacing w:line="400" w:lineRule="exact"/>
              <w:jc w:val="center"/>
              <w:rPr>
                <w:rFonts w:hint="eastAsia" w:ascii="Calibri" w:hAnsi="Calibri" w:eastAsia="宋体" w:cs="Times New Roman"/>
                <w:color w:val="auto"/>
                <w:sz w:val="21"/>
                <w:szCs w:val="21"/>
                <w:lang w:val="en-US" w:eastAsia="zh-CN" w:bidi="ar-SA"/>
              </w:rPr>
            </w:pPr>
            <w:r>
              <w:rPr>
                <w:rFonts w:hint="eastAsia" w:ascii="Calibri" w:hAnsi="Calibri" w:eastAsia="宋体" w:cs="Times New Roman"/>
                <w:color w:val="auto"/>
                <w:sz w:val="21"/>
                <w:szCs w:val="21"/>
                <w:lang w:val="en-US" w:eastAsia="zh-CN" w:bidi="ar-SA"/>
              </w:rPr>
              <w:t>热风循环消毒柜3分</w:t>
            </w:r>
          </w:p>
        </w:tc>
        <w:tc>
          <w:tcPr>
            <w:tcW w:w="7371" w:type="dxa"/>
            <w:vAlign w:val="center"/>
          </w:tcPr>
          <w:p>
            <w:pPr>
              <w:spacing w:line="360" w:lineRule="auto"/>
              <w:rPr>
                <w:rFonts w:hint="eastAsia" w:ascii="宋体" w:hAnsi="宋体" w:eastAsia="宋体" w:cs="Times New Roman"/>
                <w:color w:val="auto"/>
                <w:kern w:val="2"/>
                <w:sz w:val="22"/>
                <w:szCs w:val="22"/>
                <w:lang w:val="en-US" w:eastAsia="zh-CN" w:bidi="ar-SA"/>
              </w:rPr>
            </w:pPr>
            <w:r>
              <w:rPr>
                <w:rFonts w:hint="eastAsia" w:ascii="宋体" w:hAnsi="宋体" w:eastAsia="宋体" w:cs="Times New Roman"/>
                <w:color w:val="auto"/>
                <w:kern w:val="2"/>
                <w:sz w:val="22"/>
                <w:szCs w:val="22"/>
                <w:lang w:val="en-US" w:eastAsia="zh-CN" w:bidi="ar-SA"/>
              </w:rPr>
              <w:t>（1）提供消毒柜产品检测报告中性能指标：满载状态下运行，大肠杆菌的杀灭对数值＞3.00，满足参数要求且检测报告在有效期内的得1分。</w:t>
            </w:r>
          </w:p>
          <w:p>
            <w:pPr>
              <w:spacing w:line="360" w:lineRule="auto"/>
              <w:ind w:firstLine="442" w:firstLineChars="200"/>
              <w:rPr>
                <w:rFonts w:hint="eastAsia" w:ascii="宋体" w:hAnsi="宋体" w:eastAsia="宋体" w:cs="Times New Roman"/>
                <w:color w:val="auto"/>
                <w:kern w:val="2"/>
                <w:sz w:val="22"/>
                <w:szCs w:val="22"/>
                <w:lang w:val="en-US" w:eastAsia="zh-CN" w:bidi="ar-SA"/>
              </w:rPr>
            </w:pPr>
            <w:r>
              <w:rPr>
                <w:rFonts w:hint="eastAsia" w:ascii="宋体" w:hAnsi="宋体" w:eastAsia="宋体" w:cs="Times New Roman"/>
                <w:b/>
                <w:bCs/>
                <w:color w:val="auto"/>
                <w:kern w:val="2"/>
                <w:sz w:val="22"/>
                <w:szCs w:val="22"/>
                <w:lang w:val="en-US" w:eastAsia="zh-CN" w:bidi="ar-SA"/>
              </w:rPr>
              <w:t>评审依据：提供第三方专业权威认证机构出具的证书复印件并加盖制造商原色公章作佐证。</w:t>
            </w:r>
            <w:r>
              <w:rPr>
                <w:rFonts w:hint="eastAsia" w:ascii="宋体" w:hAnsi="宋体" w:eastAsia="宋体" w:cs="Times New Roman"/>
                <w:color w:val="auto"/>
                <w:kern w:val="2"/>
                <w:sz w:val="22"/>
                <w:szCs w:val="22"/>
                <w:lang w:val="en-US" w:eastAsia="zh-CN" w:bidi="ar-SA"/>
              </w:rPr>
              <w:t xml:space="preserve"> </w:t>
            </w:r>
          </w:p>
          <w:p>
            <w:pPr>
              <w:spacing w:line="360" w:lineRule="auto"/>
              <w:rPr>
                <w:rFonts w:hint="eastAsia" w:ascii="宋体" w:hAnsi="宋体" w:eastAsia="宋体" w:cs="Times New Roman"/>
                <w:color w:val="auto"/>
                <w:kern w:val="2"/>
                <w:sz w:val="22"/>
                <w:szCs w:val="22"/>
                <w:lang w:val="en-US" w:eastAsia="zh-CN" w:bidi="ar-SA"/>
              </w:rPr>
            </w:pPr>
            <w:r>
              <w:rPr>
                <w:rFonts w:hint="eastAsia" w:ascii="宋体" w:hAnsi="宋体" w:eastAsia="宋体" w:cs="Times New Roman"/>
                <w:color w:val="auto"/>
                <w:kern w:val="2"/>
                <w:sz w:val="22"/>
                <w:szCs w:val="22"/>
                <w:lang w:val="en-US" w:eastAsia="zh-CN" w:bidi="ar-SA"/>
              </w:rPr>
              <w:t>（2）提供消毒柜符合GB4806.9-2016标准消毒柜食品接触产品安全认证证书和安全性能认证证书，同时具备产品检测报告。得1分</w:t>
            </w:r>
          </w:p>
          <w:p>
            <w:pPr>
              <w:spacing w:line="360" w:lineRule="auto"/>
              <w:ind w:firstLine="442" w:firstLineChars="200"/>
              <w:rPr>
                <w:rFonts w:hint="eastAsia" w:ascii="宋体" w:hAnsi="宋体" w:eastAsia="宋体" w:cs="Times New Roman"/>
                <w:b/>
                <w:bCs/>
                <w:color w:val="auto"/>
                <w:kern w:val="2"/>
                <w:sz w:val="22"/>
                <w:szCs w:val="22"/>
                <w:lang w:val="en-US" w:eastAsia="zh-CN" w:bidi="ar-SA"/>
              </w:rPr>
            </w:pPr>
            <w:r>
              <w:rPr>
                <w:rFonts w:hint="eastAsia" w:ascii="宋体" w:hAnsi="宋体" w:eastAsia="宋体" w:cs="Times New Roman"/>
                <w:b/>
                <w:bCs/>
                <w:color w:val="auto"/>
                <w:kern w:val="2"/>
                <w:sz w:val="22"/>
                <w:szCs w:val="22"/>
                <w:lang w:val="en-US" w:eastAsia="zh-CN" w:bidi="ar-SA"/>
              </w:rPr>
              <w:t>评审依据：提供第三方专业权威认证机构出具的证书复印件并加盖制造商原色公章作佐证。证书需在国家认监委网上可查，提供官网查询截图佐证。</w:t>
            </w:r>
          </w:p>
          <w:p>
            <w:pPr>
              <w:pStyle w:val="789"/>
              <w:spacing w:line="360" w:lineRule="auto"/>
              <w:ind w:firstLine="0" w:firstLineChars="0"/>
              <w:rPr>
                <w:rFonts w:ascii="宋体" w:hAnsi="宋体" w:cs="宋体"/>
                <w:szCs w:val="21"/>
              </w:rPr>
            </w:pPr>
            <w:r>
              <w:rPr>
                <w:rFonts w:hint="eastAsia" w:ascii="宋体" w:hAnsi="宋体" w:cs="宋体"/>
                <w:szCs w:val="21"/>
                <w:lang w:bidi="ar"/>
              </w:rPr>
              <w:t>（3）</w:t>
            </w:r>
            <w:r>
              <w:rPr>
                <w:rFonts w:hint="eastAsia" w:ascii="宋体" w:hAnsi="宋体" w:cs="宋体"/>
                <w:szCs w:val="21"/>
              </w:rPr>
              <w:t>提供消毒柜</w:t>
            </w:r>
            <w:r>
              <w:rPr>
                <w:rFonts w:hint="eastAsia" w:ascii="宋体" w:hAnsi="宋体" w:cs="宋体"/>
                <w:szCs w:val="21"/>
                <w:lang w:bidi="ar"/>
              </w:rPr>
              <w:t>符合GB4706.1-2005标准，并具有采用国际标准产品标志证书</w:t>
            </w:r>
            <w:r>
              <w:rPr>
                <w:rFonts w:hint="eastAsia" w:ascii="宋体" w:hAnsi="宋体" w:cs="宋体"/>
                <w:szCs w:val="21"/>
              </w:rPr>
              <w:t>，得1分</w:t>
            </w:r>
          </w:p>
          <w:p>
            <w:pPr>
              <w:pStyle w:val="789"/>
              <w:spacing w:line="360" w:lineRule="auto"/>
              <w:ind w:firstLine="0" w:firstLineChars="0"/>
              <w:rPr>
                <w:rFonts w:ascii="宋体" w:hAnsi="宋体" w:cs="Courier New"/>
                <w:b/>
                <w:kern w:val="0"/>
                <w:sz w:val="20"/>
                <w:szCs w:val="20"/>
                <w:lang w:bidi="en-US"/>
              </w:rPr>
            </w:pPr>
            <w:r>
              <w:rPr>
                <w:rFonts w:hint="eastAsia" w:ascii="宋体" w:hAnsi="宋体" w:cs="宋体"/>
                <w:b/>
                <w:bCs/>
                <w:szCs w:val="21"/>
                <w:lang w:bidi="ar"/>
              </w:rPr>
              <w:t>评审依据：提供第三方专业权威认证机构出具的证书复印件并加盖制造商原色公章作佐证。提供官网查询截图佐证。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44" w:type="dxa"/>
            <w:vMerge w:val="continue"/>
            <w:vAlign w:val="center"/>
          </w:tcPr>
          <w:p>
            <w:pPr>
              <w:spacing w:line="400" w:lineRule="exact"/>
              <w:jc w:val="center"/>
              <w:rPr>
                <w:rFonts w:ascii="宋体" w:hAnsi="宋体" w:eastAsia="宋体"/>
                <w:color w:val="auto"/>
                <w:sz w:val="20"/>
                <w:szCs w:val="20"/>
                <w:lang w:eastAsia="zh-CN"/>
              </w:rPr>
            </w:pPr>
          </w:p>
        </w:tc>
        <w:tc>
          <w:tcPr>
            <w:tcW w:w="1275" w:type="dxa"/>
            <w:vAlign w:val="center"/>
          </w:tcPr>
          <w:p>
            <w:pPr>
              <w:pStyle w:val="2"/>
              <w:ind w:left="0" w:leftChars="0" w:firstLine="0" w:firstLineChars="0"/>
              <w:rPr>
                <w:rFonts w:hint="eastAsia" w:ascii="Calibri" w:hAnsi="Calibri" w:eastAsia="宋体" w:cs="Times New Roman"/>
                <w:color w:val="auto"/>
                <w:sz w:val="21"/>
                <w:szCs w:val="21"/>
                <w:lang w:val="en-US" w:eastAsia="zh-CN" w:bidi="ar-SA"/>
              </w:rPr>
            </w:pPr>
            <w:r>
              <w:rPr>
                <w:rFonts w:hint="eastAsia" w:ascii="Calibri" w:hAnsi="Calibri" w:eastAsia="宋体" w:cs="Times New Roman"/>
                <w:color w:val="auto"/>
                <w:sz w:val="21"/>
                <w:szCs w:val="21"/>
                <w:lang w:val="en-US" w:eastAsia="zh-CN" w:bidi="ar-SA"/>
              </w:rPr>
              <w:t>四门冰箱2分</w:t>
            </w:r>
          </w:p>
        </w:tc>
        <w:tc>
          <w:tcPr>
            <w:tcW w:w="7371" w:type="dxa"/>
            <w:vAlign w:val="center"/>
          </w:tcPr>
          <w:p>
            <w:pPr>
              <w:spacing w:line="360" w:lineRule="auto"/>
              <w:ind w:firstLine="480" w:firstLineChars="200"/>
              <w:rPr>
                <w:rFonts w:hint="eastAsia" w:ascii="宋体" w:hAnsi="宋体" w:eastAsia="宋体" w:cs="宋体"/>
                <w:kern w:val="2"/>
                <w:sz w:val="24"/>
                <w:szCs w:val="21"/>
                <w:lang w:val="en-US" w:eastAsia="zh-CN" w:bidi="ar"/>
              </w:rPr>
            </w:pPr>
            <w:r>
              <w:rPr>
                <w:rFonts w:hint="eastAsia" w:ascii="宋体" w:hAnsi="宋体" w:eastAsia="宋体" w:cs="宋体"/>
                <w:kern w:val="2"/>
                <w:sz w:val="24"/>
                <w:szCs w:val="21"/>
                <w:lang w:val="en-US" w:eastAsia="zh-CN" w:bidi="ar"/>
              </w:rPr>
              <w:t>1、所投冰箱符合GB 4806.1-2016,GB 4806.6-2016,GB 4806.7-2016, GB 4806.9-2016 认证要求，产品符合CVC05003-2015《CVC 标志认证实施规则 食品接触产品安全/卫生认证》认证规则的要求，得1分；</w:t>
            </w:r>
            <w:r>
              <w:rPr>
                <w:rFonts w:hint="eastAsia" w:ascii="宋体" w:hAnsi="宋体" w:eastAsia="宋体" w:cs="宋体"/>
                <w:b/>
                <w:bCs/>
                <w:kern w:val="2"/>
                <w:sz w:val="24"/>
                <w:szCs w:val="21"/>
                <w:lang w:val="en-US" w:eastAsia="zh-CN" w:bidi="ar"/>
              </w:rPr>
              <w:t>评审依据：投标人投标文件中需提供第三方检测机构出具的加盖制造商红色原色公章的检测报告进行佐证。</w:t>
            </w:r>
          </w:p>
          <w:p>
            <w:pPr>
              <w:spacing w:line="360" w:lineRule="auto"/>
              <w:ind w:firstLine="480" w:firstLineChars="200"/>
              <w:rPr>
                <w:rFonts w:hint="eastAsia" w:ascii="宋体" w:hAnsi="宋体" w:eastAsia="宋体" w:cs="宋体"/>
                <w:kern w:val="2"/>
                <w:sz w:val="24"/>
                <w:szCs w:val="21"/>
                <w:lang w:val="en-US" w:eastAsia="zh-CN" w:bidi="ar"/>
              </w:rPr>
            </w:pPr>
            <w:r>
              <w:rPr>
                <w:rFonts w:hint="eastAsia" w:ascii="宋体" w:hAnsi="宋体" w:eastAsia="宋体" w:cs="宋体"/>
                <w:kern w:val="2"/>
                <w:sz w:val="24"/>
                <w:szCs w:val="21"/>
                <w:lang w:val="en-US" w:eastAsia="zh-CN" w:bidi="ar"/>
              </w:rPr>
              <w:t>2、所投冰箱符合 GB 4706.1-2005、GB 4706.13-2014、SB 10424-2007 的检测要求，产品通过安全全项目检测要求，得1分；</w:t>
            </w:r>
          </w:p>
          <w:p>
            <w:pPr>
              <w:spacing w:line="360" w:lineRule="auto"/>
              <w:ind w:firstLine="482" w:firstLineChars="200"/>
              <w:rPr>
                <w:rFonts w:ascii="宋体" w:hAnsi="宋体" w:eastAsia="宋体"/>
                <w:b/>
                <w:bCs/>
                <w:color w:val="auto"/>
                <w:sz w:val="20"/>
                <w:szCs w:val="20"/>
                <w:lang w:eastAsia="zh-CN"/>
              </w:rPr>
            </w:pPr>
            <w:r>
              <w:rPr>
                <w:rFonts w:hint="eastAsia" w:ascii="宋体" w:hAnsi="宋体" w:eastAsia="宋体" w:cs="宋体"/>
                <w:b/>
                <w:bCs/>
                <w:kern w:val="2"/>
                <w:sz w:val="24"/>
                <w:szCs w:val="21"/>
                <w:lang w:val="en-US" w:eastAsia="zh-CN" w:bidi="ar"/>
              </w:rPr>
              <w:t>评审依据：投标人投标文件中需提供第三方检测机构出具的加盖制造商红色原色公章的检测报告进行佐证。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44" w:type="dxa"/>
            <w:vMerge w:val="continue"/>
            <w:vAlign w:val="center"/>
          </w:tcPr>
          <w:p>
            <w:pPr>
              <w:spacing w:line="400" w:lineRule="exact"/>
              <w:jc w:val="center"/>
              <w:rPr>
                <w:rFonts w:ascii="宋体" w:hAnsi="宋体" w:eastAsia="宋体"/>
                <w:color w:val="auto"/>
                <w:sz w:val="20"/>
                <w:szCs w:val="20"/>
                <w:lang w:eastAsia="zh-CN"/>
              </w:rPr>
            </w:pPr>
          </w:p>
        </w:tc>
        <w:tc>
          <w:tcPr>
            <w:tcW w:w="1275" w:type="dxa"/>
            <w:vAlign w:val="center"/>
          </w:tcPr>
          <w:p>
            <w:pPr>
              <w:pStyle w:val="2"/>
              <w:ind w:firstLine="0" w:firstLineChars="0"/>
              <w:rPr>
                <w:rFonts w:hint="eastAsia" w:ascii="Calibri" w:hAnsi="Calibri" w:eastAsia="宋体" w:cs="Times New Roman"/>
                <w:color w:val="auto"/>
                <w:sz w:val="21"/>
                <w:szCs w:val="21"/>
                <w:lang w:val="en-US" w:eastAsia="zh-CN" w:bidi="ar-SA"/>
              </w:rPr>
            </w:pPr>
            <w:r>
              <w:rPr>
                <w:rFonts w:hint="eastAsia" w:ascii="Calibri" w:hAnsi="Calibri" w:eastAsia="宋体" w:cs="Times New Roman"/>
                <w:color w:val="auto"/>
                <w:sz w:val="21"/>
                <w:szCs w:val="21"/>
                <w:lang w:val="en-US" w:eastAsia="zh-CN" w:bidi="ar-SA"/>
              </w:rPr>
              <w:t>全自动电热开水器2分</w:t>
            </w:r>
          </w:p>
        </w:tc>
        <w:tc>
          <w:tcPr>
            <w:tcW w:w="7371" w:type="dxa"/>
            <w:vAlign w:val="center"/>
          </w:tcPr>
          <w:p>
            <w:pPr>
              <w:pStyle w:val="967"/>
              <w:snapToGrid w:val="0"/>
              <w:spacing w:line="440" w:lineRule="exact"/>
              <w:ind w:left="42" w:leftChars="20" w:right="42" w:rightChars="20" w:firstLine="0"/>
              <w:jc w:val="left"/>
              <w:rPr>
                <w:rStyle w:val="968"/>
                <w:rFonts w:ascii="Times New Roman" w:hAnsi="Times New Roman"/>
                <w:sz w:val="22"/>
                <w:szCs w:val="22"/>
              </w:rPr>
            </w:pPr>
            <w:r>
              <w:rPr>
                <w:rStyle w:val="968"/>
                <w:rFonts w:hint="eastAsia" w:ascii="Times New Roman" w:hAnsi="Times New Roman"/>
                <w:sz w:val="22"/>
                <w:szCs w:val="22"/>
              </w:rPr>
              <w:t>所投全自动电热开水器符合GB4706.1-2005 《家用和类似用途电器的安全 第1部分：通用安全》和GB4706.36-2014《家用和类似用途电器的安全 商用电开水器和液体加热器的特殊要求》，防触电保护类别≥1类、防护等级≥IPX3。同时产品符合GB4806.9-2016和GB4806.11-2016的产品标准和技术要求并具有有效期内的《食品接触产品安全认证证书》。以上全部满足的得2分。</w:t>
            </w:r>
          </w:p>
          <w:p>
            <w:pPr>
              <w:spacing w:line="400" w:lineRule="exact"/>
              <w:rPr>
                <w:rFonts w:ascii="宋体" w:hAnsi="宋体" w:eastAsia="宋体"/>
                <w:b/>
                <w:bCs/>
                <w:color w:val="auto"/>
                <w:sz w:val="20"/>
                <w:szCs w:val="20"/>
                <w:lang w:eastAsia="zh-CN"/>
              </w:rPr>
            </w:pPr>
            <w:r>
              <w:rPr>
                <w:rStyle w:val="968"/>
                <w:rFonts w:hint="eastAsia" w:ascii="Times New Roman" w:hAnsi="Times New Roman"/>
                <w:b/>
                <w:color w:val="auto"/>
                <w:sz w:val="22"/>
                <w:szCs w:val="22"/>
                <w:lang w:eastAsia="zh-CN"/>
              </w:rPr>
              <w:t>评审依据：</w:t>
            </w:r>
            <w:r>
              <w:rPr>
                <w:rStyle w:val="968"/>
                <w:rFonts w:ascii="Times New Roman" w:hAnsi="Times New Roman"/>
                <w:b/>
                <w:color w:val="auto"/>
                <w:sz w:val="22"/>
                <w:szCs w:val="22"/>
                <w:lang w:eastAsia="zh-CN"/>
              </w:rPr>
              <w:t>需提供</w:t>
            </w:r>
            <w:r>
              <w:rPr>
                <w:rStyle w:val="968"/>
                <w:rFonts w:hint="eastAsia" w:ascii="Times New Roman" w:hAnsi="Times New Roman"/>
                <w:b/>
                <w:color w:val="auto"/>
                <w:sz w:val="22"/>
                <w:szCs w:val="22"/>
                <w:lang w:eastAsia="zh-CN"/>
              </w:rPr>
              <w:t>国家认可的第三方检测机构（带</w:t>
            </w:r>
            <w:r>
              <w:rPr>
                <w:rFonts w:hint="eastAsia" w:ascii="宋体" w:hAnsi="宋体" w:cs="宋体"/>
                <w:b/>
                <w:color w:val="auto"/>
                <w:sz w:val="22"/>
                <w:szCs w:val="22"/>
                <w:lang w:eastAsia="zh-CN"/>
              </w:rPr>
              <w:t>CNAS或CMA标志</w:t>
            </w:r>
            <w:r>
              <w:rPr>
                <w:rStyle w:val="968"/>
                <w:rFonts w:hint="eastAsia" w:ascii="Times New Roman" w:hAnsi="Times New Roman"/>
                <w:b/>
                <w:color w:val="auto"/>
                <w:sz w:val="22"/>
                <w:szCs w:val="22"/>
                <w:lang w:eastAsia="zh-CN"/>
              </w:rPr>
              <w:t>）出具的检测报告和有效期内的《食品接触产品安全认证证书》复印件加盖制造商公章，原件现场核查，未提供或不满足不加分。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44" w:type="dxa"/>
            <w:vMerge w:val="continue"/>
            <w:vAlign w:val="center"/>
          </w:tcPr>
          <w:p>
            <w:pPr>
              <w:spacing w:line="400" w:lineRule="exact"/>
              <w:jc w:val="center"/>
              <w:rPr>
                <w:rFonts w:ascii="宋体" w:hAnsi="宋体" w:eastAsia="宋体"/>
                <w:color w:val="auto"/>
                <w:sz w:val="20"/>
                <w:szCs w:val="20"/>
                <w:lang w:eastAsia="zh-CN"/>
              </w:rPr>
            </w:pPr>
          </w:p>
        </w:tc>
        <w:tc>
          <w:tcPr>
            <w:tcW w:w="1275" w:type="dxa"/>
            <w:vAlign w:val="center"/>
          </w:tcPr>
          <w:p>
            <w:pPr>
              <w:spacing w:line="360" w:lineRule="exact"/>
              <w:jc w:val="center"/>
              <w:rPr>
                <w:rFonts w:ascii="宋体" w:hAnsi="宋体" w:eastAsia="宋体"/>
                <w:b/>
                <w:bCs/>
                <w:color w:val="auto"/>
                <w:sz w:val="20"/>
                <w:szCs w:val="20"/>
                <w:lang w:eastAsia="zh-CN"/>
              </w:rPr>
            </w:pPr>
            <w:r>
              <w:rPr>
                <w:rFonts w:hint="eastAsia" w:ascii="宋体" w:hAnsi="宋体" w:eastAsia="宋体" w:cs="宋体"/>
                <w:color w:val="auto"/>
                <w:kern w:val="2"/>
                <w:sz w:val="20"/>
                <w:szCs w:val="20"/>
                <w:lang w:eastAsia="zh-CN" w:bidi="ar-SA"/>
              </w:rPr>
              <w:t>原材料检测</w:t>
            </w:r>
            <w:r>
              <w:rPr>
                <w:rFonts w:ascii="宋体" w:hAnsi="宋体" w:eastAsia="宋体" w:cs="宋体"/>
                <w:color w:val="auto"/>
                <w:kern w:val="2"/>
                <w:sz w:val="20"/>
                <w:szCs w:val="20"/>
                <w:lang w:eastAsia="zh-CN" w:bidi="ar-SA"/>
              </w:rPr>
              <w:t>9</w:t>
            </w:r>
            <w:r>
              <w:rPr>
                <w:rFonts w:hint="eastAsia" w:ascii="宋体" w:hAnsi="宋体" w:eastAsia="宋体" w:cs="宋体"/>
                <w:color w:val="auto"/>
                <w:kern w:val="2"/>
                <w:sz w:val="20"/>
                <w:szCs w:val="20"/>
                <w:lang w:eastAsia="zh-CN" w:bidi="ar-SA"/>
              </w:rPr>
              <w:t>分</w:t>
            </w:r>
          </w:p>
        </w:tc>
        <w:tc>
          <w:tcPr>
            <w:tcW w:w="7371" w:type="dxa"/>
            <w:vAlign w:val="center"/>
          </w:tcPr>
          <w:p>
            <w:pPr>
              <w:spacing w:line="300" w:lineRule="exact"/>
              <w:jc w:val="both"/>
              <w:rPr>
                <w:rStyle w:val="968"/>
                <w:rFonts w:hint="eastAsia" w:ascii="Times New Roman" w:hAnsi="Times New Roman" w:eastAsia="宋体" w:cs="Times New Roman"/>
                <w:color w:val="auto"/>
                <w:kern w:val="2"/>
                <w:sz w:val="22"/>
                <w:szCs w:val="22"/>
                <w:lang w:val="en-US" w:eastAsia="zh-CN" w:bidi="ar-SA"/>
              </w:rPr>
            </w:pPr>
            <w:r>
              <w:rPr>
                <w:rStyle w:val="968"/>
                <w:rFonts w:hint="eastAsia" w:ascii="Times New Roman" w:hAnsi="Times New Roman" w:eastAsia="宋体" w:cs="Times New Roman"/>
                <w:color w:val="auto"/>
                <w:kern w:val="2"/>
                <w:sz w:val="22"/>
                <w:szCs w:val="22"/>
                <w:lang w:val="en-US" w:eastAsia="zh-CN" w:bidi="ar-SA"/>
              </w:rPr>
              <w:t>1、提供本次招标清单内厂制品货物主要原材料不锈钢板1.0mm、1.2mm、1.5mm，304不锈钢圆管φ25、φ38、φ50、304不锈钢方管38*38、50*30、40*40、50*50的投标人自有的检测报告，报告需在有效期内（无显示有效期的认定为出报告之日起两年）检测报告（报告同时符合GB/T 3280-2015(不锈钢冷轧钢板和钢带)、GB/4806.9-2016（食品接触用金属材料及制品）、GB/T10125-2012(人造气氛腐蚀试验 盐雾试验标准）（盐雾试验168小时及以上标准检测），每个得0.5分，最高得5分。</w:t>
            </w:r>
          </w:p>
          <w:p>
            <w:pPr>
              <w:spacing w:line="360" w:lineRule="auto"/>
              <w:ind w:firstLine="221" w:firstLineChars="100"/>
              <w:rPr>
                <w:rStyle w:val="968"/>
                <w:rFonts w:hint="eastAsia" w:ascii="Times New Roman" w:hAnsi="Times New Roman" w:eastAsia="宋体" w:cs="Times New Roman"/>
                <w:b/>
                <w:bCs/>
                <w:color w:val="auto"/>
                <w:kern w:val="2"/>
                <w:sz w:val="22"/>
                <w:szCs w:val="22"/>
                <w:lang w:val="en-US" w:eastAsia="zh-CN" w:bidi="ar-SA"/>
              </w:rPr>
            </w:pPr>
            <w:r>
              <w:rPr>
                <w:rStyle w:val="968"/>
                <w:rFonts w:hint="eastAsia" w:ascii="Times New Roman" w:hAnsi="Times New Roman" w:eastAsia="宋体" w:cs="Times New Roman"/>
                <w:b/>
                <w:bCs/>
                <w:color w:val="auto"/>
                <w:kern w:val="2"/>
                <w:sz w:val="22"/>
                <w:szCs w:val="22"/>
                <w:lang w:val="en-US" w:eastAsia="zh-CN" w:bidi="ar-SA"/>
              </w:rPr>
              <w:t>评审依据：：提供第三方权威专业检测机构出具的的检测报告复印件并加盖制造商原色公章作佐证。</w:t>
            </w:r>
          </w:p>
          <w:p>
            <w:pPr>
              <w:spacing w:line="360" w:lineRule="auto"/>
              <w:ind w:firstLine="210" w:firstLineChars="100"/>
              <w:rPr>
                <w:rFonts w:ascii="宋体" w:hAnsi="宋体" w:eastAsia="宋体" w:cs="Times New Roman"/>
                <w:color w:val="auto"/>
                <w:kern w:val="2"/>
                <w:sz w:val="21"/>
                <w:szCs w:val="21"/>
                <w:lang w:eastAsia="zh-CN" w:bidi="ar-SA"/>
              </w:rPr>
            </w:pPr>
            <w:r>
              <w:rPr>
                <w:rFonts w:ascii="宋体" w:hAnsi="宋体" w:eastAsia="宋体" w:cs="Times New Roman"/>
                <w:color w:val="auto"/>
                <w:kern w:val="2"/>
                <w:sz w:val="21"/>
                <w:szCs w:val="21"/>
                <w:lang w:eastAsia="zh-CN" w:bidi="ar-SA"/>
              </w:rPr>
              <w:t>2</w:t>
            </w:r>
            <w:r>
              <w:rPr>
                <w:rFonts w:hint="eastAsia" w:ascii="宋体" w:hAnsi="宋体" w:eastAsia="宋体" w:cs="Times New Roman"/>
                <w:color w:val="auto"/>
                <w:kern w:val="2"/>
                <w:sz w:val="21"/>
                <w:szCs w:val="21"/>
                <w:lang w:eastAsia="zh-CN" w:bidi="ar-SA"/>
              </w:rPr>
              <w:t>、提供产品制作所需的不锈钢板需在铜</w:t>
            </w:r>
            <w:r>
              <w:rPr>
                <w:rFonts w:ascii="宋体" w:hAnsi="宋体" w:eastAsia="宋体" w:cs="Times New Roman"/>
                <w:color w:val="auto"/>
                <w:kern w:val="2"/>
                <w:sz w:val="21"/>
                <w:szCs w:val="21"/>
                <w:lang w:eastAsia="zh-CN" w:bidi="ar-SA"/>
              </w:rPr>
              <w:t>-</w:t>
            </w:r>
            <w:r>
              <w:rPr>
                <w:rFonts w:hint="eastAsia" w:ascii="宋体" w:hAnsi="宋体" w:eastAsia="宋体" w:cs="Times New Roman"/>
                <w:color w:val="auto"/>
                <w:kern w:val="2"/>
                <w:sz w:val="21"/>
                <w:szCs w:val="21"/>
                <w:lang w:eastAsia="zh-CN" w:bidi="ar-SA"/>
              </w:rPr>
              <w:t>硫酸铜</w:t>
            </w:r>
            <w:r>
              <w:rPr>
                <w:rFonts w:ascii="宋体" w:hAnsi="宋体" w:eastAsia="宋体" w:cs="Times New Roman"/>
                <w:color w:val="auto"/>
                <w:kern w:val="2"/>
                <w:sz w:val="21"/>
                <w:szCs w:val="21"/>
                <w:lang w:eastAsia="zh-CN" w:bidi="ar-SA"/>
              </w:rPr>
              <w:t>-16%</w:t>
            </w:r>
            <w:r>
              <w:rPr>
                <w:rFonts w:hint="eastAsia" w:ascii="宋体" w:hAnsi="宋体" w:eastAsia="宋体" w:cs="Times New Roman"/>
                <w:color w:val="auto"/>
                <w:kern w:val="2"/>
                <w:sz w:val="21"/>
                <w:szCs w:val="21"/>
                <w:lang w:eastAsia="zh-CN" w:bidi="ar-SA"/>
              </w:rPr>
              <w:t>硫酸溶液（微沸）中弯曲成</w:t>
            </w:r>
            <w:r>
              <w:rPr>
                <w:rFonts w:ascii="宋体" w:hAnsi="宋体" w:eastAsia="宋体" w:cs="Times New Roman"/>
                <w:color w:val="auto"/>
                <w:kern w:val="2"/>
                <w:sz w:val="21"/>
                <w:szCs w:val="21"/>
                <w:lang w:eastAsia="zh-CN" w:bidi="ar-SA"/>
              </w:rPr>
              <w:t>180º</w:t>
            </w:r>
            <w:r>
              <w:rPr>
                <w:rFonts w:hint="eastAsia" w:ascii="宋体" w:hAnsi="宋体" w:eastAsia="宋体" w:cs="Times New Roman"/>
                <w:color w:val="auto"/>
                <w:kern w:val="2"/>
                <w:sz w:val="21"/>
                <w:szCs w:val="21"/>
                <w:lang w:eastAsia="zh-CN" w:bidi="ar-SA"/>
              </w:rPr>
              <w:t>、</w:t>
            </w:r>
            <w:r>
              <w:rPr>
                <w:rFonts w:ascii="宋体" w:hAnsi="宋体" w:eastAsia="宋体" w:cs="Times New Roman"/>
                <w:color w:val="auto"/>
                <w:kern w:val="2"/>
                <w:sz w:val="21"/>
                <w:szCs w:val="21"/>
                <w:lang w:eastAsia="zh-CN" w:bidi="ar-SA"/>
              </w:rPr>
              <w:t>10X</w:t>
            </w:r>
            <w:r>
              <w:rPr>
                <w:rFonts w:hint="eastAsia" w:ascii="宋体" w:hAnsi="宋体" w:eastAsia="宋体" w:cs="Times New Roman"/>
                <w:color w:val="auto"/>
                <w:kern w:val="2"/>
                <w:sz w:val="21"/>
                <w:szCs w:val="21"/>
                <w:lang w:eastAsia="zh-CN" w:bidi="ar-SA"/>
              </w:rPr>
              <w:t>显微镜观察弯曲式样外表面无裂纹的测试，符合</w:t>
            </w:r>
            <w:r>
              <w:rPr>
                <w:rFonts w:ascii="宋体" w:hAnsi="宋体" w:eastAsia="宋体" w:cs="Times New Roman"/>
                <w:color w:val="auto"/>
                <w:kern w:val="2"/>
                <w:sz w:val="21"/>
                <w:szCs w:val="21"/>
                <w:lang w:eastAsia="zh-CN" w:bidi="ar-SA"/>
              </w:rPr>
              <w:t>GB/T 4334-2020</w:t>
            </w:r>
            <w:r>
              <w:rPr>
                <w:rFonts w:hint="eastAsia" w:ascii="宋体" w:hAnsi="宋体" w:eastAsia="宋体" w:cs="Times New Roman"/>
                <w:color w:val="auto"/>
                <w:kern w:val="2"/>
                <w:sz w:val="21"/>
                <w:szCs w:val="21"/>
                <w:lang w:eastAsia="zh-CN" w:bidi="ar-SA"/>
              </w:rPr>
              <w:t>金属和合金的腐蚀</w:t>
            </w:r>
            <w:r>
              <w:rPr>
                <w:rFonts w:ascii="宋体" w:hAnsi="宋体" w:eastAsia="宋体" w:cs="Times New Roman"/>
                <w:color w:val="auto"/>
                <w:kern w:val="2"/>
                <w:sz w:val="21"/>
                <w:szCs w:val="21"/>
                <w:lang w:eastAsia="zh-CN" w:bidi="ar-SA"/>
              </w:rPr>
              <w:t xml:space="preserve"> </w:t>
            </w:r>
            <w:r>
              <w:rPr>
                <w:rFonts w:hint="eastAsia" w:ascii="宋体" w:hAnsi="宋体" w:eastAsia="宋体" w:cs="Times New Roman"/>
                <w:color w:val="auto"/>
                <w:kern w:val="2"/>
                <w:sz w:val="21"/>
                <w:szCs w:val="21"/>
                <w:lang w:eastAsia="zh-CN" w:bidi="ar-SA"/>
              </w:rPr>
              <w:t>奥氏体及铁素体</w:t>
            </w:r>
            <w:r>
              <w:rPr>
                <w:rFonts w:ascii="宋体" w:hAnsi="宋体" w:eastAsia="宋体" w:cs="Times New Roman"/>
                <w:color w:val="auto"/>
                <w:kern w:val="2"/>
                <w:sz w:val="21"/>
                <w:szCs w:val="21"/>
                <w:lang w:eastAsia="zh-CN" w:bidi="ar-SA"/>
              </w:rPr>
              <w:t>-</w:t>
            </w:r>
            <w:r>
              <w:rPr>
                <w:rFonts w:hint="eastAsia" w:ascii="宋体" w:hAnsi="宋体" w:eastAsia="宋体" w:cs="Times New Roman"/>
                <w:color w:val="auto"/>
                <w:kern w:val="2"/>
                <w:sz w:val="21"/>
                <w:szCs w:val="21"/>
                <w:lang w:eastAsia="zh-CN" w:bidi="ar-SA"/>
              </w:rPr>
              <w:t>奥氏体（双相）不锈钢晶间腐蚀试验方法（</w:t>
            </w:r>
            <w:r>
              <w:rPr>
                <w:rFonts w:ascii="宋体" w:hAnsi="宋体" w:eastAsia="宋体" w:cs="Times New Roman"/>
                <w:color w:val="auto"/>
                <w:kern w:val="2"/>
                <w:sz w:val="21"/>
                <w:szCs w:val="21"/>
                <w:lang w:eastAsia="zh-CN" w:bidi="ar-SA"/>
              </w:rPr>
              <w:t>E</w:t>
            </w:r>
            <w:r>
              <w:rPr>
                <w:rFonts w:hint="eastAsia" w:ascii="宋体" w:hAnsi="宋体" w:eastAsia="宋体" w:cs="Times New Roman"/>
                <w:color w:val="auto"/>
                <w:kern w:val="2"/>
                <w:sz w:val="21"/>
                <w:szCs w:val="21"/>
                <w:lang w:eastAsia="zh-CN" w:bidi="ar-SA"/>
              </w:rPr>
              <w:t>法），检测报告须带有</w:t>
            </w:r>
            <w:r>
              <w:rPr>
                <w:rFonts w:ascii="宋体" w:hAnsi="宋体" w:eastAsia="宋体" w:cs="Times New Roman"/>
                <w:color w:val="auto"/>
                <w:kern w:val="2"/>
                <w:sz w:val="21"/>
                <w:szCs w:val="21"/>
                <w:lang w:eastAsia="zh-CN" w:bidi="ar-SA"/>
              </w:rPr>
              <w:t>CMA</w:t>
            </w:r>
            <w:r>
              <w:rPr>
                <w:rFonts w:hint="eastAsia" w:ascii="宋体" w:hAnsi="宋体" w:eastAsia="宋体" w:cs="Times New Roman"/>
                <w:color w:val="auto"/>
                <w:kern w:val="2"/>
                <w:sz w:val="21"/>
                <w:szCs w:val="21"/>
                <w:lang w:eastAsia="zh-CN" w:bidi="ar-SA"/>
              </w:rPr>
              <w:t>、</w:t>
            </w:r>
            <w:r>
              <w:rPr>
                <w:rFonts w:ascii="宋体" w:hAnsi="宋体" w:eastAsia="宋体" w:cs="Times New Roman"/>
                <w:color w:val="auto"/>
                <w:kern w:val="2"/>
                <w:sz w:val="21"/>
                <w:szCs w:val="21"/>
                <w:lang w:eastAsia="zh-CN" w:bidi="ar-SA"/>
              </w:rPr>
              <w:t xml:space="preserve"> CNAS</w:t>
            </w:r>
            <w:r>
              <w:rPr>
                <w:rFonts w:hint="eastAsia" w:ascii="宋体" w:hAnsi="宋体" w:eastAsia="宋体" w:cs="Times New Roman"/>
                <w:color w:val="auto"/>
                <w:kern w:val="2"/>
                <w:sz w:val="21"/>
                <w:szCs w:val="21"/>
                <w:lang w:eastAsia="zh-CN" w:bidi="ar-SA"/>
              </w:rPr>
              <w:t>、</w:t>
            </w:r>
            <w:r>
              <w:rPr>
                <w:rFonts w:ascii="宋体" w:hAnsi="宋体" w:eastAsia="宋体" w:cs="Times New Roman"/>
                <w:color w:val="auto"/>
                <w:kern w:val="2"/>
                <w:sz w:val="21"/>
                <w:szCs w:val="21"/>
                <w:lang w:eastAsia="zh-CN" w:bidi="ar-SA"/>
              </w:rPr>
              <w:t>ilac-MRA</w:t>
            </w:r>
            <w:r>
              <w:rPr>
                <w:rFonts w:hint="eastAsia" w:ascii="宋体" w:hAnsi="宋体" w:eastAsia="宋体" w:cs="Times New Roman"/>
                <w:color w:val="auto"/>
                <w:kern w:val="2"/>
                <w:sz w:val="21"/>
                <w:szCs w:val="21"/>
                <w:lang w:eastAsia="zh-CN" w:bidi="ar-SA"/>
              </w:rPr>
              <w:t>、</w:t>
            </w:r>
            <w:r>
              <w:rPr>
                <w:rFonts w:ascii="宋体" w:hAnsi="宋体" w:eastAsia="宋体" w:cs="Times New Roman"/>
                <w:color w:val="auto"/>
                <w:kern w:val="2"/>
                <w:sz w:val="21"/>
                <w:szCs w:val="21"/>
                <w:lang w:eastAsia="zh-CN" w:bidi="ar-SA"/>
              </w:rPr>
              <w:t>CAL</w:t>
            </w:r>
            <w:r>
              <w:rPr>
                <w:rFonts w:hint="eastAsia" w:ascii="宋体" w:hAnsi="宋体" w:eastAsia="宋体" w:cs="Times New Roman"/>
                <w:color w:val="auto"/>
                <w:kern w:val="2"/>
                <w:sz w:val="21"/>
                <w:szCs w:val="21"/>
                <w:lang w:eastAsia="zh-CN" w:bidi="ar-SA"/>
              </w:rPr>
              <w:t>、中国认可国际互认检测标志；检测报告提供市级或市级以上检测机构出具的证明材料扫描件加盖厂家公章及网络查询链接、网络查询截图佐证。得2分</w:t>
            </w:r>
          </w:p>
          <w:p>
            <w:pPr>
              <w:spacing w:line="360" w:lineRule="auto"/>
              <w:ind w:firstLine="211" w:firstLineChars="100"/>
              <w:rPr>
                <w:rFonts w:hint="eastAsia" w:ascii="宋体" w:hAnsi="宋体" w:eastAsia="宋体" w:cs="Times New Roman"/>
                <w:b/>
                <w:bCs/>
                <w:color w:val="auto"/>
                <w:kern w:val="2"/>
                <w:sz w:val="21"/>
                <w:szCs w:val="21"/>
                <w:lang w:eastAsia="zh-CN" w:bidi="ar-SA"/>
              </w:rPr>
            </w:pPr>
            <w:r>
              <w:rPr>
                <w:rFonts w:hint="eastAsia" w:ascii="宋体" w:hAnsi="宋体" w:eastAsia="宋体" w:cs="Times New Roman"/>
                <w:b/>
                <w:bCs/>
                <w:color w:val="auto"/>
                <w:kern w:val="2"/>
                <w:sz w:val="21"/>
                <w:szCs w:val="21"/>
                <w:lang w:eastAsia="zh-CN" w:bidi="ar-SA"/>
              </w:rPr>
              <w:t>评审依据：提供第三方权威专业检测机构出具的检测报告复印件并加盖制造商原色公章作佐证。</w:t>
            </w:r>
          </w:p>
          <w:p>
            <w:pPr>
              <w:spacing w:line="360" w:lineRule="auto"/>
              <w:ind w:firstLine="210" w:firstLineChars="100"/>
              <w:rPr>
                <w:rFonts w:ascii="宋体" w:hAnsi="宋体" w:eastAsia="宋体" w:cs="Times New Roman"/>
                <w:color w:val="auto"/>
                <w:kern w:val="2"/>
                <w:sz w:val="21"/>
                <w:szCs w:val="21"/>
                <w:lang w:eastAsia="zh-CN" w:bidi="ar-SA"/>
              </w:rPr>
            </w:pPr>
            <w:r>
              <w:rPr>
                <w:rFonts w:ascii="宋体" w:hAnsi="宋体" w:eastAsia="宋体" w:cs="Times New Roman"/>
                <w:color w:val="auto"/>
                <w:kern w:val="2"/>
                <w:sz w:val="21"/>
                <w:szCs w:val="21"/>
                <w:lang w:eastAsia="zh-CN" w:bidi="ar-SA"/>
              </w:rPr>
              <w:t>3</w:t>
            </w:r>
            <w:r>
              <w:rPr>
                <w:rFonts w:hint="eastAsia" w:ascii="宋体" w:hAnsi="宋体" w:eastAsia="宋体" w:cs="Times New Roman"/>
                <w:color w:val="auto"/>
                <w:kern w:val="2"/>
                <w:sz w:val="21"/>
                <w:szCs w:val="21"/>
                <w:lang w:eastAsia="zh-CN" w:bidi="ar-SA"/>
              </w:rPr>
              <w:t>、提供产品制作所需的不锈钢管需在铜</w:t>
            </w:r>
            <w:r>
              <w:rPr>
                <w:rFonts w:ascii="宋体" w:hAnsi="宋体" w:eastAsia="宋体" w:cs="Times New Roman"/>
                <w:color w:val="auto"/>
                <w:kern w:val="2"/>
                <w:sz w:val="21"/>
                <w:szCs w:val="21"/>
                <w:lang w:eastAsia="zh-CN" w:bidi="ar-SA"/>
              </w:rPr>
              <w:t>-</w:t>
            </w:r>
            <w:r>
              <w:rPr>
                <w:rFonts w:hint="eastAsia" w:ascii="宋体" w:hAnsi="宋体" w:eastAsia="宋体" w:cs="Times New Roman"/>
                <w:color w:val="auto"/>
                <w:kern w:val="2"/>
                <w:sz w:val="21"/>
                <w:szCs w:val="21"/>
                <w:lang w:eastAsia="zh-CN" w:bidi="ar-SA"/>
              </w:rPr>
              <w:t>硫酸铜</w:t>
            </w:r>
            <w:r>
              <w:rPr>
                <w:rFonts w:ascii="宋体" w:hAnsi="宋体" w:eastAsia="宋体" w:cs="Times New Roman"/>
                <w:color w:val="auto"/>
                <w:kern w:val="2"/>
                <w:sz w:val="21"/>
                <w:szCs w:val="21"/>
                <w:lang w:eastAsia="zh-CN" w:bidi="ar-SA"/>
              </w:rPr>
              <w:t>-16%</w:t>
            </w:r>
            <w:r>
              <w:rPr>
                <w:rFonts w:hint="eastAsia" w:ascii="宋体" w:hAnsi="宋体" w:eastAsia="宋体" w:cs="Times New Roman"/>
                <w:color w:val="auto"/>
                <w:kern w:val="2"/>
                <w:sz w:val="21"/>
                <w:szCs w:val="21"/>
                <w:lang w:eastAsia="zh-CN" w:bidi="ar-SA"/>
              </w:rPr>
              <w:t>硫酸溶液（微沸）中弯曲成</w:t>
            </w:r>
            <w:r>
              <w:rPr>
                <w:rFonts w:ascii="宋体" w:hAnsi="宋体" w:eastAsia="宋体" w:cs="Times New Roman"/>
                <w:color w:val="auto"/>
                <w:kern w:val="2"/>
                <w:sz w:val="21"/>
                <w:szCs w:val="21"/>
                <w:lang w:eastAsia="zh-CN" w:bidi="ar-SA"/>
              </w:rPr>
              <w:t>180º</w:t>
            </w:r>
            <w:r>
              <w:rPr>
                <w:rFonts w:hint="eastAsia" w:ascii="宋体" w:hAnsi="宋体" w:eastAsia="宋体" w:cs="Times New Roman"/>
                <w:color w:val="auto"/>
                <w:kern w:val="2"/>
                <w:sz w:val="21"/>
                <w:szCs w:val="21"/>
                <w:lang w:eastAsia="zh-CN" w:bidi="ar-SA"/>
              </w:rPr>
              <w:t>、</w:t>
            </w:r>
            <w:r>
              <w:rPr>
                <w:rFonts w:ascii="宋体" w:hAnsi="宋体" w:eastAsia="宋体" w:cs="Times New Roman"/>
                <w:color w:val="auto"/>
                <w:kern w:val="2"/>
                <w:sz w:val="21"/>
                <w:szCs w:val="21"/>
                <w:lang w:eastAsia="zh-CN" w:bidi="ar-SA"/>
              </w:rPr>
              <w:t>10X</w:t>
            </w:r>
            <w:r>
              <w:rPr>
                <w:rFonts w:hint="eastAsia" w:ascii="宋体" w:hAnsi="宋体" w:eastAsia="宋体" w:cs="Times New Roman"/>
                <w:color w:val="auto"/>
                <w:kern w:val="2"/>
                <w:sz w:val="21"/>
                <w:szCs w:val="21"/>
                <w:lang w:eastAsia="zh-CN" w:bidi="ar-SA"/>
              </w:rPr>
              <w:t>显微镜观察弯曲式样外表面无裂纹的测试，符合</w:t>
            </w:r>
            <w:r>
              <w:rPr>
                <w:rFonts w:ascii="宋体" w:hAnsi="宋体" w:eastAsia="宋体" w:cs="Times New Roman"/>
                <w:color w:val="auto"/>
                <w:kern w:val="2"/>
                <w:sz w:val="21"/>
                <w:szCs w:val="21"/>
                <w:lang w:eastAsia="zh-CN" w:bidi="ar-SA"/>
              </w:rPr>
              <w:t>GB/T 4334-2020</w:t>
            </w:r>
            <w:r>
              <w:rPr>
                <w:rFonts w:hint="eastAsia" w:ascii="宋体" w:hAnsi="宋体" w:eastAsia="宋体" w:cs="Times New Roman"/>
                <w:color w:val="auto"/>
                <w:kern w:val="2"/>
                <w:sz w:val="21"/>
                <w:szCs w:val="21"/>
                <w:lang w:eastAsia="zh-CN" w:bidi="ar-SA"/>
              </w:rPr>
              <w:t>金属和合金的腐蚀</w:t>
            </w:r>
            <w:r>
              <w:rPr>
                <w:rFonts w:ascii="宋体" w:hAnsi="宋体" w:eastAsia="宋体" w:cs="Times New Roman"/>
                <w:color w:val="auto"/>
                <w:kern w:val="2"/>
                <w:sz w:val="21"/>
                <w:szCs w:val="21"/>
                <w:lang w:eastAsia="zh-CN" w:bidi="ar-SA"/>
              </w:rPr>
              <w:t xml:space="preserve"> </w:t>
            </w:r>
            <w:r>
              <w:rPr>
                <w:rFonts w:hint="eastAsia" w:ascii="宋体" w:hAnsi="宋体" w:eastAsia="宋体" w:cs="Times New Roman"/>
                <w:color w:val="auto"/>
                <w:kern w:val="2"/>
                <w:sz w:val="21"/>
                <w:szCs w:val="21"/>
                <w:lang w:eastAsia="zh-CN" w:bidi="ar-SA"/>
              </w:rPr>
              <w:t>奥氏体及铁素体</w:t>
            </w:r>
            <w:r>
              <w:rPr>
                <w:rFonts w:ascii="宋体" w:hAnsi="宋体" w:eastAsia="宋体" w:cs="Times New Roman"/>
                <w:color w:val="auto"/>
                <w:kern w:val="2"/>
                <w:sz w:val="21"/>
                <w:szCs w:val="21"/>
                <w:lang w:eastAsia="zh-CN" w:bidi="ar-SA"/>
              </w:rPr>
              <w:t>-</w:t>
            </w:r>
            <w:r>
              <w:rPr>
                <w:rFonts w:hint="eastAsia" w:ascii="宋体" w:hAnsi="宋体" w:eastAsia="宋体" w:cs="Times New Roman"/>
                <w:color w:val="auto"/>
                <w:kern w:val="2"/>
                <w:sz w:val="21"/>
                <w:szCs w:val="21"/>
                <w:lang w:eastAsia="zh-CN" w:bidi="ar-SA"/>
              </w:rPr>
              <w:t>奥氏体（双相）不锈钢晶间腐蚀试验方法（</w:t>
            </w:r>
            <w:r>
              <w:rPr>
                <w:rFonts w:ascii="宋体" w:hAnsi="宋体" w:eastAsia="宋体" w:cs="Times New Roman"/>
                <w:color w:val="auto"/>
                <w:kern w:val="2"/>
                <w:sz w:val="21"/>
                <w:szCs w:val="21"/>
                <w:lang w:eastAsia="zh-CN" w:bidi="ar-SA"/>
              </w:rPr>
              <w:t>E</w:t>
            </w:r>
            <w:r>
              <w:rPr>
                <w:rFonts w:hint="eastAsia" w:ascii="宋体" w:hAnsi="宋体" w:eastAsia="宋体" w:cs="Times New Roman"/>
                <w:color w:val="auto"/>
                <w:kern w:val="2"/>
                <w:sz w:val="21"/>
                <w:szCs w:val="21"/>
                <w:lang w:eastAsia="zh-CN" w:bidi="ar-SA"/>
              </w:rPr>
              <w:t>法），检测报告须带有</w:t>
            </w:r>
            <w:r>
              <w:rPr>
                <w:rFonts w:ascii="宋体" w:hAnsi="宋体" w:eastAsia="宋体" w:cs="Times New Roman"/>
                <w:color w:val="auto"/>
                <w:kern w:val="2"/>
                <w:sz w:val="21"/>
                <w:szCs w:val="21"/>
                <w:lang w:eastAsia="zh-CN" w:bidi="ar-SA"/>
              </w:rPr>
              <w:t>CMA</w:t>
            </w:r>
            <w:r>
              <w:rPr>
                <w:rFonts w:hint="eastAsia" w:ascii="宋体" w:hAnsi="宋体" w:eastAsia="宋体" w:cs="Times New Roman"/>
                <w:color w:val="auto"/>
                <w:kern w:val="2"/>
                <w:sz w:val="21"/>
                <w:szCs w:val="21"/>
                <w:lang w:eastAsia="zh-CN" w:bidi="ar-SA"/>
              </w:rPr>
              <w:t>、</w:t>
            </w:r>
            <w:r>
              <w:rPr>
                <w:rFonts w:ascii="宋体" w:hAnsi="宋体" w:eastAsia="宋体" w:cs="Times New Roman"/>
                <w:color w:val="auto"/>
                <w:kern w:val="2"/>
                <w:sz w:val="21"/>
                <w:szCs w:val="21"/>
                <w:lang w:eastAsia="zh-CN" w:bidi="ar-SA"/>
              </w:rPr>
              <w:t xml:space="preserve"> CNAS</w:t>
            </w:r>
            <w:r>
              <w:rPr>
                <w:rFonts w:hint="eastAsia" w:ascii="宋体" w:hAnsi="宋体" w:eastAsia="宋体" w:cs="Times New Roman"/>
                <w:color w:val="auto"/>
                <w:kern w:val="2"/>
                <w:sz w:val="21"/>
                <w:szCs w:val="21"/>
                <w:lang w:eastAsia="zh-CN" w:bidi="ar-SA"/>
              </w:rPr>
              <w:t>、</w:t>
            </w:r>
            <w:r>
              <w:rPr>
                <w:rFonts w:ascii="宋体" w:hAnsi="宋体" w:eastAsia="宋体" w:cs="Times New Roman"/>
                <w:color w:val="auto"/>
                <w:kern w:val="2"/>
                <w:sz w:val="21"/>
                <w:szCs w:val="21"/>
                <w:lang w:eastAsia="zh-CN" w:bidi="ar-SA"/>
              </w:rPr>
              <w:t>ilac-MRA</w:t>
            </w:r>
            <w:r>
              <w:rPr>
                <w:rFonts w:hint="eastAsia" w:ascii="宋体" w:hAnsi="宋体" w:eastAsia="宋体" w:cs="Times New Roman"/>
                <w:color w:val="auto"/>
                <w:kern w:val="2"/>
                <w:sz w:val="21"/>
                <w:szCs w:val="21"/>
                <w:lang w:eastAsia="zh-CN" w:bidi="ar-SA"/>
              </w:rPr>
              <w:t>、</w:t>
            </w:r>
            <w:r>
              <w:rPr>
                <w:rFonts w:ascii="宋体" w:hAnsi="宋体" w:eastAsia="宋体" w:cs="Times New Roman"/>
                <w:color w:val="auto"/>
                <w:kern w:val="2"/>
                <w:sz w:val="21"/>
                <w:szCs w:val="21"/>
                <w:lang w:eastAsia="zh-CN" w:bidi="ar-SA"/>
              </w:rPr>
              <w:t>CAL</w:t>
            </w:r>
            <w:r>
              <w:rPr>
                <w:rFonts w:hint="eastAsia" w:ascii="宋体" w:hAnsi="宋体" w:eastAsia="宋体" w:cs="Times New Roman"/>
                <w:color w:val="auto"/>
                <w:kern w:val="2"/>
                <w:sz w:val="21"/>
                <w:szCs w:val="21"/>
                <w:lang w:eastAsia="zh-CN" w:bidi="ar-SA"/>
              </w:rPr>
              <w:t>、中国认可国际互认检测标志；检测报告提供市级或市级以上检测机构出具的证明材料扫描件加盖厂家公章及网络查询链接、网络查询截图佐证。得2分</w:t>
            </w:r>
          </w:p>
          <w:p>
            <w:pPr>
              <w:spacing w:line="360" w:lineRule="auto"/>
              <w:ind w:firstLine="422" w:firstLineChars="200"/>
              <w:rPr>
                <w:rFonts w:hint="eastAsia" w:ascii="宋体" w:hAnsi="宋体" w:eastAsia="宋体"/>
                <w:bCs/>
                <w:color w:val="auto"/>
                <w:sz w:val="21"/>
                <w:szCs w:val="21"/>
                <w:lang w:eastAsia="zh-CN"/>
              </w:rPr>
            </w:pPr>
            <w:r>
              <w:rPr>
                <w:rFonts w:hint="eastAsia" w:ascii="宋体" w:hAnsi="宋体" w:eastAsia="宋体" w:cs="Times New Roman"/>
                <w:b/>
                <w:bCs/>
                <w:color w:val="auto"/>
                <w:kern w:val="2"/>
                <w:sz w:val="21"/>
                <w:szCs w:val="21"/>
                <w:lang w:eastAsia="zh-CN" w:bidi="ar-SA"/>
              </w:rPr>
              <w:t>评审依据：提供第三方权威专业检测机构出具的检测报告复印件并加盖制造商原色公章作佐证。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490" w:type="dxa"/>
            <w:gridSpan w:val="3"/>
            <w:vAlign w:val="center"/>
          </w:tcPr>
          <w:p>
            <w:pPr>
              <w:spacing w:line="360" w:lineRule="auto"/>
              <w:rPr>
                <w:rFonts w:ascii="宋体" w:hAnsi="宋体" w:eastAsia="宋体"/>
                <w:color w:val="auto"/>
                <w:sz w:val="20"/>
                <w:szCs w:val="20"/>
              </w:rPr>
            </w:pPr>
            <w:r>
              <w:rPr>
                <w:rFonts w:hint="eastAsia" w:ascii="宋体" w:hAnsi="宋体" w:eastAsia="宋体"/>
                <w:color w:val="auto"/>
                <w:sz w:val="20"/>
                <w:szCs w:val="20"/>
              </w:rPr>
              <w:t>商务分（</w:t>
            </w:r>
            <w:r>
              <w:rPr>
                <w:rFonts w:hint="eastAsia" w:ascii="宋体" w:hAnsi="宋体"/>
                <w:color w:val="auto"/>
                <w:sz w:val="20"/>
                <w:szCs w:val="20"/>
                <w:lang w:val="en-US" w:eastAsia="zh-CN"/>
              </w:rPr>
              <w:t>20</w:t>
            </w:r>
            <w:r>
              <w:rPr>
                <w:rFonts w:hint="eastAsia" w:ascii="宋体" w:hAnsi="宋体" w:eastAsia="宋体"/>
                <w:color w:val="auto"/>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44" w:type="dxa"/>
            <w:vMerge w:val="restart"/>
            <w:vAlign w:val="center"/>
          </w:tcPr>
          <w:p>
            <w:pPr>
              <w:spacing w:line="400" w:lineRule="exact"/>
              <w:jc w:val="center"/>
              <w:rPr>
                <w:rFonts w:hint="default" w:ascii="宋体" w:hAnsi="宋体" w:eastAsia="宋体"/>
                <w:color w:val="auto"/>
                <w:sz w:val="20"/>
                <w:szCs w:val="20"/>
                <w:lang w:val="en-US" w:eastAsia="zh-CN" w:bidi="zh-TW"/>
              </w:rPr>
            </w:pPr>
            <w:r>
              <w:rPr>
                <w:rFonts w:hint="eastAsia" w:ascii="宋体" w:hAnsi="宋体"/>
                <w:color w:val="auto"/>
                <w:sz w:val="20"/>
                <w:szCs w:val="20"/>
                <w:lang w:val="en-US" w:eastAsia="zh-CN" w:bidi="zh-TW"/>
              </w:rPr>
              <w:t>商务部分</w:t>
            </w:r>
          </w:p>
        </w:tc>
        <w:tc>
          <w:tcPr>
            <w:tcW w:w="1275" w:type="dxa"/>
            <w:vAlign w:val="center"/>
          </w:tcPr>
          <w:p>
            <w:pPr>
              <w:spacing w:line="360" w:lineRule="auto"/>
              <w:rPr>
                <w:rFonts w:ascii="宋体" w:hAnsi="宋体" w:eastAsia="宋体"/>
                <w:b/>
                <w:bCs/>
                <w:color w:val="auto"/>
                <w:sz w:val="20"/>
                <w:szCs w:val="20"/>
                <w:lang w:eastAsia="zh-CN"/>
              </w:rPr>
            </w:pPr>
          </w:p>
          <w:p>
            <w:pPr>
              <w:spacing w:line="360" w:lineRule="auto"/>
              <w:rPr>
                <w:rFonts w:ascii="宋体" w:hAnsi="宋体" w:eastAsia="宋体"/>
                <w:b/>
                <w:bCs/>
                <w:color w:val="auto"/>
                <w:sz w:val="21"/>
                <w:szCs w:val="21"/>
                <w:lang w:eastAsia="zh-CN"/>
              </w:rPr>
            </w:pPr>
            <w:r>
              <w:rPr>
                <w:rFonts w:hint="eastAsia" w:ascii="宋体" w:hAnsi="宋体" w:eastAsia="宋体"/>
                <w:b/>
                <w:bCs/>
                <w:color w:val="auto"/>
                <w:sz w:val="21"/>
                <w:szCs w:val="21"/>
                <w:lang w:eastAsia="zh-CN"/>
              </w:rPr>
              <w:t>售后服务及保障</w:t>
            </w:r>
          </w:p>
          <w:p>
            <w:pPr>
              <w:spacing w:line="360" w:lineRule="auto"/>
              <w:jc w:val="center"/>
              <w:rPr>
                <w:rFonts w:ascii="宋体" w:hAnsi="宋体" w:eastAsia="宋体"/>
                <w:color w:val="auto"/>
                <w:sz w:val="20"/>
                <w:szCs w:val="20"/>
                <w:lang w:eastAsia="zh-CN"/>
              </w:rPr>
            </w:pPr>
            <w:r>
              <w:rPr>
                <w:rFonts w:hint="eastAsia" w:ascii="宋体" w:hAnsi="宋体"/>
                <w:color w:val="auto"/>
                <w:sz w:val="21"/>
                <w:szCs w:val="21"/>
                <w:lang w:val="en-US" w:eastAsia="zh-CN"/>
              </w:rPr>
              <w:t>4</w:t>
            </w:r>
            <w:r>
              <w:rPr>
                <w:rFonts w:hint="eastAsia" w:ascii="宋体" w:hAnsi="宋体" w:eastAsia="宋体"/>
                <w:color w:val="auto"/>
                <w:sz w:val="21"/>
                <w:szCs w:val="21"/>
                <w:lang w:eastAsia="zh-CN"/>
              </w:rPr>
              <w:t>分</w:t>
            </w:r>
          </w:p>
        </w:tc>
        <w:tc>
          <w:tcPr>
            <w:tcW w:w="7371" w:type="dxa"/>
            <w:vAlign w:val="center"/>
          </w:tcPr>
          <w:p>
            <w:pPr>
              <w:spacing w:line="300" w:lineRule="exact"/>
              <w:rPr>
                <w:rFonts w:hint="eastAsia" w:ascii="宋体" w:hAnsi="宋体" w:cs="宋体" w:eastAsiaTheme="minorEastAsia"/>
                <w:sz w:val="22"/>
                <w:szCs w:val="22"/>
                <w:lang w:eastAsia="zh-CN"/>
              </w:rPr>
            </w:pPr>
            <w:r>
              <w:rPr>
                <w:rFonts w:hint="eastAsia" w:ascii="宋体" w:hAnsi="宋体" w:cs="Arial"/>
                <w:spacing w:val="4"/>
                <w:szCs w:val="21"/>
                <w:lang w:eastAsia="zh-CN"/>
              </w:rPr>
              <w:t>（</w:t>
            </w:r>
            <w:r>
              <w:rPr>
                <w:rFonts w:hint="eastAsia" w:ascii="宋体" w:hAnsi="宋体" w:eastAsia="宋体" w:cs="Arial"/>
                <w:spacing w:val="4"/>
                <w:sz w:val="21"/>
                <w:szCs w:val="21"/>
                <w:lang w:eastAsia="zh-CN"/>
              </w:rPr>
              <w:t>1）</w:t>
            </w:r>
            <w:r>
              <w:rPr>
                <w:rFonts w:hint="eastAsia" w:ascii="宋体" w:hAnsi="宋体" w:eastAsia="宋体" w:cs="宋体"/>
                <w:color w:val="auto"/>
                <w:sz w:val="22"/>
                <w:szCs w:val="22"/>
                <w:lang w:eastAsia="zh-CN"/>
              </w:rPr>
              <w:t>根据售后服务方案和技术服务支持力量、售后服务承诺（包括服务网点的远近情况、售后服务承诺、保修范围服务标准、故障响应修复时间方式等保障措施），由评委综合打分（0-</w:t>
            </w:r>
            <w:r>
              <w:rPr>
                <w:rFonts w:ascii="宋体" w:hAnsi="宋体" w:eastAsia="宋体" w:cs="宋体"/>
                <w:color w:val="auto"/>
                <w:sz w:val="22"/>
                <w:szCs w:val="22"/>
                <w:lang w:eastAsia="zh-CN"/>
              </w:rPr>
              <w:t>2</w:t>
            </w:r>
            <w:r>
              <w:rPr>
                <w:rFonts w:hint="eastAsia" w:ascii="宋体" w:hAnsi="宋体" w:eastAsia="宋体" w:cs="宋体"/>
                <w:color w:val="auto"/>
                <w:sz w:val="22"/>
                <w:szCs w:val="22"/>
                <w:lang w:eastAsia="zh-CN"/>
              </w:rPr>
              <w:t>分）</w:t>
            </w:r>
          </w:p>
          <w:p>
            <w:pPr>
              <w:rPr>
                <w:rFonts w:ascii="宋体" w:hAnsi="宋体" w:eastAsia="宋体" w:cs="Arial"/>
                <w:spacing w:val="4"/>
                <w:sz w:val="21"/>
                <w:szCs w:val="21"/>
                <w:lang w:eastAsia="zh-CN"/>
              </w:rPr>
            </w:pPr>
            <w:r>
              <w:rPr>
                <w:rFonts w:hint="eastAsia" w:ascii="宋体" w:hAnsi="宋体" w:eastAsia="宋体" w:cs="Arial"/>
                <w:spacing w:val="4"/>
                <w:sz w:val="21"/>
                <w:szCs w:val="21"/>
                <w:lang w:eastAsia="zh-CN"/>
              </w:rPr>
              <w:t>（</w:t>
            </w:r>
            <w:r>
              <w:rPr>
                <w:rFonts w:hint="eastAsia" w:ascii="宋体" w:hAnsi="宋体" w:cs="Arial"/>
                <w:spacing w:val="4"/>
                <w:sz w:val="21"/>
                <w:szCs w:val="21"/>
                <w:lang w:val="en-US" w:eastAsia="zh-CN"/>
              </w:rPr>
              <w:t>2</w:t>
            </w:r>
            <w:r>
              <w:rPr>
                <w:rFonts w:hint="eastAsia" w:ascii="宋体" w:hAnsi="宋体" w:eastAsia="宋体" w:cs="Arial"/>
                <w:spacing w:val="4"/>
                <w:sz w:val="21"/>
                <w:szCs w:val="21"/>
                <w:lang w:eastAsia="zh-CN"/>
              </w:rPr>
              <w:t>）具有国家权威认证机构颁发的</w:t>
            </w:r>
            <w:r>
              <w:rPr>
                <w:rFonts w:ascii="宋体" w:hAnsi="宋体" w:eastAsia="宋体" w:cs="Arial"/>
                <w:spacing w:val="4"/>
                <w:sz w:val="21"/>
                <w:szCs w:val="21"/>
                <w:lang w:eastAsia="zh-CN"/>
              </w:rPr>
              <w:t>8</w:t>
            </w:r>
            <w:r>
              <w:rPr>
                <w:rFonts w:hint="eastAsia" w:ascii="宋体" w:hAnsi="宋体" w:eastAsia="宋体" w:cs="宋体"/>
                <w:spacing w:val="4"/>
                <w:sz w:val="21"/>
                <w:szCs w:val="21"/>
                <w:lang w:eastAsia="zh-CN"/>
              </w:rPr>
              <w:t>星售后服务完善程度认证证书的</w:t>
            </w:r>
            <w:r>
              <w:rPr>
                <w:rFonts w:hint="eastAsia" w:ascii="宋体" w:hAnsi="宋体" w:eastAsia="宋体" w:cs="Arial"/>
                <w:spacing w:val="4"/>
                <w:sz w:val="21"/>
                <w:szCs w:val="21"/>
                <w:lang w:eastAsia="zh-CN"/>
              </w:rPr>
              <w:t>得</w:t>
            </w:r>
            <w:r>
              <w:rPr>
                <w:rFonts w:ascii="宋体" w:hAnsi="宋体" w:eastAsia="宋体" w:cs="Arial"/>
                <w:spacing w:val="4"/>
                <w:sz w:val="21"/>
                <w:szCs w:val="21"/>
                <w:lang w:eastAsia="zh-CN"/>
              </w:rPr>
              <w:t>2</w:t>
            </w:r>
            <w:r>
              <w:rPr>
                <w:rFonts w:hint="eastAsia" w:ascii="宋体" w:hAnsi="宋体" w:eastAsia="宋体" w:cs="Arial"/>
                <w:spacing w:val="4"/>
                <w:sz w:val="21"/>
                <w:szCs w:val="21"/>
                <w:lang w:eastAsia="zh-CN"/>
              </w:rPr>
              <w:t>分。</w:t>
            </w:r>
          </w:p>
          <w:p>
            <w:pPr>
              <w:rPr>
                <w:rFonts w:ascii="宋体" w:hAnsi="宋体" w:cs="Arial" w:eastAsiaTheme="minorEastAsia"/>
                <w:b/>
                <w:spacing w:val="4"/>
                <w:szCs w:val="21"/>
                <w:lang w:eastAsia="zh-CN"/>
              </w:rPr>
            </w:pPr>
            <w:r>
              <w:rPr>
                <w:rFonts w:hint="eastAsia" w:ascii="宋体" w:hAnsi="宋体" w:eastAsia="宋体"/>
                <w:b/>
                <w:sz w:val="21"/>
                <w:szCs w:val="21"/>
                <w:lang w:eastAsia="zh-CN"/>
              </w:rPr>
              <w:t>以上证书</w:t>
            </w:r>
            <w:r>
              <w:rPr>
                <w:rFonts w:hint="eastAsia" w:ascii="宋体" w:hAnsi="宋体" w:eastAsia="宋体" w:cs="宋体"/>
                <w:b/>
                <w:sz w:val="21"/>
                <w:szCs w:val="21"/>
                <w:lang w:eastAsia="zh-CN"/>
              </w:rPr>
              <w:t>提供扫描件加盖红色原章，扫描章或黑章不得分</w:t>
            </w:r>
            <w:r>
              <w:rPr>
                <w:rFonts w:hint="eastAsia" w:ascii="宋体" w:hAnsi="宋体" w:eastAsia="宋体"/>
                <w:b/>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844" w:type="dxa"/>
            <w:vMerge w:val="continue"/>
            <w:vAlign w:val="center"/>
          </w:tcPr>
          <w:p>
            <w:pPr>
              <w:spacing w:line="400" w:lineRule="exact"/>
              <w:jc w:val="center"/>
              <w:rPr>
                <w:rFonts w:ascii="宋体" w:hAnsi="宋体" w:eastAsia="宋体"/>
                <w:color w:val="auto"/>
                <w:sz w:val="20"/>
                <w:szCs w:val="20"/>
                <w:lang w:eastAsia="zh-CN" w:bidi="zh-TW"/>
              </w:rPr>
            </w:pPr>
          </w:p>
        </w:tc>
        <w:tc>
          <w:tcPr>
            <w:tcW w:w="1275" w:type="dxa"/>
            <w:vAlign w:val="center"/>
          </w:tcPr>
          <w:p>
            <w:pPr>
              <w:spacing w:line="400" w:lineRule="exact"/>
              <w:jc w:val="center"/>
              <w:rPr>
                <w:rFonts w:ascii="宋体" w:hAnsi="宋体" w:eastAsia="宋体"/>
                <w:b/>
                <w:bCs/>
                <w:color w:val="auto"/>
                <w:sz w:val="20"/>
                <w:szCs w:val="20"/>
                <w:lang w:eastAsia="zh-CN"/>
              </w:rPr>
            </w:pPr>
            <w:r>
              <w:rPr>
                <w:rFonts w:hint="eastAsia" w:ascii="宋体" w:hAnsi="宋体" w:eastAsia="宋体" w:cs="Times New Roman"/>
                <w:b w:val="0"/>
                <w:bCs/>
                <w:color w:val="auto"/>
                <w:spacing w:val="0"/>
                <w:sz w:val="20"/>
                <w:szCs w:val="20"/>
                <w:lang w:eastAsia="zh-CN"/>
              </w:rPr>
              <w:t>企业生产、安装经营许可证相关资质7分</w:t>
            </w:r>
          </w:p>
        </w:tc>
        <w:tc>
          <w:tcPr>
            <w:tcW w:w="7371" w:type="dxa"/>
            <w:vAlign w:val="center"/>
          </w:tcPr>
          <w:p>
            <w:pPr>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（1）投标人同时具有质量监督检验检疫局颁发消毒产品生产企业卫生许可证（消毒类）和省质量监督检验检疫总局颁发的商用电热食品设备加工《工业产品生产许可证》且齐全的得2分。未提供不得分；</w:t>
            </w:r>
          </w:p>
          <w:p>
            <w:pPr>
              <w:spacing w:line="300" w:lineRule="exact"/>
              <w:ind w:left="-15" w:leftChars="-7"/>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 xml:space="preserve">（2）投标人具有《建筑机电安装工程专业承包三级》的，得2分                         </w:t>
            </w:r>
          </w:p>
          <w:p>
            <w:pPr>
              <w:spacing w:line="300" w:lineRule="exact"/>
              <w:ind w:left="-15" w:leftChars="-7"/>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（3）投标人具有《安全生产许可证》的，得2分</w:t>
            </w:r>
          </w:p>
          <w:p>
            <w:pPr>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（4）投标人自身具有《废水、废气、噪音检测报告》的得1分。</w:t>
            </w:r>
          </w:p>
          <w:p>
            <w:pPr>
              <w:pStyle w:val="62"/>
              <w:ind w:left="0" w:leftChars="0" w:firstLine="0" w:firstLineChars="0"/>
              <w:rPr>
                <w:b/>
                <w:sz w:val="21"/>
                <w:szCs w:val="21"/>
                <w:lang w:eastAsia="zh-CN"/>
              </w:rPr>
            </w:pPr>
            <w:r>
              <w:rPr>
                <w:rFonts w:hint="eastAsia" w:ascii="宋体" w:hAnsi="宋体" w:eastAsia="宋体" w:cs="宋体"/>
                <w:bCs/>
                <w:kern w:val="2"/>
                <w:sz w:val="21"/>
                <w:szCs w:val="21"/>
                <w:lang w:val="en-US" w:eastAsia="zh-CN" w:bidi="ar-SA"/>
              </w:rPr>
              <w:t>（提供证书扫描件加盖红色原章，扫描章或黑章不得分）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844" w:type="dxa"/>
            <w:vMerge w:val="continue"/>
            <w:vAlign w:val="center"/>
          </w:tcPr>
          <w:p>
            <w:pPr>
              <w:spacing w:line="400" w:lineRule="exact"/>
              <w:jc w:val="center"/>
              <w:rPr>
                <w:rFonts w:ascii="宋体" w:hAnsi="宋体" w:eastAsia="宋体"/>
                <w:color w:val="auto"/>
                <w:sz w:val="20"/>
                <w:szCs w:val="20"/>
                <w:lang w:eastAsia="zh-CN" w:bidi="zh-TW"/>
              </w:rPr>
            </w:pPr>
          </w:p>
        </w:tc>
        <w:tc>
          <w:tcPr>
            <w:tcW w:w="1275" w:type="dxa"/>
            <w:vAlign w:val="center"/>
          </w:tcPr>
          <w:p>
            <w:pPr>
              <w:spacing w:line="400" w:lineRule="exact"/>
              <w:ind w:left="174" w:leftChars="83"/>
              <w:rPr>
                <w:rFonts w:hint="eastAsia" w:ascii="宋体" w:hAnsi="宋体" w:eastAsia="宋体" w:cs="Times New Roman"/>
                <w:b w:val="0"/>
                <w:bCs/>
                <w:color w:val="auto"/>
                <w:spacing w:val="0"/>
                <w:sz w:val="20"/>
                <w:szCs w:val="20"/>
                <w:lang w:eastAsia="zh-CN"/>
              </w:rPr>
            </w:pPr>
            <w:r>
              <w:rPr>
                <w:rFonts w:hint="eastAsia" w:ascii="宋体" w:hAnsi="宋体" w:eastAsia="宋体"/>
                <w:b/>
                <w:color w:val="auto"/>
                <w:sz w:val="20"/>
                <w:szCs w:val="20"/>
                <w:lang w:val="en-US" w:eastAsia="zh-CN"/>
              </w:rPr>
              <w:t>样品9分</w:t>
            </w:r>
          </w:p>
        </w:tc>
        <w:tc>
          <w:tcPr>
            <w:tcW w:w="7371" w:type="dxa"/>
            <w:vAlign w:val="center"/>
          </w:tcPr>
          <w:p>
            <w:pPr>
              <w:pStyle w:val="789"/>
              <w:numPr>
                <w:ilvl w:val="0"/>
                <w:numId w:val="1"/>
              </w:numPr>
              <w:spacing w:line="360" w:lineRule="auto"/>
              <w:ind w:firstLine="0" w:firstLineChars="0"/>
              <w:rPr>
                <w:rFonts w:hint="eastAsia" w:ascii="宋体" w:hAnsi="宋体" w:eastAsia="宋体" w:cs="宋体"/>
                <w:bCs/>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燃气双眼大锅灶</w:t>
            </w:r>
            <w:r>
              <w:rPr>
                <w:rFonts w:hint="eastAsia" w:ascii="宋体" w:hAnsi="宋体" w:eastAsia="宋体" w:cs="宋体"/>
                <w:bCs/>
                <w:kern w:val="2"/>
                <w:sz w:val="21"/>
                <w:szCs w:val="21"/>
                <w:lang w:val="en-US" w:eastAsia="zh-CN" w:bidi="ar-SA"/>
              </w:rPr>
              <w:t xml:space="preserve">   </w:t>
            </w:r>
            <w:r>
              <w:rPr>
                <w:rFonts w:hint="eastAsia" w:ascii="宋体" w:hAnsi="宋体" w:cs="宋体"/>
                <w:bCs/>
                <w:kern w:val="2"/>
                <w:sz w:val="21"/>
                <w:szCs w:val="21"/>
                <w:lang w:val="en-US" w:eastAsia="zh-CN" w:bidi="ar-SA"/>
              </w:rPr>
              <w:t xml:space="preserve"> </w:t>
            </w:r>
            <w:r>
              <w:rPr>
                <w:rFonts w:hint="eastAsia" w:ascii="宋体" w:hAnsi="宋体" w:eastAsia="宋体" w:cs="宋体"/>
                <w:bCs/>
                <w:kern w:val="2"/>
                <w:sz w:val="21"/>
                <w:szCs w:val="21"/>
                <w:lang w:val="en-US" w:eastAsia="zh-CN" w:bidi="ar-SA"/>
              </w:rPr>
              <w:t>规格：2000*1200*(800+300)mm</w:t>
            </w:r>
            <w:r>
              <w:rPr>
                <w:rFonts w:hint="eastAsia" w:ascii="宋体" w:hAnsi="宋体" w:cs="宋体"/>
                <w:bCs/>
                <w:kern w:val="2"/>
                <w:sz w:val="21"/>
                <w:szCs w:val="21"/>
                <w:lang w:val="en-US" w:eastAsia="zh-CN" w:bidi="ar-SA"/>
              </w:rPr>
              <w:t>；</w:t>
            </w:r>
            <w:r>
              <w:rPr>
                <w:rFonts w:hint="eastAsia" w:ascii="宋体" w:hAnsi="宋体" w:eastAsia="宋体" w:cs="宋体"/>
                <w:bCs/>
                <w:kern w:val="2"/>
                <w:sz w:val="21"/>
                <w:szCs w:val="21"/>
                <w:lang w:val="en-US" w:eastAsia="zh-CN" w:bidi="ar-SA"/>
              </w:rPr>
              <w:t xml:space="preserve">   一台    3分</w:t>
            </w:r>
          </w:p>
          <w:p>
            <w:pPr>
              <w:pStyle w:val="789"/>
              <w:numPr>
                <w:ilvl w:val="0"/>
                <w:numId w:val="1"/>
              </w:numPr>
              <w:spacing w:line="360" w:lineRule="auto"/>
              <w:ind w:firstLine="0" w:firstLineChars="0"/>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 xml:space="preserve">智能型双门蒸饭箱  </w:t>
            </w:r>
            <w:r>
              <w:rPr>
                <w:rFonts w:hint="eastAsia" w:ascii="宋体" w:hAnsi="宋体" w:cs="宋体"/>
                <w:bCs/>
                <w:kern w:val="2"/>
                <w:sz w:val="21"/>
                <w:szCs w:val="21"/>
                <w:lang w:val="en-US" w:eastAsia="zh-CN" w:bidi="ar-SA"/>
              </w:rPr>
              <w:t xml:space="preserve"> </w:t>
            </w:r>
            <w:r>
              <w:rPr>
                <w:rFonts w:hint="eastAsia" w:ascii="宋体" w:hAnsi="宋体" w:eastAsia="宋体" w:cs="宋体"/>
                <w:bCs/>
                <w:kern w:val="2"/>
                <w:sz w:val="21"/>
                <w:szCs w:val="21"/>
                <w:lang w:val="en-US" w:eastAsia="zh-CN" w:bidi="ar-SA"/>
              </w:rPr>
              <w:t>规格：30盘，150公斤；   一台   3分</w:t>
            </w:r>
          </w:p>
          <w:p>
            <w:pPr>
              <w:pStyle w:val="789"/>
              <w:numPr>
                <w:ilvl w:val="0"/>
                <w:numId w:val="1"/>
              </w:numPr>
              <w:spacing w:line="360" w:lineRule="auto"/>
              <w:ind w:firstLine="0" w:firstLineChars="0"/>
              <w:rPr>
                <w:rFonts w:hint="eastAsia" w:ascii="宋体" w:hAnsi="宋体" w:cs="宋体"/>
                <w:sz w:val="21"/>
                <w:szCs w:val="21"/>
                <w:lang w:eastAsia="zh-CN"/>
              </w:rPr>
            </w:pPr>
            <w:r>
              <w:rPr>
                <w:rFonts w:hint="eastAsia" w:ascii="宋体" w:hAnsi="宋体" w:eastAsia="宋体" w:cs="宋体"/>
                <w:i w:val="0"/>
                <w:iCs w:val="0"/>
                <w:color w:val="000000"/>
                <w:kern w:val="0"/>
                <w:sz w:val="22"/>
                <w:szCs w:val="22"/>
                <w:u w:val="none"/>
                <w:lang w:val="en-US" w:eastAsia="zh-CN" w:bidi="ar"/>
              </w:rPr>
              <w:t>单向移门调理台</w:t>
            </w:r>
            <w:r>
              <w:rPr>
                <w:rFonts w:hint="eastAsia" w:ascii="宋体" w:hAnsi="宋体" w:eastAsia="宋体" w:cs="宋体"/>
                <w:bCs/>
                <w:kern w:val="2"/>
                <w:sz w:val="21"/>
                <w:szCs w:val="21"/>
                <w:lang w:val="en-US" w:eastAsia="zh-CN" w:bidi="ar-SA"/>
              </w:rPr>
              <w:t xml:space="preserve">    规格：1800*700*800mm  </w:t>
            </w:r>
            <w:r>
              <w:rPr>
                <w:rFonts w:hint="eastAsia" w:ascii="宋体" w:hAnsi="宋体" w:cs="宋体"/>
                <w:bCs/>
                <w:kern w:val="2"/>
                <w:sz w:val="21"/>
                <w:szCs w:val="21"/>
                <w:lang w:val="en-US" w:eastAsia="zh-CN" w:bidi="ar-SA"/>
              </w:rPr>
              <w:t xml:space="preserve"> </w:t>
            </w:r>
            <w:r>
              <w:rPr>
                <w:rFonts w:hint="eastAsia" w:ascii="宋体" w:hAnsi="宋体" w:eastAsia="宋体" w:cs="宋体"/>
                <w:bCs/>
                <w:kern w:val="2"/>
                <w:sz w:val="21"/>
                <w:szCs w:val="21"/>
                <w:lang w:val="en-US" w:eastAsia="zh-CN" w:bidi="ar-SA"/>
              </w:rPr>
              <w:t>一台    3分</w:t>
            </w:r>
          </w:p>
        </w:tc>
      </w:tr>
    </w:tbl>
    <w:p>
      <w:pPr>
        <w:snapToGrid w:val="0"/>
        <w:spacing w:line="360" w:lineRule="auto"/>
        <w:rPr>
          <w:rFonts w:ascii="宋体" w:hAnsi="宋体" w:cs="宋体"/>
          <w:b/>
          <w:sz w:val="24"/>
        </w:rPr>
      </w:pPr>
      <w:bookmarkStart w:id="566" w:name="_GoBack"/>
      <w:bookmarkEnd w:id="566"/>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360" w:lineRule="auto"/>
        <w:rPr>
          <w:rFonts w:ascii="宋体" w:hAnsi="宋体" w:cs="宋体"/>
          <w:b/>
          <w:sz w:val="28"/>
          <w:szCs w:val="28"/>
        </w:rPr>
      </w:pPr>
      <w:r>
        <w:rPr>
          <w:rFonts w:hint="eastAsia" w:ascii="宋体" w:hAnsi="宋体" w:cs="宋体"/>
          <w:b/>
          <w:sz w:val="32"/>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4"/>
        </w:rPr>
      </w:pPr>
      <w:r>
        <w:rPr>
          <w:rFonts w:hint="eastAsia" w:ascii="宋体" w:hAnsi="宋体" w:cs="宋体"/>
          <w:b/>
          <w:sz w:val="32"/>
        </w:rPr>
        <w:t>二、评标标准</w:t>
      </w:r>
    </w:p>
    <w:p>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pPr>
        <w:spacing w:line="360" w:lineRule="auto"/>
        <w:outlineLvl w:val="0"/>
        <w:rPr>
          <w:rFonts w:ascii="宋体" w:hAnsi="宋体" w:cs="宋体"/>
          <w:b/>
          <w:sz w:val="36"/>
          <w:szCs w:val="36"/>
        </w:rPr>
      </w:pPr>
      <w:r>
        <w:rPr>
          <w:rFonts w:hint="eastAsia" w:ascii="宋体" w:hAnsi="宋体" w:cs="宋体"/>
          <w:b/>
          <w:sz w:val="36"/>
          <w:szCs w:val="36"/>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129"/>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29"/>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29"/>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29"/>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29"/>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29"/>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29"/>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pPr>
        <w:pStyle w:val="129"/>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pPr>
        <w:pStyle w:val="4"/>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26"/>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26"/>
        <w:snapToGrid w:val="0"/>
        <w:spacing w:line="360" w:lineRule="auto"/>
        <w:rPr>
          <w:rFonts w:cs="宋体"/>
        </w:rPr>
      </w:pPr>
      <w:r>
        <w:rPr>
          <w:rFonts w:hint="eastAsia" w:cs="宋体"/>
        </w:rPr>
        <w:t>5.1符合专业条件的供应商或者对招标文件作实质响应的供应商不足3家的；</w:t>
      </w:r>
    </w:p>
    <w:p>
      <w:pPr>
        <w:pStyle w:val="26"/>
        <w:snapToGrid w:val="0"/>
        <w:spacing w:line="360" w:lineRule="auto"/>
        <w:rPr>
          <w:rFonts w:cs="宋体"/>
        </w:rPr>
      </w:pPr>
      <w:r>
        <w:rPr>
          <w:rFonts w:hint="eastAsia" w:cs="宋体"/>
        </w:rPr>
        <w:t>5.2出现影响采购公正的违法、违规行为的；</w:t>
      </w:r>
    </w:p>
    <w:p>
      <w:pPr>
        <w:pStyle w:val="26"/>
        <w:snapToGrid w:val="0"/>
        <w:spacing w:line="360" w:lineRule="auto"/>
        <w:rPr>
          <w:rFonts w:cs="宋体"/>
        </w:rPr>
      </w:pPr>
      <w:r>
        <w:rPr>
          <w:rFonts w:hint="eastAsia" w:cs="宋体"/>
        </w:rPr>
        <w:t>5.3投标人的报价均超过了采购预算，采购人不能支付的；</w:t>
      </w:r>
    </w:p>
    <w:p>
      <w:pPr>
        <w:pStyle w:val="26"/>
        <w:snapToGrid w:val="0"/>
        <w:spacing w:line="360" w:lineRule="auto"/>
        <w:rPr>
          <w:rFonts w:cs="宋体"/>
        </w:rPr>
      </w:pPr>
      <w:r>
        <w:rPr>
          <w:rFonts w:hint="eastAsia" w:cs="宋体"/>
        </w:rPr>
        <w:t>5.4因重大变故，采购任务取消的。</w:t>
      </w:r>
    </w:p>
    <w:p>
      <w:pPr>
        <w:pStyle w:val="26"/>
        <w:snapToGrid w:val="0"/>
        <w:spacing w:line="360" w:lineRule="auto"/>
        <w:rPr>
          <w:rFonts w:cs="宋体"/>
        </w:rPr>
      </w:pPr>
      <w:r>
        <w:rPr>
          <w:rFonts w:hint="eastAsia" w:cs="宋体"/>
        </w:rPr>
        <w:t>废标后，采购机构应当将废标理由通知所有投标人。</w:t>
      </w:r>
    </w:p>
    <w:p>
      <w:pPr>
        <w:pStyle w:val="26"/>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6"/>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pPr>
        <w:pStyle w:val="26"/>
        <w:snapToGrid w:val="0"/>
        <w:spacing w:line="360" w:lineRule="auto"/>
        <w:rPr>
          <w:rFonts w:cs="宋体"/>
        </w:rPr>
      </w:pPr>
      <w:r>
        <w:rPr>
          <w:rFonts w:hint="eastAsia" w:cs="宋体"/>
        </w:rPr>
        <w:t>7.1未确定中标供应商的，终止本次政府采购活动，重新开展政府采购活动。</w:t>
      </w:r>
    </w:p>
    <w:p>
      <w:pPr>
        <w:pStyle w:val="26"/>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pPr>
        <w:pStyle w:val="26"/>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pPr>
        <w:pStyle w:val="26"/>
        <w:snapToGrid w:val="0"/>
        <w:spacing w:line="360" w:lineRule="auto"/>
        <w:rPr>
          <w:rFonts w:cs="宋体"/>
        </w:rPr>
      </w:pPr>
      <w:r>
        <w:rPr>
          <w:rFonts w:hint="eastAsia" w:cs="宋体"/>
        </w:rPr>
        <w:t>7.4政府采购合同已经履行，给采购人、供应商造成损失的，由责任人承担赔偿责任。</w:t>
      </w:r>
    </w:p>
    <w:p>
      <w:pPr>
        <w:pStyle w:val="26"/>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pPr>
        <w:pStyle w:val="26"/>
        <w:snapToGrid w:val="0"/>
        <w:spacing w:line="360" w:lineRule="auto"/>
        <w:ind w:firstLine="0" w:firstLineChars="0"/>
        <w:rPr>
          <w:rFonts w:cs="宋体"/>
        </w:rPr>
      </w:pPr>
    </w:p>
    <w:bookmarkEnd w:id="32"/>
    <w:p>
      <w:pPr>
        <w:spacing w:line="360" w:lineRule="auto"/>
        <w:ind w:left="720" w:leftChars="343" w:firstLine="1084" w:firstLineChars="300"/>
        <w:outlineLvl w:val="0"/>
        <w:rPr>
          <w:rFonts w:ascii="宋体" w:hAnsi="宋体" w:cs="宋体"/>
          <w:b/>
          <w:sz w:val="36"/>
          <w:szCs w:val="36"/>
        </w:rPr>
      </w:pPr>
      <w:bookmarkStart w:id="398" w:name="第五部分"/>
      <w:bookmarkStart w:id="399" w:name="_Toc86217003"/>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 xml:space="preserve">    </w:t>
      </w:r>
    </w:p>
    <w:p>
      <w:pPr>
        <w:spacing w:line="360" w:lineRule="auto"/>
        <w:ind w:left="720" w:leftChars="343" w:firstLine="1084" w:firstLineChars="300"/>
        <w:outlineLvl w:val="0"/>
        <w:rPr>
          <w:rFonts w:ascii="宋体" w:hAnsi="宋体" w:cs="宋体"/>
          <w:b/>
          <w:sz w:val="36"/>
          <w:szCs w:val="36"/>
        </w:rPr>
      </w:pPr>
    </w:p>
    <w:p>
      <w:pPr>
        <w:spacing w:line="360" w:lineRule="auto"/>
        <w:ind w:left="720" w:leftChars="343" w:firstLine="1084" w:firstLineChars="300"/>
        <w:outlineLvl w:val="0"/>
        <w:rPr>
          <w:rFonts w:ascii="宋体" w:hAnsi="宋体" w:cs="宋体"/>
          <w:b/>
          <w:sz w:val="36"/>
          <w:szCs w:val="36"/>
        </w:rPr>
      </w:pPr>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jc w:val="center"/>
        <w:rPr>
          <w:rFonts w:ascii="宋体" w:hAnsi="宋体" w:cs="宋体"/>
          <w:b/>
          <w:sz w:val="24"/>
        </w:rPr>
      </w:pPr>
    </w:p>
    <w:p>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pPr>
        <w:spacing w:line="480" w:lineRule="auto"/>
        <w:jc w:val="center"/>
        <w:rPr>
          <w:rFonts w:ascii="宋体" w:hAnsi="宋体" w:cs="宋体"/>
          <w:b/>
          <w:sz w:val="36"/>
          <w:szCs w:val="36"/>
        </w:rPr>
      </w:pPr>
      <w:r>
        <w:rPr>
          <w:rFonts w:hint="eastAsia" w:ascii="宋体" w:hAnsi="宋体" w:cs="宋体"/>
          <w:b/>
          <w:sz w:val="36"/>
          <w:szCs w:val="36"/>
        </w:rPr>
        <w:t>（货物类）</w:t>
      </w:r>
    </w:p>
    <w:p>
      <w:pPr>
        <w:pStyle w:val="700"/>
        <w:rPr>
          <w:rFonts w:ascii="宋体" w:hAnsi="宋体" w:cs="宋体"/>
          <w:szCs w:val="24"/>
        </w:rPr>
      </w:pPr>
    </w:p>
    <w:p>
      <w:pPr>
        <w:pStyle w:val="700"/>
        <w:rPr>
          <w:rFonts w:ascii="宋体" w:hAnsi="宋体" w:cs="宋体"/>
          <w:szCs w:val="24"/>
        </w:rPr>
      </w:pPr>
    </w:p>
    <w:p>
      <w:pPr>
        <w:pStyle w:val="700"/>
        <w:jc w:val="center"/>
        <w:rPr>
          <w:rFonts w:ascii="宋体" w:hAnsi="宋体" w:cs="宋体"/>
          <w:szCs w:val="24"/>
        </w:rPr>
      </w:pPr>
    </w:p>
    <w:p>
      <w:pPr>
        <w:pStyle w:val="700"/>
        <w:ind w:firstLine="2843" w:firstLineChars="1180"/>
        <w:rPr>
          <w:rFonts w:ascii="宋体" w:hAnsi="宋体" w:cs="宋体"/>
          <w:b/>
          <w:szCs w:val="24"/>
        </w:rPr>
      </w:pPr>
      <w:r>
        <w:rPr>
          <w:rFonts w:hint="eastAsia" w:ascii="宋体" w:hAnsi="宋体" w:cs="宋体"/>
          <w:b/>
          <w:szCs w:val="24"/>
        </w:rPr>
        <w:t>第一部分 合同书</w:t>
      </w:r>
    </w:p>
    <w:p>
      <w:pPr>
        <w:pStyle w:val="700"/>
        <w:rPr>
          <w:rFonts w:ascii="宋体" w:hAnsi="宋体" w:cs="宋体"/>
          <w:szCs w:val="24"/>
        </w:rPr>
      </w:pPr>
    </w:p>
    <w:p>
      <w:pPr>
        <w:pStyle w:val="700"/>
        <w:rPr>
          <w:rFonts w:ascii="宋体" w:hAnsi="宋体" w:cs="宋体"/>
          <w:szCs w:val="24"/>
        </w:rPr>
      </w:pPr>
    </w:p>
    <w:p>
      <w:pPr>
        <w:spacing w:before="120" w:line="22" w:lineRule="atLeast"/>
        <w:rPr>
          <w:rFonts w:ascii="宋体" w:hAnsi="宋体" w:cs="宋体"/>
          <w:sz w:val="24"/>
        </w:rPr>
      </w:pPr>
    </w:p>
    <w:p>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pStyle w:val="597"/>
        <w:spacing w:before="120" w:line="22" w:lineRule="atLeast"/>
        <w:rPr>
          <w:rFonts w:ascii="宋体" w:hAnsi="宋体" w:eastAsia="宋体" w:cs="宋体"/>
          <w:szCs w:val="24"/>
        </w:rPr>
      </w:pPr>
    </w:p>
    <w:p>
      <w:pPr>
        <w:pStyle w:val="597"/>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jc w:val="left"/>
        <w:rPr>
          <w:rFonts w:ascii="宋体" w:hAnsi="宋体" w:cs="宋体"/>
          <w:kern w:val="0"/>
          <w:sz w:val="24"/>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（采购人）   </w:t>
      </w:r>
      <w:r>
        <w:rPr>
          <w:rFonts w:hint="eastAsia" w:ascii="宋体" w:hAnsi="宋体" w:cs="宋体"/>
          <w:sz w:val="24"/>
        </w:rPr>
        <w:t>以</w:t>
      </w:r>
      <w:r>
        <w:rPr>
          <w:rFonts w:hint="eastAsia" w:ascii="宋体" w:hAnsi="宋体" w:cs="宋体"/>
          <w:sz w:val="24"/>
          <w:u w:val="single"/>
        </w:rPr>
        <w:t xml:space="preserve">   （政府采购方式）  </w:t>
      </w:r>
      <w:r>
        <w:rPr>
          <w:rFonts w:hint="eastAsia" w:ascii="宋体" w:hAnsi="宋体" w:cs="宋体"/>
          <w:sz w:val="24"/>
        </w:rPr>
        <w:t>对</w:t>
      </w:r>
      <w:r>
        <w:rPr>
          <w:rFonts w:hint="eastAsia" w:ascii="宋体" w:hAnsi="宋体" w:cs="宋体"/>
          <w:sz w:val="24"/>
          <w:u w:val="single"/>
        </w:rPr>
        <w:t xml:space="preserve">   （同前页项目名称）   </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（中标供应商名称）</w:t>
      </w:r>
      <w:r>
        <w:rPr>
          <w:rFonts w:hint="eastAsia" w:ascii="宋体" w:hAnsi="宋体" w:cs="宋体"/>
          <w:sz w:val="24"/>
        </w:rPr>
        <w:t>为该项目中标供应商。现于中标通知书发出之日起10个工作日内，按照采购文件确定的事项签订本合同。</w:t>
      </w:r>
    </w:p>
    <w:p>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（采购人）   </w:t>
      </w:r>
      <w:r>
        <w:rPr>
          <w:rFonts w:hint="eastAsia" w:ascii="宋体" w:hAnsi="宋体" w:cs="宋体"/>
          <w:sz w:val="24"/>
          <w:lang w:val="zh-CN"/>
        </w:rPr>
        <w:t>(以下简称：甲方)和</w:t>
      </w:r>
      <w:r>
        <w:rPr>
          <w:rFonts w:hint="eastAsia" w:ascii="宋体" w:hAnsi="宋体" w:cs="宋体"/>
          <w:sz w:val="24"/>
          <w:u w:val="single"/>
        </w:rPr>
        <w:t xml:space="preserve">   （中标供应商名称）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560" w:lineRule="exact"/>
        <w:ind w:firstLine="482" w:firstLineChars="200"/>
        <w:outlineLvl w:val="0"/>
        <w:rPr>
          <w:rFonts w:ascii="宋体" w:hAnsi="宋体" w:cs="宋体"/>
          <w:b/>
          <w:sz w:val="24"/>
        </w:rPr>
      </w:pPr>
      <w:bookmarkStart w:id="400" w:name="_Toc24059"/>
      <w:bookmarkStart w:id="401" w:name="_Toc2232"/>
      <w:bookmarkStart w:id="402" w:name="_Toc3029"/>
      <w:r>
        <w:rPr>
          <w:rFonts w:hint="eastAsia" w:ascii="宋体" w:hAnsi="宋体" w:cs="宋体"/>
          <w:b/>
          <w:sz w:val="24"/>
        </w:rPr>
        <w:t>1.1 合同组成部分</w:t>
      </w:r>
      <w:bookmarkEnd w:id="400"/>
      <w:bookmarkEnd w:id="401"/>
      <w:bookmarkEnd w:id="402"/>
    </w:p>
    <w:p>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pPr>
        <w:spacing w:line="560" w:lineRule="exact"/>
        <w:ind w:firstLine="480" w:firstLineChars="200"/>
        <w:rPr>
          <w:rFonts w:ascii="宋体" w:hAnsi="宋体" w:cs="宋体"/>
          <w:sz w:val="24"/>
        </w:rPr>
      </w:pPr>
      <w:r>
        <w:rPr>
          <w:rFonts w:hint="eastAsia" w:ascii="宋体" w:hAnsi="宋体" w:cs="宋体"/>
          <w:sz w:val="24"/>
        </w:rPr>
        <w:t>1.1.2 中标通知书；</w:t>
      </w:r>
    </w:p>
    <w:p>
      <w:pPr>
        <w:spacing w:line="560" w:lineRule="exact"/>
        <w:ind w:firstLine="480" w:firstLineChars="200"/>
        <w:rPr>
          <w:rFonts w:ascii="宋体" w:hAnsi="宋体" w:cs="宋体"/>
          <w:sz w:val="24"/>
        </w:rPr>
      </w:pPr>
      <w:r>
        <w:rPr>
          <w:rFonts w:hint="eastAsia" w:ascii="宋体" w:hAnsi="宋体" w:cs="宋体"/>
          <w:sz w:val="24"/>
        </w:rPr>
        <w:t>1.1.3 投标文件（含澄清或者说明文件）；</w:t>
      </w:r>
    </w:p>
    <w:p>
      <w:pPr>
        <w:spacing w:line="560" w:lineRule="exact"/>
        <w:ind w:firstLine="480" w:firstLineChars="200"/>
        <w:rPr>
          <w:rFonts w:ascii="宋体" w:hAnsi="宋体" w:cs="宋体"/>
          <w:sz w:val="24"/>
        </w:rPr>
      </w:pPr>
      <w:r>
        <w:rPr>
          <w:rFonts w:hint="eastAsia" w:ascii="宋体" w:hAnsi="宋体" w:cs="宋体"/>
          <w:sz w:val="24"/>
        </w:rPr>
        <w:t>1.1.4 招标文件（含澄清或者修改文件）；</w:t>
      </w:r>
    </w:p>
    <w:p>
      <w:pPr>
        <w:spacing w:line="560" w:lineRule="exact"/>
        <w:ind w:firstLine="480" w:firstLineChars="200"/>
        <w:rPr>
          <w:rFonts w:ascii="宋体" w:hAnsi="宋体" w:cs="宋体"/>
          <w:sz w:val="24"/>
        </w:rPr>
      </w:pPr>
      <w:r>
        <w:rPr>
          <w:rFonts w:hint="eastAsia" w:ascii="宋体" w:hAnsi="宋体" w:cs="宋体"/>
          <w:sz w:val="24"/>
        </w:rPr>
        <w:t>1.1.5 其他相关采购文件。</w:t>
      </w:r>
    </w:p>
    <w:p>
      <w:pPr>
        <w:spacing w:line="560" w:lineRule="exact"/>
        <w:ind w:firstLine="482" w:firstLineChars="200"/>
        <w:outlineLvl w:val="0"/>
        <w:rPr>
          <w:rFonts w:ascii="宋体" w:hAnsi="宋体" w:cs="宋体"/>
          <w:b/>
          <w:sz w:val="24"/>
        </w:rPr>
      </w:pPr>
      <w:bookmarkStart w:id="403" w:name="_Toc24300"/>
      <w:bookmarkStart w:id="404" w:name="_Toc27126"/>
      <w:bookmarkStart w:id="405" w:name="_Toc21295"/>
      <w:r>
        <w:rPr>
          <w:rFonts w:hint="eastAsia" w:ascii="宋体" w:hAnsi="宋体" w:cs="宋体"/>
          <w:b/>
          <w:sz w:val="24"/>
        </w:rPr>
        <w:t>1.2 货物</w:t>
      </w:r>
      <w:bookmarkEnd w:id="403"/>
      <w:bookmarkEnd w:id="404"/>
      <w:bookmarkEnd w:id="405"/>
    </w:p>
    <w:p>
      <w:pPr>
        <w:spacing w:line="560" w:lineRule="exact"/>
        <w:ind w:firstLine="480" w:firstLineChars="200"/>
        <w:rPr>
          <w:rFonts w:ascii="宋体" w:hAnsi="宋体" w:cs="宋体"/>
          <w:sz w:val="24"/>
          <w:u w:val="single"/>
        </w:rPr>
      </w:pPr>
      <w:r>
        <w:rPr>
          <w:rFonts w:hint="eastAsia" w:ascii="宋体" w:hAnsi="宋体" w:cs="宋体"/>
          <w:sz w:val="24"/>
        </w:rPr>
        <w:t>1.2.1 货物名称：</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1.2.3 货物质量：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06" w:name="_Toc23292"/>
      <w:bookmarkStart w:id="407" w:name="_Toc21631"/>
      <w:bookmarkStart w:id="408" w:name="_Toc21551"/>
      <w:r>
        <w:rPr>
          <w:rFonts w:hint="eastAsia" w:ascii="宋体" w:hAnsi="宋体" w:cs="宋体"/>
          <w:b/>
          <w:sz w:val="24"/>
        </w:rPr>
        <w:t>1.3 价款</w:t>
      </w:r>
      <w:bookmarkEnd w:id="406"/>
      <w:bookmarkEnd w:id="407"/>
      <w:bookmarkEnd w:id="408"/>
    </w:p>
    <w:p>
      <w:pPr>
        <w:spacing w:line="560" w:lineRule="exact"/>
        <w:ind w:firstLine="480" w:firstLineChars="200"/>
        <w:rPr>
          <w:rFonts w:ascii="宋体" w:hAnsi="宋体" w:cs="宋体"/>
          <w:sz w:val="24"/>
        </w:rPr>
      </w:pPr>
      <w:r>
        <w:rPr>
          <w:rFonts w:hint="eastAsia" w:ascii="宋体" w:hAnsi="宋体" w:cs="宋体"/>
          <w:sz w:val="24"/>
        </w:rPr>
        <w:t>本合同总价为：￥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Ansi="宋体" w:cs="宋体"/>
                <w:sz w:val="24"/>
                <w:szCs w:val="24"/>
              </w:rPr>
            </w:pPr>
            <w:r>
              <w:rPr>
                <w:rFonts w:hint="eastAsia" w:hAnsi="宋体" w:cs="宋体"/>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sz w:val="24"/>
                <w:szCs w:val="24"/>
              </w:rPr>
            </w:pPr>
          </w:p>
        </w:tc>
      </w:tr>
    </w:tbl>
    <w:p>
      <w:pPr>
        <w:spacing w:line="560" w:lineRule="exact"/>
        <w:ind w:firstLine="482" w:firstLineChars="200"/>
        <w:outlineLvl w:val="0"/>
        <w:rPr>
          <w:rFonts w:ascii="宋体" w:hAnsi="宋体" w:cs="宋体"/>
          <w:b/>
          <w:sz w:val="24"/>
        </w:rPr>
      </w:pPr>
      <w:bookmarkStart w:id="409" w:name="_Toc1814"/>
      <w:bookmarkStart w:id="410" w:name="_Toc22618"/>
      <w:bookmarkStart w:id="411" w:name="_Toc10340"/>
      <w:r>
        <w:rPr>
          <w:rFonts w:hint="eastAsia" w:ascii="宋体" w:hAnsi="宋体" w:cs="宋体"/>
          <w:b/>
          <w:sz w:val="24"/>
        </w:rPr>
        <w:t>1.4 付款</w:t>
      </w:r>
      <w:bookmarkEnd w:id="409"/>
      <w:bookmarkEnd w:id="410"/>
      <w:bookmarkEnd w:id="411"/>
      <w:r>
        <w:rPr>
          <w:rFonts w:hint="eastAsia" w:ascii="宋体" w:hAnsi="宋体" w:cs="宋体"/>
          <w:b/>
          <w:sz w:val="24"/>
        </w:rPr>
        <w:t>方式、时间和条件</w:t>
      </w:r>
    </w:p>
    <w:p>
      <w:pPr>
        <w:pStyle w:val="958"/>
        <w:spacing w:before="0" w:beforeAutospacing="0" w:after="0" w:afterAutospacing="0" w:line="360" w:lineRule="auto"/>
        <w:ind w:firstLine="480"/>
      </w:pPr>
      <w:r>
        <w:rPr>
          <w:rFonts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宋体" w:hAnsi="宋体" w:cs="宋体"/>
          <w:sz w:val="24"/>
        </w:rPr>
      </w:pPr>
      <w:r>
        <w:rPr>
          <w:rFonts w:hint="eastAsia" w:ascii="宋体" w:hAnsi="宋体" w:cs="宋体"/>
          <w:sz w:val="24"/>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宋体" w:hAnsi="宋体" w:cs="宋体"/>
          <w:sz w:val="24"/>
        </w:rPr>
      </w:pPr>
      <w:r>
        <w:rPr>
          <w:rFonts w:hint="eastAsia" w:ascii="宋体" w:hAnsi="宋体" w:cs="宋体"/>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ascii="宋体" w:hAnsi="宋体" w:cs="宋体"/>
          <w:sz w:val="24"/>
        </w:rPr>
      </w:pPr>
      <w:r>
        <w:rPr>
          <w:rFonts w:hint="eastAsia" w:ascii="宋体" w:hAnsi="宋体" w:cs="宋体"/>
          <w:sz w:val="24"/>
        </w:rPr>
        <w:t>1.4.4资金支付的方式、时间和条件详见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outlineLvl w:val="0"/>
        <w:rPr>
          <w:rFonts w:ascii="宋体" w:hAnsi="宋体" w:cs="宋体"/>
          <w:sz w:val="24"/>
        </w:rPr>
      </w:pPr>
      <w:r>
        <w:rPr>
          <w:rFonts w:hint="eastAsia" w:ascii="宋体" w:hAnsi="宋体" w:cs="宋体"/>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560" w:lineRule="exact"/>
        <w:ind w:firstLine="482" w:firstLineChars="200"/>
        <w:outlineLvl w:val="0"/>
        <w:rPr>
          <w:rFonts w:ascii="宋体" w:hAnsi="宋体" w:cs="宋体"/>
          <w:b/>
          <w:sz w:val="24"/>
        </w:rPr>
      </w:pPr>
      <w:bookmarkStart w:id="412" w:name="_Toc19304"/>
      <w:bookmarkStart w:id="413" w:name="_Toc32071"/>
      <w:bookmarkStart w:id="414" w:name="_Toc2846"/>
      <w:r>
        <w:rPr>
          <w:rFonts w:hint="eastAsia" w:ascii="宋体" w:hAnsi="宋体" w:cs="宋体"/>
          <w:b/>
          <w:sz w:val="24"/>
        </w:rPr>
        <w:t>1.5 货物交付期限、地点和方式</w:t>
      </w:r>
      <w:bookmarkEnd w:id="412"/>
      <w:bookmarkEnd w:id="413"/>
      <w:bookmarkEnd w:id="414"/>
    </w:p>
    <w:p>
      <w:pPr>
        <w:spacing w:line="560" w:lineRule="exact"/>
        <w:ind w:firstLine="480" w:firstLineChars="200"/>
        <w:rPr>
          <w:rFonts w:ascii="宋体" w:hAnsi="宋体" w:cs="宋体"/>
          <w:sz w:val="24"/>
          <w:u w:val="single"/>
        </w:rPr>
      </w:pPr>
      <w:r>
        <w:rPr>
          <w:rFonts w:hint="eastAsia" w:ascii="宋体" w:hAnsi="宋体" w:cs="宋体"/>
          <w:sz w:val="24"/>
        </w:rPr>
        <w:t>1.5.1 交付期限：详见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15" w:name="_Toc27250"/>
      <w:bookmarkStart w:id="416" w:name="_Toc19554"/>
      <w:bookmarkStart w:id="417" w:name="_Toc21423"/>
      <w:r>
        <w:rPr>
          <w:rFonts w:hint="eastAsia" w:ascii="宋体" w:hAnsi="宋体" w:cs="宋体"/>
          <w:b/>
          <w:sz w:val="24"/>
        </w:rPr>
        <w:t>1.6 违约责任</w:t>
      </w:r>
      <w:bookmarkEnd w:id="415"/>
      <w:bookmarkEnd w:id="416"/>
      <w:bookmarkEnd w:id="417"/>
    </w:p>
    <w:p>
      <w:pPr>
        <w:spacing w:line="560" w:lineRule="exact"/>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sz w:val="24"/>
        </w:rPr>
      </w:pPr>
      <w:r>
        <w:rPr>
          <w:rFonts w:hint="eastAsia" w:ascii="宋体" w:hAnsi="宋体" w:cs="宋体"/>
          <w:sz w:val="24"/>
        </w:rPr>
        <w:t>1.6.2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sz w:val="24"/>
        </w:rPr>
      </w:pPr>
      <w:r>
        <w:rPr>
          <w:rFonts w:hint="eastAsia" w:ascii="宋体" w:hAnsi="宋体" w:cs="宋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宋体" w:hAnsi="宋体" w:cs="宋体"/>
        </w:rPr>
      </w:pPr>
      <w:r>
        <w:rPr>
          <w:rFonts w:hint="eastAsia" w:ascii="宋体" w:hAnsi="宋体" w:cs="宋体"/>
          <w:sz w:val="24"/>
        </w:rPr>
        <w:t>1.6.7违约责任</w:t>
      </w:r>
      <w:r>
        <w:rPr>
          <w:rFonts w:hint="eastAsia" w:ascii="宋体" w:hAnsi="宋体" w:cs="宋体"/>
          <w:b/>
          <w:i/>
          <w:sz w:val="24"/>
          <w:u w:val="single"/>
        </w:rPr>
        <w:t>合同专用条款</w:t>
      </w:r>
      <w:r>
        <w:rPr>
          <w:rFonts w:hint="eastAsia" w:ascii="宋体" w:hAnsi="宋体" w:cs="宋体"/>
          <w:sz w:val="24"/>
        </w:rPr>
        <w:t>另有约定的，从其约定。</w:t>
      </w:r>
    </w:p>
    <w:p>
      <w:pPr>
        <w:spacing w:line="560" w:lineRule="exact"/>
        <w:ind w:firstLine="482" w:firstLineChars="200"/>
        <w:outlineLvl w:val="0"/>
        <w:rPr>
          <w:rFonts w:ascii="宋体" w:hAnsi="宋体" w:cs="宋体"/>
          <w:b/>
          <w:sz w:val="24"/>
        </w:rPr>
      </w:pPr>
      <w:bookmarkStart w:id="418" w:name="_Toc28375"/>
      <w:bookmarkStart w:id="419" w:name="_Toc15583"/>
      <w:bookmarkStart w:id="420" w:name="_Toc16021"/>
      <w:r>
        <w:rPr>
          <w:rFonts w:hint="eastAsia" w:ascii="宋体" w:hAnsi="宋体" w:cs="宋体"/>
          <w:b/>
          <w:sz w:val="24"/>
        </w:rPr>
        <w:t>1.7 合同争议的解决</w:t>
      </w:r>
      <w:bookmarkEnd w:id="418"/>
      <w:bookmarkEnd w:id="419"/>
      <w:bookmarkEnd w:id="420"/>
    </w:p>
    <w:p>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合同专用条款  </w:t>
      </w:r>
      <w:r>
        <w:rPr>
          <w:rFonts w:hint="eastAsia" w:ascii="宋体" w:hAnsi="宋体" w:cs="宋体"/>
          <w:sz w:val="24"/>
        </w:rPr>
        <w:t>条款规定的方式解决：</w:t>
      </w:r>
    </w:p>
    <w:p>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1.7.1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1.7.2 向</w:t>
      </w:r>
      <w:r>
        <w:rPr>
          <w:rFonts w:hint="eastAsia" w:ascii="宋体" w:hAnsi="宋体" w:cs="宋体"/>
          <w:b/>
          <w:i/>
          <w:sz w:val="24"/>
          <w:u w:val="single"/>
        </w:rPr>
        <w:t>合同专用条款</w:t>
      </w:r>
      <w:r>
        <w:rPr>
          <w:rFonts w:hint="eastAsia" w:ascii="宋体" w:hAnsi="宋体" w:cs="宋体"/>
          <w:sz w:val="24"/>
        </w:rPr>
        <w:t>人民法院起诉。</w:t>
      </w:r>
    </w:p>
    <w:p>
      <w:pPr>
        <w:spacing w:line="560" w:lineRule="exact"/>
        <w:ind w:firstLine="482" w:firstLineChars="200"/>
        <w:outlineLvl w:val="0"/>
        <w:rPr>
          <w:rFonts w:ascii="宋体" w:hAnsi="宋体" w:cs="宋体"/>
          <w:b/>
          <w:sz w:val="24"/>
        </w:rPr>
      </w:pPr>
      <w:bookmarkStart w:id="421" w:name="_Toc11173"/>
      <w:bookmarkStart w:id="422" w:name="_Toc7245"/>
      <w:bookmarkStart w:id="423" w:name="_Toc15322"/>
      <w:r>
        <w:rPr>
          <w:rFonts w:hint="eastAsia" w:ascii="宋体" w:hAnsi="宋体" w:cs="宋体"/>
          <w:b/>
          <w:sz w:val="24"/>
        </w:rPr>
        <w:t>1.8 合同生效</w:t>
      </w:r>
      <w:bookmarkEnd w:id="421"/>
      <w:bookmarkEnd w:id="422"/>
      <w:bookmarkEnd w:id="423"/>
    </w:p>
    <w:p>
      <w:pPr>
        <w:spacing w:line="560" w:lineRule="exact"/>
        <w:ind w:firstLine="480" w:firstLineChars="200"/>
        <w:rPr>
          <w:rFonts w:ascii="宋体" w:hAnsi="宋体" w:cs="宋体"/>
          <w:b/>
          <w:sz w:val="24"/>
        </w:rPr>
      </w:pPr>
      <w:r>
        <w:rPr>
          <w:rFonts w:hint="eastAsia" w:ascii="宋体" w:hAnsi="宋体" w:cs="宋体"/>
          <w:sz w:val="24"/>
        </w:rPr>
        <w:t>本合同自双方当事人盖章或者签字时生效。</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pPr>
        <w:autoSpaceDE w:val="0"/>
        <w:autoSpaceDN w:val="0"/>
        <w:spacing w:line="560" w:lineRule="exact"/>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pPr>
        <w:widowControl/>
        <w:spacing w:line="560" w:lineRule="exact"/>
        <w:jc w:val="left"/>
        <w:rPr>
          <w:rFonts w:ascii="宋体" w:hAnsi="宋体" w:cs="宋体"/>
          <w:b/>
          <w:sz w:val="24"/>
        </w:rPr>
      </w:pPr>
      <w:bookmarkStart w:id="424" w:name="_Toc331685783"/>
    </w:p>
    <w:p>
      <w:pPr>
        <w:pStyle w:val="700"/>
        <w:spacing w:line="560" w:lineRule="exact"/>
        <w:ind w:firstLine="482"/>
        <w:jc w:val="center"/>
        <w:rPr>
          <w:rFonts w:ascii="宋体" w:hAnsi="宋体" w:cs="宋体"/>
          <w:b/>
          <w:szCs w:val="24"/>
        </w:rPr>
      </w:pPr>
      <w:r>
        <w:rPr>
          <w:rFonts w:hint="eastAsia" w:ascii="宋体" w:hAnsi="宋体" w:cs="宋体"/>
          <w:b/>
          <w:szCs w:val="24"/>
        </w:rPr>
        <w:t>第二部分 合同一般条款</w:t>
      </w:r>
      <w:bookmarkEnd w:id="424"/>
    </w:p>
    <w:p>
      <w:pPr>
        <w:spacing w:line="560" w:lineRule="exact"/>
        <w:ind w:firstLine="482" w:firstLineChars="200"/>
        <w:outlineLvl w:val="0"/>
        <w:rPr>
          <w:rFonts w:ascii="宋体" w:hAnsi="宋体" w:cs="宋体"/>
          <w:b/>
          <w:sz w:val="24"/>
        </w:rPr>
      </w:pPr>
      <w:bookmarkStart w:id="425" w:name="_Ref467379225"/>
      <w:bookmarkStart w:id="426" w:name="_Ref467379094"/>
      <w:bookmarkStart w:id="427" w:name="_Ref467378499"/>
      <w:bookmarkStart w:id="428" w:name="_Ref467379195"/>
      <w:bookmarkStart w:id="429" w:name="_Toc487900349"/>
      <w:bookmarkStart w:id="430" w:name="_Ref467379214"/>
      <w:bookmarkStart w:id="431" w:name="_Ref467379109"/>
      <w:bookmarkStart w:id="432" w:name="_Ref467378463"/>
      <w:bookmarkStart w:id="433" w:name="_Ref467379101"/>
      <w:bookmarkStart w:id="434" w:name="_Toc19614"/>
      <w:bookmarkStart w:id="435" w:name="_Toc279701240"/>
      <w:bookmarkStart w:id="436" w:name="_Toc28763"/>
      <w:bookmarkStart w:id="437" w:name="_Ref467378404"/>
      <w:bookmarkStart w:id="438" w:name="_Ref467379205"/>
      <w:bookmarkStart w:id="439" w:name="_Toc16917"/>
      <w:bookmarkStart w:id="440" w:name="_Toc259093669"/>
      <w:r>
        <w:rPr>
          <w:rFonts w:hint="eastAsia" w:ascii="宋体" w:hAnsi="宋体" w:cs="宋体"/>
          <w:b/>
          <w:sz w:val="24"/>
        </w:rPr>
        <w:t>2.1 定义</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560" w:lineRule="exact"/>
        <w:ind w:firstLine="480" w:firstLineChars="200"/>
        <w:rPr>
          <w:rFonts w:ascii="宋体" w:hAnsi="宋体" w:cs="宋体"/>
          <w:sz w:val="24"/>
        </w:rPr>
      </w:pPr>
      <w:r>
        <w:rPr>
          <w:rFonts w:hint="eastAsia" w:ascii="宋体" w:hAnsi="宋体" w:cs="宋体"/>
          <w:sz w:val="24"/>
        </w:rPr>
        <w:t>2.1.1 “合同”系指采购人和中标供应商签订的载明双方当事人所达成的协议，并包括所有的附件、附录和构成合同的其他文件。</w:t>
      </w:r>
    </w:p>
    <w:p>
      <w:pPr>
        <w:spacing w:line="560" w:lineRule="exact"/>
        <w:ind w:firstLine="480" w:firstLineChars="200"/>
        <w:rPr>
          <w:rFonts w:ascii="宋体" w:hAnsi="宋体" w:cs="宋体"/>
          <w:sz w:val="24"/>
        </w:rPr>
      </w:pPr>
      <w:r>
        <w:rPr>
          <w:rFonts w:hint="eastAsia" w:ascii="宋体" w:hAnsi="宋体" w:cs="宋体"/>
          <w:sz w:val="24"/>
        </w:rPr>
        <w:t>2.1.2 “合同价”系指根据合同约定，中标供应商在完全履行合同义务后，采购人应支付给中标供应商的价格。</w:t>
      </w:r>
    </w:p>
    <w:p>
      <w:pPr>
        <w:spacing w:line="560" w:lineRule="exact"/>
        <w:ind w:firstLine="480" w:firstLineChars="200"/>
        <w:rPr>
          <w:rFonts w:ascii="宋体" w:hAnsi="宋体" w:cs="宋体"/>
          <w:sz w:val="24"/>
        </w:rPr>
      </w:pPr>
      <w:r>
        <w:rPr>
          <w:rFonts w:hint="eastAsia" w:ascii="宋体" w:hAnsi="宋体" w:cs="宋体"/>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sz w:val="24"/>
        </w:rPr>
      </w:pPr>
      <w:bookmarkStart w:id="441" w:name="_Ref467378840"/>
      <w:r>
        <w:rPr>
          <w:rFonts w:hint="eastAsia" w:ascii="宋体" w:hAnsi="宋体" w:cs="宋体"/>
          <w:sz w:val="24"/>
        </w:rPr>
        <w:t>2.1.4 “甲方”系指与中标供应商签署合同的采购人</w:t>
      </w:r>
      <w:bookmarkEnd w:id="441"/>
      <w:r>
        <w:rPr>
          <w:rFonts w:hint="eastAsia" w:ascii="宋体" w:hAnsi="宋体" w:cs="宋体"/>
          <w:sz w:val="24"/>
        </w:rPr>
        <w:t>；采购人委托采购代理机构代表其与乙方签订合同的，采购人的授权委托书作为合同附件。</w:t>
      </w:r>
    </w:p>
    <w:p>
      <w:pPr>
        <w:spacing w:line="560" w:lineRule="exact"/>
        <w:ind w:firstLine="480" w:firstLineChars="200"/>
        <w:rPr>
          <w:rFonts w:ascii="宋体" w:hAnsi="宋体" w:cs="宋体"/>
          <w:sz w:val="24"/>
        </w:rPr>
      </w:pPr>
      <w:bookmarkStart w:id="442" w:name="_Ref467379400"/>
      <w:r>
        <w:rPr>
          <w:rFonts w:hint="eastAsia" w:ascii="宋体" w:hAnsi="宋体" w:cs="宋体"/>
          <w:sz w:val="24"/>
        </w:rPr>
        <w:t>2.1.5 “乙方”系指根据合同约定交付货物的中标供应商</w:t>
      </w:r>
      <w:bookmarkEnd w:id="442"/>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sz w:val="24"/>
        </w:rPr>
      </w:pPr>
      <w:bookmarkStart w:id="443" w:name="_Ref467379436"/>
      <w:r>
        <w:rPr>
          <w:rFonts w:hint="eastAsia" w:ascii="宋体" w:hAnsi="宋体" w:cs="宋体"/>
          <w:sz w:val="24"/>
        </w:rPr>
        <w:t>2.1.6 “现场”系指合同约定货物将要运至或者安装的地点。</w:t>
      </w:r>
      <w:bookmarkEnd w:id="443"/>
    </w:p>
    <w:p>
      <w:pPr>
        <w:spacing w:line="560" w:lineRule="exact"/>
        <w:ind w:firstLine="482" w:firstLineChars="200"/>
        <w:outlineLvl w:val="0"/>
        <w:rPr>
          <w:rFonts w:ascii="宋体" w:hAnsi="宋体" w:cs="宋体"/>
          <w:b/>
          <w:sz w:val="24"/>
        </w:rPr>
      </w:pPr>
      <w:bookmarkStart w:id="444" w:name="_Toc27635"/>
      <w:bookmarkStart w:id="445" w:name="_Toc32504"/>
      <w:bookmarkStart w:id="446" w:name="_Toc279701241"/>
      <w:bookmarkStart w:id="447" w:name="_Toc487900350"/>
      <w:bookmarkStart w:id="448" w:name="_Toc13336"/>
      <w:bookmarkStart w:id="449" w:name="_Toc259093670"/>
      <w:r>
        <w:rPr>
          <w:rFonts w:hint="eastAsia" w:ascii="宋体" w:hAnsi="宋体" w:cs="宋体"/>
          <w:b/>
          <w:sz w:val="24"/>
        </w:rPr>
        <w:t>2.2 技术规范</w:t>
      </w:r>
      <w:bookmarkEnd w:id="444"/>
      <w:bookmarkEnd w:id="445"/>
      <w:bookmarkEnd w:id="446"/>
      <w:bookmarkEnd w:id="447"/>
      <w:bookmarkEnd w:id="448"/>
      <w:bookmarkEnd w:id="449"/>
    </w:p>
    <w:p>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sz w:val="24"/>
        </w:rPr>
      </w:pPr>
      <w:bookmarkStart w:id="450" w:name="_Toc259093671"/>
      <w:bookmarkStart w:id="451" w:name="_Toc487900351"/>
      <w:bookmarkStart w:id="452" w:name="_Toc27853"/>
      <w:bookmarkStart w:id="453" w:name="_Toc9829"/>
      <w:bookmarkStart w:id="454" w:name="_Toc279701242"/>
      <w:bookmarkStart w:id="455" w:name="_Toc31634"/>
      <w:r>
        <w:rPr>
          <w:rFonts w:hint="eastAsia" w:ascii="宋体" w:hAnsi="宋体" w:cs="宋体"/>
          <w:b/>
          <w:sz w:val="24"/>
        </w:rPr>
        <w:t>2.3 知识产权</w:t>
      </w:r>
      <w:bookmarkEnd w:id="450"/>
      <w:bookmarkEnd w:id="451"/>
      <w:bookmarkEnd w:id="452"/>
      <w:bookmarkEnd w:id="453"/>
      <w:bookmarkEnd w:id="454"/>
      <w:bookmarkEnd w:id="455"/>
    </w:p>
    <w:p>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56" w:name="_Toc11932"/>
      <w:bookmarkStart w:id="457" w:name="_Toc4194"/>
      <w:bookmarkStart w:id="458" w:name="_Toc29149"/>
      <w:r>
        <w:rPr>
          <w:rFonts w:hint="eastAsia" w:ascii="宋体" w:hAnsi="宋体" w:cs="宋体"/>
          <w:b/>
          <w:sz w:val="24"/>
        </w:rPr>
        <w:t>2.4 包装和装运</w:t>
      </w:r>
      <w:bookmarkEnd w:id="456"/>
      <w:bookmarkEnd w:id="457"/>
      <w:bookmarkEnd w:id="458"/>
    </w:p>
    <w:p>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sz w:val="24"/>
        </w:rPr>
      </w:pPr>
      <w:r>
        <w:rPr>
          <w:rFonts w:hint="eastAsia" w:ascii="宋体" w:hAnsi="宋体" w:cs="宋体"/>
          <w:sz w:val="24"/>
        </w:rPr>
        <w:t>2.4.2 装运货物的要求和通知，详见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59" w:name="_Ref467379542"/>
      <w:bookmarkStart w:id="460" w:name="_Toc487900354"/>
      <w:bookmarkStart w:id="461" w:name="_Ref467379527"/>
      <w:bookmarkStart w:id="462" w:name="_Toc279701245"/>
      <w:bookmarkStart w:id="463" w:name="_Toc259093674"/>
      <w:bookmarkStart w:id="464" w:name="_Ref467378591"/>
      <w:bookmarkStart w:id="465" w:name="_Ref467378541"/>
      <w:bookmarkStart w:id="466" w:name="_Ref467379536"/>
      <w:bookmarkStart w:id="467" w:name="_Toc30272"/>
      <w:bookmarkStart w:id="468" w:name="_Toc19074"/>
      <w:bookmarkStart w:id="469" w:name="_Toc26182"/>
      <w:r>
        <w:rPr>
          <w:rFonts w:hint="eastAsia" w:ascii="宋体" w:hAnsi="宋体" w:cs="宋体"/>
          <w:b/>
          <w:sz w:val="24"/>
        </w:rPr>
        <w:t>2.</w:t>
      </w:r>
      <w:bookmarkEnd w:id="459"/>
      <w:bookmarkEnd w:id="460"/>
      <w:bookmarkEnd w:id="461"/>
      <w:bookmarkEnd w:id="462"/>
      <w:bookmarkEnd w:id="463"/>
      <w:bookmarkEnd w:id="464"/>
      <w:bookmarkEnd w:id="465"/>
      <w:bookmarkEnd w:id="466"/>
      <w:r>
        <w:rPr>
          <w:rFonts w:hint="eastAsia" w:ascii="宋体" w:hAnsi="宋体" w:cs="宋体"/>
          <w:b/>
          <w:sz w:val="24"/>
        </w:rPr>
        <w:t>5 履约检查和问题反馈</w:t>
      </w:r>
      <w:bookmarkEnd w:id="467"/>
      <w:bookmarkEnd w:id="468"/>
      <w:bookmarkEnd w:id="469"/>
    </w:p>
    <w:p>
      <w:pPr>
        <w:spacing w:line="560" w:lineRule="exact"/>
        <w:ind w:firstLine="480" w:firstLineChars="200"/>
        <w:rPr>
          <w:rFonts w:ascii="宋体" w:hAnsi="宋体" w:cs="宋体"/>
          <w:sz w:val="24"/>
        </w:rPr>
      </w:pPr>
      <w:bookmarkStart w:id="470" w:name="_Ref467379657"/>
      <w:r>
        <w:rPr>
          <w:rFonts w:hint="eastAsia" w:ascii="宋体" w:hAnsi="宋体" w:cs="宋体"/>
          <w:sz w:val="24"/>
        </w:rPr>
        <w:t>2.5.1</w:t>
      </w:r>
      <w:bookmarkEnd w:id="470"/>
      <w:bookmarkStart w:id="471" w:name="_Toc186431854"/>
      <w:bookmarkStart w:id="472" w:name="_Toc259093676"/>
      <w:bookmarkStart w:id="473" w:name="_Toc279701247"/>
      <w:bookmarkStart w:id="474" w:name="_Toc487900357"/>
      <w:bookmarkStart w:id="475" w:name="_Ref467379807"/>
      <w:bookmarkStart w:id="476" w:name="_Ref467379793"/>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471"/>
      <w:bookmarkStart w:id="477" w:name="_Toc186431855"/>
      <w:r>
        <w:rPr>
          <w:rFonts w:hint="eastAsia" w:ascii="宋体" w:hAnsi="宋体" w:cs="宋体"/>
          <w:sz w:val="24"/>
        </w:rPr>
        <w:t>。</w:t>
      </w:r>
    </w:p>
    <w:bookmarkEnd w:id="472"/>
    <w:bookmarkEnd w:id="473"/>
    <w:bookmarkEnd w:id="474"/>
    <w:bookmarkEnd w:id="475"/>
    <w:bookmarkEnd w:id="476"/>
    <w:bookmarkEnd w:id="477"/>
    <w:p>
      <w:pPr>
        <w:spacing w:line="560" w:lineRule="exact"/>
        <w:ind w:firstLine="482" w:firstLineChars="200"/>
        <w:outlineLvl w:val="0"/>
        <w:rPr>
          <w:rFonts w:ascii="宋体" w:hAnsi="宋体" w:cs="宋体"/>
          <w:b/>
          <w:sz w:val="24"/>
        </w:rPr>
      </w:pPr>
      <w:bookmarkStart w:id="478" w:name="_Ref467379852"/>
      <w:bookmarkStart w:id="479" w:name="_Toc259093677"/>
      <w:bookmarkStart w:id="480" w:name="_Toc279701248"/>
      <w:bookmarkStart w:id="481" w:name="_Toc487900358"/>
      <w:bookmarkStart w:id="482" w:name="_Ref467379923"/>
      <w:bookmarkStart w:id="483" w:name="_Ref467379863"/>
      <w:bookmarkStart w:id="484" w:name="_Toc774"/>
      <w:bookmarkStart w:id="485" w:name="_Toc3225"/>
      <w:bookmarkStart w:id="486" w:name="_Toc16110"/>
      <w:r>
        <w:rPr>
          <w:rFonts w:hint="eastAsia" w:ascii="宋体" w:hAnsi="宋体" w:cs="宋体"/>
          <w:b/>
          <w:sz w:val="24"/>
        </w:rPr>
        <w:t>2.6 技术资料</w:t>
      </w:r>
      <w:bookmarkEnd w:id="478"/>
      <w:bookmarkEnd w:id="479"/>
      <w:bookmarkEnd w:id="480"/>
      <w:bookmarkEnd w:id="481"/>
      <w:bookmarkEnd w:id="482"/>
      <w:bookmarkEnd w:id="483"/>
      <w:r>
        <w:rPr>
          <w:rFonts w:hint="eastAsia" w:ascii="宋体" w:hAnsi="宋体" w:cs="宋体"/>
          <w:b/>
          <w:sz w:val="24"/>
        </w:rPr>
        <w:t>和保密义务</w:t>
      </w:r>
      <w:bookmarkEnd w:id="484"/>
      <w:bookmarkEnd w:id="485"/>
      <w:bookmarkEnd w:id="486"/>
    </w:p>
    <w:p>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sz w:val="24"/>
        </w:rPr>
      </w:pPr>
      <w:bookmarkStart w:id="487" w:name="_Toc7860"/>
      <w:r>
        <w:rPr>
          <w:rFonts w:hint="eastAsia" w:ascii="宋体" w:hAnsi="宋体" w:cs="宋体"/>
          <w:b/>
          <w:sz w:val="24"/>
        </w:rPr>
        <w:t>2.7 质量保证</w:t>
      </w:r>
      <w:bookmarkEnd w:id="487"/>
    </w:p>
    <w:p>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sz w:val="24"/>
        </w:rPr>
      </w:pPr>
      <w:bookmarkStart w:id="488" w:name="_Toc17244"/>
      <w:bookmarkStart w:id="489" w:name="_Toc487900362"/>
      <w:bookmarkStart w:id="490" w:name="_Toc279701252"/>
      <w:bookmarkStart w:id="491" w:name="_Toc259093681"/>
      <w:r>
        <w:rPr>
          <w:rFonts w:hint="eastAsia" w:ascii="宋体" w:hAnsi="宋体" w:cs="宋体"/>
          <w:b/>
          <w:sz w:val="24"/>
        </w:rPr>
        <w:t>2.8 货物的风险负担</w:t>
      </w:r>
      <w:bookmarkEnd w:id="488"/>
    </w:p>
    <w:p>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92" w:name="_Toc14055"/>
      <w:r>
        <w:rPr>
          <w:rFonts w:hint="eastAsia" w:ascii="宋体" w:hAnsi="宋体" w:cs="宋体"/>
          <w:b/>
          <w:sz w:val="24"/>
        </w:rPr>
        <w:t>2.9 延迟交货</w:t>
      </w:r>
      <w:bookmarkEnd w:id="489"/>
      <w:bookmarkEnd w:id="490"/>
      <w:bookmarkEnd w:id="491"/>
      <w:bookmarkEnd w:id="492"/>
    </w:p>
    <w:p>
      <w:pPr>
        <w:spacing w:line="560" w:lineRule="exact"/>
        <w:ind w:firstLine="480" w:firstLineChars="200"/>
        <w:rPr>
          <w:rFonts w:ascii="宋体" w:hAnsi="宋体" w:cs="宋体"/>
          <w:sz w:val="24"/>
        </w:rPr>
      </w:pPr>
      <w:r>
        <w:rPr>
          <w:rFonts w:hint="eastAsia" w:ascii="宋体" w:hAnsi="宋体" w:cs="宋体"/>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sz w:val="24"/>
        </w:rPr>
      </w:pPr>
      <w:bookmarkStart w:id="493" w:name="_Toc7502"/>
      <w:bookmarkStart w:id="494" w:name="_Toc259093683"/>
      <w:bookmarkStart w:id="495" w:name="_Ref467378121"/>
      <w:bookmarkStart w:id="496" w:name="_Toc487900364"/>
      <w:bookmarkStart w:id="497" w:name="_Toc279701254"/>
      <w:r>
        <w:rPr>
          <w:rFonts w:hint="eastAsia" w:ascii="宋体" w:hAnsi="宋体" w:cs="宋体"/>
          <w:b/>
          <w:sz w:val="24"/>
        </w:rPr>
        <w:t>2.10 合同变更</w:t>
      </w:r>
      <w:bookmarkEnd w:id="493"/>
    </w:p>
    <w:p>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498" w:name="_Toc259093688"/>
      <w:bookmarkStart w:id="499" w:name="_Toc279701259"/>
      <w:bookmarkStart w:id="500" w:name="_Toc487900369"/>
    </w:p>
    <w:p>
      <w:pPr>
        <w:spacing w:line="560" w:lineRule="exact"/>
        <w:ind w:firstLine="482" w:firstLineChars="200"/>
        <w:outlineLvl w:val="0"/>
        <w:rPr>
          <w:rFonts w:ascii="宋体" w:hAnsi="宋体" w:cs="宋体"/>
          <w:b/>
          <w:sz w:val="24"/>
        </w:rPr>
      </w:pPr>
      <w:bookmarkStart w:id="501" w:name="_Toc10366"/>
      <w:bookmarkStart w:id="502" w:name="_Toc22955"/>
      <w:bookmarkStart w:id="503" w:name="_Toc15237"/>
      <w:r>
        <w:rPr>
          <w:rFonts w:hint="eastAsia" w:ascii="宋体" w:hAnsi="宋体" w:cs="宋体"/>
          <w:b/>
          <w:sz w:val="24"/>
        </w:rPr>
        <w:t>2.11 合同转让</w:t>
      </w:r>
      <w:bookmarkEnd w:id="498"/>
      <w:bookmarkEnd w:id="499"/>
      <w:bookmarkEnd w:id="500"/>
      <w:r>
        <w:rPr>
          <w:rFonts w:hint="eastAsia" w:ascii="宋体" w:hAnsi="宋体" w:cs="宋体"/>
          <w:b/>
          <w:sz w:val="24"/>
        </w:rPr>
        <w:t>和分包</w:t>
      </w:r>
      <w:bookmarkEnd w:id="501"/>
      <w:bookmarkEnd w:id="502"/>
      <w:bookmarkEnd w:id="503"/>
    </w:p>
    <w:p>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pPr>
        <w:spacing w:line="560" w:lineRule="exact"/>
        <w:ind w:firstLine="482" w:firstLineChars="200"/>
        <w:outlineLvl w:val="0"/>
        <w:rPr>
          <w:rFonts w:ascii="宋体" w:hAnsi="宋体" w:cs="宋体"/>
          <w:b/>
          <w:sz w:val="24"/>
        </w:rPr>
      </w:pPr>
      <w:bookmarkStart w:id="504" w:name="_Toc13566"/>
      <w:bookmarkStart w:id="505" w:name="_Toc14066"/>
      <w:bookmarkStart w:id="506" w:name="_Toc16508"/>
      <w:r>
        <w:rPr>
          <w:rFonts w:hint="eastAsia" w:ascii="宋体" w:hAnsi="宋体" w:cs="宋体"/>
          <w:b/>
          <w:sz w:val="24"/>
        </w:rPr>
        <w:t>2.12 不可抗力</w:t>
      </w:r>
      <w:bookmarkEnd w:id="504"/>
      <w:bookmarkEnd w:id="505"/>
      <w:bookmarkEnd w:id="506"/>
    </w:p>
    <w:p>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560" w:lineRule="exact"/>
        <w:ind w:firstLine="482" w:firstLineChars="200"/>
        <w:outlineLvl w:val="0"/>
        <w:rPr>
          <w:rFonts w:ascii="宋体" w:hAnsi="宋体" w:cs="宋体"/>
          <w:b/>
          <w:sz w:val="24"/>
        </w:rPr>
      </w:pPr>
      <w:bookmarkStart w:id="507" w:name="_Toc30676"/>
      <w:bookmarkStart w:id="508" w:name="_Toc487900365"/>
      <w:bookmarkStart w:id="509" w:name="_Toc689"/>
      <w:bookmarkStart w:id="510" w:name="_Toc279701255"/>
      <w:bookmarkStart w:id="511" w:name="_Toc6969"/>
      <w:bookmarkStart w:id="512" w:name="_Toc259093684"/>
      <w:r>
        <w:rPr>
          <w:rFonts w:hint="eastAsia" w:ascii="宋体" w:hAnsi="宋体" w:cs="宋体"/>
          <w:b/>
          <w:sz w:val="24"/>
        </w:rPr>
        <w:t>2.13 税费</w:t>
      </w:r>
      <w:bookmarkEnd w:id="507"/>
      <w:bookmarkEnd w:id="508"/>
      <w:bookmarkEnd w:id="509"/>
      <w:bookmarkEnd w:id="510"/>
      <w:bookmarkEnd w:id="511"/>
      <w:bookmarkEnd w:id="512"/>
    </w:p>
    <w:p>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pPr>
        <w:spacing w:line="560" w:lineRule="exact"/>
        <w:ind w:firstLine="482" w:firstLineChars="200"/>
        <w:outlineLvl w:val="0"/>
        <w:rPr>
          <w:rFonts w:ascii="宋体" w:hAnsi="宋体" w:cs="宋体"/>
          <w:b/>
          <w:sz w:val="24"/>
        </w:rPr>
      </w:pPr>
      <w:bookmarkStart w:id="513" w:name="_Toc8298"/>
      <w:bookmarkStart w:id="514" w:name="_Toc279701258"/>
      <w:bookmarkStart w:id="515" w:name="_Toc16959"/>
      <w:bookmarkStart w:id="516" w:name="_Toc259093687"/>
      <w:bookmarkStart w:id="517" w:name="_Toc487900368"/>
      <w:bookmarkStart w:id="518" w:name="_Toc7102"/>
      <w:r>
        <w:rPr>
          <w:rFonts w:hint="eastAsia" w:ascii="宋体" w:hAnsi="宋体" w:cs="宋体"/>
          <w:b/>
          <w:sz w:val="24"/>
        </w:rPr>
        <w:t>2.14乙方破产</w:t>
      </w:r>
      <w:bookmarkEnd w:id="513"/>
      <w:bookmarkEnd w:id="514"/>
      <w:bookmarkEnd w:id="515"/>
      <w:bookmarkEnd w:id="516"/>
      <w:bookmarkEnd w:id="517"/>
      <w:bookmarkEnd w:id="518"/>
    </w:p>
    <w:p>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sz w:val="24"/>
        </w:rPr>
      </w:pPr>
      <w:bookmarkStart w:id="519" w:name="_Toc15387"/>
      <w:bookmarkStart w:id="520" w:name="_Toc6134"/>
      <w:bookmarkStart w:id="521" w:name="_Toc29333"/>
      <w:r>
        <w:rPr>
          <w:rFonts w:hint="eastAsia" w:ascii="宋体" w:hAnsi="宋体" w:cs="宋体"/>
          <w:b/>
          <w:sz w:val="24"/>
        </w:rPr>
        <w:t>2.15 合同中止、终止</w:t>
      </w:r>
      <w:bookmarkEnd w:id="519"/>
      <w:bookmarkEnd w:id="520"/>
      <w:bookmarkEnd w:id="521"/>
    </w:p>
    <w:p>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sz w:val="24"/>
        </w:rPr>
      </w:pPr>
      <w:bookmarkStart w:id="522" w:name="_Toc14563"/>
      <w:bookmarkStart w:id="523" w:name="_Toc6596"/>
      <w:bookmarkStart w:id="524" w:name="_Toc1125"/>
      <w:r>
        <w:rPr>
          <w:rFonts w:hint="eastAsia" w:ascii="宋体" w:hAnsi="宋体" w:cs="宋体"/>
          <w:b/>
          <w:sz w:val="24"/>
        </w:rPr>
        <w:t>2.16检验和验收</w:t>
      </w:r>
      <w:bookmarkEnd w:id="522"/>
      <w:bookmarkEnd w:id="523"/>
      <w:bookmarkEnd w:id="524"/>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494"/>
    <w:bookmarkEnd w:id="495"/>
    <w:bookmarkEnd w:id="496"/>
    <w:bookmarkEnd w:id="497"/>
    <w:p>
      <w:pPr>
        <w:spacing w:line="560" w:lineRule="exact"/>
        <w:ind w:firstLine="482" w:firstLineChars="200"/>
        <w:outlineLvl w:val="0"/>
        <w:rPr>
          <w:rFonts w:ascii="宋体" w:hAnsi="宋体" w:cs="宋体"/>
          <w:b/>
          <w:sz w:val="24"/>
        </w:rPr>
      </w:pPr>
      <w:bookmarkStart w:id="525" w:name="_Toc487900371"/>
      <w:bookmarkStart w:id="526" w:name="_Toc279701261"/>
      <w:bookmarkStart w:id="527" w:name="_Toc259093690"/>
      <w:bookmarkStart w:id="528" w:name="_Toc11284"/>
      <w:bookmarkStart w:id="529" w:name="_Toc19604"/>
      <w:bookmarkStart w:id="530" w:name="_Toc25182"/>
      <w:r>
        <w:rPr>
          <w:rFonts w:hint="eastAsia" w:ascii="宋体" w:hAnsi="宋体" w:cs="宋体"/>
          <w:b/>
          <w:sz w:val="24"/>
        </w:rPr>
        <w:t>2.17 通知</w:t>
      </w:r>
      <w:bookmarkEnd w:id="525"/>
      <w:bookmarkEnd w:id="526"/>
      <w:bookmarkEnd w:id="527"/>
      <w:r>
        <w:rPr>
          <w:rFonts w:hint="eastAsia" w:ascii="宋体" w:hAnsi="宋体" w:cs="宋体"/>
          <w:b/>
          <w:sz w:val="24"/>
        </w:rPr>
        <w:t>和送达</w:t>
      </w:r>
      <w:bookmarkEnd w:id="528"/>
      <w:bookmarkEnd w:id="529"/>
      <w:bookmarkEnd w:id="530"/>
    </w:p>
    <w:p>
      <w:pPr>
        <w:spacing w:line="560" w:lineRule="exact"/>
        <w:ind w:firstLine="480" w:firstLineChars="200"/>
        <w:rPr>
          <w:rFonts w:ascii="宋体" w:hAnsi="宋体" w:cs="宋体"/>
          <w:sz w:val="24"/>
        </w:rPr>
      </w:pPr>
      <w:bookmarkStart w:id="531" w:name="_Toc6698"/>
      <w:bookmarkStart w:id="532" w:name="_Toc3135"/>
      <w:bookmarkStart w:id="533" w:name="_Toc487900372"/>
      <w:bookmarkStart w:id="534" w:name="_Toc279701262"/>
      <w:bookmarkStart w:id="535" w:name="_Toc259093691"/>
      <w:r>
        <w:rPr>
          <w:rFonts w:hint="eastAsia" w:ascii="宋体" w:hAnsi="宋体" w:cs="宋体"/>
          <w:sz w:val="24"/>
        </w:rPr>
        <w:t xml:space="preserve">2.17.1任何一方因履行合同而以合同第一部分尾部所列明的传真或电子邮件 </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531"/>
      <w:bookmarkEnd w:id="532"/>
    </w:p>
    <w:p>
      <w:pPr>
        <w:spacing w:line="560" w:lineRule="exact"/>
        <w:ind w:firstLine="480" w:firstLineChars="200"/>
        <w:rPr>
          <w:rFonts w:ascii="宋体" w:hAnsi="宋体" w:cs="宋体"/>
          <w:sz w:val="24"/>
        </w:rPr>
      </w:pPr>
      <w:bookmarkStart w:id="536" w:name="_Toc23128"/>
      <w:bookmarkStart w:id="537" w:name="_Toc23294"/>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6"/>
      <w:bookmarkEnd w:id="537"/>
    </w:p>
    <w:p>
      <w:pPr>
        <w:spacing w:line="560" w:lineRule="exact"/>
        <w:ind w:firstLine="482" w:firstLineChars="200"/>
        <w:outlineLvl w:val="0"/>
        <w:rPr>
          <w:rFonts w:ascii="宋体" w:hAnsi="宋体" w:cs="宋体"/>
          <w:b/>
          <w:sz w:val="24"/>
        </w:rPr>
      </w:pPr>
      <w:bookmarkStart w:id="538" w:name="_Toc18540"/>
      <w:bookmarkStart w:id="539" w:name="_Toc30599"/>
      <w:bookmarkStart w:id="540" w:name="_Toc4355"/>
      <w:r>
        <w:rPr>
          <w:rFonts w:hint="eastAsia" w:ascii="宋体" w:hAnsi="宋体" w:cs="宋体"/>
          <w:b/>
          <w:sz w:val="24"/>
        </w:rPr>
        <w:t>2.18 计量单位</w:t>
      </w:r>
      <w:bookmarkEnd w:id="533"/>
      <w:bookmarkEnd w:id="534"/>
      <w:bookmarkEnd w:id="535"/>
      <w:bookmarkEnd w:id="538"/>
      <w:bookmarkEnd w:id="539"/>
      <w:bookmarkEnd w:id="540"/>
    </w:p>
    <w:p>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560" w:lineRule="exact"/>
        <w:ind w:firstLine="482" w:firstLineChars="200"/>
        <w:outlineLvl w:val="0"/>
        <w:rPr>
          <w:rFonts w:ascii="宋体" w:hAnsi="宋体" w:cs="宋体"/>
          <w:b/>
          <w:sz w:val="24"/>
        </w:rPr>
      </w:pPr>
      <w:bookmarkStart w:id="541" w:name="_Toc487900373"/>
      <w:bookmarkStart w:id="542" w:name="_Toc279701263"/>
      <w:bookmarkStart w:id="543" w:name="_Toc12773"/>
      <w:bookmarkStart w:id="544" w:name="_Toc10330"/>
      <w:bookmarkStart w:id="545" w:name="_Toc18567"/>
      <w:bookmarkStart w:id="546" w:name="_Toc259093692"/>
      <w:r>
        <w:rPr>
          <w:rFonts w:hint="eastAsia" w:ascii="宋体" w:hAnsi="宋体" w:cs="宋体"/>
          <w:b/>
          <w:sz w:val="24"/>
        </w:rPr>
        <w:t>2.19 合同使用的文字和适用的法律</w:t>
      </w:r>
      <w:bookmarkEnd w:id="541"/>
      <w:bookmarkEnd w:id="542"/>
      <w:bookmarkEnd w:id="543"/>
      <w:bookmarkEnd w:id="544"/>
      <w:bookmarkEnd w:id="545"/>
      <w:bookmarkEnd w:id="546"/>
    </w:p>
    <w:p>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pPr>
        <w:spacing w:line="560" w:lineRule="exact"/>
        <w:ind w:firstLine="482" w:firstLineChars="200"/>
        <w:outlineLvl w:val="0"/>
        <w:rPr>
          <w:rFonts w:ascii="宋体" w:hAnsi="宋体" w:cs="宋体"/>
          <w:b/>
          <w:sz w:val="24"/>
        </w:rPr>
      </w:pPr>
      <w:bookmarkStart w:id="547" w:name="_Toc16673"/>
      <w:bookmarkStart w:id="548" w:name="_Toc279701264"/>
      <w:bookmarkStart w:id="549" w:name="_Toc259093693"/>
      <w:bookmarkStart w:id="550" w:name="_Toc3148"/>
      <w:bookmarkStart w:id="551" w:name="_Toc12004"/>
      <w:bookmarkStart w:id="552" w:name="_Toc487900374"/>
      <w:r>
        <w:rPr>
          <w:rFonts w:hint="eastAsia" w:ascii="宋体" w:hAnsi="宋体" w:cs="宋体"/>
          <w:b/>
          <w:sz w:val="24"/>
        </w:rPr>
        <w:t>2.20 履约保证金</w:t>
      </w:r>
      <w:bookmarkEnd w:id="547"/>
      <w:bookmarkEnd w:id="548"/>
      <w:bookmarkEnd w:id="549"/>
      <w:bookmarkEnd w:id="550"/>
      <w:bookmarkEnd w:id="551"/>
    </w:p>
    <w:p>
      <w:pPr>
        <w:pStyle w:val="958"/>
        <w:spacing w:before="0" w:beforeAutospacing="0" w:after="0" w:afterAutospacing="0" w:line="360" w:lineRule="auto"/>
        <w:ind w:firstLine="420"/>
      </w:pPr>
      <w:r>
        <w:rPr>
          <w:rFonts w:hint="eastAsia"/>
        </w:rPr>
        <w:t>2.20.1 采购文件要求乙方提交履约保证金的，乙方应按</w:t>
      </w:r>
      <w:r>
        <w:rPr>
          <w:rFonts w:hint="eastAsia"/>
          <w:b/>
          <w:i/>
          <w:u w:val="single"/>
        </w:rPr>
        <w:t>合同专用条款</w:t>
      </w:r>
      <w:r>
        <w:rPr>
          <w:rFonts w:hint="eastAsia"/>
        </w:rPr>
        <w:t>约定的方式，以支票、汇票、本票或者金融机构、担保机构出具的保函等非现金形式，提交不超过合同金额</w:t>
      </w:r>
      <w:r>
        <w:t>1%</w:t>
      </w:r>
      <w:r>
        <w:rPr>
          <w:rFonts w:hint="eastAsia"/>
        </w:rPr>
        <w:t>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ascii="宋体" w:hAnsi="宋体" w:cs="宋体"/>
          <w:sz w:val="24"/>
        </w:rPr>
      </w:pPr>
      <w:r>
        <w:rPr>
          <w:rFonts w:ascii="宋体" w:hAnsi="宋体" w:cs="宋体"/>
          <w:sz w:val="24"/>
        </w:rPr>
        <w:t xml:space="preserve">2.20.2  </w:t>
      </w:r>
      <w:r>
        <w:rPr>
          <w:rFonts w:hint="eastAsia" w:ascii="宋体" w:hAnsi="宋体" w:cs="宋体"/>
          <w:sz w:val="24"/>
        </w:rPr>
        <w:t>甲方在项目验收结束后及时退还履约保证金。甲方在项目通过验收之日起</w:t>
      </w:r>
      <w:r>
        <w:rPr>
          <w:rFonts w:hint="eastAsia" w:ascii="宋体" w:hAnsi="宋体" w:cs="宋体"/>
          <w:sz w:val="24"/>
          <w:u w:val="single"/>
        </w:rPr>
        <w:t xml:space="preserve"> 5 </w:t>
      </w:r>
      <w:r>
        <w:rPr>
          <w:rFonts w:hint="eastAsia" w:ascii="宋体" w:hAnsi="宋体" w:cs="宋体"/>
          <w:sz w:val="24"/>
        </w:rPr>
        <w:t>个工作日内，按</w:t>
      </w:r>
      <w:r>
        <w:rPr>
          <w:rFonts w:hint="eastAsia" w:ascii="宋体" w:hAnsi="宋体" w:cs="宋体"/>
          <w:b/>
          <w:i/>
          <w:sz w:val="24"/>
          <w:u w:val="single"/>
        </w:rPr>
        <w:t>合同专用条款</w:t>
      </w:r>
      <w:r>
        <w:rPr>
          <w:rFonts w:hint="eastAsia" w:ascii="宋体" w:hAnsi="宋体" w:cs="宋体"/>
          <w:sz w:val="24"/>
        </w:rPr>
        <w:t>约定的方式将履约保证金退还乙方，逾期退还的，乙方可要求甲方支付违约金，违约金按每迟延退还一日的应退还而未退还金额的</w:t>
      </w:r>
      <w:r>
        <w:rPr>
          <w:rFonts w:hint="eastAsia" w:ascii="宋体" w:hAnsi="宋体" w:cs="宋体"/>
          <w:sz w:val="24"/>
          <w:u w:val="single"/>
        </w:rPr>
        <w:t xml:space="preserve">  0.05  </w:t>
      </w:r>
      <w:r>
        <w:rPr>
          <w:rFonts w:hint="eastAsia" w:ascii="宋体" w:hAnsi="宋体" w:cs="宋体"/>
          <w:sz w:val="24"/>
        </w:rPr>
        <w:t>%计算，最高限额为本合同履约保证金的</w:t>
      </w:r>
      <w:r>
        <w:rPr>
          <w:rFonts w:hint="eastAsia" w:ascii="宋体" w:hAnsi="宋体" w:cs="宋体"/>
          <w:sz w:val="24"/>
          <w:u w:val="single"/>
        </w:rPr>
        <w:t xml:space="preserve">  20   </w:t>
      </w:r>
      <w:r>
        <w:rPr>
          <w:rFonts w:hint="eastAsia" w:ascii="宋体" w:hAnsi="宋体" w:cs="宋体"/>
          <w:sz w:val="24"/>
        </w:rPr>
        <w:t xml:space="preserve">%； </w:t>
      </w:r>
    </w:p>
    <w:p>
      <w:pPr>
        <w:spacing w:line="560" w:lineRule="exact"/>
        <w:ind w:firstLine="480" w:firstLineChars="200"/>
        <w:rPr>
          <w:rFonts w:ascii="宋体" w:hAnsi="宋体" w:cs="宋体"/>
          <w:sz w:val="24"/>
        </w:rPr>
      </w:pPr>
      <w:r>
        <w:rPr>
          <w:rFonts w:hint="eastAsia" w:ascii="宋体" w:hAnsi="宋体" w:cs="宋体"/>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宋体" w:hAnsi="宋体" w:cs="宋体"/>
          <w:sz w:val="24"/>
        </w:rPr>
      </w:pPr>
      <w:r>
        <w:rPr>
          <w:rFonts w:hint="eastAsia" w:ascii="宋体" w:hAnsi="宋体" w:cs="宋体"/>
          <w:sz w:val="24"/>
        </w:rPr>
        <w:t>2.20.4 甲方根据杭州市政府采购网公布的供应商履约评价情况减免履约保证金。乙方履约验收评价总分为100分的，甲方免收履约保证金。</w:t>
      </w:r>
    </w:p>
    <w:p>
      <w:pPr>
        <w:spacing w:line="560" w:lineRule="exact"/>
        <w:ind w:firstLine="480" w:firstLineChars="200"/>
        <w:rPr>
          <w:rFonts w:ascii="宋体" w:hAnsi="宋体" w:cs="宋体"/>
        </w:rPr>
      </w:pPr>
      <w:r>
        <w:rPr>
          <w:rFonts w:hint="eastAsia" w:ascii="宋体" w:hAnsi="宋体" w:cs="宋体"/>
          <w:sz w:val="24"/>
        </w:rPr>
        <w:t>2.20.5甲方在乙方履行完合同约定义务事项后及时退还，延迟退还的，应当按照合同约定和法律规定承担相应的赔偿责任。</w:t>
      </w:r>
    </w:p>
    <w:p>
      <w:pPr>
        <w:spacing w:line="560" w:lineRule="exact"/>
        <w:ind w:firstLine="480" w:firstLineChars="200"/>
        <w:rPr>
          <w:rFonts w:ascii="宋体" w:hAnsi="宋体" w:cs="宋体"/>
          <w:sz w:val="24"/>
        </w:rPr>
      </w:pPr>
      <w:r>
        <w:rPr>
          <w:rFonts w:hint="eastAsia" w:ascii="宋体" w:hAnsi="宋体" w:cs="宋体"/>
          <w:sz w:val="24"/>
        </w:rPr>
        <w:t>2.21对于因甲方原因导致变更、中止或者终止政府采购合同的，甲方应当依照合同约定对供应商受到的损失予以赔偿或者补偿。</w:t>
      </w:r>
    </w:p>
    <w:bookmarkEnd w:id="552"/>
    <w:p>
      <w:pPr>
        <w:spacing w:line="560" w:lineRule="exact"/>
        <w:ind w:firstLine="482" w:firstLineChars="200"/>
        <w:outlineLvl w:val="0"/>
        <w:rPr>
          <w:rFonts w:ascii="宋体" w:hAnsi="宋体" w:cs="宋体"/>
          <w:b/>
          <w:sz w:val="24"/>
        </w:rPr>
      </w:pPr>
      <w:bookmarkStart w:id="553" w:name="_Toc14001"/>
      <w:bookmarkStart w:id="554" w:name="_Toc19890"/>
      <w:bookmarkStart w:id="555" w:name="_Toc6885"/>
      <w:r>
        <w:rPr>
          <w:rFonts w:hint="eastAsia" w:ascii="宋体" w:hAnsi="宋体" w:cs="宋体"/>
          <w:b/>
          <w:sz w:val="24"/>
        </w:rPr>
        <w:t>2.22合同份数</w:t>
      </w:r>
      <w:bookmarkEnd w:id="553"/>
      <w:bookmarkEnd w:id="554"/>
      <w:bookmarkEnd w:id="555"/>
    </w:p>
    <w:p>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pPr>
        <w:pStyle w:val="700"/>
        <w:spacing w:line="560" w:lineRule="exact"/>
        <w:jc w:val="center"/>
        <w:rPr>
          <w:rFonts w:ascii="宋体" w:hAnsi="宋体" w:cs="宋体"/>
          <w:b/>
          <w:szCs w:val="24"/>
        </w:rPr>
      </w:pPr>
      <w:r>
        <w:rPr>
          <w:rFonts w:hint="eastAsia" w:ascii="宋体" w:hAnsi="宋体" w:cs="宋体"/>
          <w:kern w:val="0"/>
          <w:szCs w:val="24"/>
        </w:rPr>
        <w:br w:type="page"/>
      </w:r>
      <w:bookmarkStart w:id="556" w:name="_Toc331685784"/>
      <w:r>
        <w:rPr>
          <w:rFonts w:hint="eastAsia" w:ascii="宋体" w:hAnsi="宋体" w:cs="宋体"/>
          <w:b/>
          <w:szCs w:val="24"/>
        </w:rPr>
        <w:t xml:space="preserve"> </w:t>
      </w:r>
      <w:bookmarkEnd w:id="556"/>
      <w:r>
        <w:rPr>
          <w:rFonts w:hint="eastAsia" w:ascii="宋体" w:hAnsi="宋体" w:cs="宋体"/>
          <w:b/>
          <w:szCs w:val="24"/>
        </w:rPr>
        <w:t>第三部分  合同专用条款</w:t>
      </w:r>
    </w:p>
    <w:p>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条款号</w:t>
            </w:r>
          </w:p>
        </w:tc>
        <w:tc>
          <w:tcPr>
            <w:tcW w:w="4534" w:type="pct"/>
            <w:vAlign w:val="center"/>
          </w:tcPr>
          <w:p>
            <w:pPr>
              <w:spacing w:line="360" w:lineRule="auto"/>
              <w:jc w:val="center"/>
              <w:rPr>
                <w:rFonts w:ascii="宋体" w:hAnsi="宋体" w:cs="宋体"/>
                <w:b/>
                <w:sz w:val="24"/>
              </w:rPr>
            </w:pPr>
            <w:r>
              <w:rPr>
                <w:rFonts w:hint="eastAsia" w:ascii="宋体" w:hAnsi="宋体" w:cs="宋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1.4.4</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1.5.1 </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1.5.3 </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1.6.7</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2.3.2</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2.4.1</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宋体" w:hAnsi="宋体" w:cs="宋体"/>
                <w:sz w:val="24"/>
              </w:rPr>
            </w:pPr>
            <w:r>
              <w:rPr>
                <w:rFonts w:hint="eastAsia" w:ascii="宋体" w:hAnsi="宋体" w:cs="宋体"/>
                <w:sz w:val="24"/>
              </w:rPr>
              <w:t xml:space="preserve">2.8 </w:t>
            </w:r>
          </w:p>
        </w:tc>
        <w:tc>
          <w:tcPr>
            <w:tcW w:w="4534" w:type="pct"/>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2.12.4</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宋体" w:hAnsi="宋体" w:cs="宋体"/>
                <w:sz w:val="24"/>
              </w:rPr>
            </w:pPr>
            <w:r>
              <w:rPr>
                <w:rFonts w:hint="eastAsia" w:ascii="宋体" w:hAnsi="宋体" w:cs="宋体"/>
                <w:sz w:val="24"/>
              </w:rPr>
              <w:t>2.20.1</w:t>
            </w:r>
          </w:p>
        </w:tc>
        <w:tc>
          <w:tcPr>
            <w:tcW w:w="4534" w:type="pct"/>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2.20.2 </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sz w:val="24"/>
              </w:rPr>
            </w:pPr>
            <w:r>
              <w:rPr>
                <w:rFonts w:hint="eastAsia" w:ascii="宋体" w:hAnsi="宋体" w:cs="宋体"/>
                <w:sz w:val="24"/>
              </w:rPr>
              <w:t xml:space="preserve">2.22 </w:t>
            </w:r>
          </w:p>
        </w:tc>
        <w:tc>
          <w:tcPr>
            <w:tcW w:w="4534" w:type="pct"/>
            <w:vAlign w:val="center"/>
          </w:tcPr>
          <w:p>
            <w:pPr>
              <w:spacing w:line="360" w:lineRule="auto"/>
              <w:rPr>
                <w:rFonts w:ascii="宋体" w:hAnsi="宋体" w:cs="宋体"/>
                <w:sz w:val="24"/>
              </w:rPr>
            </w:pPr>
          </w:p>
        </w:tc>
      </w:tr>
    </w:tbl>
    <w:p>
      <w:pPr>
        <w:spacing w:line="360" w:lineRule="auto"/>
        <w:ind w:left="-420" w:leftChars="-200" w:right="-420" w:rightChars="-200" w:firstLine="480" w:firstLineChars="200"/>
        <w:rPr>
          <w:rFonts w:ascii="宋体" w:hAnsi="宋体" w:cs="宋体"/>
          <w:sz w:val="24"/>
        </w:rPr>
      </w:pPr>
    </w:p>
    <w:p>
      <w:pPr>
        <w:spacing w:line="360" w:lineRule="auto"/>
        <w:ind w:left="-420" w:leftChars="-200" w:right="-420" w:rightChars="-200"/>
        <w:rPr>
          <w:rFonts w:ascii="宋体" w:hAnsi="宋体" w:cs="宋体"/>
          <w:sz w:val="24"/>
        </w:rPr>
      </w:pPr>
    </w:p>
    <w:p>
      <w:pPr>
        <w:spacing w:line="360" w:lineRule="auto"/>
        <w:ind w:left="-420" w:leftChars="-200" w:right="-420" w:rightChars="-200" w:firstLine="480" w:firstLineChars="200"/>
        <w:jc w:val="center"/>
        <w:outlineLvl w:val="0"/>
        <w:rPr>
          <w:rFonts w:ascii="宋体" w:hAnsi="宋体" w:cs="宋体"/>
          <w:sz w:val="24"/>
        </w:rPr>
      </w:pPr>
    </w:p>
    <w:p>
      <w:pPr>
        <w:spacing w:line="360" w:lineRule="auto"/>
        <w:ind w:left="-420" w:leftChars="-200" w:right="-420" w:rightChars="-200" w:firstLine="480" w:firstLineChars="200"/>
        <w:jc w:val="center"/>
        <w:outlineLvl w:val="0"/>
        <w:rPr>
          <w:rFonts w:ascii="宋体" w:hAnsi="宋体" w:cs="宋体"/>
          <w:sz w:val="24"/>
        </w:rPr>
      </w:pPr>
    </w:p>
    <w:p>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98"/>
      <w:r>
        <w:rPr>
          <w:rFonts w:hint="eastAsia" w:ascii="宋体" w:hAnsi="宋体" w:cs="宋体"/>
          <w:b/>
          <w:sz w:val="36"/>
          <w:szCs w:val="20"/>
        </w:rPr>
        <w:t xml:space="preserve"> </w:t>
      </w:r>
      <w:bookmarkEnd w:id="399"/>
      <w:r>
        <w:rPr>
          <w:rFonts w:hint="eastAsia" w:ascii="宋体" w:hAnsi="宋体" w:cs="宋体"/>
          <w:b/>
          <w:sz w:val="36"/>
          <w:szCs w:val="20"/>
        </w:rPr>
        <w:t>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pPr>
        <w:widowControl/>
        <w:spacing w:line="360" w:lineRule="auto"/>
        <w:ind w:firstLine="480"/>
        <w:jc w:val="left"/>
        <w:rPr>
          <w:rFonts w:ascii="宋体" w:hAnsi="宋体" w:cs="宋体"/>
          <w:sz w:val="24"/>
        </w:rPr>
      </w:pP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视同符合了资格条件，无需再与其他中小企业组成联合体参加政府采购活动，无需提供联合协议。</w:t>
      </w:r>
    </w:p>
    <w:p>
      <w:pPr>
        <w:snapToGrid w:val="0"/>
        <w:spacing w:before="50" w:after="50" w:line="360" w:lineRule="auto"/>
        <w:jc w:val="center"/>
        <w:rPr>
          <w:rFonts w:ascii="宋体" w:hAnsi="宋体" w:cs="宋体"/>
          <w:sz w:val="24"/>
        </w:rPr>
      </w:pPr>
      <w:r>
        <w:rPr>
          <w:rFonts w:hint="eastAsia" w:ascii="宋体" w:hAnsi="宋体" w:cs="宋体"/>
          <w:b/>
          <w:sz w:val="24"/>
        </w:rPr>
        <w:t xml:space="preserve">    </w:t>
      </w: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），分包意向协议中中小企业合同金额应当达到招标公告载明的比例；如果供应商本身提供所有标的均由中小企业制造的，视同符合了资格条件，无需再向中小企业分包，无需提供分包意向协议。</w:t>
      </w: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4"/>
        <w:rPr>
          <w:lang w:val="en-US"/>
        </w:rPr>
      </w:pPr>
    </w:p>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rPr>
          <w:rFonts w:ascii="宋体" w:hAnsi="宋体" w:cs="宋体"/>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pStyle w:val="4"/>
        <w:rPr>
          <w:lang w:val="en-US"/>
        </w:rPr>
      </w:pPr>
    </w:p>
    <w:p/>
    <w:p>
      <w:pPr>
        <w:snapToGrid w:val="0"/>
        <w:spacing w:line="360" w:lineRule="auto"/>
        <w:ind w:firstLine="3855" w:firstLineChars="1200"/>
        <w:outlineLvl w:val="0"/>
        <w:rPr>
          <w:rFonts w:ascii="宋体" w:hAnsi="宋体" w:cs="宋体"/>
          <w:b/>
          <w:kern w:val="0"/>
          <w:sz w:val="32"/>
          <w:szCs w:val="32"/>
        </w:rPr>
      </w:pPr>
    </w:p>
    <w:p>
      <w:pPr>
        <w:snapToGrid w:val="0"/>
        <w:spacing w:line="360" w:lineRule="auto"/>
        <w:ind w:firstLine="3855" w:firstLineChars="1200"/>
        <w:outlineLvl w:val="0"/>
        <w:rPr>
          <w:rFonts w:ascii="宋体" w:hAnsi="宋体" w:cs="宋体"/>
          <w:b/>
          <w:kern w:val="0"/>
          <w:sz w:val="32"/>
          <w:szCs w:val="32"/>
        </w:rPr>
      </w:pPr>
    </w:p>
    <w:p>
      <w:pPr>
        <w:snapToGrid w:val="0"/>
        <w:spacing w:line="360" w:lineRule="auto"/>
        <w:ind w:firstLine="3855" w:firstLineChars="1200"/>
        <w:outlineLvl w:val="0"/>
        <w:rPr>
          <w:rFonts w:ascii="宋体" w:hAnsi="宋体" w:cs="宋体"/>
          <w:b/>
          <w:kern w:val="0"/>
          <w:sz w:val="32"/>
          <w:szCs w:val="32"/>
        </w:rPr>
      </w:pPr>
    </w:p>
    <w:p>
      <w:pPr>
        <w:pStyle w:val="4"/>
        <w:rPr>
          <w:lang w:val="en-US"/>
        </w:rPr>
      </w:pPr>
    </w:p>
    <w:p>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本项目的特定资格要求（如果有）。</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2.3.2中小企业声明函（如果有）。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rPr>
      </w:pPr>
    </w:p>
    <w:p>
      <w:pPr>
        <w:spacing w:line="360" w:lineRule="auto"/>
        <w:ind w:right="420"/>
        <w:rPr>
          <w:rFonts w:ascii="宋体" w:hAnsi="宋体" w:cs="宋体"/>
          <w:sz w:val="24"/>
        </w:rPr>
      </w:pPr>
      <w:r>
        <w:rPr>
          <w:rFonts w:hint="eastAsia" w:ascii="宋体" w:hAnsi="宋体" w:cs="宋体"/>
          <w:sz w:val="24"/>
        </w:rPr>
        <w:t>注：按本格式和要求提供。</w:t>
      </w:r>
    </w:p>
    <w:p>
      <w:pPr>
        <w:snapToGrid w:val="0"/>
        <w:spacing w:line="360" w:lineRule="auto"/>
        <w:jc w:val="center"/>
        <w:rPr>
          <w:rFonts w:ascii="宋体" w:hAnsi="宋体" w:cs="宋体"/>
          <w:b/>
          <w:kern w:val="0"/>
          <w:sz w:val="32"/>
          <w:szCs w:val="32"/>
        </w:rPr>
      </w:pPr>
    </w:p>
    <w:p>
      <w:pPr>
        <w:snapToGrid w:val="0"/>
        <w:spacing w:line="360" w:lineRule="auto"/>
        <w:rPr>
          <w:rFonts w:ascii="宋体" w:hAnsi="宋体" w:cs="宋体"/>
          <w:sz w:val="24"/>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r>
        <w:rPr>
          <w:rFonts w:hint="eastAsia" w:ascii="宋体" w:hAnsi="宋体" w:cs="宋体"/>
          <w:sz w:val="24"/>
        </w:rPr>
        <w:t xml:space="preserve">                                </w:t>
      </w:r>
    </w:p>
    <w:p>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sz w:val="24"/>
        </w:rPr>
      </w:pPr>
    </w:p>
    <w:p>
      <w:pPr>
        <w:snapToGrid w:val="0"/>
        <w:spacing w:line="360" w:lineRule="auto"/>
        <w:rPr>
          <w:rFonts w:ascii="宋体" w:hAnsi="宋体" w:cs="宋体"/>
          <w:sz w:val="24"/>
        </w:rPr>
      </w:pPr>
    </w:p>
    <w:p>
      <w:pPr>
        <w:snapToGrid w:val="0"/>
        <w:spacing w:line="360" w:lineRule="auto"/>
        <w:rPr>
          <w:rFonts w:ascii="宋体" w:hAnsi="宋体" w:cs="宋体"/>
          <w:sz w:val="24"/>
        </w:rPr>
      </w:pPr>
    </w:p>
    <w:p>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147"/>
        <w:spacing w:line="360" w:lineRule="auto"/>
        <w:rPr>
          <w:rFonts w:hAnsi="宋体" w:cs="宋体"/>
          <w:bCs/>
          <w:sz w:val="24"/>
        </w:rPr>
      </w:pPr>
      <w:r>
        <w:rPr>
          <w:rFonts w:hint="eastAsia" w:hAnsi="宋体" w:cs="宋体"/>
          <w:bCs/>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Ansi="宋体" w:cs="宋体"/>
                <w:bCs/>
                <w:sz w:val="24"/>
              </w:rPr>
            </w:pPr>
            <w:r>
              <w:rPr>
                <w:rFonts w:hint="eastAsia" w:hAnsi="宋体" w:cs="宋体"/>
                <w:bCs/>
                <w:sz w:val="24"/>
              </w:rPr>
              <w:t>正面：                                 反面：</w:t>
            </w:r>
          </w:p>
          <w:p>
            <w:pPr>
              <w:pStyle w:val="147"/>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napToGrid w:val="0"/>
        <w:spacing w:line="360" w:lineRule="auto"/>
        <w:ind w:firstLine="3534" w:firstLineChars="1100"/>
        <w:rPr>
          <w:rFonts w:ascii="宋体" w:hAnsi="宋体" w:cs="宋体"/>
          <w:b/>
          <w:kern w:val="0"/>
          <w:sz w:val="32"/>
          <w:szCs w:val="32"/>
        </w:rPr>
      </w:pPr>
      <w:r>
        <w:rPr>
          <w:rFonts w:hint="eastAsia" w:ascii="宋体" w:hAnsi="宋体" w:cs="宋体"/>
          <w:b/>
          <w:kern w:val="0"/>
          <w:sz w:val="32"/>
          <w:szCs w:val="32"/>
        </w:rPr>
        <w:t>三、分包意向协议</w:t>
      </w:r>
    </w:p>
    <w:p>
      <w:pPr>
        <w:widowControl/>
        <w:spacing w:line="360" w:lineRule="auto"/>
        <w:ind w:firstLine="120" w:firstLineChars="50"/>
        <w:jc w:val="left"/>
        <w:rPr>
          <w:rFonts w:ascii="宋体" w:hAnsi="宋体" w:cs="宋体"/>
          <w:sz w:val="24"/>
        </w:rPr>
      </w:pPr>
      <w:bookmarkStart w:id="557"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557"/>
    <w:p>
      <w:pPr>
        <w:snapToGrid w:val="0"/>
        <w:spacing w:line="360" w:lineRule="auto"/>
        <w:rPr>
          <w:rFonts w:ascii="宋体" w:hAnsi="宋体" w:cs="宋体"/>
          <w:kern w:val="0"/>
          <w:sz w:val="24"/>
        </w:rPr>
      </w:pPr>
    </w:p>
    <w:p>
      <w:pPr>
        <w:jc w:val="center"/>
        <w:rPr>
          <w:rFonts w:ascii="宋体" w:hAnsi="宋体" w:cs="宋体"/>
          <w:b/>
          <w:kern w:val="0"/>
          <w:sz w:val="32"/>
          <w:szCs w:val="32"/>
        </w:rPr>
      </w:pPr>
      <w:r>
        <w:rPr>
          <w:rFonts w:hint="eastAsia" w:ascii="宋体" w:hAnsi="宋体" w:cs="宋体"/>
          <w:b/>
          <w:kern w:val="0"/>
          <w:sz w:val="32"/>
          <w:szCs w:val="32"/>
        </w:rPr>
        <w:t>四、符合性审查资料</w:t>
      </w:r>
    </w:p>
    <w:p>
      <w:pPr>
        <w:jc w:val="center"/>
        <w:rPr>
          <w:rFonts w:ascii="宋体" w:hAnsi="宋体" w:cs="宋体"/>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sz w:val="24"/>
              </w:rPr>
            </w:pPr>
            <w:r>
              <w:rPr>
                <w:rFonts w:hint="eastAsia" w:ascii="宋体" w:hAnsi="宋体" w:cs="宋体"/>
                <w:sz w:val="24"/>
              </w:rPr>
              <w:t>1</w:t>
            </w:r>
          </w:p>
        </w:tc>
        <w:tc>
          <w:tcPr>
            <w:tcW w:w="4991" w:type="dxa"/>
          </w:tcPr>
          <w:p>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pPr>
              <w:rPr>
                <w:rFonts w:ascii="宋体" w:hAnsi="宋体" w:cs="宋体"/>
                <w:sz w:val="24"/>
              </w:rPr>
            </w:pPr>
          </w:p>
          <w:p>
            <w:pPr>
              <w:rPr>
                <w:rFonts w:ascii="宋体" w:hAnsi="宋体" w:cs="宋体"/>
                <w:sz w:val="24"/>
              </w:rPr>
            </w:pPr>
            <w:r>
              <w:rPr>
                <w:rFonts w:hint="eastAsia" w:ascii="宋体" w:hAnsi="宋体" w:cs="宋体"/>
                <w:sz w:val="24"/>
              </w:rPr>
              <w:t>见投标文件</w:t>
            </w:r>
          </w:p>
          <w:p>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宋体" w:hAnsi="宋体" w:cs="宋体"/>
                <w:sz w:val="24"/>
              </w:rPr>
            </w:pPr>
            <w:r>
              <w:rPr>
                <w:rFonts w:hint="eastAsia" w:ascii="宋体" w:hAnsi="宋体" w:cs="宋体"/>
                <w:sz w:val="24"/>
              </w:rPr>
              <w:t>2</w:t>
            </w:r>
          </w:p>
        </w:tc>
        <w:tc>
          <w:tcPr>
            <w:tcW w:w="4991" w:type="dxa"/>
          </w:tcPr>
          <w:p>
            <w:pPr>
              <w:spacing w:line="360" w:lineRule="auto"/>
              <w:rPr>
                <w:rFonts w:ascii="宋体" w:hAnsi="宋体" w:cs="宋体"/>
                <w:sz w:val="24"/>
              </w:rPr>
            </w:pPr>
            <w:r>
              <w:rPr>
                <w:rFonts w:hint="eastAsia" w:ascii="宋体" w:hAnsi="宋体" w:cs="宋体"/>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宋体" w:hAnsi="宋体" w:cs="宋体"/>
                <w:sz w:val="24"/>
              </w:rPr>
            </w:pPr>
            <w:r>
              <w:rPr>
                <w:rFonts w:hint="eastAsia" w:ascii="宋体" w:hAnsi="宋体" w:cs="宋体"/>
                <w:sz w:val="24"/>
              </w:rPr>
              <w:t>节能产品认证证书（本项目拟采购的产品不属于政府强制采购的节能产品品目清单范围的，无需提供）</w:t>
            </w:r>
          </w:p>
        </w:tc>
        <w:tc>
          <w:tcPr>
            <w:tcW w:w="1418" w:type="dxa"/>
          </w:tcPr>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见投标文件</w:t>
            </w:r>
          </w:p>
          <w:p>
            <w:pPr>
              <w:pStyle w:val="4"/>
              <w:rPr>
                <w:rFonts w:ascii="宋体" w:hAnsi="宋体" w:eastAsia="宋体" w:cs="宋体"/>
                <w:lang w:val="en-US"/>
              </w:rPr>
            </w:pPr>
            <w:r>
              <w:rPr>
                <w:rFonts w:hint="eastAsia" w:ascii="宋体" w:hAnsi="宋体" w:eastAsia="宋体" w:cs="宋体"/>
                <w:b w:val="0"/>
                <w:bCs w:val="0"/>
                <w:sz w:val="24"/>
                <w:szCs w:val="24"/>
                <w:lang w:val="en-US"/>
              </w:rPr>
              <w:t>第</w:t>
            </w:r>
            <w:r>
              <w:rPr>
                <w:rFonts w:hint="eastAsia" w:ascii="宋体" w:hAnsi="宋体" w:eastAsia="宋体" w:cs="宋体"/>
                <w:b w:val="0"/>
                <w:bCs w:val="0"/>
                <w:sz w:val="24"/>
                <w:szCs w:val="24"/>
                <w:u w:val="single"/>
                <w:lang w:val="en-US"/>
              </w:rPr>
              <w:t xml:space="preserve">  </w:t>
            </w:r>
            <w:r>
              <w:rPr>
                <w:rFonts w:hint="eastAsia" w:ascii="宋体" w:hAnsi="宋体" w:eastAsia="宋体" w:cs="宋体"/>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sz w:val="24"/>
              </w:rPr>
            </w:pPr>
            <w:r>
              <w:rPr>
                <w:rFonts w:hint="eastAsia" w:ascii="宋体" w:hAnsi="宋体" w:cs="宋体"/>
                <w:sz w:val="24"/>
              </w:rPr>
              <w:t>3</w:t>
            </w:r>
          </w:p>
        </w:tc>
        <w:tc>
          <w:tcPr>
            <w:tcW w:w="4991" w:type="dxa"/>
          </w:tcPr>
          <w:p>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rPr>
                <w:rFonts w:ascii="宋体" w:hAnsi="宋体" w:cs="宋体"/>
                <w:sz w:val="24"/>
              </w:rPr>
            </w:pPr>
            <w:r>
              <w:rPr>
                <w:rFonts w:hint="eastAsia" w:ascii="宋体" w:hAnsi="宋体" w:cs="宋体"/>
                <w:sz w:val="24"/>
              </w:rPr>
              <w:t>投标函</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sz w:val="24"/>
              </w:rPr>
            </w:pPr>
            <w:r>
              <w:rPr>
                <w:rFonts w:hint="eastAsia" w:ascii="宋体" w:hAnsi="宋体" w:cs="宋体"/>
                <w:sz w:val="24"/>
              </w:rPr>
              <w:t>4</w:t>
            </w:r>
          </w:p>
        </w:tc>
        <w:tc>
          <w:tcPr>
            <w:tcW w:w="4991" w:type="dxa"/>
          </w:tcPr>
          <w:p>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 xml:space="preserve">            </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rPr>
      </w:pPr>
      <w:r>
        <w:rPr>
          <w:rFonts w:hint="eastAsia" w:ascii="宋体" w:hAnsi="宋体" w:cs="宋体"/>
          <w:b/>
          <w:kern w:val="0"/>
          <w:sz w:val="32"/>
          <w:szCs w:val="32"/>
        </w:rPr>
        <w:t>五、评标标准相应的商务技术资料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843"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1</w:t>
            </w:r>
          </w:p>
        </w:tc>
        <w:tc>
          <w:tcPr>
            <w:tcW w:w="1417" w:type="dxa"/>
            <w:vAlign w:val="center"/>
          </w:tcPr>
          <w:p>
            <w:pPr>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2</w:t>
            </w:r>
          </w:p>
        </w:tc>
        <w:tc>
          <w:tcPr>
            <w:tcW w:w="1417" w:type="dxa"/>
            <w:vAlign w:val="center"/>
          </w:tcPr>
          <w:p>
            <w:pPr>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w:t>
            </w: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pPr>
              <w:spacing w:line="360" w:lineRule="auto"/>
              <w:jc w:val="center"/>
              <w:rPr>
                <w:rFonts w:ascii="宋体" w:hAnsi="宋体" w:cs="宋体"/>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kern w:val="0"/>
          <w:sz w:val="24"/>
          <w:lang w:val="zh-CN"/>
        </w:rPr>
      </w:pPr>
      <w:r>
        <w:rPr>
          <w:rFonts w:ascii="宋体" w:hAnsi="宋体" w:cs="宋体"/>
          <w:kern w:val="0"/>
          <w:sz w:val="24"/>
          <w:szCs w:val="22"/>
          <w:lang w:val="zh-CN"/>
        </w:rPr>
        <w:t>4</w:t>
      </w:r>
      <w:r>
        <w:rPr>
          <w:rFonts w:hint="eastAsia" w:ascii="宋体" w:hAnsi="宋体" w:cs="宋体"/>
          <w:kern w:val="0"/>
          <w:sz w:val="24"/>
          <w:szCs w:val="22"/>
          <w:lang w:val="zh-CN"/>
        </w:rPr>
        <w:t>、</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p>
    <w:p>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558" w:name="_Hlk101259491"/>
      <w:r>
        <w:rPr>
          <w:rFonts w:hint="eastAsia" w:ascii="宋体" w:hAnsi="宋体" w:eastAsia="宋体" w:cs="宋体"/>
          <w:sz w:val="32"/>
          <w:szCs w:val="32"/>
        </w:rPr>
        <w:t>（如果有）</w:t>
      </w:r>
      <w:bookmarkEnd w:id="558"/>
    </w:p>
    <w:p>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pPr>
        <w:pStyle w:val="691"/>
        <w:keepNext w:val="0"/>
        <w:pageBreakBefore w:val="0"/>
        <w:tabs>
          <w:tab w:val="clear" w:pos="720"/>
        </w:tabs>
        <w:snapToGrid w:val="0"/>
        <w:spacing w:before="120" w:after="120"/>
        <w:ind w:firstLine="643"/>
        <w:outlineLvl w:val="9"/>
        <w:rPr>
          <w:rFonts w:ascii="宋体" w:hAnsi="宋体" w:eastAsia="宋体" w:cs="宋体"/>
          <w:b w:val="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tabs>
          <w:tab w:val="left" w:pos="8085"/>
        </w:tabs>
        <w:spacing w:line="360" w:lineRule="auto"/>
        <w:ind w:firstLine="1285" w:firstLineChars="400"/>
        <w:jc w:val="left"/>
        <w:rPr>
          <w:rFonts w:ascii="宋体" w:hAnsi="宋体" w:cs="宋体"/>
          <w:b/>
          <w:sz w:val="32"/>
          <w:szCs w:val="32"/>
        </w:rPr>
      </w:pPr>
      <w:r>
        <w:rPr>
          <w:rFonts w:hint="eastAsia" w:ascii="宋体" w:hAnsi="宋体" w:cs="宋体"/>
          <w:b/>
          <w:sz w:val="32"/>
          <w:szCs w:val="32"/>
        </w:rPr>
        <w:t>政府采购支持中小企业信用融资相关事项通知</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宋体" w:hAnsi="宋体" w:cs="宋体"/>
          <w:kern w:val="0"/>
          <w:sz w:val="24"/>
          <w:lang w:val="zh-CN"/>
        </w:rPr>
      </w:pPr>
      <w:r>
        <w:rPr>
          <w:rFonts w:hint="eastAsia" w:ascii="宋体" w:hAnsi="宋体" w:cs="宋体"/>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宋体" w:hAnsi="宋体" w:cs="宋体"/>
          <w:b/>
          <w:sz w:val="24"/>
        </w:rPr>
      </w:pPr>
      <w:r>
        <w:rPr>
          <w:rFonts w:hint="eastAsia" w:ascii="宋体" w:hAnsi="宋体" w:cs="宋体"/>
          <w:b/>
          <w:sz w:val="24"/>
        </w:rPr>
        <w:t>一、适用对象</w:t>
      </w:r>
    </w:p>
    <w:p>
      <w:pPr>
        <w:spacing w:line="360" w:lineRule="auto"/>
        <w:ind w:firstLine="480" w:firstLineChars="200"/>
        <w:rPr>
          <w:rFonts w:ascii="宋体" w:hAnsi="宋体" w:cs="宋体"/>
          <w:sz w:val="24"/>
        </w:rPr>
      </w:pPr>
      <w:r>
        <w:rPr>
          <w:rFonts w:hint="eastAsia" w:ascii="宋体" w:hAnsi="宋体" w:cs="宋体"/>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宋体" w:hAnsi="宋体" w:cs="宋体"/>
          <w:b/>
          <w:sz w:val="24"/>
        </w:rPr>
      </w:pPr>
      <w:r>
        <w:rPr>
          <w:rFonts w:hint="eastAsia" w:ascii="宋体" w:hAnsi="宋体" w:cs="宋体"/>
          <w:b/>
          <w:sz w:val="24"/>
        </w:rPr>
        <w:t>二、相关信息获取方式</w:t>
      </w:r>
    </w:p>
    <w:p>
      <w:pPr>
        <w:spacing w:line="360" w:lineRule="auto"/>
        <w:ind w:firstLine="480" w:firstLineChars="200"/>
        <w:rPr>
          <w:rFonts w:ascii="宋体" w:hAnsi="宋体" w:cs="宋体"/>
          <w:sz w:val="24"/>
        </w:rPr>
      </w:pPr>
      <w:r>
        <w:rPr>
          <w:rFonts w:hint="eastAsia" w:ascii="宋体" w:hAnsi="宋体" w:cs="宋体"/>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宋体" w:hAnsi="宋体" w:cs="宋体"/>
          <w:b/>
          <w:sz w:val="24"/>
        </w:rPr>
      </w:pPr>
      <w:r>
        <w:rPr>
          <w:rFonts w:hint="eastAsia" w:ascii="宋体" w:hAnsi="宋体" w:cs="宋体"/>
          <w:b/>
          <w:sz w:val="24"/>
        </w:rPr>
        <w:t>三、　政府采购信用融资操作流程：</w:t>
      </w:r>
    </w:p>
    <w:p>
      <w:pPr>
        <w:spacing w:line="360" w:lineRule="auto"/>
        <w:ind w:firstLine="960" w:firstLineChars="400"/>
        <w:rPr>
          <w:rFonts w:ascii="宋体" w:hAnsi="宋体" w:cs="宋体"/>
          <w:sz w:val="24"/>
        </w:rPr>
      </w:pPr>
      <w:r>
        <w:rPr>
          <w:rFonts w:hint="eastAsia" w:ascii="宋体" w:hAnsi="宋体" w:cs="宋体"/>
          <w:sz w:val="24"/>
        </w:rPr>
        <w:t>（一）线上融资模式：</w:t>
      </w:r>
    </w:p>
    <w:p>
      <w:pPr>
        <w:spacing w:line="360" w:lineRule="auto"/>
        <w:ind w:firstLine="480" w:firstLineChars="200"/>
        <w:rPr>
          <w:rFonts w:ascii="宋体" w:hAnsi="宋体" w:cs="宋体"/>
          <w:sz w:val="24"/>
        </w:rPr>
      </w:pPr>
      <w:r>
        <w:rPr>
          <w:rFonts w:hint="eastAsia" w:ascii="宋体" w:hAnsi="宋体" w:cs="宋体"/>
          <w:sz w:val="24"/>
        </w:rPr>
        <w:t>　　1.供应商根据合作银行提供的方案，自行选择金融产品，并办理开户等手续；</w:t>
      </w:r>
    </w:p>
    <w:p>
      <w:pPr>
        <w:spacing w:line="360" w:lineRule="auto"/>
        <w:ind w:firstLine="480" w:firstLineChars="200"/>
        <w:rPr>
          <w:rFonts w:ascii="宋体" w:hAnsi="宋体" w:cs="宋体"/>
          <w:sz w:val="24"/>
        </w:rPr>
      </w:pPr>
      <w:r>
        <w:rPr>
          <w:rFonts w:hint="eastAsia" w:ascii="宋体" w:hAnsi="宋体" w:cs="宋体"/>
          <w:sz w:val="24"/>
        </w:rPr>
        <w:t>　　2.供应商中标后，可通过杭州市政府采购网或“浙里办”测算授信额度；</w:t>
      </w:r>
    </w:p>
    <w:p>
      <w:pPr>
        <w:spacing w:line="360" w:lineRule="auto"/>
        <w:ind w:firstLine="480" w:firstLineChars="200"/>
        <w:rPr>
          <w:rFonts w:ascii="宋体" w:hAnsi="宋体" w:cs="宋体"/>
          <w:sz w:val="24"/>
        </w:rPr>
      </w:pPr>
      <w:r>
        <w:rPr>
          <w:rFonts w:hint="eastAsia" w:ascii="宋体" w:hAnsi="宋体" w:cs="宋体"/>
          <w:sz w:val="24"/>
        </w:rPr>
        <w:t>　　3.采购合同签订后，供应商在杭州市政府采购网或“浙里办”向合作银行发出融资申请；</w:t>
      </w:r>
    </w:p>
    <w:p>
      <w:pPr>
        <w:spacing w:line="360" w:lineRule="auto"/>
        <w:ind w:firstLine="480" w:firstLineChars="200"/>
        <w:rPr>
          <w:rFonts w:ascii="宋体" w:hAnsi="宋体" w:cs="宋体"/>
          <w:sz w:val="24"/>
        </w:rPr>
      </w:pPr>
      <w:r>
        <w:rPr>
          <w:rFonts w:hint="eastAsia" w:ascii="宋体" w:hAnsi="宋体" w:cs="宋体"/>
          <w:sz w:val="24"/>
        </w:rPr>
        <w:t>　　4.审批通过后，在线办理放贷手续。</w:t>
      </w:r>
    </w:p>
    <w:p>
      <w:pPr>
        <w:spacing w:line="360" w:lineRule="auto"/>
        <w:ind w:firstLine="480" w:firstLineChars="200"/>
        <w:rPr>
          <w:rFonts w:ascii="宋体" w:hAnsi="宋体" w:cs="宋体"/>
          <w:sz w:val="24"/>
        </w:rPr>
      </w:pPr>
      <w:r>
        <w:rPr>
          <w:rFonts w:hint="eastAsia" w:ascii="宋体" w:hAnsi="宋体" w:cs="宋体"/>
          <w:sz w:val="24"/>
        </w:rPr>
        <w:t>　　（二）线下融资模式：</w:t>
      </w:r>
    </w:p>
    <w:p>
      <w:pPr>
        <w:spacing w:line="360" w:lineRule="auto"/>
        <w:ind w:firstLine="480" w:firstLineChars="200"/>
        <w:rPr>
          <w:rFonts w:ascii="宋体" w:hAnsi="宋体" w:cs="宋体"/>
          <w:sz w:val="24"/>
        </w:rPr>
      </w:pPr>
      <w:r>
        <w:rPr>
          <w:rFonts w:hint="eastAsia" w:ascii="宋体" w:hAnsi="宋体" w:cs="宋体"/>
          <w:sz w:val="24"/>
        </w:rPr>
        <w:t>　　1.供应商根据合作银行提供的方案，自行选择金融产品，向合作银行提出信用资格预审，并办理开户等手续；</w:t>
      </w:r>
    </w:p>
    <w:p>
      <w:pPr>
        <w:spacing w:line="360" w:lineRule="auto"/>
        <w:ind w:firstLine="480" w:firstLineChars="200"/>
        <w:rPr>
          <w:rFonts w:ascii="宋体" w:hAnsi="宋体" w:cs="宋体"/>
          <w:sz w:val="24"/>
        </w:rPr>
      </w:pPr>
      <w:r>
        <w:rPr>
          <w:rFonts w:hint="eastAsia" w:ascii="宋体" w:hAnsi="宋体" w:cs="宋体"/>
          <w:sz w:val="24"/>
        </w:rPr>
        <w:t>　　2.采购合同签订后，供应商在杭州市政府采购网或“浙里办”向合作银行发出融资申请；</w:t>
      </w:r>
    </w:p>
    <w:p>
      <w:pPr>
        <w:spacing w:line="360" w:lineRule="auto"/>
        <w:ind w:firstLine="480" w:firstLineChars="200"/>
        <w:rPr>
          <w:rFonts w:ascii="宋体" w:hAnsi="宋体" w:cs="宋体"/>
          <w:sz w:val="24"/>
        </w:rPr>
      </w:pPr>
      <w:r>
        <w:rPr>
          <w:rFonts w:hint="eastAsia" w:ascii="宋体" w:hAnsi="宋体" w:cs="宋体"/>
          <w:sz w:val="24"/>
        </w:rPr>
        <w:t>　　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宋体" w:hAnsi="宋体" w:cs="宋体"/>
          <w:sz w:val="24"/>
        </w:rPr>
      </w:pPr>
      <w:r>
        <w:rPr>
          <w:rFonts w:hint="eastAsia" w:ascii="宋体" w:hAnsi="宋体" w:cs="宋体"/>
          <w:sz w:val="24"/>
        </w:rPr>
        <w:t>　　4.审批通过后，合作银行应按照合作备忘录中约定的审批放款期限和优惠利率及时予以放款。</w:t>
      </w:r>
    </w:p>
    <w:p>
      <w:pPr>
        <w:pStyle w:val="4"/>
        <w:numPr>
          <w:ilvl w:val="255"/>
          <w:numId w:val="0"/>
        </w:numPr>
        <w:ind w:firstLine="960" w:firstLineChars="4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（三）杭州e融平台申请融资</w:t>
      </w:r>
    </w:p>
    <w:p>
      <w:pPr>
        <w:pStyle w:val="4"/>
        <w:numPr>
          <w:ilvl w:val="255"/>
          <w:numId w:val="0"/>
        </w:numPr>
        <w:ind w:firstLine="960" w:firstLineChars="4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供应商通过杭州e融平台政采贷专区，自行选择金融产品，按规定手续办理贷款流程。</w:t>
      </w:r>
    </w:p>
    <w:p>
      <w:pPr>
        <w:spacing w:line="360" w:lineRule="auto"/>
        <w:ind w:firstLine="482" w:firstLineChars="200"/>
        <w:rPr>
          <w:rFonts w:ascii="宋体" w:hAnsi="宋体" w:cs="宋体"/>
          <w:b/>
          <w:sz w:val="24"/>
        </w:rPr>
      </w:pPr>
      <w:r>
        <w:rPr>
          <w:rFonts w:hint="eastAsia" w:ascii="宋体" w:hAnsi="宋体" w:cs="宋体"/>
          <w:b/>
          <w:sz w:val="24"/>
        </w:rPr>
        <w:t>四、注意事项</w:t>
      </w:r>
    </w:p>
    <w:p>
      <w:pPr>
        <w:spacing w:line="360" w:lineRule="auto"/>
        <w:ind w:firstLine="480" w:firstLineChars="200"/>
        <w:rPr>
          <w:rFonts w:ascii="宋体" w:hAnsi="宋体" w:cs="宋体"/>
          <w:sz w:val="24"/>
        </w:rPr>
      </w:pPr>
      <w:r>
        <w:rPr>
          <w:rFonts w:hint="eastAsia" w:ascii="宋体" w:hAnsi="宋体" w:cs="宋体"/>
          <w:sz w:val="24"/>
        </w:rPr>
        <w:t>1、对拟用于信用融资的政府采购合同，供应商在签订合同时应当在合同中注明融资银行名称及账号，作为在该银行的唯一收款账号。</w:t>
      </w:r>
    </w:p>
    <w:p>
      <w:pPr>
        <w:spacing w:line="360" w:lineRule="auto"/>
        <w:ind w:firstLine="480" w:firstLineChars="200"/>
        <w:rPr>
          <w:rFonts w:ascii="宋体" w:hAnsi="宋体" w:cs="宋体"/>
          <w:sz w:val="24"/>
        </w:rPr>
      </w:pPr>
      <w:r>
        <w:rPr>
          <w:rFonts w:hint="eastAsia" w:ascii="宋体" w:hAnsi="宋体" w:cs="宋体"/>
          <w:sz w:val="24"/>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ascii="宋体" w:hAnsi="宋体" w:cs="宋体"/>
          <w:b/>
          <w:bCs/>
          <w:kern w:val="0"/>
          <w:sz w:val="24"/>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559" w:name="_Toc465665161"/>
      <w:r>
        <w:rPr>
          <w:rFonts w:hint="eastAsia" w:ascii="宋体" w:hAnsi="宋体" w:cs="宋体"/>
        </w:rPr>
        <w:t>附件</w:t>
      </w:r>
      <w:bookmarkEnd w:id="559"/>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560" w:name="OLE_LINK14"/>
      <w:bookmarkStart w:id="561" w:name="OLE_LINK13"/>
      <w:r>
        <w:rPr>
          <w:rFonts w:hint="eastAsia" w:ascii="宋体" w:hAnsi="宋体" w:cs="宋体"/>
          <w:b/>
          <w:spacing w:val="6"/>
          <w:sz w:val="32"/>
          <w:szCs w:val="32"/>
        </w:rPr>
        <w:t>残疾人福利性单位声明函</w:t>
      </w:r>
    </w:p>
    <w:bookmarkEnd w:id="560"/>
    <w:bookmarkEnd w:id="561"/>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sz w:val="24"/>
        </w:rPr>
      </w:pPr>
      <w:r>
        <w:rPr>
          <w:rFonts w:hint="eastAsia" w:ascii="宋体" w:hAnsi="宋体" w:cs="宋体"/>
          <w:sz w:val="24"/>
          <w:u w:val="single"/>
        </w:rPr>
        <w:t>（采购人）、（采购代理机构）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你方组织的（项目名称）项目【招标编号：（采购编号）】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w:t>
      </w:r>
      <w:r>
        <w:rPr>
          <w:rFonts w:ascii="宋体" w:hAnsi="宋体" w:cs="宋体"/>
          <w:b/>
          <w:spacing w:val="6"/>
          <w:sz w:val="32"/>
          <w:szCs w:val="32"/>
        </w:rPr>
        <w:t>7</w:t>
      </w:r>
      <w:r>
        <w:rPr>
          <w:rFonts w:hint="eastAsia" w:ascii="宋体" w:hAnsi="宋体" w:cs="宋体"/>
          <w:b/>
          <w:spacing w:val="6"/>
          <w:sz w:val="32"/>
          <w:szCs w:val="32"/>
        </w:rPr>
        <w:t>：</w:t>
      </w:r>
      <w:r>
        <w:rPr>
          <w:rFonts w:hint="eastAsia" w:ascii="宋体" w:hAnsi="宋体" w:cs="宋体"/>
          <w:b/>
          <w:sz w:val="32"/>
          <w:szCs w:val="32"/>
        </w:rPr>
        <w:t>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32"/>
          <w:szCs w:val="32"/>
        </w:rPr>
      </w:pPr>
      <w:r>
        <w:rPr>
          <w:rFonts w:hint="eastAsia" w:ascii="宋体" w:hAnsi="宋体" w:cs="宋体"/>
          <w:b/>
          <w:sz w:val="32"/>
          <w:szCs w:val="32"/>
        </w:rPr>
        <w:t>中小企业声明函（货物）</w:t>
      </w:r>
    </w:p>
    <w:p>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jc w:val="center"/>
        <w:rPr>
          <w:rFonts w:ascii="仿宋" w:hAnsi="仿宋" w:eastAsia="仿宋" w:cs="仿宋"/>
          <w:sz w:val="44"/>
          <w:szCs w:val="44"/>
        </w:rPr>
      </w:pPr>
      <w:r>
        <w:rPr>
          <w:rFonts w:hint="eastAsia" w:ascii="仿宋" w:hAnsi="仿宋" w:eastAsia="仿宋" w:cs="仿宋"/>
          <w:b/>
          <w:bCs/>
          <w:sz w:val="40"/>
          <w:szCs w:val="40"/>
        </w:rPr>
        <w:t>政府采购融资畅通工程金融机构联系信息表</w:t>
      </w:r>
    </w:p>
    <w:p>
      <w:pPr>
        <w:rPr>
          <w:rFonts w:ascii="仿宋" w:hAnsi="仿宋" w:eastAsia="仿宋" w:cs="仿宋"/>
          <w:sz w:val="44"/>
          <w:szCs w:val="44"/>
        </w:rPr>
      </w:pPr>
    </w:p>
    <w:tbl>
      <w:tblPr>
        <w:tblStyle w:val="63"/>
        <w:tblW w:w="93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0"/>
        <w:gridCol w:w="1425"/>
        <w:gridCol w:w="2444"/>
        <w:gridCol w:w="2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2700" w:type="dxa"/>
            <w:vAlign w:val="center"/>
          </w:tcPr>
          <w:p>
            <w:pPr>
              <w:jc w:val="center"/>
              <w:rPr>
                <w:rFonts w:ascii="仿宋" w:hAnsi="仿宋" w:eastAsia="仿宋" w:cs="仿宋"/>
                <w:sz w:val="28"/>
                <w:szCs w:val="28"/>
              </w:rPr>
            </w:pPr>
            <w:r>
              <w:rPr>
                <w:rFonts w:hint="eastAsia" w:ascii="仿宋" w:hAnsi="仿宋" w:eastAsia="仿宋" w:cs="仿宋"/>
                <w:sz w:val="28"/>
                <w:szCs w:val="28"/>
              </w:rPr>
              <w:t>金融机构各称</w:t>
            </w:r>
          </w:p>
        </w:tc>
        <w:tc>
          <w:tcPr>
            <w:tcW w:w="1425" w:type="dxa"/>
            <w:vAlign w:val="center"/>
          </w:tcPr>
          <w:p>
            <w:pPr>
              <w:jc w:val="center"/>
              <w:rPr>
                <w:rFonts w:ascii="仿宋" w:hAnsi="仿宋" w:eastAsia="仿宋" w:cs="仿宋"/>
                <w:sz w:val="28"/>
                <w:szCs w:val="28"/>
              </w:rPr>
            </w:pPr>
            <w:r>
              <w:rPr>
                <w:rFonts w:hint="eastAsia" w:ascii="仿宋" w:hAnsi="仿宋" w:eastAsia="仿宋" w:cs="仿宋"/>
                <w:sz w:val="28"/>
                <w:szCs w:val="28"/>
              </w:rPr>
              <w:t>联系人</w:t>
            </w:r>
          </w:p>
        </w:tc>
        <w:tc>
          <w:tcPr>
            <w:tcW w:w="2444" w:type="dxa"/>
            <w:vAlign w:val="center"/>
          </w:tcPr>
          <w:p>
            <w:pPr>
              <w:jc w:val="center"/>
              <w:rPr>
                <w:rFonts w:ascii="仿宋" w:hAnsi="仿宋" w:eastAsia="仿宋" w:cs="仿宋"/>
                <w:sz w:val="28"/>
                <w:szCs w:val="28"/>
              </w:rPr>
            </w:pPr>
            <w:r>
              <w:rPr>
                <w:rFonts w:hint="eastAsia" w:ascii="仿宋" w:hAnsi="仿宋" w:eastAsia="仿宋" w:cs="仿宋"/>
                <w:sz w:val="28"/>
                <w:szCs w:val="28"/>
              </w:rPr>
              <w:t>联系电话</w:t>
            </w:r>
          </w:p>
        </w:tc>
        <w:tc>
          <w:tcPr>
            <w:tcW w:w="2775" w:type="dxa"/>
            <w:vAlign w:val="center"/>
          </w:tcPr>
          <w:p>
            <w:pPr>
              <w:jc w:val="center"/>
              <w:rPr>
                <w:rFonts w:ascii="仿宋" w:hAnsi="仿宋" w:eastAsia="仿宋" w:cs="仿宋"/>
                <w:sz w:val="28"/>
                <w:szCs w:val="28"/>
              </w:rPr>
            </w:pPr>
            <w:r>
              <w:rPr>
                <w:rFonts w:hint="eastAsia" w:ascii="仿宋" w:hAnsi="仿宋" w:eastAsia="仿宋" w:cs="仿宋"/>
                <w:sz w:val="28"/>
                <w:szCs w:val="28"/>
              </w:rPr>
              <w:t>联系地址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2700" w:type="dxa"/>
            <w:tcBorders>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sz w:val="28"/>
                <w:szCs w:val="28"/>
              </w:rPr>
              <w:t>南</w:t>
            </w:r>
            <w:r>
              <w:rPr>
                <w:rFonts w:hint="eastAsia" w:ascii="仿宋" w:hAnsi="仿宋" w:eastAsia="仿宋" w:cs="仿宋"/>
                <w:color w:val="030303"/>
                <w:sz w:val="28"/>
                <w:szCs w:val="28"/>
                <w:shd w:val="clear" w:color="auto" w:fill="FFFFFF"/>
              </w:rPr>
              <w:t>浔银行</w:t>
            </w:r>
          </w:p>
        </w:tc>
        <w:tc>
          <w:tcPr>
            <w:tcW w:w="1425" w:type="dxa"/>
            <w:tcBorders>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color w:val="030303"/>
                <w:sz w:val="28"/>
                <w:szCs w:val="28"/>
                <w:shd w:val="clear" w:color="auto" w:fill="FFFFFF"/>
              </w:rPr>
              <w:t>方薇</w:t>
            </w:r>
          </w:p>
        </w:tc>
        <w:tc>
          <w:tcPr>
            <w:tcW w:w="2444" w:type="dxa"/>
            <w:tcBorders>
              <w:bottom w:val="single" w:color="auto" w:sz="4" w:space="0"/>
            </w:tcBorders>
            <w:vAlign w:val="center"/>
          </w:tcPr>
          <w:p>
            <w:pPr>
              <w:jc w:val="center"/>
              <w:rPr>
                <w:rFonts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13868003773</w:t>
            </w:r>
          </w:p>
        </w:tc>
        <w:tc>
          <w:tcPr>
            <w:tcW w:w="2775" w:type="dxa"/>
            <w:tcBorders>
              <w:bottom w:val="single" w:color="auto" w:sz="4" w:space="0"/>
            </w:tcBorders>
            <w:vAlign w:val="center"/>
          </w:tcPr>
          <w:p>
            <w:pPr>
              <w:pStyle w:val="59"/>
              <w:jc w:val="center"/>
              <w:rPr>
                <w:rFonts w:ascii="仿宋" w:hAnsi="仿宋" w:eastAsia="仿宋" w:cs="仿宋"/>
                <w:sz w:val="28"/>
                <w:szCs w:val="28"/>
              </w:rPr>
            </w:pPr>
            <w:r>
              <w:rPr>
                <w:rFonts w:hint="eastAsia" w:ascii="仿宋" w:hAnsi="仿宋" w:eastAsia="仿宋" w:cs="仿宋"/>
                <w:sz w:val="28"/>
                <w:szCs w:val="28"/>
              </w:rPr>
              <w:t>城中街638号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3" w:hRule="atLeast"/>
          <w:jc w:val="center"/>
        </w:trPr>
        <w:tc>
          <w:tcPr>
            <w:tcW w:w="2700" w:type="dxa"/>
            <w:tcBorders>
              <w:top w:val="single" w:color="auto" w:sz="4" w:space="0"/>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sz w:val="28"/>
                <w:szCs w:val="28"/>
              </w:rPr>
              <w:t>浦发银行临安分行</w:t>
            </w:r>
          </w:p>
        </w:tc>
        <w:tc>
          <w:tcPr>
            <w:tcW w:w="1425" w:type="dxa"/>
            <w:tcBorders>
              <w:top w:val="single" w:color="auto" w:sz="4" w:space="0"/>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sz w:val="28"/>
                <w:szCs w:val="28"/>
              </w:rPr>
              <w:t>沈</w:t>
            </w:r>
            <w:r>
              <w:rPr>
                <w:rFonts w:hint="eastAsia" w:ascii="仿宋" w:hAnsi="仿宋" w:eastAsia="仿宋" w:cs="仿宋"/>
                <w:color w:val="030303"/>
                <w:sz w:val="28"/>
                <w:szCs w:val="28"/>
                <w:shd w:val="clear" w:color="auto" w:fill="FFFFFF"/>
              </w:rPr>
              <w:t>丹丹</w:t>
            </w:r>
          </w:p>
        </w:tc>
        <w:tc>
          <w:tcPr>
            <w:tcW w:w="2444" w:type="dxa"/>
            <w:tcBorders>
              <w:top w:val="single" w:color="auto" w:sz="4" w:space="0"/>
              <w:bottom w:val="single" w:color="auto" w:sz="4" w:space="0"/>
            </w:tcBorders>
            <w:vAlign w:val="center"/>
          </w:tcPr>
          <w:p>
            <w:pPr>
              <w:jc w:val="center"/>
              <w:rPr>
                <w:rFonts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61092936</w:t>
            </w:r>
          </w:p>
          <w:p>
            <w:pPr>
              <w:jc w:val="center"/>
              <w:rPr>
                <w:rFonts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13777851690</w:t>
            </w:r>
          </w:p>
        </w:tc>
        <w:tc>
          <w:tcPr>
            <w:tcW w:w="2775" w:type="dxa"/>
            <w:tcBorders>
              <w:top w:val="single" w:color="auto" w:sz="4" w:space="0"/>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sz w:val="28"/>
                <w:szCs w:val="28"/>
              </w:rPr>
              <w:t>钱王大街417号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jc w:val="center"/>
        </w:trPr>
        <w:tc>
          <w:tcPr>
            <w:tcW w:w="2700" w:type="dxa"/>
            <w:tcBorders>
              <w:top w:val="single" w:color="auto" w:sz="4" w:space="0"/>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color w:val="030303"/>
                <w:sz w:val="28"/>
                <w:szCs w:val="28"/>
                <w:shd w:val="clear" w:color="auto" w:fill="FFFFFF"/>
              </w:rPr>
              <w:t>杭州银行临安支行</w:t>
            </w:r>
          </w:p>
        </w:tc>
        <w:tc>
          <w:tcPr>
            <w:tcW w:w="1425" w:type="dxa"/>
            <w:tcBorders>
              <w:top w:val="single" w:color="auto" w:sz="4" w:space="0"/>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sz w:val="28"/>
                <w:szCs w:val="28"/>
              </w:rPr>
              <w:t>金林妹</w:t>
            </w:r>
          </w:p>
        </w:tc>
        <w:tc>
          <w:tcPr>
            <w:tcW w:w="2444" w:type="dxa"/>
            <w:tcBorders>
              <w:top w:val="single" w:color="auto" w:sz="4" w:space="0"/>
              <w:bottom w:val="single" w:color="auto" w:sz="4" w:space="0"/>
            </w:tcBorders>
            <w:vAlign w:val="center"/>
          </w:tcPr>
          <w:p>
            <w:pPr>
              <w:jc w:val="center"/>
              <w:rPr>
                <w:rFonts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13666638571</w:t>
            </w:r>
          </w:p>
        </w:tc>
        <w:tc>
          <w:tcPr>
            <w:tcW w:w="2775" w:type="dxa"/>
            <w:tcBorders>
              <w:top w:val="single" w:color="auto" w:sz="4" w:space="0"/>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sz w:val="28"/>
                <w:szCs w:val="28"/>
              </w:rPr>
              <w:t>万马路255号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2700" w:type="dxa"/>
            <w:tcBorders>
              <w:top w:val="single" w:color="auto" w:sz="4" w:space="0"/>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sz w:val="28"/>
                <w:szCs w:val="28"/>
              </w:rPr>
              <w:t>临安中信村镇银行</w:t>
            </w:r>
          </w:p>
        </w:tc>
        <w:tc>
          <w:tcPr>
            <w:tcW w:w="1425" w:type="dxa"/>
            <w:tcBorders>
              <w:top w:val="single" w:color="auto" w:sz="4" w:space="0"/>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sz w:val="28"/>
                <w:szCs w:val="28"/>
              </w:rPr>
              <w:t>吕祎</w:t>
            </w:r>
          </w:p>
        </w:tc>
        <w:tc>
          <w:tcPr>
            <w:tcW w:w="2444" w:type="dxa"/>
            <w:tcBorders>
              <w:top w:val="single" w:color="auto" w:sz="4" w:space="0"/>
              <w:bottom w:val="single" w:color="auto" w:sz="4" w:space="0"/>
            </w:tcBorders>
            <w:vAlign w:val="center"/>
          </w:tcPr>
          <w:p>
            <w:pPr>
              <w:jc w:val="center"/>
              <w:rPr>
                <w:rFonts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13787100002 61109033</w:t>
            </w:r>
          </w:p>
        </w:tc>
        <w:tc>
          <w:tcPr>
            <w:tcW w:w="2775" w:type="dxa"/>
            <w:tcBorders>
              <w:top w:val="single" w:color="auto" w:sz="4" w:space="0"/>
              <w:bottom w:val="single" w:color="auto" w:sz="4" w:space="0"/>
            </w:tcBorders>
            <w:vAlign w:val="center"/>
          </w:tcPr>
          <w:p>
            <w:pPr>
              <w:jc w:val="center"/>
              <w:rPr>
                <w:rFonts w:ascii="仿宋" w:hAnsi="仿宋" w:eastAsia="仿宋" w:cs="仿宋"/>
                <w:sz w:val="28"/>
                <w:szCs w:val="28"/>
              </w:rPr>
            </w:pPr>
            <w:r>
              <w:rPr>
                <w:rFonts w:hint="eastAsia" w:ascii="仿宋" w:hAnsi="仿宋" w:eastAsia="仿宋" w:cs="仿宋"/>
                <w:sz w:val="28"/>
                <w:szCs w:val="28"/>
              </w:rPr>
              <w:t>石镜街777号</w:t>
            </w:r>
          </w:p>
        </w:tc>
      </w:tr>
    </w:tbl>
    <w:p>
      <w:pPr>
        <w:pStyle w:val="964"/>
        <w:jc w:val="both"/>
        <w:rPr>
          <w:rFonts w:ascii="仿宋" w:hAnsi="仿宋" w:eastAsia="仿宋" w:cs="仿宋"/>
          <w:b/>
          <w:sz w:val="36"/>
          <w:szCs w:val="36"/>
        </w:rPr>
      </w:pPr>
    </w:p>
    <w:p>
      <w:pPr>
        <w:pStyle w:val="964"/>
        <w:jc w:val="both"/>
        <w:rPr>
          <w:rFonts w:ascii="仿宋" w:hAnsi="仿宋" w:eastAsia="仿宋" w:cs="仿宋"/>
          <w:b/>
          <w:sz w:val="36"/>
          <w:szCs w:val="36"/>
        </w:rPr>
      </w:pPr>
    </w:p>
    <w:p>
      <w:pPr>
        <w:pStyle w:val="964"/>
        <w:jc w:val="both"/>
        <w:rPr>
          <w:rFonts w:ascii="仿宋" w:hAnsi="仿宋" w:eastAsia="仿宋" w:cs="仿宋"/>
          <w:b/>
          <w:sz w:val="36"/>
          <w:szCs w:val="36"/>
        </w:rPr>
      </w:pPr>
    </w:p>
    <w:p>
      <w:pPr>
        <w:pStyle w:val="24"/>
        <w:rPr>
          <w:rFonts w:ascii="仿宋" w:hAnsi="仿宋" w:eastAsia="仿宋" w:cs="仿宋"/>
          <w:b/>
          <w:bCs/>
        </w:rPr>
      </w:pPr>
    </w:p>
    <w:p>
      <w:pPr>
        <w:pStyle w:val="4"/>
      </w:pPr>
    </w:p>
    <w:sectPr>
      <w:headerReference r:id="rId21" w:type="first"/>
      <w:footerReference r:id="rId23" w:type="first"/>
      <w:headerReference r:id="rId20" w:type="default"/>
      <w:footerReference r:id="rId22"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MGDT"/>
    <w:panose1 w:val="00000000000000000000"/>
    <w:charset w:val="00"/>
    <w:family w:val="swiss"/>
    <w:pitch w:val="default"/>
    <w:sig w:usb0="00000000" w:usb1="00000000" w:usb2="00000000" w:usb3="00000000" w:csb0="00000011" w:csb1="00000000"/>
  </w:font>
  <w:font w:name="AMGDT">
    <w:panose1 w:val="02000400000000000000"/>
    <w:charset w:val="00"/>
    <w:family w:val="auto"/>
    <w:pitch w:val="default"/>
    <w:sig w:usb0="80000003" w:usb1="1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MGD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MGD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MGD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bookmarkStart w:id="562" w:name="_Toc131845147"/>
    <w:bookmarkStart w:id="563" w:name="_Toc164085800"/>
    <w:bookmarkStart w:id="564" w:name="_Toc91899912"/>
    <w:bookmarkStart w:id="565" w:name="_Toc36110187"/>
    <w:r>
      <w:rPr>
        <w:rFonts w:hint="eastAsia" w:ascii="仿宋_GB2312" w:eastAsia="仿宋_GB2312"/>
        <w:kern w:val="0"/>
        <w:szCs w:val="21"/>
      </w:rPr>
      <w:t xml:space="preserve"> 页</w:t>
    </w:r>
    <w:bookmarkEnd w:id="562"/>
    <w:bookmarkEnd w:id="563"/>
    <w:bookmarkEnd w:id="564"/>
    <w:bookmarkEnd w:id="56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963AAE"/>
    <w:multiLevelType w:val="singleLevel"/>
    <w:tmpl w:val="9E963AA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lODA3YzM3MDRkMmYwZWFkOGJhZjY0M2QwNGE2OGE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714809"/>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2B6437"/>
    <w:rsid w:val="047F2D99"/>
    <w:rsid w:val="048F763B"/>
    <w:rsid w:val="049F330E"/>
    <w:rsid w:val="04AA775C"/>
    <w:rsid w:val="04AF1889"/>
    <w:rsid w:val="04F66F48"/>
    <w:rsid w:val="05251E14"/>
    <w:rsid w:val="05750F4E"/>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8ED1168"/>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CB0D5E"/>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368F8"/>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2DD4A5E"/>
    <w:rsid w:val="13072A44"/>
    <w:rsid w:val="135F4BE2"/>
    <w:rsid w:val="139B1A0A"/>
    <w:rsid w:val="139D25C7"/>
    <w:rsid w:val="13BF3CE4"/>
    <w:rsid w:val="141008D8"/>
    <w:rsid w:val="14125FE6"/>
    <w:rsid w:val="146D271E"/>
    <w:rsid w:val="14982588"/>
    <w:rsid w:val="149A5AD9"/>
    <w:rsid w:val="14A7619D"/>
    <w:rsid w:val="14B901B9"/>
    <w:rsid w:val="150536C3"/>
    <w:rsid w:val="150C1963"/>
    <w:rsid w:val="151447A0"/>
    <w:rsid w:val="152C6190"/>
    <w:rsid w:val="154A6454"/>
    <w:rsid w:val="15762120"/>
    <w:rsid w:val="16A8729C"/>
    <w:rsid w:val="16B33777"/>
    <w:rsid w:val="16BC70A7"/>
    <w:rsid w:val="16C6339E"/>
    <w:rsid w:val="172F2D79"/>
    <w:rsid w:val="17557BEF"/>
    <w:rsid w:val="17D349C1"/>
    <w:rsid w:val="1830729E"/>
    <w:rsid w:val="1870062C"/>
    <w:rsid w:val="18811BF3"/>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557BCB"/>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2EC5646"/>
    <w:rsid w:val="233500BF"/>
    <w:rsid w:val="23377FF7"/>
    <w:rsid w:val="236B425F"/>
    <w:rsid w:val="23836192"/>
    <w:rsid w:val="23901F29"/>
    <w:rsid w:val="239C0061"/>
    <w:rsid w:val="23B908A4"/>
    <w:rsid w:val="23E95BEF"/>
    <w:rsid w:val="23FD0064"/>
    <w:rsid w:val="245375B0"/>
    <w:rsid w:val="24642C0A"/>
    <w:rsid w:val="24952752"/>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0A745E"/>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C09049E"/>
    <w:rsid w:val="2C0A653C"/>
    <w:rsid w:val="2C191F85"/>
    <w:rsid w:val="2CB0752A"/>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B32066"/>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282C8B"/>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BD7C84"/>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5C6352"/>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62700"/>
    <w:rsid w:val="55DC29B6"/>
    <w:rsid w:val="55DD4241"/>
    <w:rsid w:val="566B6D1E"/>
    <w:rsid w:val="567E6EE9"/>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821A33"/>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4D65B0"/>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AEC2AED"/>
    <w:rsid w:val="6B147746"/>
    <w:rsid w:val="6B24787C"/>
    <w:rsid w:val="6B573233"/>
    <w:rsid w:val="6B5B6274"/>
    <w:rsid w:val="6B935D53"/>
    <w:rsid w:val="6C196F71"/>
    <w:rsid w:val="6C226FCB"/>
    <w:rsid w:val="6C31226F"/>
    <w:rsid w:val="6C3F466C"/>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DD4638"/>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5521A4"/>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11032"/>
    <w:rsid w:val="7C254906"/>
    <w:rsid w:val="7C567BF3"/>
    <w:rsid w:val="7C590818"/>
    <w:rsid w:val="7C7C10F6"/>
    <w:rsid w:val="7C853BEA"/>
    <w:rsid w:val="7C881368"/>
    <w:rsid w:val="7CE27788"/>
    <w:rsid w:val="7D0C32F1"/>
    <w:rsid w:val="7D0F408D"/>
    <w:rsid w:val="7D2C4132"/>
    <w:rsid w:val="7D491C6C"/>
    <w:rsid w:val="7D5429C0"/>
    <w:rsid w:val="7D6E6D43"/>
    <w:rsid w:val="7DB57A34"/>
    <w:rsid w:val="7DE60973"/>
    <w:rsid w:val="7DEF0916"/>
    <w:rsid w:val="7E1E5218"/>
    <w:rsid w:val="7E4145BC"/>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BodyText1I2"/>
    <w:basedOn w:val="1"/>
    <w:qFormat/>
    <w:uiPriority w:val="0"/>
    <w:pPr>
      <w:spacing w:line="360" w:lineRule="auto"/>
      <w:ind w:firstLine="200" w:firstLineChars="200"/>
      <w:textAlignment w:val="baseline"/>
    </w:pPr>
    <w:rPr>
      <w:rFonts w:ascii="Times New Roman" w:hAnsi="Times New Roman" w:eastAsia="仿宋"/>
      <w:sz w:val="28"/>
      <w:lang w:eastAsia="zh-CN" w:bidi="ar-SA"/>
    </w:rPr>
  </w:style>
  <w:style w:type="paragraph" w:styleId="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link w:val="319"/>
    <w:qFormat/>
    <w:uiPriority w:val="0"/>
    <w:pPr>
      <w:ind w:firstLine="420"/>
    </w:pPr>
    <w:rPr>
      <w:rFonts w:hAnsi="Calibri" w:cs="Times New Roman"/>
      <w:snapToGrid/>
      <w:szCs w:val="20"/>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3"/>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9"/>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6"/>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4"/>
    <w:qFormat/>
    <w:uiPriority w:val="0"/>
    <w:rPr>
      <w:b/>
      <w:bCs/>
    </w:rPr>
  </w:style>
  <w:style w:type="paragraph" w:styleId="62">
    <w:name w:val="Body Text First Indent 2"/>
    <w:basedOn w:val="26"/>
    <w:link w:val="11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字符"/>
    <w:link w:val="61"/>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文本首行缩进 2 字符"/>
    <w:link w:val="62"/>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70"/>
    <w:qFormat/>
    <w:uiPriority w:val="0"/>
    <w:rPr>
      <w:rFonts w:ascii="Arial" w:hAnsi="Arial" w:eastAsia="黑体" w:cs="Arial"/>
      <w:snapToGrid w:val="0"/>
      <w:kern w:val="0"/>
      <w:szCs w:val="21"/>
    </w:rPr>
  </w:style>
  <w:style w:type="character" w:customStyle="1" w:styleId="123">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字符"/>
    <w:link w:val="48"/>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字符"/>
    <w:link w:val="9"/>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字符"/>
    <w:link w:val="37"/>
    <w:qFormat/>
    <w:uiPriority w:val="0"/>
    <w:rPr>
      <w:rFonts w:ascii="宋体"/>
      <w:kern w:val="2"/>
      <w:sz w:val="24"/>
      <w:szCs w:val="21"/>
      <w:lang w:val="zh-CN"/>
    </w:rPr>
  </w:style>
  <w:style w:type="character" w:customStyle="1" w:styleId="180">
    <w:name w:val="标题 9 字符"/>
    <w:link w:val="12"/>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字符1"/>
    <w:link w:val="40"/>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字符2"/>
    <w:link w:val="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字符"/>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70"/>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字符"/>
    <w:link w:val="31"/>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7"/>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字符"/>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8"/>
    <w:qFormat/>
    <w:uiPriority w:val="0"/>
    <w:rPr>
      <w:rFonts w:ascii="黑体" w:hAnsi="Courier New" w:eastAsia="黑体"/>
    </w:rPr>
  </w:style>
  <w:style w:type="character" w:customStyle="1" w:styleId="300">
    <w:name w:val="正文文本 2 字符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0"/>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5"/>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0"/>
    <w:qFormat/>
    <w:uiPriority w:val="0"/>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4"/>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字符"/>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Body Text First Indent1"/>
    <w:basedOn w:val="24"/>
    <w:qFormat/>
    <w:uiPriority w:val="0"/>
    <w:pPr>
      <w:ind w:firstLine="420" w:firstLineChars="100"/>
    </w:pPr>
    <w:rPr>
      <w:rFonts w:ascii="Calibri" w:hAnsi="Calibri" w:eastAsia="宋体" w:cs="Times New Roman"/>
    </w:rPr>
  </w:style>
  <w:style w:type="paragraph" w:customStyle="1" w:styleId="964">
    <w:name w:val="[Normal]"/>
    <w:qFormat/>
    <w:uiPriority w:val="0"/>
    <w:rPr>
      <w:rFonts w:ascii="宋体" w:hAnsi="宋体" w:eastAsia="宋体" w:cs="Times New Roman"/>
      <w:sz w:val="24"/>
      <w:szCs w:val="22"/>
      <w:lang w:val="zh-CN" w:eastAsia="zh-CN" w:bidi="ar-SA"/>
    </w:rPr>
  </w:style>
  <w:style w:type="character" w:customStyle="1" w:styleId="965">
    <w:name w:val="font112"/>
    <w:basedOn w:val="70"/>
    <w:qFormat/>
    <w:uiPriority w:val="0"/>
    <w:rPr>
      <w:rFonts w:hint="eastAsia" w:ascii="宋体" w:hAnsi="宋体" w:eastAsia="宋体" w:cs="宋体"/>
      <w:color w:val="000000"/>
      <w:sz w:val="22"/>
      <w:szCs w:val="22"/>
      <w:u w:val="none"/>
    </w:rPr>
  </w:style>
  <w:style w:type="character" w:customStyle="1" w:styleId="966">
    <w:name w:val="font101"/>
    <w:basedOn w:val="70"/>
    <w:qFormat/>
    <w:uiPriority w:val="0"/>
    <w:rPr>
      <w:rFonts w:hint="eastAsia" w:ascii="宋体" w:hAnsi="宋体" w:eastAsia="宋体" w:cs="宋体"/>
      <w:b/>
      <w:bCs/>
      <w:color w:val="000000"/>
      <w:sz w:val="22"/>
      <w:szCs w:val="22"/>
      <w:u w:val="none"/>
    </w:rPr>
  </w:style>
  <w:style w:type="paragraph" w:customStyle="1" w:styleId="967">
    <w:name w:val="UserStyle_287"/>
    <w:basedOn w:val="1"/>
    <w:qFormat/>
    <w:uiPriority w:val="0"/>
    <w:pPr>
      <w:widowControl/>
      <w:ind w:firstLine="420"/>
      <w:jc w:val="both"/>
      <w:textAlignment w:val="baseline"/>
    </w:pPr>
    <w:rPr>
      <w:rFonts w:ascii="Arial" w:hAnsi="Arial" w:eastAsia="宋体" w:cs="Times New Roman"/>
      <w:color w:val="auto"/>
      <w:kern w:val="2"/>
      <w:lang w:eastAsia="zh-CN" w:bidi="ar-SA"/>
    </w:rPr>
  </w:style>
  <w:style w:type="character" w:customStyle="1" w:styleId="968">
    <w:name w:val="NormalCharacter"/>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jpe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jpeg"/><Relationship Id="rId91" Type="http://schemas.openxmlformats.org/officeDocument/2006/relationships/image" Target="media/image66.png"/><Relationship Id="rId90" Type="http://schemas.openxmlformats.org/officeDocument/2006/relationships/image" Target="media/image65.jpeg"/><Relationship Id="rId9" Type="http://schemas.openxmlformats.org/officeDocument/2006/relationships/header" Target="header4.xml"/><Relationship Id="rId89" Type="http://schemas.openxmlformats.org/officeDocument/2006/relationships/image" Target="media/image64.jpeg"/><Relationship Id="rId88" Type="http://schemas.openxmlformats.org/officeDocument/2006/relationships/image" Target="media/image63.jpeg"/><Relationship Id="rId87" Type="http://schemas.openxmlformats.org/officeDocument/2006/relationships/image" Target="media/image62.jpeg"/><Relationship Id="rId86" Type="http://schemas.openxmlformats.org/officeDocument/2006/relationships/image" Target="media/image61.jpeg"/><Relationship Id="rId85" Type="http://schemas.openxmlformats.org/officeDocument/2006/relationships/image" Target="media/image60.png"/><Relationship Id="rId84" Type="http://schemas.openxmlformats.org/officeDocument/2006/relationships/image" Target="media/image59.jpeg"/><Relationship Id="rId83" Type="http://schemas.openxmlformats.org/officeDocument/2006/relationships/image" Target="media/image58.jpe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jpeg"/><Relationship Id="rId78" Type="http://schemas.openxmlformats.org/officeDocument/2006/relationships/image" Target="media/image53.png"/><Relationship Id="rId77" Type="http://schemas.openxmlformats.org/officeDocument/2006/relationships/image" Target="media/image52.jpeg"/><Relationship Id="rId76" Type="http://schemas.openxmlformats.org/officeDocument/2006/relationships/image" Target="media/image51.jpeg"/><Relationship Id="rId75" Type="http://schemas.openxmlformats.org/officeDocument/2006/relationships/image" Target="media/image50.png"/><Relationship Id="rId74" Type="http://schemas.openxmlformats.org/officeDocument/2006/relationships/image" Target="media/image49.jpeg"/><Relationship Id="rId73" Type="http://schemas.openxmlformats.org/officeDocument/2006/relationships/image" Target="media/image48.jpe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jpe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jpe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jpeg"/><Relationship Id="rId62" Type="http://schemas.openxmlformats.org/officeDocument/2006/relationships/image" Target="media/image37.png"/><Relationship Id="rId61" Type="http://schemas.openxmlformats.org/officeDocument/2006/relationships/image" Target="media/image36.jpe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jpeg"/><Relationship Id="rId58" Type="http://schemas.openxmlformats.org/officeDocument/2006/relationships/image" Target="media/image33.jpeg"/><Relationship Id="rId57" Type="http://schemas.openxmlformats.org/officeDocument/2006/relationships/image" Target="media/image32.jpeg"/><Relationship Id="rId56" Type="http://schemas.openxmlformats.org/officeDocument/2006/relationships/image" Target="media/image31.jpe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png"/><Relationship Id="rId50" Type="http://schemas.openxmlformats.org/officeDocument/2006/relationships/image" Target="media/image25.jpe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jpeg"/><Relationship Id="rId4" Type="http://schemas.openxmlformats.org/officeDocument/2006/relationships/header" Target="header2.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jpeg"/><Relationship Id="rId34" Type="http://schemas.openxmlformats.org/officeDocument/2006/relationships/image" Target="NULL" TargetMode="External"/><Relationship Id="rId33" Type="http://schemas.openxmlformats.org/officeDocument/2006/relationships/image" Target="media/image9.jpe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jpeg"/><Relationship Id="rId3" Type="http://schemas.openxmlformats.org/officeDocument/2006/relationships/header" Target="head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4" Type="http://schemas.openxmlformats.org/officeDocument/2006/relationships/fontTable" Target="fontTable.xml"/><Relationship Id="rId103" Type="http://schemas.openxmlformats.org/officeDocument/2006/relationships/customXml" Target="../customXml/item2.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75.jpe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2E4DD-CC59-4F12-BC75-1F204CB91537}">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105</Pages>
  <Words>54085</Words>
  <Characters>63658</Characters>
  <Lines>287</Lines>
  <Paragraphs>81</Paragraphs>
  <TotalTime>7</TotalTime>
  <ScaleCrop>false</ScaleCrop>
  <LinksUpToDate>false</LinksUpToDate>
  <CharactersWithSpaces>77744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Administrator</cp:lastModifiedBy>
  <cp:lastPrinted>2021-12-27T03:06:00Z</cp:lastPrinted>
  <dcterms:modified xsi:type="dcterms:W3CDTF">2022-07-14T14:35:35Z</dcterms:modified>
  <dc:title>杭州市市民卡扩大发卡工程</dc:title>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