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微软雅黑" w:hAnsi="微软雅黑" w:eastAsia="微软雅黑" w:cs="微软雅黑"/>
          <w:b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cs="宋体"/>
          <w:b/>
          <w:bCs w:val="0"/>
          <w:sz w:val="36"/>
          <w:szCs w:val="36"/>
          <w:highlight w:val="none"/>
        </w:rPr>
        <w:t>杭州市公共资源交易中心上城分中心</w:t>
      </w:r>
      <w:r>
        <w:rPr>
          <w:rFonts w:hint="eastAsia" w:ascii="宋体" w:hAnsi="宋体" w:cs="宋体"/>
          <w:b/>
          <w:bCs w:val="0"/>
          <w:sz w:val="36"/>
          <w:szCs w:val="36"/>
          <w:highlight w:val="none"/>
          <w:lang w:eastAsia="zh-CN"/>
        </w:rPr>
        <w:t>关于</w:t>
      </w:r>
      <w:r>
        <w:rPr>
          <w:rFonts w:hint="eastAsia" w:ascii="宋体" w:hAnsi="宋体" w:cs="宋体"/>
          <w:b/>
          <w:bCs w:val="0"/>
          <w:sz w:val="36"/>
          <w:szCs w:val="36"/>
          <w:highlight w:val="none"/>
        </w:rPr>
        <w:t>2025年杭州市上城区教育系统办公家具采购项目</w:t>
      </w:r>
      <w:r>
        <w:rPr>
          <w:rFonts w:hint="eastAsia" w:ascii="宋体" w:hAnsi="宋体" w:cs="宋体"/>
          <w:b/>
          <w:bCs w:val="0"/>
          <w:sz w:val="36"/>
          <w:szCs w:val="36"/>
          <w:highlight w:val="none"/>
          <w:lang w:eastAsia="zh-CN"/>
        </w:rPr>
        <w:t>的更正公告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/>
          <w:bCs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一、项目基本情况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default" w:eastAsia="微软雅黑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原公告的采购项目编号：SCCG2025-GK-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22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479" w:leftChars="228" w:right="0" w:firstLine="0" w:firstLineChars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原公告的采购项目名称：2025年杭州市上城区教育系统办公家具采购项目首次公告日期：2025年0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日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eastAsia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二、更正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事项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更正事项：采购文件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更正内容：  </w:t>
      </w:r>
    </w:p>
    <w:tbl>
      <w:tblPr>
        <w:tblStyle w:val="6"/>
        <w:tblW w:w="4944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2"/>
        <w:gridCol w:w="1615"/>
        <w:gridCol w:w="2979"/>
        <w:gridCol w:w="297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</w:trPr>
        <w:tc>
          <w:tcPr>
            <w:tcW w:w="559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>
            <w:pPr>
              <w:widowControl/>
              <w:wordWrap w:val="0"/>
              <w:spacing w:after="15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47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>
            <w:pPr>
              <w:widowControl/>
              <w:wordWrap w:val="0"/>
              <w:spacing w:after="15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更正项</w:t>
            </w:r>
          </w:p>
        </w:tc>
        <w:tc>
          <w:tcPr>
            <w:tcW w:w="1747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>
            <w:pPr>
              <w:widowControl/>
              <w:wordWrap w:val="0"/>
              <w:spacing w:after="15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更正前内容</w:t>
            </w:r>
          </w:p>
        </w:tc>
        <w:tc>
          <w:tcPr>
            <w:tcW w:w="1744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>
            <w:pPr>
              <w:widowControl/>
              <w:wordWrap w:val="0"/>
              <w:spacing w:after="15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更正后内容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9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>
            <w:pPr>
              <w:widowControl/>
              <w:wordWrap w:val="0"/>
              <w:spacing w:after="155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1"/>
                <w:szCs w:val="24"/>
                <w:highlight w:val="none"/>
              </w:rPr>
              <w:t>1</w:t>
            </w:r>
          </w:p>
        </w:tc>
        <w:tc>
          <w:tcPr>
            <w:tcW w:w="947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55"/>
              <w:jc w:val="left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Theme="minorAscii" w:hAnsiTheme="minorAscii"/>
                <w:sz w:val="24"/>
                <w:szCs w:val="24"/>
                <w:highlight w:val="none"/>
                <w:lang w:val="en-US" w:eastAsia="zh-CN"/>
              </w:rPr>
              <w:t>招标文件第</w:t>
            </w:r>
            <w:r>
              <w:rPr>
                <w:rFonts w:hint="eastAsia" w:asciiTheme="minorAscii" w:hAnsiTheme="minorAscii"/>
                <w:sz w:val="24"/>
                <w:szCs w:val="24"/>
                <w:highlight w:val="none"/>
                <w:lang w:val="en-US" w:eastAsia="zh-CN"/>
              </w:rPr>
              <w:t>四</w:t>
            </w:r>
            <w:r>
              <w:rPr>
                <w:rFonts w:hint="default" w:asciiTheme="minorAscii" w:hAnsiTheme="minorAscii"/>
                <w:sz w:val="24"/>
                <w:szCs w:val="24"/>
                <w:highlight w:val="none"/>
                <w:lang w:val="en-US" w:eastAsia="zh-CN"/>
              </w:rPr>
              <w:t>部分</w:t>
            </w:r>
            <w:r>
              <w:rPr>
                <w:rFonts w:hint="eastAsia" w:asciiTheme="minorAscii" w:hAnsiTheme="minorAscii"/>
                <w:sz w:val="24"/>
                <w:szCs w:val="24"/>
                <w:highlight w:val="none"/>
                <w:lang w:val="en-US" w:eastAsia="zh-CN"/>
              </w:rPr>
              <w:t>评分办法前附表</w:t>
            </w:r>
            <w:r>
              <w:rPr>
                <w:rFonts w:hint="default" w:asciiTheme="minorAscii" w:hAnsiTheme="minorAscii"/>
                <w:sz w:val="24"/>
                <w:szCs w:val="24"/>
                <w:highlight w:val="none"/>
                <w:lang w:val="en-US" w:eastAsia="zh-CN"/>
              </w:rPr>
              <w:t>—</w:t>
            </w:r>
            <w:r>
              <w:rPr>
                <w:rFonts w:hint="eastAsia" w:asciiTheme="minorAscii" w:hAnsiTheme="minorAscii"/>
                <w:sz w:val="24"/>
                <w:szCs w:val="24"/>
                <w:highlight w:val="none"/>
                <w:lang w:val="en-US" w:eastAsia="zh-CN"/>
              </w:rPr>
              <w:t>第8条</w:t>
            </w:r>
          </w:p>
        </w:tc>
        <w:tc>
          <w:tcPr>
            <w:tcW w:w="1747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>
            <w:pPr>
              <w:widowControl/>
              <w:wordWrap w:val="0"/>
              <w:spacing w:after="155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  <w:bookmarkStart w:id="0" w:name="OLE_LINK1"/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（1）办公桌：人造板件外观、五金件外观、桌类稳定性、耐污染性能、表面耐磨性、木工要求均符合GB/T 3324-2024要求。桌类强度和耐久性符合GB/T 10357.1-2024要求；</w:t>
            </w:r>
          </w:p>
          <w:p>
            <w:pPr>
              <w:widowControl/>
              <w:wordWrap w:val="0"/>
              <w:spacing w:after="155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（3）文件柜：柜类强度和耐久性符合GB/T 3324-2024标准要求，外观要求外表光滑，倒棱，倒角、倒圆应均匀一致。零部件的结合应严密、牢固，无松动，家具涂层可迁移元素未检出；</w:t>
            </w:r>
          </w:p>
          <w:p>
            <w:pPr>
              <w:widowControl/>
              <w:wordWrap w:val="0"/>
              <w:spacing w:after="155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（4）会议桌：家具涂层可迁移元素（铅、镉、铬、汞）均未检出，桌类强度和耐久性符合GB/T 3324-2024要求，人造板件外观、木工符合GB/T 3324-2024要求；</w:t>
            </w:r>
            <w:bookmarkEnd w:id="0"/>
          </w:p>
        </w:tc>
        <w:tc>
          <w:tcPr>
            <w:tcW w:w="1744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after="155"/>
              <w:jc w:val="both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办公桌：软硬质覆面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人造板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外观、五金件外观、桌类稳定性、耐污染性能、耐磨性、木工要求均符合GB/T 3324-2024要求。桌类强度和耐久性符合GB/T 10357.1-2024要求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wordWrap w:val="0"/>
              <w:spacing w:after="155"/>
              <w:jc w:val="both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（3）文件柜：柜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架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类强度和耐久性符合GB/T 3324-2024标准要求，外观要求外表光滑，倒棱，倒角、倒圆应均匀一致。零部件的结合应严密、牢固、各种配件安装应严密、平整、端正、牢固，结合处应无开裂或松动，家具涂层可迁移元素未检出；</w:t>
            </w:r>
          </w:p>
          <w:p>
            <w:pPr>
              <w:widowControl/>
              <w:numPr>
                <w:ilvl w:val="0"/>
                <w:numId w:val="0"/>
              </w:numPr>
              <w:wordWrap w:val="0"/>
              <w:spacing w:after="155"/>
              <w:jc w:val="both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（4）会议桌：家具涂层可迁移元素（铅、镉、铬、汞）均未检出，桌类强度和耐久性符合GB/T 3324-2024要求，软硬质覆面人造板外观、木工符合GB/T 3324-2024要求；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9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>
            <w:pPr>
              <w:widowControl/>
              <w:wordWrap w:val="0"/>
              <w:spacing w:after="155"/>
              <w:jc w:val="center"/>
              <w:rPr>
                <w:rFonts w:hint="eastAsia" w:eastAsiaTheme="minorEastAsia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47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55"/>
              <w:jc w:val="left"/>
              <w:textAlignment w:val="auto"/>
              <w:rPr>
                <w:rFonts w:hint="default" w:asciiTheme="minorAscii" w:hAnsiTheme="minorAscii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Ascii" w:hAnsiTheme="minorAscii"/>
                <w:sz w:val="24"/>
                <w:szCs w:val="24"/>
                <w:highlight w:val="none"/>
                <w:lang w:val="en-US" w:eastAsia="zh-CN"/>
              </w:rPr>
              <w:t>采购文件第三部分采购需求中办公桌、文件柜、会议桌相应参数</w:t>
            </w:r>
          </w:p>
        </w:tc>
        <w:tc>
          <w:tcPr>
            <w:tcW w:w="1747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>
            <w:pPr>
              <w:widowControl/>
              <w:wordWrap w:val="0"/>
              <w:spacing w:after="155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办公桌（或同品类）：☆</w:t>
            </w:r>
            <w:bookmarkStart w:id="1" w:name="OLE_LINK2"/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产品符合</w:t>
            </w:r>
            <w:bookmarkEnd w:id="1"/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人造板件外观、五金件外观、桌类稳定性、耐污染性能、表面耐磨性、木工要求均符合GB/T 3324-2024要求。桌类强度和耐久性符合GB/T 10357.1-2024要求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widowControl/>
              <w:wordWrap w:val="0"/>
              <w:spacing w:after="155"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文件柜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或同品类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☆产品符合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柜类强度和耐久性符合GB/T 3324-2024标准要求，外观要求外表光滑，倒棱，倒角、倒圆应均匀一致。零部件的结合应严密、牢固，无松动，家具涂层可迁移元素未检出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widowControl/>
              <w:wordWrap w:val="0"/>
              <w:spacing w:after="155"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会议桌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（或同品类）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☆产品符合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家具涂层可迁移元素（铅、镉、铬、汞）均未检出，桌类强度和耐久性符合GB/T 3324-2024要求，人造板件外观、木工符合GB/T 3324-2024要求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744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after="155"/>
              <w:jc w:val="both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办公桌（或同品类）：☆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产品符合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软硬质覆面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人造板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外观、五金件外观、桌类稳定性、耐污染性能、耐磨性、木工要求均符合GB/T 3324-2024要求。桌类强度和耐久性符合GB/T 10357.1-2024要求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wordWrap w:val="0"/>
              <w:spacing w:after="155"/>
              <w:jc w:val="both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文件柜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（或同品类）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产品符合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柜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架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类强度和耐久性符合GB/T 3324-2024标准要求，外观要求外表光滑，倒棱，倒角、倒圆应均匀一致。零部件的结合应严密、牢固、各种配件安装应严密、平整、端正、牢固，结合处应无开裂或松动，家具涂层可迁移元素未检出。</w:t>
            </w:r>
          </w:p>
          <w:p>
            <w:pPr>
              <w:widowControl/>
              <w:numPr>
                <w:ilvl w:val="0"/>
                <w:numId w:val="0"/>
              </w:numPr>
              <w:wordWrap w:val="0"/>
              <w:spacing w:after="155"/>
              <w:jc w:val="both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会议桌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（或同品类）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产品符合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家具涂层可迁移元素（铅、镉、铬、汞）均未检出，桌类强度和耐久性符合GB/T 3324-2024要求，软硬质覆面人造板外观、木工符合GB/T 3324-2024要求。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9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>
            <w:pPr>
              <w:widowControl/>
              <w:wordWrap w:val="0"/>
              <w:spacing w:after="155"/>
              <w:jc w:val="center"/>
              <w:rPr>
                <w:rFonts w:hint="default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947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55"/>
              <w:jc w:val="left"/>
              <w:textAlignment w:val="auto"/>
              <w:rPr>
                <w:rFonts w:hint="eastAsia" w:asciiTheme="minorAscii" w:hAnsiTheme="minorAscii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Theme="minorAscii" w:hAnsiTheme="minorAscii"/>
                <w:sz w:val="24"/>
                <w:szCs w:val="24"/>
                <w:highlight w:val="none"/>
                <w:lang w:val="en-US" w:eastAsia="zh-CN"/>
              </w:rPr>
              <w:t>招标文件第</w:t>
            </w:r>
            <w:r>
              <w:rPr>
                <w:rFonts w:hint="eastAsia" w:asciiTheme="minorAscii" w:hAnsiTheme="minorAscii"/>
                <w:sz w:val="24"/>
                <w:szCs w:val="24"/>
                <w:highlight w:val="none"/>
                <w:lang w:val="en-US" w:eastAsia="zh-CN"/>
              </w:rPr>
              <w:t>四</w:t>
            </w:r>
            <w:r>
              <w:rPr>
                <w:rFonts w:hint="default" w:asciiTheme="minorAscii" w:hAnsiTheme="minorAscii"/>
                <w:sz w:val="24"/>
                <w:szCs w:val="24"/>
                <w:highlight w:val="none"/>
                <w:lang w:val="en-US" w:eastAsia="zh-CN"/>
              </w:rPr>
              <w:t>部分</w:t>
            </w:r>
            <w:r>
              <w:rPr>
                <w:rFonts w:hint="eastAsia" w:asciiTheme="minorAscii" w:hAnsiTheme="minorAscii"/>
                <w:sz w:val="24"/>
                <w:szCs w:val="24"/>
                <w:highlight w:val="none"/>
                <w:lang w:val="en-US" w:eastAsia="zh-CN"/>
              </w:rPr>
              <w:t>评分办法前附表</w:t>
            </w:r>
            <w:r>
              <w:rPr>
                <w:rFonts w:hint="default" w:asciiTheme="minorAscii" w:hAnsiTheme="minorAscii"/>
                <w:sz w:val="24"/>
                <w:szCs w:val="24"/>
                <w:highlight w:val="none"/>
                <w:lang w:val="en-US" w:eastAsia="zh-CN"/>
              </w:rPr>
              <w:t>—</w:t>
            </w:r>
            <w:r>
              <w:rPr>
                <w:rFonts w:hint="eastAsia" w:asciiTheme="minorAscii" w:hAnsiTheme="minorAscii"/>
                <w:sz w:val="24"/>
                <w:szCs w:val="24"/>
                <w:highlight w:val="none"/>
                <w:lang w:val="en-US" w:eastAsia="zh-CN"/>
              </w:rPr>
              <w:t>第9条</w:t>
            </w:r>
          </w:p>
        </w:tc>
        <w:tc>
          <w:tcPr>
            <w:tcW w:w="1747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>
            <w:pPr>
              <w:pStyle w:val="3"/>
              <w:spacing w:line="240" w:lineRule="auto"/>
              <w:ind w:firstLine="0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  <w:bookmarkStart w:id="2" w:name="OLE_LINK148"/>
            <w:bookmarkStart w:id="3" w:name="OLE_LINK143"/>
            <w:r>
              <w:rPr>
                <w:rFonts w:hint="eastAsia" w:cs="仿宋_GB2312" w:asciiTheme="minorEastAsia" w:hAnsiTheme="minorEastAsia" w:eastAsiaTheme="minorEastAsia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锁具：</w:t>
            </w:r>
            <w:bookmarkEnd w:id="2"/>
            <w:bookmarkEnd w:id="3"/>
            <w:r>
              <w:rPr>
                <w:rFonts w:hint="eastAsia" w:cs="仿宋_GB2312" w:asciiTheme="minorEastAsia" w:hAnsiTheme="minorEastAsia" w:eastAsiaTheme="minorEastAsia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循环寿命通过≥30万次测试标准</w:t>
            </w:r>
          </w:p>
        </w:tc>
        <w:tc>
          <w:tcPr>
            <w:tcW w:w="1744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>
            <w:pPr>
              <w:pStyle w:val="3"/>
              <w:spacing w:line="240" w:lineRule="auto"/>
              <w:ind w:firstLine="0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锁具：</w:t>
            </w:r>
            <w:r>
              <w:rPr>
                <w:rFonts w:hint="eastAsia" w:cs="仿宋_GB2312" w:asciiTheme="minorEastAsia" w:hAnsiTheme="minorEastAsia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使用</w:t>
            </w:r>
            <w:r>
              <w:rPr>
                <w:rFonts w:hint="eastAsia" w:cs="仿宋_GB2312" w:asciiTheme="minorEastAsia" w:hAnsiTheme="minorEastAsia" w:eastAsiaTheme="minorEastAsia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寿命通过≥30万次测试标准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9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>
            <w:pPr>
              <w:widowControl/>
              <w:wordWrap w:val="0"/>
              <w:spacing w:after="155"/>
              <w:jc w:val="center"/>
              <w:rPr>
                <w:rFonts w:hint="default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947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55"/>
              <w:jc w:val="left"/>
              <w:textAlignment w:val="auto"/>
              <w:rPr>
                <w:rFonts w:hint="default" w:asciiTheme="minorAscii" w:hAnsiTheme="minorAscii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Ascii" w:hAnsiTheme="minorAscii"/>
                <w:sz w:val="24"/>
                <w:szCs w:val="24"/>
                <w:highlight w:val="none"/>
                <w:lang w:val="en-US" w:eastAsia="zh-CN"/>
              </w:rPr>
              <w:t>采购文件第三部分采购需求中锁具相应参数</w:t>
            </w:r>
          </w:p>
        </w:tc>
        <w:tc>
          <w:tcPr>
            <w:tcW w:w="1747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>
            <w:pPr>
              <w:widowControl/>
              <w:wordWrap w:val="0"/>
              <w:spacing w:after="155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仿宋_GB2312" w:asciiTheme="minorEastAsia" w:hAnsiTheme="minorEastAsia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其中</w:t>
            </w:r>
            <w:r>
              <w:rPr>
                <w:rFonts w:hint="eastAsia" w:cs="仿宋_GB2312" w:asciiTheme="minorEastAsia" w:hAnsiTheme="minorEastAsia" w:eastAsiaTheme="minorEastAsia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锁具：循环寿命通过≥30万次测试标准</w:t>
            </w:r>
          </w:p>
        </w:tc>
        <w:tc>
          <w:tcPr>
            <w:tcW w:w="1744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after="155"/>
              <w:jc w:val="both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仿宋_GB2312" w:asciiTheme="minorEastAsia" w:hAnsiTheme="minorEastAsia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其中</w:t>
            </w:r>
            <w:r>
              <w:rPr>
                <w:rFonts w:hint="eastAsia" w:cs="仿宋_GB2312" w:asciiTheme="minorEastAsia" w:hAnsiTheme="minorEastAsia" w:eastAsiaTheme="minorEastAsia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锁具：</w:t>
            </w:r>
            <w:r>
              <w:rPr>
                <w:rFonts w:hint="eastAsia" w:cs="仿宋_GB2312" w:asciiTheme="minorEastAsia" w:hAnsiTheme="minorEastAsia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使用</w:t>
            </w:r>
            <w:r>
              <w:rPr>
                <w:rFonts w:hint="eastAsia" w:cs="仿宋_GB2312" w:asciiTheme="minorEastAsia" w:hAnsiTheme="minorEastAsia" w:eastAsiaTheme="minorEastAsia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寿命通过≥30万次测试标准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9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>
            <w:pPr>
              <w:widowControl/>
              <w:wordWrap w:val="0"/>
              <w:spacing w:after="155"/>
              <w:jc w:val="center"/>
              <w:rPr>
                <w:rFonts w:hint="default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947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55"/>
              <w:jc w:val="left"/>
              <w:textAlignment w:val="auto"/>
              <w:rPr>
                <w:rFonts w:hint="eastAsia" w:asciiTheme="minorAscii" w:hAnsiTheme="minorAscii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Ascii" w:hAnsiTheme="minorAscii"/>
                <w:sz w:val="24"/>
                <w:szCs w:val="24"/>
                <w:highlight w:val="none"/>
                <w:lang w:val="en-US" w:eastAsia="zh-CN"/>
              </w:rPr>
              <w:t>提交投标文件截止时间、开标时间</w:t>
            </w:r>
          </w:p>
        </w:tc>
        <w:tc>
          <w:tcPr>
            <w:tcW w:w="1747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>
            <w:pPr>
              <w:widowControl/>
              <w:wordWrap w:val="0"/>
              <w:spacing w:after="155"/>
              <w:jc w:val="center"/>
              <w:rPr>
                <w:rFonts w:hint="eastAsia" w:cs="仿宋_GB2312" w:asciiTheme="minorEastAsia" w:hAnsiTheme="minorEastAsia" w:eastAsiaTheme="minorEastAsia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2025年6月</w:t>
            </w:r>
            <w:r>
              <w:rPr>
                <w:rFonts w:hint="eastAsia" w:cs="仿宋_GB2312" w:asciiTheme="minorEastAsia" w:hAnsiTheme="minorEastAsia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</w:t>
            </w:r>
            <w:r>
              <w:rPr>
                <w:rFonts w:hint="eastAsia" w:cs="仿宋_GB2312" w:asciiTheme="minorEastAsia" w:hAnsiTheme="minorEastAsia" w:eastAsiaTheme="minorEastAsia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日09点30分00秒</w:t>
            </w:r>
          </w:p>
        </w:tc>
        <w:tc>
          <w:tcPr>
            <w:tcW w:w="1744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>
            <w:pPr>
              <w:widowControl/>
              <w:wordWrap w:val="0"/>
              <w:spacing w:after="155"/>
              <w:jc w:val="center"/>
              <w:rPr>
                <w:rFonts w:hint="eastAsia" w:cs="仿宋_GB2312" w:asciiTheme="minorEastAsia" w:hAnsiTheme="minorEastAsia" w:eastAsiaTheme="minorEastAsia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2025年</w:t>
            </w:r>
            <w:r>
              <w:rPr>
                <w:rFonts w:hint="eastAsia" w:cs="仿宋_GB2312" w:asciiTheme="minorEastAsia" w:hAnsiTheme="minorEastAsia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7</w:t>
            </w:r>
            <w:r>
              <w:rPr>
                <w:rFonts w:hint="eastAsia" w:cs="仿宋_GB2312" w:asciiTheme="minorEastAsia" w:hAnsiTheme="minorEastAsia" w:eastAsiaTheme="minorEastAsia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cs="仿宋_GB2312" w:asciiTheme="minorEastAsia" w:hAnsiTheme="minorEastAsia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cs="仿宋_GB2312" w:asciiTheme="minorEastAsia" w:hAnsiTheme="minorEastAsia" w:eastAsiaTheme="minorEastAsia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日09点30分00秒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9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>
            <w:pPr>
              <w:widowControl/>
              <w:wordWrap w:val="0"/>
              <w:spacing w:after="155"/>
              <w:jc w:val="center"/>
              <w:rPr>
                <w:rFonts w:hint="default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947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55"/>
              <w:jc w:val="left"/>
              <w:textAlignment w:val="auto"/>
              <w:rPr>
                <w:rFonts w:hint="eastAsia" w:asciiTheme="minorAscii" w:hAnsiTheme="minorAscii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Ascii" w:hAnsiTheme="minorAscii"/>
                <w:sz w:val="24"/>
                <w:szCs w:val="24"/>
                <w:highlight w:val="none"/>
                <w:lang w:val="en-US" w:eastAsia="zh-CN"/>
              </w:rPr>
              <w:t>提供样品的时间</w:t>
            </w:r>
          </w:p>
        </w:tc>
        <w:tc>
          <w:tcPr>
            <w:tcW w:w="1747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>
            <w:pPr>
              <w:widowControl/>
              <w:wordWrap w:val="0"/>
              <w:spacing w:after="155"/>
              <w:jc w:val="center"/>
              <w:rPr>
                <w:rFonts w:hint="eastAsia" w:cs="仿宋_GB2312" w:asciiTheme="minorEastAsia" w:hAnsiTheme="minorEastAsia" w:eastAsiaTheme="minorEastAsia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2025年6月</w:t>
            </w:r>
            <w:r>
              <w:rPr>
                <w:rFonts w:hint="eastAsia" w:cs="仿宋_GB2312" w:asciiTheme="minorEastAsia" w:hAnsiTheme="minorEastAsia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</w:t>
            </w:r>
            <w:r>
              <w:rPr>
                <w:rFonts w:hint="eastAsia" w:cs="仿宋_GB2312" w:asciiTheme="minorEastAsia" w:hAnsiTheme="minorEastAsia" w:eastAsiaTheme="minorEastAsia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日9:00起至提交投标文件截止时间止</w:t>
            </w:r>
          </w:p>
        </w:tc>
        <w:tc>
          <w:tcPr>
            <w:tcW w:w="1744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>
            <w:pPr>
              <w:widowControl/>
              <w:wordWrap w:val="0"/>
              <w:spacing w:after="155"/>
              <w:jc w:val="center"/>
              <w:rPr>
                <w:rFonts w:hint="eastAsia" w:cs="仿宋_GB2312" w:asciiTheme="minorEastAsia" w:hAnsiTheme="minorEastAsia" w:eastAsiaTheme="minorEastAsia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2025年</w:t>
            </w:r>
            <w:r>
              <w:rPr>
                <w:rFonts w:hint="eastAsia" w:cs="仿宋_GB2312" w:asciiTheme="minorEastAsia" w:hAnsiTheme="minorEastAsia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7</w:t>
            </w:r>
            <w:r>
              <w:rPr>
                <w:rFonts w:hint="eastAsia" w:cs="仿宋_GB2312" w:asciiTheme="minorEastAsia" w:hAnsiTheme="minorEastAsia" w:eastAsiaTheme="minorEastAsia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cs="仿宋_GB2312" w:asciiTheme="minorEastAsia" w:hAnsiTheme="minorEastAsia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cs="仿宋_GB2312" w:asciiTheme="minorEastAsia" w:hAnsiTheme="minorEastAsia" w:eastAsiaTheme="minorEastAsia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日9:00起至提交投标文件截止时间止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更正理由：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根据采购人要求，现就“2025年杭州市上城区教育系统办公家具采购项目”招标文件（编号：SCCG2025-GK-22）有关内容进行更正。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 w:firstLine="480" w:firstLineChars="20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更正日期：2025年0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月0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日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300" w:beforeAutospacing="0" w:after="0" w:afterAutospacing="0"/>
        <w:ind w:left="0" w:right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4112260</wp:posOffset>
            </wp:positionH>
            <wp:positionV relativeFrom="paragraph">
              <wp:posOffset>449580</wp:posOffset>
            </wp:positionV>
            <wp:extent cx="1485900" cy="1495425"/>
            <wp:effectExtent l="0" t="0" r="0" b="9525"/>
            <wp:wrapNone/>
            <wp:docPr id="1" name="图片 1" descr="电子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电子印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其他补充事宜</w:t>
      </w:r>
      <w:bookmarkStart w:id="4" w:name="_GoBack"/>
      <w:bookmarkEnd w:id="4"/>
    </w:p>
    <w:p>
      <w:pPr>
        <w:pStyle w:val="9"/>
        <w:ind w:left="0" w:leftChars="0" w:firstLine="0" w:firstLineChars="0"/>
        <w:rPr>
          <w:rFonts w:hint="default" w:eastAsia="华文楷体"/>
          <w:lang w:val="en-US" w:eastAsia="zh-CN"/>
        </w:rPr>
      </w:pPr>
      <w:r>
        <w:rPr>
          <w:rFonts w:hint="eastAsia"/>
          <w:lang w:val="en-US" w:eastAsia="zh-CN"/>
        </w:rPr>
        <w:t xml:space="preserve">   /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杭州市上城区教育发展服务中心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righ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2025年6月9日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4101F9"/>
    <w:multiLevelType w:val="singleLevel"/>
    <w:tmpl w:val="DA4101F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50DDB"/>
    <w:rsid w:val="05DD1FC6"/>
    <w:rsid w:val="1439777D"/>
    <w:rsid w:val="196E2F3F"/>
    <w:rsid w:val="21B12F5C"/>
    <w:rsid w:val="28970E2D"/>
    <w:rsid w:val="2C350DDB"/>
    <w:rsid w:val="31CD20C4"/>
    <w:rsid w:val="325E0507"/>
    <w:rsid w:val="3F712390"/>
    <w:rsid w:val="43B61476"/>
    <w:rsid w:val="46D456EF"/>
    <w:rsid w:val="4B655426"/>
    <w:rsid w:val="4BBE4F6C"/>
    <w:rsid w:val="4D387062"/>
    <w:rsid w:val="4F725D8E"/>
    <w:rsid w:val="50493D01"/>
    <w:rsid w:val="53451455"/>
    <w:rsid w:val="54803A3D"/>
    <w:rsid w:val="5A226B7C"/>
    <w:rsid w:val="5E56386A"/>
    <w:rsid w:val="5F0F0832"/>
    <w:rsid w:val="674F6691"/>
    <w:rsid w:val="713E41A6"/>
    <w:rsid w:val="71440FC1"/>
    <w:rsid w:val="736F2A6A"/>
    <w:rsid w:val="77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4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874</Characters>
  <Lines>0</Lines>
  <Paragraphs>0</Paragraphs>
  <TotalTime>0</TotalTime>
  <ScaleCrop>false</ScaleCrop>
  <LinksUpToDate>false</LinksUpToDate>
  <CharactersWithSpaces>888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2025-04-01T04:03:00Z</dcterms:created>
  <dc:creator>Administrator</dc:creator>
  <cp:lastModifiedBy>admin</cp:lastModifiedBy>
  <dcterms:modified xsi:type="dcterms:W3CDTF">2025-06-09T06:53:34Z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53CBE5FF285942A3B7591967258DD23C_13</vt:lpwstr>
  </property>
  <property fmtid="{D5CDD505-2E9C-101B-9397-08002B2CF9AE}" pid="4" name="KSOTemplateDocerSaveRecord">
    <vt:lpwstr>eyJoZGlkIjoiODViY2JkMjU3NGYzZTEwMzZmMGFkZWViYmNkYWU3NDIiLCJ1c2VySWQiOiIxMjk1NDYxNTIxIn0=</vt:lpwstr>
  </property>
</Properties>
</file>