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2A0FD69">
      <w:pPr>
        <w:adjustRightInd/>
        <w:spacing w:line="360" w:lineRule="auto"/>
        <w:jc w:val="both"/>
        <w:rPr>
          <w:rFonts w:cs="仿宋_GB2312" w:asciiTheme="minorEastAsia" w:hAnsiTheme="minorEastAsia" w:eastAsiaTheme="minorEastAsia"/>
          <w:b/>
          <w:color w:val="auto"/>
          <w:sz w:val="44"/>
          <w:szCs w:val="44"/>
        </w:rPr>
      </w:pPr>
    </w:p>
    <w:p w14:paraId="3D4F5E17">
      <w:pPr>
        <w:adjustRightInd/>
        <w:spacing w:line="360" w:lineRule="auto"/>
        <w:jc w:val="center"/>
        <w:rPr>
          <w:rFonts w:hint="eastAsia" w:cs="仿宋_GB2312" w:asciiTheme="minorEastAsia" w:hAnsiTheme="minorEastAsia" w:eastAsiaTheme="minorEastAsia"/>
          <w:b/>
          <w:bCs/>
          <w:color w:val="auto"/>
          <w:w w:val="95"/>
          <w:sz w:val="48"/>
          <w:szCs w:val="48"/>
          <w:lang w:val="zh-CN" w:eastAsia="zh-CN"/>
        </w:rPr>
      </w:pPr>
      <w:r>
        <w:rPr>
          <w:rFonts w:hint="eastAsia" w:cs="仿宋_GB2312" w:asciiTheme="minorEastAsia" w:hAnsiTheme="minorEastAsia" w:eastAsiaTheme="minorEastAsia"/>
          <w:b/>
          <w:bCs/>
          <w:color w:val="auto"/>
          <w:w w:val="95"/>
          <w:sz w:val="48"/>
          <w:szCs w:val="48"/>
          <w:lang w:val="zh-CN" w:eastAsia="zh-CN"/>
        </w:rPr>
        <w:t>杭州市临安区第三人民医院 2025年度职工疗休养采购项目</w:t>
      </w:r>
    </w:p>
    <w:p w14:paraId="3B74D852">
      <w:pPr>
        <w:adjustRightInd/>
        <w:spacing w:line="360" w:lineRule="auto"/>
        <w:jc w:val="center"/>
        <w:rPr>
          <w:rFonts w:cs="仿宋_GB2312" w:asciiTheme="minorEastAsia" w:hAnsiTheme="minorEastAsia" w:eastAsiaTheme="minorEastAsia"/>
          <w:b/>
          <w:color w:val="auto"/>
          <w:sz w:val="52"/>
          <w:szCs w:val="52"/>
        </w:rPr>
      </w:pPr>
      <w:r>
        <w:rPr>
          <w:rFonts w:hint="eastAsia" w:cs="仿宋_GB2312" w:asciiTheme="minorEastAsia" w:hAnsiTheme="minorEastAsia" w:eastAsiaTheme="minorEastAsia"/>
          <w:b/>
          <w:bCs/>
          <w:color w:val="auto"/>
          <w:w w:val="95"/>
          <w:sz w:val="52"/>
          <w:szCs w:val="52"/>
          <w:lang w:val="zh-CN"/>
        </w:rPr>
        <w:t>竞争性磋商</w:t>
      </w:r>
      <w:r>
        <w:rPr>
          <w:rFonts w:hint="eastAsia" w:cs="仿宋_GB2312" w:asciiTheme="minorEastAsia" w:hAnsiTheme="minorEastAsia" w:eastAsiaTheme="minorEastAsia"/>
          <w:b/>
          <w:color w:val="auto"/>
          <w:sz w:val="52"/>
          <w:szCs w:val="5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ascii="微软雅黑" w:hAnsi="微软雅黑" w:eastAsia="微软雅黑" w:cs="微软雅黑"/>
          <w:color w:val="auto"/>
          <w:sz w:val="30"/>
          <w:szCs w:val="30"/>
          <w:lang w:eastAsia="zh-CN"/>
        </w:rPr>
        <w:t>临【2025】</w:t>
      </w:r>
      <w:r>
        <w:rPr>
          <w:rFonts w:hint="eastAsia" w:ascii="微软雅黑" w:hAnsi="微软雅黑" w:eastAsia="微软雅黑" w:cs="微软雅黑"/>
          <w:color w:val="auto"/>
          <w:sz w:val="30"/>
          <w:szCs w:val="30"/>
          <w:lang w:val="en-US" w:eastAsia="zh-CN"/>
        </w:rPr>
        <w:t>953、954、955、956</w:t>
      </w:r>
      <w:r>
        <w:rPr>
          <w:rFonts w:hint="eastAsia" w:ascii="微软雅黑" w:hAnsi="微软雅黑" w:eastAsia="微软雅黑" w:cs="微软雅黑"/>
          <w:color w:val="auto"/>
          <w:sz w:val="30"/>
          <w:szCs w:val="30"/>
          <w:lang w:eastAsia="zh-CN"/>
        </w:rPr>
        <w:t>号</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6CA99E98">
      <w:pPr>
        <w:snapToGrid w:val="0"/>
        <w:spacing w:line="360" w:lineRule="auto"/>
        <w:jc w:val="center"/>
        <w:rPr>
          <w:rFonts w:hint="eastAsia" w:cs="仿宋_GB2312" w:asciiTheme="minorEastAsia" w:hAnsiTheme="minorEastAsia" w:eastAsiaTheme="minorEastAsia"/>
          <w:bCs/>
          <w:color w:val="auto"/>
          <w:sz w:val="32"/>
          <w:szCs w:val="32"/>
          <w:lang w:eastAsia="zh-CN"/>
        </w:rPr>
      </w:pPr>
      <w:r>
        <w:rPr>
          <w:rFonts w:hint="eastAsia" w:cs="仿宋_GB2312" w:asciiTheme="minorEastAsia" w:hAnsiTheme="minorEastAsia" w:eastAsiaTheme="minorEastAsia"/>
          <w:bCs/>
          <w:color w:val="auto"/>
          <w:sz w:val="32"/>
          <w:szCs w:val="32"/>
        </w:rPr>
        <w:t>采购人：</w:t>
      </w:r>
      <w:r>
        <w:rPr>
          <w:rFonts w:hint="eastAsia" w:cs="仿宋_GB2312" w:asciiTheme="minorEastAsia" w:hAnsiTheme="minorEastAsia" w:eastAsiaTheme="minorEastAsia"/>
          <w:bCs/>
          <w:color w:val="auto"/>
          <w:sz w:val="32"/>
          <w:szCs w:val="32"/>
          <w:lang w:eastAsia="zh-CN"/>
        </w:rPr>
        <w:t>杭州市临安区第三人民医院</w:t>
      </w:r>
    </w:p>
    <w:p w14:paraId="64D2E04E">
      <w:pPr>
        <w:snapToGrid w:val="0"/>
        <w:spacing w:line="360" w:lineRule="auto"/>
        <w:jc w:val="center"/>
        <w:rPr>
          <w:rFonts w:hint="eastAsia"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采购代理机构：</w:t>
      </w:r>
      <w:r>
        <w:rPr>
          <w:rFonts w:hint="eastAsia" w:cs="仿宋_GB2312" w:asciiTheme="minorEastAsia" w:hAnsiTheme="minorEastAsia" w:eastAsiaTheme="minorEastAsia"/>
          <w:bCs/>
          <w:color w:val="auto"/>
          <w:sz w:val="32"/>
          <w:szCs w:val="32"/>
          <w:lang w:val="en-US" w:eastAsia="zh-CN"/>
        </w:rPr>
        <w:t>中纬工程管理咨询有限公司</w:t>
      </w:r>
    </w:p>
    <w:p w14:paraId="7844198D">
      <w:pPr>
        <w:snapToGrid w:val="0"/>
        <w:spacing w:line="360" w:lineRule="auto"/>
        <w:jc w:val="center"/>
        <w:rPr>
          <w:rFonts w:hint="default" w:cs="仿宋_GB2312" w:asciiTheme="minorEastAsia" w:hAnsiTheme="minorEastAsia" w:eastAsiaTheme="minorEastAsia"/>
          <w:bCs/>
          <w:color w:val="auto"/>
          <w:sz w:val="32"/>
          <w:szCs w:val="32"/>
          <w:lang w:val="en-US"/>
        </w:rPr>
      </w:pPr>
      <w:r>
        <w:rPr>
          <w:rFonts w:hint="eastAsia" w:cs="仿宋_GB2312" w:asciiTheme="minorEastAsia" w:hAnsiTheme="minorEastAsia" w:eastAsiaTheme="minorEastAsia"/>
          <w:bCs/>
          <w:color w:val="auto"/>
          <w:sz w:val="32"/>
          <w:szCs w:val="32"/>
          <w:lang w:val="en-US" w:eastAsia="zh-CN"/>
        </w:rPr>
        <w:t>发出日期：</w:t>
      </w: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六月</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杭州市临安区第三人民医院 2025年度职工疗休养采购项目</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03</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317B4722">
      <w:pPr>
        <w:pStyle w:val="4"/>
        <w:numPr>
          <w:ilvl w:val="0"/>
          <w:numId w:val="0"/>
        </w:numPr>
        <w:rPr>
          <w:rFonts w:cs="宋体" w:asciiTheme="minorEastAsia" w:hAnsiTheme="minorEastAsia" w:eastAsiaTheme="minorEastAsia"/>
          <w:color w:val="auto"/>
          <w:sz w:val="24"/>
          <w:szCs w:val="24"/>
        </w:rPr>
      </w:pPr>
      <w:bookmarkStart w:id="11" w:name="_Toc35393629"/>
      <w:bookmarkStart w:id="12" w:name="_Toc28359089"/>
      <w:bookmarkStart w:id="13" w:name="_Toc28359012"/>
      <w:bookmarkStart w:id="14" w:name="_Toc35393798"/>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48B41828">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color w:val="auto"/>
          <w:sz w:val="24"/>
          <w:lang w:eastAsia="zh-CN"/>
        </w:rPr>
        <w:t>临【2025】</w:t>
      </w:r>
      <w:r>
        <w:rPr>
          <w:rFonts w:hint="eastAsia" w:asciiTheme="minorEastAsia" w:hAnsiTheme="minorEastAsia" w:eastAsiaTheme="minorEastAsia"/>
          <w:color w:val="auto"/>
          <w:sz w:val="24"/>
          <w:lang w:val="en-US" w:eastAsia="zh-CN"/>
        </w:rPr>
        <w:t>953、954、955、956</w:t>
      </w:r>
      <w:r>
        <w:rPr>
          <w:rFonts w:hint="eastAsia" w:asciiTheme="minorEastAsia" w:hAnsiTheme="minorEastAsia" w:eastAsiaTheme="minorEastAsia"/>
          <w:color w:val="auto"/>
          <w:sz w:val="24"/>
          <w:lang w:eastAsia="zh-CN"/>
        </w:rPr>
        <w:t>号</w:t>
      </w:r>
    </w:p>
    <w:p w14:paraId="27F92EF1">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杭州市临安区第三人民医院 2025年度职工疗休养采购项目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544F51BF">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1053000</w:t>
      </w:r>
    </w:p>
    <w:p w14:paraId="1CEA5A31">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1053000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color w:val="auto"/>
          <w:sz w:val="24"/>
          <w:lang w:eastAsia="zh-CN"/>
        </w:rPr>
        <w:t>杭州市临安区第三人民医院 2025年度职工疗休养</w:t>
      </w:r>
      <w:r>
        <w:rPr>
          <w:rFonts w:hint="eastAsia" w:asciiTheme="minorEastAsia" w:hAnsiTheme="minorEastAsia" w:eastAsiaTheme="minorEastAsia"/>
          <w:color w:val="auto"/>
          <w:sz w:val="24"/>
          <w:lang w:val="en-US" w:eastAsia="zh-CN"/>
        </w:rPr>
        <w:t>服务</w:t>
      </w:r>
      <w:r>
        <w:rPr>
          <w:rFonts w:hint="eastAsia" w:hAnsi="宋体" w:cs="宋体"/>
          <w:b w:val="0"/>
          <w:bCs w:val="0"/>
          <w:color w:val="000000" w:themeColor="text1"/>
          <w:kern w:val="2"/>
          <w:sz w:val="24"/>
          <w:szCs w:val="24"/>
          <w14:textFill>
            <w14:solidFill>
              <w14:schemeClr w14:val="tx1"/>
            </w14:solidFill>
          </w14:textFill>
        </w:rPr>
        <w:t>，具体内容和相关要求详见磋商文件“第四部分 采购需求”</w:t>
      </w:r>
      <w:r>
        <w:rPr>
          <w:rFonts w:hint="eastAsia" w:hAnsi="宋体"/>
          <w:b w:val="0"/>
          <w:bCs w:val="0"/>
          <w:color w:val="000000" w:themeColor="text1"/>
          <w:kern w:val="2"/>
          <w:sz w:val="24"/>
          <w:szCs w:val="24"/>
          <w14:textFill>
            <w14:solidFill>
              <w14:schemeClr w14:val="tx1"/>
            </w14:solidFill>
          </w14:textFill>
        </w:rPr>
        <w:t>。</w:t>
      </w:r>
      <w:r>
        <w:rPr>
          <w:rFonts w:hint="eastAsia" w:asciiTheme="minorEastAsia" w:hAnsiTheme="minorEastAsia" w:eastAsiaTheme="minorEastAsia"/>
          <w:b w:val="0"/>
          <w:bCs w:val="0"/>
          <w:color w:val="000000" w:themeColor="text1"/>
          <w:sz w:val="24"/>
          <w14:textFill>
            <w14:solidFill>
              <w14:schemeClr w14:val="tx1"/>
            </w14:solidFill>
          </w14:textFill>
        </w:rPr>
        <w:t>本项目分</w:t>
      </w: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四</w:t>
      </w:r>
      <w:r>
        <w:rPr>
          <w:rFonts w:hint="eastAsia" w:asciiTheme="minorEastAsia" w:hAnsiTheme="minorEastAsia" w:eastAsiaTheme="minorEastAsia"/>
          <w:b w:val="0"/>
          <w:bCs w:val="0"/>
          <w:color w:val="000000" w:themeColor="text1"/>
          <w:sz w:val="24"/>
          <w14:textFill>
            <w14:solidFill>
              <w14:schemeClr w14:val="tx1"/>
            </w14:solidFill>
          </w14:textFill>
        </w:rPr>
        <w:t>个标项，供应商可自行选择其中一个或者多个标项响应投标</w:t>
      </w:r>
      <w:r>
        <w:rPr>
          <w:rFonts w:hint="eastAsia" w:asciiTheme="minorEastAsia" w:hAnsiTheme="minorEastAsia" w:eastAsiaTheme="minorEastAsia"/>
          <w:b w:val="0"/>
          <w:bCs w:val="0"/>
          <w:color w:val="000000" w:themeColor="text1"/>
          <w:sz w:val="24"/>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但只能中一个标项</w:t>
      </w:r>
      <w:r>
        <w:rPr>
          <w:rFonts w:hint="eastAsia" w:asciiTheme="minorEastAsia" w:hAnsiTheme="minorEastAsia" w:eastAsiaTheme="minorEastAsia"/>
          <w:b w:val="0"/>
          <w:bCs w:val="0"/>
          <w:color w:val="000000" w:themeColor="text1"/>
          <w:sz w:val="24"/>
          <w:lang w:eastAsia="zh-CN"/>
          <w14:textFill>
            <w14:solidFill>
              <w14:schemeClr w14:val="tx1"/>
            </w14:solidFill>
          </w14:textFill>
        </w:rPr>
        <w:t>。</w:t>
      </w:r>
    </w:p>
    <w:p w14:paraId="1CD5FEE1">
      <w:pPr>
        <w:spacing w:line="360" w:lineRule="auto"/>
        <w:ind w:firstLine="482" w:firstLineChars="200"/>
        <w:rPr>
          <w:rFonts w:hint="eastAsia" w:ascii="宋体" w:hAnsi="宋体" w:cs="宋体"/>
          <w:b/>
          <w:bCs/>
          <w:color w:val="000000" w:themeColor="text1"/>
          <w:sz w:val="24"/>
          <w14:textFill>
            <w14:solidFill>
              <w14:schemeClr w14:val="tx1"/>
            </w14:solidFill>
          </w14:textFill>
        </w:rPr>
      </w:pPr>
    </w:p>
    <w:p w14:paraId="672C2A94">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标项一</w:t>
      </w:r>
    </w:p>
    <w:p w14:paraId="495B0DF5">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宋体" w:hAnsi="宋体" w:cs="宋体"/>
          <w:b/>
          <w:bCs/>
          <w:color w:val="000000" w:themeColor="text1"/>
          <w:sz w:val="24"/>
          <w:lang w:eastAsia="zh-CN"/>
          <w14:textFill>
            <w14:solidFill>
              <w14:schemeClr w14:val="tx1"/>
            </w14:solidFill>
          </w14:textFill>
        </w:rPr>
        <w:t>杭州市临安区第三人民医院 2025年度职工疗休养采购项目</w:t>
      </w:r>
      <w:r>
        <w:rPr>
          <w:rFonts w:hint="eastAsia" w:ascii="宋体" w:hAnsi="宋体" w:cs="宋体"/>
          <w:b/>
          <w:bCs/>
          <w:color w:val="000000" w:themeColor="text1"/>
          <w:sz w:val="24"/>
          <w14:textFill>
            <w14:solidFill>
              <w14:schemeClr w14:val="tx1"/>
            </w14:solidFill>
          </w14:textFill>
        </w:rPr>
        <w:t>(标项一)</w:t>
      </w:r>
    </w:p>
    <w:p w14:paraId="31125AFC">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数量：不限</w:t>
      </w:r>
    </w:p>
    <w:p w14:paraId="2D6A2D9A">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300000</w:t>
      </w:r>
    </w:p>
    <w:p w14:paraId="35C59B32">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w:t>
      </w:r>
      <w:r>
        <w:rPr>
          <w:rFonts w:hint="eastAsia" w:ascii="宋体" w:hAnsi="宋体" w:cs="宋体"/>
          <w:color w:val="000000" w:themeColor="text1"/>
          <w:sz w:val="24"/>
          <w14:textFill>
            <w14:solidFill>
              <w14:schemeClr w14:val="tx1"/>
            </w14:solidFill>
          </w14:textFill>
        </w:rPr>
        <w:t>线路等</w:t>
      </w:r>
      <w:r>
        <w:rPr>
          <w:rFonts w:hint="eastAsia" w:ascii="宋体" w:hAnsi="宋体" w:cs="宋体"/>
          <w:bCs/>
          <w:color w:val="000000" w:themeColor="text1"/>
          <w:sz w:val="24"/>
          <w14:textFill>
            <w14:solidFill>
              <w14:schemeClr w14:val="tx1"/>
            </w14:solidFill>
          </w14:textFill>
        </w:rPr>
        <w:t>具体内容和相关要求详见</w:t>
      </w:r>
      <w:r>
        <w:rPr>
          <w:rFonts w:hint="eastAsia" w:hAnsi="宋体" w:cs="宋体"/>
          <w:bCs/>
          <w:color w:val="000000" w:themeColor="text1"/>
          <w:kern w:val="2"/>
          <w:sz w:val="24"/>
          <w:szCs w:val="24"/>
          <w:lang w:val="en-US" w:eastAsia="zh-CN"/>
          <w14:textFill>
            <w14:solidFill>
              <w14:schemeClr w14:val="tx1"/>
            </w14:solidFill>
          </w14:textFill>
        </w:rPr>
        <w:t>磋商</w:t>
      </w:r>
      <w:r>
        <w:rPr>
          <w:rFonts w:hint="eastAsia" w:ascii="宋体" w:hAnsi="宋体" w:cs="宋体"/>
          <w:bCs/>
          <w:color w:val="000000" w:themeColor="text1"/>
          <w:sz w:val="24"/>
          <w14:textFill>
            <w14:solidFill>
              <w14:schemeClr w14:val="tx1"/>
            </w14:solidFill>
          </w14:textFill>
        </w:rPr>
        <w:t>文件“第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部分 采购需求”。</w:t>
      </w:r>
    </w:p>
    <w:p w14:paraId="1F40105F">
      <w:pPr>
        <w:spacing w:line="360" w:lineRule="auto"/>
        <w:ind w:firstLine="480" w:firstLineChars="200"/>
        <w:rPr>
          <w:rFonts w:ascii="宋体" w:hAnsi="宋体" w:cs="宋体"/>
          <w:color w:val="000000" w:themeColor="text1"/>
          <w:sz w:val="24"/>
          <w14:textFill>
            <w14:solidFill>
              <w14:schemeClr w14:val="tx1"/>
            </w14:solidFill>
          </w14:textFill>
        </w:rPr>
      </w:pPr>
    </w:p>
    <w:p w14:paraId="3D8BE860">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标项二</w:t>
      </w:r>
    </w:p>
    <w:p w14:paraId="28F06BA3">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宋体" w:hAnsi="宋体" w:cs="宋体"/>
          <w:b/>
          <w:bCs/>
          <w:color w:val="000000" w:themeColor="text1"/>
          <w:sz w:val="24"/>
          <w:lang w:eastAsia="zh-CN"/>
          <w14:textFill>
            <w14:solidFill>
              <w14:schemeClr w14:val="tx1"/>
            </w14:solidFill>
          </w14:textFill>
        </w:rPr>
        <w:t>杭州市临安区第三人民医院 2025年度职工疗休养采购项目</w:t>
      </w:r>
      <w:r>
        <w:rPr>
          <w:rFonts w:hint="eastAsia" w:ascii="宋体" w:hAnsi="宋体" w:cs="宋体"/>
          <w:b/>
          <w:bCs/>
          <w:color w:val="000000" w:themeColor="text1"/>
          <w:sz w:val="24"/>
          <w14:textFill>
            <w14:solidFill>
              <w14:schemeClr w14:val="tx1"/>
            </w14:solidFill>
          </w14:textFill>
        </w:rPr>
        <w:t>(标项二)</w:t>
      </w:r>
    </w:p>
    <w:p w14:paraId="10B3A46B">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Theme="minorEastAsia" w:hAnsiTheme="minorEastAsia" w:eastAsiaTheme="minorEastAsia"/>
          <w:b/>
          <w:color w:val="auto"/>
          <w:sz w:val="24"/>
          <w:lang w:val="en-US" w:eastAsia="zh-CN"/>
        </w:rPr>
        <w:t>数量：不限</w:t>
      </w:r>
    </w:p>
    <w:p w14:paraId="3B6EEC07">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300000</w:t>
      </w:r>
    </w:p>
    <w:p w14:paraId="1C2358BA">
      <w:pPr>
        <w:spacing w:line="360" w:lineRule="auto"/>
        <w:ind w:firstLine="482" w:firstLineChars="200"/>
        <w:rPr>
          <w:rFonts w:ascii="宋体" w:hAnsi="宋体" w:cs="宋体"/>
          <w:b/>
          <w:color w:val="000000" w:themeColor="text1"/>
          <w:sz w:val="24"/>
          <w:szCs w:val="32"/>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w:t>
      </w:r>
      <w:r>
        <w:rPr>
          <w:rFonts w:hint="eastAsia" w:ascii="宋体" w:hAnsi="宋体" w:cs="宋体"/>
          <w:color w:val="000000" w:themeColor="text1"/>
          <w:sz w:val="24"/>
          <w14:textFill>
            <w14:solidFill>
              <w14:schemeClr w14:val="tx1"/>
            </w14:solidFill>
          </w14:textFill>
        </w:rPr>
        <w:t>线路等</w:t>
      </w:r>
      <w:r>
        <w:rPr>
          <w:rFonts w:hint="eastAsia" w:ascii="宋体" w:hAnsi="宋体" w:cs="宋体"/>
          <w:bCs/>
          <w:color w:val="000000" w:themeColor="text1"/>
          <w:sz w:val="24"/>
          <w14:textFill>
            <w14:solidFill>
              <w14:schemeClr w14:val="tx1"/>
            </w14:solidFill>
          </w14:textFill>
        </w:rPr>
        <w:t>具体内容和相关要求详见</w:t>
      </w:r>
      <w:r>
        <w:rPr>
          <w:rFonts w:hint="eastAsia" w:hAnsi="宋体" w:cs="宋体"/>
          <w:bCs/>
          <w:color w:val="000000" w:themeColor="text1"/>
          <w:kern w:val="2"/>
          <w:sz w:val="24"/>
          <w:szCs w:val="24"/>
          <w:lang w:val="en-US" w:eastAsia="zh-CN"/>
          <w14:textFill>
            <w14:solidFill>
              <w14:schemeClr w14:val="tx1"/>
            </w14:solidFill>
          </w14:textFill>
        </w:rPr>
        <w:t>磋商</w:t>
      </w:r>
      <w:r>
        <w:rPr>
          <w:rFonts w:hint="eastAsia" w:ascii="宋体" w:hAnsi="宋体" w:cs="宋体"/>
          <w:bCs/>
          <w:color w:val="000000" w:themeColor="text1"/>
          <w:sz w:val="24"/>
          <w14:textFill>
            <w14:solidFill>
              <w14:schemeClr w14:val="tx1"/>
            </w14:solidFill>
          </w14:textFill>
        </w:rPr>
        <w:t>文件“第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部分 采购需求”。</w:t>
      </w:r>
    </w:p>
    <w:p w14:paraId="3561B22A">
      <w:pPr>
        <w:spacing w:line="360" w:lineRule="auto"/>
        <w:ind w:firstLine="482" w:firstLineChars="200"/>
        <w:rPr>
          <w:rFonts w:hint="eastAsia" w:ascii="宋体" w:hAnsi="宋体" w:cs="宋体"/>
          <w:b/>
          <w:bCs/>
          <w:color w:val="000000" w:themeColor="text1"/>
          <w:sz w:val="24"/>
          <w14:textFill>
            <w14:solidFill>
              <w14:schemeClr w14:val="tx1"/>
            </w14:solidFill>
          </w14:textFill>
        </w:rPr>
      </w:pPr>
    </w:p>
    <w:p w14:paraId="70CB741A">
      <w:pPr>
        <w:spacing w:line="360" w:lineRule="auto"/>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三</w:t>
      </w:r>
    </w:p>
    <w:p w14:paraId="107EA8F0">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宋体" w:hAnsi="宋体" w:cs="宋体"/>
          <w:b/>
          <w:bCs/>
          <w:color w:val="000000" w:themeColor="text1"/>
          <w:sz w:val="24"/>
          <w:lang w:eastAsia="zh-CN"/>
          <w14:textFill>
            <w14:solidFill>
              <w14:schemeClr w14:val="tx1"/>
            </w14:solidFill>
          </w14:textFill>
        </w:rPr>
        <w:t>杭州市临安区第三人民医院 2025年度职工疗休养采购项目</w:t>
      </w: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w:t>
      </w:r>
    </w:p>
    <w:p w14:paraId="215794F1">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数量：不限</w:t>
      </w:r>
    </w:p>
    <w:p w14:paraId="37E36FDD">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153000</w:t>
      </w:r>
    </w:p>
    <w:p w14:paraId="434A9E59">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w:t>
      </w:r>
      <w:r>
        <w:rPr>
          <w:rFonts w:hint="eastAsia" w:ascii="宋体" w:hAnsi="宋体" w:cs="宋体"/>
          <w:color w:val="000000" w:themeColor="text1"/>
          <w:sz w:val="24"/>
          <w14:textFill>
            <w14:solidFill>
              <w14:schemeClr w14:val="tx1"/>
            </w14:solidFill>
          </w14:textFill>
        </w:rPr>
        <w:t>线路等</w:t>
      </w:r>
      <w:r>
        <w:rPr>
          <w:rFonts w:hint="eastAsia" w:ascii="宋体" w:hAnsi="宋体" w:cs="宋体"/>
          <w:bCs/>
          <w:color w:val="000000" w:themeColor="text1"/>
          <w:sz w:val="24"/>
          <w14:textFill>
            <w14:solidFill>
              <w14:schemeClr w14:val="tx1"/>
            </w14:solidFill>
          </w14:textFill>
        </w:rPr>
        <w:t>具体内容和相关要求详见</w:t>
      </w:r>
      <w:r>
        <w:rPr>
          <w:rFonts w:hint="eastAsia" w:hAnsi="宋体" w:cs="宋体"/>
          <w:bCs/>
          <w:color w:val="000000" w:themeColor="text1"/>
          <w:kern w:val="2"/>
          <w:sz w:val="24"/>
          <w:szCs w:val="24"/>
          <w:lang w:val="en-US" w:eastAsia="zh-CN"/>
          <w14:textFill>
            <w14:solidFill>
              <w14:schemeClr w14:val="tx1"/>
            </w14:solidFill>
          </w14:textFill>
        </w:rPr>
        <w:t>磋商</w:t>
      </w:r>
      <w:r>
        <w:rPr>
          <w:rFonts w:hint="eastAsia" w:ascii="宋体" w:hAnsi="宋体" w:cs="宋体"/>
          <w:bCs/>
          <w:color w:val="000000" w:themeColor="text1"/>
          <w:sz w:val="24"/>
          <w14:textFill>
            <w14:solidFill>
              <w14:schemeClr w14:val="tx1"/>
            </w14:solidFill>
          </w14:textFill>
        </w:rPr>
        <w:t>文件“第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部分 采购需求”。</w:t>
      </w:r>
    </w:p>
    <w:p w14:paraId="6743E49C">
      <w:pPr>
        <w:spacing w:line="360" w:lineRule="auto"/>
        <w:ind w:firstLine="480" w:firstLineChars="200"/>
        <w:rPr>
          <w:rFonts w:ascii="宋体" w:hAnsi="宋体" w:cs="宋体"/>
          <w:color w:val="000000" w:themeColor="text1"/>
          <w:sz w:val="24"/>
          <w14:textFill>
            <w14:solidFill>
              <w14:schemeClr w14:val="tx1"/>
            </w14:solidFill>
          </w14:textFill>
        </w:rPr>
      </w:pPr>
    </w:p>
    <w:p w14:paraId="0B697718">
      <w:pPr>
        <w:spacing w:line="360" w:lineRule="auto"/>
        <w:ind w:firstLine="482" w:firstLineChars="200"/>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四</w:t>
      </w:r>
    </w:p>
    <w:p w14:paraId="6973ABDE">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标项名称:</w:t>
      </w:r>
      <w:r>
        <w:rPr>
          <w:rFonts w:hint="eastAsia" w:ascii="宋体" w:hAnsi="宋体" w:cs="宋体"/>
          <w:b/>
          <w:bCs/>
          <w:color w:val="000000" w:themeColor="text1"/>
          <w:sz w:val="24"/>
          <w:lang w:eastAsia="zh-CN"/>
          <w14:textFill>
            <w14:solidFill>
              <w14:schemeClr w14:val="tx1"/>
            </w14:solidFill>
          </w14:textFill>
        </w:rPr>
        <w:t>杭州市临安区第三人民医院 2025年度职工疗休养采购项目</w:t>
      </w:r>
      <w:r>
        <w:rPr>
          <w:rFonts w:hint="eastAsia" w:ascii="宋体" w:hAnsi="宋体" w:cs="宋体"/>
          <w:b/>
          <w:bCs/>
          <w:color w:val="000000" w:themeColor="text1"/>
          <w:sz w:val="24"/>
          <w14:textFill>
            <w14:solidFill>
              <w14:schemeClr w14:val="tx1"/>
            </w14:solidFill>
          </w14:textFill>
        </w:rPr>
        <w:t>(标项</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w:t>
      </w:r>
    </w:p>
    <w:p w14:paraId="036D2AC5">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数量：不限</w:t>
      </w:r>
    </w:p>
    <w:p w14:paraId="3D123365">
      <w:pPr>
        <w:spacing w:line="360" w:lineRule="auto"/>
        <w:ind w:firstLine="482" w:firstLineChars="200"/>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eastAsia" w:ascii="宋体" w:hAnsi="宋体" w:cs="宋体"/>
          <w:b/>
          <w:bCs/>
          <w:color w:val="000000" w:themeColor="text1"/>
          <w:sz w:val="24"/>
          <w:lang w:val="en-US" w:eastAsia="zh-CN"/>
          <w14:textFill>
            <w14:solidFill>
              <w14:schemeClr w14:val="tx1"/>
            </w14:solidFill>
          </w14:textFill>
        </w:rPr>
        <w:t>300000</w:t>
      </w:r>
    </w:p>
    <w:p w14:paraId="0976EF72">
      <w:pPr>
        <w:spacing w:line="360" w:lineRule="auto"/>
        <w:ind w:firstLine="482" w:firstLineChars="200"/>
        <w:rPr>
          <w:rFonts w:ascii="宋体" w:hAnsi="宋体" w:cs="宋体"/>
          <w:b/>
          <w:color w:val="000000" w:themeColor="text1"/>
          <w:sz w:val="24"/>
          <w:szCs w:val="32"/>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简要规格描述或项目基本概况介绍、用途：</w:t>
      </w:r>
      <w:r>
        <w:rPr>
          <w:rFonts w:hint="eastAsia" w:ascii="宋体" w:hAnsi="宋体" w:cs="宋体"/>
          <w:color w:val="000000" w:themeColor="text1"/>
          <w:sz w:val="24"/>
          <w14:textFill>
            <w14:solidFill>
              <w14:schemeClr w14:val="tx1"/>
            </w14:solidFill>
          </w14:textFill>
        </w:rPr>
        <w:t>线路等</w:t>
      </w:r>
      <w:r>
        <w:rPr>
          <w:rFonts w:hint="eastAsia" w:ascii="宋体" w:hAnsi="宋体" w:cs="宋体"/>
          <w:bCs/>
          <w:color w:val="000000" w:themeColor="text1"/>
          <w:sz w:val="24"/>
          <w14:textFill>
            <w14:solidFill>
              <w14:schemeClr w14:val="tx1"/>
            </w14:solidFill>
          </w14:textFill>
        </w:rPr>
        <w:t>具体内容和相关要求详见</w:t>
      </w:r>
      <w:r>
        <w:rPr>
          <w:rFonts w:hint="eastAsia" w:hAnsi="宋体" w:cs="宋体"/>
          <w:bCs/>
          <w:color w:val="000000" w:themeColor="text1"/>
          <w:kern w:val="2"/>
          <w:sz w:val="24"/>
          <w:szCs w:val="24"/>
          <w:lang w:val="en-US" w:eastAsia="zh-CN"/>
          <w14:textFill>
            <w14:solidFill>
              <w14:schemeClr w14:val="tx1"/>
            </w14:solidFill>
          </w14:textFill>
        </w:rPr>
        <w:t>磋商</w:t>
      </w:r>
      <w:r>
        <w:rPr>
          <w:rFonts w:hint="eastAsia" w:ascii="宋体" w:hAnsi="宋体" w:cs="宋体"/>
          <w:bCs/>
          <w:color w:val="000000" w:themeColor="text1"/>
          <w:sz w:val="24"/>
          <w14:textFill>
            <w14:solidFill>
              <w14:schemeClr w14:val="tx1"/>
            </w14:solidFill>
          </w14:textFill>
        </w:rPr>
        <w:t>文件“第</w:t>
      </w:r>
      <w:r>
        <w:rPr>
          <w:rFonts w:hint="eastAsia" w:ascii="宋体" w:hAnsi="宋体" w:cs="宋体"/>
          <w:bCs/>
          <w:color w:val="000000" w:themeColor="text1"/>
          <w:sz w:val="24"/>
          <w:lang w:val="en-US" w:eastAsia="zh-CN"/>
          <w14:textFill>
            <w14:solidFill>
              <w14:schemeClr w14:val="tx1"/>
            </w14:solidFill>
          </w14:textFill>
        </w:rPr>
        <w:t>四</w:t>
      </w:r>
      <w:r>
        <w:rPr>
          <w:rFonts w:hint="eastAsia" w:ascii="宋体" w:hAnsi="宋体" w:cs="宋体"/>
          <w:bCs/>
          <w:color w:val="000000" w:themeColor="text1"/>
          <w:sz w:val="24"/>
          <w14:textFill>
            <w14:solidFill>
              <w14:schemeClr w14:val="tx1"/>
            </w14:solidFill>
          </w14:textFill>
        </w:rPr>
        <w:t>部分 采购需求”。</w:t>
      </w:r>
    </w:p>
    <w:p w14:paraId="7139AE85">
      <w:pPr>
        <w:spacing w:line="360" w:lineRule="auto"/>
        <w:ind w:firstLine="480" w:firstLineChars="200"/>
        <w:rPr>
          <w:rFonts w:hint="eastAsia" w:asciiTheme="minorEastAsia" w:hAnsiTheme="minorEastAsia" w:eastAsiaTheme="minorEastAsia"/>
          <w:color w:val="auto"/>
          <w:sz w:val="24"/>
          <w:u w:val="none"/>
          <w:lang w:eastAsia="zh-CN"/>
        </w:rPr>
      </w:pP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cs="Times New Roman"/>
              <w:b/>
              <w:color w:val="auto"/>
              <w:kern w:val="2"/>
              <w:sz w:val="24"/>
              <w:szCs w:val="24"/>
              <w:lang w:val="en-US" w:eastAsia="zh-CN" w:bidi="ar-SA"/>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56575D09">
      <w:pPr>
        <w:widowControl/>
        <w:tabs>
          <w:tab w:val="left" w:pos="540"/>
        </w:tabs>
        <w:autoSpaceDE w:val="0"/>
        <w:autoSpaceDN w:val="0"/>
        <w:spacing w:line="360" w:lineRule="auto"/>
        <w:ind w:firstLine="482"/>
        <w:textAlignment w:val="bottom"/>
        <w:rPr>
          <w:rFonts w:hint="eastAsia" w:cs="Times New Roman" w:asciiTheme="minorEastAsia" w:hAnsiTheme="minorEastAsia" w:eastAsiaTheme="minorEastAsia"/>
          <w:sz w:val="24"/>
          <w:lang w:val="en-US" w:eastAsia="zh-CN"/>
        </w:rPr>
      </w:pPr>
      <w:bookmarkStart w:id="15" w:name="_Toc35393630"/>
      <w:bookmarkStart w:id="16" w:name="_Toc28359013"/>
      <w:bookmarkStart w:id="17" w:name="_Toc35393799"/>
      <w:bookmarkStart w:id="18" w:name="_Toc28359090"/>
      <w:r>
        <w:rPr>
          <w:rFonts w:hint="eastAsia" w:ascii="宋体" w:hAnsi="宋体" w:cs="宋体"/>
          <w:b/>
          <w:sz w:val="24"/>
          <w:szCs w:val="32"/>
        </w:rPr>
        <w:t>合同履约期限：</w:t>
      </w:r>
      <w:r>
        <w:rPr>
          <w:rFonts w:hint="eastAsia" w:ascii="宋体" w:hAnsi="宋体" w:cs="宋体"/>
          <w:b w:val="0"/>
          <w:bCs/>
          <w:sz w:val="24"/>
          <w:szCs w:val="32"/>
          <w:lang w:val="en-US" w:eastAsia="zh-CN"/>
        </w:rPr>
        <w:t>四</w:t>
      </w:r>
      <w:r>
        <w:rPr>
          <w:rFonts w:hint="eastAsia" w:ascii="宋体" w:hAnsi="宋体" w:eastAsia="宋体" w:cs="宋体"/>
          <w:b w:val="0"/>
          <w:bCs/>
          <w:color w:val="000000"/>
          <w:sz w:val="24"/>
          <w:szCs w:val="24"/>
          <w:lang w:val="en-US" w:eastAsia="zh-CN"/>
        </w:rPr>
        <w:t>个标项</w:t>
      </w:r>
      <w:r>
        <w:rPr>
          <w:rFonts w:hint="eastAsia" w:ascii="宋体" w:hAnsi="宋体" w:eastAsia="宋体" w:cs="宋体"/>
          <w:bCs/>
          <w:color w:val="000000"/>
          <w:sz w:val="24"/>
          <w:szCs w:val="24"/>
          <w:lang w:val="en-US" w:eastAsia="zh-CN"/>
        </w:rPr>
        <w:t>均为</w:t>
      </w:r>
      <w:r>
        <w:rPr>
          <w:rFonts w:hint="eastAsia" w:ascii="宋体" w:hAnsi="宋体" w:eastAsia="宋体" w:cs="宋体"/>
          <w:bCs/>
          <w:color w:val="000000"/>
          <w:sz w:val="24"/>
          <w:szCs w:val="24"/>
        </w:rPr>
        <w:t>自</w:t>
      </w:r>
      <w:r>
        <w:rPr>
          <w:rFonts w:hint="eastAsia" w:ascii="宋体" w:hAnsi="宋体" w:cs="宋体"/>
          <w:bCs/>
          <w:color w:val="000000"/>
          <w:sz w:val="24"/>
          <w:szCs w:val="24"/>
        </w:rPr>
        <w:t>合同签订生效之日起至202</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年12月31日止或（分批）完成约定疗休养人数</w:t>
      </w:r>
      <w:r>
        <w:rPr>
          <w:rFonts w:hint="eastAsia" w:ascii="宋体" w:hAnsi="宋体" w:cs="宋体"/>
          <w:b/>
          <w:bCs/>
          <w:sz w:val="24"/>
        </w:rPr>
        <w:t>。</w:t>
      </w:r>
    </w:p>
    <w:p w14:paraId="14A3A4D9">
      <w:pPr>
        <w:spacing w:line="360" w:lineRule="auto"/>
        <w:ind w:firstLine="480" w:firstLineChars="200"/>
        <w:rPr>
          <w:rFonts w:hint="eastAsia" w:cs="宋体" w:asciiTheme="minorEastAsia" w:hAnsiTheme="minorEastAsia" w:eastAsiaTheme="minorEastAsia"/>
          <w:color w:val="auto"/>
          <w:sz w:val="24"/>
        </w:rPr>
      </w:pPr>
    </w:p>
    <w:p w14:paraId="07A7E37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eastAsiaTheme="minorEastAsia"/>
          <w:b/>
          <w:bCs/>
          <w:sz w:val="24"/>
          <w:u w:val="single"/>
        </w:rPr>
        <w:t>具有</w:t>
      </w:r>
      <w:r>
        <w:rPr>
          <w:rFonts w:hint="eastAsia" w:ascii="宋体" w:hAnsi="宋体" w:cs="宋体"/>
          <w:b/>
          <w:bCs/>
          <w:sz w:val="24"/>
          <w:u w:val="single"/>
        </w:rPr>
        <w:t>《旅行社业务经营许可证》</w:t>
      </w:r>
      <w:r>
        <w:rPr>
          <w:rFonts w:hint="eastAsia" w:ascii="宋体" w:hAnsi="宋体" w:cs="宋体"/>
          <w:color w:val="auto"/>
          <w:sz w:val="24"/>
          <w:highlight w:val="none"/>
        </w:rPr>
        <w:t>，该特定条件的法律法规依据：</w:t>
      </w:r>
      <w:r>
        <w:rPr>
          <w:rFonts w:hint="eastAsia" w:ascii="宋体" w:hAnsi="宋体" w:eastAsia="宋体" w:cs="宋体"/>
          <w:b/>
          <w:bCs/>
          <w:sz w:val="24"/>
          <w:u w:val="single"/>
        </w:rPr>
        <w:t>《中华人民共和国旅游法》、《浙江省旅游条例》</w:t>
      </w:r>
      <w:r>
        <w:rPr>
          <w:rFonts w:hint="eastAsia" w:ascii="宋体" w:hAnsi="宋体" w:eastAsia="宋体" w:cs="宋体"/>
          <w:b/>
          <w:bCs/>
          <w:sz w:val="24"/>
          <w:u w:val="single"/>
          <w:lang w:eastAsia="zh-CN"/>
        </w:rPr>
        <w:t>、</w:t>
      </w:r>
      <w:r>
        <w:rPr>
          <w:rFonts w:hint="eastAsia" w:ascii="宋体" w:hAnsi="宋体" w:eastAsia="宋体" w:cs="宋体"/>
          <w:b/>
          <w:bCs/>
          <w:sz w:val="24"/>
          <w:u w:val="single"/>
        </w:rPr>
        <w:t>《旅行社管理条例》第十二条</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28359014"/>
      <w:bookmarkStart w:id="20" w:name="_Toc28359091"/>
      <w:bookmarkStart w:id="21" w:name="_Toc35393800"/>
      <w:bookmarkStart w:id="22" w:name="_Toc35393631"/>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03</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4"/>
        <w:numPr>
          <w:ilvl w:val="0"/>
          <w:numId w:val="0"/>
        </w:numPr>
        <w:ind w:left="432" w:hanging="432"/>
        <w:rPr>
          <w:rFonts w:cs="宋体" w:asciiTheme="minorEastAsia" w:hAnsiTheme="minorEastAsia" w:eastAsiaTheme="minorEastAsia"/>
          <w:color w:val="auto"/>
          <w:sz w:val="24"/>
          <w:szCs w:val="24"/>
        </w:rPr>
      </w:pPr>
      <w:bookmarkStart w:id="23" w:name="_Toc28359092"/>
      <w:bookmarkStart w:id="24" w:name="_Toc35393632"/>
      <w:bookmarkStart w:id="25" w:name="_Toc28359015"/>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03</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bookmarkStart w:id="172" w:name="_GoBack"/>
      <w:bookmarkEnd w:id="172"/>
    </w:p>
    <w:p w14:paraId="02C705FC">
      <w:pPr>
        <w:pStyle w:val="4"/>
        <w:numPr>
          <w:ilvl w:val="0"/>
          <w:numId w:val="0"/>
        </w:numPr>
        <w:ind w:left="432" w:hanging="432"/>
        <w:rPr>
          <w:rFonts w:cs="宋体" w:asciiTheme="minorEastAsia" w:hAnsiTheme="minorEastAsia" w:eastAsiaTheme="minorEastAsia"/>
          <w:color w:val="auto"/>
          <w:sz w:val="24"/>
          <w:szCs w:val="24"/>
        </w:rPr>
      </w:pPr>
      <w:bookmarkStart w:id="27" w:name="_Toc35393802"/>
      <w:bookmarkStart w:id="28" w:name="_Toc35393633"/>
      <w:bookmarkStart w:id="29" w:name="_Toc28359093"/>
      <w:bookmarkStart w:id="30" w:name="_Toc28359016"/>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03</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31" w:name="_Toc28359017"/>
      <w:bookmarkStart w:id="32" w:name="_Toc35393803"/>
      <w:bookmarkStart w:id="33" w:name="_Toc35393634"/>
      <w:bookmarkStart w:id="34" w:name="_Toc28359094"/>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sz w:val="24"/>
        </w:rPr>
        <w:t>（3</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color w:val="auto"/>
          <w:sz w:val="24"/>
        </w:rPr>
        <w:t>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7" w:name="_Toc35393805"/>
      <w:bookmarkStart w:id="38" w:name="_Toc28359018"/>
      <w:bookmarkStart w:id="39" w:name="_Toc35393636"/>
      <w:bookmarkStart w:id="40" w:name="_Toc2835909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4"/>
        <w:numPr>
          <w:ilvl w:val="0"/>
          <w:numId w:val="0"/>
        </w:numPr>
        <w:ind w:left="432" w:hanging="432"/>
        <w:rPr>
          <w:rFonts w:cs="宋体" w:asciiTheme="minorEastAsia" w:hAnsiTheme="minorEastAsia" w:eastAsiaTheme="minorEastAsia"/>
          <w:color w:val="auto"/>
          <w:sz w:val="24"/>
          <w:szCs w:val="24"/>
        </w:rPr>
      </w:pPr>
      <w:bookmarkStart w:id="41" w:name="_Toc28359096"/>
      <w:bookmarkStart w:id="42" w:name="_Toc28359019"/>
      <w:bookmarkStart w:id="43" w:name="_Toc35393637"/>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258B4B5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名</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lang w:eastAsia="zh-CN"/>
        </w:rPr>
        <w:t>称：</w:t>
      </w:r>
      <w:r>
        <w:rPr>
          <w:rFonts w:hint="eastAsia" w:asciiTheme="minorEastAsia" w:hAnsiTheme="minorEastAsia" w:eastAsiaTheme="minorEastAsia"/>
          <w:sz w:val="24"/>
          <w:highlight w:val="none"/>
        </w:rPr>
        <w:fldChar w:fldCharType="begin"/>
      </w:r>
      <w:r>
        <w:rPr>
          <w:rFonts w:hint="eastAsia" w:asciiTheme="minorEastAsia" w:hAnsiTheme="minorEastAsia" w:eastAsiaTheme="minorEastAsia"/>
          <w:sz w:val="24"/>
          <w:highlight w:val="none"/>
        </w:rPr>
        <w:instrText xml:space="preserve"> HYPERLINK "https://middle.zcygov.cn/web-user/" \l "/institution/detail?tenantCode=330185&amp;institutionId=1000398667&amp;category=01" \t "https://pay.zcygov.cn/purchaseplan_front/" \l "/plan/list/_blank" </w:instrText>
      </w:r>
      <w:r>
        <w:rPr>
          <w:rFonts w:hint="eastAsia" w:asciiTheme="minorEastAsia" w:hAnsiTheme="minorEastAsia" w:eastAsiaTheme="minorEastAsia"/>
          <w:sz w:val="24"/>
          <w:highlight w:val="none"/>
        </w:rPr>
        <w:fldChar w:fldCharType="separate"/>
      </w:r>
      <w:r>
        <w:rPr>
          <w:rFonts w:hint="eastAsia" w:asciiTheme="minorEastAsia" w:hAnsiTheme="minorEastAsia" w:eastAsiaTheme="minorEastAsia"/>
          <w:sz w:val="24"/>
          <w:highlight w:val="none"/>
          <w:lang w:eastAsia="zh-CN"/>
        </w:rPr>
        <w:t>杭州市临安区第三人民医院</w:t>
      </w:r>
      <w:r>
        <w:rPr>
          <w:rFonts w:hint="eastAsia" w:asciiTheme="minorEastAsia" w:hAnsiTheme="minorEastAsia" w:eastAsiaTheme="minorEastAsia"/>
          <w:sz w:val="24"/>
          <w:highlight w:val="none"/>
        </w:rPr>
        <w:fldChar w:fldCharType="end"/>
      </w:r>
    </w:p>
    <w:p w14:paraId="45263000">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sz w:val="24"/>
          <w:highlight w:val="none"/>
        </w:rPr>
        <w:t xml:space="preserve">    地    址：</w:t>
      </w:r>
      <w:r>
        <w:rPr>
          <w:rFonts w:hint="eastAsia" w:asciiTheme="minorEastAsia" w:hAnsiTheme="minorEastAsia" w:eastAsiaTheme="minorEastAsia"/>
          <w:sz w:val="24"/>
          <w:highlight w:val="none"/>
          <w:lang w:val="en-US" w:eastAsia="zh-CN"/>
        </w:rPr>
        <w:t>杭州市</w:t>
      </w:r>
      <w:r>
        <w:rPr>
          <w:rFonts w:hint="eastAsia" w:asciiTheme="minorEastAsia" w:hAnsiTheme="minorEastAsia" w:eastAsiaTheme="minorEastAsia"/>
          <w:sz w:val="24"/>
          <w:highlight w:val="none"/>
          <w:lang w:eastAsia="zh-CN"/>
        </w:rPr>
        <w:t>临安区於潜镇双溪街89号</w:t>
      </w:r>
    </w:p>
    <w:p w14:paraId="43323D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项目联系人（询问）：张笑燕</w:t>
      </w:r>
    </w:p>
    <w:p w14:paraId="447DC432">
      <w:pPr>
        <w:spacing w:line="360" w:lineRule="auto"/>
        <w:rPr>
          <w:rFonts w:hint="default"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w:t>
      </w:r>
      <w:r>
        <w:rPr>
          <w:rFonts w:hint="eastAsia" w:cs="Times New Roman" w:asciiTheme="minorEastAsia" w:hAnsiTheme="minorEastAsia" w:eastAsiaTheme="minorEastAsia"/>
          <w:color w:val="auto"/>
          <w:sz w:val="24"/>
          <w:highlight w:val="none"/>
        </w:rPr>
        <w:t xml:space="preserve">   项目联系方式（询问）：0571-58606292</w:t>
      </w:r>
    </w:p>
    <w:p w14:paraId="113409F0">
      <w:pPr>
        <w:spacing w:line="360" w:lineRule="auto"/>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 xml:space="preserve">    质疑联系人：郑女士</w:t>
      </w:r>
    </w:p>
    <w:p w14:paraId="69CAEB25">
      <w:pPr>
        <w:spacing w:line="360" w:lineRule="auto"/>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 xml:space="preserve">    质疑联系方式：0571-58608888</w:t>
      </w:r>
    </w:p>
    <w:p w14:paraId="653A869A">
      <w:pPr>
        <w:pStyle w:val="4"/>
        <w:numPr>
          <w:ilvl w:val="0"/>
          <w:numId w:val="0"/>
        </w:numPr>
        <w:ind w:left="432" w:hanging="432"/>
        <w:rPr>
          <w:rFonts w:cs="宋体" w:asciiTheme="minorEastAsia" w:hAnsiTheme="minorEastAsia" w:eastAsiaTheme="minorEastAsia"/>
          <w:color w:val="auto"/>
          <w:sz w:val="24"/>
        </w:rPr>
      </w:pPr>
      <w:bookmarkStart w:id="45" w:name="_Toc35393638"/>
      <w:bookmarkStart w:id="46" w:name="_Toc35393807"/>
      <w:bookmarkStart w:id="47" w:name="_Toc28359020"/>
      <w:bookmarkStart w:id="48" w:name="_Toc28359097"/>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1DD127D8">
      <w:pPr>
        <w:spacing w:line="360" w:lineRule="auto"/>
        <w:ind w:firstLine="480" w:firstLineChars="200"/>
        <w:rPr>
          <w:rFonts w:asciiTheme="minorEastAsia" w:hAnsiTheme="minorEastAsia" w:eastAsiaTheme="minorEastAsia"/>
          <w:sz w:val="24"/>
        </w:rPr>
      </w:pPr>
      <w:bookmarkStart w:id="49" w:name="_Toc35393808"/>
      <w:bookmarkStart w:id="50" w:name="_Toc28359098"/>
      <w:bookmarkStart w:id="51" w:name="_Toc35393639"/>
      <w:bookmarkStart w:id="52" w:name="_Toc28359021"/>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中纬工程管理咨询有限公司</w:t>
      </w:r>
      <w:r>
        <w:rPr>
          <w:rFonts w:hint="eastAsia" w:asciiTheme="minorEastAsia" w:hAnsiTheme="minorEastAsia" w:eastAsiaTheme="minorEastAsia"/>
          <w:sz w:val="24"/>
        </w:rPr>
        <w:t xml:space="preserve">  </w:t>
      </w:r>
    </w:p>
    <w:p w14:paraId="503149B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址：杭州市临安区锦南街道南樾府17幢1</w:t>
      </w:r>
      <w:r>
        <w:rPr>
          <w:rFonts w:hint="eastAsia" w:asciiTheme="minorEastAsia" w:hAnsiTheme="minorEastAsia" w:eastAsiaTheme="minorEastAsia"/>
          <w:sz w:val="24"/>
          <w:lang w:val="en-US" w:eastAsia="zh-CN"/>
        </w:rPr>
        <w:t>103室</w:t>
      </w:r>
      <w:r>
        <w:rPr>
          <w:rFonts w:hint="eastAsia" w:asciiTheme="minorEastAsia" w:hAnsiTheme="minorEastAsia" w:eastAsiaTheme="minorEastAsia"/>
          <w:sz w:val="24"/>
        </w:rPr>
        <w:t xml:space="preserve">          </w:t>
      </w:r>
    </w:p>
    <w:p w14:paraId="5959A59A">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桑春华</w:t>
      </w:r>
    </w:p>
    <w:p w14:paraId="63997F06">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项目联系方式（询问）：0571-637</w:t>
      </w:r>
      <w:r>
        <w:rPr>
          <w:rFonts w:hint="eastAsia" w:asciiTheme="minorEastAsia" w:hAnsiTheme="minorEastAsia" w:eastAsiaTheme="minorEastAsia"/>
          <w:sz w:val="24"/>
          <w:lang w:val="en-US" w:eastAsia="zh-CN"/>
        </w:rPr>
        <w:t>15687、18968036893</w:t>
      </w:r>
    </w:p>
    <w:p w14:paraId="6D814C9C">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邓艳君</w:t>
      </w:r>
    </w:p>
    <w:p w14:paraId="030D14F1">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质疑联系方式：0571-637</w:t>
      </w:r>
      <w:r>
        <w:rPr>
          <w:rFonts w:hint="eastAsia" w:asciiTheme="minorEastAsia" w:hAnsiTheme="minorEastAsia" w:eastAsiaTheme="minorEastAsia"/>
          <w:sz w:val="24"/>
          <w:lang w:val="en-US" w:eastAsia="zh-CN"/>
        </w:rPr>
        <w:t>15687</w:t>
      </w:r>
    </w:p>
    <w:p w14:paraId="5D934F31">
      <w:pPr>
        <w:spacing w:line="360" w:lineRule="auto"/>
        <w:rPr>
          <w:rFonts w:asciiTheme="minorEastAsia" w:hAnsiTheme="minorEastAsia" w:eastAsiaTheme="minorEastAsia"/>
          <w:b/>
          <w:color w:val="auto"/>
          <w:sz w:val="24"/>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9"/>
      <w:bookmarkEnd w:id="50"/>
      <w:bookmarkEnd w:id="51"/>
      <w:bookmarkEnd w:id="52"/>
      <w:r>
        <w:rPr>
          <w:rFonts w:hint="eastAsia" w:ascii="宋体" w:hAnsi="宋体" w:cs="宋体"/>
          <w:color w:val="auto"/>
          <w:sz w:val="24"/>
        </w:rPr>
        <w:t>名    称：杭州市临安区财政局政府采购监管科、浙江省政府采购行政裁决服务中心（杭州）</w:t>
      </w:r>
    </w:p>
    <w:p w14:paraId="545A5D0F">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659FE672">
      <w:pPr>
        <w:spacing w:line="360" w:lineRule="auto"/>
        <w:ind w:firstLine="480"/>
        <w:rPr>
          <w:rFonts w:ascii="宋体" w:hAnsi="宋体" w:cs="宋体"/>
          <w:color w:val="auto"/>
          <w:sz w:val="24"/>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3"/>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3"/>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3843BC75">
      <w:pPr>
        <w:pStyle w:val="393"/>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b/>
          <w:bCs/>
          <w:szCs w:val="24"/>
          <w:lang w:val="en-US" w:eastAsia="zh-CN"/>
        </w:rPr>
        <w:t>2.2开标记录开启后，请将附件7《政府采购活动现场确认声明书》填写完整发送至邮箱：363981861@qq.com。</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lang w:val="en-US" w:eastAsia="zh-CN"/>
        </w:rPr>
        <w:t>3</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w:t>
      </w:r>
      <w:r>
        <w:rPr>
          <w:rFonts w:hint="eastAsia" w:asciiTheme="minorEastAsia" w:hAnsiTheme="minorEastAsia" w:eastAsiaTheme="minorEastAsia"/>
          <w:color w:val="auto"/>
          <w:szCs w:val="24"/>
          <w:highlight w:val="none"/>
          <w:lang w:eastAsia="zh-CN"/>
        </w:rPr>
        <w:t>采购人或者代理机构</w:t>
      </w:r>
      <w:r>
        <w:rPr>
          <w:rFonts w:hint="eastAsia" w:asciiTheme="minorEastAsia" w:hAnsiTheme="minorEastAsia" w:eastAsiaTheme="minorEastAsia"/>
          <w:color w:val="auto"/>
          <w:szCs w:val="24"/>
          <w:highlight w:val="none"/>
        </w:rPr>
        <w:t>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w:t>
      </w:r>
      <w:r>
        <w:rPr>
          <w:rFonts w:hint="eastAsia" w:asciiTheme="minorEastAsia" w:hAnsiTheme="minorEastAsia" w:eastAsiaTheme="minorEastAsia"/>
          <w:color w:val="auto"/>
          <w:szCs w:val="24"/>
          <w:lang w:val="en-US" w:eastAsia="zh-CN"/>
        </w:rPr>
        <w:t>；</w:t>
      </w:r>
      <w:r>
        <w:rPr>
          <w:rFonts w:hint="eastAsia" w:asciiTheme="minorEastAsia" w:hAnsiTheme="minorEastAsia" w:eastAsiaTheme="minorEastAsia"/>
          <w:color w:val="auto"/>
          <w:szCs w:val="24"/>
        </w:rPr>
        <w:t>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lang w:val="en-US" w:eastAsia="zh-CN"/>
        </w:rPr>
        <w:t>开标室</w:t>
      </w:r>
      <w:r>
        <w:rPr>
          <w:rFonts w:hint="eastAsia" w:asciiTheme="minorEastAsia" w:hAnsiTheme="minorEastAsia" w:eastAsiaTheme="minorEastAsia"/>
          <w:color w:val="auto"/>
          <w:szCs w:val="24"/>
        </w:rPr>
        <w:t>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w:t>
      </w:r>
      <w:r>
        <w:rPr>
          <w:rFonts w:hint="eastAsia" w:asciiTheme="minorEastAsia" w:hAnsiTheme="minorEastAsia" w:eastAsiaTheme="minorEastAsia"/>
          <w:b/>
          <w:bCs/>
          <w:color w:val="auto"/>
          <w:szCs w:val="24"/>
        </w:rPr>
        <w:t>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杭州市临安区第三人民医院 2025年度职工疗休养采购项目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Theme="majorEastAsia" w:hAnsiTheme="majorEastAsia" w:eastAsiaTheme="majorEastAsia" w:cstheme="majorEastAsia"/>
                <w:b/>
                <w:bCs/>
                <w:color w:val="000000" w:themeColor="text1"/>
                <w:kern w:val="0"/>
                <w:sz w:val="24"/>
                <w:u w:val="single"/>
                <w14:textFill>
                  <w14:solidFill>
                    <w14:schemeClr w14:val="tx1"/>
                  </w14:solidFill>
                </w14:textFill>
              </w:rPr>
              <w:t>租赁和商务服务业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56FAA8D0">
            <w:pPr>
              <w:numPr>
                <w:ilvl w:val="0"/>
                <w:numId w:val="0"/>
              </w:numPr>
              <w:snapToGrid w:val="0"/>
              <w:spacing w:line="360" w:lineRule="auto"/>
              <w:rPr>
                <w:rFonts w:hint="eastAsia" w:ascii="宋体" w:hAnsi="宋体" w:eastAsia="宋体" w:cs="宋体"/>
                <w:bCs/>
                <w:sz w:val="24"/>
                <w:szCs w:val="24"/>
                <w:lang w:val="en-US" w:eastAsia="zh-CN"/>
              </w:rPr>
            </w:pPr>
            <w:r>
              <w:rPr>
                <w:rFonts w:hint="eastAsia" w:ascii="宋体" w:hAnsi="宋体" w:eastAsia="宋体" w:cs="宋体"/>
                <w:kern w:val="0"/>
                <w:sz w:val="24"/>
                <w:szCs w:val="24"/>
                <w:lang w:val="en-US" w:eastAsia="zh-CN"/>
              </w:rPr>
              <w:t>说明：</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根据</w:t>
            </w:r>
            <w:r>
              <w:rPr>
                <w:rFonts w:hint="eastAsia" w:ascii="宋体" w:hAnsi="宋体" w:eastAsia="宋体" w:cs="宋体"/>
                <w:bCs/>
                <w:sz w:val="24"/>
                <w:szCs w:val="24"/>
              </w:rPr>
              <w:t>《中小企业划型标准规定》工信部联企业〔2011〕300号</w:t>
            </w:r>
            <w:r>
              <w:rPr>
                <w:rFonts w:hint="eastAsia" w:ascii="宋体" w:hAnsi="宋体" w:eastAsia="宋体" w:cs="宋体"/>
                <w:bCs/>
                <w:sz w:val="24"/>
                <w:szCs w:val="24"/>
                <w:lang w:val="en-US" w:eastAsia="zh-CN"/>
              </w:rPr>
              <w:t>文件“（十五）租赁和商务服务业。</w:t>
            </w:r>
            <w:r>
              <w:rPr>
                <w:rFonts w:hint="eastAsia" w:ascii="宋体" w:hAnsi="宋体" w:eastAsia="宋体" w:cs="宋体"/>
                <w:kern w:val="0"/>
                <w:sz w:val="24"/>
                <w:szCs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bCs/>
                <w:sz w:val="24"/>
                <w:szCs w:val="24"/>
                <w:lang w:val="en-US" w:eastAsia="zh-CN"/>
              </w:rPr>
              <w:t>”</w:t>
            </w:r>
          </w:p>
          <w:p w14:paraId="015EDC07">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en-US" w:eastAsia="zh-CN"/>
              </w:rPr>
              <w:t>2</w:t>
            </w:r>
            <w:r>
              <w:rPr>
                <w:rFonts w:hint="eastAsia" w:ascii="宋体" w:hAnsi="宋体" w:eastAsia="宋体" w:cs="宋体"/>
                <w:color w:val="auto"/>
                <w:spacing w:val="-7"/>
                <w:sz w:val="24"/>
                <w:highlight w:val="none"/>
                <w:u w:val="none"/>
                <w:lang w:val="zh-CN" w:eastAsia="zh-CN"/>
              </w:rPr>
              <w:t>.大型、中型和小型企业须同时满足所列指标的下限，否则下划一档；微型企业只须满足所列指标中的一项即可。 　　</w:t>
            </w:r>
          </w:p>
          <w:p w14:paraId="493E0C3E">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en-US" w:eastAsia="zh-CN"/>
              </w:rPr>
              <w:t>3</w:t>
            </w:r>
            <w:r>
              <w:rPr>
                <w:rFonts w:hint="eastAsia" w:ascii="宋体" w:hAnsi="宋体" w:eastAsia="宋体" w:cs="宋体"/>
                <w:color w:val="auto"/>
                <w:spacing w:val="-7"/>
                <w:sz w:val="24"/>
                <w:highlight w:val="none"/>
                <w:u w:val="none"/>
                <w:lang w:val="zh-CN" w:eastAsia="zh-CN"/>
              </w:rPr>
              <w:t>.附表中各行业的范围以《国民经济行业分类》（GB/T4754-2017）为准。</w:t>
            </w:r>
          </w:p>
          <w:p w14:paraId="29617A00">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en-US" w:eastAsia="zh-CN"/>
              </w:rPr>
              <w:t>4</w:t>
            </w:r>
            <w:r>
              <w:rPr>
                <w:rFonts w:hint="eastAsia" w:ascii="宋体" w:hAnsi="宋体" w:eastAsia="宋体" w:cs="宋体"/>
                <w:color w:val="auto"/>
                <w:spacing w:val="-7"/>
                <w:sz w:val="24"/>
                <w:highlight w:val="none"/>
                <w:u w:val="none"/>
                <w:lang w:val="zh-CN" w:eastAsia="zh-CN"/>
              </w:rPr>
              <w:t>.企业划分指标以现行统计制度为准。</w:t>
            </w:r>
          </w:p>
          <w:p w14:paraId="21787D39">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zh-CN" w:eastAsia="zh-CN"/>
              </w:rPr>
              <w:t>1）从业人员，是指期末从业人员数，没有期末从业人员数的，采用全年平均人员数代替。</w:t>
            </w:r>
          </w:p>
          <w:p w14:paraId="4309729C">
            <w:pPr>
              <w:numPr>
                <w:ilvl w:val="0"/>
                <w:numId w:val="0"/>
              </w:numPr>
              <w:snapToGrid w:val="0"/>
              <w:spacing w:line="360" w:lineRule="auto"/>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DED58E0">
            <w:pPr>
              <w:pStyle w:val="4"/>
              <w:numPr>
                <w:ilvl w:val="0"/>
                <w:numId w:val="0"/>
              </w:numPr>
              <w:tabs>
                <w:tab w:val="clear" w:pos="432"/>
              </w:tabs>
              <w:ind w:left="432" w:leftChars="0" w:hanging="432" w:firstLineChars="0"/>
              <w:rPr>
                <w:rFonts w:hint="eastAsia" w:ascii="宋体" w:hAnsi="宋体" w:eastAsia="宋体" w:cs="宋体"/>
                <w:color w:val="auto"/>
                <w:spacing w:val="-7"/>
                <w:sz w:val="24"/>
                <w:highlight w:val="none"/>
                <w:u w:val="none"/>
                <w:lang w:val="zh-CN" w:eastAsia="zh-CN"/>
              </w:rPr>
            </w:pPr>
            <w:r>
              <w:rPr>
                <w:rFonts w:hint="eastAsia" w:ascii="宋体" w:hAnsi="宋体" w:eastAsia="宋体" w:cs="宋体"/>
                <w:color w:val="auto"/>
                <w:spacing w:val="-7"/>
                <w:sz w:val="24"/>
                <w:highlight w:val="none"/>
                <w:u w:val="none"/>
                <w:lang w:val="zh-CN" w:eastAsia="zh-CN"/>
              </w:rPr>
              <w:t>3）资产总额，采用资产总计代替。</w:t>
            </w:r>
          </w:p>
          <w:p w14:paraId="4E5BA9C1">
            <w:pPr>
              <w:rPr>
                <w:rFonts w:hint="default"/>
                <w:lang w:val="en-US"/>
              </w:rPr>
            </w:pPr>
            <w:r>
              <w:rPr>
                <w:rFonts w:hint="eastAsia" w:ascii="宋体" w:hAnsi="宋体" w:eastAsia="宋体" w:cs="宋体"/>
                <w:color w:val="auto"/>
                <w:spacing w:val="-7"/>
                <w:sz w:val="24"/>
                <w:highlight w:val="none"/>
                <w:u w:val="none"/>
                <w:lang w:val="en-US" w:eastAsia="zh-CN"/>
              </w:rPr>
              <w:t>5.</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6。</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01E02">
            <w:pPr>
              <w:spacing w:line="360" w:lineRule="auto"/>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rPr>
              <w:t>工作分包</w:t>
            </w:r>
            <w:r>
              <w:rPr>
                <w:rFonts w:hint="eastAsia" w:cs="宋体" w:asciiTheme="minorEastAsia" w:hAnsiTheme="minorEastAsia" w:eastAsiaTheme="minorEastAsia"/>
                <w:color w:val="auto"/>
                <w:sz w:val="24"/>
                <w:lang w:eastAsia="zh-CN"/>
              </w:rPr>
              <w:t>。</w:t>
            </w:r>
          </w:p>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2BC810D1">
            <w:pPr>
              <w:pStyle w:val="71"/>
              <w:ind w:firstLine="0" w:firstLineChars="0"/>
              <w:rPr>
                <w:color w:val="auto"/>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w:t>
            </w:r>
            <w:r>
              <w:rPr>
                <w:rFonts w:hint="eastAsia" w:cs="宋体" w:asciiTheme="minorEastAsia" w:hAnsiTheme="minorEastAsia" w:eastAsiaTheme="minorEastAsia"/>
                <w:color w:val="auto"/>
                <w:kern w:val="0"/>
                <w:sz w:val="24"/>
                <w:lang w:val="en-US" w:eastAsia="zh-CN"/>
              </w:rPr>
              <w:t>采购代理机构</w:t>
            </w:r>
            <w:r>
              <w:rPr>
                <w:rFonts w:hint="eastAsia" w:cs="宋体" w:asciiTheme="minorEastAsia" w:hAnsiTheme="minorEastAsia" w:eastAsiaTheme="minorEastAsia"/>
                <w:color w:val="auto"/>
                <w:kern w:val="0"/>
                <w:sz w:val="24"/>
              </w:rPr>
              <w:t>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3"/>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kern w:val="28"/>
                <w:sz w:val="24"/>
                <w:szCs w:val="24"/>
                <w:u w:val="single"/>
              </w:rPr>
              <w:t>杭州市临安区锦南街道南樾府17幢1202（</w:t>
            </w:r>
            <w:r>
              <w:rPr>
                <w:rFonts w:hint="eastAsia" w:cs="宋体" w:asciiTheme="minorEastAsia" w:hAnsiTheme="minorEastAsia" w:eastAsiaTheme="minorEastAsia"/>
                <w:kern w:val="28"/>
                <w:sz w:val="24"/>
                <w:szCs w:val="24"/>
                <w:u w:val="single"/>
                <w:lang w:eastAsia="zh-CN"/>
              </w:rPr>
              <w:t>中纬工程管理咨询有限公司</w:t>
            </w:r>
            <w:r>
              <w:rPr>
                <w:rFonts w:hint="eastAsia" w:cs="宋体" w:asciiTheme="minorEastAsia" w:hAnsiTheme="minorEastAsia" w:eastAsiaTheme="minorEastAsia"/>
                <w:kern w:val="28"/>
                <w:sz w:val="24"/>
                <w:szCs w:val="24"/>
                <w:u w:val="single"/>
              </w:rPr>
              <w:t>临安分公司招标代理部）</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kern w:val="28"/>
                <w:sz w:val="24"/>
                <w:szCs w:val="24"/>
                <w:u w:val="single"/>
              </w:rPr>
              <w:t xml:space="preserve"> 0571-63705818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568B0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46AC7F">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2F262DD">
            <w:pPr>
              <w:snapToGrid w:val="0"/>
              <w:spacing w:line="36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52294C5">
            <w:pPr>
              <w:spacing w:line="312"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根据《关于规范政府采购相关付费范围及标准的有关通知》（临财发〔2021〕61号）收费标准执行。收费价格=收费标准*</w:t>
            </w:r>
            <w:r>
              <w:rPr>
                <w:rFonts w:hint="eastAsia" w:ascii="宋体" w:hAnsi="宋体" w:cs="宋体"/>
                <w:color w:val="000000"/>
                <w:sz w:val="24"/>
                <w:highlight w:val="none"/>
                <w:lang w:val="en-US" w:eastAsia="zh-CN"/>
              </w:rPr>
              <w:t>80%</w:t>
            </w:r>
            <w:r>
              <w:rPr>
                <w:rFonts w:hint="eastAsia" w:ascii="宋体" w:hAnsi="宋体" w:eastAsia="宋体" w:cs="宋体"/>
                <w:color w:val="000000"/>
                <w:sz w:val="24"/>
                <w:highlight w:val="none"/>
              </w:rPr>
              <w:t>。代理服务费参照发改价格〔2011〕534号文件、国家发改委计价格〔2002〕1980号文件规定收费标准收取。单个采购项目代理服务费不足肆仟元按肆仟元收取。中标人领取中标通知书前支付，代理服务收费按差额定率累进法计算。</w:t>
            </w:r>
          </w:p>
          <w:p w14:paraId="1C406FC3">
            <w:pPr>
              <w:snapToGrid w:val="0"/>
              <w:spacing w:line="312"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drawing>
                <wp:inline distT="0" distB="0" distL="114300" distR="114300">
                  <wp:extent cx="3346450" cy="1574165"/>
                  <wp:effectExtent l="0" t="0" r="6350" b="635"/>
                  <wp:docPr id="5"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收费标准"/>
                          <pic:cNvPicPr>
                            <a:picLocks noChangeAspect="1"/>
                          </pic:cNvPicPr>
                        </pic:nvPicPr>
                        <pic:blipFill>
                          <a:blip r:embed="rId14"/>
                          <a:stretch>
                            <a:fillRect/>
                          </a:stretch>
                        </pic:blipFill>
                        <pic:spPr>
                          <a:xfrm>
                            <a:off x="0" y="0"/>
                            <a:ext cx="3346450" cy="1574165"/>
                          </a:xfrm>
                          <a:prstGeom prst="rect">
                            <a:avLst/>
                          </a:prstGeom>
                          <a:noFill/>
                          <a:ln>
                            <a:noFill/>
                          </a:ln>
                        </pic:spPr>
                      </pic:pic>
                    </a:graphicData>
                  </a:graphic>
                </wp:inline>
              </w:drawing>
            </w:r>
          </w:p>
          <w:p w14:paraId="2368277B">
            <w:pPr>
              <w:tabs>
                <w:tab w:val="left" w:pos="440"/>
              </w:tabs>
              <w:spacing w:line="312" w:lineRule="auto"/>
              <w:rPr>
                <w:rFonts w:hint="eastAsia" w:ascii="宋体" w:hAnsi="宋体" w:cs="宋体"/>
                <w:snapToGrid w:val="0"/>
                <w:color w:val="000000"/>
                <w:kern w:val="0"/>
                <w:sz w:val="24"/>
                <w:highlight w:val="none"/>
                <w:lang w:val="en-US" w:eastAsia="zh-CN"/>
              </w:rPr>
            </w:pPr>
            <w:r>
              <w:rPr>
                <w:rFonts w:hint="eastAsia" w:ascii="宋体" w:hAnsi="宋体" w:cs="宋体"/>
                <w:snapToGrid w:val="0"/>
                <w:color w:val="000000"/>
                <w:kern w:val="0"/>
                <w:sz w:val="24"/>
                <w:highlight w:val="none"/>
                <w:lang w:val="en-US" w:eastAsia="zh-CN"/>
              </w:rPr>
              <w:t>标项（一、二、四）代理服务费：3600元/家；</w:t>
            </w:r>
          </w:p>
          <w:p w14:paraId="331BA5C5">
            <w:pPr>
              <w:pStyle w:val="2"/>
              <w:ind w:left="0" w:leftChars="0" w:firstLine="0" w:firstLineChars="0"/>
              <w:rPr>
                <w:rFonts w:hint="default"/>
                <w:lang w:val="en-US" w:eastAsia="zh-CN"/>
              </w:rPr>
            </w:pPr>
            <w:r>
              <w:rPr>
                <w:rFonts w:hint="eastAsia" w:cs="宋体"/>
                <w:snapToGrid w:val="0"/>
                <w:color w:val="000000"/>
                <w:kern w:val="0"/>
                <w:sz w:val="24"/>
                <w:highlight w:val="none"/>
                <w:lang w:val="en-US" w:eastAsia="zh-CN"/>
              </w:rPr>
              <w:t>标项（三）代理服务费：2000元/家。</w:t>
            </w:r>
          </w:p>
          <w:p w14:paraId="5663CAD9">
            <w:pPr>
              <w:tabs>
                <w:tab w:val="left" w:pos="440"/>
              </w:tabs>
              <w:spacing w:line="312" w:lineRule="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缴纳时间：中标(成交)结果公示后5个工作日内一次性付清</w:t>
            </w:r>
          </w:p>
          <w:p w14:paraId="65D694B1">
            <w:pPr>
              <w:tabs>
                <w:tab w:val="left" w:pos="440"/>
              </w:tabs>
              <w:spacing w:line="312" w:lineRule="auto"/>
              <w:rPr>
                <w:rFonts w:hint="eastAsia" w:ascii="宋体" w:hAnsi="宋体" w:eastAsia="宋体" w:cs="宋体"/>
                <w:snapToGrid w:val="0"/>
                <w:color w:val="000000"/>
                <w:kern w:val="0"/>
                <w:sz w:val="24"/>
                <w:highlight w:val="none"/>
              </w:rPr>
            </w:pPr>
            <w:r>
              <w:rPr>
                <w:rFonts w:hint="eastAsia" w:ascii="宋体" w:hAnsi="宋体" w:eastAsia="宋体" w:cs="宋体"/>
                <w:snapToGrid w:val="0"/>
                <w:color w:val="000000"/>
                <w:kern w:val="0"/>
                <w:sz w:val="24"/>
                <w:highlight w:val="none"/>
              </w:rPr>
              <w:t>缴纳形式：汇票/支票/电汇/现金</w:t>
            </w:r>
          </w:p>
          <w:p w14:paraId="3102A101">
            <w:pPr>
              <w:tabs>
                <w:tab w:val="left" w:pos="440"/>
              </w:tabs>
              <w:spacing w:line="312" w:lineRule="auto"/>
              <w:rPr>
                <w:rFonts w:hint="eastAsia" w:ascii="宋体" w:hAnsi="宋体" w:eastAsia="宋体" w:cs="宋体"/>
                <w:snapToGrid w:val="0"/>
                <w:color w:val="000000"/>
                <w:kern w:val="0"/>
                <w:sz w:val="24"/>
                <w:highlight w:val="none"/>
                <w:lang w:eastAsia="zh-CN"/>
              </w:rPr>
            </w:pPr>
            <w:r>
              <w:rPr>
                <w:rFonts w:hint="eastAsia" w:ascii="宋体" w:hAnsi="宋体" w:eastAsia="宋体" w:cs="宋体"/>
                <w:b/>
                <w:snapToGrid w:val="0"/>
                <w:color w:val="000000"/>
                <w:kern w:val="0"/>
                <w:sz w:val="24"/>
                <w:highlight w:val="none"/>
              </w:rPr>
              <w:t>收款单位：</w:t>
            </w:r>
            <w:r>
              <w:rPr>
                <w:rFonts w:hint="eastAsia" w:ascii="宋体" w:hAnsi="宋体" w:eastAsia="宋体" w:cs="宋体"/>
                <w:color w:val="000000"/>
                <w:kern w:val="0"/>
                <w:sz w:val="24"/>
                <w:highlight w:val="none"/>
                <w:lang w:eastAsia="zh-CN"/>
              </w:rPr>
              <w:t>中纬工程管理咨询有限公司</w:t>
            </w:r>
          </w:p>
          <w:p w14:paraId="69CB390A">
            <w:pPr>
              <w:tabs>
                <w:tab w:val="left" w:pos="440"/>
              </w:tabs>
              <w:spacing w:line="312" w:lineRule="auto"/>
              <w:rPr>
                <w:rFonts w:hint="eastAsia" w:ascii="宋体" w:hAnsi="宋体" w:eastAsia="宋体" w:cs="宋体"/>
                <w:snapToGrid w:val="0"/>
                <w:color w:val="000000"/>
                <w:kern w:val="0"/>
                <w:sz w:val="24"/>
                <w:highlight w:val="none"/>
              </w:rPr>
            </w:pPr>
            <w:r>
              <w:rPr>
                <w:rFonts w:hint="eastAsia" w:ascii="宋体" w:hAnsi="宋体" w:eastAsia="宋体" w:cs="宋体"/>
                <w:b/>
                <w:snapToGrid w:val="0"/>
                <w:color w:val="000000"/>
                <w:kern w:val="0"/>
                <w:sz w:val="24"/>
                <w:highlight w:val="none"/>
              </w:rPr>
              <w:t>开户银行：杭州银行临安支行</w:t>
            </w:r>
          </w:p>
          <w:p w14:paraId="33F8C216">
            <w:pPr>
              <w:snapToGrid w:val="0"/>
              <w:spacing w:line="360" w:lineRule="auto"/>
              <w:rPr>
                <w:rFonts w:hint="eastAsia" w:ascii="宋体" w:hAnsi="宋体" w:eastAsia="宋体" w:cs="宋体"/>
                <w:b/>
                <w:snapToGrid w:val="0"/>
                <w:color w:val="000000"/>
                <w:kern w:val="0"/>
                <w:sz w:val="24"/>
                <w:highlight w:val="none"/>
              </w:rPr>
            </w:pPr>
            <w:r>
              <w:rPr>
                <w:rFonts w:hint="eastAsia" w:ascii="宋体" w:hAnsi="宋体" w:eastAsia="宋体" w:cs="宋体"/>
                <w:b/>
                <w:snapToGrid w:val="0"/>
                <w:color w:val="000000"/>
                <w:kern w:val="0"/>
                <w:sz w:val="24"/>
                <w:highlight w:val="none"/>
              </w:rPr>
              <w:t>银行账号：8691</w:t>
            </w:r>
            <w:r>
              <w:rPr>
                <w:rFonts w:hint="eastAsia" w:ascii="宋体" w:hAnsi="宋体" w:eastAsia="宋体" w:cs="宋体"/>
                <w:b/>
                <w:snapToGrid w:val="0"/>
                <w:color w:val="000000"/>
                <w:kern w:val="0"/>
                <w:sz w:val="24"/>
                <w:highlight w:val="none"/>
                <w:lang w:val="en-US" w:eastAsia="zh-CN"/>
              </w:rPr>
              <w:t xml:space="preserve"> </w:t>
            </w:r>
            <w:r>
              <w:rPr>
                <w:rFonts w:hint="eastAsia" w:ascii="宋体" w:hAnsi="宋体" w:eastAsia="宋体" w:cs="宋体"/>
                <w:b/>
                <w:snapToGrid w:val="0"/>
                <w:color w:val="000000"/>
                <w:kern w:val="0"/>
                <w:sz w:val="24"/>
                <w:highlight w:val="none"/>
              </w:rPr>
              <w:t>8100</w:t>
            </w:r>
            <w:r>
              <w:rPr>
                <w:rFonts w:hint="eastAsia" w:ascii="宋体" w:hAnsi="宋体" w:eastAsia="宋体" w:cs="宋体"/>
                <w:b/>
                <w:snapToGrid w:val="0"/>
                <w:color w:val="000000"/>
                <w:kern w:val="0"/>
                <w:sz w:val="24"/>
                <w:highlight w:val="none"/>
                <w:lang w:val="en-US" w:eastAsia="zh-CN"/>
              </w:rPr>
              <w:t xml:space="preserve"> </w:t>
            </w:r>
            <w:r>
              <w:rPr>
                <w:rFonts w:hint="eastAsia" w:ascii="宋体" w:hAnsi="宋体" w:eastAsia="宋体" w:cs="宋体"/>
                <w:b/>
                <w:snapToGrid w:val="0"/>
                <w:color w:val="000000"/>
                <w:kern w:val="0"/>
                <w:sz w:val="24"/>
                <w:highlight w:val="none"/>
              </w:rPr>
              <w:t>1064</w:t>
            </w:r>
            <w:r>
              <w:rPr>
                <w:rFonts w:hint="eastAsia" w:ascii="宋体" w:hAnsi="宋体" w:eastAsia="宋体" w:cs="宋体"/>
                <w:b/>
                <w:snapToGrid w:val="0"/>
                <w:color w:val="000000"/>
                <w:kern w:val="0"/>
                <w:sz w:val="24"/>
                <w:highlight w:val="none"/>
                <w:lang w:val="en-US" w:eastAsia="zh-CN"/>
              </w:rPr>
              <w:t xml:space="preserve"> </w:t>
            </w:r>
            <w:r>
              <w:rPr>
                <w:rFonts w:hint="eastAsia" w:ascii="宋体" w:hAnsi="宋体" w:eastAsia="宋体" w:cs="宋体"/>
                <w:b/>
                <w:snapToGrid w:val="0"/>
                <w:color w:val="000000"/>
                <w:kern w:val="0"/>
                <w:sz w:val="24"/>
                <w:highlight w:val="none"/>
              </w:rPr>
              <w:t>57</w:t>
            </w:r>
          </w:p>
          <w:p w14:paraId="382C88CC">
            <w:pPr>
              <w:snapToGrid w:val="0"/>
              <w:spacing w:line="360" w:lineRule="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b w:val="0"/>
                <w:bCs/>
                <w:snapToGrid w:val="0"/>
                <w:color w:val="000000"/>
                <w:kern w:val="0"/>
                <w:sz w:val="24"/>
                <w:highlight w:val="none"/>
              </w:rPr>
              <w:t>备注：放弃中标（成交）资格的供应商，须承担本项目招标代理费和专家评审费等费用。</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0A669887">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6909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Wingdings" w:hAnsi="Wingdings" w:cs="Arial" w:eastAsiaTheme="minorEastAsia"/>
                    <w:color w:val="auto"/>
                    <w:kern w:val="0"/>
                    <w:sz w:val="24"/>
                    <w:szCs w:val="24"/>
                    <w:lang w:val="en-US" w:eastAsia="zh-CN" w:bidi="ar-SA"/>
                  </w:rPr>
                  <w:t>þ</w:t>
                </w:r>
              </w:sdtContent>
            </w:sdt>
            <w:r>
              <w:rPr>
                <w:rFonts w:hint="eastAsia" w:ascii="宋体" w:hAnsi="宋体" w:eastAsia="宋体" w:cs="宋体"/>
                <w:snapToGrid w:val="0"/>
                <w:kern w:val="28"/>
                <w:sz w:val="24"/>
                <w:lang w:val="en-US" w:eastAsia="zh-CN"/>
              </w:rPr>
              <w:t>中标供应商在领取中标通知书前需提供和上传的电子投标文件一致的纸质投标文件一正二副。</w:t>
            </w:r>
          </w:p>
        </w:tc>
      </w:tr>
      <w:tr w14:paraId="2895F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034361CA">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4B1ADAA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A811E5">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kern w:val="0"/>
                <w:sz w:val="24"/>
              </w:rPr>
              <w:t>评审因素对应的要求视为采购需求的一部分。</w:t>
            </w:r>
          </w:p>
        </w:tc>
      </w:tr>
    </w:tbl>
    <w:p w14:paraId="64E4BEC4">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3"/>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3"/>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DA3B3D6">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E2CCCD6">
      <w:pPr>
        <w:pStyle w:val="33"/>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3"/>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3"/>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9"/>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3"/>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3"/>
              <w:spacing w:line="360" w:lineRule="auto"/>
              <w:jc w:val="center"/>
              <w:rPr>
                <w:rFonts w:asciiTheme="minorEastAsia" w:hAnsiTheme="minorEastAsia" w:eastAsiaTheme="minorEastAsia"/>
                <w:color w:val="auto"/>
                <w:sz w:val="24"/>
              </w:rPr>
            </w:pPr>
          </w:p>
        </w:tc>
        <w:tc>
          <w:tcPr>
            <w:tcW w:w="4536" w:type="dxa"/>
            <w:vAlign w:val="center"/>
          </w:tcPr>
          <w:p w14:paraId="494EE5C7">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3"/>
              <w:spacing w:line="360" w:lineRule="auto"/>
              <w:jc w:val="center"/>
              <w:rPr>
                <w:rFonts w:asciiTheme="minorEastAsia" w:hAnsiTheme="minorEastAsia" w:eastAsiaTheme="minorEastAsia"/>
                <w:color w:val="auto"/>
                <w:sz w:val="24"/>
              </w:rPr>
            </w:pPr>
          </w:p>
        </w:tc>
        <w:tc>
          <w:tcPr>
            <w:tcW w:w="4536" w:type="dxa"/>
            <w:vAlign w:val="center"/>
          </w:tcPr>
          <w:p w14:paraId="4B51CE8B">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3"/>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3"/>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3"/>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3.2.3询问或者质疑事项可能影响采购结果的，采购人应当暂停签订合同，已经签订合同的，应当中止履行合同。</w:t>
      </w:r>
    </w:p>
    <w:p w14:paraId="23D40960">
      <w:pPr>
        <w:pStyle w:val="33"/>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3"/>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3"/>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3A170F3">
      <w:pPr>
        <w:pStyle w:val="33"/>
        <w:spacing w:line="360" w:lineRule="auto"/>
        <w:ind w:firstLine="480" w:firstLineChars="200"/>
        <w:rPr>
          <w:rFonts w:hint="eastAsia" w:ascii="宋体" w:hAnsi="Courier New"/>
          <w:color w:val="auto"/>
          <w:sz w:val="24"/>
          <w:szCs w:val="24"/>
          <w:highlight w:val="none"/>
        </w:rPr>
      </w:pPr>
      <w:r>
        <w:rPr>
          <w:rFonts w:hint="eastAsia" w:asciiTheme="minorEastAsia" w:hAnsiTheme="minorEastAsia" w:eastAsiaTheme="minorEastAsia"/>
          <w:color w:val="auto"/>
          <w:sz w:val="24"/>
        </w:rPr>
        <w:t>4.5根据政府采购行政裁决省市区三级联动试点工作安排，杭州市本级</w:t>
      </w:r>
      <w:r>
        <w:rPr>
          <w:rFonts w:hint="eastAsia" w:asciiTheme="minorEastAsia" w:hAnsiTheme="minorEastAsia" w:eastAsiaTheme="minorEastAsia"/>
          <w:color w:val="auto"/>
          <w:sz w:val="24"/>
          <w:lang w:eastAsia="zh-CN"/>
        </w:rPr>
        <w:t>及各区、县（市）</w:t>
      </w:r>
      <w:r>
        <w:rPr>
          <w:rFonts w:hint="eastAsia" w:asciiTheme="minorEastAsia" w:hAnsiTheme="minorEastAsia" w:eastAsiaTheme="minorEastAsia"/>
          <w:color w:val="auto"/>
          <w:sz w:val="24"/>
        </w:rPr>
        <w:t>政府采购项目投诉材料可寄送至浙江省政府采购行政裁决服务中心（杭州），地址：</w:t>
      </w:r>
      <w:r>
        <w:rPr>
          <w:rFonts w:hint="eastAsia" w:asciiTheme="minorEastAsia" w:hAnsiTheme="minorEastAsia" w:eastAsiaTheme="minorEastAsia"/>
          <w:color w:val="auto"/>
          <w:sz w:val="24"/>
          <w:lang w:eastAsia="zh-CN"/>
        </w:rPr>
        <w:t>杭州市上城区清泰街549号城建综合大楼11楼</w:t>
      </w:r>
      <w:r>
        <w:rPr>
          <w:rFonts w:hint="eastAsia" w:asciiTheme="minorEastAsia" w:hAnsiTheme="minorEastAsia" w:eastAsiaTheme="minorEastAsia"/>
          <w:color w:val="auto"/>
          <w:sz w:val="24"/>
        </w:rPr>
        <w:t>（快递仅限ems或顺丰）</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收件人：朱女士、王女士，电话：0571-8</w:t>
      </w:r>
      <w:r>
        <w:rPr>
          <w:rFonts w:hint="eastAsia" w:asciiTheme="minorEastAsia" w:hAnsiTheme="minorEastAsia" w:eastAsiaTheme="minorEastAsia"/>
          <w:color w:val="auto"/>
          <w:sz w:val="24"/>
          <w:lang w:val="en-US" w:eastAsia="zh-CN"/>
        </w:rPr>
        <w:t>7227671,0571-87800218</w:t>
      </w:r>
      <w:r>
        <w:rPr>
          <w:rFonts w:hint="eastAsia" w:asciiTheme="minorEastAsia" w:hAnsiTheme="minorEastAsia" w:eastAsiaTheme="minorEastAsia"/>
          <w:color w:val="auto"/>
          <w:sz w:val="24"/>
        </w:rPr>
        <w:t>。</w:t>
      </w: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2596C3C">
      <w:pPr>
        <w:adjustRightInd w:val="0"/>
        <w:snapToGrid w:val="0"/>
        <w:spacing w:line="360" w:lineRule="auto"/>
        <w:ind w:firstLine="480" w:firstLineChars="200"/>
        <w:rPr>
          <w:rFonts w:hint="eastAsia" w:ascii="宋体" w:hAnsi="Courier New"/>
          <w:color w:val="auto"/>
          <w:sz w:val="24"/>
          <w:szCs w:val="24"/>
          <w:highlight w:val="none"/>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1E130716">
      <w:pPr>
        <w:pStyle w:val="33"/>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3"/>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3"/>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5"/>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3"/>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EE4FDB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3BC718F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D868A75">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C89B613">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B</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w:t>
      </w:r>
      <w:r>
        <w:rPr>
          <w:rFonts w:hint="eastAsia" w:cs="宋体" w:asciiTheme="minorEastAsia" w:hAnsiTheme="minorEastAsia" w:eastAsiaTheme="minorEastAsia"/>
          <w:snapToGrid w:val="0"/>
          <w:kern w:val="28"/>
          <w:sz w:val="24"/>
          <w:lang w:val="en-US" w:eastAsia="zh-CN"/>
        </w:rPr>
        <w:t>中小企业声明函</w:t>
      </w:r>
      <w:r>
        <w:rPr>
          <w:rFonts w:hint="eastAsia" w:cs="宋体" w:asciiTheme="minorEastAsia" w:hAnsiTheme="minorEastAsia" w:eastAsiaTheme="minorEastAsia"/>
          <w:snapToGrid w:val="0"/>
          <w:color w:val="auto"/>
          <w:kern w:val="28"/>
          <w:sz w:val="24"/>
          <w:highlight w:val="none"/>
        </w:rPr>
        <w:t>)；</w:t>
      </w:r>
    </w:p>
    <w:p w14:paraId="31EFCF39">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sz w:val="24"/>
          <w:lang w:val="en-US" w:eastAsia="zh-CN"/>
        </w:rPr>
        <w:t>C</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472E877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ABC277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）所有资信文件</w:t>
      </w:r>
      <w:r>
        <w:rPr>
          <w:rFonts w:hint="eastAsia" w:cs="宋体" w:asciiTheme="minorEastAsia" w:hAnsiTheme="minorEastAsia" w:eastAsiaTheme="minorEastAsia"/>
          <w:color w:val="auto"/>
          <w:kern w:val="0"/>
          <w:sz w:val="24"/>
          <w:highlight w:val="none"/>
        </w:rPr>
        <w:t>（如果有）；</w:t>
      </w:r>
    </w:p>
    <w:p w14:paraId="5EEBC63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hint="eastAsia" w:asciiTheme="minorEastAsia" w:hAnsiTheme="minorEastAsia" w:eastAsiaTheme="minorEastAsia"/>
          <w:color w:val="auto"/>
          <w:sz w:val="24"/>
          <w:highlight w:val="none"/>
        </w:rPr>
        <w:t>响应截止时间近三年以来供应商的主要业绩证明材料；</w:t>
      </w:r>
    </w:p>
    <w:p w14:paraId="24C255D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6</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2036EF2C">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认为需要的其他商务文件或说明 (如果有) ；</w:t>
      </w:r>
    </w:p>
    <w:p w14:paraId="332007EE">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620716CD">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（9）</w:t>
      </w:r>
      <w:r>
        <w:rPr>
          <w:rFonts w:hint="eastAsia" w:cs="仿宋_GB2312" w:asciiTheme="minorEastAsia" w:hAnsiTheme="minorEastAsia" w:eastAsiaTheme="minorEastAsia"/>
          <w:kern w:val="0"/>
          <w:sz w:val="24"/>
          <w:szCs w:val="24"/>
          <w:lang w:val="zh-CN"/>
        </w:rPr>
        <w:t>供应商认为需要的其他技术文件或说明（如果有）；</w:t>
      </w:r>
    </w:p>
    <w:p w14:paraId="1ECC6E9D">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（10）评标标准相应的商务技术资料；</w:t>
      </w:r>
    </w:p>
    <w:p w14:paraId="38DD673D">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（11）</w:t>
      </w:r>
      <w:r>
        <w:rPr>
          <w:rFonts w:hint="eastAsia" w:cs="仿宋_GB2312" w:asciiTheme="minorEastAsia" w:hAnsiTheme="minorEastAsia" w:eastAsiaTheme="minorEastAsia"/>
          <w:kern w:val="0"/>
          <w:sz w:val="24"/>
          <w:lang w:val="zh-CN"/>
        </w:rPr>
        <w:t>政府采购供应商廉洁自律承诺书。</w:t>
      </w:r>
    </w:p>
    <w:p w14:paraId="50D25A94">
      <w:pPr>
        <w:pStyle w:val="33"/>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3357C2C2">
      <w:pPr>
        <w:adjustRightInd/>
        <w:spacing w:line="360" w:lineRule="auto"/>
        <w:jc w:val="both"/>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3"/>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3"/>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3"/>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3"/>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3"/>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3"/>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3"/>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3"/>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r>
        <w:rPr>
          <w:rFonts w:hint="eastAsia" w:cs="仿宋_GB2312" w:asciiTheme="minorEastAsia" w:hAnsiTheme="minorEastAsia" w:eastAsiaTheme="minorEastAsia"/>
          <w:lang w:eastAsia="zh-CN"/>
        </w:rPr>
        <w:t>（</w:t>
      </w:r>
      <w:r>
        <w:rPr>
          <w:rFonts w:hint="eastAsia" w:cs="仿宋_GB2312" w:asciiTheme="minorEastAsia" w:hAnsiTheme="minorEastAsia" w:eastAsiaTheme="minorEastAsia"/>
          <w:lang w:val="en-US" w:eastAsia="zh-CN"/>
        </w:rPr>
        <w:t>本项目不适用</w:t>
      </w:r>
      <w:r>
        <w:rPr>
          <w:rFonts w:hint="eastAsia" w:cs="仿宋_GB2312" w:asciiTheme="minorEastAsia" w:hAnsiTheme="minorEastAsia" w:eastAsiaTheme="minorEastAsia"/>
          <w:lang w:eastAsia="zh-CN"/>
        </w:rPr>
        <w:t>）</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3"/>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highlight w:val="yellow"/>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highlight w:val="none"/>
          <w:lang w:val="en" w:eastAsia="zh-CN"/>
        </w:rPr>
        <w:t>：</w:t>
      </w:r>
      <w:r>
        <w:rPr>
          <w:rFonts w:hint="eastAsia" w:asciiTheme="minorEastAsia" w:hAnsiTheme="minorEastAsia" w:eastAsiaTheme="minorEastAsia"/>
          <w:color w:val="auto"/>
          <w:sz w:val="24"/>
          <w:szCs w:val="21"/>
          <w:highlight w:val="none"/>
          <w:u w:val="single"/>
          <w:lang w:val="en-US" w:eastAsia="zh-CN"/>
        </w:rPr>
        <w:t>3</w:t>
      </w:r>
      <w:r>
        <w:rPr>
          <w:rFonts w:hint="eastAsia" w:asciiTheme="minorEastAsia" w:hAnsiTheme="minorEastAsia" w:eastAsiaTheme="minorEastAsia"/>
          <w:color w:val="auto"/>
          <w:sz w:val="24"/>
          <w:szCs w:val="21"/>
          <w:highlight w:val="none"/>
          <w:lang w:val="en-US" w:eastAsia="zh-CN"/>
        </w:rPr>
        <w:t>。</w:t>
      </w:r>
    </w:p>
    <w:p w14:paraId="78DF4B50">
      <w:pPr>
        <w:pStyle w:val="33"/>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tabs>
          <w:tab w:val="left" w:pos="0"/>
        </w:tabs>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tabs>
          <w:tab w:val="left" w:pos="0"/>
        </w:tabs>
        <w:spacing w:line="360" w:lineRule="auto"/>
        <w:ind w:firstLine="480" w:firstLineChars="200"/>
        <w:rPr>
          <w:rFonts w:cs="宋体" w:asciiTheme="minorEastAsia" w:hAnsiTheme="minorEastAsia" w:eastAsiaTheme="minorEastAsia"/>
          <w:color w:val="auto"/>
          <w:kern w:val="0"/>
        </w:rPr>
      </w:pPr>
      <w:r>
        <w:rPr>
          <w:rFonts w:hint="eastAsia" w:asciiTheme="minorEastAsia" w:hAnsiTheme="minorEastAsia" w:eastAsiaTheme="minorEastAsia"/>
          <w:color w:val="auto"/>
          <w:sz w:val="24"/>
          <w:lang w:val="zh-CN"/>
        </w:rPr>
        <w:t>2.2成交人按规定的日期、时间、地点，由法定代表人或其授权代表与采购人</w:t>
      </w:r>
      <w:r>
        <w:rPr>
          <w:rFonts w:hint="eastAsia" w:cs="宋体" w:asciiTheme="minorEastAsia" w:hAnsiTheme="minorEastAsia" w:eastAsiaTheme="minorEastAsia"/>
          <w:color w:val="auto"/>
          <w:kern w:val="0"/>
          <w:lang w:val="zh-CN"/>
        </w:rPr>
        <w:t>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4"/>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4730295"/>
      <w:bookmarkEnd w:id="55"/>
      <w:bookmarkStart w:id="56" w:name="_Hlt68072990"/>
      <w:bookmarkEnd w:id="56"/>
      <w:bookmarkStart w:id="57" w:name="_Hlt75236011"/>
      <w:bookmarkEnd w:id="57"/>
      <w:bookmarkStart w:id="58" w:name="_Hlt74729768"/>
      <w:bookmarkEnd w:id="58"/>
      <w:bookmarkStart w:id="59" w:name="_Hlt74714665"/>
      <w:bookmarkEnd w:id="59"/>
      <w:bookmarkStart w:id="60" w:name="_Hlt68057669"/>
      <w:bookmarkEnd w:id="60"/>
      <w:bookmarkStart w:id="61" w:name="_Hlt74707468"/>
      <w:bookmarkEnd w:id="61"/>
      <w:bookmarkStart w:id="62" w:name="_Hlt75236101"/>
      <w:bookmarkEnd w:id="62"/>
      <w:bookmarkStart w:id="63" w:name="第三部分"/>
      <w:bookmarkStart w:id="64" w:name="_Toc164416483"/>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2EFCFB47">
      <w:pPr>
        <w:adjustRightInd/>
        <w:spacing w:line="360" w:lineRule="auto"/>
        <w:jc w:val="left"/>
        <w:outlineLvl w:val="0"/>
        <w:rPr>
          <w:rFonts w:ascii="宋体" w:hAnsi="宋体" w:eastAsia="宋体" w:cs="仿宋_GB2312"/>
          <w:b/>
          <w:color w:val="auto"/>
          <w:sz w:val="36"/>
          <w:szCs w:val="36"/>
          <w:u w:val="single"/>
        </w:rPr>
      </w:pPr>
      <w:r>
        <w:rPr>
          <w:rFonts w:hint="eastAsia" w:ascii="宋体" w:hAnsi="宋体" w:eastAsia="宋体"/>
          <w:color w:val="auto"/>
          <w:sz w:val="24"/>
          <w:u w:val="single"/>
        </w:rPr>
        <w:t>注：“▲” 系指实质性要求条款， “</w:t>
      </w:r>
      <w:r>
        <w:rPr>
          <w:rFonts w:hint="eastAsia" w:ascii="宋体" w:hAnsi="宋体" w:eastAsia="宋体"/>
          <w:b/>
          <w:color w:val="auto"/>
          <w:sz w:val="24"/>
          <w:u w:val="single"/>
        </w:rPr>
        <w:t>※</w:t>
      </w:r>
      <w:r>
        <w:rPr>
          <w:rFonts w:hint="eastAsia" w:ascii="宋体" w:hAnsi="宋体" w:eastAsia="宋体"/>
          <w:color w:val="auto"/>
          <w:sz w:val="24"/>
          <w:u w:val="single"/>
        </w:rPr>
        <w:t>”系指磋商过程中可能实质性变动的内容。</w:t>
      </w:r>
    </w:p>
    <w:p w14:paraId="6DCD55A0">
      <w:pPr>
        <w:autoSpaceDE w:val="0"/>
        <w:autoSpaceDN w:val="0"/>
        <w:snapToGrid w:val="0"/>
        <w:spacing w:line="540" w:lineRule="exact"/>
        <w:ind w:firstLine="482" w:firstLineChars="200"/>
        <w:rPr>
          <w:rFonts w:ascii="宋体" w:hAnsi="宋体" w:cs="宋体"/>
          <w:b/>
          <w:bCs/>
          <w:sz w:val="24"/>
        </w:rPr>
      </w:pPr>
      <w:r>
        <w:rPr>
          <w:rFonts w:hint="eastAsia" w:ascii="宋体" w:hAnsi="宋体" w:cs="宋体"/>
          <w:b/>
          <w:bCs/>
          <w:sz w:val="24"/>
        </w:rPr>
        <w:t>一、疗养方案</w:t>
      </w:r>
    </w:p>
    <w:p w14:paraId="27919C55">
      <w:pPr>
        <w:snapToGrid w:val="0"/>
        <w:spacing w:line="348" w:lineRule="auto"/>
        <w:ind w:firstLine="480" w:firstLineChars="200"/>
        <w:rPr>
          <w:rFonts w:hint="default" w:ascii="宋体" w:hAnsi="宋体" w:eastAsia="宋体" w:cs="宋体"/>
          <w:b/>
          <w:bCs/>
          <w:color w:val="000000"/>
          <w:sz w:val="24"/>
          <w:highlight w:val="none"/>
          <w:lang w:val="en-US" w:eastAsia="zh-CN"/>
        </w:rPr>
      </w:pPr>
      <w:r>
        <w:rPr>
          <w:rFonts w:hint="eastAsia" w:ascii="宋体" w:hAnsi="宋体" w:cs="宋体"/>
          <w:color w:val="000000"/>
          <w:sz w:val="24"/>
          <w:highlight w:val="none"/>
          <w:lang w:val="en-US" w:eastAsia="zh-CN"/>
        </w:rPr>
        <w:t>为了提高职工疗休养活动品质，现对杭州市临安区第三人民医院</w:t>
      </w:r>
      <w:r>
        <w:rPr>
          <w:rFonts w:hint="eastAsia" w:ascii="宋体" w:hAnsi="宋体" w:eastAsia="宋体"/>
          <w:color w:val="auto"/>
          <w:sz w:val="24"/>
          <w:lang w:eastAsia="zh-CN"/>
        </w:rPr>
        <w:t>2025年疗休养</w:t>
      </w:r>
      <w:r>
        <w:rPr>
          <w:rFonts w:hint="eastAsia" w:ascii="宋体" w:hAnsi="宋体" w:eastAsia="宋体"/>
          <w:color w:val="auto"/>
          <w:sz w:val="24"/>
          <w:lang w:val="en-US" w:eastAsia="zh-CN"/>
        </w:rPr>
        <w:t>服务进行采购</w:t>
      </w:r>
      <w:r>
        <w:rPr>
          <w:rFonts w:hint="eastAsia" w:ascii="宋体" w:hAnsi="宋体" w:cs="宋体"/>
          <w:color w:val="000000"/>
          <w:sz w:val="24"/>
          <w:highlight w:val="none"/>
          <w:lang w:val="en-US" w:eastAsia="zh-CN"/>
        </w:rPr>
        <w:t>，主要包括：疗休养路线方案设计、路线方案内全程的交通、住宿、餐饮、疗休养项目、景点门票及相关的专职人员服务、保险等全部服务的具体安排，注重疗与休相结合。具体人数、线路内容如下：</w:t>
      </w:r>
    </w:p>
    <w:tbl>
      <w:tblPr>
        <w:tblStyle w:val="60"/>
        <w:tblpPr w:leftFromText="180" w:rightFromText="180" w:vertAnchor="text" w:tblpXSpec="center" w:tblpY="64"/>
        <w:tblOverlap w:val="never"/>
        <w:tblW w:w="10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656"/>
        <w:gridCol w:w="1448"/>
        <w:gridCol w:w="853"/>
        <w:gridCol w:w="1140"/>
        <w:gridCol w:w="2309"/>
      </w:tblGrid>
      <w:tr w14:paraId="5339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noWrap w:val="0"/>
            <w:vAlign w:val="center"/>
          </w:tcPr>
          <w:p w14:paraId="160611C9">
            <w:pPr>
              <w:widowControl/>
              <w:snapToGrid w:val="0"/>
              <w:spacing w:line="348" w:lineRule="auto"/>
              <w:jc w:val="center"/>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val="en-US" w:eastAsia="zh-CN"/>
              </w:rPr>
              <w:t>标项</w:t>
            </w:r>
          </w:p>
        </w:tc>
        <w:tc>
          <w:tcPr>
            <w:tcW w:w="3656" w:type="dxa"/>
            <w:noWrap w:val="0"/>
            <w:vAlign w:val="center"/>
          </w:tcPr>
          <w:p w14:paraId="7DDDFC9D">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线路</w:t>
            </w:r>
            <w:r>
              <w:rPr>
                <w:rFonts w:hint="eastAsia" w:ascii="宋体" w:hAnsi="宋体" w:eastAsia="宋体" w:cs="宋体"/>
                <w:b/>
                <w:bCs/>
                <w:color w:val="000000"/>
                <w:kern w:val="0"/>
                <w:sz w:val="24"/>
                <w:szCs w:val="24"/>
                <w:highlight w:val="none"/>
              </w:rPr>
              <w:t>内容</w:t>
            </w:r>
          </w:p>
        </w:tc>
        <w:tc>
          <w:tcPr>
            <w:tcW w:w="1448" w:type="dxa"/>
            <w:noWrap w:val="0"/>
            <w:vAlign w:val="center"/>
          </w:tcPr>
          <w:p w14:paraId="0BCB732D">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疗休养费（元/人）不作竞争</w:t>
            </w:r>
          </w:p>
        </w:tc>
        <w:tc>
          <w:tcPr>
            <w:tcW w:w="853" w:type="dxa"/>
            <w:noWrap w:val="0"/>
            <w:vAlign w:val="center"/>
          </w:tcPr>
          <w:p w14:paraId="2BF2C4F8">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预计人数</w:t>
            </w:r>
          </w:p>
        </w:tc>
        <w:tc>
          <w:tcPr>
            <w:tcW w:w="1140" w:type="dxa"/>
            <w:noWrap w:val="0"/>
            <w:vAlign w:val="center"/>
          </w:tcPr>
          <w:p w14:paraId="1C12F06C">
            <w:pPr>
              <w:widowControl/>
              <w:snapToGrid w:val="0"/>
              <w:spacing w:line="348" w:lineRule="auto"/>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合计金额（元）</w:t>
            </w:r>
          </w:p>
        </w:tc>
        <w:tc>
          <w:tcPr>
            <w:tcW w:w="2309" w:type="dxa"/>
            <w:noWrap w:val="0"/>
            <w:vAlign w:val="center"/>
          </w:tcPr>
          <w:p w14:paraId="52161FD6">
            <w:pPr>
              <w:widowControl/>
              <w:snapToGrid w:val="0"/>
              <w:spacing w:line="348"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其他说明</w:t>
            </w:r>
          </w:p>
        </w:tc>
      </w:tr>
      <w:tr w14:paraId="6886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noWrap w:val="0"/>
            <w:vAlign w:val="center"/>
          </w:tcPr>
          <w:p w14:paraId="59DD61D1">
            <w:pPr>
              <w:widowControl/>
              <w:snapToGrid w:val="0"/>
              <w:spacing w:line="348" w:lineRule="auto"/>
              <w:jc w:val="center"/>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一</w:t>
            </w:r>
          </w:p>
        </w:tc>
        <w:tc>
          <w:tcPr>
            <w:tcW w:w="3656" w:type="dxa"/>
            <w:noWrap w:val="0"/>
            <w:vAlign w:val="center"/>
          </w:tcPr>
          <w:p w14:paraId="159A319A">
            <w:pPr>
              <w:widowControl/>
              <w:snapToGrid w:val="0"/>
              <w:spacing w:line="240" w:lineRule="auto"/>
              <w:jc w:val="left"/>
              <w:rPr>
                <w:rFonts w:hint="eastAsia" w:ascii="宋体" w:hAnsi="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福州平潭岛双动五日疗休养</w:t>
            </w:r>
          </w:p>
          <w:p w14:paraId="0C123804">
            <w:pPr>
              <w:widowControl/>
              <w:snapToGrid w:val="0"/>
              <w:spacing w:line="240" w:lineRule="auto"/>
              <w:jc w:val="left"/>
              <w:rPr>
                <w:rFonts w:hint="eastAsia" w:ascii="宋体" w:hAnsi="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温州雁荡山五日疗休养</w:t>
            </w:r>
          </w:p>
          <w:p w14:paraId="09C19297">
            <w:pPr>
              <w:widowControl/>
              <w:snapToGrid w:val="0"/>
              <w:spacing w:line="240" w:lineRule="auto"/>
              <w:jc w:val="left"/>
              <w:rPr>
                <w:rFonts w:hint="default"/>
                <w:b w:val="0"/>
                <w:bCs w:val="0"/>
                <w:highlight w:val="none"/>
                <w:lang w:val="en-US" w:eastAsia="zh-CN"/>
              </w:rPr>
            </w:pPr>
            <w:r>
              <w:rPr>
                <w:rFonts w:hint="eastAsia" w:ascii="宋体" w:hAnsi="宋体" w:cs="宋体"/>
                <w:b w:val="0"/>
                <w:bCs w:val="0"/>
                <w:color w:val="000000"/>
                <w:kern w:val="0"/>
                <w:sz w:val="24"/>
                <w:szCs w:val="24"/>
                <w:highlight w:val="none"/>
                <w:lang w:val="en-US" w:eastAsia="zh-CN"/>
              </w:rPr>
              <w:t>临安五日疗休养</w:t>
            </w:r>
          </w:p>
        </w:tc>
        <w:tc>
          <w:tcPr>
            <w:tcW w:w="1448" w:type="dxa"/>
            <w:noWrap w:val="0"/>
            <w:vAlign w:val="center"/>
          </w:tcPr>
          <w:p w14:paraId="7318F79C">
            <w:pPr>
              <w:widowControl/>
              <w:snapToGrid w:val="0"/>
              <w:spacing w:line="348" w:lineRule="auto"/>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3000元/人</w:t>
            </w:r>
          </w:p>
        </w:tc>
        <w:tc>
          <w:tcPr>
            <w:tcW w:w="853" w:type="dxa"/>
            <w:noWrap w:val="0"/>
            <w:vAlign w:val="center"/>
          </w:tcPr>
          <w:p w14:paraId="73340F92">
            <w:pPr>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100</w:t>
            </w:r>
          </w:p>
        </w:tc>
        <w:tc>
          <w:tcPr>
            <w:tcW w:w="1140" w:type="dxa"/>
            <w:noWrap w:val="0"/>
            <w:vAlign w:val="center"/>
          </w:tcPr>
          <w:p w14:paraId="2CB09C7D">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300000</w:t>
            </w:r>
          </w:p>
        </w:tc>
        <w:tc>
          <w:tcPr>
            <w:tcW w:w="2309" w:type="dxa"/>
            <w:vMerge w:val="restart"/>
            <w:noWrap w:val="0"/>
            <w:vAlign w:val="center"/>
          </w:tcPr>
          <w:p w14:paraId="55388A04">
            <w:pPr>
              <w:pStyle w:val="63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疗休养时间线路均不超过5日，5日中不冲抵轮休假、国务院规定的职工年休假假期和日常固定节假日，线路单人最高限额3000元/人，最终人数及费用以实际出团产生为准。</w:t>
            </w:r>
          </w:p>
        </w:tc>
      </w:tr>
      <w:tr w14:paraId="4A91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noWrap w:val="0"/>
            <w:vAlign w:val="center"/>
          </w:tcPr>
          <w:p w14:paraId="291AB534">
            <w:pPr>
              <w:widowControl/>
              <w:snapToGrid w:val="0"/>
              <w:spacing w:line="348" w:lineRule="auto"/>
              <w:jc w:val="center"/>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二</w:t>
            </w:r>
          </w:p>
        </w:tc>
        <w:tc>
          <w:tcPr>
            <w:tcW w:w="3656" w:type="dxa"/>
            <w:noWrap w:val="0"/>
            <w:vAlign w:val="center"/>
          </w:tcPr>
          <w:p w14:paraId="206EB9F3">
            <w:pPr>
              <w:widowControl/>
              <w:snapToGrid w:val="0"/>
              <w:spacing w:line="240" w:lineRule="auto"/>
              <w:jc w:val="left"/>
              <w:rPr>
                <w:rFonts w:hint="eastAsia" w:ascii="宋体" w:hAnsi="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福州平潭岛双动五日疗休养</w:t>
            </w:r>
          </w:p>
          <w:p w14:paraId="75D71A3C">
            <w:pPr>
              <w:pStyle w:val="2"/>
              <w:spacing w:line="240" w:lineRule="auto"/>
              <w:ind w:left="0" w:leftChars="0" w:firstLine="0" w:firstLineChars="0"/>
              <w:rPr>
                <w:rFonts w:hint="default"/>
                <w:b w:val="0"/>
                <w:bCs w:val="0"/>
                <w:highlight w:val="none"/>
                <w:lang w:val="en-US" w:eastAsia="zh-CN"/>
              </w:rPr>
            </w:pPr>
            <w:r>
              <w:rPr>
                <w:rFonts w:hint="eastAsia" w:cs="宋体"/>
                <w:b w:val="0"/>
                <w:bCs w:val="0"/>
                <w:color w:val="000000"/>
                <w:kern w:val="0"/>
                <w:sz w:val="24"/>
                <w:szCs w:val="24"/>
                <w:highlight w:val="none"/>
                <w:lang w:val="en-US" w:eastAsia="zh-CN"/>
              </w:rPr>
              <w:t>临安五日疗休养</w:t>
            </w:r>
          </w:p>
        </w:tc>
        <w:tc>
          <w:tcPr>
            <w:tcW w:w="1448" w:type="dxa"/>
            <w:noWrap w:val="0"/>
            <w:vAlign w:val="center"/>
          </w:tcPr>
          <w:p w14:paraId="53156992">
            <w:pPr>
              <w:widowControl/>
              <w:snapToGrid w:val="0"/>
              <w:spacing w:line="348" w:lineRule="auto"/>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3000元/人</w:t>
            </w:r>
          </w:p>
        </w:tc>
        <w:tc>
          <w:tcPr>
            <w:tcW w:w="853" w:type="dxa"/>
            <w:noWrap w:val="0"/>
            <w:vAlign w:val="center"/>
          </w:tcPr>
          <w:p w14:paraId="63750325">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100</w:t>
            </w:r>
          </w:p>
        </w:tc>
        <w:tc>
          <w:tcPr>
            <w:tcW w:w="1140" w:type="dxa"/>
            <w:noWrap w:val="0"/>
            <w:vAlign w:val="center"/>
          </w:tcPr>
          <w:p w14:paraId="192DAE9B">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300000</w:t>
            </w:r>
          </w:p>
        </w:tc>
        <w:tc>
          <w:tcPr>
            <w:tcW w:w="2309" w:type="dxa"/>
            <w:vMerge w:val="continue"/>
            <w:noWrap w:val="0"/>
            <w:vAlign w:val="center"/>
          </w:tcPr>
          <w:p w14:paraId="69F63BDF">
            <w:pPr>
              <w:widowControl/>
              <w:snapToGrid w:val="0"/>
              <w:spacing w:line="348" w:lineRule="auto"/>
              <w:jc w:val="center"/>
              <w:rPr>
                <w:rFonts w:hint="eastAsia" w:ascii="宋体" w:hAnsi="宋体" w:eastAsia="宋体" w:cs="宋体"/>
                <w:b/>
                <w:bCs/>
                <w:color w:val="000000"/>
                <w:kern w:val="0"/>
                <w:sz w:val="24"/>
                <w:szCs w:val="24"/>
                <w:highlight w:val="none"/>
              </w:rPr>
            </w:pPr>
          </w:p>
        </w:tc>
      </w:tr>
      <w:tr w14:paraId="6A02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shd w:val="clear" w:color="auto" w:fill="auto"/>
            <w:noWrap w:val="0"/>
            <w:vAlign w:val="center"/>
          </w:tcPr>
          <w:p w14:paraId="469E66B5">
            <w:pPr>
              <w:widowControl/>
              <w:snapToGrid w:val="0"/>
              <w:spacing w:line="348" w:lineRule="auto"/>
              <w:jc w:val="center"/>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三</w:t>
            </w:r>
          </w:p>
        </w:tc>
        <w:tc>
          <w:tcPr>
            <w:tcW w:w="3656" w:type="dxa"/>
            <w:shd w:val="clear" w:color="auto" w:fill="auto"/>
            <w:noWrap w:val="0"/>
            <w:vAlign w:val="center"/>
          </w:tcPr>
          <w:p w14:paraId="77C31C58">
            <w:pPr>
              <w:widowControl/>
              <w:snapToGrid w:val="0"/>
              <w:spacing w:line="240" w:lineRule="auto"/>
              <w:jc w:val="left"/>
              <w:rPr>
                <w:rFonts w:hint="eastAsia" w:ascii="宋体" w:hAnsi="宋体" w:eastAsia="宋体" w:cs="宋体"/>
                <w:b w:val="0"/>
                <w:bCs w:val="0"/>
                <w:color w:val="000000"/>
                <w:kern w:val="0"/>
                <w:sz w:val="24"/>
                <w:szCs w:val="24"/>
                <w:highlight w:val="none"/>
              </w:rPr>
            </w:pPr>
            <w:r>
              <w:rPr>
                <w:rFonts w:hint="eastAsia" w:ascii="宋体" w:hAnsi="宋体" w:cs="宋体"/>
                <w:b w:val="0"/>
                <w:bCs w:val="0"/>
                <w:color w:val="000000"/>
                <w:kern w:val="0"/>
                <w:sz w:val="24"/>
                <w:szCs w:val="24"/>
                <w:highlight w:val="none"/>
                <w:lang w:val="en-US" w:eastAsia="zh-CN"/>
              </w:rPr>
              <w:t>台州仙居天台山五</w:t>
            </w:r>
            <w:r>
              <w:rPr>
                <w:rFonts w:hint="eastAsia" w:ascii="宋体" w:hAnsi="宋体" w:eastAsia="宋体" w:cs="宋体"/>
                <w:b w:val="0"/>
                <w:bCs w:val="0"/>
                <w:color w:val="000000"/>
                <w:kern w:val="0"/>
                <w:sz w:val="24"/>
                <w:szCs w:val="24"/>
                <w:highlight w:val="none"/>
              </w:rPr>
              <w:t>日疗休养</w:t>
            </w:r>
          </w:p>
          <w:p w14:paraId="68B65971">
            <w:pPr>
              <w:pStyle w:val="2"/>
              <w:spacing w:line="240" w:lineRule="auto"/>
              <w:ind w:left="0" w:leftChars="0" w:firstLine="0" w:firstLineChars="0"/>
              <w:rPr>
                <w:rFonts w:hint="eastAsia" w:ascii="宋体" w:hAnsi="宋体" w:eastAsia="宋体" w:cs="Times New Roman"/>
                <w:b w:val="0"/>
                <w:bCs w:val="0"/>
                <w:kern w:val="2"/>
                <w:sz w:val="24"/>
                <w:szCs w:val="24"/>
                <w:highlight w:val="none"/>
                <w:lang w:val="en-US" w:eastAsia="zh-CN" w:bidi="ar-SA"/>
              </w:rPr>
            </w:pPr>
            <w:r>
              <w:rPr>
                <w:rFonts w:hint="eastAsia" w:cs="宋体"/>
                <w:b w:val="0"/>
                <w:bCs w:val="0"/>
                <w:color w:val="000000"/>
                <w:kern w:val="0"/>
                <w:sz w:val="24"/>
                <w:szCs w:val="24"/>
                <w:highlight w:val="none"/>
                <w:lang w:val="en-US" w:eastAsia="zh-CN"/>
              </w:rPr>
              <w:t>临安五日疗休养</w:t>
            </w:r>
          </w:p>
        </w:tc>
        <w:tc>
          <w:tcPr>
            <w:tcW w:w="1448" w:type="dxa"/>
            <w:shd w:val="clear" w:color="auto" w:fill="auto"/>
            <w:noWrap w:val="0"/>
            <w:vAlign w:val="center"/>
          </w:tcPr>
          <w:p w14:paraId="2770D75E">
            <w:pPr>
              <w:widowControl/>
              <w:snapToGrid w:val="0"/>
              <w:spacing w:line="348"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sz w:val="24"/>
                <w:szCs w:val="24"/>
                <w:highlight w:val="none"/>
              </w:rPr>
              <w:t>3000元/人</w:t>
            </w:r>
          </w:p>
        </w:tc>
        <w:tc>
          <w:tcPr>
            <w:tcW w:w="853" w:type="dxa"/>
            <w:shd w:val="clear" w:color="auto" w:fill="auto"/>
            <w:noWrap w:val="0"/>
            <w:vAlign w:val="center"/>
          </w:tcPr>
          <w:p w14:paraId="037F577E">
            <w:pPr>
              <w:widowControl/>
              <w:snapToGrid w:val="0"/>
              <w:spacing w:line="348" w:lineRule="auto"/>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cs="宋体"/>
                <w:b w:val="0"/>
                <w:bCs w:val="0"/>
                <w:color w:val="000000"/>
                <w:kern w:val="0"/>
                <w:sz w:val="24"/>
                <w:szCs w:val="24"/>
                <w:highlight w:val="none"/>
                <w:lang w:val="en-US" w:eastAsia="zh-CN"/>
              </w:rPr>
              <w:t>51</w:t>
            </w:r>
          </w:p>
        </w:tc>
        <w:tc>
          <w:tcPr>
            <w:tcW w:w="1140" w:type="dxa"/>
            <w:shd w:val="clear" w:color="auto" w:fill="auto"/>
            <w:noWrap w:val="0"/>
            <w:vAlign w:val="center"/>
          </w:tcPr>
          <w:p w14:paraId="1C9A9105">
            <w:pPr>
              <w:pStyle w:val="634"/>
              <w:jc w:val="center"/>
              <w:rPr>
                <w:rFonts w:hint="eastAsia" w:ascii="宋体" w:hAnsi="宋体" w:eastAsia="宋体" w:cs="宋体"/>
                <w:b w:val="0"/>
                <w:bCs w:val="0"/>
                <w:color w:val="000000"/>
                <w:sz w:val="24"/>
                <w:szCs w:val="24"/>
                <w:highlight w:val="none"/>
                <w:lang w:val="en-US" w:eastAsia="zh-CN" w:bidi="ar-SA"/>
              </w:rPr>
            </w:pPr>
            <w:r>
              <w:rPr>
                <w:rFonts w:hint="eastAsia" w:cs="宋体"/>
                <w:b w:val="0"/>
                <w:bCs w:val="0"/>
                <w:color w:val="000000"/>
                <w:sz w:val="24"/>
                <w:szCs w:val="24"/>
                <w:highlight w:val="none"/>
                <w:lang w:val="en-US" w:eastAsia="zh-CN"/>
              </w:rPr>
              <w:t>153000</w:t>
            </w:r>
          </w:p>
        </w:tc>
        <w:tc>
          <w:tcPr>
            <w:tcW w:w="2309" w:type="dxa"/>
            <w:vMerge w:val="continue"/>
            <w:noWrap w:val="0"/>
            <w:vAlign w:val="center"/>
          </w:tcPr>
          <w:p w14:paraId="71D69BC4">
            <w:pPr>
              <w:widowControl/>
              <w:snapToGrid w:val="0"/>
              <w:spacing w:line="348" w:lineRule="auto"/>
              <w:jc w:val="center"/>
              <w:rPr>
                <w:rFonts w:hint="eastAsia" w:ascii="宋体" w:hAnsi="宋体" w:eastAsia="宋体" w:cs="宋体"/>
                <w:b/>
                <w:bCs/>
                <w:color w:val="000000"/>
                <w:kern w:val="0"/>
                <w:sz w:val="24"/>
                <w:szCs w:val="24"/>
                <w:highlight w:val="none"/>
              </w:rPr>
            </w:pPr>
          </w:p>
        </w:tc>
      </w:tr>
      <w:tr w14:paraId="1586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 w:type="dxa"/>
            <w:noWrap w:val="0"/>
            <w:vAlign w:val="center"/>
          </w:tcPr>
          <w:p w14:paraId="0EA9CE5A">
            <w:pPr>
              <w:widowControl/>
              <w:snapToGrid w:val="0"/>
              <w:spacing w:line="348" w:lineRule="auto"/>
              <w:jc w:val="center"/>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四</w:t>
            </w:r>
          </w:p>
        </w:tc>
        <w:tc>
          <w:tcPr>
            <w:tcW w:w="3656" w:type="dxa"/>
            <w:noWrap w:val="0"/>
            <w:vAlign w:val="center"/>
          </w:tcPr>
          <w:p w14:paraId="0378CD0A">
            <w:pPr>
              <w:widowControl/>
              <w:snapToGrid w:val="0"/>
              <w:spacing w:line="240" w:lineRule="auto"/>
              <w:jc w:val="left"/>
              <w:rPr>
                <w:rFonts w:hint="eastAsia" w:ascii="宋体" w:hAnsi="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象山五</w:t>
            </w:r>
            <w:r>
              <w:rPr>
                <w:rFonts w:hint="eastAsia" w:ascii="宋体" w:hAnsi="宋体" w:eastAsia="宋体" w:cs="宋体"/>
                <w:b w:val="0"/>
                <w:bCs w:val="0"/>
                <w:color w:val="000000"/>
                <w:kern w:val="0"/>
                <w:sz w:val="24"/>
                <w:szCs w:val="24"/>
                <w:highlight w:val="none"/>
              </w:rPr>
              <w:t>日疗休养</w:t>
            </w:r>
            <w:r>
              <w:rPr>
                <w:rFonts w:hint="eastAsia" w:ascii="宋体" w:hAnsi="宋体" w:cs="宋体"/>
                <w:b w:val="0"/>
                <w:bCs w:val="0"/>
                <w:color w:val="000000"/>
                <w:kern w:val="0"/>
                <w:sz w:val="24"/>
                <w:szCs w:val="24"/>
                <w:highlight w:val="none"/>
                <w:lang w:val="en-US" w:eastAsia="zh-CN"/>
              </w:rPr>
              <w:t>路线</w:t>
            </w:r>
          </w:p>
          <w:p w14:paraId="1C7937E4">
            <w:pPr>
              <w:pStyle w:val="2"/>
              <w:spacing w:line="240" w:lineRule="auto"/>
              <w:ind w:left="0" w:leftChars="0" w:firstLine="0" w:firstLineChars="0"/>
              <w:rPr>
                <w:rFonts w:hint="default"/>
                <w:b w:val="0"/>
                <w:bCs w:val="0"/>
                <w:highlight w:val="none"/>
                <w:lang w:val="en-US" w:eastAsia="zh-CN"/>
              </w:rPr>
            </w:pPr>
            <w:r>
              <w:rPr>
                <w:rFonts w:hint="eastAsia" w:cs="宋体"/>
                <w:b w:val="0"/>
                <w:bCs w:val="0"/>
                <w:color w:val="000000"/>
                <w:kern w:val="0"/>
                <w:sz w:val="24"/>
                <w:szCs w:val="24"/>
                <w:highlight w:val="none"/>
                <w:lang w:val="en-US" w:eastAsia="zh-CN"/>
              </w:rPr>
              <w:t>临安五日疗休养</w:t>
            </w:r>
          </w:p>
        </w:tc>
        <w:tc>
          <w:tcPr>
            <w:tcW w:w="1448" w:type="dxa"/>
            <w:noWrap w:val="0"/>
            <w:vAlign w:val="center"/>
          </w:tcPr>
          <w:p w14:paraId="7E127830">
            <w:pPr>
              <w:widowControl/>
              <w:snapToGrid w:val="0"/>
              <w:spacing w:line="348" w:lineRule="auto"/>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sz w:val="24"/>
                <w:szCs w:val="24"/>
                <w:highlight w:val="none"/>
              </w:rPr>
              <w:t>3000元/人</w:t>
            </w:r>
          </w:p>
        </w:tc>
        <w:tc>
          <w:tcPr>
            <w:tcW w:w="853" w:type="dxa"/>
            <w:noWrap w:val="0"/>
            <w:vAlign w:val="center"/>
          </w:tcPr>
          <w:p w14:paraId="66F0F180">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100</w:t>
            </w:r>
          </w:p>
        </w:tc>
        <w:tc>
          <w:tcPr>
            <w:tcW w:w="1140" w:type="dxa"/>
            <w:noWrap w:val="0"/>
            <w:vAlign w:val="center"/>
          </w:tcPr>
          <w:p w14:paraId="34C12D4B">
            <w:pPr>
              <w:widowControl/>
              <w:snapToGrid w:val="0"/>
              <w:spacing w:line="348" w:lineRule="auto"/>
              <w:jc w:val="center"/>
              <w:rPr>
                <w:rFonts w:hint="default"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300000</w:t>
            </w:r>
          </w:p>
        </w:tc>
        <w:tc>
          <w:tcPr>
            <w:tcW w:w="2309" w:type="dxa"/>
            <w:vMerge w:val="continue"/>
            <w:noWrap w:val="0"/>
            <w:vAlign w:val="center"/>
          </w:tcPr>
          <w:p w14:paraId="58C0A9AC">
            <w:pPr>
              <w:widowControl/>
              <w:snapToGrid w:val="0"/>
              <w:spacing w:line="348" w:lineRule="auto"/>
              <w:jc w:val="center"/>
              <w:rPr>
                <w:rFonts w:hint="eastAsia" w:ascii="宋体" w:hAnsi="宋体" w:eastAsia="宋体" w:cs="宋体"/>
                <w:b/>
                <w:bCs/>
                <w:color w:val="000000"/>
                <w:kern w:val="0"/>
                <w:sz w:val="24"/>
                <w:szCs w:val="24"/>
                <w:highlight w:val="none"/>
              </w:rPr>
            </w:pPr>
          </w:p>
        </w:tc>
      </w:tr>
    </w:tbl>
    <w:p w14:paraId="31177067">
      <w:pPr>
        <w:spacing w:line="360" w:lineRule="auto"/>
        <w:rPr>
          <w:rFonts w:hint="eastAsia" w:ascii="宋体" w:hAnsi="宋体" w:cs="宋体"/>
          <w:b/>
          <w:color w:val="000000"/>
          <w:kern w:val="0"/>
          <w:sz w:val="24"/>
          <w:highlight w:val="none"/>
        </w:rPr>
      </w:pPr>
    </w:p>
    <w:p w14:paraId="6E1C2C65">
      <w:pPr>
        <w:spacing w:line="360" w:lineRule="auto"/>
        <w:rPr>
          <w:rFonts w:ascii="宋体" w:hAnsi="宋体" w:cs="宋体"/>
          <w:b/>
          <w:color w:val="000000"/>
          <w:kern w:val="0"/>
          <w:sz w:val="24"/>
        </w:rPr>
      </w:pPr>
      <w:r>
        <w:rPr>
          <w:rFonts w:hint="eastAsia" w:ascii="宋体" w:hAnsi="宋体" w:cs="宋体"/>
          <w:b/>
          <w:color w:val="000000"/>
          <w:kern w:val="0"/>
          <w:sz w:val="24"/>
        </w:rPr>
        <w:t>（一）时间、地点</w:t>
      </w: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出行</w:t>
      </w:r>
      <w:r>
        <w:rPr>
          <w:rFonts w:hint="eastAsia" w:ascii="宋体" w:hAnsi="宋体" w:cs="宋体"/>
          <w:b/>
          <w:color w:val="000000"/>
          <w:kern w:val="0"/>
          <w:sz w:val="24"/>
        </w:rPr>
        <w:t>人数</w:t>
      </w:r>
      <w:r>
        <w:rPr>
          <w:rFonts w:hint="eastAsia" w:ascii="宋体" w:hAnsi="宋体" w:cs="宋体"/>
          <w:b/>
          <w:color w:val="000000"/>
          <w:kern w:val="0"/>
          <w:sz w:val="24"/>
        </w:rPr>
        <w:tab/>
      </w:r>
    </w:p>
    <w:p w14:paraId="7D6FFA62">
      <w:pPr>
        <w:spacing w:line="360" w:lineRule="auto"/>
        <w:ind w:firstLine="482" w:firstLineChars="200"/>
        <w:rPr>
          <w:rFonts w:ascii="宋体" w:hAnsi="宋体" w:cs="宋体"/>
          <w:color w:val="000000"/>
          <w:sz w:val="24"/>
        </w:rPr>
      </w:pPr>
      <w:r>
        <w:rPr>
          <w:rFonts w:hint="eastAsia" w:ascii="宋体" w:hAnsi="宋体" w:cs="宋体"/>
          <w:b/>
          <w:color w:val="000000"/>
          <w:kern w:val="0"/>
          <w:sz w:val="24"/>
        </w:rPr>
        <w:t>计划时间以实际需求为准，出行地点为</w:t>
      </w:r>
      <w:r>
        <w:rPr>
          <w:rFonts w:hint="eastAsia" w:ascii="宋体" w:hAnsi="宋体" w:cs="宋体"/>
          <w:b/>
          <w:bCs/>
          <w:color w:val="000000"/>
          <w:sz w:val="24"/>
        </w:rPr>
        <w:t>采购</w:t>
      </w:r>
      <w:r>
        <w:rPr>
          <w:rFonts w:hint="eastAsia" w:ascii="宋体" w:hAnsi="宋体" w:cs="宋体"/>
          <w:b/>
          <w:bCs/>
          <w:color w:val="000000"/>
          <w:sz w:val="24"/>
          <w:lang w:val="en-US" w:eastAsia="zh-CN"/>
        </w:rPr>
        <w:t>人</w:t>
      </w:r>
      <w:r>
        <w:rPr>
          <w:rFonts w:hint="eastAsia" w:ascii="宋体" w:hAnsi="宋体" w:cs="宋体"/>
          <w:b/>
          <w:bCs/>
          <w:color w:val="000000"/>
          <w:sz w:val="24"/>
        </w:rPr>
        <w:t>指定地点为准</w:t>
      </w:r>
      <w:r>
        <w:rPr>
          <w:rFonts w:hint="eastAsia" w:ascii="宋体" w:hAnsi="宋体" w:cs="宋体"/>
          <w:color w:val="000000"/>
          <w:sz w:val="24"/>
        </w:rPr>
        <w:t>，总人数约</w:t>
      </w:r>
      <w:r>
        <w:rPr>
          <w:rFonts w:hint="eastAsia" w:ascii="宋体" w:hAnsi="宋体" w:cs="宋体"/>
          <w:color w:val="000000"/>
          <w:sz w:val="24"/>
          <w:lang w:val="en-US" w:eastAsia="zh-CN"/>
        </w:rPr>
        <w:t>351</w:t>
      </w:r>
      <w:r>
        <w:rPr>
          <w:rFonts w:hint="eastAsia" w:ascii="宋体" w:hAnsi="宋体" w:cs="宋体"/>
          <w:color w:val="000000"/>
          <w:sz w:val="24"/>
        </w:rPr>
        <w:t>人左右（若有家属随队参加，行前</w:t>
      </w:r>
      <w:r>
        <w:rPr>
          <w:rFonts w:hint="eastAsia" w:ascii="宋体" w:hAnsi="宋体" w:cs="宋体"/>
          <w:color w:val="000000"/>
          <w:sz w:val="24"/>
          <w:lang w:val="en-US" w:eastAsia="zh-CN"/>
        </w:rPr>
        <w:t>中标供应</w:t>
      </w:r>
      <w:r>
        <w:rPr>
          <w:rFonts w:hint="eastAsia" w:ascii="宋体" w:hAnsi="宋体" w:eastAsia="宋体" w:cs="宋体"/>
          <w:color w:val="000000"/>
          <w:sz w:val="24"/>
          <w:lang w:val="en-US" w:eastAsia="zh-CN"/>
        </w:rPr>
        <w:t>商</w:t>
      </w:r>
      <w:r>
        <w:rPr>
          <w:rFonts w:hint="eastAsia" w:ascii="宋体" w:hAnsi="宋体" w:eastAsia="宋体" w:cs="宋体"/>
          <w:color w:val="000000"/>
          <w:sz w:val="24"/>
        </w:rPr>
        <w:t>须与家属签订协议，相关费用另行与家属方结算）。</w:t>
      </w:r>
      <w:r>
        <w:rPr>
          <w:rFonts w:hint="eastAsia" w:ascii="宋体" w:hAnsi="宋体" w:eastAsia="宋体" w:cs="宋体"/>
          <w:color w:val="000000"/>
          <w:sz w:val="24"/>
          <w:lang w:val="en-US" w:eastAsia="zh-CN"/>
        </w:rPr>
        <w:t>人员疗</w:t>
      </w:r>
      <w:r>
        <w:rPr>
          <w:rFonts w:hint="eastAsia" w:ascii="宋体" w:hAnsi="宋体" w:cs="宋体"/>
          <w:color w:val="000000"/>
          <w:sz w:val="24"/>
          <w:lang w:val="en-US" w:eastAsia="zh-CN"/>
        </w:rPr>
        <w:t>休</w:t>
      </w:r>
      <w:r>
        <w:rPr>
          <w:rFonts w:hint="eastAsia" w:ascii="宋体" w:hAnsi="宋体" w:eastAsia="宋体" w:cs="宋体"/>
          <w:color w:val="000000"/>
          <w:sz w:val="24"/>
          <w:lang w:val="en-US" w:eastAsia="zh-CN"/>
        </w:rPr>
        <w:t>养分批进行，</w:t>
      </w:r>
      <w:r>
        <w:rPr>
          <w:rFonts w:hint="eastAsia" w:ascii="宋体" w:hAnsi="宋体" w:cs="宋体"/>
          <w:color w:val="000000"/>
          <w:sz w:val="24"/>
        </w:rPr>
        <w:t>具体批次</w:t>
      </w:r>
      <w:r>
        <w:rPr>
          <w:rFonts w:hint="eastAsia" w:ascii="宋体" w:hAnsi="宋体" w:cs="宋体"/>
          <w:color w:val="000000"/>
          <w:sz w:val="24"/>
          <w:lang w:eastAsia="zh-CN"/>
        </w:rPr>
        <w:t>、</w:t>
      </w:r>
      <w:r>
        <w:rPr>
          <w:rFonts w:hint="eastAsia" w:ascii="宋体" w:hAnsi="宋体" w:cs="宋体"/>
          <w:color w:val="000000"/>
          <w:sz w:val="24"/>
          <w:lang w:val="en-US" w:eastAsia="zh-CN"/>
        </w:rPr>
        <w:t>人数</w:t>
      </w:r>
      <w:r>
        <w:rPr>
          <w:rFonts w:hint="eastAsia" w:ascii="宋体" w:hAnsi="宋体" w:cs="宋体"/>
          <w:color w:val="000000"/>
          <w:sz w:val="24"/>
        </w:rPr>
        <w:t>和出发时间由采购人视情况而定。</w:t>
      </w:r>
    </w:p>
    <w:p w14:paraId="54ED81F5">
      <w:pPr>
        <w:spacing w:line="360" w:lineRule="auto"/>
        <w:rPr>
          <w:rFonts w:ascii="宋体" w:hAnsi="宋体" w:cs="宋体"/>
          <w:b/>
          <w:color w:val="000000"/>
          <w:sz w:val="24"/>
        </w:rPr>
      </w:pPr>
      <w:r>
        <w:rPr>
          <w:rFonts w:hint="eastAsia" w:ascii="宋体" w:hAnsi="宋体" w:cs="宋体"/>
          <w:b/>
          <w:color w:val="000000"/>
          <w:kern w:val="0"/>
          <w:sz w:val="24"/>
        </w:rPr>
        <w:t>（</w:t>
      </w:r>
      <w:r>
        <w:rPr>
          <w:rFonts w:hint="eastAsia" w:ascii="宋体" w:hAnsi="宋体" w:cs="宋体"/>
          <w:b/>
          <w:color w:val="000000"/>
          <w:sz w:val="24"/>
        </w:rPr>
        <w:t>二）行程线路拟安排</w:t>
      </w:r>
    </w:p>
    <w:p w14:paraId="2A61336C">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第一天至第五天：组织人员活动、参观游览，行程安排符合人员疗养，在确保安全的前提下力求做到动静结合，贴近需求。第五天发放满意度调查表，返回出发地。</w:t>
      </w:r>
    </w:p>
    <w:p w14:paraId="6BE43B52">
      <w:pPr>
        <w:widowControl/>
        <w:tabs>
          <w:tab w:val="left" w:pos="0"/>
        </w:tabs>
        <w:adjustRightInd/>
        <w:spacing w:line="360" w:lineRule="auto"/>
        <w:jc w:val="left"/>
        <w:rPr>
          <w:rFonts w:ascii="宋体" w:hAnsi="宋体" w:cs="宋体"/>
          <w:color w:val="000000"/>
          <w:kern w:val="0"/>
          <w:sz w:val="24"/>
        </w:rPr>
      </w:pPr>
      <w:r>
        <w:rPr>
          <w:rFonts w:hint="eastAsia" w:ascii="宋体" w:hAnsi="宋体" w:cs="宋体"/>
          <w:color w:val="000000"/>
          <w:kern w:val="0"/>
          <w:sz w:val="24"/>
        </w:rPr>
        <w:t xml:space="preserve">    2</w:t>
      </w:r>
      <w:r>
        <w:rPr>
          <w:rFonts w:hint="eastAsia" w:ascii="宋体" w:hAnsi="宋体" w:cs="宋体"/>
          <w:color w:val="000000"/>
          <w:kern w:val="0"/>
          <w:sz w:val="24"/>
          <w:lang w:val="en-US" w:eastAsia="zh-CN"/>
        </w:rPr>
        <w:t>.</w:t>
      </w:r>
      <w:r>
        <w:rPr>
          <w:rFonts w:hint="eastAsia" w:ascii="宋体" w:hAnsi="宋体" w:cs="宋体"/>
          <w:color w:val="000000"/>
          <w:kern w:val="0"/>
          <w:sz w:val="24"/>
        </w:rPr>
        <w:t>要求：行程安排及景区参观路线可根据天气等实际情况征得采购方同意后调整。</w:t>
      </w:r>
    </w:p>
    <w:p w14:paraId="7CFE5428">
      <w:pPr>
        <w:widowControl/>
        <w:tabs>
          <w:tab w:val="left" w:pos="0"/>
        </w:tabs>
        <w:adjustRightInd/>
        <w:spacing w:line="360" w:lineRule="auto"/>
        <w:jc w:val="left"/>
        <w:rPr>
          <w:rFonts w:ascii="宋体" w:hAnsi="宋体" w:cs="宋体"/>
          <w:b/>
          <w:bCs/>
          <w:color w:val="000000"/>
          <w:kern w:val="0"/>
          <w:sz w:val="24"/>
        </w:rPr>
      </w:pPr>
      <w:r>
        <w:rPr>
          <w:rFonts w:hint="eastAsia" w:ascii="宋体" w:hAnsi="宋体" w:cs="宋体"/>
          <w:color w:val="000000"/>
          <w:sz w:val="24"/>
        </w:rPr>
        <w:t xml:space="preserve">    3</w:t>
      </w:r>
      <w:r>
        <w:rPr>
          <w:rFonts w:hint="eastAsia" w:ascii="宋体" w:hAnsi="宋体" w:cs="宋体"/>
          <w:color w:val="000000"/>
          <w:sz w:val="24"/>
          <w:lang w:val="en-US" w:eastAsia="zh-CN"/>
        </w:rPr>
        <w:t>.</w:t>
      </w:r>
      <w:r>
        <w:rPr>
          <w:rFonts w:hint="eastAsia" w:ascii="宋体" w:hAnsi="宋体" w:cs="宋体"/>
          <w:color w:val="000000"/>
          <w:sz w:val="24"/>
        </w:rPr>
        <w:t>线路要求：投标单位须按采购需求</w:t>
      </w:r>
      <w:r>
        <w:rPr>
          <w:rFonts w:hint="eastAsia" w:ascii="宋体" w:hAnsi="宋体" w:cs="宋体"/>
          <w:b/>
          <w:bCs/>
          <w:color w:val="000000"/>
          <w:sz w:val="24"/>
          <w:lang w:val="en-US" w:eastAsia="zh-CN"/>
        </w:rPr>
        <w:t>根据</w:t>
      </w:r>
      <w:r>
        <w:rPr>
          <w:rFonts w:hint="eastAsia" w:ascii="宋体" w:hAnsi="宋体" w:cs="宋体"/>
          <w:b/>
          <w:bCs/>
          <w:color w:val="000000"/>
          <w:sz w:val="24"/>
        </w:rPr>
        <w:t>每个</w:t>
      </w:r>
      <w:r>
        <w:rPr>
          <w:rFonts w:hint="eastAsia" w:ascii="宋体" w:hAnsi="宋体" w:cs="宋体"/>
          <w:b/>
          <w:bCs/>
          <w:color w:val="000000"/>
          <w:sz w:val="24"/>
          <w:lang w:val="en-US" w:eastAsia="zh-CN"/>
        </w:rPr>
        <w:t>标项对应的出行</w:t>
      </w:r>
      <w:r>
        <w:rPr>
          <w:rFonts w:hint="eastAsia" w:ascii="宋体" w:hAnsi="宋体" w:cs="宋体"/>
          <w:b/>
          <w:bCs/>
          <w:color w:val="000000"/>
          <w:sz w:val="24"/>
        </w:rPr>
        <w:t>路线提供1种方案</w:t>
      </w:r>
      <w:r>
        <w:rPr>
          <w:rFonts w:hint="eastAsia" w:ascii="宋体" w:hAnsi="宋体" w:cs="宋体"/>
          <w:color w:val="000000"/>
          <w:sz w:val="24"/>
        </w:rPr>
        <w:t>，</w:t>
      </w:r>
      <w:r>
        <w:rPr>
          <w:rFonts w:hint="eastAsia" w:ascii="宋体" w:hAnsi="宋体" w:cs="宋体"/>
          <w:color w:val="000000"/>
          <w:sz w:val="24"/>
          <w:lang w:val="en-US" w:eastAsia="zh-CN"/>
        </w:rPr>
        <w:t>方案中需</w:t>
      </w:r>
      <w:r>
        <w:rPr>
          <w:rFonts w:hint="eastAsia" w:ascii="宋体" w:hAnsi="宋体" w:eastAsia="宋体" w:cs="宋体"/>
          <w:color w:val="auto"/>
          <w:kern w:val="0"/>
          <w:sz w:val="24"/>
          <w:szCs w:val="24"/>
        </w:rPr>
        <w:t>提供具体行程、出行方式、就餐标准等</w:t>
      </w:r>
      <w:r>
        <w:rPr>
          <w:rFonts w:hint="eastAsia" w:ascii="宋体" w:hAnsi="宋体" w:eastAsia="宋体" w:cs="宋体"/>
          <w:color w:val="auto"/>
          <w:kern w:val="0"/>
          <w:sz w:val="24"/>
          <w:szCs w:val="24"/>
          <w:lang w:eastAsia="zh-CN"/>
        </w:rPr>
        <w:t>，</w:t>
      </w:r>
      <w:r>
        <w:rPr>
          <w:rFonts w:hint="eastAsia" w:ascii="宋体" w:hAnsi="宋体" w:cs="宋体"/>
          <w:color w:val="000000"/>
          <w:sz w:val="24"/>
        </w:rPr>
        <w:t>同时此方案不作为采购人最终选定方案。最终方</w:t>
      </w:r>
      <w:r>
        <w:rPr>
          <w:rFonts w:hint="eastAsia" w:ascii="宋体" w:hAnsi="宋体" w:cs="宋体"/>
          <w:b w:val="0"/>
          <w:bCs w:val="0"/>
          <w:color w:val="000000"/>
          <w:sz w:val="24"/>
        </w:rPr>
        <w:t>案</w:t>
      </w:r>
      <w:r>
        <w:rPr>
          <w:rFonts w:hint="eastAsia" w:ascii="宋体" w:hAnsi="宋体" w:cs="宋体"/>
          <w:b w:val="0"/>
          <w:bCs w:val="0"/>
          <w:color w:val="000000"/>
          <w:sz w:val="24"/>
          <w:lang w:val="en-US" w:eastAsia="zh-CN"/>
        </w:rPr>
        <w:t>以</w:t>
      </w:r>
      <w:r>
        <w:rPr>
          <w:rFonts w:hint="eastAsia" w:ascii="宋体" w:hAnsi="宋体" w:cs="宋体"/>
          <w:b w:val="0"/>
          <w:bCs w:val="0"/>
          <w:color w:val="000000"/>
          <w:kern w:val="0"/>
          <w:sz w:val="24"/>
        </w:rPr>
        <w:t>中标</w:t>
      </w:r>
      <w:r>
        <w:rPr>
          <w:rFonts w:hint="eastAsia" w:ascii="宋体" w:hAnsi="宋体" w:cs="宋体"/>
          <w:b w:val="0"/>
          <w:bCs w:val="0"/>
          <w:color w:val="000000"/>
          <w:kern w:val="0"/>
          <w:sz w:val="24"/>
          <w:lang w:val="en-US" w:eastAsia="zh-CN"/>
        </w:rPr>
        <w:t>供应商</w:t>
      </w:r>
      <w:r>
        <w:rPr>
          <w:rFonts w:hint="eastAsia" w:ascii="宋体" w:hAnsi="宋体" w:cs="宋体"/>
          <w:b w:val="0"/>
          <w:bCs w:val="0"/>
          <w:color w:val="000000"/>
          <w:sz w:val="24"/>
        </w:rPr>
        <w:t>须</w:t>
      </w:r>
      <w:r>
        <w:rPr>
          <w:rFonts w:hint="eastAsia" w:ascii="宋体" w:hAnsi="宋体" w:cs="宋体"/>
          <w:b w:val="0"/>
          <w:bCs w:val="0"/>
          <w:color w:val="000000"/>
          <w:kern w:val="0"/>
          <w:sz w:val="24"/>
        </w:rPr>
        <w:t>与采购人沟通后再确认的为准。</w:t>
      </w:r>
    </w:p>
    <w:p w14:paraId="7BF774E9">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en-US" w:eastAsia="zh-CN"/>
        </w:rPr>
        <w:t>.</w:t>
      </w:r>
      <w:r>
        <w:rPr>
          <w:rFonts w:hint="eastAsia" w:ascii="宋体" w:hAnsi="宋体" w:cs="宋体"/>
          <w:color w:val="000000"/>
          <w:kern w:val="0"/>
          <w:sz w:val="24"/>
        </w:rPr>
        <w:t>制定协助旅游的服务方案及旅游出行前的说明。</w:t>
      </w:r>
    </w:p>
    <w:p w14:paraId="0CC3C12A">
      <w:pPr>
        <w:tabs>
          <w:tab w:val="left" w:pos="0"/>
        </w:tabs>
        <w:spacing w:line="360" w:lineRule="auto"/>
        <w:rPr>
          <w:rFonts w:ascii="宋体" w:hAnsi="宋体" w:cs="宋体"/>
          <w:b/>
          <w:color w:val="000000"/>
          <w:kern w:val="0"/>
          <w:sz w:val="24"/>
        </w:rPr>
      </w:pPr>
      <w:r>
        <w:rPr>
          <w:rFonts w:hint="eastAsia" w:ascii="宋体" w:hAnsi="宋体" w:cs="宋体"/>
          <w:b/>
          <w:color w:val="000000"/>
          <w:kern w:val="0"/>
          <w:sz w:val="24"/>
        </w:rPr>
        <w:t>（三）行程基本要求</w:t>
      </w:r>
    </w:p>
    <w:p w14:paraId="053F72D4">
      <w:pPr>
        <w:tabs>
          <w:tab w:val="left" w:pos="284"/>
          <w:tab w:val="left" w:pos="425"/>
        </w:tabs>
        <w:spacing w:line="360" w:lineRule="auto"/>
        <w:ind w:firstLine="482" w:firstLineChars="200"/>
        <w:rPr>
          <w:rFonts w:ascii="宋体" w:hAnsi="宋体" w:cs="宋体"/>
          <w:sz w:val="24"/>
        </w:rPr>
      </w:pPr>
      <w:r>
        <w:rPr>
          <w:rFonts w:hint="eastAsia" w:ascii="宋体" w:hAnsi="宋体" w:cs="宋体"/>
          <w:b/>
          <w:sz w:val="24"/>
        </w:rPr>
        <w:t>1.</w:t>
      </w:r>
      <w:r>
        <w:rPr>
          <w:rFonts w:hint="eastAsia" w:ascii="宋体" w:hAnsi="宋体" w:cs="宋体"/>
          <w:b/>
          <w:bCs/>
          <w:sz w:val="24"/>
        </w:rPr>
        <w:t>保险：</w:t>
      </w:r>
      <w:r>
        <w:rPr>
          <w:rFonts w:hint="eastAsia" w:ascii="宋体" w:hAnsi="宋体" w:cs="宋体"/>
          <w:sz w:val="24"/>
        </w:rPr>
        <w:t>投标供应商报价包含必须为疗休养职工购买具有一定抵抗风险的保险（包括：旅行社责任险，旅游意外伤害保险等），做到应保则保，响应文件中应说明具体险种和单人保额。其中，旅行社责任险不少于100万元/人、旅游安全人身意外伤害保险不少于100万元/人。实际实施过程中，成交</w:t>
      </w:r>
      <w:r>
        <w:rPr>
          <w:rFonts w:hint="eastAsia" w:ascii="宋体" w:hAnsi="宋体" w:cs="宋体"/>
          <w:sz w:val="24"/>
          <w:lang w:val="en-US" w:eastAsia="zh-CN"/>
        </w:rPr>
        <w:t>供应商</w:t>
      </w:r>
      <w:r>
        <w:rPr>
          <w:rFonts w:hint="eastAsia" w:ascii="宋体" w:hAnsi="宋体" w:cs="宋体"/>
          <w:sz w:val="24"/>
        </w:rPr>
        <w:t>必须提供每批疗休养人员购买保险的原始凭证的复印件给采购人。</w:t>
      </w:r>
    </w:p>
    <w:p w14:paraId="1F6E6F86">
      <w:pPr>
        <w:tabs>
          <w:tab w:val="left" w:pos="284"/>
          <w:tab w:val="left" w:pos="425"/>
        </w:tabs>
        <w:spacing w:line="360" w:lineRule="auto"/>
        <w:ind w:firstLine="482" w:firstLineChars="200"/>
        <w:rPr>
          <w:rFonts w:ascii="宋体" w:hAnsi="宋体" w:cs="宋体"/>
          <w:sz w:val="24"/>
        </w:rPr>
      </w:pPr>
      <w:r>
        <w:rPr>
          <w:rFonts w:hint="eastAsia" w:ascii="宋体" w:hAnsi="宋体" w:cs="宋体"/>
          <w:b/>
          <w:sz w:val="24"/>
        </w:rPr>
        <w:t>2.</w:t>
      </w:r>
      <w:r>
        <w:rPr>
          <w:rFonts w:hint="eastAsia" w:ascii="宋体" w:hAnsi="宋体" w:cs="宋体"/>
          <w:b/>
          <w:bCs/>
          <w:sz w:val="24"/>
        </w:rPr>
        <w:t>酒店：</w:t>
      </w:r>
      <w:r>
        <w:rPr>
          <w:rFonts w:hint="eastAsia" w:ascii="宋体" w:hAnsi="宋体" w:cs="宋体"/>
          <w:sz w:val="24"/>
        </w:rPr>
        <w:t>住宿综合环境好，要求挂牌四星或网评四钻以上（含）且设施较好的装修的酒店（一般标准2人间，职工如有单间需求的，按团队价补差价）。要求标注每天住宿酒店的名称、星级和具体地址</w:t>
      </w:r>
      <w:r>
        <w:rPr>
          <w:rFonts w:hint="eastAsia" w:ascii="宋体" w:hAnsi="宋体" w:cs="宋体"/>
          <w:sz w:val="24"/>
          <w:lang w:eastAsia="zh-CN"/>
        </w:rPr>
        <w:t>。</w:t>
      </w:r>
      <w:r>
        <w:rPr>
          <w:rFonts w:hint="eastAsia" w:ascii="宋体" w:hAnsi="宋体" w:cs="宋体"/>
          <w:sz w:val="24"/>
        </w:rPr>
        <w:t>如实际接待中，投标指定酒店无法安排，需要安排</w:t>
      </w:r>
      <w:r>
        <w:rPr>
          <w:rFonts w:hint="eastAsia" w:ascii="宋体" w:hAnsi="宋体" w:cs="宋体"/>
          <w:sz w:val="24"/>
          <w:lang w:val="en-US" w:eastAsia="zh-CN"/>
        </w:rPr>
        <w:t>同等档次</w:t>
      </w:r>
      <w:r>
        <w:rPr>
          <w:rFonts w:hint="eastAsia" w:ascii="宋体" w:hAnsi="宋体" w:cs="宋体"/>
          <w:sz w:val="24"/>
        </w:rPr>
        <w:t>酒店。</w:t>
      </w:r>
    </w:p>
    <w:p w14:paraId="75A45DAC">
      <w:pPr>
        <w:tabs>
          <w:tab w:val="left" w:pos="284"/>
          <w:tab w:val="left" w:pos="425"/>
        </w:tabs>
        <w:spacing w:line="360" w:lineRule="auto"/>
        <w:ind w:firstLine="482" w:firstLineChars="200"/>
        <w:rPr>
          <w:rFonts w:ascii="宋体" w:hAnsi="宋体" w:cs="宋体"/>
          <w:sz w:val="24"/>
          <w:highlight w:val="yellow"/>
        </w:rPr>
      </w:pPr>
      <w:r>
        <w:rPr>
          <w:rFonts w:hint="eastAsia" w:ascii="宋体" w:hAnsi="宋体" w:cs="宋体"/>
          <w:b/>
          <w:sz w:val="24"/>
          <w:highlight w:val="none"/>
        </w:rPr>
        <w:t>3.</w:t>
      </w:r>
      <w:r>
        <w:rPr>
          <w:rFonts w:hint="eastAsia" w:ascii="宋体" w:hAnsi="宋体" w:cs="宋体"/>
          <w:b/>
          <w:bCs/>
          <w:sz w:val="24"/>
          <w:highlight w:val="none"/>
        </w:rPr>
        <w:t>就餐安排：</w:t>
      </w:r>
      <w:r>
        <w:rPr>
          <w:rFonts w:hint="eastAsia" w:ascii="宋体" w:hAnsi="宋体" w:cs="宋体"/>
          <w:sz w:val="24"/>
          <w:highlight w:val="none"/>
        </w:rPr>
        <w:t>在正规饭店或农家乐就餐，可采用10人一桌或自助餐的形式。入住酒店必须包含早餐，</w:t>
      </w:r>
      <w:r>
        <w:rPr>
          <w:rFonts w:hint="eastAsia" w:ascii="宋体" w:hAnsi="宋体" w:cs="宋体"/>
          <w:sz w:val="24"/>
          <w:highlight w:val="none"/>
          <w:lang w:val="en-US" w:eastAsia="zh-CN"/>
        </w:rPr>
        <w:t>正餐</w:t>
      </w:r>
      <w:r>
        <w:rPr>
          <w:rFonts w:hint="eastAsia" w:ascii="宋体" w:hAnsi="宋体" w:cs="宋体"/>
          <w:sz w:val="24"/>
          <w:highlight w:val="none"/>
        </w:rPr>
        <w:t>标准不低于为</w:t>
      </w:r>
      <w:r>
        <w:rPr>
          <w:rFonts w:hint="eastAsia" w:ascii="宋体" w:hAnsi="宋体" w:cs="宋体"/>
          <w:sz w:val="24"/>
          <w:highlight w:val="none"/>
          <w:lang w:val="en-US" w:eastAsia="zh-CN"/>
        </w:rPr>
        <w:t>50</w:t>
      </w:r>
      <w:r>
        <w:rPr>
          <w:rFonts w:hint="eastAsia" w:ascii="宋体" w:hAnsi="宋体" w:cs="宋体"/>
          <w:sz w:val="24"/>
          <w:highlight w:val="none"/>
        </w:rPr>
        <w:t>元/人</w:t>
      </w:r>
      <w:r>
        <w:rPr>
          <w:rFonts w:hint="eastAsia" w:ascii="宋体" w:hAnsi="宋体" w:cs="宋体"/>
          <w:sz w:val="24"/>
          <w:highlight w:val="none"/>
          <w:lang w:val="en-US" w:eastAsia="zh-CN"/>
        </w:rPr>
        <w:t>/餐</w:t>
      </w:r>
      <w:r>
        <w:rPr>
          <w:rFonts w:hint="eastAsia" w:ascii="宋体" w:hAnsi="宋体" w:cs="宋体"/>
          <w:sz w:val="24"/>
          <w:highlight w:val="none"/>
        </w:rPr>
        <w:t>，</w:t>
      </w:r>
      <w:r>
        <w:rPr>
          <w:rFonts w:hint="eastAsia" w:ascii="宋体" w:hAnsi="宋体" w:cs="宋体"/>
          <w:color w:val="000000"/>
          <w:kern w:val="0"/>
          <w:sz w:val="24"/>
          <w:highlight w:val="none"/>
        </w:rPr>
        <w:t>食物要求新鲜、安全，适合口味。</w:t>
      </w:r>
    </w:p>
    <w:p w14:paraId="1A3B6996">
      <w:pPr>
        <w:tabs>
          <w:tab w:val="left" w:pos="0"/>
        </w:tabs>
        <w:spacing w:line="360" w:lineRule="auto"/>
        <w:ind w:firstLine="482" w:firstLineChars="200"/>
        <w:rPr>
          <w:rFonts w:hint="eastAsia" w:ascii="宋体" w:hAnsi="宋体" w:eastAsia="宋体" w:cs="宋体"/>
          <w:sz w:val="24"/>
          <w:lang w:eastAsia="zh-CN"/>
        </w:rPr>
      </w:pPr>
      <w:r>
        <w:rPr>
          <w:rFonts w:hint="eastAsia" w:ascii="宋体" w:hAnsi="宋体" w:cs="宋体"/>
          <w:b/>
          <w:sz w:val="24"/>
        </w:rPr>
        <w:t>4.</w:t>
      </w:r>
      <w:r>
        <w:rPr>
          <w:rFonts w:hint="eastAsia" w:ascii="宋体" w:hAnsi="宋体" w:cs="宋体"/>
          <w:b/>
          <w:color w:val="000000"/>
          <w:kern w:val="0"/>
          <w:sz w:val="24"/>
        </w:rPr>
        <w:t>交通：</w:t>
      </w:r>
      <w:r>
        <w:rPr>
          <w:rFonts w:hint="eastAsia" w:ascii="宋体" w:hAnsi="宋体" w:cs="宋体"/>
          <w:color w:val="000000"/>
          <w:kern w:val="0"/>
          <w:sz w:val="24"/>
        </w:rPr>
        <w:t>全程空调旅游车（省外大交通为飞机）。要求车况好，车位充足，空调效果好，司机服务态度好、技术好，确保行程安全。要求</w:t>
      </w:r>
      <w:r>
        <w:rPr>
          <w:rFonts w:hint="eastAsia" w:ascii="宋体" w:hAnsi="宋体" w:cs="宋体"/>
          <w:color w:val="000000"/>
          <w:kern w:val="0"/>
          <w:sz w:val="24"/>
          <w:lang w:val="en-US" w:eastAsia="zh-CN"/>
        </w:rPr>
        <w:t>三</w:t>
      </w:r>
      <w:r>
        <w:rPr>
          <w:rFonts w:hint="eastAsia" w:ascii="宋体" w:hAnsi="宋体" w:cs="宋体"/>
          <w:color w:val="000000"/>
          <w:kern w:val="0"/>
          <w:sz w:val="24"/>
        </w:rPr>
        <w:t>年内新车，按照人数1</w:t>
      </w:r>
      <w:r>
        <w:rPr>
          <w:rFonts w:hint="eastAsia" w:ascii="宋体" w:hAnsi="宋体" w:cs="宋体"/>
          <w:color w:val="000000"/>
          <w:kern w:val="0"/>
          <w:sz w:val="24"/>
          <w:lang w:eastAsia="zh-CN"/>
        </w:rPr>
        <w:t>：</w:t>
      </w:r>
      <w:r>
        <w:rPr>
          <w:rFonts w:hint="eastAsia" w:ascii="宋体" w:hAnsi="宋体" w:cs="宋体"/>
          <w:color w:val="000000"/>
          <w:kern w:val="0"/>
          <w:sz w:val="24"/>
        </w:rPr>
        <w:t>1.2比例配备。每车至少配备1名导游</w:t>
      </w:r>
      <w:r>
        <w:rPr>
          <w:rFonts w:hint="eastAsia" w:ascii="宋体" w:hAnsi="宋体" w:cs="宋体"/>
          <w:color w:val="000000"/>
          <w:kern w:val="0"/>
          <w:sz w:val="24"/>
          <w:lang w:eastAsia="zh-CN"/>
        </w:rPr>
        <w:t>。</w:t>
      </w:r>
    </w:p>
    <w:p w14:paraId="77B91111">
      <w:pPr>
        <w:tabs>
          <w:tab w:val="left" w:pos="284"/>
          <w:tab w:val="left" w:pos="425"/>
        </w:tabs>
        <w:spacing w:line="360" w:lineRule="auto"/>
        <w:ind w:firstLine="482" w:firstLineChars="200"/>
        <w:rPr>
          <w:rFonts w:hint="eastAsia" w:ascii="宋体" w:hAnsi="宋体" w:eastAsia="宋体" w:cs="宋体"/>
          <w:sz w:val="24"/>
          <w:lang w:eastAsia="zh-CN"/>
        </w:rPr>
      </w:pPr>
      <w:r>
        <w:rPr>
          <w:rFonts w:hint="eastAsia" w:ascii="宋体" w:hAnsi="宋体" w:cs="宋体"/>
          <w:b/>
          <w:sz w:val="24"/>
        </w:rPr>
        <w:t>5.</w:t>
      </w:r>
      <w:r>
        <w:rPr>
          <w:rFonts w:hint="eastAsia" w:ascii="宋体" w:hAnsi="宋体" w:cs="宋体"/>
          <w:b/>
          <w:bCs/>
          <w:sz w:val="24"/>
        </w:rPr>
        <w:t>景点：</w:t>
      </w:r>
      <w:r>
        <w:rPr>
          <w:rFonts w:hint="eastAsia" w:ascii="宋体" w:hAnsi="宋体" w:cs="宋体"/>
          <w:sz w:val="24"/>
        </w:rPr>
        <w:t>每条线路中每天景点安排合理，有无自理费用需注明</w:t>
      </w:r>
      <w:r>
        <w:rPr>
          <w:rFonts w:hint="eastAsia" w:ascii="宋体" w:hAnsi="宋体" w:cs="宋体"/>
          <w:sz w:val="24"/>
          <w:lang w:eastAsia="zh-CN"/>
        </w:rPr>
        <w:t>。</w:t>
      </w:r>
    </w:p>
    <w:p w14:paraId="65938C4F">
      <w:pPr>
        <w:tabs>
          <w:tab w:val="left" w:pos="0"/>
        </w:tabs>
        <w:spacing w:line="360" w:lineRule="auto"/>
        <w:ind w:firstLine="482" w:firstLineChars="200"/>
        <w:rPr>
          <w:rFonts w:ascii="宋体" w:hAnsi="宋体" w:cs="宋体"/>
          <w:color w:val="000000"/>
          <w:kern w:val="0"/>
          <w:sz w:val="24"/>
        </w:rPr>
      </w:pPr>
      <w:r>
        <w:rPr>
          <w:rFonts w:hint="eastAsia" w:ascii="宋体" w:hAnsi="宋体" w:cs="宋体"/>
          <w:b/>
          <w:sz w:val="24"/>
        </w:rPr>
        <w:t>6.门</w:t>
      </w:r>
      <w:r>
        <w:rPr>
          <w:rFonts w:hint="eastAsia" w:ascii="宋体" w:hAnsi="宋体" w:cs="宋体"/>
          <w:b/>
          <w:bCs/>
          <w:color w:val="000000"/>
          <w:kern w:val="0"/>
          <w:sz w:val="24"/>
        </w:rPr>
        <w:t>票：</w:t>
      </w:r>
      <w:r>
        <w:rPr>
          <w:rFonts w:hint="eastAsia" w:ascii="宋体" w:hAnsi="宋体" w:cs="宋体"/>
          <w:color w:val="000000"/>
          <w:kern w:val="0"/>
          <w:sz w:val="24"/>
        </w:rPr>
        <w:t>行程所含景点门票。</w:t>
      </w:r>
    </w:p>
    <w:p w14:paraId="4DB10D64">
      <w:pPr>
        <w:tabs>
          <w:tab w:val="left" w:pos="0"/>
        </w:tabs>
        <w:spacing w:line="360" w:lineRule="auto"/>
        <w:ind w:firstLine="482" w:firstLineChars="200"/>
        <w:rPr>
          <w:rFonts w:hint="eastAsia" w:ascii="宋体" w:hAnsi="宋体" w:eastAsia="宋体" w:cs="宋体"/>
          <w:color w:val="000000"/>
          <w:kern w:val="0"/>
          <w:sz w:val="24"/>
          <w:lang w:eastAsia="zh-CN"/>
        </w:rPr>
      </w:pPr>
      <w:r>
        <w:rPr>
          <w:rFonts w:hint="eastAsia" w:ascii="宋体" w:hAnsi="宋体" w:cs="宋体"/>
          <w:b/>
          <w:sz w:val="24"/>
        </w:rPr>
        <w:t>7.导</w:t>
      </w:r>
      <w:r>
        <w:rPr>
          <w:rFonts w:hint="eastAsia" w:ascii="宋体" w:hAnsi="宋体" w:cs="宋体"/>
          <w:b/>
          <w:bCs/>
          <w:color w:val="000000"/>
          <w:kern w:val="0"/>
          <w:sz w:val="24"/>
        </w:rPr>
        <w:t>游：</w:t>
      </w:r>
      <w:r>
        <w:rPr>
          <w:rFonts w:hint="eastAsia" w:ascii="宋体" w:hAnsi="宋体" w:cs="宋体"/>
          <w:color w:val="000000"/>
          <w:kern w:val="0"/>
          <w:sz w:val="24"/>
        </w:rPr>
        <w:t>当地优秀资质公司，有导游资格的专业导游讲解服务，全程陪同。</w:t>
      </w:r>
      <w:r>
        <w:rPr>
          <w:rFonts w:hint="eastAsia" w:ascii="宋体" w:hAnsi="宋体" w:cs="宋体"/>
          <w:sz w:val="24"/>
        </w:rPr>
        <w:t>针对本项目要求投标供应商拟派出的服务人员须持有导游资格证书，其它人员亦要求具有相应的</w:t>
      </w:r>
      <w:r>
        <w:rPr>
          <w:rFonts w:hint="eastAsia" w:ascii="宋体" w:hAnsi="宋体" w:cs="宋体"/>
          <w:sz w:val="24"/>
          <w:lang w:val="en-US" w:eastAsia="zh-CN"/>
        </w:rPr>
        <w:t>证书</w:t>
      </w:r>
      <w:r>
        <w:rPr>
          <w:rFonts w:hint="eastAsia" w:ascii="宋体" w:hAnsi="宋体" w:cs="宋体"/>
          <w:sz w:val="24"/>
          <w:lang w:eastAsia="zh-CN"/>
        </w:rPr>
        <w:t>。</w:t>
      </w:r>
    </w:p>
    <w:p w14:paraId="40753E73">
      <w:pPr>
        <w:tabs>
          <w:tab w:val="left" w:pos="0"/>
        </w:tabs>
        <w:spacing w:line="360" w:lineRule="auto"/>
        <w:ind w:firstLine="482" w:firstLineChars="200"/>
        <w:rPr>
          <w:rFonts w:ascii="宋体" w:hAnsi="宋体" w:cs="宋体"/>
          <w:color w:val="000000"/>
          <w:kern w:val="0"/>
          <w:sz w:val="24"/>
        </w:rPr>
      </w:pPr>
      <w:r>
        <w:rPr>
          <w:rFonts w:hint="eastAsia" w:ascii="宋体" w:hAnsi="宋体" w:cs="宋体"/>
          <w:b/>
          <w:sz w:val="24"/>
        </w:rPr>
        <w:t>8.购物</w:t>
      </w:r>
      <w:r>
        <w:rPr>
          <w:rFonts w:hint="eastAsia" w:ascii="宋体" w:hAnsi="宋体" w:cs="宋体"/>
          <w:b/>
          <w:bCs/>
          <w:color w:val="000000"/>
          <w:kern w:val="0"/>
          <w:sz w:val="24"/>
        </w:rPr>
        <w:t>：</w:t>
      </w:r>
      <w:r>
        <w:rPr>
          <w:rFonts w:hint="eastAsia" w:ascii="宋体" w:hAnsi="宋体" w:cs="宋体"/>
          <w:color w:val="000000"/>
          <w:kern w:val="0"/>
          <w:sz w:val="24"/>
        </w:rPr>
        <w:t>全程不进购物点。</w:t>
      </w:r>
    </w:p>
    <w:p w14:paraId="5CD2B11B">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9.无自费的景点或活动，无商业广告及各类产品推销和介绍。</w:t>
      </w:r>
    </w:p>
    <w:p w14:paraId="44A6C61A">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针对疗休养活动中可能发生的突发状况、意外情况等（如：投诉、纠纷、安全事故等），供应商须制定周密、可靠的安全保障和突发事件应急预案，确保在各种情况下参团人员的人身及财产安全，供应商应在响应文件中提供详细说明。如遇意外突发事件要及时妥善处理，并做好善后处理工作。</w:t>
      </w:r>
    </w:p>
    <w:p w14:paraId="0C072F29">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11.出发前发放《行程安排表》和《注意事项》</w:t>
      </w:r>
      <w:r>
        <w:rPr>
          <w:rFonts w:hint="eastAsia" w:ascii="宋体" w:hAnsi="宋体" w:cs="宋体"/>
          <w:color w:val="000000"/>
          <w:sz w:val="24"/>
        </w:rPr>
        <w:t>。</w:t>
      </w:r>
    </w:p>
    <w:p w14:paraId="4CF59D95">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12.参加疗休养人员名单和个人信息不得外泄。</w:t>
      </w:r>
    </w:p>
    <w:p w14:paraId="07E27094">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13.考核方式：每次完成疗养服务回程时，出行职工对本次出行计划、酒店、就餐等情况进行满意度评分并填写《满意度调查表》（调查表选项填写不全或赋分不在设定范围的无效），投标人根据满意度平均分确认当次疗休养费用。</w:t>
      </w:r>
    </w:p>
    <w:p w14:paraId="0E9724AB">
      <w:pPr>
        <w:tabs>
          <w:tab w:val="left" w:pos="0"/>
        </w:tabs>
        <w:spacing w:line="360" w:lineRule="auto"/>
        <w:ind w:firstLine="480" w:firstLineChars="200"/>
        <w:rPr>
          <w:rFonts w:ascii="宋体" w:hAnsi="宋体" w:cs="宋体"/>
          <w:color w:val="000000"/>
          <w:kern w:val="0"/>
          <w:sz w:val="24"/>
          <w:highlight w:val="yellow"/>
        </w:rPr>
      </w:pPr>
      <w:r>
        <w:rPr>
          <w:rFonts w:hint="eastAsia" w:ascii="宋体" w:hAnsi="宋体" w:cs="宋体"/>
          <w:color w:val="000000"/>
          <w:kern w:val="0"/>
          <w:sz w:val="24"/>
        </w:rPr>
        <w:t>考核标准：当次满意度平均分高于85分（含），支付当次疗休养费用的100%；当次满意度平均分高于75分（含）低于85分，扣减当次疗休养费用5%；当次满意度平均分低75分，扣减当次疗休养费用10%。</w:t>
      </w:r>
    </w:p>
    <w:p w14:paraId="2780731C">
      <w:pPr>
        <w:tabs>
          <w:tab w:val="left" w:pos="0"/>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14.行程中的相关安全事宜（住宿、交通、饮食等）全部由中标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负责，如出现任何安全事故，则由中标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承担相关经济赔偿与法律义务。</w:t>
      </w:r>
    </w:p>
    <w:p w14:paraId="680CC5A9">
      <w:pPr>
        <w:tabs>
          <w:tab w:val="left" w:pos="284"/>
          <w:tab w:val="left" w:pos="425"/>
        </w:tabs>
        <w:spacing w:line="360" w:lineRule="auto"/>
        <w:ind w:firstLine="480" w:firstLineChars="200"/>
        <w:rPr>
          <w:rFonts w:ascii="宋体" w:hAnsi="宋体" w:cs="宋体"/>
          <w:sz w:val="24"/>
        </w:rPr>
      </w:pPr>
      <w:r>
        <w:rPr>
          <w:rFonts w:hint="eastAsia" w:ascii="宋体" w:hAnsi="宋体" w:cs="宋体"/>
          <w:sz w:val="24"/>
        </w:rPr>
        <w:t>15. 中标供应商的方案应获得</w:t>
      </w:r>
      <w:r>
        <w:rPr>
          <w:rFonts w:hint="eastAsia" w:ascii="宋体" w:hAnsi="宋体" w:cs="宋体"/>
          <w:sz w:val="24"/>
          <w:lang w:val="en-US" w:eastAsia="zh-CN"/>
        </w:rPr>
        <w:t>采购人</w:t>
      </w:r>
      <w:r>
        <w:rPr>
          <w:rFonts w:hint="eastAsia" w:ascii="宋体" w:hAnsi="宋体" w:cs="宋体"/>
          <w:sz w:val="24"/>
        </w:rPr>
        <w:t>的认可，</w:t>
      </w:r>
      <w:r>
        <w:rPr>
          <w:rFonts w:hint="eastAsia" w:ascii="宋体" w:hAnsi="宋体" w:cs="宋体"/>
          <w:sz w:val="24"/>
          <w:lang w:eastAsia="zh-CN"/>
        </w:rPr>
        <w:t>采购人</w:t>
      </w:r>
      <w:r>
        <w:rPr>
          <w:rFonts w:hint="eastAsia" w:ascii="宋体" w:hAnsi="宋体" w:cs="宋体"/>
          <w:sz w:val="24"/>
        </w:rPr>
        <w:t>保留对中标供应商的某一线路指定其他方案的权利，组团时间按</w:t>
      </w:r>
      <w:r>
        <w:rPr>
          <w:rFonts w:hint="eastAsia" w:ascii="宋体" w:hAnsi="宋体" w:cs="宋体"/>
          <w:sz w:val="24"/>
          <w:lang w:eastAsia="zh-CN"/>
        </w:rPr>
        <w:t>采购人</w:t>
      </w:r>
      <w:r>
        <w:rPr>
          <w:rFonts w:hint="eastAsia" w:ascii="宋体" w:hAnsi="宋体" w:cs="宋体"/>
          <w:sz w:val="24"/>
        </w:rPr>
        <w:t>计划实施，具体出团及返回时间根据供应商编制并获得</w:t>
      </w:r>
      <w:r>
        <w:rPr>
          <w:rFonts w:hint="eastAsia" w:ascii="宋体" w:hAnsi="宋体" w:cs="宋体"/>
          <w:sz w:val="24"/>
          <w:lang w:eastAsia="zh-CN"/>
        </w:rPr>
        <w:t>采购人</w:t>
      </w:r>
      <w:r>
        <w:rPr>
          <w:rFonts w:hint="eastAsia" w:ascii="宋体" w:hAnsi="宋体" w:cs="宋体"/>
          <w:sz w:val="24"/>
        </w:rPr>
        <w:t>认可的方案为准。</w:t>
      </w:r>
    </w:p>
    <w:p w14:paraId="1521F8B3">
      <w:pPr>
        <w:tabs>
          <w:tab w:val="left" w:pos="284"/>
          <w:tab w:val="left" w:pos="425"/>
        </w:tabs>
        <w:spacing w:line="360" w:lineRule="auto"/>
        <w:ind w:firstLine="480" w:firstLineChars="200"/>
        <w:rPr>
          <w:rFonts w:ascii="宋体" w:hAnsi="宋体" w:cs="宋体"/>
          <w:sz w:val="24"/>
        </w:rPr>
      </w:pPr>
      <w:r>
        <w:rPr>
          <w:rFonts w:hint="eastAsia" w:ascii="宋体" w:hAnsi="宋体" w:cs="宋体"/>
          <w:sz w:val="24"/>
        </w:rPr>
        <w:t>16.本项目不得以任何理由、任何形式进行转、分包，一经发现</w:t>
      </w:r>
      <w:r>
        <w:rPr>
          <w:rFonts w:hint="eastAsia" w:ascii="宋体" w:hAnsi="宋体" w:cs="宋体"/>
          <w:sz w:val="24"/>
          <w:lang w:eastAsia="zh-CN"/>
        </w:rPr>
        <w:t>采购人</w:t>
      </w:r>
      <w:r>
        <w:rPr>
          <w:rFonts w:hint="eastAsia" w:ascii="宋体" w:hAnsi="宋体" w:cs="宋体"/>
          <w:sz w:val="24"/>
        </w:rPr>
        <w:t>可单方面解除合同，所造成的任何损失由投标供应商自行负责。</w:t>
      </w:r>
    </w:p>
    <w:p w14:paraId="520A7828">
      <w:pPr>
        <w:pStyle w:val="2"/>
        <w:spacing w:line="360" w:lineRule="auto"/>
        <w:rPr>
          <w:rFonts w:cs="宋体"/>
          <w:b/>
          <w:bCs/>
        </w:rPr>
      </w:pPr>
      <w:r>
        <w:rPr>
          <w:rFonts w:hint="eastAsia" w:cs="宋体"/>
          <w:b/>
          <w:bCs/>
        </w:rPr>
        <w:t>17.出行人数存在不确定性，最终费用按实际出发人数按实结算。</w:t>
      </w:r>
    </w:p>
    <w:p w14:paraId="548CC0C2">
      <w:pPr>
        <w:spacing w:line="360" w:lineRule="auto"/>
        <w:textAlignment w:val="baseline"/>
        <w:rPr>
          <w:rFonts w:ascii="宋体" w:hAnsi="宋体" w:cs="宋体"/>
          <w:b/>
          <w:bCs/>
          <w:color w:val="000000"/>
          <w:sz w:val="24"/>
        </w:rPr>
      </w:pPr>
      <w:r>
        <w:rPr>
          <w:rFonts w:hint="eastAsia" w:ascii="宋体" w:hAnsi="宋体" w:cs="宋体"/>
          <w:b/>
          <w:bCs/>
          <w:color w:val="000000"/>
          <w:sz w:val="24"/>
        </w:rPr>
        <w:t>三、其他需求</w:t>
      </w:r>
    </w:p>
    <w:p w14:paraId="1972D09D">
      <w:pPr>
        <w:snapToGrid w:val="0"/>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1.本项目采用固定价格</w:t>
      </w:r>
      <w:r>
        <w:rPr>
          <w:rFonts w:hint="eastAsia" w:ascii="宋体" w:hAnsi="宋体" w:cs="宋体"/>
          <w:b/>
          <w:bCs/>
          <w:color w:val="000000"/>
          <w:kern w:val="0"/>
          <w:sz w:val="24"/>
          <w:lang w:val="en-US" w:eastAsia="zh-CN"/>
        </w:rPr>
        <w:t>报价</w:t>
      </w:r>
      <w:r>
        <w:rPr>
          <w:rFonts w:hint="eastAsia" w:ascii="宋体" w:hAnsi="宋体" w:cs="宋体"/>
          <w:b/>
          <w:bCs/>
          <w:color w:val="000000"/>
          <w:kern w:val="0"/>
          <w:sz w:val="24"/>
        </w:rPr>
        <w:t>，其价格不列为评审因素</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疗休养费用3000元/人</w:t>
      </w:r>
      <w:r>
        <w:rPr>
          <w:rFonts w:hint="eastAsia" w:ascii="宋体" w:hAnsi="宋体" w:cs="宋体"/>
          <w:b/>
          <w:bCs/>
          <w:color w:val="000000"/>
          <w:kern w:val="0"/>
          <w:sz w:val="24"/>
        </w:rPr>
        <w:t>不作竞争，各</w:t>
      </w:r>
      <w:r>
        <w:rPr>
          <w:rFonts w:hint="eastAsia" w:ascii="宋体" w:hAnsi="宋体" w:cs="宋体"/>
          <w:b/>
          <w:bCs/>
          <w:color w:val="000000"/>
          <w:kern w:val="0"/>
          <w:sz w:val="24"/>
          <w:lang w:val="en-US" w:eastAsia="zh-CN"/>
        </w:rPr>
        <w:t>投标</w:t>
      </w:r>
      <w:r>
        <w:rPr>
          <w:rFonts w:hint="eastAsia" w:ascii="宋体" w:hAnsi="宋体" w:cs="宋体"/>
          <w:b/>
          <w:bCs/>
          <w:color w:val="000000"/>
          <w:kern w:val="0"/>
          <w:sz w:val="24"/>
        </w:rPr>
        <w:t>供应商按此</w:t>
      </w:r>
      <w:r>
        <w:rPr>
          <w:rFonts w:hint="eastAsia" w:ascii="宋体" w:hAnsi="宋体" w:cs="宋体"/>
          <w:b/>
          <w:bCs/>
          <w:color w:val="000000"/>
          <w:kern w:val="0"/>
          <w:sz w:val="24"/>
          <w:lang w:val="en-US" w:eastAsia="zh-CN"/>
        </w:rPr>
        <w:t>价格</w:t>
      </w:r>
      <w:r>
        <w:rPr>
          <w:rFonts w:hint="eastAsia" w:ascii="宋体" w:hAnsi="宋体" w:cs="宋体"/>
          <w:b/>
          <w:bCs/>
          <w:color w:val="000000"/>
          <w:kern w:val="0"/>
          <w:sz w:val="24"/>
        </w:rPr>
        <w:t>进行报价。</w:t>
      </w:r>
    </w:p>
    <w:p w14:paraId="146BAA08">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不得以人数不足、行业要求及其他相关的不成团要求而不发团，中标后各标项中标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及时与采购</w:t>
      </w:r>
      <w:r>
        <w:rPr>
          <w:rFonts w:hint="eastAsia" w:ascii="宋体" w:hAnsi="宋体" w:cs="宋体"/>
          <w:color w:val="000000"/>
          <w:kern w:val="0"/>
          <w:sz w:val="24"/>
          <w:lang w:val="en-US" w:eastAsia="zh-CN"/>
        </w:rPr>
        <w:t>人</w:t>
      </w:r>
      <w:r>
        <w:rPr>
          <w:rFonts w:hint="eastAsia" w:ascii="宋体" w:hAnsi="宋体" w:cs="宋体"/>
          <w:color w:val="000000"/>
          <w:kern w:val="0"/>
          <w:sz w:val="24"/>
        </w:rPr>
        <w:t>沟通相关细节及线路的优化事项。</w:t>
      </w:r>
    </w:p>
    <w:p w14:paraId="727E4442">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.服务质量承诺：</w:t>
      </w:r>
    </w:p>
    <w:p w14:paraId="505C9D55">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（1）为确保服务质量及与采购人沟通联络，中标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须设置</w:t>
      </w:r>
      <w:r>
        <w:rPr>
          <w:rFonts w:hint="eastAsia" w:ascii="宋体" w:hAnsi="宋体" w:cs="宋体"/>
          <w:color w:val="000000"/>
          <w:kern w:val="0"/>
          <w:sz w:val="24"/>
          <w:lang w:val="en-US" w:eastAsia="zh-CN"/>
        </w:rPr>
        <w:t>项目负责人</w:t>
      </w:r>
      <w:r>
        <w:rPr>
          <w:rFonts w:hint="eastAsia" w:ascii="宋体" w:hAnsi="宋体" w:cs="宋体"/>
          <w:color w:val="000000"/>
          <w:kern w:val="0"/>
          <w:sz w:val="24"/>
        </w:rPr>
        <w:t>，负责对承包项目、范围、服务质量的检查监督及与采购人日常业务联系；</w:t>
      </w:r>
    </w:p>
    <w:p w14:paraId="7EAD30C1">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需提供员工管理服务规范要求及确保服务质量达标的具体措施；</w:t>
      </w:r>
    </w:p>
    <w:p w14:paraId="09D12085">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须主动接受采购人的指导、检查、监督及协调；</w:t>
      </w:r>
    </w:p>
    <w:p w14:paraId="506C1F33">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（4）现有服务范围内，由于调整而增加的工作量，不再增加费用；</w:t>
      </w:r>
    </w:p>
    <w:p w14:paraId="5C487071">
      <w:pPr>
        <w:snapToGrid w:val="0"/>
        <w:spacing w:line="360" w:lineRule="auto"/>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（5）因中标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工作人员的失误造成的损失由中标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负责</w:t>
      </w:r>
      <w:r>
        <w:rPr>
          <w:rFonts w:hint="eastAsia" w:ascii="宋体" w:hAnsi="宋体" w:cs="宋体"/>
          <w:color w:val="000000"/>
          <w:kern w:val="0"/>
          <w:sz w:val="24"/>
          <w:lang w:eastAsia="zh-CN"/>
        </w:rPr>
        <w:t>；</w:t>
      </w:r>
    </w:p>
    <w:p w14:paraId="4349D85C">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员工在工作及服务期间发生的一切安全事故由中标</w:t>
      </w:r>
      <w:r>
        <w:rPr>
          <w:rFonts w:hint="eastAsia" w:ascii="宋体" w:hAnsi="宋体" w:cs="宋体"/>
          <w:color w:val="000000"/>
          <w:kern w:val="0"/>
          <w:sz w:val="24"/>
          <w:lang w:val="en-US" w:eastAsia="zh-CN"/>
        </w:rPr>
        <w:t>供应商</w:t>
      </w:r>
      <w:r>
        <w:rPr>
          <w:rFonts w:hint="eastAsia" w:ascii="宋体" w:hAnsi="宋体" w:cs="宋体"/>
          <w:color w:val="000000"/>
          <w:kern w:val="0"/>
          <w:sz w:val="24"/>
        </w:rPr>
        <w:t>负责， 与采购人无关。</w:t>
      </w:r>
    </w:p>
    <w:p w14:paraId="6911DFEE">
      <w:pPr>
        <w:pStyle w:val="33"/>
        <w:spacing w:line="450" w:lineRule="exact"/>
        <w:ind w:firstLine="470" w:firstLineChars="196"/>
        <w:rPr>
          <w:rFonts w:cs="宋体"/>
          <w:b/>
          <w:bCs/>
          <w:color w:val="000000"/>
        </w:rPr>
      </w:pPr>
      <w:r>
        <w:rPr>
          <w:rFonts w:hint="eastAsia" w:hAnsi="宋体" w:cs="宋体"/>
          <w:color w:val="000000"/>
          <w:kern w:val="0"/>
          <w:sz w:val="24"/>
          <w:szCs w:val="24"/>
          <w:lang w:val="en-US" w:eastAsia="zh-CN"/>
        </w:rPr>
        <w:t>4</w:t>
      </w:r>
      <w:r>
        <w:rPr>
          <w:rFonts w:hint="eastAsia" w:hAnsi="宋体" w:cs="宋体"/>
          <w:color w:val="000000"/>
          <w:kern w:val="0"/>
          <w:sz w:val="24"/>
          <w:szCs w:val="24"/>
        </w:rPr>
        <w:t>.投标报价包括投标人完成本项目所需的一切费用，包括但不限于：交通费（含燃油费、过路费、景点交通费等）、购买交通车票服务费、住宿费、伙食费、景点门票、导游费、保险费及涉及的其他所有费用、税金。要求不进任何购物店,不组织任何自费项目。</w:t>
      </w:r>
    </w:p>
    <w:p w14:paraId="48423746">
      <w:pPr>
        <w:pStyle w:val="2"/>
        <w:snapToGrid w:val="0"/>
        <w:spacing w:line="360" w:lineRule="auto"/>
        <w:ind w:firstLine="0" w:firstLineChars="0"/>
        <w:rPr>
          <w:rFonts w:cs="宋体"/>
          <w:b/>
          <w:bCs/>
          <w:color w:val="000000"/>
        </w:rPr>
      </w:pPr>
      <w:r>
        <w:rPr>
          <w:rFonts w:hint="eastAsia" w:cs="宋体"/>
          <w:b/>
          <w:bCs/>
          <w:color w:val="000000"/>
        </w:rPr>
        <w:t>四、服务期要求</w:t>
      </w:r>
    </w:p>
    <w:p w14:paraId="49591E4A">
      <w:pPr>
        <w:pStyle w:val="295"/>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自合同签订生效之日起至202</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年1</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月31日止或（分批）完成约定疗休养人数。如采购人有所需要，中标单位应根据采购人的要求延续提供服务，费用标准按原合同规定执行。</w:t>
      </w:r>
    </w:p>
    <w:p w14:paraId="33A8BF53">
      <w:pPr>
        <w:snapToGrid w:val="0"/>
        <w:spacing w:line="360" w:lineRule="auto"/>
        <w:rPr>
          <w:rFonts w:ascii="宋体" w:hAnsi="宋体" w:cs="宋体"/>
          <w:color w:val="000000"/>
          <w:sz w:val="24"/>
          <w:lang w:bidi="zh-CN"/>
        </w:rPr>
      </w:pPr>
      <w:r>
        <w:rPr>
          <w:rFonts w:hint="eastAsia" w:ascii="宋体" w:hAnsi="宋体" w:cs="宋体"/>
          <w:b/>
          <w:bCs/>
          <w:color w:val="000000"/>
          <w:sz w:val="24"/>
        </w:rPr>
        <w:t>五、付款方式</w:t>
      </w:r>
    </w:p>
    <w:p w14:paraId="51D993A2">
      <w:pPr>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合同生效后，采购人按批次支付，各批次疗休养行程结束后，中标人按实际产生费用提供结算函（附本结算批次的线路、人数、总价等统计情况），经采购人确认并在中标</w:t>
      </w:r>
      <w:r>
        <w:rPr>
          <w:rFonts w:hint="eastAsia" w:ascii="宋体" w:hAnsi="宋体" w:cs="宋体"/>
          <w:bCs/>
          <w:color w:val="000000"/>
          <w:sz w:val="24"/>
          <w:lang w:val="en-US" w:eastAsia="zh-CN"/>
        </w:rPr>
        <w:t>供应商</w:t>
      </w:r>
      <w:r>
        <w:rPr>
          <w:rFonts w:hint="eastAsia" w:ascii="宋体" w:hAnsi="宋体" w:cs="宋体"/>
          <w:bCs/>
          <w:color w:val="000000"/>
          <w:sz w:val="24"/>
        </w:rPr>
        <w:t>开具增值税普通发票</w:t>
      </w:r>
      <w:r>
        <w:rPr>
          <w:rFonts w:hint="eastAsia" w:ascii="宋体" w:hAnsi="宋体" w:cs="宋体"/>
          <w:bCs/>
          <w:color w:val="000000"/>
          <w:sz w:val="24"/>
          <w:lang w:val="en-US" w:eastAsia="zh-CN"/>
        </w:rPr>
        <w:t>后</w:t>
      </w:r>
      <w:r>
        <w:rPr>
          <w:rFonts w:hint="eastAsia" w:ascii="宋体" w:hAnsi="宋体" w:cs="宋体"/>
          <w:bCs/>
          <w:color w:val="000000"/>
          <w:sz w:val="24"/>
        </w:rPr>
        <w:t xml:space="preserve">一次性支付该批次合同价款。   </w:t>
      </w:r>
    </w:p>
    <w:p w14:paraId="1A5757E7">
      <w:pPr>
        <w:snapToGrid w:val="0"/>
        <w:spacing w:line="360" w:lineRule="auto"/>
        <w:rPr>
          <w:rFonts w:ascii="宋体" w:hAnsi="宋体" w:cs="宋体"/>
          <w:b/>
          <w:bCs/>
          <w:color w:val="000000"/>
          <w:sz w:val="24"/>
        </w:rPr>
      </w:pPr>
      <w:r>
        <w:rPr>
          <w:rFonts w:hint="eastAsia" w:ascii="宋体" w:hAnsi="宋体" w:cs="宋体"/>
          <w:b/>
          <w:bCs/>
          <w:color w:val="000000"/>
          <w:sz w:val="24"/>
        </w:rPr>
        <w:t>六、采购人认为必须说明的其他内容</w:t>
      </w:r>
    </w:p>
    <w:p w14:paraId="174C946E">
      <w:pPr>
        <w:pStyle w:val="5"/>
        <w:ind w:firstLine="480"/>
        <w:rPr>
          <w:rFonts w:hAnsi="宋体" w:cs="宋体"/>
          <w:color w:val="000000"/>
          <w:szCs w:val="24"/>
        </w:rPr>
      </w:pPr>
      <w:r>
        <w:rPr>
          <w:rFonts w:hint="eastAsia" w:hAnsi="宋体" w:cs="宋体"/>
          <w:color w:val="000000"/>
          <w:szCs w:val="24"/>
        </w:rPr>
        <w:t>1、其他按采购人相关要求及政策规范执行。</w:t>
      </w:r>
    </w:p>
    <w:p w14:paraId="272BBFC4">
      <w:pPr>
        <w:spacing w:line="360" w:lineRule="auto"/>
        <w:ind w:firstLine="480" w:firstLineChars="200"/>
        <w:rPr>
          <w:rFonts w:ascii="宋体" w:hAnsi="宋体" w:cs="宋体"/>
          <w:color w:val="000000"/>
          <w:sz w:val="24"/>
        </w:rPr>
      </w:pPr>
      <w:r>
        <w:rPr>
          <w:rFonts w:hint="eastAsia" w:hAnsi="宋体" w:cs="宋体"/>
          <w:color w:val="000000"/>
          <w:sz w:val="24"/>
        </w:rPr>
        <w:t>2</w:t>
      </w:r>
      <w:r>
        <w:rPr>
          <w:rFonts w:hint="eastAsia" w:ascii="宋体" w:hAnsi="宋体" w:cs="宋体"/>
          <w:color w:val="000000"/>
          <w:sz w:val="24"/>
        </w:rPr>
        <w:t>、本项目服务期间如遇新政策调整</w:t>
      </w:r>
      <w:r>
        <w:rPr>
          <w:rFonts w:hint="eastAsia" w:ascii="宋体" w:hAnsi="宋体" w:cs="宋体"/>
          <w:color w:val="000000"/>
          <w:sz w:val="24"/>
          <w:lang w:val="en-US" w:eastAsia="zh-CN"/>
        </w:rPr>
        <w:t>采购人（</w:t>
      </w:r>
      <w:r>
        <w:rPr>
          <w:rFonts w:hint="eastAsia" w:ascii="宋体" w:hAnsi="宋体" w:cs="宋体"/>
          <w:color w:val="000000"/>
          <w:sz w:val="24"/>
        </w:rPr>
        <w:t>工会</w:t>
      </w:r>
      <w:r>
        <w:rPr>
          <w:rFonts w:hint="eastAsia" w:ascii="宋体" w:hAnsi="宋体" w:cs="宋体"/>
          <w:color w:val="000000"/>
          <w:sz w:val="24"/>
          <w:lang w:val="en-US" w:eastAsia="zh-CN"/>
        </w:rPr>
        <w:t>）</w:t>
      </w:r>
      <w:r>
        <w:rPr>
          <w:rFonts w:hint="eastAsia" w:ascii="宋体" w:hAnsi="宋体" w:cs="宋体"/>
          <w:color w:val="000000"/>
          <w:sz w:val="24"/>
        </w:rPr>
        <w:t>疗休养标准的，双方协商按新政策执行。</w:t>
      </w:r>
    </w:p>
    <w:p w14:paraId="23810DB4">
      <w:pPr>
        <w:widowControl/>
        <w:overflowPunct w:val="0"/>
        <w:autoSpaceDE w:val="0"/>
        <w:autoSpaceDN w:val="0"/>
        <w:snapToGrid w:val="0"/>
        <w:spacing w:line="360" w:lineRule="auto"/>
        <w:textAlignment w:val="baseline"/>
        <w:rPr>
          <w:rFonts w:ascii="宋体" w:hAnsi="宋体" w:cs="宋体"/>
          <w:b/>
          <w:color w:val="000000"/>
          <w:kern w:val="0"/>
          <w:sz w:val="24"/>
        </w:rPr>
      </w:pPr>
      <w:r>
        <w:rPr>
          <w:rFonts w:hint="eastAsia" w:ascii="宋体" w:hAnsi="宋体" w:cs="宋体"/>
          <w:b/>
          <w:color w:val="000000"/>
          <w:kern w:val="0"/>
          <w:sz w:val="24"/>
          <w:lang w:val="en-US" w:eastAsia="zh-CN"/>
        </w:rPr>
        <w:t>七、</w:t>
      </w:r>
      <w:r>
        <w:rPr>
          <w:rFonts w:hint="eastAsia" w:ascii="宋体" w:hAnsi="宋体" w:cs="宋体"/>
          <w:b/>
          <w:color w:val="000000"/>
          <w:kern w:val="0"/>
          <w:sz w:val="24"/>
        </w:rPr>
        <w:t>补充事项说明</w:t>
      </w:r>
    </w:p>
    <w:p w14:paraId="5FC62192">
      <w:pPr>
        <w:widowControl/>
        <w:overflowPunct w:val="0"/>
        <w:autoSpaceDE w:val="0"/>
        <w:autoSpaceDN w:val="0"/>
        <w:snapToGrid w:val="0"/>
        <w:spacing w:line="360" w:lineRule="auto"/>
        <w:ind w:left="-170" w:leftChars="-81" w:firstLine="482" w:firstLineChars="200"/>
        <w:textAlignment w:val="baseline"/>
        <w:rPr>
          <w:rFonts w:hint="eastAsia" w:ascii="宋体" w:hAnsi="宋体" w:eastAsia="宋体" w:cs="宋体"/>
          <w:b/>
          <w:color w:val="000000"/>
          <w:kern w:val="0"/>
          <w:sz w:val="24"/>
          <w:lang w:val="en-US" w:eastAsia="zh-CN"/>
        </w:rPr>
      </w:pPr>
      <w:r>
        <w:rPr>
          <w:rFonts w:hint="eastAsia" w:ascii="宋体" w:hAnsi="宋体" w:cs="宋体"/>
          <w:b/>
          <w:color w:val="000000"/>
          <w:kern w:val="0"/>
          <w:sz w:val="24"/>
        </w:rPr>
        <w:t>本项目分</w:t>
      </w:r>
      <w:r>
        <w:rPr>
          <w:rFonts w:hint="eastAsia" w:ascii="宋体" w:hAnsi="宋体" w:cs="宋体"/>
          <w:b/>
          <w:color w:val="000000"/>
          <w:kern w:val="0"/>
          <w:sz w:val="24"/>
          <w:lang w:val="en-US" w:eastAsia="zh-CN"/>
        </w:rPr>
        <w:t>四</w:t>
      </w:r>
      <w:r>
        <w:rPr>
          <w:rFonts w:hint="eastAsia" w:ascii="宋体" w:hAnsi="宋体" w:cs="宋体"/>
          <w:b/>
          <w:color w:val="000000"/>
          <w:kern w:val="0"/>
          <w:sz w:val="24"/>
        </w:rPr>
        <w:t>个标项，开标顺序依次为项一、标项二</w:t>
      </w: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标项三、标项四</w:t>
      </w:r>
      <w:r>
        <w:rPr>
          <w:rFonts w:hint="eastAsia" w:ascii="宋体" w:hAnsi="宋体" w:cs="宋体"/>
          <w:b/>
          <w:color w:val="000000"/>
          <w:kern w:val="0"/>
          <w:sz w:val="24"/>
        </w:rPr>
        <w:t>。供应商可自行选择其中一个或者多个标项响应投标</w:t>
      </w: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但只能中一个标项</w:t>
      </w:r>
      <w:r>
        <w:rPr>
          <w:rFonts w:hint="eastAsia" w:ascii="宋体" w:hAnsi="宋体" w:cs="宋体"/>
          <w:b/>
          <w:color w:val="000000"/>
          <w:kern w:val="0"/>
          <w:sz w:val="24"/>
          <w:lang w:eastAsia="zh-CN"/>
        </w:rPr>
        <w:t>。</w:t>
      </w:r>
    </w:p>
    <w:p w14:paraId="7CEA9F1A">
      <w:pPr>
        <w:widowControl/>
        <w:overflowPunct w:val="0"/>
        <w:autoSpaceDE w:val="0"/>
        <w:autoSpaceDN w:val="0"/>
        <w:snapToGrid w:val="0"/>
        <w:spacing w:line="360" w:lineRule="auto"/>
        <w:textAlignment w:val="baseline"/>
        <w:rPr>
          <w:rFonts w:hint="eastAsia" w:ascii="宋体" w:hAnsi="宋体" w:cs="宋体"/>
          <w:sz w:val="24"/>
        </w:rPr>
      </w:pPr>
      <w:r>
        <w:rPr>
          <w:rFonts w:hint="eastAsia" w:ascii="宋体" w:hAnsi="宋体" w:cs="宋体"/>
          <w:b/>
          <w:kern w:val="0"/>
          <w:sz w:val="24"/>
          <w:lang w:val="en-US" w:eastAsia="zh-CN"/>
        </w:rPr>
        <w:t>八</w:t>
      </w:r>
      <w:r>
        <w:rPr>
          <w:rFonts w:hint="eastAsia" w:ascii="宋体" w:hAnsi="宋体" w:eastAsia="宋体" w:cs="宋体"/>
          <w:b/>
          <w:kern w:val="0"/>
          <w:sz w:val="24"/>
          <w:lang w:val="en-US" w:eastAsia="zh-CN"/>
        </w:rPr>
        <w:t>、附件</w:t>
      </w:r>
    </w:p>
    <w:p w14:paraId="630D5B4A">
      <w:pPr>
        <w:pStyle w:val="19"/>
        <w:widowControl/>
        <w:wordWrap/>
        <w:adjustRightInd/>
        <w:snapToGrid/>
        <w:spacing w:line="240" w:lineRule="auto"/>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napToGrid/>
          <w:color w:val="auto"/>
          <w:kern w:val="0"/>
          <w:sz w:val="24"/>
          <w:szCs w:val="24"/>
          <w:lang w:val="en-US" w:eastAsia="zh-CN" w:bidi="ar-SA"/>
        </w:rPr>
        <w:t>《满意度调查表》</w:t>
      </w:r>
    </w:p>
    <w:p w14:paraId="67D7955A">
      <w:pPr>
        <w:pStyle w:val="19"/>
        <w:widowControl/>
        <w:wordWrap/>
        <w:adjustRightInd/>
        <w:snapToGrid/>
        <w:spacing w:line="240" w:lineRule="auto"/>
        <w:ind w:left="0" w:leftChars="0" w:firstLine="0" w:firstLineChars="0"/>
        <w:jc w:val="center"/>
        <w:textAlignment w:val="auto"/>
        <w:rPr>
          <w:rFonts w:hint="eastAsia" w:ascii="宋体" w:hAnsi="宋体" w:eastAsia="宋体" w:cs="宋体"/>
          <w:b/>
          <w:bCs/>
          <w:sz w:val="24"/>
          <w:szCs w:val="24"/>
        </w:rPr>
      </w:pPr>
    </w:p>
    <w:p w14:paraId="30822F6D">
      <w:pPr>
        <w:widowControl w:val="0"/>
        <w:wordWrap/>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感谢您对旅行社的服务情况进行评分反馈。希望您能认真、详实地填写。同时为耽误您的宝贵时间表示歉意。</w:t>
      </w:r>
    </w:p>
    <w:p w14:paraId="0372D6E4">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为您服务的旅行社名称：                         疗休养线路：</w:t>
      </w:r>
    </w:p>
    <w:p w14:paraId="7265D5E7">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请根据您的实际感受对以下各项进行评分：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484"/>
        <w:gridCol w:w="1285"/>
        <w:gridCol w:w="811"/>
        <w:gridCol w:w="812"/>
        <w:gridCol w:w="938"/>
      </w:tblGrid>
      <w:tr w14:paraId="4071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vMerge w:val="restart"/>
            <w:tcBorders>
              <w:tl2br w:val="nil"/>
              <w:tr2bl w:val="nil"/>
            </w:tcBorders>
            <w:noWrap w:val="0"/>
            <w:vAlign w:val="center"/>
          </w:tcPr>
          <w:p w14:paraId="75BCA63E">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评价内容</w:t>
            </w:r>
          </w:p>
        </w:tc>
        <w:tc>
          <w:tcPr>
            <w:tcW w:w="3846" w:type="dxa"/>
            <w:gridSpan w:val="4"/>
            <w:tcBorders>
              <w:tl2br w:val="nil"/>
              <w:tr2bl w:val="nil"/>
            </w:tcBorders>
            <w:noWrap w:val="0"/>
            <w:vAlign w:val="center"/>
          </w:tcPr>
          <w:p w14:paraId="0F386B31">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满意度评分（0-100分）</w:t>
            </w:r>
          </w:p>
        </w:tc>
      </w:tr>
      <w:tr w14:paraId="5E2A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vMerge w:val="continue"/>
            <w:tcBorders>
              <w:tl2br w:val="nil"/>
              <w:tr2bl w:val="nil"/>
            </w:tcBorders>
            <w:noWrap w:val="0"/>
            <w:vAlign w:val="center"/>
          </w:tcPr>
          <w:p w14:paraId="47AD5A3C">
            <w:pPr>
              <w:widowControl/>
              <w:spacing w:before="156"/>
              <w:jc w:val="left"/>
              <w:rPr>
                <w:rFonts w:hint="eastAsia" w:ascii="宋体" w:hAnsi="宋体" w:eastAsia="宋体" w:cs="宋体"/>
                <w:color w:val="auto"/>
                <w:kern w:val="0"/>
                <w:sz w:val="24"/>
                <w:szCs w:val="24"/>
                <w:highlight w:val="none"/>
              </w:rPr>
            </w:pPr>
          </w:p>
        </w:tc>
        <w:tc>
          <w:tcPr>
            <w:tcW w:w="1285" w:type="dxa"/>
            <w:tcBorders>
              <w:tl2br w:val="nil"/>
              <w:tr2bl w:val="nil"/>
            </w:tcBorders>
            <w:noWrap w:val="0"/>
            <w:vAlign w:val="center"/>
          </w:tcPr>
          <w:p w14:paraId="2A74E890">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非常满意</w:t>
            </w:r>
          </w:p>
        </w:tc>
        <w:tc>
          <w:tcPr>
            <w:tcW w:w="811" w:type="dxa"/>
            <w:tcBorders>
              <w:tl2br w:val="nil"/>
              <w:tr2bl w:val="nil"/>
            </w:tcBorders>
            <w:noWrap w:val="0"/>
            <w:vAlign w:val="center"/>
          </w:tcPr>
          <w:p w14:paraId="5B430EC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w:t>
            </w:r>
          </w:p>
        </w:tc>
        <w:tc>
          <w:tcPr>
            <w:tcW w:w="812" w:type="dxa"/>
            <w:tcBorders>
              <w:tl2br w:val="nil"/>
              <w:tr2bl w:val="nil"/>
            </w:tcBorders>
            <w:noWrap w:val="0"/>
            <w:vAlign w:val="center"/>
          </w:tcPr>
          <w:p w14:paraId="495F9E69">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p>
        </w:tc>
        <w:tc>
          <w:tcPr>
            <w:tcW w:w="938" w:type="dxa"/>
            <w:tcBorders>
              <w:tl2br w:val="nil"/>
              <w:tr2bl w:val="nil"/>
            </w:tcBorders>
            <w:noWrap w:val="0"/>
            <w:vAlign w:val="center"/>
          </w:tcPr>
          <w:p w14:paraId="4F1E3F1B">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不满意</w:t>
            </w:r>
          </w:p>
        </w:tc>
      </w:tr>
      <w:tr w14:paraId="5C7F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tcBorders>
              <w:tl2br w:val="nil"/>
              <w:tr2bl w:val="nil"/>
            </w:tcBorders>
            <w:noWrap w:val="0"/>
            <w:vAlign w:val="center"/>
          </w:tcPr>
          <w:p w14:paraId="3745E97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85" w:type="dxa"/>
            <w:tcBorders>
              <w:tl2br w:val="nil"/>
              <w:tr2bl w:val="nil"/>
            </w:tcBorders>
            <w:noWrap w:val="0"/>
            <w:vAlign w:val="center"/>
          </w:tcPr>
          <w:p w14:paraId="63C8EA3A">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11" w:type="dxa"/>
            <w:tcBorders>
              <w:tl2br w:val="nil"/>
              <w:tr2bl w:val="nil"/>
            </w:tcBorders>
            <w:noWrap w:val="0"/>
            <w:vAlign w:val="center"/>
          </w:tcPr>
          <w:p w14:paraId="6F47ED23">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2" w:type="dxa"/>
            <w:tcBorders>
              <w:tl2br w:val="nil"/>
              <w:tr2bl w:val="nil"/>
            </w:tcBorders>
            <w:noWrap w:val="0"/>
            <w:vAlign w:val="center"/>
          </w:tcPr>
          <w:p w14:paraId="06D18C0E">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38" w:type="dxa"/>
            <w:tcBorders>
              <w:tl2br w:val="nil"/>
              <w:tr2bl w:val="nil"/>
            </w:tcBorders>
            <w:noWrap w:val="0"/>
            <w:vAlign w:val="center"/>
          </w:tcPr>
          <w:p w14:paraId="796948ED">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14:paraId="389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4A4C7FC7">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交</w:t>
            </w:r>
          </w:p>
          <w:p w14:paraId="30D0D37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w:t>
            </w:r>
          </w:p>
          <w:p w14:paraId="22454F40">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4D48670E">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166BE7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车况及性能</w:t>
            </w:r>
          </w:p>
        </w:tc>
        <w:tc>
          <w:tcPr>
            <w:tcW w:w="1285" w:type="dxa"/>
            <w:tcBorders>
              <w:tl2br w:val="nil"/>
              <w:tr2bl w:val="nil"/>
            </w:tcBorders>
            <w:noWrap w:val="0"/>
            <w:vAlign w:val="center"/>
          </w:tcPr>
          <w:p w14:paraId="7C92AF5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25D085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1A39C12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79CEC0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56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0558B3D3">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8570D0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到点准时</w:t>
            </w:r>
          </w:p>
        </w:tc>
        <w:tc>
          <w:tcPr>
            <w:tcW w:w="1285" w:type="dxa"/>
            <w:tcBorders>
              <w:tl2br w:val="nil"/>
              <w:tr2bl w:val="nil"/>
            </w:tcBorders>
            <w:noWrap w:val="0"/>
            <w:vAlign w:val="center"/>
          </w:tcPr>
          <w:p w14:paraId="0ABFA15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16FC2F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9D7D67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EAF791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FA1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5ED3E49A">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2089851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司机态度及技术</w:t>
            </w:r>
          </w:p>
        </w:tc>
        <w:tc>
          <w:tcPr>
            <w:tcW w:w="1285" w:type="dxa"/>
            <w:tcBorders>
              <w:tl2br w:val="nil"/>
              <w:tr2bl w:val="nil"/>
            </w:tcBorders>
            <w:noWrap w:val="0"/>
            <w:vAlign w:val="center"/>
          </w:tcPr>
          <w:p w14:paraId="3F459B3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19E1EBF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896C50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CCD3AA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B6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3A39515F">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84B60C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全程交通衔接及总体满意程度</w:t>
            </w:r>
          </w:p>
        </w:tc>
        <w:tc>
          <w:tcPr>
            <w:tcW w:w="1285" w:type="dxa"/>
            <w:tcBorders>
              <w:tl2br w:val="nil"/>
              <w:tr2bl w:val="nil"/>
            </w:tcBorders>
            <w:noWrap w:val="0"/>
            <w:vAlign w:val="center"/>
          </w:tcPr>
          <w:p w14:paraId="34F0191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374E2A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4401FF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82AAEF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36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03FC6717">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住</w:t>
            </w:r>
          </w:p>
          <w:p w14:paraId="1104101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宿</w:t>
            </w:r>
          </w:p>
          <w:p w14:paraId="6E0AE38A">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497CC594">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71B61C5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周边环境安全，客房卫生整洁</w:t>
            </w:r>
          </w:p>
        </w:tc>
        <w:tc>
          <w:tcPr>
            <w:tcW w:w="1285" w:type="dxa"/>
            <w:tcBorders>
              <w:tl2br w:val="nil"/>
              <w:tr2bl w:val="nil"/>
            </w:tcBorders>
            <w:noWrap w:val="0"/>
            <w:vAlign w:val="center"/>
          </w:tcPr>
          <w:p w14:paraId="7435BF2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8466E0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E05F4F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62A5D4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E72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E0BA220">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6D2FC3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住宿地点交通便捷</w:t>
            </w:r>
          </w:p>
        </w:tc>
        <w:tc>
          <w:tcPr>
            <w:tcW w:w="1285" w:type="dxa"/>
            <w:tcBorders>
              <w:tl2br w:val="nil"/>
              <w:tr2bl w:val="nil"/>
            </w:tcBorders>
            <w:noWrap w:val="0"/>
            <w:vAlign w:val="center"/>
          </w:tcPr>
          <w:p w14:paraId="5F6649D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05EF1C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572912D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0E44CD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7A1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3666875">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723F88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宾馆设施及使用性能</w:t>
            </w:r>
          </w:p>
        </w:tc>
        <w:tc>
          <w:tcPr>
            <w:tcW w:w="1285" w:type="dxa"/>
            <w:tcBorders>
              <w:tl2br w:val="nil"/>
              <w:tr2bl w:val="nil"/>
            </w:tcBorders>
            <w:noWrap w:val="0"/>
            <w:vAlign w:val="center"/>
          </w:tcPr>
          <w:p w14:paraId="179FE6E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D7D76B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A31793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151EAF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5F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0CD6B8AF">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0B3790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服务水平及态度</w:t>
            </w:r>
          </w:p>
        </w:tc>
        <w:tc>
          <w:tcPr>
            <w:tcW w:w="1285" w:type="dxa"/>
            <w:tcBorders>
              <w:tl2br w:val="nil"/>
              <w:tr2bl w:val="nil"/>
            </w:tcBorders>
            <w:noWrap w:val="0"/>
            <w:vAlign w:val="center"/>
          </w:tcPr>
          <w:p w14:paraId="5492AD5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2296318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941C0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1114A4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2D7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00631260">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44BADB1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住宿安排总体满意程度</w:t>
            </w:r>
          </w:p>
        </w:tc>
        <w:tc>
          <w:tcPr>
            <w:tcW w:w="1285" w:type="dxa"/>
            <w:tcBorders>
              <w:tl2br w:val="nil"/>
              <w:tr2bl w:val="nil"/>
            </w:tcBorders>
            <w:noWrap w:val="0"/>
            <w:vAlign w:val="center"/>
          </w:tcPr>
          <w:p w14:paraId="70209D5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481B7EB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633220D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42362FD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18E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467DCFAE">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餐</w:t>
            </w:r>
          </w:p>
          <w:p w14:paraId="7B2C32A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饮</w:t>
            </w:r>
          </w:p>
          <w:p w14:paraId="109B518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2D697AE9">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3251B2E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就餐环境</w:t>
            </w:r>
          </w:p>
        </w:tc>
        <w:tc>
          <w:tcPr>
            <w:tcW w:w="1285" w:type="dxa"/>
            <w:tcBorders>
              <w:tl2br w:val="nil"/>
              <w:tr2bl w:val="nil"/>
            </w:tcBorders>
            <w:noWrap w:val="0"/>
            <w:vAlign w:val="center"/>
          </w:tcPr>
          <w:p w14:paraId="5FF1A8E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7F1C12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A3CB23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7E33A47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648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79F93014">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7BD2530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菜肴卫生</w:t>
            </w:r>
          </w:p>
        </w:tc>
        <w:tc>
          <w:tcPr>
            <w:tcW w:w="1285" w:type="dxa"/>
            <w:tcBorders>
              <w:tl2br w:val="nil"/>
              <w:tr2bl w:val="nil"/>
            </w:tcBorders>
            <w:noWrap w:val="0"/>
            <w:vAlign w:val="center"/>
          </w:tcPr>
          <w:p w14:paraId="0A52204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56EAD6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286589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0A8E4C2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632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3AB2A175">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C0D740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餐饮安排总体满意程度</w:t>
            </w:r>
          </w:p>
        </w:tc>
        <w:tc>
          <w:tcPr>
            <w:tcW w:w="1285" w:type="dxa"/>
            <w:tcBorders>
              <w:tl2br w:val="nil"/>
              <w:tr2bl w:val="nil"/>
            </w:tcBorders>
            <w:noWrap w:val="0"/>
            <w:vAlign w:val="center"/>
          </w:tcPr>
          <w:p w14:paraId="0252C85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031391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5B17D9D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513FB6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02F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49750E96">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景</w:t>
            </w:r>
          </w:p>
          <w:p w14:paraId="78B2A84F">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点</w:t>
            </w:r>
          </w:p>
          <w:p w14:paraId="6AD6880D">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336B4207">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41F16E3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景点地方特色</w:t>
            </w:r>
          </w:p>
        </w:tc>
        <w:tc>
          <w:tcPr>
            <w:tcW w:w="1285" w:type="dxa"/>
            <w:tcBorders>
              <w:tl2br w:val="nil"/>
              <w:tr2bl w:val="nil"/>
            </w:tcBorders>
            <w:noWrap w:val="0"/>
            <w:vAlign w:val="center"/>
          </w:tcPr>
          <w:p w14:paraId="403E375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F74FD5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78214D3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33B3C6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E77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D0D858A">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2225F7E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讲解内容完整</w:t>
            </w:r>
          </w:p>
        </w:tc>
        <w:tc>
          <w:tcPr>
            <w:tcW w:w="1285" w:type="dxa"/>
            <w:tcBorders>
              <w:tl2br w:val="nil"/>
              <w:tr2bl w:val="nil"/>
            </w:tcBorders>
            <w:noWrap w:val="0"/>
            <w:vAlign w:val="center"/>
          </w:tcPr>
          <w:p w14:paraId="22FEBAC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1E2367E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8C751D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45003B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863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1059841">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B12884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讲解语言美感</w:t>
            </w:r>
          </w:p>
        </w:tc>
        <w:tc>
          <w:tcPr>
            <w:tcW w:w="1285" w:type="dxa"/>
            <w:tcBorders>
              <w:tl2br w:val="nil"/>
              <w:tr2bl w:val="nil"/>
            </w:tcBorders>
            <w:noWrap w:val="0"/>
            <w:vAlign w:val="center"/>
          </w:tcPr>
          <w:p w14:paraId="4BAD12F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C7432F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7FE46D8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DBC5B8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F17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36542D66">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082813F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景点内时间安排合理</w:t>
            </w:r>
          </w:p>
        </w:tc>
        <w:tc>
          <w:tcPr>
            <w:tcW w:w="1285" w:type="dxa"/>
            <w:tcBorders>
              <w:tl2br w:val="nil"/>
              <w:tr2bl w:val="nil"/>
            </w:tcBorders>
            <w:noWrap w:val="0"/>
            <w:vAlign w:val="center"/>
          </w:tcPr>
          <w:p w14:paraId="0795080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B168EC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687DB43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44EB5F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7C6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11BC9D42">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导</w:t>
            </w:r>
          </w:p>
          <w:p w14:paraId="167DB94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游</w:t>
            </w:r>
          </w:p>
          <w:p w14:paraId="25EE0852">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服</w:t>
            </w:r>
          </w:p>
          <w:p w14:paraId="3FD87126">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务</w:t>
            </w:r>
          </w:p>
        </w:tc>
        <w:tc>
          <w:tcPr>
            <w:tcW w:w="4484" w:type="dxa"/>
            <w:tcBorders>
              <w:tl2br w:val="nil"/>
              <w:tr2bl w:val="nil"/>
            </w:tcBorders>
            <w:noWrap w:val="0"/>
            <w:vAlign w:val="center"/>
          </w:tcPr>
          <w:p w14:paraId="26822FD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佩带有效证件上岗，全程服务不迟到早退</w:t>
            </w:r>
          </w:p>
        </w:tc>
        <w:tc>
          <w:tcPr>
            <w:tcW w:w="1285" w:type="dxa"/>
            <w:tcBorders>
              <w:tl2br w:val="nil"/>
              <w:tr2bl w:val="nil"/>
            </w:tcBorders>
            <w:noWrap w:val="0"/>
            <w:vAlign w:val="center"/>
          </w:tcPr>
          <w:p w14:paraId="3B07D43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B7EB2A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99D2F4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D28C11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25A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74776765">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25020E9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无擅自增减旅游项目或擅自终止导游活动</w:t>
            </w:r>
          </w:p>
        </w:tc>
        <w:tc>
          <w:tcPr>
            <w:tcW w:w="1285" w:type="dxa"/>
            <w:tcBorders>
              <w:tl2br w:val="nil"/>
              <w:tr2bl w:val="nil"/>
            </w:tcBorders>
            <w:noWrap w:val="0"/>
            <w:vAlign w:val="center"/>
          </w:tcPr>
          <w:p w14:paraId="4AC36DB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E6FBE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BFA94C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78A5081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C17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AB61021">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2B66D9B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对可预见的情况有警示说明及防范措施</w:t>
            </w:r>
          </w:p>
        </w:tc>
        <w:tc>
          <w:tcPr>
            <w:tcW w:w="1285" w:type="dxa"/>
            <w:tcBorders>
              <w:tl2br w:val="nil"/>
              <w:tr2bl w:val="nil"/>
            </w:tcBorders>
            <w:noWrap w:val="0"/>
            <w:vAlign w:val="center"/>
          </w:tcPr>
          <w:p w14:paraId="66F4F04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55BF11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64018B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6CD5942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164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BE7926E">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FE6A21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语言表达能力、沟通能力及专业知识掌握</w:t>
            </w:r>
          </w:p>
        </w:tc>
        <w:tc>
          <w:tcPr>
            <w:tcW w:w="1285" w:type="dxa"/>
            <w:tcBorders>
              <w:tl2br w:val="nil"/>
              <w:tr2bl w:val="nil"/>
            </w:tcBorders>
            <w:noWrap w:val="0"/>
            <w:vAlign w:val="center"/>
          </w:tcPr>
          <w:p w14:paraId="12EA070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6CA783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30B589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4FE0C9A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10A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9" w:type="dxa"/>
            <w:gridSpan w:val="6"/>
            <w:tcBorders>
              <w:tl2br w:val="nil"/>
              <w:tr2bl w:val="nil"/>
            </w:tcBorders>
            <w:noWrap w:val="0"/>
            <w:vAlign w:val="top"/>
          </w:tcPr>
          <w:p w14:paraId="4DCBD5B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您需要补充的意见和建议：</w:t>
            </w:r>
          </w:p>
        </w:tc>
      </w:tr>
    </w:tbl>
    <w:p w14:paraId="6F7808E7">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hint="default" w:cs="仿宋_GB2312" w:asciiTheme="minorEastAsia" w:hAnsiTheme="minorEastAsia" w:eastAsiaTheme="minorEastAsia"/>
          <w:b/>
          <w:color w:val="auto"/>
          <w:sz w:val="32"/>
          <w:lang w:val="en-US" w:eastAsia="zh-CN"/>
        </w:rPr>
      </w:pPr>
      <w:r>
        <w:rPr>
          <w:rFonts w:hint="eastAsia" w:cs="仿宋_GB2312" w:asciiTheme="minorEastAsia" w:hAnsiTheme="minorEastAsia" w:eastAsiaTheme="minorEastAsia"/>
          <w:b/>
          <w:color w:val="auto"/>
          <w:sz w:val="32"/>
        </w:rPr>
        <w:t>评审方法前附表</w:t>
      </w:r>
      <w:r>
        <w:rPr>
          <w:rFonts w:hint="eastAsia" w:cs="仿宋_GB2312" w:asciiTheme="minorEastAsia" w:hAnsiTheme="minorEastAsia" w:eastAsiaTheme="minorEastAsia"/>
          <w:b/>
          <w:color w:val="auto"/>
          <w:sz w:val="32"/>
          <w:lang w:eastAsia="zh-CN"/>
        </w:rPr>
        <w:t>（</w:t>
      </w:r>
      <w:r>
        <w:rPr>
          <w:rFonts w:hint="eastAsia" w:cs="仿宋_GB2312" w:asciiTheme="minorEastAsia" w:hAnsiTheme="minorEastAsia" w:eastAsiaTheme="minorEastAsia"/>
          <w:b/>
          <w:color w:val="auto"/>
          <w:sz w:val="32"/>
          <w:lang w:val="en-US" w:eastAsia="zh-CN"/>
        </w:rPr>
        <w:t>标项一、二、三、四）</w:t>
      </w:r>
    </w:p>
    <w:tbl>
      <w:tblPr>
        <w:tblStyle w:val="6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265"/>
        <w:gridCol w:w="937"/>
        <w:gridCol w:w="1268"/>
        <w:gridCol w:w="1679"/>
      </w:tblGrid>
      <w:tr w14:paraId="6F1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A9B206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5265" w:type="dxa"/>
            <w:noWrap w:val="0"/>
            <w:vAlign w:val="center"/>
          </w:tcPr>
          <w:p w14:paraId="122A08F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评审标准</w:t>
            </w:r>
          </w:p>
        </w:tc>
        <w:tc>
          <w:tcPr>
            <w:tcW w:w="937" w:type="dxa"/>
            <w:noWrap w:val="0"/>
            <w:vAlign w:val="center"/>
          </w:tcPr>
          <w:p w14:paraId="6E65EA0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权重</w:t>
            </w:r>
          </w:p>
        </w:tc>
        <w:tc>
          <w:tcPr>
            <w:tcW w:w="1268" w:type="dxa"/>
            <w:noWrap w:val="0"/>
            <w:vAlign w:val="center"/>
          </w:tcPr>
          <w:p w14:paraId="7627E0A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679" w:type="dxa"/>
            <w:noWrap w:val="0"/>
            <w:vAlign w:val="center"/>
          </w:tcPr>
          <w:p w14:paraId="02E1589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磋商文件中评审标准相应的商务技术资料目录</w:t>
            </w:r>
            <w:r>
              <w:rPr>
                <w:rFonts w:hint="eastAsia" w:ascii="宋体" w:hAnsi="宋体" w:eastAsia="宋体" w:cs="宋体"/>
                <w:color w:val="auto"/>
                <w:kern w:val="2"/>
                <w:sz w:val="24"/>
                <w:szCs w:val="24"/>
                <w:highlight w:val="none"/>
                <w:shd w:val="clear" w:color="auto" w:fill="FFFFFF"/>
                <w:lang w:val="en-US" w:eastAsia="zh-CN" w:bidi="ar-SA"/>
              </w:rPr>
              <w:t> *</w:t>
            </w:r>
          </w:p>
        </w:tc>
      </w:tr>
      <w:tr w14:paraId="1028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4816E4D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5265" w:type="dxa"/>
            <w:noWrap w:val="0"/>
            <w:vAlign w:val="center"/>
          </w:tcPr>
          <w:p w14:paraId="7B1DCE2F">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体系</w:t>
            </w:r>
            <w:r>
              <w:rPr>
                <w:rFonts w:hint="eastAsia" w:ascii="宋体" w:hAnsi="宋体" w:eastAsia="宋体" w:cs="宋体"/>
                <w:color w:val="auto"/>
                <w:sz w:val="24"/>
                <w:szCs w:val="24"/>
                <w:highlight w:val="none"/>
              </w:rPr>
              <w:t>认证（0-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分）：投标人具有有效的质量管理体系认证、环境管理体系认证的每个得1分，最高得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EB933CB">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（须提供有效期内的证书</w:t>
            </w:r>
            <w:r>
              <w:rPr>
                <w:rFonts w:hint="eastAsia" w:ascii="宋体" w:hAnsi="宋体" w:eastAsia="宋体" w:cs="宋体"/>
                <w:b/>
                <w:bCs/>
                <w:color w:val="auto"/>
                <w:kern w:val="2"/>
                <w:sz w:val="24"/>
                <w:szCs w:val="24"/>
                <w:highlight w:val="none"/>
                <w:lang w:val="en-US" w:eastAsia="zh-CN" w:bidi="ar-SA"/>
              </w:rPr>
              <w:t>原件扫描</w:t>
            </w:r>
            <w:r>
              <w:rPr>
                <w:rFonts w:hint="eastAsia" w:ascii="宋体" w:hAnsi="宋体" w:eastAsia="宋体" w:cs="宋体"/>
                <w:b/>
                <w:bCs/>
                <w:color w:val="auto"/>
                <w:sz w:val="24"/>
                <w:szCs w:val="24"/>
                <w:highlight w:val="none"/>
              </w:rPr>
              <w:t>件，未提供不得分）</w:t>
            </w:r>
          </w:p>
        </w:tc>
        <w:tc>
          <w:tcPr>
            <w:tcW w:w="937" w:type="dxa"/>
            <w:noWrap w:val="0"/>
            <w:vAlign w:val="center"/>
          </w:tcPr>
          <w:p w14:paraId="1496391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c>
          <w:tcPr>
            <w:tcW w:w="1268" w:type="dxa"/>
            <w:noWrap w:val="0"/>
            <w:vAlign w:val="center"/>
          </w:tcPr>
          <w:p w14:paraId="0C439FED">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066F623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体系</w:t>
            </w:r>
            <w:r>
              <w:rPr>
                <w:rFonts w:hint="eastAsia" w:ascii="宋体" w:hAnsi="宋体" w:eastAsia="宋体" w:cs="宋体"/>
                <w:color w:val="auto"/>
                <w:sz w:val="24"/>
                <w:szCs w:val="24"/>
                <w:highlight w:val="none"/>
                <w:lang w:eastAsia="zh-CN"/>
              </w:rPr>
              <w:t>认证</w:t>
            </w:r>
          </w:p>
        </w:tc>
      </w:tr>
      <w:tr w14:paraId="6E10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9CF9EB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265" w:type="dxa"/>
            <w:noWrap w:val="0"/>
            <w:vAlign w:val="center"/>
          </w:tcPr>
          <w:p w14:paraId="0DF85A8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类似项目业绩（0-1分）：</w:t>
            </w:r>
            <w:r>
              <w:rPr>
                <w:rFonts w:hint="eastAsia" w:ascii="宋体" w:hAnsi="宋体" w:eastAsia="宋体" w:cs="宋体"/>
                <w:color w:val="auto"/>
                <w:sz w:val="24"/>
                <w:szCs w:val="24"/>
                <w:highlight w:val="none"/>
                <w:lang w:eastAsia="zh-CN"/>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年1月1日以来（以签订合同时间为准），完成过</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lang w:eastAsia="zh-CN"/>
              </w:rPr>
              <w:t>疗休养项目的每个得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14:paraId="19EA83C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（须提供合同</w:t>
            </w:r>
            <w:r>
              <w:rPr>
                <w:rFonts w:hint="eastAsia" w:ascii="宋体" w:hAnsi="宋体" w:eastAsia="宋体" w:cs="宋体"/>
                <w:b/>
                <w:bCs/>
                <w:color w:val="auto"/>
                <w:kern w:val="2"/>
                <w:sz w:val="24"/>
                <w:szCs w:val="24"/>
                <w:highlight w:val="none"/>
                <w:lang w:val="en-US" w:eastAsia="zh-CN" w:bidi="ar-SA"/>
              </w:rPr>
              <w:t>原件扫描</w:t>
            </w:r>
            <w:r>
              <w:rPr>
                <w:rFonts w:hint="eastAsia" w:ascii="宋体" w:hAnsi="宋体" w:eastAsia="宋体" w:cs="宋体"/>
                <w:b/>
                <w:bCs/>
                <w:color w:val="auto"/>
                <w:sz w:val="24"/>
                <w:szCs w:val="24"/>
                <w:highlight w:val="none"/>
                <w:lang w:eastAsia="zh-CN"/>
              </w:rPr>
              <w:t>件，至少包括首页、盖章页，并须能体现相关评审因素，未提供不得分）</w:t>
            </w:r>
          </w:p>
        </w:tc>
        <w:tc>
          <w:tcPr>
            <w:tcW w:w="937" w:type="dxa"/>
            <w:noWrap w:val="0"/>
            <w:vAlign w:val="center"/>
          </w:tcPr>
          <w:p w14:paraId="686DB9E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1分</w:t>
            </w:r>
          </w:p>
        </w:tc>
        <w:tc>
          <w:tcPr>
            <w:tcW w:w="1268" w:type="dxa"/>
            <w:noWrap w:val="0"/>
            <w:vAlign w:val="center"/>
          </w:tcPr>
          <w:p w14:paraId="2141260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43C54D6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二、类似项目业绩</w:t>
            </w:r>
          </w:p>
        </w:tc>
      </w:tr>
      <w:tr w14:paraId="596E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69CB72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5265" w:type="dxa"/>
            <w:noWrap w:val="0"/>
            <w:vAlign w:val="center"/>
          </w:tcPr>
          <w:p w14:paraId="7D35A08E">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管理制度（0-10分）：</w:t>
            </w:r>
          </w:p>
          <w:p w14:paraId="274B36F4">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1、企业管理制度（0-5分）：根据投标人提供的企业管理制度进行打分，包括经营管理制度、投诉管理制度、危机管理制度等。制度完善、可行，能够按照规章开展工作且符合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的视为符合。符合的得5分，基本符合的得3分，部分符合的得1分，不符合或未提供的不得分。</w:t>
            </w:r>
          </w:p>
          <w:p w14:paraId="208ED789">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内部管理制度（0-5分）：根据投标人提供的内部管理制度进行打分，包括财务管理制度、员工管理制度、合同管理制度等。制度完善、可行，能够按照规章开展工作且符合</w:t>
            </w:r>
            <w:r>
              <w:rPr>
                <w:rFonts w:hint="eastAsia" w:ascii="宋体" w:hAnsi="宋体" w:eastAsia="宋体" w:cs="宋体"/>
                <w:color w:val="auto"/>
                <w:kern w:val="2"/>
                <w:sz w:val="24"/>
                <w:szCs w:val="24"/>
                <w:highlight w:val="none"/>
                <w:lang w:val="en-US" w:eastAsia="zh-CN" w:bidi="ar-SA"/>
              </w:rPr>
              <w:t>章程规定的视为符合。符合的得5分，基本符合的得3分，部分符合的得1分，不符合或未提供的不得分。</w:t>
            </w:r>
          </w:p>
        </w:tc>
        <w:tc>
          <w:tcPr>
            <w:tcW w:w="937" w:type="dxa"/>
            <w:noWrap w:val="0"/>
            <w:vAlign w:val="center"/>
          </w:tcPr>
          <w:p w14:paraId="34879D6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10分</w:t>
            </w:r>
          </w:p>
        </w:tc>
        <w:tc>
          <w:tcPr>
            <w:tcW w:w="1268" w:type="dxa"/>
            <w:noWrap w:val="0"/>
            <w:vAlign w:val="center"/>
          </w:tcPr>
          <w:p w14:paraId="67D4985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4445FEA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三、管理制度</w:t>
            </w:r>
          </w:p>
        </w:tc>
      </w:tr>
      <w:tr w14:paraId="7E5A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5EDA21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265" w:type="dxa"/>
            <w:noWrap w:val="0"/>
            <w:vAlign w:val="center"/>
          </w:tcPr>
          <w:p w14:paraId="128B12B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质量保障方案</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针对本项目提出的质量保障方案进行打分，包括质量管理组织架构、质量监督体系和质量保证措施，确保服务期和服务质量的承诺、接待业务流程及服务操作规范等。方案全面、清晰、到位且符合采购人实际需求的视为符合。符合的得5分，基本符合的得3分，部分符合的得1分，不符合或未提供的不得分。</w:t>
            </w:r>
          </w:p>
        </w:tc>
        <w:tc>
          <w:tcPr>
            <w:tcW w:w="937" w:type="dxa"/>
            <w:noWrap w:val="0"/>
            <w:vAlign w:val="center"/>
          </w:tcPr>
          <w:p w14:paraId="28D6E34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1268" w:type="dxa"/>
            <w:noWrap w:val="0"/>
            <w:vAlign w:val="center"/>
          </w:tcPr>
          <w:p w14:paraId="18010C8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6DB1F7D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四、质量保障方案</w:t>
            </w:r>
          </w:p>
        </w:tc>
      </w:tr>
      <w:tr w14:paraId="09E6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E2006C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5265" w:type="dxa"/>
            <w:noWrap w:val="0"/>
            <w:vAlign w:val="center"/>
          </w:tcPr>
          <w:p w14:paraId="71DD8EA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疗休养线路策划方案（</w:t>
            </w:r>
            <w:r>
              <w:rPr>
                <w:rFonts w:hint="eastAsia" w:ascii="宋体" w:hAnsi="宋体" w:eastAsia="宋体" w:cs="宋体"/>
                <w:color w:val="auto"/>
                <w:sz w:val="24"/>
                <w:szCs w:val="24"/>
                <w:highlight w:val="none"/>
                <w:lang w:val="en-US" w:eastAsia="zh-CN"/>
              </w:rPr>
              <w:t>0-6分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w:t>
            </w:r>
            <w:r>
              <w:rPr>
                <w:rFonts w:hint="eastAsia" w:ascii="宋体" w:hAnsi="宋体" w:eastAsia="宋体" w:cs="宋体"/>
                <w:color w:val="auto"/>
                <w:sz w:val="24"/>
                <w:szCs w:val="24"/>
                <w:highlight w:val="none"/>
                <w:lang w:eastAsia="zh-CN"/>
              </w:rPr>
              <w:t>疗休养线路策划方案</w:t>
            </w:r>
            <w:r>
              <w:rPr>
                <w:rFonts w:hint="eastAsia" w:ascii="宋体" w:hAnsi="宋体" w:eastAsia="宋体" w:cs="宋体"/>
                <w:color w:val="auto"/>
                <w:kern w:val="2"/>
                <w:sz w:val="24"/>
                <w:szCs w:val="24"/>
                <w:highlight w:val="none"/>
                <w:lang w:val="en-US" w:eastAsia="zh-CN" w:bidi="ar-SA"/>
              </w:rPr>
              <w:t>进行打分，包括每条线路的景点介绍、景点特色、行程安排、游玩时间、景点与宾馆之间的车程时间、付费游玩项目等。</w:t>
            </w:r>
            <w:r>
              <w:rPr>
                <w:rFonts w:hint="eastAsia" w:ascii="宋体" w:hAnsi="宋体" w:eastAsia="宋体" w:cs="宋体"/>
                <w:color w:val="auto"/>
                <w:sz w:val="24"/>
                <w:szCs w:val="24"/>
                <w:highlight w:val="none"/>
                <w:lang w:eastAsia="zh-CN"/>
              </w:rPr>
              <w:t>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的视为符合。符合的得6分，基本符合的得4分，部分符合的得2分，不符合或未提供的不得分。</w:t>
            </w:r>
          </w:p>
        </w:tc>
        <w:tc>
          <w:tcPr>
            <w:tcW w:w="937" w:type="dxa"/>
            <w:noWrap w:val="0"/>
            <w:vAlign w:val="center"/>
          </w:tcPr>
          <w:p w14:paraId="4C04757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6分</w:t>
            </w:r>
          </w:p>
        </w:tc>
        <w:tc>
          <w:tcPr>
            <w:tcW w:w="1268" w:type="dxa"/>
            <w:noWrap w:val="0"/>
            <w:vAlign w:val="center"/>
          </w:tcPr>
          <w:p w14:paraId="6196053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EBE1C8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五、疗休养线路策划方案</w:t>
            </w:r>
          </w:p>
        </w:tc>
      </w:tr>
      <w:tr w14:paraId="669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03EC3C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5265" w:type="dxa"/>
            <w:noWrap w:val="0"/>
            <w:vAlign w:val="center"/>
          </w:tcPr>
          <w:p w14:paraId="117BE37D">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住宿</w:t>
            </w:r>
            <w:r>
              <w:rPr>
                <w:rFonts w:hint="eastAsia" w:ascii="宋体" w:hAnsi="宋体" w:eastAsia="宋体" w:cs="宋体"/>
                <w:color w:val="auto"/>
                <w:sz w:val="24"/>
                <w:szCs w:val="24"/>
                <w:highlight w:val="none"/>
                <w:lang w:eastAsia="zh-CN"/>
              </w:rPr>
              <w:t>策划方案（</w:t>
            </w:r>
            <w:r>
              <w:rPr>
                <w:rFonts w:hint="eastAsia" w:ascii="宋体" w:hAnsi="宋体" w:eastAsia="宋体" w:cs="宋体"/>
                <w:color w:val="auto"/>
                <w:sz w:val="24"/>
                <w:szCs w:val="24"/>
                <w:highlight w:val="none"/>
                <w:lang w:val="en-US" w:eastAsia="zh-CN"/>
              </w:rPr>
              <w:t>0-6分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提供的住宿</w:t>
            </w:r>
            <w:r>
              <w:rPr>
                <w:rFonts w:hint="eastAsia" w:ascii="宋体" w:hAnsi="宋体" w:eastAsia="宋体" w:cs="宋体"/>
                <w:color w:val="auto"/>
                <w:sz w:val="24"/>
                <w:szCs w:val="24"/>
                <w:highlight w:val="none"/>
                <w:lang w:eastAsia="zh-CN"/>
              </w:rPr>
              <w:t>策划方案</w:t>
            </w:r>
            <w:r>
              <w:rPr>
                <w:rFonts w:hint="eastAsia" w:ascii="宋体" w:hAnsi="宋体" w:eastAsia="宋体" w:cs="宋体"/>
                <w:color w:val="auto"/>
                <w:kern w:val="2"/>
                <w:sz w:val="24"/>
                <w:szCs w:val="24"/>
                <w:highlight w:val="none"/>
                <w:lang w:val="en-US" w:eastAsia="zh-CN" w:bidi="ar-SA"/>
              </w:rPr>
              <w:t>进行打分，包括住宿酒店星级标准、接待能力、房间（房型、朝向、服务、配套设施）、交通条件、周边环境等。</w:t>
            </w:r>
            <w:r>
              <w:rPr>
                <w:rFonts w:hint="eastAsia" w:ascii="宋体" w:hAnsi="宋体" w:eastAsia="宋体" w:cs="宋体"/>
                <w:color w:val="auto"/>
                <w:sz w:val="24"/>
                <w:szCs w:val="24"/>
                <w:highlight w:val="none"/>
                <w:lang w:eastAsia="zh-CN"/>
              </w:rPr>
              <w:t>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的视为符合。符合的得6分，基本符合的得4分，部分符合的得2分，不符合或未提供的不得分。</w:t>
            </w:r>
          </w:p>
        </w:tc>
        <w:tc>
          <w:tcPr>
            <w:tcW w:w="937" w:type="dxa"/>
            <w:noWrap w:val="0"/>
            <w:vAlign w:val="center"/>
          </w:tcPr>
          <w:p w14:paraId="1D6D5ED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6分</w:t>
            </w:r>
          </w:p>
        </w:tc>
        <w:tc>
          <w:tcPr>
            <w:tcW w:w="1268" w:type="dxa"/>
            <w:noWrap w:val="0"/>
            <w:vAlign w:val="center"/>
          </w:tcPr>
          <w:p w14:paraId="4EB0A4C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821A51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六、住宿策划方案</w:t>
            </w:r>
          </w:p>
        </w:tc>
      </w:tr>
      <w:tr w14:paraId="626A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0CD0F55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265" w:type="dxa"/>
            <w:noWrap w:val="0"/>
            <w:vAlign w:val="center"/>
          </w:tcPr>
          <w:p w14:paraId="633FA69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餐饮策划方案（0-6分）：根据投标人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提供的餐饮策划方案进行打分，包括用餐标准、用餐环境、菜肴搭配及当地特色等。</w:t>
            </w:r>
            <w:r>
              <w:rPr>
                <w:rFonts w:hint="eastAsia" w:ascii="宋体" w:hAnsi="宋体" w:eastAsia="宋体" w:cs="宋体"/>
                <w:color w:val="auto"/>
                <w:sz w:val="24"/>
                <w:szCs w:val="24"/>
                <w:highlight w:val="none"/>
                <w:lang w:eastAsia="zh-CN"/>
              </w:rPr>
              <w:t>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的视为符合。符合的得6分，基本符合的得4分，部分符合的得2分，不符合或未提供的不得分。</w:t>
            </w:r>
          </w:p>
        </w:tc>
        <w:tc>
          <w:tcPr>
            <w:tcW w:w="937" w:type="dxa"/>
            <w:noWrap w:val="0"/>
            <w:vAlign w:val="center"/>
          </w:tcPr>
          <w:p w14:paraId="58948E3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6分</w:t>
            </w:r>
          </w:p>
        </w:tc>
        <w:tc>
          <w:tcPr>
            <w:tcW w:w="1268" w:type="dxa"/>
            <w:noWrap w:val="0"/>
            <w:vAlign w:val="center"/>
          </w:tcPr>
          <w:p w14:paraId="41D91C92">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9721C2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七、餐饮策划方案</w:t>
            </w:r>
          </w:p>
        </w:tc>
      </w:tr>
      <w:tr w14:paraId="1FEF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C22F29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5265" w:type="dxa"/>
            <w:noWrap w:val="0"/>
            <w:vAlign w:val="center"/>
          </w:tcPr>
          <w:p w14:paraId="433BB27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交通策划方案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分）：根据投标人</w:t>
            </w:r>
            <w:r>
              <w:rPr>
                <w:rFonts w:hint="eastAsia" w:ascii="宋体" w:hAnsi="宋体" w:eastAsia="宋体" w:cs="宋体"/>
                <w:color w:val="auto"/>
                <w:sz w:val="24"/>
                <w:szCs w:val="24"/>
                <w:highlight w:val="none"/>
              </w:rPr>
              <w:t>针对本项目</w:t>
            </w:r>
            <w:r>
              <w:rPr>
                <w:rFonts w:hint="eastAsia" w:ascii="宋体" w:hAnsi="宋体" w:eastAsia="宋体" w:cs="宋体"/>
                <w:color w:val="auto"/>
                <w:kern w:val="2"/>
                <w:sz w:val="24"/>
                <w:szCs w:val="24"/>
                <w:highlight w:val="none"/>
                <w:lang w:val="en-US" w:eastAsia="zh-CN" w:bidi="ar-SA"/>
              </w:rPr>
              <w:t>提供的</w:t>
            </w:r>
            <w:r>
              <w:rPr>
                <w:rFonts w:hint="eastAsia" w:ascii="宋体" w:hAnsi="宋体" w:eastAsia="宋体" w:cs="宋体"/>
                <w:color w:val="auto"/>
                <w:sz w:val="24"/>
                <w:szCs w:val="24"/>
                <w:highlight w:val="none"/>
                <w:lang w:eastAsia="zh-CN"/>
              </w:rPr>
              <w:t>交通策划方案进行打分，包括交通工具配置（车型、座位比、使用年限、外观、内设等）、司机驾龄、车队服务能力、往返接送时间安排及目的地交通方案等。方案全面、清晰、到位且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的视为符合。符合的得6分，基本符合的得4分，部分符合的得2分，不符合或未提供的不得分。</w:t>
            </w:r>
          </w:p>
          <w:p w14:paraId="5A531EBA">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注：投标人可提供交通工具图片、行驶证、购置发票（租赁车辆提供租赁协议或合同）、司机驾驶证等辅助资料。</w:t>
            </w:r>
          </w:p>
        </w:tc>
        <w:tc>
          <w:tcPr>
            <w:tcW w:w="937" w:type="dxa"/>
            <w:noWrap w:val="0"/>
            <w:vAlign w:val="center"/>
          </w:tcPr>
          <w:p w14:paraId="2C56583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分</w:t>
            </w:r>
          </w:p>
        </w:tc>
        <w:tc>
          <w:tcPr>
            <w:tcW w:w="1268" w:type="dxa"/>
            <w:noWrap w:val="0"/>
            <w:vAlign w:val="center"/>
          </w:tcPr>
          <w:p w14:paraId="12379AF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77CA3F0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i w:val="0"/>
                <w:iCs w:val="0"/>
                <w:color w:val="auto"/>
                <w:sz w:val="24"/>
                <w:szCs w:val="24"/>
                <w:highlight w:val="none"/>
              </w:rPr>
              <w:t>交通策划方案</w:t>
            </w:r>
          </w:p>
        </w:tc>
      </w:tr>
      <w:tr w14:paraId="6789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E09833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265" w:type="dxa"/>
            <w:noWrap w:val="0"/>
            <w:vAlign w:val="center"/>
          </w:tcPr>
          <w:p w14:paraId="7E67BA39">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日常投诉纠纷处理（0-8分）：</w:t>
            </w:r>
          </w:p>
          <w:p w14:paraId="2CF11C4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1、日常投诉处理方案（0-4分）：</w:t>
            </w:r>
            <w:r>
              <w:rPr>
                <w:rFonts w:hint="eastAsia" w:ascii="宋体" w:hAnsi="宋体" w:eastAsia="宋体" w:cs="宋体"/>
                <w:color w:val="auto"/>
                <w:sz w:val="24"/>
                <w:szCs w:val="24"/>
                <w:highlight w:val="none"/>
                <w:lang w:eastAsia="zh-CN"/>
              </w:rPr>
              <w:t>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sz w:val="24"/>
                <w:szCs w:val="24"/>
                <w:highlight w:val="none"/>
                <w:lang w:eastAsia="zh-CN"/>
              </w:rPr>
              <w:t>提供的</w:t>
            </w:r>
            <w:r>
              <w:rPr>
                <w:rFonts w:hint="eastAsia" w:ascii="宋体" w:hAnsi="宋体" w:eastAsia="宋体" w:cs="宋体"/>
                <w:color w:val="auto"/>
                <w:sz w:val="24"/>
                <w:szCs w:val="24"/>
                <w:highlight w:val="none"/>
                <w:lang w:val="en-US" w:eastAsia="zh-CN"/>
              </w:rPr>
              <w:t>日常投诉处理方案进行打分</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eastAsia="zh-CN"/>
              </w:rPr>
              <w:t>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的视为符合。符合的得4分，基本符合的得2分，部分符合的得1分，不符合或未提供的不得分。</w:t>
            </w:r>
          </w:p>
          <w:p w14:paraId="42D5D44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2、日常纠纷处理方案</w:t>
            </w:r>
            <w:r>
              <w:rPr>
                <w:rFonts w:hint="eastAsia" w:ascii="宋体" w:hAnsi="宋体" w:eastAsia="宋体" w:cs="宋体"/>
                <w:color w:val="auto"/>
                <w:sz w:val="24"/>
                <w:szCs w:val="24"/>
                <w:highlight w:val="none"/>
                <w:lang w:val="en-US" w:eastAsia="zh-CN"/>
              </w:rPr>
              <w:t>（0-4分）：</w:t>
            </w:r>
            <w:r>
              <w:rPr>
                <w:rFonts w:hint="eastAsia" w:ascii="宋体" w:hAnsi="宋体" w:eastAsia="宋体" w:cs="宋体"/>
                <w:color w:val="auto"/>
                <w:kern w:val="2"/>
                <w:sz w:val="24"/>
                <w:szCs w:val="24"/>
                <w:highlight w:val="none"/>
                <w:lang w:val="en-US" w:eastAsia="zh-CN" w:bidi="ar-SA"/>
              </w:rPr>
              <w:t>根据投标人针对本项目提供的日常纠纷处理方案进行打分。方案全面、清晰、到位且符合采购人实际需求的视为符合。符合的得4分，基本符合的得2分，部分符合的得1分，不符合或未提供的不得分。</w:t>
            </w:r>
          </w:p>
        </w:tc>
        <w:tc>
          <w:tcPr>
            <w:tcW w:w="937" w:type="dxa"/>
            <w:noWrap w:val="0"/>
            <w:vAlign w:val="center"/>
          </w:tcPr>
          <w:p w14:paraId="7F6136D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分</w:t>
            </w:r>
          </w:p>
        </w:tc>
        <w:tc>
          <w:tcPr>
            <w:tcW w:w="1268" w:type="dxa"/>
            <w:noWrap w:val="0"/>
            <w:vAlign w:val="center"/>
          </w:tcPr>
          <w:p w14:paraId="4986020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44F1AA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九、日常投诉纠纷处理</w:t>
            </w:r>
          </w:p>
        </w:tc>
      </w:tr>
      <w:tr w14:paraId="2376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20145F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265" w:type="dxa"/>
            <w:noWrap w:val="0"/>
            <w:vAlign w:val="center"/>
          </w:tcPr>
          <w:p w14:paraId="55788F52">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人员配置情况</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078C95D">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根据投标人针对本项目</w:t>
            </w:r>
            <w:r>
              <w:rPr>
                <w:rFonts w:hint="eastAsia" w:ascii="宋体" w:hAnsi="宋体" w:eastAsia="宋体" w:cs="宋体"/>
                <w:color w:val="auto"/>
                <w:sz w:val="24"/>
                <w:szCs w:val="24"/>
                <w:highlight w:val="none"/>
                <w:lang w:eastAsia="zh-CN"/>
              </w:rPr>
              <w:t>提供的</w:t>
            </w:r>
            <w:r>
              <w:rPr>
                <w:rFonts w:hint="eastAsia" w:ascii="宋体" w:hAnsi="宋体" w:eastAsia="宋体" w:cs="宋体"/>
                <w:color w:val="auto"/>
                <w:sz w:val="24"/>
                <w:szCs w:val="24"/>
                <w:highlight w:val="none"/>
              </w:rPr>
              <w:t>人员配置</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进行打分，包括岗位职责、上岗标准、工作规范、人员素质等</w:t>
            </w:r>
            <w:r>
              <w:rPr>
                <w:rFonts w:hint="eastAsia" w:ascii="宋体" w:hAnsi="宋体" w:eastAsia="宋体" w:cs="宋体"/>
                <w:color w:val="auto"/>
                <w:sz w:val="24"/>
                <w:szCs w:val="24"/>
                <w:highlight w:val="none"/>
                <w:lang w:eastAsia="zh-CN"/>
              </w:rPr>
              <w:t>。方案全面、清晰、到位且符合采购人实际</w:t>
            </w:r>
            <w:r>
              <w:rPr>
                <w:rFonts w:hint="eastAsia" w:ascii="宋体" w:hAnsi="宋体" w:eastAsia="宋体" w:cs="宋体"/>
                <w:color w:val="auto"/>
                <w:sz w:val="24"/>
                <w:szCs w:val="24"/>
                <w:highlight w:val="none"/>
              </w:rPr>
              <w:t>需求的</w:t>
            </w:r>
            <w:r>
              <w:rPr>
                <w:rFonts w:hint="eastAsia" w:ascii="宋体" w:hAnsi="宋体" w:eastAsia="宋体" w:cs="宋体"/>
                <w:color w:val="auto"/>
                <w:kern w:val="2"/>
                <w:sz w:val="24"/>
                <w:szCs w:val="24"/>
                <w:highlight w:val="none"/>
                <w:lang w:val="en-US" w:eastAsia="zh-CN" w:bidi="ar-SA"/>
              </w:rPr>
              <w:t>视为符合。符合的得5分，基本符合的得3分，部分符合的得1分，不符合或未提供的不得分。</w:t>
            </w:r>
          </w:p>
        </w:tc>
        <w:tc>
          <w:tcPr>
            <w:tcW w:w="937" w:type="dxa"/>
            <w:noWrap w:val="0"/>
            <w:vAlign w:val="center"/>
          </w:tcPr>
          <w:p w14:paraId="4C5DA0A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分</w:t>
            </w:r>
          </w:p>
        </w:tc>
        <w:tc>
          <w:tcPr>
            <w:tcW w:w="1268" w:type="dxa"/>
            <w:noWrap w:val="0"/>
            <w:vAlign w:val="center"/>
          </w:tcPr>
          <w:p w14:paraId="495D735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FF7269E">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十、人员配置情况</w:t>
            </w:r>
          </w:p>
        </w:tc>
      </w:tr>
      <w:tr w14:paraId="74B4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8" w:type="dxa"/>
            <w:noWrap w:val="0"/>
            <w:vAlign w:val="center"/>
          </w:tcPr>
          <w:p w14:paraId="23EC71C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5265" w:type="dxa"/>
            <w:noWrap w:val="0"/>
            <w:vAlign w:val="center"/>
          </w:tcPr>
          <w:p w14:paraId="378C8BA0">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售后服务方案（0-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p>
          <w:p w14:paraId="278C7FBE">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1、售后服务方案（</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）：根据投标人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sz w:val="24"/>
                <w:szCs w:val="24"/>
                <w:highlight w:val="none"/>
                <w:lang w:eastAsia="zh-CN"/>
              </w:rPr>
              <w:t>提供的售后服务方案进行打分，包括服务能力、技术支持能力、售后服务承诺等。方案全面、清晰、到位且</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人实际需求</w:t>
            </w:r>
            <w:r>
              <w:rPr>
                <w:rFonts w:hint="eastAsia" w:ascii="宋体" w:hAnsi="宋体" w:eastAsia="宋体" w:cs="宋体"/>
                <w:color w:val="auto"/>
                <w:kern w:val="2"/>
                <w:sz w:val="24"/>
                <w:szCs w:val="24"/>
                <w:highlight w:val="none"/>
                <w:lang w:val="en-US" w:eastAsia="zh-CN" w:bidi="ar-SA"/>
              </w:rPr>
              <w:t>的视为符合。符合的得5分，基本符合的得3分，部分符合的得1分，不符合或未提供的不得分。</w:t>
            </w:r>
          </w:p>
          <w:p w14:paraId="2E4E566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2、服务响应方案（0-3分</w:t>
            </w:r>
            <w:r>
              <w:rPr>
                <w:rFonts w:hint="eastAsia" w:ascii="宋体" w:hAnsi="宋体" w:eastAsia="宋体" w:cs="宋体"/>
                <w:color w:val="auto"/>
                <w:sz w:val="24"/>
                <w:szCs w:val="24"/>
                <w:highlight w:val="none"/>
                <w:lang w:eastAsia="zh-CN"/>
              </w:rPr>
              <w:t>）：根据投标人是否能够提供完善、快速的服务，满足采购人相关要求，实现“全方位、高品质、快速度”的服务标准等情况进行打分。服务响应能力完备、周全且满足采购人实际需求的视为符合，符合的得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分，基本符合的得2分，部分符合的得1分，不符合或未提供的不得分。</w:t>
            </w:r>
          </w:p>
        </w:tc>
        <w:tc>
          <w:tcPr>
            <w:tcW w:w="937" w:type="dxa"/>
            <w:noWrap w:val="0"/>
            <w:vAlign w:val="center"/>
          </w:tcPr>
          <w:p w14:paraId="1DEFBC8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c>
          <w:tcPr>
            <w:tcW w:w="1268" w:type="dxa"/>
            <w:noWrap w:val="0"/>
            <w:vAlign w:val="center"/>
          </w:tcPr>
          <w:p w14:paraId="07F6645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79" w:type="dxa"/>
            <w:noWrap w:val="0"/>
            <w:vAlign w:val="center"/>
          </w:tcPr>
          <w:p w14:paraId="42D536E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十一、售后服务方案</w:t>
            </w:r>
          </w:p>
        </w:tc>
      </w:tr>
      <w:tr w14:paraId="0C0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8" w:type="dxa"/>
            <w:noWrap w:val="0"/>
            <w:vAlign w:val="center"/>
          </w:tcPr>
          <w:p w14:paraId="264C892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5265" w:type="dxa"/>
            <w:noWrap w:val="0"/>
            <w:vAlign w:val="center"/>
          </w:tcPr>
          <w:p w14:paraId="747824B4">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4F8F200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分）：根据投标人针对本项目</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服务承诺</w:t>
            </w:r>
            <w:r>
              <w:rPr>
                <w:rFonts w:hint="eastAsia" w:ascii="宋体" w:hAnsi="宋体" w:eastAsia="宋体" w:cs="宋体"/>
                <w:color w:val="auto"/>
                <w:sz w:val="24"/>
                <w:szCs w:val="24"/>
                <w:highlight w:val="none"/>
              </w:rPr>
              <w:t>进行打分,包括增值（特色）服务、优惠措施等。</w:t>
            </w:r>
            <w:r>
              <w:rPr>
                <w:rFonts w:hint="eastAsia" w:ascii="宋体" w:hAnsi="宋体" w:eastAsia="宋体" w:cs="宋体"/>
                <w:color w:val="auto"/>
                <w:sz w:val="24"/>
                <w:szCs w:val="24"/>
                <w:highlight w:val="none"/>
                <w:lang w:eastAsia="zh-CN"/>
              </w:rPr>
              <w:t>承诺详实、针对性强且符合采购人实际</w:t>
            </w:r>
            <w:r>
              <w:rPr>
                <w:rFonts w:hint="eastAsia" w:ascii="宋体" w:hAnsi="宋体" w:eastAsia="宋体" w:cs="宋体"/>
                <w:color w:val="auto"/>
                <w:sz w:val="24"/>
                <w:szCs w:val="24"/>
                <w:highlight w:val="none"/>
              </w:rPr>
              <w:t>需求的</w:t>
            </w:r>
            <w:r>
              <w:rPr>
                <w:rFonts w:hint="eastAsia" w:ascii="宋体" w:hAnsi="宋体" w:eastAsia="宋体" w:cs="宋体"/>
                <w:color w:val="auto"/>
                <w:kern w:val="2"/>
                <w:sz w:val="24"/>
                <w:szCs w:val="24"/>
                <w:highlight w:val="none"/>
                <w:lang w:val="en-US" w:eastAsia="zh-CN" w:bidi="ar-SA"/>
              </w:rPr>
              <w:t>视为符合。符合的得5分，基本符合的得3分，部分符合的得1分，不符合或未提供的不得分。</w:t>
            </w:r>
          </w:p>
          <w:p w14:paraId="3249FB5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2、承诺全程不进购物点（0-2分）：投标人针对各线路承诺全程不进购物点的，得2分。</w:t>
            </w:r>
            <w:r>
              <w:rPr>
                <w:rFonts w:hint="eastAsia" w:ascii="宋体" w:hAnsi="宋体" w:eastAsia="宋体" w:cs="宋体"/>
                <w:b/>
                <w:bCs/>
                <w:color w:val="auto"/>
                <w:sz w:val="24"/>
                <w:szCs w:val="24"/>
                <w:highlight w:val="none"/>
                <w:lang w:val="en-US" w:eastAsia="zh-CN"/>
              </w:rPr>
              <w:t>（须提供承诺函，格式自拟，未提供不得分）</w:t>
            </w:r>
          </w:p>
        </w:tc>
        <w:tc>
          <w:tcPr>
            <w:tcW w:w="937" w:type="dxa"/>
            <w:noWrap w:val="0"/>
            <w:vAlign w:val="center"/>
          </w:tcPr>
          <w:p w14:paraId="10C69D5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7分</w:t>
            </w:r>
          </w:p>
        </w:tc>
        <w:tc>
          <w:tcPr>
            <w:tcW w:w="1268" w:type="dxa"/>
            <w:noWrap w:val="0"/>
            <w:vAlign w:val="center"/>
          </w:tcPr>
          <w:p w14:paraId="4E78297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53E85E8E">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十二、服务承诺</w:t>
            </w:r>
          </w:p>
        </w:tc>
      </w:tr>
      <w:tr w14:paraId="4DAF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8" w:type="dxa"/>
            <w:noWrap w:val="0"/>
            <w:vAlign w:val="center"/>
          </w:tcPr>
          <w:p w14:paraId="644F187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5265" w:type="dxa"/>
            <w:noWrap w:val="0"/>
            <w:vAlign w:val="center"/>
          </w:tcPr>
          <w:p w14:paraId="59A349C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保险保障（0-5分）：</w:t>
            </w:r>
          </w:p>
          <w:p w14:paraId="26B85929">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1、小额赔款先行赔付承诺（0-1分）：</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承诺小额赔款先行赔付的（200元及以下）得1分。</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须提供承诺书，格式自拟，未提供不得分</w:t>
            </w:r>
            <w:r>
              <w:rPr>
                <w:rFonts w:hint="eastAsia" w:ascii="宋体" w:hAnsi="宋体" w:eastAsia="宋体" w:cs="宋体"/>
                <w:b/>
                <w:bCs/>
                <w:color w:val="auto"/>
                <w:sz w:val="24"/>
                <w:szCs w:val="24"/>
                <w:lang w:val="en-US" w:eastAsia="zh-CN"/>
              </w:rPr>
              <w:t>）</w:t>
            </w:r>
          </w:p>
          <w:p w14:paraId="6D869EA0">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2、人身意外伤害保险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投标人承诺为游客提供人身意外伤害保险高于等于100万</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得1分</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须提供承诺书，格式自拟，未提供不得分</w:t>
            </w:r>
            <w:r>
              <w:rPr>
                <w:rFonts w:hint="eastAsia" w:ascii="宋体" w:hAnsi="宋体" w:eastAsia="宋体" w:cs="宋体"/>
                <w:b/>
                <w:bCs/>
                <w:color w:val="auto"/>
                <w:sz w:val="24"/>
                <w:szCs w:val="24"/>
                <w:lang w:val="en-US" w:eastAsia="zh-CN"/>
              </w:rPr>
              <w:t>）</w:t>
            </w:r>
          </w:p>
          <w:p w14:paraId="65B951D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旅行社责任险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投标人的旅行社责任险保额每次事故责任限额2000万元（含）及以上</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得3分；每次事故责任限额2000万（不含）-1500万元（含）</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得2分；每次事故责任限额1500（不含）-1000万元（含）</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得1分。每次事故责任限额低于1000万元的不得分。</w:t>
            </w:r>
            <w:r>
              <w:rPr>
                <w:rFonts w:hint="eastAsia" w:ascii="宋体" w:hAnsi="宋体" w:eastAsia="宋体" w:cs="宋体"/>
                <w:b/>
                <w:bCs/>
                <w:color w:val="auto"/>
                <w:sz w:val="24"/>
                <w:szCs w:val="24"/>
                <w:lang w:eastAsia="zh-CN"/>
              </w:rPr>
              <w:t>（须提供有效的旅行社责任保险合同原件扫描件，未提供不得分）</w:t>
            </w:r>
          </w:p>
        </w:tc>
        <w:tc>
          <w:tcPr>
            <w:tcW w:w="937" w:type="dxa"/>
            <w:noWrap w:val="0"/>
            <w:vAlign w:val="center"/>
          </w:tcPr>
          <w:p w14:paraId="2D7B27E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5分</w:t>
            </w:r>
          </w:p>
        </w:tc>
        <w:tc>
          <w:tcPr>
            <w:tcW w:w="1268" w:type="dxa"/>
            <w:noWrap w:val="0"/>
            <w:vAlign w:val="center"/>
          </w:tcPr>
          <w:p w14:paraId="555EB46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7207D1EF">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十三、</w:t>
            </w:r>
            <w:r>
              <w:rPr>
                <w:rFonts w:hint="eastAsia" w:ascii="宋体" w:hAnsi="宋体" w:eastAsia="宋体" w:cs="宋体"/>
                <w:color w:val="auto"/>
                <w:sz w:val="24"/>
                <w:szCs w:val="24"/>
                <w:highlight w:val="none"/>
              </w:rPr>
              <w:t>保险保障</w:t>
            </w:r>
          </w:p>
        </w:tc>
      </w:tr>
      <w:tr w14:paraId="11D6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792F1B4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5265" w:type="dxa"/>
            <w:noWrap w:val="0"/>
            <w:vAlign w:val="center"/>
          </w:tcPr>
          <w:p w14:paraId="4AA18F7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应急处理方案（0-12分）：</w:t>
            </w:r>
          </w:p>
          <w:p w14:paraId="0168946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然灾害应急预案（0-4分）：根据投标人针对本项目提供的自然灾害应急预案进行打分，包括服务过程中临时性、突发性、特殊性、紧急性等应急事件的应急处理方案和措施等。方案全面、清晰、到位且符合采购人现场实际需要的视为符合。符合的得4分，基本符合的得2分，部分符合的得1分，不符合或未提供的不得分。</w:t>
            </w:r>
          </w:p>
          <w:p w14:paraId="103AE9EE">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疾病应急预案（0-4分）：根据投标人针对本项目提供的疾病应急预案进行打分，包括服务过程中临时性、突发性、特殊性、紧急性等应急事件的应急处理方案和措施等。方案全面、清晰、到位且符合采购人现场实际需要的视为符合。符合的得4分，基本符合的得2分，部分符合的得1分，不符合或未提供的不得分。</w:t>
            </w:r>
          </w:p>
          <w:p w14:paraId="5B4E248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3、交通突发状况应急预案（0-4分）：根据投标人针对本项目提供的交通突发状况应急预案进行打分，包括服务过程中临时性、突发性、特殊性、紧急性等应急事件的应急处理方案和措施等。方案全面、清晰、到位且符合采购人现场实际需要的视为符合。符合的得4分，基本符合的得2分，部分符合的得1分，不符合或未提供的不得分。</w:t>
            </w:r>
          </w:p>
        </w:tc>
        <w:tc>
          <w:tcPr>
            <w:tcW w:w="937" w:type="dxa"/>
            <w:noWrap w:val="0"/>
            <w:vAlign w:val="center"/>
          </w:tcPr>
          <w:p w14:paraId="1EE3F13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12分</w:t>
            </w:r>
          </w:p>
        </w:tc>
        <w:tc>
          <w:tcPr>
            <w:tcW w:w="1268" w:type="dxa"/>
            <w:noWrap w:val="0"/>
            <w:vAlign w:val="center"/>
          </w:tcPr>
          <w:p w14:paraId="07F85B2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0E2ECE9C">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十四、应急处理方案</w:t>
            </w:r>
          </w:p>
        </w:tc>
      </w:tr>
      <w:tr w14:paraId="5414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2E5939C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265" w:type="dxa"/>
            <w:noWrap w:val="0"/>
            <w:vAlign w:val="center"/>
          </w:tcPr>
          <w:p w14:paraId="193F6A09">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培训方案（0-4分）：根据投标人针对本项目提供的培训方案进行打分，包括完善的培训方案、培训计划、培训内容、培训计划落实的保障措施等。方案全面、清晰、到位且符合采购人实际需求的视为符合。符合的得4分，基本符合的得2分，部分符合的得1分，不符合或未提供的不得分。</w:t>
            </w:r>
          </w:p>
        </w:tc>
        <w:tc>
          <w:tcPr>
            <w:tcW w:w="937" w:type="dxa"/>
            <w:noWrap w:val="0"/>
            <w:vAlign w:val="center"/>
          </w:tcPr>
          <w:p w14:paraId="6607DB0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4分</w:t>
            </w:r>
          </w:p>
        </w:tc>
        <w:tc>
          <w:tcPr>
            <w:tcW w:w="1268" w:type="dxa"/>
            <w:noWrap w:val="0"/>
            <w:vAlign w:val="center"/>
          </w:tcPr>
          <w:p w14:paraId="0320071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E9152A2">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十五、人员培训方案</w:t>
            </w:r>
          </w:p>
        </w:tc>
      </w:tr>
      <w:tr w14:paraId="26FF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11BF5A4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5265" w:type="dxa"/>
            <w:noWrap w:val="0"/>
            <w:vAlign w:val="center"/>
          </w:tcPr>
          <w:p w14:paraId="3657695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重难点分析及解决措施（0-6分）：</w:t>
            </w:r>
          </w:p>
          <w:p w14:paraId="16F35944">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重点和难点分析（0-3分）：根据投标人针对本项目实施过程中可能遇到的重点和难点分析进行打分。分析全面、清晰、到位且符合采购人实际需求的视为符合。符合的得3分，基本符合的得2分，部分符合的得1分，不符合或未提供的不得分。</w:t>
            </w:r>
          </w:p>
          <w:p w14:paraId="3063492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2、解决措施（0-3分）：根据投标人针对重点和难点分析提供的解决措施进行打分。解决措施全面、清晰、到位且符合采购人实际需求的视为符合。符合的得3分，基本符合的得2分，部分符合的得1分，不符合或未提供的不得分。</w:t>
            </w:r>
          </w:p>
        </w:tc>
        <w:tc>
          <w:tcPr>
            <w:tcW w:w="937" w:type="dxa"/>
            <w:noWrap w:val="0"/>
            <w:vAlign w:val="center"/>
          </w:tcPr>
          <w:p w14:paraId="4764E04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6分</w:t>
            </w:r>
          </w:p>
        </w:tc>
        <w:tc>
          <w:tcPr>
            <w:tcW w:w="1268" w:type="dxa"/>
            <w:noWrap w:val="0"/>
            <w:vAlign w:val="center"/>
          </w:tcPr>
          <w:p w14:paraId="5E7BF53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7EFEFF42">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十六、重难点分析及解决措施</w:t>
            </w:r>
          </w:p>
        </w:tc>
      </w:tr>
      <w:tr w14:paraId="0929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1474B04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5265" w:type="dxa"/>
            <w:noWrap w:val="0"/>
            <w:vAlign w:val="center"/>
          </w:tcPr>
          <w:p w14:paraId="0C1E645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地接社的合作计划方案（0-3分）：</w:t>
            </w:r>
          </w:p>
          <w:p w14:paraId="7F489DAE">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根据投标人针对本项目提供的投标人与地接社的合作计划方案进行打分。方案全面、清晰、到位且符合采购人实际需求的视为符合。符合的得3分，基本符合的得2分，部分符合的得1分，不符合或未提供的不得分。</w:t>
            </w:r>
          </w:p>
        </w:tc>
        <w:tc>
          <w:tcPr>
            <w:tcW w:w="937" w:type="dxa"/>
            <w:noWrap w:val="0"/>
            <w:vAlign w:val="center"/>
          </w:tcPr>
          <w:p w14:paraId="5A0FECA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3分</w:t>
            </w:r>
          </w:p>
        </w:tc>
        <w:tc>
          <w:tcPr>
            <w:tcW w:w="1268" w:type="dxa"/>
            <w:noWrap w:val="0"/>
            <w:vAlign w:val="center"/>
          </w:tcPr>
          <w:p w14:paraId="0E44CE0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1E32E5F">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十七、地接社的合作计划方案</w:t>
            </w:r>
          </w:p>
        </w:tc>
      </w:tr>
      <w:tr w14:paraId="792F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0DBAE72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5265" w:type="dxa"/>
            <w:noWrap w:val="0"/>
            <w:vAlign w:val="center"/>
          </w:tcPr>
          <w:p w14:paraId="69B43BF3">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价格分0分；本项目执行国家统一定价标准和采用固定价格，其价格不列为评审因素。</w:t>
            </w:r>
          </w:p>
        </w:tc>
        <w:tc>
          <w:tcPr>
            <w:tcW w:w="937" w:type="dxa"/>
            <w:noWrap w:val="0"/>
            <w:vAlign w:val="center"/>
          </w:tcPr>
          <w:p w14:paraId="47A0DE9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0分</w:t>
            </w:r>
          </w:p>
        </w:tc>
        <w:tc>
          <w:tcPr>
            <w:tcW w:w="1268" w:type="dxa"/>
            <w:noWrap w:val="0"/>
            <w:vAlign w:val="center"/>
          </w:tcPr>
          <w:p w14:paraId="797FAF0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c>
          <w:tcPr>
            <w:tcW w:w="1679" w:type="dxa"/>
            <w:noWrap w:val="0"/>
            <w:vAlign w:val="center"/>
          </w:tcPr>
          <w:p w14:paraId="6D9F1B08">
            <w:pPr>
              <w:keepNext w:val="0"/>
              <w:keepLines w:val="0"/>
              <w:pageBreakBefore w:val="0"/>
              <w:numPr>
                <w:ilvl w:val="0"/>
                <w:numId w:val="0"/>
              </w:numPr>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bl>
    <w:p w14:paraId="35B8B9BC">
      <w:pPr>
        <w:adjustRightInd/>
        <w:spacing w:line="360" w:lineRule="auto"/>
        <w:rPr>
          <w:rFonts w:hint="eastAsia" w:cs="Arial" w:asciiTheme="minorEastAsia" w:hAnsiTheme="minorEastAsia" w:eastAsiaTheme="minorEastAsia"/>
          <w:b/>
          <w:color w:val="auto"/>
          <w:kern w:val="0"/>
          <w:sz w:val="24"/>
        </w:rPr>
      </w:pPr>
    </w:p>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2.1《最后报价一览表》内容与响应文件中响应内容不一致的，以《最后报价一览表》为准</w:t>
      </w:r>
      <w:r>
        <w:rPr>
          <w:rFonts w:hint="eastAsia" w:asciiTheme="minorEastAsia" w:hAnsiTheme="minorEastAsia" w:eastAsiaTheme="minorEastAsia"/>
          <w:color w:val="auto"/>
          <w:sz w:val="24"/>
          <w:lang w:eastAsia="zh-CN"/>
        </w:rPr>
        <w:t>；</w:t>
      </w:r>
    </w:p>
    <w:p w14:paraId="0D33C615">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2.2大写金额和小写金额不一致的，以大写金额为准</w:t>
      </w:r>
      <w:r>
        <w:rPr>
          <w:rFonts w:hint="eastAsia" w:asciiTheme="minorEastAsia" w:hAnsiTheme="minorEastAsia" w:eastAsiaTheme="minorEastAsia"/>
          <w:color w:val="auto"/>
          <w:sz w:val="24"/>
          <w:lang w:eastAsia="zh-CN"/>
        </w:rPr>
        <w:t>；</w:t>
      </w:r>
    </w:p>
    <w:p w14:paraId="170BDDD0">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2.3单价金额小数点或者百分比有明显错位的，以《最后报价一览表》的总价为准，并修改单价</w:t>
      </w:r>
      <w:r>
        <w:rPr>
          <w:rFonts w:hint="eastAsia" w:asciiTheme="minorEastAsia" w:hAnsiTheme="minorEastAsia" w:eastAsiaTheme="minorEastAsia"/>
          <w:color w:val="auto"/>
          <w:sz w:val="24"/>
          <w:lang w:eastAsia="zh-CN"/>
        </w:rPr>
        <w:t>；</w:t>
      </w:r>
    </w:p>
    <w:p w14:paraId="243A0D8D">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2.4总价金额与按单价汇总金额不一致的，以单价金额计算结果为准</w:t>
      </w:r>
      <w:r>
        <w:rPr>
          <w:rFonts w:hint="eastAsia" w:asciiTheme="minorEastAsia" w:hAnsiTheme="minorEastAsia" w:eastAsiaTheme="minorEastAsia"/>
          <w:color w:val="auto"/>
          <w:sz w:val="24"/>
          <w:lang w:eastAsia="zh-CN"/>
        </w:rPr>
        <w:t>；</w:t>
      </w:r>
    </w:p>
    <w:p w14:paraId="24D5EB0A">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2.5同时出现两种以上不一致的，按照前款规定的顺序修正</w:t>
      </w:r>
      <w:r>
        <w:rPr>
          <w:rFonts w:hint="eastAsia" w:asciiTheme="minorEastAsia" w:hAnsiTheme="minorEastAsia" w:eastAsiaTheme="minorEastAsia"/>
          <w:color w:val="auto"/>
          <w:sz w:val="24"/>
          <w:lang w:eastAsia="zh-CN"/>
        </w:rPr>
        <w:t>；</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3.20供应商仅提交备份响应文件，没有在电子交易平台传输提交响应文件的，响应无效；</w:t>
      </w:r>
    </w:p>
    <w:p w14:paraId="4A1FAC28">
      <w:pPr>
        <w:spacing w:line="360" w:lineRule="auto"/>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3.22法律、法规、规章（适用本市的）及省级以上规范性文件（适用本市的）规定的其他无效情形。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5"/>
      <w:r>
        <w:rPr>
          <w:rFonts w:hint="eastAsia" w:cs="仿宋_GB2312" w:asciiTheme="minorEastAsia" w:hAnsiTheme="minorEastAsia" w:eastAsiaTheme="minorEastAsia"/>
          <w:b/>
          <w:color w:val="auto"/>
          <w:sz w:val="36"/>
          <w:szCs w:val="36"/>
        </w:rPr>
        <w:t xml:space="preserve">  拟签订的合同文本</w:t>
      </w:r>
    </w:p>
    <w:p w14:paraId="01A7EF24">
      <w:pPr>
        <w:spacing w:line="360" w:lineRule="auto"/>
        <w:rPr>
          <w:rFonts w:asciiTheme="minorEastAsia" w:hAnsiTheme="minorEastAsia" w:eastAsiaTheme="minorEastAsia"/>
          <w:sz w:val="24"/>
          <w:u w:val="single"/>
        </w:rPr>
      </w:pPr>
      <w:bookmarkStart w:id="66" w:name="第五部分"/>
      <w:bookmarkStart w:id="67" w:name="_Toc86217003"/>
      <w:r>
        <w:rPr>
          <w:rFonts w:hint="eastAsia" w:asciiTheme="minorEastAsia" w:hAnsiTheme="minorEastAsia" w:eastAsiaTheme="minorEastAsia"/>
          <w:sz w:val="24"/>
        </w:rPr>
        <w:t>合同编号：</w:t>
      </w:r>
    </w:p>
    <w:p w14:paraId="047053A4">
      <w:pPr>
        <w:spacing w:line="360" w:lineRule="auto"/>
        <w:rPr>
          <w:rFonts w:asciiTheme="minorEastAsia" w:hAnsiTheme="minorEastAsia" w:eastAsiaTheme="minorEastAsia"/>
          <w:sz w:val="24"/>
          <w:u w:val="single"/>
        </w:rPr>
      </w:pPr>
    </w:p>
    <w:p w14:paraId="609F1884">
      <w:pPr>
        <w:pStyle w:val="282"/>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65B08C3A">
      <w:pPr>
        <w:pStyle w:val="282"/>
        <w:rPr>
          <w:rFonts w:asciiTheme="minorEastAsia" w:hAnsiTheme="minorEastAsia" w:eastAsiaTheme="minorEastAsia"/>
          <w:szCs w:val="24"/>
        </w:rPr>
      </w:pPr>
    </w:p>
    <w:p w14:paraId="4371541F">
      <w:pPr>
        <w:pStyle w:val="282"/>
        <w:rPr>
          <w:rFonts w:asciiTheme="minorEastAsia" w:hAnsiTheme="minorEastAsia" w:eastAsiaTheme="minorEastAsia"/>
          <w:szCs w:val="24"/>
        </w:rPr>
      </w:pPr>
    </w:p>
    <w:p w14:paraId="7DE9F7C5">
      <w:pPr>
        <w:spacing w:before="120" w:line="360" w:lineRule="auto"/>
        <w:rPr>
          <w:rFonts w:asciiTheme="minorEastAsia" w:hAnsiTheme="minorEastAsia" w:eastAsiaTheme="minorEastAsia"/>
          <w:sz w:val="24"/>
        </w:rPr>
      </w:pPr>
    </w:p>
    <w:p w14:paraId="3400E100">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1A9E463E">
      <w:pPr>
        <w:pStyle w:val="617"/>
        <w:spacing w:before="120"/>
        <w:rPr>
          <w:rFonts w:asciiTheme="minorEastAsia" w:hAnsiTheme="minorEastAsia" w:eastAsiaTheme="minorEastAsia"/>
          <w:szCs w:val="24"/>
        </w:rPr>
      </w:pPr>
    </w:p>
    <w:p w14:paraId="4EFD9959">
      <w:pPr>
        <w:spacing w:line="360" w:lineRule="auto"/>
        <w:rPr>
          <w:rFonts w:asciiTheme="minorEastAsia" w:hAnsiTheme="minorEastAsia" w:eastAsiaTheme="minorEastAsia"/>
          <w:sz w:val="24"/>
        </w:rPr>
      </w:pPr>
    </w:p>
    <w:p w14:paraId="6ACB647A">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14:paraId="74095E1E">
      <w:pPr>
        <w:spacing w:before="120" w:line="360" w:lineRule="auto"/>
        <w:rPr>
          <w:rFonts w:asciiTheme="minorEastAsia" w:hAnsiTheme="minorEastAsia" w:eastAsiaTheme="minorEastAsia"/>
          <w:sz w:val="24"/>
        </w:rPr>
      </w:pPr>
    </w:p>
    <w:p w14:paraId="377FEC32">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14:paraId="2BAC54AF">
      <w:pPr>
        <w:spacing w:before="120" w:line="360" w:lineRule="auto"/>
        <w:rPr>
          <w:rFonts w:asciiTheme="minorEastAsia" w:hAnsiTheme="minorEastAsia" w:eastAsiaTheme="minorEastAsia"/>
          <w:sz w:val="24"/>
        </w:rPr>
      </w:pPr>
    </w:p>
    <w:p w14:paraId="4F16515F">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14:paraId="70F06293">
      <w:pPr>
        <w:spacing w:before="120" w:line="360" w:lineRule="auto"/>
        <w:rPr>
          <w:rFonts w:asciiTheme="minorEastAsia" w:hAnsiTheme="minorEastAsia" w:eastAsiaTheme="minorEastAsia"/>
          <w:sz w:val="24"/>
        </w:rPr>
      </w:pPr>
    </w:p>
    <w:p w14:paraId="140E6B31">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签订日期：年月日</w:t>
      </w:r>
    </w:p>
    <w:p w14:paraId="4E85045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20A8DA45">
      <w:pPr>
        <w:rPr>
          <w:rFonts w:ascii="宋体" w:hAnsi="宋体" w:cs="宋体"/>
          <w:b/>
          <w:sz w:val="24"/>
        </w:rPr>
      </w:pPr>
    </w:p>
    <w:p w14:paraId="72B11329">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年月日</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竞争性磋商的方式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（项目名称）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评审小组</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7887BB35">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58E52564">
      <w:pPr>
        <w:spacing w:line="560" w:lineRule="exact"/>
        <w:ind w:firstLine="482" w:firstLineChars="200"/>
        <w:outlineLvl w:val="0"/>
        <w:rPr>
          <w:rFonts w:ascii="宋体" w:hAnsi="宋体"/>
          <w:sz w:val="24"/>
        </w:rPr>
      </w:pPr>
      <w:bookmarkStart w:id="68" w:name="_Toc15367"/>
      <w:bookmarkStart w:id="69" w:name="_Toc22967"/>
      <w:bookmarkStart w:id="70" w:name="_Toc20421"/>
      <w:bookmarkStart w:id="71" w:name="_Toc28855"/>
      <w:bookmarkStart w:id="72" w:name="_Toc19273"/>
      <w:r>
        <w:rPr>
          <w:rFonts w:ascii="宋体" w:hAnsi="宋体"/>
          <w:b/>
          <w:sz w:val="24"/>
        </w:rPr>
        <w:t xml:space="preserve">1.1 </w:t>
      </w:r>
      <w:r>
        <w:rPr>
          <w:rFonts w:hint="eastAsia" w:ascii="宋体" w:hAnsi="宋体"/>
          <w:b/>
          <w:sz w:val="24"/>
        </w:rPr>
        <w:t>合同组成部分</w:t>
      </w:r>
      <w:bookmarkEnd w:id="68"/>
      <w:bookmarkEnd w:id="69"/>
      <w:bookmarkEnd w:id="70"/>
      <w:bookmarkEnd w:id="71"/>
      <w:bookmarkEnd w:id="72"/>
    </w:p>
    <w:p w14:paraId="7FC4508E">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61CF7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6AAA7A2">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18AF85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7CE0511">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7377B78">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07E800E4">
      <w:pPr>
        <w:spacing w:line="560" w:lineRule="exact"/>
        <w:ind w:firstLine="482" w:firstLineChars="200"/>
        <w:outlineLvl w:val="0"/>
        <w:rPr>
          <w:rFonts w:ascii="宋体" w:hAnsi="宋体"/>
          <w:b/>
          <w:sz w:val="24"/>
        </w:rPr>
      </w:pPr>
      <w:bookmarkStart w:id="73" w:name="_Toc6311"/>
      <w:bookmarkStart w:id="74" w:name="_Toc6773"/>
      <w:bookmarkStart w:id="75" w:name="_Toc2918"/>
      <w:bookmarkStart w:id="76" w:name="_Toc22185"/>
      <w:bookmarkStart w:id="77" w:name="_Toc18585"/>
      <w:r>
        <w:rPr>
          <w:rFonts w:ascii="宋体" w:hAnsi="宋体"/>
          <w:b/>
          <w:sz w:val="24"/>
        </w:rPr>
        <w:t xml:space="preserve">1.2 </w:t>
      </w:r>
      <w:r>
        <w:rPr>
          <w:rFonts w:hint="eastAsia" w:ascii="宋体" w:hAnsi="宋体"/>
          <w:b/>
          <w:sz w:val="24"/>
        </w:rPr>
        <w:t>标的</w:t>
      </w:r>
      <w:bookmarkEnd w:id="73"/>
      <w:bookmarkEnd w:id="74"/>
      <w:bookmarkEnd w:id="75"/>
      <w:bookmarkEnd w:id="76"/>
      <w:bookmarkEnd w:id="77"/>
    </w:p>
    <w:p w14:paraId="2247A147">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lang w:val="en-US" w:eastAsia="zh-CN"/>
        </w:rPr>
        <w:t>线路</w:t>
      </w:r>
      <w:r>
        <w:rPr>
          <w:rFonts w:hint="eastAsia" w:ascii="宋体" w:hAnsi="宋体"/>
          <w:sz w:val="24"/>
        </w:rPr>
        <w:t>内容</w:t>
      </w:r>
      <w:r>
        <w:rPr>
          <w:rFonts w:ascii="宋体" w:hAnsi="宋体"/>
          <w:sz w:val="24"/>
        </w:rPr>
        <w:t>：</w:t>
      </w:r>
      <w:r>
        <w:rPr>
          <w:rFonts w:hint="eastAsia" w:ascii="宋体" w:hAnsi="宋体"/>
          <w:sz w:val="24"/>
          <w:u w:val="single"/>
          <w:lang w:val="en-US" w:eastAsia="zh-CN"/>
        </w:rPr>
        <w:t xml:space="preserve">                                          </w:t>
      </w:r>
      <w:r>
        <w:rPr>
          <w:rFonts w:hint="eastAsia" w:ascii="宋体" w:hAnsi="宋体"/>
          <w:sz w:val="24"/>
        </w:rPr>
        <w:t>；</w:t>
      </w:r>
    </w:p>
    <w:p w14:paraId="33BA3282">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u w:val="single"/>
          <w:lang w:val="en-US" w:eastAsia="zh-CN"/>
        </w:rPr>
        <w:t xml:space="preserve">                                          </w:t>
      </w:r>
      <w:r>
        <w:rPr>
          <w:rFonts w:hint="eastAsia" w:ascii="宋体" w:hAnsi="宋体"/>
          <w:sz w:val="24"/>
        </w:rPr>
        <w:t>；</w:t>
      </w:r>
    </w:p>
    <w:p w14:paraId="5C245E74">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lang w:val="en-US" w:eastAsia="zh-CN"/>
        </w:rPr>
        <w:t>保险险种及保额</w:t>
      </w:r>
      <w:r>
        <w:rPr>
          <w:rFonts w:hint="eastAsia" w:ascii="宋体" w:hAnsi="宋体"/>
          <w:sz w:val="24"/>
        </w:rPr>
        <w:t>：</w:t>
      </w:r>
      <w:r>
        <w:rPr>
          <w:rFonts w:ascii="宋体" w:hAnsi="宋体"/>
          <w:sz w:val="24"/>
          <w:u w:val="single"/>
        </w:rPr>
        <w:t xml:space="preserve">　　　　　　　　　                 </w:t>
      </w:r>
      <w:r>
        <w:rPr>
          <w:rFonts w:hint="eastAsia" w:ascii="宋体" w:hAnsi="宋体"/>
          <w:sz w:val="24"/>
          <w:u w:val="single"/>
        </w:rPr>
        <w:t>；</w:t>
      </w:r>
    </w:p>
    <w:p w14:paraId="646402C8">
      <w:pPr>
        <w:spacing w:line="560" w:lineRule="exact"/>
        <w:ind w:firstLine="482" w:firstLineChars="200"/>
        <w:outlineLvl w:val="0"/>
        <w:rPr>
          <w:rFonts w:ascii="宋体" w:hAnsi="宋体"/>
          <w:b/>
          <w:sz w:val="24"/>
        </w:rPr>
      </w:pPr>
      <w:bookmarkStart w:id="78" w:name="_Toc1386"/>
      <w:bookmarkStart w:id="79" w:name="_Toc5635"/>
      <w:bookmarkStart w:id="80" w:name="_Toc13918"/>
      <w:bookmarkStart w:id="81" w:name="_Toc4929"/>
      <w:bookmarkStart w:id="82" w:name="_Toc21124"/>
      <w:r>
        <w:rPr>
          <w:rFonts w:ascii="宋体" w:hAnsi="宋体"/>
          <w:b/>
          <w:sz w:val="24"/>
        </w:rPr>
        <w:t>1.3 价款</w:t>
      </w:r>
      <w:bookmarkEnd w:id="78"/>
      <w:bookmarkEnd w:id="79"/>
      <w:bookmarkEnd w:id="80"/>
      <w:bookmarkEnd w:id="81"/>
      <w:bookmarkEnd w:id="82"/>
    </w:p>
    <w:p w14:paraId="6A11EA7C">
      <w:pPr>
        <w:spacing w:line="560" w:lineRule="exact"/>
        <w:ind w:firstLine="480" w:firstLineChars="200"/>
        <w:rPr>
          <w:rFonts w:ascii="宋体" w:hAnsi="宋体"/>
          <w:sz w:val="24"/>
        </w:rPr>
      </w:pPr>
      <w:bookmarkStart w:id="83" w:name="_Toc1814"/>
      <w:bookmarkStart w:id="84" w:name="_Toc22618"/>
      <w:bookmarkStart w:id="85" w:name="_Toc10340"/>
      <w:bookmarkStart w:id="86" w:name="_Toc8772"/>
      <w:bookmarkStart w:id="87" w:name="_Toc31421"/>
      <w:bookmarkStart w:id="88" w:name="_Toc11108"/>
      <w:bookmarkStart w:id="89" w:name="_Toc3625"/>
      <w:bookmarkStart w:id="90" w:name="_Toc4760"/>
      <w:r>
        <w:rPr>
          <w:rFonts w:ascii="宋体" w:hAnsi="宋体"/>
          <w:sz w:val="24"/>
        </w:rPr>
        <w:t>本合同</w:t>
      </w:r>
      <w:r>
        <w:rPr>
          <w:rFonts w:hint="eastAsia" w:ascii="宋体" w:hAnsi="宋体"/>
          <w:sz w:val="24"/>
        </w:rPr>
        <w:t>暂定</w:t>
      </w:r>
      <w:r>
        <w:rPr>
          <w:rFonts w:ascii="宋体" w:hAnsi="宋体"/>
          <w:sz w:val="24"/>
        </w:rPr>
        <w:t>总价为</w:t>
      </w:r>
      <w:r>
        <w:rPr>
          <w:rFonts w:hint="eastAsia" w:ascii="宋体" w:hAnsi="宋体"/>
          <w:sz w:val="24"/>
        </w:rPr>
        <w:t>：大写：</w:t>
      </w:r>
      <w:r>
        <w:rPr>
          <w:rFonts w:hint="eastAsia" w:ascii="宋体" w:hAnsi="宋体"/>
          <w:sz w:val="24"/>
          <w:u w:val="single"/>
          <w:lang w:val="en-US" w:eastAsia="zh-CN"/>
        </w:rPr>
        <w:t xml:space="preserve">           </w:t>
      </w:r>
      <w:r>
        <w:rPr>
          <w:rFonts w:hint="eastAsia" w:ascii="宋体" w:hAnsi="宋体"/>
          <w:sz w:val="24"/>
          <w:lang w:val="en-US" w:eastAsia="zh-CN"/>
        </w:rPr>
        <w:t>小写：</w:t>
      </w:r>
      <w:r>
        <w:rPr>
          <w:rFonts w:hint="eastAsia" w:ascii="宋体" w:hAnsi="宋体"/>
          <w:sz w:val="24"/>
          <w:u w:val="single"/>
          <w:lang w:val="en-US" w:eastAsia="zh-CN"/>
        </w:rPr>
        <w:t xml:space="preserve">                </w:t>
      </w:r>
      <w:r>
        <w:rPr>
          <w:rFonts w:ascii="宋体" w:hAnsi="宋体"/>
          <w:sz w:val="24"/>
        </w:rPr>
        <w:t>。</w:t>
      </w:r>
    </w:p>
    <w:p w14:paraId="057079D6">
      <w:pPr>
        <w:spacing w:line="560" w:lineRule="exact"/>
        <w:ind w:firstLine="480" w:firstLineChars="200"/>
        <w:rPr>
          <w:rFonts w:ascii="宋体" w:hAnsi="宋体"/>
          <w:sz w:val="24"/>
          <w:u w:val="single"/>
        </w:rPr>
      </w:pPr>
      <w:r>
        <w:rPr>
          <w:rFonts w:ascii="宋体" w:hAnsi="宋体"/>
          <w:sz w:val="24"/>
        </w:rPr>
        <w:t>分项价格：</w:t>
      </w:r>
    </w:p>
    <w:tbl>
      <w:tblPr>
        <w:tblStyle w:val="60"/>
        <w:tblW w:w="47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619"/>
        <w:gridCol w:w="1464"/>
        <w:gridCol w:w="1817"/>
        <w:gridCol w:w="2113"/>
        <w:gridCol w:w="1159"/>
      </w:tblGrid>
      <w:tr w14:paraId="17F6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pct"/>
            <w:vAlign w:val="center"/>
          </w:tcPr>
          <w:p w14:paraId="6B48D52D">
            <w:pPr>
              <w:pStyle w:val="622"/>
              <w:spacing w:line="560" w:lineRule="exact"/>
              <w:jc w:val="center"/>
              <w:rPr>
                <w:rFonts w:hint="eastAsia" w:hAnsi="宋体" w:eastAsia="宋体"/>
                <w:sz w:val="24"/>
                <w:szCs w:val="24"/>
                <w:lang w:eastAsia="zh-CN"/>
              </w:rPr>
            </w:pPr>
            <w:r>
              <w:rPr>
                <w:rFonts w:hint="eastAsia" w:hAnsi="宋体"/>
                <w:sz w:val="24"/>
                <w:szCs w:val="24"/>
                <w:lang w:val="en-US" w:eastAsia="zh-CN"/>
              </w:rPr>
              <w:t>标项</w:t>
            </w:r>
          </w:p>
        </w:tc>
        <w:tc>
          <w:tcPr>
            <w:tcW w:w="925" w:type="pct"/>
            <w:vAlign w:val="center"/>
          </w:tcPr>
          <w:p w14:paraId="0D3A6167">
            <w:pPr>
              <w:pStyle w:val="622"/>
              <w:spacing w:line="560" w:lineRule="exact"/>
              <w:ind w:firstLine="200"/>
              <w:jc w:val="center"/>
              <w:rPr>
                <w:rFonts w:hAnsi="宋体"/>
                <w:sz w:val="24"/>
                <w:szCs w:val="24"/>
              </w:rPr>
            </w:pPr>
            <w:r>
              <w:rPr>
                <w:rFonts w:hint="eastAsia" w:hAnsi="宋体"/>
                <w:sz w:val="24"/>
                <w:szCs w:val="24"/>
              </w:rPr>
              <w:t>线路名称</w:t>
            </w:r>
          </w:p>
        </w:tc>
        <w:tc>
          <w:tcPr>
            <w:tcW w:w="837" w:type="pct"/>
            <w:vAlign w:val="center"/>
          </w:tcPr>
          <w:p w14:paraId="2D4257BD">
            <w:pPr>
              <w:pStyle w:val="622"/>
              <w:spacing w:line="560" w:lineRule="exact"/>
              <w:jc w:val="center"/>
              <w:rPr>
                <w:rFonts w:hint="eastAsia" w:hAnsi="宋体" w:eastAsia="宋体"/>
                <w:sz w:val="24"/>
                <w:szCs w:val="24"/>
                <w:lang w:val="en-US" w:eastAsia="zh-CN"/>
              </w:rPr>
            </w:pPr>
            <w:r>
              <w:rPr>
                <w:rFonts w:hint="eastAsia" w:hAnsi="宋体"/>
                <w:sz w:val="24"/>
                <w:szCs w:val="24"/>
                <w:lang w:val="en-US" w:eastAsia="zh-CN"/>
              </w:rPr>
              <w:t>暂估人数</w:t>
            </w:r>
          </w:p>
        </w:tc>
        <w:tc>
          <w:tcPr>
            <w:tcW w:w="1039" w:type="pct"/>
            <w:vAlign w:val="center"/>
          </w:tcPr>
          <w:p w14:paraId="4AE30A33">
            <w:pPr>
              <w:pStyle w:val="622"/>
              <w:spacing w:line="560" w:lineRule="exact"/>
              <w:jc w:val="center"/>
              <w:rPr>
                <w:rFonts w:hint="default" w:hAnsi="宋体" w:eastAsia="宋体"/>
                <w:sz w:val="24"/>
                <w:szCs w:val="24"/>
                <w:lang w:val="en-US" w:eastAsia="zh-CN"/>
              </w:rPr>
            </w:pPr>
            <w:r>
              <w:rPr>
                <w:rFonts w:hint="eastAsia" w:hAnsi="宋体"/>
                <w:sz w:val="24"/>
                <w:szCs w:val="24"/>
                <w:lang w:val="en-US" w:eastAsia="zh-CN"/>
              </w:rPr>
              <w:t>疗休养费（元）</w:t>
            </w:r>
          </w:p>
        </w:tc>
        <w:tc>
          <w:tcPr>
            <w:tcW w:w="1208" w:type="pct"/>
            <w:vAlign w:val="center"/>
          </w:tcPr>
          <w:p w14:paraId="76D69FA2">
            <w:pPr>
              <w:pStyle w:val="622"/>
              <w:spacing w:line="560" w:lineRule="exact"/>
              <w:jc w:val="center"/>
              <w:rPr>
                <w:rFonts w:hint="default" w:hAnsi="宋体" w:eastAsia="宋体"/>
                <w:sz w:val="24"/>
                <w:szCs w:val="24"/>
                <w:lang w:val="en-US" w:eastAsia="zh-CN"/>
              </w:rPr>
            </w:pPr>
            <w:r>
              <w:rPr>
                <w:rFonts w:hint="eastAsia" w:hAnsi="宋体"/>
                <w:sz w:val="24"/>
                <w:szCs w:val="24"/>
                <w:lang w:val="en-US" w:eastAsia="zh-CN"/>
              </w:rPr>
              <w:t>小计金额（元）</w:t>
            </w:r>
          </w:p>
        </w:tc>
        <w:tc>
          <w:tcPr>
            <w:tcW w:w="662" w:type="pct"/>
            <w:vAlign w:val="center"/>
          </w:tcPr>
          <w:p w14:paraId="4652E15A">
            <w:pPr>
              <w:pStyle w:val="622"/>
              <w:spacing w:line="560" w:lineRule="exact"/>
              <w:jc w:val="center"/>
              <w:rPr>
                <w:rFonts w:hint="default" w:hAnsi="宋体" w:eastAsia="宋体"/>
                <w:sz w:val="24"/>
                <w:szCs w:val="24"/>
                <w:lang w:val="en-US" w:eastAsia="zh-CN"/>
              </w:rPr>
            </w:pPr>
            <w:r>
              <w:rPr>
                <w:rFonts w:hint="eastAsia" w:hAnsi="宋体" w:eastAsia="宋体"/>
                <w:sz w:val="24"/>
                <w:szCs w:val="24"/>
                <w:lang w:val="en-US" w:eastAsia="zh-CN"/>
              </w:rPr>
              <w:t>备注</w:t>
            </w:r>
          </w:p>
        </w:tc>
      </w:tr>
      <w:tr w14:paraId="29CC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26" w:type="pct"/>
            <w:vAlign w:val="center"/>
          </w:tcPr>
          <w:p w14:paraId="393EB802">
            <w:pPr>
              <w:pStyle w:val="622"/>
              <w:spacing w:line="560" w:lineRule="exact"/>
              <w:ind w:firstLine="200"/>
              <w:jc w:val="center"/>
              <w:rPr>
                <w:rFonts w:hint="eastAsia" w:hAnsi="宋体" w:eastAsia="宋体"/>
                <w:sz w:val="24"/>
                <w:szCs w:val="24"/>
                <w:lang w:val="en-US" w:eastAsia="zh-CN"/>
              </w:rPr>
            </w:pPr>
          </w:p>
        </w:tc>
        <w:tc>
          <w:tcPr>
            <w:tcW w:w="925" w:type="pct"/>
            <w:vAlign w:val="center"/>
          </w:tcPr>
          <w:p w14:paraId="35089BCD">
            <w:pPr>
              <w:widowControl/>
              <w:snapToGrid w:val="0"/>
              <w:spacing w:line="348" w:lineRule="auto"/>
              <w:jc w:val="left"/>
              <w:rPr>
                <w:rFonts w:hAnsi="宋体"/>
                <w:sz w:val="24"/>
                <w:szCs w:val="24"/>
              </w:rPr>
            </w:pPr>
          </w:p>
        </w:tc>
        <w:tc>
          <w:tcPr>
            <w:tcW w:w="837" w:type="pct"/>
            <w:vAlign w:val="center"/>
          </w:tcPr>
          <w:p w14:paraId="1A9DDDEA">
            <w:pPr>
              <w:pStyle w:val="622"/>
              <w:spacing w:line="560" w:lineRule="exact"/>
              <w:ind w:firstLine="200"/>
              <w:jc w:val="center"/>
              <w:rPr>
                <w:rFonts w:hAnsi="宋体"/>
                <w:sz w:val="24"/>
                <w:szCs w:val="24"/>
              </w:rPr>
            </w:pPr>
          </w:p>
        </w:tc>
        <w:tc>
          <w:tcPr>
            <w:tcW w:w="1039" w:type="pct"/>
            <w:vAlign w:val="center"/>
          </w:tcPr>
          <w:p w14:paraId="526377A0">
            <w:pPr>
              <w:pStyle w:val="622"/>
              <w:spacing w:line="560" w:lineRule="exact"/>
              <w:ind w:firstLine="200"/>
              <w:jc w:val="center"/>
              <w:rPr>
                <w:rFonts w:hint="default" w:hAnsi="宋体" w:eastAsia="宋体"/>
                <w:sz w:val="24"/>
                <w:szCs w:val="24"/>
                <w:lang w:val="en-US" w:eastAsia="zh-CN"/>
              </w:rPr>
            </w:pPr>
          </w:p>
        </w:tc>
        <w:tc>
          <w:tcPr>
            <w:tcW w:w="1208" w:type="pct"/>
            <w:vAlign w:val="center"/>
          </w:tcPr>
          <w:p w14:paraId="7B1BD563">
            <w:pPr>
              <w:pStyle w:val="622"/>
              <w:spacing w:line="560" w:lineRule="exact"/>
              <w:ind w:firstLine="200"/>
              <w:jc w:val="center"/>
              <w:rPr>
                <w:rFonts w:hint="default" w:hAnsi="宋体" w:eastAsia="宋体"/>
                <w:sz w:val="24"/>
                <w:szCs w:val="24"/>
                <w:lang w:val="en-US" w:eastAsia="zh-CN"/>
              </w:rPr>
            </w:pPr>
          </w:p>
        </w:tc>
        <w:tc>
          <w:tcPr>
            <w:tcW w:w="662" w:type="pct"/>
            <w:vAlign w:val="center"/>
          </w:tcPr>
          <w:p w14:paraId="7AC6F99C">
            <w:pPr>
              <w:pStyle w:val="622"/>
              <w:spacing w:line="560" w:lineRule="exact"/>
              <w:ind w:firstLine="200"/>
              <w:jc w:val="center"/>
              <w:rPr>
                <w:rFonts w:hAnsi="宋体"/>
                <w:sz w:val="24"/>
                <w:szCs w:val="24"/>
              </w:rPr>
            </w:pPr>
          </w:p>
        </w:tc>
      </w:tr>
      <w:tr w14:paraId="7BAD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52" w:type="pct"/>
            <w:gridSpan w:val="2"/>
            <w:vAlign w:val="center"/>
          </w:tcPr>
          <w:p w14:paraId="0C352AAC">
            <w:pPr>
              <w:pStyle w:val="622"/>
              <w:spacing w:line="560" w:lineRule="exact"/>
              <w:ind w:firstLine="200"/>
              <w:jc w:val="center"/>
              <w:rPr>
                <w:rFonts w:hAnsi="宋体"/>
                <w:sz w:val="24"/>
                <w:szCs w:val="24"/>
              </w:rPr>
            </w:pPr>
            <w:r>
              <w:rPr>
                <w:rFonts w:hint="eastAsia" w:hAnsi="宋体"/>
                <w:sz w:val="24"/>
                <w:szCs w:val="24"/>
              </w:rPr>
              <w:t>总价</w:t>
            </w:r>
          </w:p>
        </w:tc>
        <w:tc>
          <w:tcPr>
            <w:tcW w:w="3747" w:type="pct"/>
            <w:gridSpan w:val="4"/>
            <w:vAlign w:val="center"/>
          </w:tcPr>
          <w:p w14:paraId="5A02FD04">
            <w:pPr>
              <w:pStyle w:val="622"/>
              <w:spacing w:line="560" w:lineRule="exact"/>
              <w:ind w:firstLine="200"/>
              <w:jc w:val="center"/>
              <w:rPr>
                <w:rFonts w:hint="eastAsia" w:hAnsi="宋体" w:eastAsia="宋体"/>
                <w:sz w:val="24"/>
                <w:szCs w:val="24"/>
                <w:lang w:val="en-US" w:eastAsia="zh-CN"/>
              </w:rPr>
            </w:pPr>
          </w:p>
        </w:tc>
      </w:tr>
    </w:tbl>
    <w:p w14:paraId="520986A5">
      <w:pPr>
        <w:pStyle w:val="634"/>
        <w:spacing w:line="360" w:lineRule="auto"/>
        <w:ind w:firstLine="482" w:firstLineChars="200"/>
        <w:rPr>
          <w:rFonts w:hint="eastAsia" w:eastAsia="宋体"/>
          <w:b/>
          <w:lang w:eastAsia="zh-CN"/>
        </w:rPr>
      </w:pPr>
      <w:r>
        <w:rPr>
          <w:rFonts w:hint="eastAsia" w:ascii="宋体" w:hAnsi="宋体" w:eastAsia="宋体" w:cs="宋体"/>
          <w:b/>
          <w:bCs/>
        </w:rPr>
        <w:t>最终费用按实际出发人数按实结算</w:t>
      </w:r>
      <w:r>
        <w:rPr>
          <w:rFonts w:hint="eastAsia" w:ascii="宋体" w:hAnsi="宋体" w:eastAsia="宋体" w:cs="宋体"/>
          <w:b/>
          <w:bCs/>
          <w:lang w:eastAsia="zh-CN"/>
        </w:rPr>
        <w:t>，</w:t>
      </w:r>
      <w:r>
        <w:rPr>
          <w:rFonts w:hint="eastAsia" w:ascii="宋体" w:hAnsi="宋体" w:eastAsia="宋体" w:cs="宋体"/>
          <w:b/>
          <w:bCs/>
        </w:rPr>
        <w:t>省外路线根据具体线路方案另行确认</w:t>
      </w:r>
      <w:r>
        <w:rPr>
          <w:rFonts w:hint="eastAsia" w:ascii="宋体" w:hAnsi="宋体" w:eastAsia="宋体" w:cs="宋体"/>
          <w:b/>
          <w:bCs/>
          <w:lang w:val="en-US" w:eastAsia="zh-CN"/>
        </w:rPr>
        <w:t>超出部分的</w:t>
      </w:r>
      <w:r>
        <w:rPr>
          <w:rFonts w:hint="eastAsia" w:ascii="宋体" w:hAnsi="宋体" w:eastAsia="宋体" w:cs="宋体"/>
          <w:b/>
          <w:bCs/>
        </w:rPr>
        <w:t>个人承担金额，</w:t>
      </w:r>
      <w:r>
        <w:rPr>
          <w:rFonts w:hint="eastAsia" w:ascii="宋体" w:hAnsi="宋体" w:eastAsia="宋体" w:cs="宋体"/>
          <w:b/>
          <w:bCs/>
          <w:lang w:val="en-US"/>
        </w:rPr>
        <w:t>按实际发生费用支付给</w:t>
      </w:r>
      <w:r>
        <w:rPr>
          <w:rFonts w:hint="eastAsia" w:ascii="宋体" w:hAnsi="宋体" w:eastAsia="宋体" w:cs="宋体"/>
          <w:b/>
          <w:bCs/>
          <w:lang w:val="en-US" w:eastAsia="zh-CN"/>
        </w:rPr>
        <w:t>乙方</w:t>
      </w:r>
      <w:r>
        <w:rPr>
          <w:rFonts w:hint="eastAsia" w:ascii="宋体" w:hAnsi="宋体" w:eastAsia="宋体" w:cs="宋体"/>
          <w:b/>
          <w:bCs/>
        </w:rPr>
        <w:t>。</w:t>
      </w:r>
    </w:p>
    <w:p w14:paraId="0A2B8631">
      <w:pPr>
        <w:pStyle w:val="630"/>
        <w:spacing w:before="0" w:beforeAutospacing="0" w:after="0" w:afterAutospacing="0" w:line="360" w:lineRule="auto"/>
        <w:ind w:firstLine="480"/>
        <w:rPr>
          <w:b/>
        </w:rPr>
      </w:pPr>
      <w:r>
        <w:rPr>
          <w:rFonts w:hint="eastAsia"/>
          <w:b/>
        </w:rPr>
        <w:t>1.4履约保证金</w:t>
      </w:r>
    </w:p>
    <w:p w14:paraId="0E2AE027">
      <w:pPr>
        <w:pStyle w:val="63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乙方（否）需要支付履约保证金。若需要支付履约保证金的，则：</w:t>
      </w:r>
    </w:p>
    <w:p w14:paraId="54751419">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14:paraId="7538D365">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14:textFill>
            <w14:solidFill>
              <w14:schemeClr w14:val="tx1"/>
            </w14:solidFill>
          </w14:textFill>
        </w:rPr>
        <w:t>；</w:t>
      </w:r>
    </w:p>
    <w:p w14:paraId="741680DF">
      <w:pPr>
        <w:pStyle w:val="4"/>
        <w:numPr>
          <w:ilvl w:val="0"/>
          <w:numId w:val="0"/>
        </w:numPr>
        <w:tabs>
          <w:tab w:val="left" w:pos="0"/>
          <w:tab w:val="clear" w:pos="432"/>
        </w:tabs>
        <w:spacing w:line="560" w:lineRule="exact"/>
        <w:ind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614AD74">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33DA567">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3"/>
      <w:bookmarkEnd w:id="84"/>
      <w:bookmarkEnd w:id="85"/>
      <w:r>
        <w:rPr>
          <w:rFonts w:hint="eastAsia" w:ascii="宋体" w:hAnsi="宋体" w:cs="宋体"/>
          <w:b/>
          <w:sz w:val="24"/>
        </w:rPr>
        <w:t>预付款</w:t>
      </w:r>
    </w:p>
    <w:p w14:paraId="1900CADB">
      <w:pPr>
        <w:pStyle w:val="630"/>
        <w:spacing w:before="0" w:beforeAutospacing="0" w:after="0" w:afterAutospacing="0" w:line="360" w:lineRule="auto"/>
        <w:ind w:firstLine="480"/>
      </w:pPr>
      <w:r>
        <w:rPr>
          <w:rFonts w:hint="eastAsia"/>
        </w:rPr>
        <w:t>甲方</w:t>
      </w:r>
      <w:r>
        <w:rPr>
          <w:rFonts w:hint="eastAsia"/>
          <w:u w:val="single"/>
        </w:rPr>
        <w:t>否</w:t>
      </w:r>
      <w:r>
        <w:rPr>
          <w:rFonts w:hint="eastAsia"/>
        </w:rPr>
        <w:t>（是</w:t>
      </w:r>
      <w:r>
        <w:rPr>
          <w:rFonts w:hint="eastAsia" w:ascii="仿宋" w:hAnsi="仿宋" w:eastAsia="仿宋" w:cs="仿宋"/>
        </w:rPr>
        <w:t>/</w:t>
      </w:r>
      <w:r>
        <w:rPr>
          <w:rFonts w:hint="eastAsia"/>
        </w:rPr>
        <w:t>否）需要支付预付款。若需要支付预付款的，则：</w:t>
      </w:r>
    </w:p>
    <w:p w14:paraId="3B3E400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1F997E64">
      <w:pPr>
        <w:pStyle w:val="630"/>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0D9CAD48">
      <w:pPr>
        <w:pStyle w:val="630"/>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3EF1E413">
      <w:pPr>
        <w:pStyle w:val="630"/>
        <w:spacing w:before="0" w:beforeAutospacing="0" w:after="0" w:afterAutospacing="0" w:line="360" w:lineRule="auto"/>
        <w:ind w:firstLine="480"/>
        <w:rPr>
          <w:b/>
          <w:bCs/>
        </w:rPr>
      </w:pPr>
      <w:r>
        <w:rPr>
          <w:rFonts w:hint="eastAsia"/>
          <w:b/>
          <w:bCs/>
        </w:rPr>
        <w:t>1.6资金支付</w:t>
      </w:r>
    </w:p>
    <w:p w14:paraId="77AE5462">
      <w:pPr>
        <w:pStyle w:val="63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E990CD">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20E927C8">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86"/>
      <w:bookmarkEnd w:id="87"/>
      <w:bookmarkEnd w:id="88"/>
      <w:bookmarkEnd w:id="89"/>
      <w:bookmarkEnd w:id="90"/>
    </w:p>
    <w:p w14:paraId="4BA659D6">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C72B65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202E30C7">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0FD7349">
      <w:pPr>
        <w:spacing w:line="560" w:lineRule="exact"/>
        <w:ind w:firstLine="480" w:firstLineChars="200"/>
        <w:outlineLvl w:val="0"/>
        <w:rPr>
          <w:rFonts w:ascii="宋体" w:hAnsi="宋体"/>
          <w:bCs/>
          <w:sz w:val="24"/>
        </w:rPr>
      </w:pPr>
      <w:bookmarkStart w:id="91" w:name="_Toc3079"/>
      <w:bookmarkStart w:id="92" w:name="_Toc2375"/>
      <w:bookmarkStart w:id="93" w:name="_Toc5698"/>
      <w:bookmarkStart w:id="94" w:name="_Toc24662"/>
      <w:bookmarkStart w:id="95" w:name="_Toc8586"/>
      <w:r>
        <w:rPr>
          <w:rFonts w:hint="eastAsia" w:ascii="宋体" w:hAnsi="宋体"/>
          <w:bCs/>
          <w:sz w:val="24"/>
        </w:rPr>
        <w:t>1.7.4若服务</w:t>
      </w:r>
      <w:r>
        <w:rPr>
          <w:rFonts w:hint="eastAsia"/>
          <w:bCs/>
          <w:sz w:val="24"/>
        </w:rPr>
        <w:t>涉及货物的，则货物的：</w:t>
      </w:r>
    </w:p>
    <w:p w14:paraId="7FF163F7">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FC9B17D">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3C46AE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90B8D8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91"/>
      <w:bookmarkEnd w:id="92"/>
      <w:bookmarkEnd w:id="93"/>
      <w:bookmarkEnd w:id="94"/>
      <w:bookmarkEnd w:id="95"/>
    </w:p>
    <w:p w14:paraId="34787D2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2C0C3CF">
      <w:pPr>
        <w:pStyle w:val="4"/>
        <w:numPr>
          <w:ilvl w:val="0"/>
          <w:numId w:val="0"/>
        </w:numPr>
        <w:tabs>
          <w:tab w:val="clear" w:pos="432"/>
        </w:tabs>
        <w:ind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DF17C3D">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0.05</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357EE23">
      <w:pPr>
        <w:spacing w:line="560" w:lineRule="exact"/>
        <w:ind w:firstLine="480" w:firstLineChars="200"/>
        <w:rPr>
          <w:rFonts w:ascii="宋体" w:hAnsi="宋体" w:cs="宋体"/>
          <w:sz w:val="24"/>
        </w:rPr>
      </w:pPr>
      <w:bookmarkStart w:id="96" w:name="_Toc32454"/>
      <w:bookmarkStart w:id="97" w:name="_Toc26807"/>
      <w:bookmarkStart w:id="98" w:name="_Toc18683"/>
      <w:bookmarkStart w:id="99" w:name="_Toc9497"/>
      <w:bookmarkStart w:id="100"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5BDB2C">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EACB1D">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08A51E0">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96"/>
    <w:bookmarkEnd w:id="97"/>
    <w:bookmarkEnd w:id="98"/>
    <w:bookmarkEnd w:id="99"/>
    <w:bookmarkEnd w:id="100"/>
    <w:p w14:paraId="194CD256">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38AC9BE6">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77FBB0E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572D7C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b w:val="0"/>
          <w:bCs/>
          <w:i w:val="0"/>
          <w:iCs/>
          <w:sz w:val="24"/>
          <w:u w:val="none"/>
        </w:rPr>
        <w:t>人民法院</w:t>
      </w:r>
      <w:r>
        <w:rPr>
          <w:rFonts w:hint="eastAsia" w:ascii="宋体" w:hAnsi="宋体" w:cs="宋体"/>
          <w:sz w:val="24"/>
        </w:rPr>
        <w:t>起诉。</w:t>
      </w:r>
    </w:p>
    <w:p w14:paraId="7509C30F">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5639F110">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00896EE">
      <w:pPr>
        <w:autoSpaceDE w:val="0"/>
        <w:autoSpaceDN w:val="0"/>
        <w:spacing w:line="560" w:lineRule="exact"/>
        <w:rPr>
          <w:rFonts w:ascii="宋体" w:hAnsi="宋体"/>
          <w:sz w:val="24"/>
          <w:lang w:val="zh-CN"/>
        </w:rPr>
      </w:pPr>
      <w:r>
        <w:rPr>
          <w:rFonts w:hint="eastAsia" w:ascii="宋体" w:hAnsi="宋体"/>
          <w:sz w:val="24"/>
          <w:lang w:val="zh-CN"/>
        </w:rPr>
        <w:t>（</w:t>
      </w:r>
      <w:r>
        <w:rPr>
          <w:rFonts w:hint="eastAsia" w:ascii="宋体" w:hAnsi="宋体"/>
          <w:sz w:val="24"/>
          <w:lang w:val="en-US" w:eastAsia="zh-CN"/>
        </w:rPr>
        <w:t>以下内容无正文</w:t>
      </w:r>
      <w:r>
        <w:rPr>
          <w:rFonts w:hint="eastAsia" w:ascii="宋体" w:hAnsi="宋体"/>
          <w:sz w:val="24"/>
          <w:lang w:val="zh-CN"/>
        </w:rPr>
        <w:t>）</w:t>
      </w:r>
    </w:p>
    <w:p w14:paraId="0EB1F085">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w:t>
      </w:r>
      <w:r>
        <w:rPr>
          <w:rFonts w:hint="eastAsia" w:ascii="宋体" w:hAnsi="宋体"/>
          <w:b/>
          <w:sz w:val="24"/>
          <w:lang w:val="en-US" w:eastAsia="zh-CN"/>
        </w:rPr>
        <w:t xml:space="preserve">                           </w:t>
      </w:r>
      <w:r>
        <w:rPr>
          <w:rFonts w:ascii="宋体" w:hAnsi="宋体"/>
          <w:b/>
          <w:sz w:val="24"/>
          <w:lang w:val="zh-CN"/>
        </w:rPr>
        <w:t>乙方</w:t>
      </w:r>
      <w:r>
        <w:rPr>
          <w:rFonts w:hint="eastAsia" w:ascii="宋体" w:hAnsi="宋体"/>
          <w:sz w:val="24"/>
          <w:lang w:val="zh-CN"/>
        </w:rPr>
        <w:t>：</w:t>
      </w:r>
    </w:p>
    <w:p w14:paraId="6959826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hint="eastAsia" w:ascii="宋体" w:hAnsi="宋体"/>
          <w:sz w:val="24"/>
          <w:lang w:val="en-US" w:eastAsia="zh-CN"/>
        </w:rPr>
        <w:t xml:space="preserve">                     </w:t>
      </w:r>
      <w:r>
        <w:rPr>
          <w:rFonts w:hint="eastAsia" w:ascii="宋体" w:hAnsi="宋体"/>
          <w:sz w:val="24"/>
          <w:lang w:val="zh-CN"/>
        </w:rPr>
        <w:t>统一社会信用代码：</w:t>
      </w:r>
    </w:p>
    <w:p w14:paraId="038EABE4">
      <w:pPr>
        <w:autoSpaceDE w:val="0"/>
        <w:autoSpaceDN w:val="0"/>
        <w:spacing w:line="560" w:lineRule="exact"/>
        <w:rPr>
          <w:rFonts w:ascii="宋体" w:hAnsi="宋体"/>
          <w:sz w:val="24"/>
          <w:lang w:val="zh-CN"/>
        </w:rPr>
      </w:pPr>
    </w:p>
    <w:p w14:paraId="65DC065E">
      <w:pPr>
        <w:autoSpaceDE w:val="0"/>
        <w:autoSpaceDN w:val="0"/>
        <w:spacing w:line="560" w:lineRule="exact"/>
        <w:rPr>
          <w:rFonts w:ascii="宋体" w:hAnsi="宋体"/>
          <w:sz w:val="24"/>
          <w:lang w:val="zh-CN"/>
        </w:rPr>
      </w:pPr>
      <w:r>
        <w:rPr>
          <w:rFonts w:hint="eastAsia" w:ascii="宋体" w:hAnsi="宋体"/>
          <w:sz w:val="24"/>
          <w:lang w:val="zh-CN"/>
        </w:rPr>
        <w:t>住所：</w:t>
      </w:r>
      <w:r>
        <w:rPr>
          <w:rFonts w:hint="eastAsia" w:ascii="宋体" w:hAnsi="宋体"/>
          <w:sz w:val="24"/>
          <w:lang w:val="en-US" w:eastAsia="zh-CN"/>
        </w:rPr>
        <w:t xml:space="preserve">                                   </w:t>
      </w:r>
      <w:r>
        <w:rPr>
          <w:rFonts w:hint="eastAsia" w:ascii="宋体" w:hAnsi="宋体"/>
          <w:sz w:val="24"/>
          <w:lang w:val="zh-CN"/>
        </w:rPr>
        <w:t>住所：</w:t>
      </w:r>
    </w:p>
    <w:p w14:paraId="538ECE47">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hint="eastAsia" w:ascii="宋体" w:hAnsi="宋体"/>
          <w:sz w:val="24"/>
          <w:lang w:val="en-US" w:eastAsia="zh-CN"/>
        </w:rPr>
        <w:t xml:space="preserve">                             </w:t>
      </w:r>
      <w:r>
        <w:rPr>
          <w:rFonts w:hint="eastAsia" w:ascii="宋体" w:hAnsi="宋体"/>
          <w:sz w:val="24"/>
          <w:lang w:val="zh-CN"/>
        </w:rPr>
        <w:t>法定代表人或</w:t>
      </w:r>
    </w:p>
    <w:p w14:paraId="51B61684">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78DE52C">
      <w:pPr>
        <w:autoSpaceDE w:val="0"/>
        <w:autoSpaceDN w:val="0"/>
        <w:spacing w:line="560" w:lineRule="exact"/>
        <w:rPr>
          <w:rFonts w:ascii="宋体" w:hAnsi="宋体"/>
          <w:sz w:val="24"/>
          <w:lang w:val="zh-CN"/>
        </w:rPr>
      </w:pPr>
      <w:r>
        <w:rPr>
          <w:rFonts w:hint="eastAsia" w:ascii="宋体" w:hAnsi="宋体"/>
          <w:sz w:val="24"/>
          <w:lang w:val="zh-CN"/>
        </w:rPr>
        <w:t>联系人：</w:t>
      </w:r>
      <w:r>
        <w:rPr>
          <w:rFonts w:hint="eastAsia" w:ascii="宋体" w:hAnsi="宋体"/>
          <w:sz w:val="24"/>
          <w:lang w:val="en-US" w:eastAsia="zh-CN"/>
        </w:rPr>
        <w:t xml:space="preserve">                                 </w:t>
      </w:r>
      <w:r>
        <w:rPr>
          <w:rFonts w:hint="eastAsia" w:ascii="宋体" w:hAnsi="宋体"/>
          <w:sz w:val="24"/>
          <w:lang w:val="zh-CN"/>
        </w:rPr>
        <w:t>联系人：</w:t>
      </w:r>
    </w:p>
    <w:p w14:paraId="20D38F9A">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hint="eastAsia" w:ascii="宋体" w:hAnsi="宋体"/>
          <w:sz w:val="24"/>
          <w:lang w:val="en-US" w:eastAsia="zh-CN"/>
        </w:rPr>
        <w:t xml:space="preserve">                           </w:t>
      </w:r>
      <w:r>
        <w:rPr>
          <w:rFonts w:hint="eastAsia" w:ascii="宋体" w:hAnsi="宋体"/>
          <w:sz w:val="24"/>
          <w:lang w:val="zh-CN"/>
        </w:rPr>
        <w:t>约定送达地址：</w:t>
      </w:r>
    </w:p>
    <w:p w14:paraId="5C418DE1">
      <w:pPr>
        <w:autoSpaceDE w:val="0"/>
        <w:autoSpaceDN w:val="0"/>
        <w:spacing w:line="560" w:lineRule="exact"/>
        <w:rPr>
          <w:rFonts w:ascii="宋体" w:hAnsi="宋体"/>
          <w:sz w:val="24"/>
          <w:lang w:val="zh-CN"/>
        </w:rPr>
      </w:pPr>
      <w:r>
        <w:rPr>
          <w:rFonts w:hint="eastAsia" w:ascii="宋体" w:hAnsi="宋体"/>
          <w:sz w:val="24"/>
          <w:lang w:val="zh-CN"/>
        </w:rPr>
        <w:t>邮政编码：</w:t>
      </w:r>
      <w:r>
        <w:rPr>
          <w:rFonts w:hint="eastAsia" w:ascii="宋体" w:hAnsi="宋体"/>
          <w:sz w:val="24"/>
          <w:lang w:val="en-US" w:eastAsia="zh-CN"/>
        </w:rPr>
        <w:t xml:space="preserve">                               </w:t>
      </w:r>
      <w:r>
        <w:rPr>
          <w:rFonts w:hint="eastAsia" w:ascii="宋体" w:hAnsi="宋体"/>
          <w:sz w:val="24"/>
          <w:lang w:val="zh-CN"/>
        </w:rPr>
        <w:t>邮政编码：</w:t>
      </w:r>
    </w:p>
    <w:p w14:paraId="3FB0285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3E875C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04CEAB8">
      <w:pPr>
        <w:autoSpaceDE w:val="0"/>
        <w:autoSpaceDN w:val="0"/>
        <w:spacing w:line="560" w:lineRule="exact"/>
        <w:rPr>
          <w:rFonts w:ascii="宋体" w:hAnsi="宋体"/>
          <w:sz w:val="24"/>
        </w:rPr>
      </w:pPr>
      <w:r>
        <w:rPr>
          <w:rFonts w:hint="eastAsia" w:ascii="宋体" w:hAnsi="宋体"/>
          <w:sz w:val="24"/>
          <w:lang w:val="zh-CN"/>
        </w:rPr>
        <w:t>电子邮箱：</w:t>
      </w:r>
      <w:r>
        <w:rPr>
          <w:rFonts w:hint="eastAsia" w:ascii="宋体" w:hAnsi="宋体"/>
          <w:sz w:val="24"/>
          <w:lang w:val="en-US" w:eastAsia="zh-CN"/>
        </w:rPr>
        <w:t xml:space="preserve">                               </w:t>
      </w:r>
      <w:r>
        <w:rPr>
          <w:rFonts w:hint="eastAsia" w:ascii="宋体" w:hAnsi="宋体"/>
          <w:sz w:val="24"/>
          <w:lang w:val="zh-CN"/>
        </w:rPr>
        <w:t>电子邮箱：</w:t>
      </w:r>
    </w:p>
    <w:p w14:paraId="5E20B70A">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1F4964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E50CCF7">
      <w:pPr>
        <w:autoSpaceDE w:val="0"/>
        <w:autoSpaceDN w:val="0"/>
        <w:spacing w:line="560" w:lineRule="exact"/>
        <w:rPr>
          <w:rFonts w:ascii="宋体" w:hAnsi="宋体"/>
          <w:sz w:val="24"/>
        </w:rPr>
      </w:pPr>
      <w:r>
        <w:rPr>
          <w:rFonts w:hint="eastAsia" w:ascii="宋体" w:hAnsi="宋体"/>
          <w:sz w:val="24"/>
        </w:rPr>
        <w:t>开户账号：</w:t>
      </w:r>
      <w:r>
        <w:rPr>
          <w:rFonts w:hint="eastAsia" w:ascii="宋体" w:hAnsi="宋体"/>
          <w:sz w:val="24"/>
          <w:lang w:val="en-US" w:eastAsia="zh-CN"/>
        </w:rPr>
        <w:t xml:space="preserve">                               </w:t>
      </w:r>
      <w:r>
        <w:rPr>
          <w:rFonts w:hint="eastAsia" w:ascii="宋体" w:hAnsi="宋体"/>
          <w:sz w:val="24"/>
        </w:rPr>
        <w:t>开户账号：</w:t>
      </w:r>
    </w:p>
    <w:p w14:paraId="586E54E7">
      <w:pPr>
        <w:widowControl/>
        <w:spacing w:line="560" w:lineRule="exact"/>
        <w:jc w:val="left"/>
        <w:rPr>
          <w:rFonts w:ascii="宋体" w:hAnsi="宋体"/>
          <w:b/>
          <w:sz w:val="24"/>
        </w:rPr>
      </w:pPr>
    </w:p>
    <w:p w14:paraId="73538778">
      <w:pPr>
        <w:widowControl/>
        <w:adjustRightInd/>
        <w:jc w:val="left"/>
        <w:rPr>
          <w:rFonts w:ascii="宋体" w:hAnsi="宋体"/>
          <w:b/>
          <w:sz w:val="24"/>
        </w:rPr>
      </w:pPr>
      <w:r>
        <w:rPr>
          <w:rFonts w:ascii="宋体" w:hAnsi="宋体"/>
          <w:b/>
        </w:rPr>
        <w:br w:type="page"/>
      </w:r>
    </w:p>
    <w:p w14:paraId="007E4CF0">
      <w:pPr>
        <w:pStyle w:val="282"/>
        <w:spacing w:line="560" w:lineRule="exact"/>
        <w:ind w:firstLine="482"/>
        <w:jc w:val="center"/>
        <w:rPr>
          <w:rFonts w:ascii="宋体" w:hAnsi="宋体"/>
          <w:b/>
          <w:szCs w:val="24"/>
        </w:rPr>
      </w:pPr>
      <w:r>
        <w:rPr>
          <w:rFonts w:hint="eastAsia" w:ascii="宋体" w:hAnsi="宋体"/>
          <w:b/>
          <w:szCs w:val="24"/>
        </w:rPr>
        <w:t>第二部分</w:t>
      </w:r>
      <w:r>
        <w:rPr>
          <w:rFonts w:hint="eastAsia" w:ascii="宋体" w:hAnsi="宋体"/>
          <w:b/>
          <w:szCs w:val="24"/>
          <w:lang w:val="en-US" w:eastAsia="zh-CN"/>
        </w:rPr>
        <w:t xml:space="preserve"> </w:t>
      </w:r>
      <w:r>
        <w:rPr>
          <w:rFonts w:hint="eastAsia" w:ascii="宋体" w:hAnsi="宋体"/>
          <w:b/>
          <w:szCs w:val="24"/>
        </w:rPr>
        <w:t>合同一般条款</w:t>
      </w:r>
    </w:p>
    <w:p w14:paraId="47A5A8E8">
      <w:pPr>
        <w:spacing w:line="560" w:lineRule="exact"/>
        <w:ind w:firstLine="482" w:firstLineChars="200"/>
        <w:outlineLvl w:val="0"/>
        <w:rPr>
          <w:rFonts w:ascii="宋体" w:hAnsi="宋体"/>
          <w:b/>
          <w:sz w:val="24"/>
        </w:rPr>
      </w:pPr>
      <w:bookmarkStart w:id="101" w:name="_Toc19680"/>
      <w:bookmarkStart w:id="102" w:name="_Toc31297"/>
      <w:bookmarkStart w:id="103" w:name="_Toc25079"/>
      <w:bookmarkStart w:id="104" w:name="_Toc14021"/>
      <w:bookmarkStart w:id="105" w:name="_Toc5228"/>
      <w:r>
        <w:rPr>
          <w:rFonts w:ascii="宋体" w:hAnsi="宋体"/>
          <w:b/>
          <w:sz w:val="24"/>
        </w:rPr>
        <w:t>2.1 定义</w:t>
      </w:r>
      <w:bookmarkEnd w:id="101"/>
      <w:bookmarkEnd w:id="102"/>
      <w:bookmarkEnd w:id="103"/>
      <w:bookmarkEnd w:id="104"/>
      <w:bookmarkEnd w:id="105"/>
    </w:p>
    <w:p w14:paraId="1972728D">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0BD109">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D9839F0">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48D25A3">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274DF5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57BD22A">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F4F5E9">
      <w:pPr>
        <w:spacing w:line="560" w:lineRule="exact"/>
        <w:ind w:firstLine="480" w:firstLineChars="200"/>
        <w:rPr>
          <w:rFonts w:ascii="宋体" w:hAnsi="宋体"/>
          <w:sz w:val="24"/>
        </w:rPr>
      </w:pPr>
      <w:r>
        <w:rPr>
          <w:rFonts w:ascii="宋体" w:hAnsi="宋体"/>
          <w:sz w:val="24"/>
        </w:rPr>
        <w:t>2.1.6 “现场”系指合同约定提供服务的地点。</w:t>
      </w:r>
    </w:p>
    <w:p w14:paraId="5BB7B065">
      <w:pPr>
        <w:spacing w:line="560" w:lineRule="exact"/>
        <w:ind w:firstLine="482" w:firstLineChars="200"/>
        <w:outlineLvl w:val="0"/>
        <w:rPr>
          <w:rFonts w:ascii="宋体" w:hAnsi="宋体"/>
          <w:b/>
          <w:sz w:val="24"/>
        </w:rPr>
      </w:pPr>
      <w:bookmarkStart w:id="106" w:name="_Toc16752"/>
      <w:bookmarkStart w:id="107" w:name="_Toc19539"/>
      <w:bookmarkStart w:id="108" w:name="_Toc3769"/>
      <w:bookmarkStart w:id="109" w:name="_Toc23289"/>
      <w:bookmarkStart w:id="110" w:name="_Toc31402"/>
      <w:r>
        <w:rPr>
          <w:rFonts w:ascii="宋体" w:hAnsi="宋体"/>
          <w:b/>
          <w:sz w:val="24"/>
        </w:rPr>
        <w:t>2.2 技术规范</w:t>
      </w:r>
      <w:bookmarkEnd w:id="106"/>
      <w:bookmarkEnd w:id="107"/>
      <w:bookmarkEnd w:id="108"/>
      <w:bookmarkEnd w:id="109"/>
      <w:bookmarkEnd w:id="110"/>
    </w:p>
    <w:p w14:paraId="2C5827EB">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19EBB04">
      <w:pPr>
        <w:spacing w:line="560" w:lineRule="exact"/>
        <w:ind w:firstLine="482" w:firstLineChars="200"/>
        <w:outlineLvl w:val="0"/>
        <w:rPr>
          <w:rFonts w:ascii="宋体" w:hAnsi="宋体"/>
          <w:b/>
          <w:sz w:val="24"/>
        </w:rPr>
      </w:pPr>
      <w:bookmarkStart w:id="111" w:name="_Toc9161"/>
      <w:bookmarkStart w:id="112" w:name="_Toc27945"/>
      <w:bookmarkStart w:id="113" w:name="_Toc4133"/>
      <w:bookmarkStart w:id="114" w:name="_Toc13673"/>
      <w:bookmarkStart w:id="115" w:name="_Toc12412"/>
      <w:r>
        <w:rPr>
          <w:rFonts w:ascii="宋体" w:hAnsi="宋体"/>
          <w:b/>
          <w:sz w:val="24"/>
        </w:rPr>
        <w:t>2.3 知识产权</w:t>
      </w:r>
      <w:bookmarkEnd w:id="111"/>
      <w:bookmarkEnd w:id="112"/>
      <w:bookmarkEnd w:id="113"/>
      <w:bookmarkEnd w:id="114"/>
      <w:bookmarkEnd w:id="115"/>
    </w:p>
    <w:p w14:paraId="129DFA28">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05E3939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AFE7D94">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1A8A4A2">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A7CF2CF">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ED1786B">
      <w:pPr>
        <w:spacing w:line="560" w:lineRule="exact"/>
        <w:ind w:firstLine="482" w:firstLineChars="200"/>
        <w:outlineLvl w:val="0"/>
        <w:rPr>
          <w:rFonts w:ascii="宋体" w:hAnsi="宋体"/>
          <w:b/>
          <w:sz w:val="24"/>
        </w:rPr>
      </w:pPr>
      <w:bookmarkStart w:id="116" w:name="_Toc26555"/>
      <w:bookmarkStart w:id="117" w:name="_Toc31233"/>
      <w:bookmarkStart w:id="118" w:name="_Toc22011"/>
      <w:bookmarkStart w:id="119" w:name="_Toc15447"/>
      <w:bookmarkStart w:id="120" w:name="_Toc32670"/>
      <w:r>
        <w:rPr>
          <w:rFonts w:ascii="宋体" w:hAnsi="宋体"/>
          <w:b/>
          <w:sz w:val="24"/>
        </w:rPr>
        <w:t>2.5 结算方式和付款条件</w:t>
      </w:r>
      <w:bookmarkEnd w:id="116"/>
      <w:bookmarkEnd w:id="117"/>
      <w:bookmarkEnd w:id="118"/>
      <w:bookmarkEnd w:id="119"/>
      <w:bookmarkEnd w:id="120"/>
    </w:p>
    <w:p w14:paraId="6863F947">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EFD5BA3">
      <w:pPr>
        <w:spacing w:line="560" w:lineRule="exact"/>
        <w:ind w:firstLine="482" w:firstLineChars="200"/>
        <w:outlineLvl w:val="0"/>
        <w:rPr>
          <w:rFonts w:ascii="宋体" w:hAnsi="宋体"/>
          <w:b/>
          <w:sz w:val="24"/>
        </w:rPr>
      </w:pPr>
      <w:bookmarkStart w:id="121" w:name="_Toc30507"/>
      <w:bookmarkStart w:id="122" w:name="_Toc13467"/>
      <w:bookmarkStart w:id="123" w:name="_Toc13154"/>
      <w:bookmarkStart w:id="124" w:name="_Toc18990"/>
      <w:bookmarkStart w:id="125" w:name="_Toc16163"/>
      <w:r>
        <w:rPr>
          <w:rFonts w:ascii="宋体" w:hAnsi="宋体"/>
          <w:b/>
          <w:sz w:val="24"/>
        </w:rPr>
        <w:t>2.6 技术资料和保密义务</w:t>
      </w:r>
      <w:bookmarkEnd w:id="121"/>
      <w:bookmarkEnd w:id="122"/>
      <w:bookmarkEnd w:id="123"/>
      <w:bookmarkEnd w:id="124"/>
      <w:bookmarkEnd w:id="125"/>
    </w:p>
    <w:p w14:paraId="6B7E917C">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1171A16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E55D6CB">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9205726">
      <w:pPr>
        <w:spacing w:line="560" w:lineRule="exact"/>
        <w:ind w:firstLine="482" w:firstLineChars="200"/>
        <w:outlineLvl w:val="0"/>
        <w:rPr>
          <w:rFonts w:ascii="宋体" w:hAnsi="宋体"/>
          <w:b/>
          <w:sz w:val="24"/>
        </w:rPr>
      </w:pPr>
      <w:bookmarkStart w:id="126" w:name="_Toc19069"/>
      <w:r>
        <w:rPr>
          <w:rFonts w:ascii="宋体" w:hAnsi="宋体"/>
          <w:b/>
          <w:sz w:val="24"/>
        </w:rPr>
        <w:t xml:space="preserve">2.7 </w:t>
      </w:r>
      <w:r>
        <w:rPr>
          <w:rFonts w:hint="eastAsia" w:ascii="宋体" w:hAnsi="宋体"/>
          <w:b/>
          <w:sz w:val="24"/>
        </w:rPr>
        <w:t>质量保证</w:t>
      </w:r>
      <w:bookmarkEnd w:id="126"/>
    </w:p>
    <w:p w14:paraId="71890E74">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21F4F08">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4B875A1">
      <w:pPr>
        <w:spacing w:line="560" w:lineRule="exact"/>
        <w:ind w:firstLine="482" w:firstLineChars="200"/>
        <w:outlineLvl w:val="0"/>
        <w:rPr>
          <w:rFonts w:ascii="宋体" w:hAnsi="宋体"/>
          <w:b/>
          <w:sz w:val="24"/>
        </w:rPr>
      </w:pPr>
      <w:bookmarkStart w:id="127" w:name="_Toc22267"/>
      <w:r>
        <w:rPr>
          <w:rFonts w:ascii="宋体" w:hAnsi="宋体"/>
          <w:b/>
          <w:sz w:val="24"/>
        </w:rPr>
        <w:t xml:space="preserve">2.8 </w:t>
      </w:r>
      <w:r>
        <w:rPr>
          <w:rFonts w:hint="eastAsia" w:ascii="宋体" w:hAnsi="宋体"/>
          <w:b/>
          <w:sz w:val="24"/>
        </w:rPr>
        <w:t>延迟履行</w:t>
      </w:r>
      <w:bookmarkEnd w:id="127"/>
    </w:p>
    <w:p w14:paraId="348F60B1">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A8F022B">
      <w:pPr>
        <w:spacing w:line="560" w:lineRule="exact"/>
        <w:ind w:firstLine="482" w:firstLineChars="200"/>
        <w:outlineLvl w:val="0"/>
        <w:rPr>
          <w:rFonts w:ascii="宋体" w:hAnsi="宋体"/>
          <w:b/>
          <w:sz w:val="24"/>
        </w:rPr>
      </w:pPr>
      <w:bookmarkStart w:id="128" w:name="_Toc10611"/>
      <w:r>
        <w:rPr>
          <w:rFonts w:ascii="宋体" w:hAnsi="宋体"/>
          <w:b/>
          <w:sz w:val="24"/>
        </w:rPr>
        <w:t xml:space="preserve">2.9 </w:t>
      </w:r>
      <w:r>
        <w:rPr>
          <w:rFonts w:hint="eastAsia" w:ascii="宋体" w:hAnsi="宋体"/>
          <w:b/>
          <w:sz w:val="24"/>
        </w:rPr>
        <w:t>合同变更</w:t>
      </w:r>
      <w:bookmarkEnd w:id="128"/>
    </w:p>
    <w:p w14:paraId="40FA5B5D">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6AFA7E3">
      <w:pPr>
        <w:spacing w:line="560" w:lineRule="exact"/>
        <w:ind w:firstLine="482" w:firstLineChars="200"/>
        <w:outlineLvl w:val="0"/>
        <w:rPr>
          <w:rFonts w:ascii="宋体" w:hAnsi="宋体"/>
          <w:b/>
          <w:sz w:val="24"/>
        </w:rPr>
      </w:pPr>
      <w:bookmarkStart w:id="129" w:name="_Toc26689"/>
      <w:bookmarkStart w:id="130" w:name="_Toc10663"/>
      <w:bookmarkStart w:id="131" w:name="_Toc23368"/>
      <w:bookmarkStart w:id="132" w:name="_Toc42"/>
      <w:bookmarkStart w:id="133" w:name="_Toc21830"/>
      <w:r>
        <w:rPr>
          <w:rFonts w:ascii="宋体" w:hAnsi="宋体"/>
          <w:b/>
          <w:sz w:val="24"/>
        </w:rPr>
        <w:t>2.10 合同转让和分包</w:t>
      </w:r>
      <w:bookmarkEnd w:id="129"/>
      <w:bookmarkEnd w:id="130"/>
      <w:bookmarkEnd w:id="131"/>
      <w:bookmarkEnd w:id="132"/>
      <w:bookmarkEnd w:id="133"/>
    </w:p>
    <w:p w14:paraId="3FA2CA5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296804A">
      <w:pPr>
        <w:spacing w:line="560" w:lineRule="exact"/>
        <w:ind w:firstLine="482" w:firstLineChars="200"/>
        <w:outlineLvl w:val="0"/>
        <w:rPr>
          <w:rFonts w:ascii="宋体" w:hAnsi="宋体"/>
          <w:b/>
          <w:sz w:val="24"/>
        </w:rPr>
      </w:pPr>
      <w:bookmarkStart w:id="134" w:name="_Toc32494"/>
      <w:bookmarkStart w:id="135" w:name="_Toc25571"/>
      <w:bookmarkStart w:id="136" w:name="_Toc14371"/>
      <w:bookmarkStart w:id="137" w:name="_Toc4720"/>
      <w:bookmarkStart w:id="138" w:name="_Toc26633"/>
      <w:r>
        <w:rPr>
          <w:rFonts w:ascii="宋体" w:hAnsi="宋体"/>
          <w:b/>
          <w:sz w:val="24"/>
        </w:rPr>
        <w:t>2.11 不可抗力</w:t>
      </w:r>
      <w:bookmarkEnd w:id="134"/>
      <w:bookmarkEnd w:id="135"/>
      <w:bookmarkEnd w:id="136"/>
      <w:bookmarkEnd w:id="137"/>
      <w:bookmarkEnd w:id="138"/>
    </w:p>
    <w:p w14:paraId="15EDB744">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8E697C1">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5D0A5B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5F7CE9D5">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2C05A5C">
      <w:pPr>
        <w:spacing w:line="560" w:lineRule="exact"/>
        <w:ind w:firstLine="482" w:firstLineChars="200"/>
        <w:outlineLvl w:val="0"/>
        <w:rPr>
          <w:rFonts w:ascii="宋体" w:hAnsi="宋体"/>
          <w:b/>
          <w:sz w:val="24"/>
        </w:rPr>
      </w:pPr>
      <w:bookmarkStart w:id="139" w:name="_Toc24465"/>
      <w:bookmarkStart w:id="140" w:name="_Toc25783"/>
      <w:bookmarkStart w:id="141" w:name="_Toc14115"/>
      <w:bookmarkStart w:id="142" w:name="_Toc3638"/>
      <w:bookmarkStart w:id="143" w:name="_Toc23854"/>
      <w:r>
        <w:rPr>
          <w:rFonts w:ascii="宋体" w:hAnsi="宋体"/>
          <w:b/>
          <w:sz w:val="24"/>
        </w:rPr>
        <w:t>2.12 税费</w:t>
      </w:r>
      <w:bookmarkEnd w:id="139"/>
      <w:bookmarkEnd w:id="140"/>
      <w:bookmarkEnd w:id="141"/>
      <w:bookmarkEnd w:id="142"/>
      <w:bookmarkEnd w:id="143"/>
    </w:p>
    <w:p w14:paraId="658C3344">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02EF331">
      <w:pPr>
        <w:spacing w:line="560" w:lineRule="exact"/>
        <w:ind w:firstLine="482" w:firstLineChars="200"/>
        <w:outlineLvl w:val="0"/>
        <w:rPr>
          <w:rFonts w:ascii="宋体" w:hAnsi="宋体"/>
          <w:b/>
          <w:sz w:val="24"/>
        </w:rPr>
      </w:pPr>
      <w:bookmarkStart w:id="144" w:name="_Toc7315"/>
      <w:bookmarkStart w:id="145" w:name="_Toc14814"/>
      <w:bookmarkStart w:id="146" w:name="_Toc30105"/>
      <w:bookmarkStart w:id="147" w:name="_Toc26883"/>
      <w:bookmarkStart w:id="148" w:name="_Toc25525"/>
      <w:r>
        <w:rPr>
          <w:rFonts w:ascii="宋体" w:hAnsi="宋体"/>
          <w:b/>
          <w:sz w:val="24"/>
        </w:rPr>
        <w:t>2.13 乙方破产</w:t>
      </w:r>
      <w:bookmarkEnd w:id="144"/>
      <w:bookmarkEnd w:id="145"/>
      <w:bookmarkEnd w:id="146"/>
      <w:bookmarkEnd w:id="147"/>
      <w:bookmarkEnd w:id="148"/>
    </w:p>
    <w:p w14:paraId="6DF1ACC4">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F82D0DF">
      <w:pPr>
        <w:spacing w:line="560" w:lineRule="exact"/>
        <w:ind w:firstLine="482" w:firstLineChars="200"/>
        <w:outlineLvl w:val="0"/>
        <w:rPr>
          <w:rFonts w:ascii="宋体" w:hAnsi="宋体"/>
          <w:b/>
          <w:sz w:val="24"/>
        </w:rPr>
      </w:pPr>
      <w:bookmarkStart w:id="149" w:name="_Toc23323"/>
      <w:bookmarkStart w:id="150" w:name="_Toc2016"/>
      <w:bookmarkStart w:id="151" w:name="_Toc1123"/>
      <w:r>
        <w:rPr>
          <w:rFonts w:ascii="宋体" w:hAnsi="宋体"/>
          <w:b/>
          <w:sz w:val="24"/>
        </w:rPr>
        <w:t>2.14 合同中止、终止</w:t>
      </w:r>
      <w:bookmarkEnd w:id="149"/>
      <w:bookmarkEnd w:id="150"/>
      <w:bookmarkEnd w:id="151"/>
    </w:p>
    <w:p w14:paraId="0977170D">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E3BBCDB">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663B133">
      <w:pPr>
        <w:spacing w:line="560" w:lineRule="exact"/>
        <w:ind w:firstLine="482" w:firstLineChars="200"/>
        <w:outlineLvl w:val="0"/>
        <w:rPr>
          <w:rFonts w:ascii="宋体" w:hAnsi="宋体"/>
          <w:b/>
          <w:sz w:val="24"/>
        </w:rPr>
      </w:pPr>
      <w:bookmarkStart w:id="152" w:name="_Toc17363"/>
      <w:bookmarkStart w:id="153" w:name="_Toc14525"/>
      <w:bookmarkStart w:id="154" w:name="_Toc1969"/>
      <w:r>
        <w:rPr>
          <w:rFonts w:ascii="宋体" w:hAnsi="宋体"/>
          <w:b/>
          <w:sz w:val="24"/>
        </w:rPr>
        <w:t>2.15 检验和验收</w:t>
      </w:r>
      <w:bookmarkEnd w:id="152"/>
      <w:bookmarkEnd w:id="153"/>
      <w:bookmarkEnd w:id="154"/>
    </w:p>
    <w:p w14:paraId="087F396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010725E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38D76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16A659A">
      <w:pPr>
        <w:spacing w:line="560" w:lineRule="exact"/>
        <w:ind w:firstLine="482" w:firstLineChars="200"/>
        <w:outlineLvl w:val="0"/>
        <w:rPr>
          <w:rFonts w:ascii="宋体" w:hAnsi="宋体"/>
          <w:b/>
          <w:sz w:val="24"/>
        </w:rPr>
      </w:pPr>
      <w:bookmarkStart w:id="155" w:name="_Toc12666"/>
      <w:bookmarkStart w:id="156" w:name="_Toc25198"/>
      <w:bookmarkStart w:id="157" w:name="_Toc2308"/>
      <w:bookmarkStart w:id="158" w:name="_Toc31892"/>
      <w:bookmarkStart w:id="159" w:name="_Toc9808"/>
      <w:r>
        <w:rPr>
          <w:rFonts w:ascii="宋体" w:hAnsi="宋体"/>
          <w:b/>
          <w:sz w:val="24"/>
        </w:rPr>
        <w:t>2.16 通知和送达</w:t>
      </w:r>
      <w:bookmarkEnd w:id="155"/>
      <w:bookmarkEnd w:id="156"/>
      <w:bookmarkEnd w:id="157"/>
      <w:bookmarkEnd w:id="158"/>
      <w:bookmarkEnd w:id="159"/>
    </w:p>
    <w:p w14:paraId="64C3F540">
      <w:pPr>
        <w:spacing w:line="560" w:lineRule="exact"/>
        <w:ind w:firstLine="480" w:firstLineChars="200"/>
        <w:rPr>
          <w:rFonts w:ascii="宋体" w:hAnsi="宋体"/>
          <w:sz w:val="24"/>
        </w:rPr>
      </w:pPr>
      <w:bookmarkStart w:id="160" w:name="_Toc18401"/>
      <w:bookmarkStart w:id="161" w:name="_Toc27674"/>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62160C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60"/>
      <w:bookmarkEnd w:id="161"/>
    </w:p>
    <w:p w14:paraId="3AE34C7E">
      <w:pPr>
        <w:spacing w:line="560" w:lineRule="exact"/>
        <w:ind w:firstLine="482" w:firstLineChars="200"/>
        <w:outlineLvl w:val="0"/>
        <w:rPr>
          <w:rFonts w:ascii="宋体" w:hAnsi="宋体"/>
          <w:b/>
          <w:sz w:val="24"/>
        </w:rPr>
      </w:pPr>
      <w:bookmarkStart w:id="162" w:name="_Toc5063"/>
      <w:bookmarkStart w:id="163" w:name="_Toc28906"/>
      <w:bookmarkStart w:id="164" w:name="_Toc12254"/>
      <w:bookmarkStart w:id="165" w:name="_Toc20808"/>
      <w:bookmarkStart w:id="166"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62"/>
      <w:bookmarkEnd w:id="163"/>
      <w:bookmarkEnd w:id="164"/>
      <w:bookmarkEnd w:id="165"/>
      <w:bookmarkEnd w:id="166"/>
    </w:p>
    <w:p w14:paraId="3FA4D790">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450618A">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7712438">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64378577">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92B601B">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C03B6C2">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468D06F">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026B0729">
      <w:pPr>
        <w:spacing w:line="560" w:lineRule="exact"/>
        <w:ind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615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FAD136C">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5614C92D">
            <w:pPr>
              <w:spacing w:line="360" w:lineRule="auto"/>
              <w:jc w:val="center"/>
              <w:rPr>
                <w:rFonts w:ascii="宋体" w:hAnsi="宋体" w:cs="宋体"/>
                <w:b/>
                <w:sz w:val="24"/>
              </w:rPr>
            </w:pPr>
            <w:r>
              <w:rPr>
                <w:rFonts w:hint="eastAsia" w:ascii="宋体" w:hAnsi="宋体" w:cs="宋体"/>
                <w:b/>
                <w:sz w:val="24"/>
              </w:rPr>
              <w:t>约定内容</w:t>
            </w:r>
          </w:p>
        </w:tc>
      </w:tr>
      <w:tr w14:paraId="3E14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E21952">
            <w:pPr>
              <w:spacing w:line="560" w:lineRule="exact"/>
              <w:ind w:left="-420" w:leftChars="-200" w:right="-420" w:rightChars="-200" w:firstLine="480" w:firstLineChars="200"/>
              <w:rPr>
                <w:rFonts w:ascii="宋体" w:hAnsi="宋体" w:cs="宋体"/>
                <w:sz w:val="24"/>
              </w:rPr>
            </w:pPr>
            <w:r>
              <w:rPr>
                <w:rFonts w:hint="eastAsia" w:ascii="宋体" w:hAnsi="宋体" w:cs="宋体"/>
                <w:sz w:val="24"/>
              </w:rPr>
              <w:t>1.4.2</w:t>
            </w:r>
          </w:p>
        </w:tc>
        <w:tc>
          <w:tcPr>
            <w:tcW w:w="4464" w:type="pct"/>
            <w:vAlign w:val="center"/>
          </w:tcPr>
          <w:p w14:paraId="2772E6AD">
            <w:pPr>
              <w:spacing w:line="560" w:lineRule="exact"/>
              <w:ind w:left="-420" w:leftChars="-200" w:right="-420" w:rightChars="-200" w:firstLine="480" w:firstLineChars="200"/>
              <w:rPr>
                <w:rFonts w:hint="eastAsia" w:ascii="宋体" w:hAnsi="宋体" w:eastAsia="宋体" w:cs="宋体"/>
                <w:sz w:val="24"/>
                <w:lang w:val="en-US" w:eastAsia="zh-CN"/>
              </w:rPr>
            </w:pPr>
            <w:r>
              <w:rPr>
                <w:rFonts w:hint="eastAsia" w:ascii="宋体" w:hAnsi="宋体" w:cs="宋体"/>
                <w:sz w:val="24"/>
                <w:lang w:val="en-US" w:eastAsia="zh-CN"/>
              </w:rPr>
              <w:t>/</w:t>
            </w:r>
          </w:p>
        </w:tc>
      </w:tr>
      <w:tr w14:paraId="546A5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F55690">
            <w:pPr>
              <w:spacing w:line="560" w:lineRule="exact"/>
              <w:ind w:left="-420" w:leftChars="-200" w:right="-420" w:rightChars="-200" w:firstLine="480" w:firstLineChars="200"/>
              <w:rPr>
                <w:rFonts w:ascii="宋体" w:hAnsi="宋体" w:cs="宋体"/>
                <w:sz w:val="24"/>
              </w:rPr>
            </w:pPr>
            <w:r>
              <w:rPr>
                <w:rFonts w:hint="eastAsia" w:ascii="宋体" w:hAnsi="宋体" w:cs="宋体"/>
                <w:sz w:val="24"/>
              </w:rPr>
              <w:t xml:space="preserve">1.5.1 </w:t>
            </w:r>
          </w:p>
        </w:tc>
        <w:tc>
          <w:tcPr>
            <w:tcW w:w="4464" w:type="pct"/>
            <w:vAlign w:val="center"/>
          </w:tcPr>
          <w:p w14:paraId="54F5F866">
            <w:pPr>
              <w:spacing w:line="560" w:lineRule="exact"/>
              <w:ind w:left="-420" w:leftChars="-200" w:right="-420" w:rightChars="-200" w:firstLine="480" w:firstLineChars="200"/>
              <w:rPr>
                <w:rFonts w:ascii="宋体" w:hAnsi="宋体" w:cs="宋体"/>
                <w:sz w:val="24"/>
              </w:rPr>
            </w:pPr>
            <w:r>
              <w:rPr>
                <w:rFonts w:hint="eastAsia" w:ascii="宋体" w:hAnsi="宋体" w:cs="宋体"/>
                <w:sz w:val="24"/>
              </w:rPr>
              <w:t>/</w:t>
            </w:r>
          </w:p>
        </w:tc>
      </w:tr>
      <w:tr w14:paraId="44166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91A5A4">
            <w:pPr>
              <w:spacing w:line="560" w:lineRule="exact"/>
              <w:ind w:left="-420" w:leftChars="-200" w:right="-420" w:rightChars="-200" w:firstLine="480" w:firstLineChars="200"/>
              <w:rPr>
                <w:rFonts w:ascii="宋体" w:hAnsi="宋体" w:cs="宋体"/>
                <w:sz w:val="24"/>
              </w:rPr>
            </w:pPr>
            <w:r>
              <w:rPr>
                <w:rFonts w:hint="eastAsia" w:ascii="宋体" w:hAnsi="宋体" w:cs="宋体"/>
                <w:sz w:val="24"/>
              </w:rPr>
              <w:t>1.5.2</w:t>
            </w:r>
          </w:p>
        </w:tc>
        <w:tc>
          <w:tcPr>
            <w:tcW w:w="4464" w:type="pct"/>
            <w:vAlign w:val="center"/>
          </w:tcPr>
          <w:p w14:paraId="69EA01D2">
            <w:pPr>
              <w:spacing w:line="560" w:lineRule="exact"/>
              <w:ind w:left="-420" w:leftChars="-200" w:right="-420" w:rightChars="-200" w:firstLine="480" w:firstLineChars="200"/>
              <w:rPr>
                <w:rFonts w:ascii="宋体" w:hAnsi="宋体" w:cs="宋体"/>
                <w:sz w:val="24"/>
              </w:rPr>
            </w:pPr>
            <w:r>
              <w:rPr>
                <w:rFonts w:hint="eastAsia" w:ascii="宋体" w:hAnsi="宋体" w:cs="宋体"/>
                <w:sz w:val="24"/>
              </w:rPr>
              <w:t>/</w:t>
            </w:r>
          </w:p>
        </w:tc>
      </w:tr>
      <w:tr w14:paraId="73BAC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989823">
            <w:pPr>
              <w:spacing w:line="560" w:lineRule="exact"/>
              <w:ind w:left="-420" w:leftChars="-200" w:right="-420" w:rightChars="-200" w:firstLine="480" w:firstLineChars="200"/>
              <w:rPr>
                <w:rFonts w:ascii="宋体" w:hAnsi="宋体" w:cs="宋体"/>
                <w:sz w:val="24"/>
              </w:rPr>
            </w:pPr>
            <w:r>
              <w:rPr>
                <w:rFonts w:hint="eastAsia" w:ascii="宋体" w:hAnsi="宋体" w:cs="宋体"/>
                <w:sz w:val="24"/>
              </w:rPr>
              <w:t xml:space="preserve">1.5.3 </w:t>
            </w:r>
          </w:p>
        </w:tc>
        <w:tc>
          <w:tcPr>
            <w:tcW w:w="4464" w:type="pct"/>
            <w:vAlign w:val="center"/>
          </w:tcPr>
          <w:p w14:paraId="7613443B">
            <w:pPr>
              <w:spacing w:line="560" w:lineRule="exact"/>
              <w:ind w:left="-420" w:leftChars="-200" w:right="-420" w:rightChars="-200" w:firstLine="480" w:firstLineChars="200"/>
              <w:rPr>
                <w:rFonts w:ascii="宋体" w:hAnsi="宋体" w:cs="宋体"/>
                <w:sz w:val="24"/>
              </w:rPr>
            </w:pPr>
            <w:r>
              <w:rPr>
                <w:rFonts w:hint="eastAsia" w:ascii="宋体" w:hAnsi="宋体" w:cs="宋体"/>
                <w:sz w:val="24"/>
              </w:rPr>
              <w:t>/</w:t>
            </w:r>
          </w:p>
        </w:tc>
      </w:tr>
      <w:tr w14:paraId="61F7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5DABDD">
            <w:pPr>
              <w:spacing w:line="560" w:lineRule="exact"/>
              <w:ind w:left="-420" w:leftChars="-200" w:right="-420" w:rightChars="-200" w:firstLine="480" w:firstLineChars="200"/>
              <w:rPr>
                <w:rFonts w:ascii="宋体" w:hAnsi="宋体" w:cs="宋体"/>
                <w:sz w:val="24"/>
              </w:rPr>
            </w:pPr>
            <w:r>
              <w:rPr>
                <w:rFonts w:hint="eastAsia" w:ascii="宋体" w:hAnsi="宋体" w:cs="宋体"/>
                <w:sz w:val="24"/>
              </w:rPr>
              <w:t>1.6.2</w:t>
            </w:r>
          </w:p>
        </w:tc>
        <w:tc>
          <w:tcPr>
            <w:tcW w:w="4464" w:type="pct"/>
            <w:vAlign w:val="center"/>
          </w:tcPr>
          <w:p w14:paraId="3E6F0F9E">
            <w:pPr>
              <w:spacing w:line="560" w:lineRule="exact"/>
              <w:ind w:firstLine="480" w:firstLineChars="200"/>
              <w:rPr>
                <w:rFonts w:ascii="宋体" w:hAnsi="宋体" w:cs="宋体"/>
                <w:sz w:val="24"/>
              </w:rPr>
            </w:pPr>
            <w:r>
              <w:rPr>
                <w:rFonts w:hint="eastAsia" w:ascii="宋体" w:hAnsi="宋体" w:cs="宋体"/>
                <w:sz w:val="24"/>
              </w:rPr>
              <w:t>付款方式：</w:t>
            </w:r>
            <w:r>
              <w:rPr>
                <w:rFonts w:hint="eastAsia" w:ascii="宋体" w:hAnsi="宋体" w:cs="宋体"/>
                <w:bCs/>
                <w:color w:val="000000"/>
                <w:sz w:val="24"/>
              </w:rPr>
              <w:t xml:space="preserve">各批次疗休养行程结束后，中标人按实际产生费用提供结算函（附本结算批次的线路、人数、总价等统计情况），经采购人经确认并在中标人开具增值税普通发票后一次性支付该批次合同价款。   </w:t>
            </w:r>
          </w:p>
        </w:tc>
      </w:tr>
      <w:tr w14:paraId="7E8BE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142429">
            <w:pPr>
              <w:spacing w:line="560" w:lineRule="exact"/>
              <w:ind w:left="-420" w:leftChars="-200" w:right="-420" w:rightChars="-200" w:firstLine="480" w:firstLineChars="200"/>
              <w:rPr>
                <w:rFonts w:ascii="宋体" w:hAnsi="宋体" w:cs="宋体"/>
                <w:sz w:val="24"/>
              </w:rPr>
            </w:pPr>
            <w:r>
              <w:rPr>
                <w:rFonts w:hint="eastAsia" w:ascii="宋体" w:hAnsi="宋体" w:cs="宋体"/>
                <w:sz w:val="24"/>
              </w:rPr>
              <w:t>1.7.1</w:t>
            </w:r>
          </w:p>
        </w:tc>
        <w:tc>
          <w:tcPr>
            <w:tcW w:w="4464" w:type="pct"/>
            <w:vAlign w:val="center"/>
          </w:tcPr>
          <w:p w14:paraId="542D518D">
            <w:pPr>
              <w:spacing w:line="560" w:lineRule="exact"/>
              <w:ind w:left="-420" w:leftChars="-200" w:right="-420" w:rightChars="-200" w:firstLine="480" w:firstLineChars="200"/>
              <w:rPr>
                <w:rFonts w:ascii="宋体" w:hAnsi="宋体" w:cs="宋体"/>
                <w:sz w:val="24"/>
              </w:rPr>
            </w:pPr>
            <w:r>
              <w:rPr>
                <w:rFonts w:ascii="宋体" w:hAnsi="宋体" w:cs="宋体"/>
                <w:sz w:val="24"/>
              </w:rPr>
              <w:t>自合同签订生效之日起至202</w:t>
            </w:r>
            <w:r>
              <w:rPr>
                <w:rFonts w:hint="eastAsia" w:ascii="宋体" w:hAnsi="宋体" w:cs="宋体"/>
                <w:sz w:val="24"/>
                <w:lang w:val="en-US" w:eastAsia="zh-CN"/>
              </w:rPr>
              <w:t>5</w:t>
            </w:r>
            <w:r>
              <w:rPr>
                <w:rFonts w:ascii="宋体" w:hAnsi="宋体" w:cs="宋体"/>
                <w:sz w:val="24"/>
              </w:rPr>
              <w:t>年12月31日止或（分批）完成约定疗休养人数。</w:t>
            </w:r>
          </w:p>
        </w:tc>
      </w:tr>
      <w:tr w14:paraId="40A45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861A3A">
            <w:pPr>
              <w:spacing w:line="360" w:lineRule="auto"/>
              <w:rPr>
                <w:rFonts w:ascii="宋体" w:hAnsi="宋体" w:cs="宋体"/>
                <w:sz w:val="24"/>
              </w:rPr>
            </w:pPr>
            <w:r>
              <w:rPr>
                <w:rFonts w:hint="eastAsia" w:ascii="宋体" w:hAnsi="宋体" w:cs="宋体"/>
                <w:sz w:val="24"/>
              </w:rPr>
              <w:t>1.7.2</w:t>
            </w:r>
          </w:p>
        </w:tc>
        <w:tc>
          <w:tcPr>
            <w:tcW w:w="4464" w:type="pct"/>
            <w:vAlign w:val="center"/>
          </w:tcPr>
          <w:p w14:paraId="5073B831">
            <w:pPr>
              <w:spacing w:line="360" w:lineRule="auto"/>
              <w:rPr>
                <w:rFonts w:ascii="宋体" w:hAnsi="宋体" w:cs="宋体"/>
                <w:sz w:val="24"/>
              </w:rPr>
            </w:pPr>
            <w:r>
              <w:rPr>
                <w:rFonts w:hint="eastAsia" w:ascii="宋体" w:hAnsi="宋体" w:cs="宋体"/>
                <w:sz w:val="24"/>
              </w:rPr>
              <w:t>指定疗休养线路</w:t>
            </w:r>
          </w:p>
        </w:tc>
      </w:tr>
      <w:tr w14:paraId="0DBC0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7136A2">
            <w:pPr>
              <w:spacing w:line="360" w:lineRule="auto"/>
              <w:rPr>
                <w:rFonts w:ascii="宋体" w:hAnsi="宋体" w:cs="宋体"/>
                <w:sz w:val="24"/>
              </w:rPr>
            </w:pPr>
            <w:r>
              <w:rPr>
                <w:rFonts w:hint="eastAsia" w:ascii="宋体" w:hAnsi="宋体" w:cs="宋体"/>
                <w:sz w:val="24"/>
              </w:rPr>
              <w:t>1.7.3</w:t>
            </w:r>
          </w:p>
        </w:tc>
        <w:tc>
          <w:tcPr>
            <w:tcW w:w="4464" w:type="pct"/>
            <w:vAlign w:val="center"/>
          </w:tcPr>
          <w:p w14:paraId="3CE7F7A9">
            <w:pPr>
              <w:spacing w:line="360" w:lineRule="auto"/>
              <w:rPr>
                <w:rFonts w:ascii="宋体" w:hAnsi="宋体" w:cs="宋体"/>
                <w:sz w:val="24"/>
              </w:rPr>
            </w:pPr>
            <w:r>
              <w:rPr>
                <w:rFonts w:hint="eastAsia" w:ascii="宋体" w:hAnsi="宋体" w:cs="宋体"/>
                <w:sz w:val="24"/>
              </w:rPr>
              <w:t>提供现场服务</w:t>
            </w:r>
          </w:p>
        </w:tc>
      </w:tr>
      <w:tr w14:paraId="4EE92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09368F">
            <w:pPr>
              <w:spacing w:line="360" w:lineRule="auto"/>
              <w:rPr>
                <w:rFonts w:ascii="宋体" w:hAnsi="宋体" w:cs="宋体"/>
                <w:sz w:val="24"/>
              </w:rPr>
            </w:pPr>
            <w:r>
              <w:rPr>
                <w:rFonts w:hint="eastAsia" w:ascii="宋体" w:hAnsi="宋体" w:cs="宋体"/>
                <w:sz w:val="24"/>
              </w:rPr>
              <w:t>1.7.4.1</w:t>
            </w:r>
          </w:p>
        </w:tc>
        <w:tc>
          <w:tcPr>
            <w:tcW w:w="4464" w:type="pct"/>
            <w:vAlign w:val="center"/>
          </w:tcPr>
          <w:p w14:paraId="371F995C">
            <w:pPr>
              <w:spacing w:line="360" w:lineRule="auto"/>
              <w:rPr>
                <w:rFonts w:ascii="宋体" w:hAnsi="宋体" w:cs="宋体"/>
                <w:sz w:val="24"/>
              </w:rPr>
            </w:pPr>
            <w:r>
              <w:rPr>
                <w:rFonts w:hint="eastAsia" w:ascii="宋体" w:hAnsi="宋体" w:cs="宋体"/>
                <w:sz w:val="24"/>
              </w:rPr>
              <w:t>/</w:t>
            </w:r>
          </w:p>
        </w:tc>
      </w:tr>
      <w:tr w14:paraId="2C46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09A19C">
            <w:pPr>
              <w:spacing w:line="360" w:lineRule="auto"/>
              <w:rPr>
                <w:rFonts w:ascii="宋体" w:hAnsi="宋体" w:cs="宋体"/>
                <w:sz w:val="24"/>
              </w:rPr>
            </w:pPr>
            <w:r>
              <w:rPr>
                <w:rFonts w:hint="eastAsia" w:ascii="宋体" w:hAnsi="宋体" w:cs="宋体"/>
                <w:sz w:val="24"/>
              </w:rPr>
              <w:t>1.7.4.2</w:t>
            </w:r>
          </w:p>
        </w:tc>
        <w:tc>
          <w:tcPr>
            <w:tcW w:w="4464" w:type="pct"/>
            <w:vAlign w:val="center"/>
          </w:tcPr>
          <w:p w14:paraId="545424AC">
            <w:pPr>
              <w:spacing w:line="360" w:lineRule="auto"/>
              <w:rPr>
                <w:rFonts w:ascii="宋体" w:hAnsi="宋体" w:cs="宋体"/>
                <w:sz w:val="24"/>
              </w:rPr>
            </w:pPr>
            <w:r>
              <w:rPr>
                <w:rFonts w:hint="eastAsia" w:ascii="宋体" w:hAnsi="宋体" w:cs="宋体"/>
                <w:sz w:val="24"/>
              </w:rPr>
              <w:t>/</w:t>
            </w:r>
          </w:p>
        </w:tc>
      </w:tr>
      <w:tr w14:paraId="426E3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37640B">
            <w:pPr>
              <w:spacing w:line="360" w:lineRule="auto"/>
              <w:rPr>
                <w:rFonts w:ascii="宋体" w:hAnsi="宋体" w:cs="宋体"/>
                <w:sz w:val="24"/>
              </w:rPr>
            </w:pPr>
            <w:r>
              <w:rPr>
                <w:rFonts w:hint="eastAsia" w:ascii="宋体" w:hAnsi="宋体" w:cs="宋体"/>
                <w:sz w:val="24"/>
              </w:rPr>
              <w:t>1.7.4.3</w:t>
            </w:r>
          </w:p>
        </w:tc>
        <w:tc>
          <w:tcPr>
            <w:tcW w:w="4464" w:type="pct"/>
            <w:vAlign w:val="center"/>
          </w:tcPr>
          <w:p w14:paraId="46ACB86B">
            <w:pPr>
              <w:spacing w:line="360" w:lineRule="auto"/>
              <w:rPr>
                <w:rFonts w:ascii="宋体" w:hAnsi="宋体" w:cs="宋体"/>
                <w:sz w:val="24"/>
              </w:rPr>
            </w:pPr>
            <w:r>
              <w:rPr>
                <w:rFonts w:hint="eastAsia" w:ascii="宋体" w:hAnsi="宋体" w:cs="宋体"/>
                <w:sz w:val="24"/>
              </w:rPr>
              <w:t>/</w:t>
            </w:r>
          </w:p>
        </w:tc>
      </w:tr>
      <w:tr w14:paraId="35724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1DD123">
            <w:pPr>
              <w:spacing w:line="360" w:lineRule="auto"/>
              <w:rPr>
                <w:rFonts w:ascii="宋体" w:hAnsi="宋体" w:cs="宋体"/>
                <w:sz w:val="24"/>
              </w:rPr>
            </w:pPr>
            <w:r>
              <w:rPr>
                <w:rFonts w:hint="eastAsia" w:ascii="宋体" w:hAnsi="宋体" w:cs="宋体"/>
                <w:sz w:val="24"/>
              </w:rPr>
              <w:t>1.8.7</w:t>
            </w:r>
          </w:p>
        </w:tc>
        <w:tc>
          <w:tcPr>
            <w:tcW w:w="4464" w:type="pct"/>
            <w:vAlign w:val="center"/>
          </w:tcPr>
          <w:p w14:paraId="03C7D9A8">
            <w:pPr>
              <w:spacing w:line="360" w:lineRule="auto"/>
              <w:rPr>
                <w:rFonts w:ascii="宋体" w:hAnsi="宋体" w:cs="宋体"/>
                <w:sz w:val="24"/>
              </w:rPr>
            </w:pPr>
            <w:r>
              <w:rPr>
                <w:rFonts w:hint="eastAsia" w:ascii="宋体" w:hAnsi="宋体" w:cs="宋体"/>
                <w:sz w:val="24"/>
              </w:rPr>
              <w:t>/</w:t>
            </w:r>
          </w:p>
        </w:tc>
      </w:tr>
      <w:tr w14:paraId="5325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1AA80E">
            <w:pPr>
              <w:spacing w:line="360" w:lineRule="auto"/>
              <w:rPr>
                <w:rFonts w:ascii="宋体" w:hAnsi="宋体" w:cs="宋体"/>
                <w:sz w:val="24"/>
              </w:rPr>
            </w:pPr>
            <w:r>
              <w:rPr>
                <w:rFonts w:hint="eastAsia" w:ascii="宋体" w:hAnsi="宋体" w:cs="宋体"/>
                <w:sz w:val="24"/>
              </w:rPr>
              <w:t>1.9.1</w:t>
            </w:r>
          </w:p>
        </w:tc>
        <w:tc>
          <w:tcPr>
            <w:tcW w:w="4464" w:type="pct"/>
            <w:vAlign w:val="center"/>
          </w:tcPr>
          <w:p w14:paraId="025444C3">
            <w:pPr>
              <w:spacing w:line="360" w:lineRule="auto"/>
              <w:rPr>
                <w:rFonts w:ascii="宋体" w:hAnsi="宋体" w:cs="宋体"/>
                <w:sz w:val="24"/>
              </w:rPr>
            </w:pPr>
            <w:r>
              <w:rPr>
                <w:rFonts w:hint="eastAsia" w:ascii="宋体" w:hAnsi="宋体" w:cs="宋体"/>
                <w:sz w:val="24"/>
              </w:rPr>
              <w:t>/</w:t>
            </w:r>
          </w:p>
        </w:tc>
      </w:tr>
      <w:tr w14:paraId="2912A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27E875">
            <w:pPr>
              <w:spacing w:line="360" w:lineRule="auto"/>
              <w:rPr>
                <w:rFonts w:ascii="宋体" w:hAnsi="宋体" w:cs="宋体"/>
                <w:sz w:val="24"/>
              </w:rPr>
            </w:pPr>
            <w:r>
              <w:rPr>
                <w:rFonts w:hint="eastAsia" w:ascii="宋体" w:hAnsi="宋体" w:cs="宋体"/>
                <w:sz w:val="24"/>
              </w:rPr>
              <w:t>1.9.2</w:t>
            </w:r>
          </w:p>
        </w:tc>
        <w:tc>
          <w:tcPr>
            <w:tcW w:w="4464" w:type="pct"/>
            <w:vAlign w:val="center"/>
          </w:tcPr>
          <w:p w14:paraId="741305A3">
            <w:pPr>
              <w:spacing w:line="360" w:lineRule="auto"/>
              <w:rPr>
                <w:rFonts w:ascii="宋体" w:hAnsi="宋体" w:cs="宋体"/>
                <w:sz w:val="24"/>
              </w:rPr>
            </w:pPr>
            <w:r>
              <w:rPr>
                <w:rFonts w:hint="eastAsia" w:ascii="宋体" w:hAnsi="宋体" w:cs="宋体"/>
                <w:sz w:val="24"/>
              </w:rPr>
              <w:t>杭州市临安区</w:t>
            </w:r>
          </w:p>
        </w:tc>
      </w:tr>
      <w:tr w14:paraId="2934A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AF1AA5">
            <w:pPr>
              <w:spacing w:line="360" w:lineRule="auto"/>
              <w:rPr>
                <w:rFonts w:ascii="宋体" w:hAnsi="宋体" w:cs="宋体"/>
                <w:sz w:val="24"/>
              </w:rPr>
            </w:pPr>
            <w:r>
              <w:rPr>
                <w:rFonts w:hint="eastAsia" w:ascii="宋体" w:hAnsi="宋体" w:cs="宋体"/>
                <w:sz w:val="24"/>
              </w:rPr>
              <w:t>2.3.2</w:t>
            </w:r>
          </w:p>
        </w:tc>
        <w:tc>
          <w:tcPr>
            <w:tcW w:w="4464" w:type="pct"/>
            <w:vAlign w:val="center"/>
          </w:tcPr>
          <w:p w14:paraId="5C05019D">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22698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A4EA37">
            <w:pPr>
              <w:spacing w:line="360" w:lineRule="auto"/>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14:paraId="369922C3">
            <w:pPr>
              <w:widowControl/>
              <w:spacing w:line="360" w:lineRule="auto"/>
              <w:rPr>
                <w:rFonts w:ascii="宋体" w:hAnsi="宋体" w:cs="宋体"/>
                <w:color w:val="FF0000"/>
                <w:sz w:val="24"/>
              </w:rPr>
            </w:pPr>
            <w:r>
              <w:rPr>
                <w:rFonts w:hint="eastAsia" w:ascii="宋体" w:hAnsi="宋体" w:cs="宋体"/>
                <w:sz w:val="24"/>
              </w:rPr>
              <w:t>结算方式和付款条件：</w:t>
            </w:r>
            <w:r>
              <w:rPr>
                <w:rFonts w:hint="eastAsia" w:ascii="宋体" w:hAnsi="宋体" w:cs="宋体"/>
                <w:bCs/>
                <w:color w:val="000000"/>
                <w:sz w:val="24"/>
              </w:rPr>
              <w:t>各批次疗休养行程结束后，中标人按实际产生费用提供结算函（附本结算批次的线路、人数、总价等统计情况），经采购人经确认并在中标人开具增值税普通发票后一次性支付该批次合同价款。</w:t>
            </w:r>
          </w:p>
        </w:tc>
      </w:tr>
      <w:tr w14:paraId="4F9EB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2C12E7">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5DA24A4B">
            <w:pPr>
              <w:spacing w:line="440" w:lineRule="exact"/>
              <w:jc w:val="left"/>
              <w:rPr>
                <w:rFonts w:ascii="宋体" w:hAnsi="宋体" w:cs="宋体"/>
                <w:sz w:val="24"/>
              </w:rPr>
            </w:pPr>
            <w:r>
              <w:rPr>
                <w:rFonts w:hint="eastAsia" w:ascii="宋体" w:hAnsi="宋体" w:cs="宋体"/>
                <w:snapToGrid w:val="0"/>
                <w:kern w:val="0"/>
                <w:sz w:val="24"/>
              </w:rPr>
              <w:t>因不可抗力致使合同有变更必要的，双方当事人应在</w:t>
            </w:r>
            <w:r>
              <w:rPr>
                <w:rFonts w:hint="eastAsia" w:ascii="宋体" w:hAnsi="宋体" w:cs="宋体"/>
                <w:snapToGrid w:val="0"/>
                <w:kern w:val="0"/>
                <w:sz w:val="24"/>
                <w:u w:val="single"/>
              </w:rPr>
              <w:t>30日</w:t>
            </w:r>
            <w:r>
              <w:rPr>
                <w:rFonts w:hint="eastAsia" w:ascii="宋体" w:hAnsi="宋体" w:cs="宋体"/>
                <w:snapToGrid w:val="0"/>
                <w:kern w:val="0"/>
                <w:sz w:val="24"/>
              </w:rPr>
              <w:t>内以书面形式变更合同</w:t>
            </w:r>
          </w:p>
        </w:tc>
      </w:tr>
      <w:tr w14:paraId="109E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1016BD">
            <w:pPr>
              <w:spacing w:line="360" w:lineRule="auto"/>
              <w:rPr>
                <w:rFonts w:ascii="宋体" w:hAnsi="宋体" w:cs="宋体"/>
                <w:sz w:val="24"/>
              </w:rPr>
            </w:pPr>
            <w:r>
              <w:rPr>
                <w:rFonts w:hint="eastAsia" w:ascii="宋体" w:hAnsi="宋体" w:cs="宋体"/>
                <w:sz w:val="24"/>
              </w:rPr>
              <w:t>2.</w:t>
            </w:r>
            <w:r>
              <w:rPr>
                <w:rFonts w:ascii="宋体" w:hAnsi="宋体" w:cs="宋体"/>
                <w:sz w:val="24"/>
              </w:rPr>
              <w:t>11.4</w:t>
            </w:r>
          </w:p>
        </w:tc>
        <w:tc>
          <w:tcPr>
            <w:tcW w:w="8149" w:type="dxa"/>
            <w:vAlign w:val="center"/>
          </w:tcPr>
          <w:p w14:paraId="6E188BA8">
            <w:pPr>
              <w:spacing w:line="440" w:lineRule="exact"/>
              <w:jc w:val="left"/>
              <w:rPr>
                <w:rFonts w:ascii="宋体" w:hAnsi="宋体" w:cs="宋体"/>
                <w:sz w:val="24"/>
              </w:rPr>
            </w:pPr>
            <w:r>
              <w:rPr>
                <w:rFonts w:hint="eastAsia" w:ascii="宋体" w:hAnsi="宋体" w:cs="宋体"/>
                <w:snapToGrid w:val="0"/>
                <w:kern w:val="0"/>
                <w:sz w:val="24"/>
              </w:rPr>
              <w:t>受不可抗力影响的一方在不可抗力发生后，应在</w:t>
            </w:r>
            <w:r>
              <w:rPr>
                <w:rFonts w:hint="eastAsia" w:ascii="宋体" w:hAnsi="宋体" w:cs="宋体"/>
                <w:snapToGrid w:val="0"/>
                <w:kern w:val="0"/>
                <w:sz w:val="24"/>
                <w:u w:val="single"/>
              </w:rPr>
              <w:t>15日</w:t>
            </w:r>
            <w:r>
              <w:rPr>
                <w:rFonts w:hint="eastAsia" w:ascii="宋体" w:hAnsi="宋体" w:cs="宋体"/>
                <w:snapToGrid w:val="0"/>
                <w:kern w:val="0"/>
                <w:sz w:val="24"/>
              </w:rPr>
              <w:t>内以书面形式通知对方当事人，并在</w:t>
            </w:r>
            <w:r>
              <w:rPr>
                <w:rFonts w:hint="eastAsia" w:ascii="宋体" w:hAnsi="宋体" w:cs="宋体"/>
                <w:snapToGrid w:val="0"/>
                <w:kern w:val="0"/>
                <w:sz w:val="24"/>
                <w:u w:val="single"/>
              </w:rPr>
              <w:t>15日</w:t>
            </w:r>
            <w:r>
              <w:rPr>
                <w:rFonts w:hint="eastAsia" w:ascii="宋体" w:hAnsi="宋体" w:cs="宋体"/>
                <w:snapToGrid w:val="0"/>
                <w:kern w:val="0"/>
                <w:sz w:val="24"/>
              </w:rPr>
              <w:t>内，将有关部门出具的证明文件送达对方当事人。</w:t>
            </w:r>
          </w:p>
        </w:tc>
      </w:tr>
      <w:tr w14:paraId="0603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79695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60D112FD">
            <w:pPr>
              <w:tabs>
                <w:tab w:val="left" w:pos="0"/>
              </w:tabs>
              <w:spacing w:line="360" w:lineRule="auto"/>
              <w:ind w:firstLine="480" w:firstLineChars="200"/>
              <w:rPr>
                <w:rFonts w:ascii="宋体" w:hAnsi="宋体" w:cs="宋体"/>
                <w:sz w:val="24"/>
              </w:rPr>
            </w:pPr>
            <w:r>
              <w:rPr>
                <w:rFonts w:hint="eastAsia" w:ascii="宋体" w:hAnsi="宋体" w:cs="宋体"/>
                <w:color w:val="000000"/>
                <w:kern w:val="0"/>
                <w:sz w:val="24"/>
              </w:rPr>
              <w:t>考核方式：每次完成疗养服务回程时，出行职工对本次出行计划、酒店、就餐等情况进行满意度评分并填写《满意度调查表》（调查表选项填写不全或赋分不在设定范围的无效），投标人根据满意度平均分确认当次疗休养费用。</w:t>
            </w:r>
          </w:p>
        </w:tc>
      </w:tr>
      <w:tr w14:paraId="176DD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DF265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5A9F8219">
            <w:pPr>
              <w:spacing w:line="360" w:lineRule="auto"/>
              <w:jc w:val="left"/>
              <w:rPr>
                <w:rFonts w:ascii="宋体" w:hAnsi="宋体" w:cs="宋体"/>
                <w:sz w:val="24"/>
              </w:rPr>
            </w:pPr>
            <w:r>
              <w:rPr>
                <w:rFonts w:hint="eastAsia" w:ascii="宋体" w:hAnsi="宋体" w:cs="宋体"/>
                <w:color w:val="000000"/>
                <w:kern w:val="0"/>
                <w:sz w:val="24"/>
              </w:rPr>
              <w:t>考核标准：当次满意度平均分高于85分（含），支付当次疗休养费用的100%；当次满意度平均分高于75分（含）低于85分，扣减当次疗休养费用5%；当次满意度平均分低75分，扣减当次疗休养费用10%。</w:t>
            </w:r>
          </w:p>
        </w:tc>
      </w:tr>
      <w:tr w14:paraId="2386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BCF47FE">
            <w:pPr>
              <w:spacing w:line="360" w:lineRule="auto"/>
              <w:rPr>
                <w:rFonts w:ascii="宋体" w:hAnsi="宋体" w:cs="宋体"/>
                <w:sz w:val="24"/>
              </w:rPr>
            </w:pPr>
            <w:r>
              <w:rPr>
                <w:rFonts w:hint="eastAsia" w:ascii="宋体" w:hAnsi="宋体" w:cs="宋体"/>
                <w:sz w:val="24"/>
              </w:rPr>
              <w:t>2.19</w:t>
            </w:r>
          </w:p>
        </w:tc>
        <w:tc>
          <w:tcPr>
            <w:tcW w:w="4464" w:type="pct"/>
          </w:tcPr>
          <w:p w14:paraId="5B113B0A">
            <w:pPr>
              <w:spacing w:line="360" w:lineRule="auto"/>
              <w:rPr>
                <w:rFonts w:ascii="宋体" w:hAnsi="宋体" w:cs="宋体"/>
                <w:sz w:val="24"/>
              </w:rPr>
            </w:pPr>
            <w:r>
              <w:rPr>
                <w:rFonts w:hint="eastAsia" w:cs="仿宋" w:asciiTheme="minorEastAsia" w:hAnsiTheme="minorEastAsia"/>
                <w:sz w:val="24"/>
              </w:rPr>
              <w:t>本合同一式四份，双方各执二份。</w:t>
            </w:r>
          </w:p>
        </w:tc>
      </w:tr>
    </w:tbl>
    <w:p w14:paraId="10323891">
      <w:pPr>
        <w:spacing w:line="360" w:lineRule="auto"/>
        <w:rPr>
          <w:rFonts w:asciiTheme="minorEastAsia" w:hAnsiTheme="minorEastAsia" w:eastAsiaTheme="minorEastAsia"/>
          <w:b/>
          <w:sz w:val="28"/>
          <w:szCs w:val="28"/>
        </w:rPr>
      </w:pPr>
    </w:p>
    <w:p w14:paraId="5B25A6DB">
      <w:pPr>
        <w:rPr>
          <w:rFonts w:cs="仿宋_GB2312" w:asciiTheme="minorEastAsia" w:hAnsiTheme="minorEastAsia" w:eastAsiaTheme="minorEastAsia"/>
          <w:b/>
          <w:sz w:val="36"/>
          <w:szCs w:val="20"/>
        </w:rPr>
      </w:pPr>
    </w:p>
    <w:p w14:paraId="615E37B8">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附件：</w:t>
      </w:r>
      <w:r>
        <w:rPr>
          <w:rFonts w:hint="eastAsia" w:ascii="宋体" w:hAnsi="宋体" w:cs="宋体"/>
          <w:sz w:val="24"/>
          <w:lang w:val="en-US" w:eastAsia="zh-CN"/>
        </w:rPr>
        <w:t xml:space="preserve">                </w:t>
      </w:r>
      <w:r>
        <w:rPr>
          <w:rFonts w:hint="eastAsia" w:ascii="宋体" w:hAnsi="宋体" w:cs="宋体"/>
          <w:b/>
          <w:bCs/>
          <w:color w:val="000000"/>
          <w:kern w:val="0"/>
          <w:sz w:val="24"/>
        </w:rPr>
        <w:t>满意度调查表</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可根据实际情况调整</w:t>
      </w:r>
      <w:r>
        <w:rPr>
          <w:rFonts w:hint="eastAsia" w:ascii="宋体" w:hAnsi="宋体" w:cs="宋体"/>
          <w:b/>
          <w:bCs/>
          <w:color w:val="000000"/>
          <w:kern w:val="0"/>
          <w:sz w:val="24"/>
          <w:lang w:eastAsia="zh-CN"/>
        </w:rPr>
        <w:t>）</w:t>
      </w:r>
    </w:p>
    <w:p w14:paraId="4825D3C2">
      <w:pPr>
        <w:widowControl w:val="0"/>
        <w:wordWrap/>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感谢您对旅行社的服务情况进行评分反馈。希望您能认真、详实地填写。同时为耽误您的宝贵时间表示歉意。</w:t>
      </w:r>
    </w:p>
    <w:p w14:paraId="1212A784">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为您服务的旅行社名称：                         疗休养线路：</w:t>
      </w:r>
    </w:p>
    <w:p w14:paraId="550B7F0A">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请根据您的实际感受对以下各项进行评分：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484"/>
        <w:gridCol w:w="1285"/>
        <w:gridCol w:w="811"/>
        <w:gridCol w:w="812"/>
        <w:gridCol w:w="938"/>
      </w:tblGrid>
      <w:tr w14:paraId="6722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vMerge w:val="restart"/>
            <w:tcBorders>
              <w:tl2br w:val="nil"/>
              <w:tr2bl w:val="nil"/>
            </w:tcBorders>
            <w:noWrap w:val="0"/>
            <w:vAlign w:val="center"/>
          </w:tcPr>
          <w:p w14:paraId="2D4CD309">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评价内容</w:t>
            </w:r>
          </w:p>
        </w:tc>
        <w:tc>
          <w:tcPr>
            <w:tcW w:w="3846" w:type="dxa"/>
            <w:gridSpan w:val="4"/>
            <w:tcBorders>
              <w:tl2br w:val="nil"/>
              <w:tr2bl w:val="nil"/>
            </w:tcBorders>
            <w:noWrap w:val="0"/>
            <w:vAlign w:val="center"/>
          </w:tcPr>
          <w:p w14:paraId="6D83C846">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满意度评分（0-100分）</w:t>
            </w:r>
          </w:p>
        </w:tc>
      </w:tr>
      <w:tr w14:paraId="4046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vMerge w:val="continue"/>
            <w:tcBorders>
              <w:tl2br w:val="nil"/>
              <w:tr2bl w:val="nil"/>
            </w:tcBorders>
            <w:noWrap w:val="0"/>
            <w:vAlign w:val="center"/>
          </w:tcPr>
          <w:p w14:paraId="42A7B1CE">
            <w:pPr>
              <w:widowControl/>
              <w:spacing w:before="156"/>
              <w:jc w:val="left"/>
              <w:rPr>
                <w:rFonts w:hint="eastAsia" w:ascii="宋体" w:hAnsi="宋体" w:eastAsia="宋体" w:cs="宋体"/>
                <w:color w:val="auto"/>
                <w:kern w:val="0"/>
                <w:sz w:val="24"/>
                <w:szCs w:val="24"/>
                <w:highlight w:val="none"/>
              </w:rPr>
            </w:pPr>
          </w:p>
        </w:tc>
        <w:tc>
          <w:tcPr>
            <w:tcW w:w="1285" w:type="dxa"/>
            <w:tcBorders>
              <w:tl2br w:val="nil"/>
              <w:tr2bl w:val="nil"/>
            </w:tcBorders>
            <w:noWrap w:val="0"/>
            <w:vAlign w:val="center"/>
          </w:tcPr>
          <w:p w14:paraId="1263DDB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非常满意</w:t>
            </w:r>
          </w:p>
        </w:tc>
        <w:tc>
          <w:tcPr>
            <w:tcW w:w="811" w:type="dxa"/>
            <w:tcBorders>
              <w:tl2br w:val="nil"/>
              <w:tr2bl w:val="nil"/>
            </w:tcBorders>
            <w:noWrap w:val="0"/>
            <w:vAlign w:val="center"/>
          </w:tcPr>
          <w:p w14:paraId="2E350C52">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满意</w:t>
            </w:r>
          </w:p>
        </w:tc>
        <w:tc>
          <w:tcPr>
            <w:tcW w:w="812" w:type="dxa"/>
            <w:tcBorders>
              <w:tl2br w:val="nil"/>
              <w:tr2bl w:val="nil"/>
            </w:tcBorders>
            <w:noWrap w:val="0"/>
            <w:vAlign w:val="center"/>
          </w:tcPr>
          <w:p w14:paraId="656B73E2">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w:t>
            </w:r>
          </w:p>
        </w:tc>
        <w:tc>
          <w:tcPr>
            <w:tcW w:w="938" w:type="dxa"/>
            <w:tcBorders>
              <w:tl2br w:val="nil"/>
              <w:tr2bl w:val="nil"/>
            </w:tcBorders>
            <w:noWrap w:val="0"/>
            <w:vAlign w:val="center"/>
          </w:tcPr>
          <w:p w14:paraId="092053F2">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不满意</w:t>
            </w:r>
          </w:p>
        </w:tc>
      </w:tr>
      <w:tr w14:paraId="56A2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3" w:type="dxa"/>
            <w:gridSpan w:val="2"/>
            <w:tcBorders>
              <w:tl2br w:val="nil"/>
              <w:tr2bl w:val="nil"/>
            </w:tcBorders>
            <w:noWrap w:val="0"/>
            <w:vAlign w:val="center"/>
          </w:tcPr>
          <w:p w14:paraId="787F8F13">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85" w:type="dxa"/>
            <w:tcBorders>
              <w:tl2br w:val="nil"/>
              <w:tr2bl w:val="nil"/>
            </w:tcBorders>
            <w:noWrap w:val="0"/>
            <w:vAlign w:val="center"/>
          </w:tcPr>
          <w:p w14:paraId="5A79358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11" w:type="dxa"/>
            <w:tcBorders>
              <w:tl2br w:val="nil"/>
              <w:tr2bl w:val="nil"/>
            </w:tcBorders>
            <w:noWrap w:val="0"/>
            <w:vAlign w:val="center"/>
          </w:tcPr>
          <w:p w14:paraId="2F70AA61">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12" w:type="dxa"/>
            <w:tcBorders>
              <w:tl2br w:val="nil"/>
              <w:tr2bl w:val="nil"/>
            </w:tcBorders>
            <w:noWrap w:val="0"/>
            <w:vAlign w:val="center"/>
          </w:tcPr>
          <w:p w14:paraId="579BFF5C">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38" w:type="dxa"/>
            <w:tcBorders>
              <w:tl2br w:val="nil"/>
              <w:tr2bl w:val="nil"/>
            </w:tcBorders>
            <w:noWrap w:val="0"/>
            <w:vAlign w:val="center"/>
          </w:tcPr>
          <w:p w14:paraId="28B1A66E">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14:paraId="60C5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4326A295">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交</w:t>
            </w:r>
          </w:p>
          <w:p w14:paraId="009D6ABA">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w:t>
            </w:r>
          </w:p>
          <w:p w14:paraId="100A9BA7">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6CFEA680">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2914499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车况及性能</w:t>
            </w:r>
          </w:p>
        </w:tc>
        <w:tc>
          <w:tcPr>
            <w:tcW w:w="1285" w:type="dxa"/>
            <w:tcBorders>
              <w:tl2br w:val="nil"/>
              <w:tr2bl w:val="nil"/>
            </w:tcBorders>
            <w:noWrap w:val="0"/>
            <w:vAlign w:val="center"/>
          </w:tcPr>
          <w:p w14:paraId="01ECBBA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2BE307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582C325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C1CD0D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E8E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4BD85B92">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CEC613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到点准时</w:t>
            </w:r>
          </w:p>
        </w:tc>
        <w:tc>
          <w:tcPr>
            <w:tcW w:w="1285" w:type="dxa"/>
            <w:tcBorders>
              <w:tl2br w:val="nil"/>
              <w:tr2bl w:val="nil"/>
            </w:tcBorders>
            <w:noWrap w:val="0"/>
            <w:vAlign w:val="center"/>
          </w:tcPr>
          <w:p w14:paraId="4F6A241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56DD147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165B1E5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71AFCEF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53A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DF1BBA6">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A45E24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司机态度及技术</w:t>
            </w:r>
          </w:p>
        </w:tc>
        <w:tc>
          <w:tcPr>
            <w:tcW w:w="1285" w:type="dxa"/>
            <w:tcBorders>
              <w:tl2br w:val="nil"/>
              <w:tr2bl w:val="nil"/>
            </w:tcBorders>
            <w:noWrap w:val="0"/>
            <w:vAlign w:val="center"/>
          </w:tcPr>
          <w:p w14:paraId="621ED25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5D2BF9E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5392762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775CC48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5A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5361E4C1">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07453D6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全程交通衔接及总体满意程度</w:t>
            </w:r>
          </w:p>
        </w:tc>
        <w:tc>
          <w:tcPr>
            <w:tcW w:w="1285" w:type="dxa"/>
            <w:tcBorders>
              <w:tl2br w:val="nil"/>
              <w:tr2bl w:val="nil"/>
            </w:tcBorders>
            <w:noWrap w:val="0"/>
            <w:vAlign w:val="center"/>
          </w:tcPr>
          <w:p w14:paraId="2C8CC27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AA0704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429B1D3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1705B1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FC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28032DC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住</w:t>
            </w:r>
          </w:p>
          <w:p w14:paraId="1D3B4988">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宿</w:t>
            </w:r>
          </w:p>
          <w:p w14:paraId="608CCA4F">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19CDC906">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3F060E6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周边环境安全，客房卫生整洁</w:t>
            </w:r>
          </w:p>
        </w:tc>
        <w:tc>
          <w:tcPr>
            <w:tcW w:w="1285" w:type="dxa"/>
            <w:tcBorders>
              <w:tl2br w:val="nil"/>
              <w:tr2bl w:val="nil"/>
            </w:tcBorders>
            <w:noWrap w:val="0"/>
            <w:vAlign w:val="center"/>
          </w:tcPr>
          <w:p w14:paraId="7A4940F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497B5C2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009D95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01076A4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3AF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29676F53">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461AC5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住宿地点交通便捷</w:t>
            </w:r>
          </w:p>
        </w:tc>
        <w:tc>
          <w:tcPr>
            <w:tcW w:w="1285" w:type="dxa"/>
            <w:tcBorders>
              <w:tl2br w:val="nil"/>
              <w:tr2bl w:val="nil"/>
            </w:tcBorders>
            <w:noWrap w:val="0"/>
            <w:vAlign w:val="center"/>
          </w:tcPr>
          <w:p w14:paraId="2B77D8F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BDA05F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7153BC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2B969FC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9AC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CE2A7AD">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AC6EB5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宾馆设施及使用性能</w:t>
            </w:r>
          </w:p>
        </w:tc>
        <w:tc>
          <w:tcPr>
            <w:tcW w:w="1285" w:type="dxa"/>
            <w:tcBorders>
              <w:tl2br w:val="nil"/>
              <w:tr2bl w:val="nil"/>
            </w:tcBorders>
            <w:noWrap w:val="0"/>
            <w:vAlign w:val="center"/>
          </w:tcPr>
          <w:p w14:paraId="71B50E3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9A1FB1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72BBA58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BDD7C1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C65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71E27BA">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51143DA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服务水平及态度</w:t>
            </w:r>
          </w:p>
        </w:tc>
        <w:tc>
          <w:tcPr>
            <w:tcW w:w="1285" w:type="dxa"/>
            <w:tcBorders>
              <w:tl2br w:val="nil"/>
              <w:tr2bl w:val="nil"/>
            </w:tcBorders>
            <w:noWrap w:val="0"/>
            <w:vAlign w:val="center"/>
          </w:tcPr>
          <w:p w14:paraId="162856D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241703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1BAC5BE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700739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6A5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40EC1C6">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EDAB7E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住宿安排总体满意程度</w:t>
            </w:r>
          </w:p>
        </w:tc>
        <w:tc>
          <w:tcPr>
            <w:tcW w:w="1285" w:type="dxa"/>
            <w:tcBorders>
              <w:tl2br w:val="nil"/>
              <w:tr2bl w:val="nil"/>
            </w:tcBorders>
            <w:noWrap w:val="0"/>
            <w:vAlign w:val="center"/>
          </w:tcPr>
          <w:p w14:paraId="2D565AD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585282E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95C396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EDFAC0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A3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7E6D34F7">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餐</w:t>
            </w:r>
          </w:p>
          <w:p w14:paraId="51109CB1">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饮</w:t>
            </w:r>
          </w:p>
          <w:p w14:paraId="5F0D8F20">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70855DCB">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1FE2DF4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就餐环境</w:t>
            </w:r>
          </w:p>
        </w:tc>
        <w:tc>
          <w:tcPr>
            <w:tcW w:w="1285" w:type="dxa"/>
            <w:tcBorders>
              <w:tl2br w:val="nil"/>
              <w:tr2bl w:val="nil"/>
            </w:tcBorders>
            <w:noWrap w:val="0"/>
            <w:vAlign w:val="center"/>
          </w:tcPr>
          <w:p w14:paraId="43D708A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C2BA5A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6E1542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770F3C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61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75ADF582">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4F92EA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菜肴卫生</w:t>
            </w:r>
          </w:p>
        </w:tc>
        <w:tc>
          <w:tcPr>
            <w:tcW w:w="1285" w:type="dxa"/>
            <w:tcBorders>
              <w:tl2br w:val="nil"/>
              <w:tr2bl w:val="nil"/>
            </w:tcBorders>
            <w:noWrap w:val="0"/>
            <w:vAlign w:val="center"/>
          </w:tcPr>
          <w:p w14:paraId="26D1B67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36DB6B9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388F3D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5D1401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730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01F4D0C2">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1290DC95">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餐饮安排总体满意程度</w:t>
            </w:r>
          </w:p>
        </w:tc>
        <w:tc>
          <w:tcPr>
            <w:tcW w:w="1285" w:type="dxa"/>
            <w:tcBorders>
              <w:tl2br w:val="nil"/>
              <w:tr2bl w:val="nil"/>
            </w:tcBorders>
            <w:noWrap w:val="0"/>
            <w:vAlign w:val="center"/>
          </w:tcPr>
          <w:p w14:paraId="2EBE9BF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3F9C33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757C836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6ED4178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FB9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596EB634">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景</w:t>
            </w:r>
          </w:p>
          <w:p w14:paraId="012F9228">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点</w:t>
            </w:r>
          </w:p>
          <w:p w14:paraId="2A4D2F84">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14:paraId="257B6035">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w:t>
            </w:r>
          </w:p>
        </w:tc>
        <w:tc>
          <w:tcPr>
            <w:tcW w:w="4484" w:type="dxa"/>
            <w:tcBorders>
              <w:tl2br w:val="nil"/>
              <w:tr2bl w:val="nil"/>
            </w:tcBorders>
            <w:noWrap w:val="0"/>
            <w:vAlign w:val="center"/>
          </w:tcPr>
          <w:p w14:paraId="18BA174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景点地方特色</w:t>
            </w:r>
          </w:p>
        </w:tc>
        <w:tc>
          <w:tcPr>
            <w:tcW w:w="1285" w:type="dxa"/>
            <w:tcBorders>
              <w:tl2br w:val="nil"/>
              <w:tr2bl w:val="nil"/>
            </w:tcBorders>
            <w:noWrap w:val="0"/>
            <w:vAlign w:val="center"/>
          </w:tcPr>
          <w:p w14:paraId="4D75C7E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4EBAB3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16FE391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1C7BCA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D79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78A055BF">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793958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讲解内容完整</w:t>
            </w:r>
          </w:p>
        </w:tc>
        <w:tc>
          <w:tcPr>
            <w:tcW w:w="1285" w:type="dxa"/>
            <w:tcBorders>
              <w:tl2br w:val="nil"/>
              <w:tr2bl w:val="nil"/>
            </w:tcBorders>
            <w:noWrap w:val="0"/>
            <w:vAlign w:val="center"/>
          </w:tcPr>
          <w:p w14:paraId="3C0F694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1807512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C1DD92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1DB669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1D5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6173484C">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48C1601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讲解语言美感</w:t>
            </w:r>
          </w:p>
        </w:tc>
        <w:tc>
          <w:tcPr>
            <w:tcW w:w="1285" w:type="dxa"/>
            <w:tcBorders>
              <w:tl2br w:val="nil"/>
              <w:tr2bl w:val="nil"/>
            </w:tcBorders>
            <w:noWrap w:val="0"/>
            <w:vAlign w:val="center"/>
          </w:tcPr>
          <w:p w14:paraId="54C2E80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755F4CB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6513C1C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1407C50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F88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BCE3CC2">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C212B6B">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景点内时间安排合理</w:t>
            </w:r>
          </w:p>
        </w:tc>
        <w:tc>
          <w:tcPr>
            <w:tcW w:w="1285" w:type="dxa"/>
            <w:tcBorders>
              <w:tl2br w:val="nil"/>
              <w:tr2bl w:val="nil"/>
            </w:tcBorders>
            <w:noWrap w:val="0"/>
            <w:vAlign w:val="center"/>
          </w:tcPr>
          <w:p w14:paraId="19CF971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494CEC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9EA6BB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05E2E4E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B7C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restart"/>
            <w:tcBorders>
              <w:tl2br w:val="nil"/>
              <w:tr2bl w:val="nil"/>
            </w:tcBorders>
            <w:noWrap w:val="0"/>
            <w:vAlign w:val="center"/>
          </w:tcPr>
          <w:p w14:paraId="2725BCB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导</w:t>
            </w:r>
          </w:p>
          <w:p w14:paraId="380ADC48">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游</w:t>
            </w:r>
          </w:p>
          <w:p w14:paraId="63E01899">
            <w:pPr>
              <w:widowControl/>
              <w:spacing w:before="156"/>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服</w:t>
            </w:r>
          </w:p>
          <w:p w14:paraId="7A8FA0CB">
            <w:pPr>
              <w:widowControl/>
              <w:spacing w:before="15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务</w:t>
            </w:r>
          </w:p>
        </w:tc>
        <w:tc>
          <w:tcPr>
            <w:tcW w:w="4484" w:type="dxa"/>
            <w:tcBorders>
              <w:tl2br w:val="nil"/>
              <w:tr2bl w:val="nil"/>
            </w:tcBorders>
            <w:noWrap w:val="0"/>
            <w:vAlign w:val="center"/>
          </w:tcPr>
          <w:p w14:paraId="055A3522">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佩带有效证件上岗，全程服务不迟到早退</w:t>
            </w:r>
          </w:p>
        </w:tc>
        <w:tc>
          <w:tcPr>
            <w:tcW w:w="1285" w:type="dxa"/>
            <w:tcBorders>
              <w:tl2br w:val="nil"/>
              <w:tr2bl w:val="nil"/>
            </w:tcBorders>
            <w:noWrap w:val="0"/>
            <w:vAlign w:val="center"/>
          </w:tcPr>
          <w:p w14:paraId="6AD5CFB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944F97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0DB65A9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927739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C26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1643786">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0953D3E9">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无擅自增减旅游项目或擅自终止导游活动</w:t>
            </w:r>
          </w:p>
        </w:tc>
        <w:tc>
          <w:tcPr>
            <w:tcW w:w="1285" w:type="dxa"/>
            <w:tcBorders>
              <w:tl2br w:val="nil"/>
              <w:tr2bl w:val="nil"/>
            </w:tcBorders>
            <w:noWrap w:val="0"/>
            <w:vAlign w:val="center"/>
          </w:tcPr>
          <w:p w14:paraId="65EC8BC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5D0CF9D">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21FA6A91">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3AC7D0EE">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871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1A835A14">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6B8872F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对可预见的情况有警示说明及防范措施</w:t>
            </w:r>
          </w:p>
        </w:tc>
        <w:tc>
          <w:tcPr>
            <w:tcW w:w="1285" w:type="dxa"/>
            <w:tcBorders>
              <w:tl2br w:val="nil"/>
              <w:tr2bl w:val="nil"/>
            </w:tcBorders>
            <w:noWrap w:val="0"/>
            <w:vAlign w:val="center"/>
          </w:tcPr>
          <w:p w14:paraId="5185AB8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6D3B6836">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482A5274">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6D637BFA">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624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9" w:type="dxa"/>
            <w:vMerge w:val="continue"/>
            <w:tcBorders>
              <w:tl2br w:val="nil"/>
              <w:tr2bl w:val="nil"/>
            </w:tcBorders>
            <w:noWrap w:val="0"/>
            <w:vAlign w:val="center"/>
          </w:tcPr>
          <w:p w14:paraId="53A7015D">
            <w:pPr>
              <w:widowControl/>
              <w:spacing w:before="156"/>
              <w:jc w:val="left"/>
              <w:rPr>
                <w:rFonts w:hint="eastAsia" w:ascii="宋体" w:hAnsi="宋体" w:eastAsia="宋体" w:cs="宋体"/>
                <w:color w:val="auto"/>
                <w:kern w:val="0"/>
                <w:sz w:val="24"/>
                <w:szCs w:val="24"/>
                <w:highlight w:val="none"/>
              </w:rPr>
            </w:pPr>
          </w:p>
        </w:tc>
        <w:tc>
          <w:tcPr>
            <w:tcW w:w="4484" w:type="dxa"/>
            <w:tcBorders>
              <w:tl2br w:val="nil"/>
              <w:tr2bl w:val="nil"/>
            </w:tcBorders>
            <w:noWrap w:val="0"/>
            <w:vAlign w:val="center"/>
          </w:tcPr>
          <w:p w14:paraId="330B1EB7">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语言表达能力、沟通能力及专业知识掌握</w:t>
            </w:r>
          </w:p>
        </w:tc>
        <w:tc>
          <w:tcPr>
            <w:tcW w:w="1285" w:type="dxa"/>
            <w:tcBorders>
              <w:tl2br w:val="nil"/>
              <w:tr2bl w:val="nil"/>
            </w:tcBorders>
            <w:noWrap w:val="0"/>
            <w:vAlign w:val="center"/>
          </w:tcPr>
          <w:p w14:paraId="1D7A33D0">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1" w:type="dxa"/>
            <w:tcBorders>
              <w:tl2br w:val="nil"/>
              <w:tr2bl w:val="nil"/>
            </w:tcBorders>
            <w:noWrap w:val="0"/>
            <w:vAlign w:val="center"/>
          </w:tcPr>
          <w:p w14:paraId="0FA886A3">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12" w:type="dxa"/>
            <w:tcBorders>
              <w:tl2br w:val="nil"/>
              <w:tr2bl w:val="nil"/>
            </w:tcBorders>
            <w:noWrap w:val="0"/>
            <w:vAlign w:val="center"/>
          </w:tcPr>
          <w:p w14:paraId="325FAC6F">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38" w:type="dxa"/>
            <w:tcBorders>
              <w:tl2br w:val="nil"/>
              <w:tr2bl w:val="nil"/>
            </w:tcBorders>
            <w:noWrap w:val="0"/>
            <w:vAlign w:val="center"/>
          </w:tcPr>
          <w:p w14:paraId="580A7098">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2E6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99" w:type="dxa"/>
            <w:gridSpan w:val="6"/>
            <w:tcBorders>
              <w:tl2br w:val="nil"/>
              <w:tr2bl w:val="nil"/>
            </w:tcBorders>
            <w:noWrap w:val="0"/>
            <w:vAlign w:val="top"/>
          </w:tcPr>
          <w:p w14:paraId="51F7E39C">
            <w:pPr>
              <w:widowControl/>
              <w:spacing w:before="15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您需要补充的意见和建议：</w:t>
            </w:r>
          </w:p>
        </w:tc>
      </w:tr>
    </w:tbl>
    <w:p w14:paraId="3E0C1454">
      <w:pPr>
        <w:snapToGrid w:val="0"/>
        <w:spacing w:line="360" w:lineRule="auto"/>
        <w:jc w:val="center"/>
        <w:outlineLvl w:val="0"/>
        <w:rPr>
          <w:rFonts w:hint="eastAsia" w:cs="仿宋_GB2312" w:asciiTheme="minorEastAsia" w:hAnsiTheme="minorEastAsia" w:eastAsiaTheme="minorEastAsia"/>
          <w:b/>
          <w:color w:val="auto"/>
          <w:sz w:val="36"/>
          <w:szCs w:val="20"/>
        </w:rPr>
      </w:pPr>
    </w:p>
    <w:p w14:paraId="20441E87">
      <w:pPr>
        <w:snapToGrid w:val="0"/>
        <w:spacing w:line="360" w:lineRule="auto"/>
        <w:jc w:val="both"/>
        <w:outlineLvl w:val="0"/>
        <w:rPr>
          <w:rFonts w:hint="eastAsia" w:cs="仿宋_GB2312" w:asciiTheme="minorEastAsia" w:hAnsiTheme="minorEastAsia" w:eastAsiaTheme="minorEastAsia"/>
          <w:b/>
          <w:color w:val="auto"/>
          <w:sz w:val="36"/>
          <w:szCs w:val="20"/>
        </w:rPr>
      </w:pPr>
    </w:p>
    <w:p w14:paraId="1829B82A">
      <w:pPr>
        <w:snapToGrid w:val="0"/>
        <w:spacing w:line="360" w:lineRule="auto"/>
        <w:jc w:val="both"/>
        <w:outlineLvl w:val="0"/>
        <w:rPr>
          <w:rFonts w:hint="eastAsia" w:cs="仿宋_GB2312" w:asciiTheme="minorEastAsia" w:hAnsiTheme="minorEastAsia" w:eastAsiaTheme="minorEastAsia"/>
          <w:b/>
          <w:color w:val="auto"/>
          <w:sz w:val="36"/>
          <w:szCs w:val="20"/>
        </w:rPr>
      </w:pPr>
    </w:p>
    <w:p w14:paraId="28B1F30C">
      <w:pPr>
        <w:snapToGrid w:val="0"/>
        <w:spacing w:line="360" w:lineRule="auto"/>
        <w:jc w:val="center"/>
        <w:outlineLvl w:val="0"/>
        <w:rPr>
          <w:rFonts w:hint="eastAsia" w:cs="仿宋_GB2312" w:asciiTheme="minorEastAsia" w:hAnsiTheme="minorEastAsia" w:eastAsiaTheme="minorEastAsia"/>
          <w:b/>
          <w:color w:val="auto"/>
          <w:sz w:val="36"/>
          <w:szCs w:val="20"/>
        </w:rPr>
      </w:pPr>
    </w:p>
    <w:p w14:paraId="0A933BB9">
      <w:pPr>
        <w:snapToGrid w:val="0"/>
        <w:spacing w:line="360" w:lineRule="auto"/>
        <w:jc w:val="center"/>
        <w:outlineLvl w:val="0"/>
        <w:rPr>
          <w:rFonts w:hint="eastAsia" w:cs="仿宋_GB2312" w:asciiTheme="minorEastAsia" w:hAnsiTheme="minorEastAsia" w:eastAsiaTheme="minorEastAsia"/>
          <w:b/>
          <w:color w:val="auto"/>
          <w:sz w:val="36"/>
          <w:szCs w:val="20"/>
        </w:rPr>
      </w:pPr>
    </w:p>
    <w:p w14:paraId="70372D93">
      <w:pPr>
        <w:snapToGrid w:val="0"/>
        <w:spacing w:line="360" w:lineRule="auto"/>
        <w:jc w:val="center"/>
        <w:outlineLvl w:val="0"/>
        <w:rPr>
          <w:rFonts w:hint="eastAsia" w:cs="仿宋_GB2312" w:asciiTheme="minorEastAsia" w:hAnsiTheme="minorEastAsia" w:eastAsiaTheme="minorEastAsia"/>
          <w:b/>
          <w:color w:val="auto"/>
          <w:sz w:val="36"/>
          <w:szCs w:val="20"/>
        </w:rPr>
      </w:pPr>
    </w:p>
    <w:p w14:paraId="0D89ACDD">
      <w:pPr>
        <w:snapToGrid w:val="0"/>
        <w:spacing w:line="360" w:lineRule="auto"/>
        <w:jc w:val="center"/>
        <w:outlineLvl w:val="0"/>
        <w:rPr>
          <w:rFonts w:hint="eastAsia" w:cs="仿宋_GB2312" w:asciiTheme="minorEastAsia" w:hAnsiTheme="minorEastAsia" w:eastAsiaTheme="minorEastAsia"/>
          <w:b/>
          <w:color w:val="auto"/>
          <w:sz w:val="36"/>
          <w:szCs w:val="20"/>
        </w:rPr>
      </w:pPr>
    </w:p>
    <w:p w14:paraId="685DCFA7">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6"/>
      <w:r>
        <w:rPr>
          <w:rFonts w:hint="eastAsia" w:cs="仿宋_GB2312" w:asciiTheme="minorEastAsia" w:hAnsiTheme="minorEastAsia" w:eastAsiaTheme="minorEastAsia"/>
          <w:b/>
          <w:color w:val="auto"/>
          <w:sz w:val="36"/>
          <w:szCs w:val="20"/>
        </w:rPr>
        <w:t xml:space="preserve">  </w:t>
      </w:r>
      <w:bookmarkEnd w:id="67"/>
      <w:r>
        <w:rPr>
          <w:rFonts w:hint="eastAsia" w:cs="仿宋_GB2312" w:asciiTheme="minorEastAsia" w:hAnsiTheme="minorEastAsia" w:eastAsiaTheme="minorEastAsia"/>
          <w:b/>
          <w:color w:val="auto"/>
          <w:sz w:val="36"/>
          <w:szCs w:val="20"/>
        </w:rPr>
        <w:t>应提交的有关格式范例</w:t>
      </w:r>
    </w:p>
    <w:p w14:paraId="7EABCDD5">
      <w:pPr>
        <w:spacing w:line="360" w:lineRule="auto"/>
        <w:ind w:firstLine="480" w:firstLineChars="200"/>
        <w:rPr>
          <w:rFonts w:hint="eastAsia" w:cs="仿宋_GB2312" w:asciiTheme="minorEastAsia" w:hAnsiTheme="minorEastAsia" w:eastAsiaTheme="minorEastAsia"/>
          <w:color w:val="auto"/>
          <w:sz w:val="24"/>
        </w:rPr>
      </w:pP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41568AAB">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7735CA5C">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0A0BED19">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D25EF6B">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3CECD2AF">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76DE1A11">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D7E774B">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0B323A2">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522EEA46">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4D13C453">
      <w:pPr>
        <w:tabs>
          <w:tab w:val="left" w:pos="0"/>
        </w:tabs>
        <w:autoSpaceDE w:val="0"/>
        <w:autoSpaceDN w:val="0"/>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（10）评标标准相应的商务技术资料</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0D7F7122">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（11）</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5"/>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656C2DA8">
      <w:pPr>
        <w:snapToGrid w:val="0"/>
        <w:spacing w:line="360" w:lineRule="auto"/>
        <w:ind w:left="210" w:leftChars="100" w:firstLine="480" w:firstLineChars="200"/>
        <w:rPr>
          <w:color w:val="auto"/>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AC350B8">
      <w:pPr>
        <w:numPr>
          <w:ilvl w:val="-1"/>
          <w:numId w:val="0"/>
        </w:numPr>
        <w:adjustRightInd/>
        <w:spacing w:line="360" w:lineRule="auto"/>
        <w:ind w:left="480" w:firstLine="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 xml:space="preserve">其他补充说明: </w:t>
      </w:r>
      <w:r>
        <w:rPr>
          <w:rFonts w:hint="eastAsia" w:cs="宋体" w:asciiTheme="minorEastAsia" w:hAnsiTheme="minorEastAsia" w:eastAsiaTheme="minorEastAsia"/>
          <w:color w:val="auto"/>
          <w:sz w:val="24"/>
          <w:u w:val="single"/>
        </w:rPr>
        <w:t xml:space="preserve">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69ED4DD2">
      <w:pPr>
        <w:spacing w:line="360" w:lineRule="auto"/>
        <w:ind w:right="420"/>
        <w:rPr>
          <w:rFonts w:cs="仿宋_GB2312" w:asciiTheme="minorEastAsia" w:hAnsiTheme="minorEastAsia" w:eastAsiaTheme="minorEastAsia"/>
          <w:b/>
          <w:color w:val="auto"/>
          <w:kern w:val="0"/>
          <w:sz w:val="32"/>
          <w:szCs w:val="32"/>
        </w:rPr>
      </w:pPr>
      <w:r>
        <w:rPr>
          <w:rFonts w:hint="eastAsia" w:cs="宋体" w:asciiTheme="minorEastAsia" w:hAnsiTheme="minorEastAsia" w:eastAsiaTheme="minorEastAsia"/>
          <w:color w:val="auto"/>
          <w:sz w:val="24"/>
        </w:rPr>
        <w:t>注：按本格式和要求提供。</w:t>
      </w: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pacing w:line="360" w:lineRule="auto"/>
        <w:ind w:right="42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B、</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本项目不适用</w:t>
      </w:r>
      <w:r>
        <w:rPr>
          <w:rFonts w:hint="eastAsia" w:cs="宋体" w:asciiTheme="minorEastAsia" w:hAnsiTheme="minorEastAsia" w:eastAsiaTheme="minorEastAsia"/>
          <w:sz w:val="24"/>
          <w:lang w:eastAsia="zh-CN"/>
        </w:rPr>
        <w:t>）</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本项目不适用</w:t>
      </w:r>
      <w:r>
        <w:rPr>
          <w:rFonts w:hint="eastAsia" w:cs="宋体" w:asciiTheme="minorEastAsia" w:hAnsiTheme="minorEastAsia" w:eastAsiaTheme="minorEastAsia"/>
          <w:sz w:val="24"/>
          <w:lang w:eastAsia="zh-CN"/>
        </w:rPr>
        <w:t>）</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C、符合特定资格条件要求的资质文件（复印件）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5FDC3D9A">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0A37287E">
      <w:pPr>
        <w:pStyle w:val="4"/>
        <w:numPr>
          <w:ilvl w:val="-1"/>
          <w:numId w:val="0"/>
        </w:numPr>
        <w:ind w:left="863" w:leftChars="411"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kern w:val="0"/>
          <w:sz w:val="24"/>
          <w:szCs w:val="24"/>
        </w:rPr>
        <w:t>……</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kern w:val="0"/>
          <w:sz w:val="24"/>
          <w:lang w:val="zh-CN"/>
        </w:rPr>
        <w:t>三、分包工作履行期限、地点、方式：</w:t>
      </w:r>
      <w:r>
        <w:rPr>
          <w:rFonts w:hint="eastAsia" w:cs="宋体" w:asciiTheme="minorEastAsia" w:hAnsiTheme="minorEastAsia" w:eastAsiaTheme="minorEastAsia"/>
          <w:color w:val="auto"/>
          <w:u w:val="single"/>
        </w:rPr>
        <w:t xml:space="preserve">                                                      </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r>
        <w:rPr>
          <w:rFonts w:hint="eastAsia" w:cs="宋体" w:asciiTheme="minorEastAsia" w:hAnsiTheme="minorEastAsia" w:eastAsiaTheme="minorEastAsia"/>
          <w:color w:val="auto"/>
          <w:u w:val="single"/>
        </w:rPr>
        <w:t xml:space="preserve">                         </w:t>
      </w:r>
    </w:p>
    <w:p w14:paraId="38EB046A">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8184" w:type="dxa"/>
        <w:tblInd w:w="108" w:type="dxa"/>
        <w:tblLayout w:type="fixed"/>
        <w:tblCellMar>
          <w:top w:w="0" w:type="dxa"/>
          <w:left w:w="108" w:type="dxa"/>
          <w:bottom w:w="0" w:type="dxa"/>
          <w:right w:w="108" w:type="dxa"/>
        </w:tblCellMar>
      </w:tblPr>
      <w:tblGrid>
        <w:gridCol w:w="1800"/>
        <w:gridCol w:w="1356"/>
        <w:gridCol w:w="1143"/>
        <w:gridCol w:w="1155"/>
        <w:gridCol w:w="1515"/>
        <w:gridCol w:w="1215"/>
      </w:tblGrid>
      <w:tr w14:paraId="18F3A7F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46232F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14:paraId="6C21781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870DDE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合同金额（万元）</w:t>
            </w:r>
          </w:p>
        </w:tc>
        <w:tc>
          <w:tcPr>
            <w:tcW w:w="1155" w:type="dxa"/>
            <w:tcBorders>
              <w:top w:val="single" w:color="auto" w:sz="6" w:space="0"/>
              <w:left w:val="single" w:color="auto" w:sz="6" w:space="0"/>
              <w:bottom w:val="single" w:color="auto" w:sz="6" w:space="0"/>
              <w:right w:val="single" w:color="auto" w:sz="6" w:space="0"/>
            </w:tcBorders>
            <w:vAlign w:val="center"/>
          </w:tcPr>
          <w:p w14:paraId="02F05AE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服务起止日期</w:t>
            </w:r>
          </w:p>
        </w:tc>
        <w:tc>
          <w:tcPr>
            <w:tcW w:w="1515" w:type="dxa"/>
            <w:tcBorders>
              <w:top w:val="single" w:color="auto" w:sz="6" w:space="0"/>
              <w:left w:val="single" w:color="auto" w:sz="6" w:space="0"/>
              <w:bottom w:val="single" w:color="auto" w:sz="6" w:space="0"/>
              <w:right w:val="single" w:color="auto" w:sz="6" w:space="0"/>
            </w:tcBorders>
            <w:vAlign w:val="center"/>
          </w:tcPr>
          <w:p w14:paraId="4D6A9BE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B0A735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227106F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980748A">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B885A7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627E7AB">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787AD8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B8A4DBE">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CBEE982">
            <w:pPr>
              <w:autoSpaceDE w:val="0"/>
              <w:autoSpaceDN w:val="0"/>
              <w:spacing w:line="360" w:lineRule="auto"/>
              <w:rPr>
                <w:rFonts w:cs="仿宋_GB2312" w:asciiTheme="minorEastAsia" w:hAnsiTheme="minorEastAsia" w:eastAsiaTheme="minorEastAsia"/>
                <w:sz w:val="24"/>
              </w:rPr>
            </w:pPr>
          </w:p>
        </w:tc>
      </w:tr>
      <w:tr w14:paraId="19B1861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F2AAD1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95FB14E">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2CFA6E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4E2ABB0">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7DA36F0">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9B39529">
            <w:pPr>
              <w:autoSpaceDE w:val="0"/>
              <w:autoSpaceDN w:val="0"/>
              <w:spacing w:line="360" w:lineRule="auto"/>
              <w:rPr>
                <w:rFonts w:cs="仿宋_GB2312" w:asciiTheme="minorEastAsia" w:hAnsiTheme="minorEastAsia" w:eastAsiaTheme="minorEastAsia"/>
                <w:sz w:val="24"/>
              </w:rPr>
            </w:pPr>
          </w:p>
        </w:tc>
      </w:tr>
      <w:tr w14:paraId="62D468E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6292EE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133349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C4535CC">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207EA50">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39873B6">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28A8938">
            <w:pPr>
              <w:autoSpaceDE w:val="0"/>
              <w:autoSpaceDN w:val="0"/>
              <w:spacing w:line="360" w:lineRule="auto"/>
              <w:rPr>
                <w:rFonts w:cs="仿宋_GB2312" w:asciiTheme="minorEastAsia" w:hAnsiTheme="minorEastAsia" w:eastAsiaTheme="minorEastAsia"/>
                <w:sz w:val="24"/>
              </w:rPr>
            </w:pPr>
          </w:p>
        </w:tc>
      </w:tr>
      <w:tr w14:paraId="458E092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168B75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E01C4A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0406763">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B40FD0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9EE3F6B">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B53D2E3">
            <w:pPr>
              <w:autoSpaceDE w:val="0"/>
              <w:autoSpaceDN w:val="0"/>
              <w:spacing w:line="360" w:lineRule="auto"/>
              <w:rPr>
                <w:rFonts w:cs="仿宋_GB2312" w:asciiTheme="minorEastAsia" w:hAnsiTheme="minorEastAsia" w:eastAsiaTheme="minorEastAsia"/>
                <w:sz w:val="24"/>
              </w:rPr>
            </w:pPr>
          </w:p>
        </w:tc>
      </w:tr>
      <w:tr w14:paraId="7B1FA0D7">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1D9BAB0">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DAD12A1">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2FB854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A1E01DE">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E11DBE5">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7A56EAF">
            <w:pPr>
              <w:autoSpaceDE w:val="0"/>
              <w:autoSpaceDN w:val="0"/>
              <w:spacing w:line="360" w:lineRule="auto"/>
              <w:rPr>
                <w:rFonts w:cs="仿宋_GB2312" w:asciiTheme="minorEastAsia" w:hAnsiTheme="minorEastAsia" w:eastAsiaTheme="minorEastAsia"/>
                <w:sz w:val="24"/>
              </w:rPr>
            </w:pPr>
          </w:p>
        </w:tc>
      </w:tr>
    </w:tbl>
    <w:p w14:paraId="0558CC8B">
      <w:pPr>
        <w:autoSpaceDE w:val="0"/>
        <w:autoSpaceDN w:val="0"/>
        <w:spacing w:line="360" w:lineRule="auto"/>
        <w:rPr>
          <w:rFonts w:hint="eastAsia" w:cs="仿宋_GB2312" w:asciiTheme="minorEastAsia" w:hAnsiTheme="minorEastAsia" w:eastAsiaTheme="minorEastAsia"/>
          <w:b/>
          <w:color w:val="auto"/>
          <w:sz w:val="24"/>
        </w:rPr>
      </w:pPr>
    </w:p>
    <w:p w14:paraId="27EBDB45">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w:t>
      </w:r>
    </w:p>
    <w:p w14:paraId="647DC53A">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791F3B0">
      <w:pPr>
        <w:spacing w:line="360" w:lineRule="auto"/>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kern w:val="0"/>
          <w:sz w:val="24"/>
        </w:rPr>
        <w:t xml:space="preserve">                                      日期：  年  月   日</w:t>
      </w: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B9DD5D9">
      <w:pPr>
        <w:spacing w:line="360" w:lineRule="auto"/>
        <w:rPr>
          <w:rFonts w:cs="仿宋_GB2312" w:asciiTheme="minorEastAsia" w:hAnsiTheme="minorEastAsia" w:eastAsiaTheme="minorEastAsia"/>
          <w:b/>
          <w:bCs/>
          <w:color w:val="auto"/>
          <w:kern w:val="0"/>
          <w:sz w:val="24"/>
        </w:rPr>
      </w:pPr>
      <w:r>
        <w:rPr>
          <w:rFonts w:hint="eastAsia" w:cs="仿宋_GB2312" w:asciiTheme="minorEastAsia" w:hAnsiTheme="minorEastAsia" w:eastAsiaTheme="minorEastAsia"/>
          <w:color w:val="auto"/>
          <w:kern w:val="0"/>
          <w:sz w:val="24"/>
        </w:rPr>
        <w:t xml:space="preserve">                                      日期：  年  月   日</w:t>
      </w:r>
    </w:p>
    <w:p w14:paraId="2F9DF3E0">
      <w:pPr>
        <w:widowControl/>
        <w:adjustRightInd/>
        <w:jc w:val="left"/>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lang w:val="en-US" w:eastAsia="zh-CN"/>
        </w:rPr>
        <w:t>九</w:t>
      </w:r>
      <w:r>
        <w:rPr>
          <w:rFonts w:hint="eastAsia" w:cs="仿宋_GB2312" w:asciiTheme="minorEastAsia" w:hAnsiTheme="minorEastAsia" w:eastAsiaTheme="minorEastAsia"/>
          <w:b/>
          <w:bCs/>
          <w:color w:val="auto"/>
          <w:sz w:val="32"/>
          <w:szCs w:val="32"/>
        </w:rPr>
        <w:t>、认为需求的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64C12733">
      <w:pPr>
        <w:tabs>
          <w:tab w:val="left" w:pos="0"/>
        </w:tabs>
        <w:autoSpaceDE w:val="0"/>
        <w:autoSpaceDN w:val="0"/>
        <w:spacing w:line="360" w:lineRule="auto"/>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十、评标标准相应的商务技术资料</w:t>
      </w:r>
    </w:p>
    <w:p w14:paraId="14986C6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1FA29CF5">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rPr>
      </w:pPr>
    </w:p>
    <w:p w14:paraId="63CF883B">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5AC92B63">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352CFC8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512782ED">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rPr>
      </w:pP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仿宋_GB2312" w:asciiTheme="minorEastAsia" w:hAnsiTheme="minorEastAsia" w:eastAsiaTheme="minorEastAsia"/>
          <w:b/>
          <w:bCs/>
          <w:color w:val="auto"/>
          <w:sz w:val="30"/>
          <w:szCs w:val="30"/>
          <w:lang w:val="en-US" w:eastAsia="zh-CN"/>
        </w:rPr>
        <w:t>一</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4A88E3F">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sz w:val="24"/>
        </w:rPr>
        <w:t>（采购代理机构）</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499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1687"/>
        <w:gridCol w:w="2010"/>
        <w:gridCol w:w="2455"/>
        <w:gridCol w:w="2006"/>
      </w:tblGrid>
      <w:tr w14:paraId="5FE32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2" w:hRule="atLeast"/>
          <w:tblHeader/>
          <w:jc w:val="center"/>
        </w:trPr>
        <w:tc>
          <w:tcPr>
            <w:tcW w:w="603" w:type="pct"/>
            <w:tcBorders>
              <w:left w:val="single" w:color="auto" w:sz="4" w:space="0"/>
              <w:right w:val="single" w:color="auto" w:sz="4" w:space="0"/>
            </w:tcBorders>
            <w:vAlign w:val="center"/>
          </w:tcPr>
          <w:p w14:paraId="0E5D45C2">
            <w:pPr>
              <w:jc w:val="center"/>
              <w:rPr>
                <w:rFonts w:hint="default" w:ascii="宋体" w:hAnsi="宋体" w:eastAsia="宋体" w:cs="宋体"/>
                <w:b/>
                <w:bCs/>
                <w:color w:val="000000" w:themeColor="text1"/>
                <w:sz w:val="24"/>
                <w:u w:color="000000"/>
                <w:lang w:val="en-US" w:eastAsia="zh-CN"/>
                <w14:textFill>
                  <w14:solidFill>
                    <w14:schemeClr w14:val="tx1"/>
                  </w14:solidFill>
                </w14:textFill>
              </w:rPr>
            </w:pPr>
            <w:r>
              <w:rPr>
                <w:rFonts w:hint="eastAsia" w:ascii="宋体" w:hAnsi="宋体" w:cs="宋体"/>
                <w:b/>
                <w:bCs/>
                <w:color w:val="000000" w:themeColor="text1"/>
                <w:sz w:val="24"/>
                <w:u w:color="000000"/>
                <w:lang w:val="en-US" w:eastAsia="zh-CN"/>
                <w14:textFill>
                  <w14:solidFill>
                    <w14:schemeClr w14:val="tx1"/>
                  </w14:solidFill>
                </w14:textFill>
              </w:rPr>
              <w:t>标项</w:t>
            </w:r>
          </w:p>
        </w:tc>
        <w:tc>
          <w:tcPr>
            <w:tcW w:w="909" w:type="pct"/>
            <w:tcBorders>
              <w:left w:val="single" w:color="auto" w:sz="4" w:space="0"/>
              <w:right w:val="single" w:color="auto" w:sz="4" w:space="0"/>
            </w:tcBorders>
            <w:vAlign w:val="center"/>
          </w:tcPr>
          <w:p w14:paraId="2FAC2452">
            <w:pPr>
              <w:jc w:val="center"/>
              <w:rPr>
                <w:rFonts w:ascii="宋体" w:hAnsi="宋体" w:cs="宋体"/>
                <w:b/>
                <w:bCs/>
                <w:color w:val="000000" w:themeColor="text1"/>
                <w:sz w:val="24"/>
                <w:u w:color="000000"/>
                <w:lang w:val="en-GB"/>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线路内容</w:t>
            </w:r>
          </w:p>
        </w:tc>
        <w:tc>
          <w:tcPr>
            <w:tcW w:w="1083" w:type="pct"/>
            <w:tcBorders>
              <w:left w:val="single" w:color="auto" w:sz="4" w:space="0"/>
              <w:right w:val="single" w:color="auto" w:sz="4" w:space="0"/>
            </w:tcBorders>
            <w:vAlign w:val="center"/>
          </w:tcPr>
          <w:p w14:paraId="03712E2A">
            <w:pPr>
              <w:jc w:val="center"/>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暂估人数</w:t>
            </w:r>
          </w:p>
        </w:tc>
        <w:tc>
          <w:tcPr>
            <w:tcW w:w="1323" w:type="pct"/>
            <w:tcBorders>
              <w:left w:val="single" w:color="auto" w:sz="4" w:space="0"/>
              <w:right w:val="single" w:color="auto" w:sz="4" w:space="0"/>
            </w:tcBorders>
            <w:vAlign w:val="center"/>
          </w:tcPr>
          <w:p w14:paraId="4CB50B7C">
            <w:pPr>
              <w:jc w:val="center"/>
              <w:rPr>
                <w:rFonts w:hint="eastAsia" w:ascii="宋体" w:hAnsi="宋体" w:cs="宋体"/>
                <w:b/>
                <w:bCs/>
                <w:color w:val="000000" w:themeColor="text1"/>
                <w:sz w:val="24"/>
                <w:lang w:val="en-GB"/>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疗休养费</w:t>
            </w:r>
            <w:r>
              <w:rPr>
                <w:rFonts w:hint="eastAsia" w:ascii="宋体" w:hAnsi="宋体" w:cs="宋体"/>
                <w:b/>
                <w:bCs/>
                <w:color w:val="000000" w:themeColor="text1"/>
                <w:sz w:val="24"/>
                <w:lang w:val="en-GB"/>
                <w14:textFill>
                  <w14:solidFill>
                    <w14:schemeClr w14:val="tx1"/>
                  </w14:solidFill>
                </w14:textFill>
              </w:rPr>
              <w:t>报价</w:t>
            </w:r>
          </w:p>
          <w:p w14:paraId="7FC8BD63">
            <w:pPr>
              <w:jc w:val="center"/>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不作竞争</w:t>
            </w:r>
          </w:p>
        </w:tc>
        <w:tc>
          <w:tcPr>
            <w:tcW w:w="1081" w:type="pct"/>
            <w:tcBorders>
              <w:left w:val="single" w:color="auto" w:sz="4" w:space="0"/>
              <w:right w:val="single" w:color="auto" w:sz="4" w:space="0"/>
            </w:tcBorders>
            <w:vAlign w:val="center"/>
          </w:tcPr>
          <w:p w14:paraId="720F5E51">
            <w:pPr>
              <w:jc w:val="center"/>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备注</w:t>
            </w:r>
          </w:p>
        </w:tc>
      </w:tr>
      <w:tr w14:paraId="5C8D73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50" w:hRule="atLeast"/>
          <w:jc w:val="center"/>
        </w:trPr>
        <w:tc>
          <w:tcPr>
            <w:tcW w:w="603" w:type="pct"/>
            <w:tcBorders>
              <w:left w:val="single" w:color="auto" w:sz="4" w:space="0"/>
              <w:right w:val="single" w:color="auto" w:sz="4" w:space="0"/>
            </w:tcBorders>
            <w:vAlign w:val="center"/>
          </w:tcPr>
          <w:p w14:paraId="3A717C60">
            <w:pPr>
              <w:jc w:val="center"/>
              <w:rPr>
                <w:rFonts w:hint="eastAsia" w:ascii="宋体" w:hAnsi="宋体" w:eastAsia="宋体" w:cs="宋体"/>
                <w:color w:val="000000" w:themeColor="text1"/>
                <w:sz w:val="24"/>
                <w:u w:color="000000"/>
                <w:lang w:val="en-US" w:eastAsia="zh-CN"/>
                <w14:textFill>
                  <w14:solidFill>
                    <w14:schemeClr w14:val="tx1"/>
                  </w14:solidFill>
                </w14:textFill>
              </w:rPr>
            </w:pPr>
            <w:r>
              <w:rPr>
                <w:rFonts w:hint="eastAsia" w:ascii="宋体" w:hAnsi="宋体" w:cs="宋体"/>
                <w:color w:val="000000" w:themeColor="text1"/>
                <w:sz w:val="24"/>
                <w:u w:color="000000"/>
                <w:lang w:val="en-US" w:eastAsia="zh-CN"/>
                <w14:textFill>
                  <w14:solidFill>
                    <w14:schemeClr w14:val="tx1"/>
                  </w14:solidFill>
                </w14:textFill>
              </w:rPr>
              <w:t>1</w:t>
            </w:r>
          </w:p>
        </w:tc>
        <w:tc>
          <w:tcPr>
            <w:tcW w:w="909" w:type="pct"/>
            <w:tcBorders>
              <w:left w:val="single" w:color="auto" w:sz="4" w:space="0"/>
              <w:right w:val="single" w:color="auto" w:sz="4" w:space="0"/>
            </w:tcBorders>
            <w:vAlign w:val="center"/>
          </w:tcPr>
          <w:p w14:paraId="0DF25884">
            <w:pPr>
              <w:widowControl/>
              <w:snapToGrid w:val="0"/>
              <w:spacing w:line="348" w:lineRule="auto"/>
              <w:jc w:val="left"/>
              <w:rPr>
                <w:rFonts w:ascii="宋体" w:hAnsi="宋体" w:cs="宋体"/>
                <w:color w:val="000000" w:themeColor="text1"/>
                <w:sz w:val="24"/>
                <w:u w:color="000000"/>
                <w:lang w:val="zh-CN"/>
                <w14:textFill>
                  <w14:solidFill>
                    <w14:schemeClr w14:val="tx1"/>
                  </w14:solidFill>
                </w14:textFill>
              </w:rPr>
            </w:pPr>
          </w:p>
        </w:tc>
        <w:tc>
          <w:tcPr>
            <w:tcW w:w="1083" w:type="pct"/>
            <w:tcBorders>
              <w:left w:val="single" w:color="auto" w:sz="4" w:space="0"/>
              <w:right w:val="single" w:color="auto" w:sz="4" w:space="0"/>
            </w:tcBorders>
            <w:vAlign w:val="center"/>
          </w:tcPr>
          <w:p w14:paraId="6D13B705">
            <w:pPr>
              <w:jc w:val="cente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tc>
        <w:tc>
          <w:tcPr>
            <w:tcW w:w="1323" w:type="pct"/>
            <w:tcBorders>
              <w:left w:val="single" w:color="auto" w:sz="4" w:space="0"/>
              <w:right w:val="single" w:color="auto" w:sz="4" w:space="0"/>
            </w:tcBorders>
            <w:vAlign w:val="center"/>
          </w:tcPr>
          <w:p w14:paraId="11F8CD88">
            <w:pPr>
              <w:jc w:val="center"/>
              <w:rPr>
                <w:rFonts w:hint="eastAsia" w:ascii="宋体" w:hAnsi="宋体" w:eastAsia="宋体" w:cs="宋体"/>
                <w:color w:val="000000" w:themeColor="text1"/>
                <w:sz w:val="24"/>
                <w14:textFill>
                  <w14:solidFill>
                    <w14:schemeClr w14:val="tx1"/>
                  </w14:solidFill>
                </w14:textFill>
              </w:rPr>
            </w:pPr>
          </w:p>
        </w:tc>
        <w:tc>
          <w:tcPr>
            <w:tcW w:w="1081" w:type="pct"/>
            <w:tcBorders>
              <w:left w:val="single" w:color="auto" w:sz="4" w:space="0"/>
              <w:right w:val="single" w:color="auto" w:sz="4" w:space="0"/>
            </w:tcBorders>
            <w:vAlign w:val="center"/>
          </w:tcPr>
          <w:p w14:paraId="3996B454">
            <w:pPr>
              <w:jc w:val="center"/>
              <w:rPr>
                <w:rFonts w:hint="eastAsia" w:ascii="宋体" w:hAnsi="宋体" w:eastAsia="宋体" w:cs="宋体"/>
                <w:color w:val="000000" w:themeColor="text1"/>
                <w:sz w:val="24"/>
                <w14:textFill>
                  <w14:solidFill>
                    <w14:schemeClr w14:val="tx1"/>
                  </w14:solidFill>
                </w14:textFill>
              </w:rPr>
            </w:pPr>
          </w:p>
        </w:tc>
      </w:tr>
      <w:tr w14:paraId="5D66A1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50" w:hRule="atLeast"/>
          <w:jc w:val="center"/>
        </w:trPr>
        <w:tc>
          <w:tcPr>
            <w:tcW w:w="603" w:type="pct"/>
            <w:tcBorders>
              <w:left w:val="single" w:color="auto" w:sz="4" w:space="0"/>
              <w:right w:val="single" w:color="auto" w:sz="4" w:space="0"/>
            </w:tcBorders>
            <w:vAlign w:val="center"/>
          </w:tcPr>
          <w:p w14:paraId="15271921">
            <w:pPr>
              <w:jc w:val="center"/>
              <w:rPr>
                <w:rFonts w:hint="default" w:ascii="宋体" w:hAnsi="宋体" w:cs="宋体"/>
                <w:color w:val="000000" w:themeColor="text1"/>
                <w:sz w:val="24"/>
                <w:u w:color="000000"/>
                <w:lang w:val="en-US" w:eastAsia="zh-CN"/>
                <w14:textFill>
                  <w14:solidFill>
                    <w14:schemeClr w14:val="tx1"/>
                  </w14:solidFill>
                </w14:textFill>
              </w:rPr>
            </w:pPr>
            <w:r>
              <w:rPr>
                <w:rFonts w:hint="eastAsia" w:ascii="宋体" w:hAnsi="宋体" w:cs="宋体"/>
                <w:color w:val="000000" w:themeColor="text1"/>
                <w:sz w:val="24"/>
                <w:u w:color="000000"/>
                <w:lang w:val="en-US" w:eastAsia="zh-CN"/>
                <w14:textFill>
                  <w14:solidFill>
                    <w14:schemeClr w14:val="tx1"/>
                  </w14:solidFill>
                </w14:textFill>
              </w:rPr>
              <w:t>...</w:t>
            </w:r>
          </w:p>
        </w:tc>
        <w:tc>
          <w:tcPr>
            <w:tcW w:w="909" w:type="pct"/>
            <w:tcBorders>
              <w:left w:val="single" w:color="auto" w:sz="4" w:space="0"/>
              <w:right w:val="single" w:color="auto" w:sz="4" w:space="0"/>
            </w:tcBorders>
            <w:vAlign w:val="center"/>
          </w:tcPr>
          <w:p w14:paraId="5C06DFBD">
            <w:pPr>
              <w:widowControl/>
              <w:snapToGrid w:val="0"/>
              <w:spacing w:line="348" w:lineRule="auto"/>
              <w:jc w:val="left"/>
              <w:rPr>
                <w:rFonts w:ascii="宋体" w:hAnsi="宋体" w:cs="宋体"/>
                <w:color w:val="000000" w:themeColor="text1"/>
                <w:sz w:val="24"/>
                <w:u w:color="000000"/>
                <w:lang w:val="zh-CN"/>
                <w14:textFill>
                  <w14:solidFill>
                    <w14:schemeClr w14:val="tx1"/>
                  </w14:solidFill>
                </w14:textFill>
              </w:rPr>
            </w:pPr>
          </w:p>
        </w:tc>
        <w:tc>
          <w:tcPr>
            <w:tcW w:w="1083" w:type="pct"/>
            <w:tcBorders>
              <w:left w:val="single" w:color="auto" w:sz="4" w:space="0"/>
              <w:right w:val="single" w:color="auto" w:sz="4" w:space="0"/>
            </w:tcBorders>
            <w:vAlign w:val="center"/>
          </w:tcPr>
          <w:p w14:paraId="24A2ED9F">
            <w:pPr>
              <w:jc w:val="cente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p>
        </w:tc>
        <w:tc>
          <w:tcPr>
            <w:tcW w:w="1323" w:type="pct"/>
            <w:tcBorders>
              <w:left w:val="single" w:color="auto" w:sz="4" w:space="0"/>
              <w:right w:val="single" w:color="auto" w:sz="4" w:space="0"/>
            </w:tcBorders>
            <w:vAlign w:val="center"/>
          </w:tcPr>
          <w:p w14:paraId="361252C1">
            <w:pPr>
              <w:jc w:val="center"/>
              <w:rPr>
                <w:rFonts w:hint="eastAsia" w:ascii="宋体" w:hAnsi="宋体" w:eastAsia="宋体" w:cs="宋体"/>
                <w:color w:val="000000" w:themeColor="text1"/>
                <w:sz w:val="24"/>
                <w14:textFill>
                  <w14:solidFill>
                    <w14:schemeClr w14:val="tx1"/>
                  </w14:solidFill>
                </w14:textFill>
              </w:rPr>
            </w:pPr>
          </w:p>
        </w:tc>
        <w:tc>
          <w:tcPr>
            <w:tcW w:w="1081" w:type="pct"/>
            <w:tcBorders>
              <w:left w:val="single" w:color="auto" w:sz="4" w:space="0"/>
              <w:right w:val="single" w:color="auto" w:sz="4" w:space="0"/>
            </w:tcBorders>
            <w:vAlign w:val="center"/>
          </w:tcPr>
          <w:p w14:paraId="5347B153">
            <w:pPr>
              <w:jc w:val="center"/>
              <w:rPr>
                <w:rFonts w:hint="eastAsia" w:ascii="宋体" w:hAnsi="宋体" w:eastAsia="宋体" w:cs="宋体"/>
                <w:color w:val="000000" w:themeColor="text1"/>
                <w:sz w:val="24"/>
                <w14:textFill>
                  <w14:solidFill>
                    <w14:schemeClr w14:val="tx1"/>
                  </w14:solidFill>
                </w14:textFill>
              </w:rPr>
            </w:pPr>
          </w:p>
        </w:tc>
      </w:tr>
      <w:tr w14:paraId="023CC9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603" w:type="pct"/>
            <w:tcBorders>
              <w:left w:val="single" w:color="auto" w:sz="4" w:space="0"/>
              <w:right w:val="single" w:color="auto" w:sz="4" w:space="0"/>
            </w:tcBorders>
            <w:vAlign w:val="center"/>
          </w:tcPr>
          <w:p w14:paraId="0E2EDABB">
            <w:pPr>
              <w:snapToGrid w:val="0"/>
              <w:jc w:val="center"/>
              <w:rPr>
                <w:rFonts w:ascii="宋体" w:hAnsi="宋体" w:cs="宋体"/>
                <w:color w:val="000000" w:themeColor="text1"/>
                <w:sz w:val="24"/>
                <w:u w:color="000000"/>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合计总报价</w:t>
            </w:r>
          </w:p>
        </w:tc>
        <w:tc>
          <w:tcPr>
            <w:tcW w:w="4396" w:type="pct"/>
            <w:gridSpan w:val="4"/>
            <w:tcBorders>
              <w:left w:val="single" w:color="auto" w:sz="4" w:space="0"/>
              <w:right w:val="single" w:color="auto" w:sz="4" w:space="0"/>
            </w:tcBorders>
            <w:vAlign w:val="center"/>
          </w:tcPr>
          <w:p w14:paraId="14F6906D">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大写：                            </w:t>
            </w:r>
            <w:r>
              <w:rPr>
                <w:rFonts w:hint="eastAsia" w:ascii="宋体" w:hAnsi="宋体" w:cs="宋体"/>
                <w:color w:val="000000" w:themeColor="text1"/>
                <w:sz w:val="24"/>
                <w14:textFill>
                  <w14:solidFill>
                    <w14:schemeClr w14:val="tx1"/>
                  </w14:solidFill>
                </w14:textFill>
              </w:rPr>
              <w:t>小写：</w:t>
            </w:r>
          </w:p>
        </w:tc>
      </w:tr>
    </w:tbl>
    <w:p w14:paraId="13151590">
      <w:pPr>
        <w:spacing w:line="360" w:lineRule="auto"/>
        <w:ind w:left="-2" w:leftChars="-1" w:firstLine="480" w:firstLineChars="200"/>
        <w:rPr>
          <w:rFonts w:hint="eastAsia" w:cs="仿宋_GB2312" w:asciiTheme="minorEastAsia" w:hAnsiTheme="minorEastAsia" w:eastAsiaTheme="minorEastAsia"/>
          <w:color w:val="auto"/>
          <w:sz w:val="24"/>
        </w:rPr>
      </w:pPr>
    </w:p>
    <w:p w14:paraId="1CF569F9">
      <w:pPr>
        <w:spacing w:line="360" w:lineRule="auto"/>
        <w:ind w:firstLine="240" w:firstLineChars="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7BFF75BD">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w:t>
      </w:r>
      <w:r>
        <w:rPr>
          <w:rFonts w:hint="eastAsia" w:cs="宋体" w:asciiTheme="minorEastAsia" w:hAnsiTheme="minorEastAsia" w:eastAsiaTheme="minorEastAsia"/>
          <w:color w:val="000000" w:themeColor="text1"/>
          <w:kern w:val="0"/>
          <w:sz w:val="24"/>
          <w:lang w:val="zh-CN"/>
          <w14:textFill>
            <w14:solidFill>
              <w14:schemeClr w14:val="tx1"/>
            </w14:solidFill>
          </w14:textFill>
        </w:rPr>
        <w:t>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采购内容未包含在《</w:t>
      </w:r>
      <w:r>
        <w:rPr>
          <w:rFonts w:hint="eastAsia" w:cs="宋体" w:asciiTheme="minorEastAsia" w:hAnsiTheme="minorEastAsia" w:eastAsiaTheme="minorEastAsia"/>
          <w:b/>
          <w:color w:val="000000" w:themeColor="text1"/>
          <w:kern w:val="0"/>
          <w:sz w:val="24"/>
          <w:lang w:val="en-US" w:eastAsia="zh-CN"/>
          <w14:textFill>
            <w14:solidFill>
              <w14:schemeClr w14:val="tx1"/>
            </w14:solidFill>
          </w14:textFill>
        </w:rPr>
        <w:t>最后</w:t>
      </w:r>
      <w:r>
        <w:rPr>
          <w:rFonts w:hint="eastAsia" w:cs="宋体" w:asciiTheme="minorEastAsia" w:hAnsiTheme="minorEastAsia" w:eastAsiaTheme="minorEastAsia"/>
          <w:b/>
          <w:color w:val="000000" w:themeColor="text1"/>
          <w:kern w:val="0"/>
          <w:sz w:val="24"/>
          <w:lang w:val="zh-CN"/>
          <w14:textFill>
            <w14:solidFill>
              <w14:schemeClr w14:val="tx1"/>
            </w14:solidFill>
          </w14:textFill>
        </w:rPr>
        <w:t>报价一览表》名称栏中，供应商不能作出合理解释的，</w:t>
      </w:r>
      <w:r>
        <w:rPr>
          <w:rFonts w:hint="eastAsia" w:cs="宋体" w:asciiTheme="minorEastAsia" w:hAnsiTheme="minorEastAsia" w:eastAsiaTheme="minorEastAsia"/>
          <w:b/>
          <w:color w:val="000000" w:themeColor="text1"/>
          <w:kern w:val="0"/>
          <w:sz w:val="24"/>
          <w14:textFill>
            <w14:solidFill>
              <w14:schemeClr w14:val="tx1"/>
            </w14:solidFill>
          </w14:textFill>
        </w:rPr>
        <w:t>视为</w:t>
      </w:r>
      <w:r>
        <w:rPr>
          <w:rFonts w:hint="eastAsia" w:cs="宋体" w:asciiTheme="minorEastAsia" w:hAnsiTheme="minorEastAsia" w:eastAsiaTheme="minorEastAsia"/>
          <w:b/>
          <w:color w:val="000000" w:themeColor="text1"/>
          <w:sz w:val="24"/>
          <w14:textFill>
            <w14:solidFill>
              <w14:schemeClr w14:val="tx1"/>
            </w14:solidFill>
          </w14:textFill>
        </w:rPr>
        <w:t>响应文件含有采购人不能接受的附加条件的，响应无效。</w:t>
      </w:r>
    </w:p>
    <w:p w14:paraId="501C989E">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3</w:t>
      </w:r>
      <w:r>
        <w:rPr>
          <w:rFonts w:hint="eastAsia" w:cs="仿宋_GB2312" w:asciiTheme="minorEastAsia" w:hAnsiTheme="minorEastAsia" w:eastAsiaTheme="minorEastAsia"/>
          <w:kern w:val="0"/>
          <w:sz w:val="24"/>
          <w:lang w:val="zh-CN"/>
        </w:rPr>
        <w:t>、特别提示：采购代理机构将对项目名称和项目编号，成交供应商名称、地址和成交金额，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25E5D2AA">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en-US" w:eastAsia="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3C03672">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1F56E418">
      <w:pPr>
        <w:widowControl/>
        <w:adjustRightInd/>
        <w:jc w:val="left"/>
        <w:rPr>
          <w:rFonts w:cs="仿宋_GB2312" w:asciiTheme="minorEastAsia" w:hAnsiTheme="minorEastAsia" w:eastAsiaTheme="minorEastAsia"/>
          <w:color w:val="auto"/>
          <w:kern w:val="0"/>
          <w:sz w:val="24"/>
          <w:lang w:val="zh-CN"/>
        </w:rPr>
        <w:sectPr>
          <w:pgSz w:w="11906" w:h="16838"/>
          <w:pgMar w:top="471" w:right="1418" w:bottom="777" w:left="1418" w:header="851" w:footer="992" w:gutter="0"/>
          <w:pgBorders>
            <w:top w:val="none" w:sz="0" w:space="0"/>
            <w:left w:val="none" w:sz="0" w:space="0"/>
            <w:bottom w:val="none" w:sz="0" w:space="0"/>
            <w:right w:val="none" w:sz="0" w:space="0"/>
          </w:pgBorders>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67"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67"/>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u w:val="single"/>
          <w:lang w:eastAsia="zh-CN"/>
        </w:rPr>
        <w:t>杭州市临安区第三人民医院 2025年度职工疗休养采购项目</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w:t>
      </w:r>
      <w:r>
        <w:rPr>
          <w:rFonts w:hint="eastAsia" w:asciiTheme="majorEastAsia" w:hAnsiTheme="majorEastAsia" w:eastAsiaTheme="majorEastAsia" w:cstheme="majorEastAsia"/>
          <w:color w:val="000000" w:themeColor="text1"/>
          <w:kern w:val="0"/>
          <w:sz w:val="24"/>
          <w:u w:val="single"/>
          <w14:textFill>
            <w14:solidFill>
              <w14:schemeClr w14:val="tx1"/>
            </w14:solidFill>
          </w14:textFill>
        </w:rPr>
        <w:t>租赁和商务服务业</w:t>
      </w:r>
      <w:r>
        <w:rPr>
          <w:rFonts w:hint="eastAsia" w:cs="宋体" w:asciiTheme="minorEastAsia" w:hAnsiTheme="minorEastAsia" w:eastAsiaTheme="minorEastAsia"/>
          <w:color w:val="auto"/>
          <w:sz w:val="24"/>
          <w:u w:val="single"/>
        </w:rPr>
        <w:t>）</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D03F0F8">
      <w:pPr>
        <w:spacing w:line="360" w:lineRule="auto"/>
        <w:ind w:firstLine="352"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color w:val="auto"/>
          <w:sz w:val="24"/>
        </w:rPr>
        <w:t xml:space="preserve">  </w:t>
      </w: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15C0D9F8">
      <w:pPr>
        <w:spacing w:line="360" w:lineRule="auto"/>
        <w:ind w:right="420"/>
        <w:rPr>
          <w:rFonts w:cs="宋体" w:asciiTheme="minorEastAsia" w:hAnsiTheme="minorEastAsia" w:eastAsiaTheme="minorEastAsia"/>
          <w:sz w:val="24"/>
          <w:highlight w:val="none"/>
        </w:rPr>
      </w:pPr>
    </w:p>
    <w:p w14:paraId="51B9C566">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61E9B6B7">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0608A5E">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D13C24A">
      <w:pPr>
        <w:spacing w:line="360" w:lineRule="auto"/>
        <w:rPr>
          <w:rFonts w:cs="仿宋_GB2312" w:asciiTheme="minorEastAsia" w:hAnsiTheme="minorEastAsia" w:eastAsiaTheme="minorEastAsia"/>
          <w:b/>
          <w:sz w:val="24"/>
          <w:highlight w:val="none"/>
        </w:rPr>
      </w:pPr>
    </w:p>
    <w:p w14:paraId="6FA8AFC9">
      <w:pP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p>
    <w:p w14:paraId="0BC7EDAD">
      <w:pPr>
        <w:pStyle w:val="2"/>
        <w:ind w:left="0" w:leftChars="0" w:firstLine="0" w:firstLineChars="0"/>
        <w:rPr>
          <w:rFonts w:hint="eastAsia" w:cs="仿宋_GB2312" w:asciiTheme="minorEastAsia" w:hAnsiTheme="minorEastAsia" w:eastAsiaTheme="minorEastAsia"/>
          <w:b/>
          <w:color w:val="auto"/>
          <w:kern w:val="2"/>
          <w:sz w:val="32"/>
          <w:szCs w:val="32"/>
          <w:lang w:val="en-US" w:eastAsia="zh-CN" w:bidi="ar-SA"/>
        </w:rPr>
      </w:pPr>
      <w:r>
        <w:rPr>
          <w:rFonts w:hint="eastAsia" w:cs="仿宋_GB2312" w:asciiTheme="minorEastAsia" w:hAnsiTheme="minorEastAsia" w:eastAsiaTheme="minorEastAsia"/>
          <w:b/>
          <w:color w:val="auto"/>
          <w:kern w:val="2"/>
          <w:sz w:val="32"/>
          <w:szCs w:val="32"/>
          <w:lang w:val="en-US" w:eastAsia="zh-CN" w:bidi="ar-SA"/>
        </w:rPr>
        <w:t>附件6：中小企业划型标准</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46042261">
      <w:pPr>
        <w:rPr>
          <w:rFonts w:hint="default" w:cs="仿宋_GB2312" w:asciiTheme="minorEastAsia" w:hAnsiTheme="minorEastAsia" w:eastAsiaTheme="minorEastAsia"/>
          <w:b/>
          <w:color w:val="auto"/>
          <w:kern w:val="2"/>
          <w:sz w:val="32"/>
          <w:szCs w:val="32"/>
          <w:lang w:val="en-US" w:eastAsia="zh-CN" w:bidi="ar-SA"/>
        </w:rPr>
      </w:pPr>
      <w:r>
        <w:rPr>
          <w:rFonts w:hint="default" w:cs="仿宋_GB2312" w:asciiTheme="minorEastAsia" w:hAnsiTheme="minorEastAsia" w:eastAsiaTheme="minorEastAsia"/>
          <w:b/>
          <w:color w:val="auto"/>
          <w:kern w:val="2"/>
          <w:sz w:val="32"/>
          <w:szCs w:val="32"/>
          <w:lang w:val="en-US" w:eastAsia="zh-CN" w:bidi="ar-SA"/>
        </w:rPr>
        <w:br w:type="page"/>
      </w:r>
    </w:p>
    <w:p w14:paraId="4C17890A">
      <w:pPr>
        <w:pStyle w:val="5"/>
        <w:jc w:val="both"/>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sz w:val="32"/>
          <w:szCs w:val="32"/>
          <w:highlight w:val="none"/>
        </w:rPr>
        <w:t>附件</w:t>
      </w:r>
      <w:r>
        <w:rPr>
          <w:rFonts w:hint="eastAsia" w:asciiTheme="minorEastAsia" w:hAnsiTheme="minorEastAsia" w:eastAsiaTheme="minorEastAsia" w:cstheme="minorEastAsia"/>
          <w:b/>
          <w:sz w:val="32"/>
          <w:szCs w:val="32"/>
          <w:highlight w:val="none"/>
          <w:lang w:val="en-US" w:eastAsia="zh-CN"/>
        </w:rPr>
        <w:t>7:</w:t>
      </w:r>
      <w:r>
        <w:rPr>
          <w:rFonts w:hint="eastAsia" w:asciiTheme="minorEastAsia" w:hAnsiTheme="minorEastAsia" w:eastAsiaTheme="minorEastAsia" w:cstheme="minorEastAsia"/>
          <w:b/>
          <w:bCs/>
          <w:sz w:val="32"/>
          <w:szCs w:val="32"/>
          <w:highlight w:val="none"/>
          <w:lang w:val="en-US" w:eastAsia="zh-CN"/>
        </w:rPr>
        <w:t>（开标记录开启后，请将此附件填写完整发送至邮箱： 363981861@qq.com）</w:t>
      </w:r>
    </w:p>
    <w:p w14:paraId="3FE21106">
      <w:pPr>
        <w:pStyle w:val="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政府采购活动现场确认声明书</w:t>
      </w:r>
    </w:p>
    <w:p w14:paraId="2D47B1D0">
      <w:pPr>
        <w:pStyle w:val="5"/>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采购代理机构</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p w14:paraId="69F80C30">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highlight w:val="none"/>
          <w:lang w:eastAsia="zh-CN"/>
        </w:rPr>
        <w:t>项目名称：</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）政府采购活动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经与本单位法人代表（负责人）联系确认，现就有关公平竞争事项郑重声明如下: </w:t>
      </w:r>
    </w:p>
    <w:p w14:paraId="675FE3C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本单位与采购人之间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不存在利害关系</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存在下列利害关系:</w:t>
      </w:r>
    </w:p>
    <w:p w14:paraId="675F33F7">
      <w:pPr>
        <w:pStyle w:val="5"/>
        <w:keepNext w:val="0"/>
        <w:keepLines w:val="0"/>
        <w:pageBreakBefore w:val="0"/>
        <w:widowControl w:val="0"/>
        <w:numPr>
          <w:ilvl w:val="0"/>
          <w:numId w:val="11"/>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投资关系 B．行政隶属关系 C．业务指导关系</w:t>
      </w:r>
    </w:p>
    <w:p w14:paraId="1905F7B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D．其他可能影响采购公正的利害关系（如有，请如实说明）。</w:t>
      </w:r>
    </w:p>
    <w:p w14:paraId="5761D3F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二、现己清楚知道参加本项目采购活动的其他所有供应商名称，本单位</w:t>
      </w:r>
    </w:p>
    <w:p w14:paraId="3038E5D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与其他所有供应商之间均不存在利害关系</w:t>
      </w:r>
    </w:p>
    <w:p w14:paraId="628EBDD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A3"/>
      </w:r>
      <w:r>
        <w:rPr>
          <w:rFonts w:hint="eastAsia" w:asciiTheme="minorEastAsia" w:hAnsiTheme="minorEastAsia" w:eastAsiaTheme="minorEastAsia" w:cstheme="minorEastAsia"/>
          <w:sz w:val="24"/>
          <w:szCs w:val="24"/>
          <w:highlight w:val="none"/>
        </w:rPr>
        <w:t xml:space="preserve">与______________（供应商名称）之间存在下列利害关系: </w:t>
      </w:r>
    </w:p>
    <w:p w14:paraId="138A6D2D">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A．法定代表人或负责人或实际控制人是同一人 </w:t>
      </w:r>
    </w:p>
    <w:p w14:paraId="06CB1DC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B．法定代表人或负责人或实际控制人是夫妻关系 </w:t>
      </w:r>
    </w:p>
    <w:p w14:paraId="002210F0">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C．法定代表人或负责人或实际控制人是直系血亲关系 </w:t>
      </w:r>
    </w:p>
    <w:p w14:paraId="1AC4821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D．法定代表人或负责人或实际控制人存在三代以内旁系血亲关系 </w:t>
      </w:r>
    </w:p>
    <w:p w14:paraId="7B87156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E．法定代表人或负责人或实际控制人存在近姻亲关系 </w:t>
      </w:r>
    </w:p>
    <w:p w14:paraId="32C68BE4">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F．法定代表人或负责人或实际控制人存在股份控制或实际控制关系 </w:t>
      </w:r>
    </w:p>
    <w:p w14:paraId="7E31F402">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G．存在共同直接或间接投资设立子公司、联营企业和合营企业情况 </w:t>
      </w:r>
    </w:p>
    <w:p w14:paraId="26C2C6D9">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H．存在分级代理或代销关系、同一生产制造商关系、管理关系、重要业务（占主营业务收入 50 ％以上）或重要财务 往来关系（如融资）等其他实质性控制关系 </w:t>
      </w:r>
    </w:p>
    <w:p w14:paraId="217CF04A">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I．其他利害关系情况 _____________________________。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DAEA8C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三、现己清楚知道并严格遵守政府采购法律法规。 </w:t>
      </w:r>
    </w:p>
    <w:p w14:paraId="4D600623">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四、我发现 ____________________供应商之间存在或可能存在上述第二条第 ____________项利害关系。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lang w:eastAsia="zh-CN"/>
        </w:rPr>
        <w:t>如未填写，视同“无”）</w:t>
      </w:r>
    </w:p>
    <w:p w14:paraId="244CFD0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4A755AA7">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kern w:val="0"/>
          <w:sz w:val="24"/>
          <w:highlight w:val="none"/>
          <w:lang w:val="zh-CN"/>
        </w:rPr>
        <w:t>名称（签章）：</w:t>
      </w:r>
    </w:p>
    <w:p w14:paraId="6129B011">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供应商代表</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签名</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 xml:space="preserve">: </w:t>
      </w:r>
    </w:p>
    <w:p w14:paraId="61A18828">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日</w:t>
      </w:r>
    </w:p>
    <w:p w14:paraId="0E3F29B3">
      <w:pPr>
        <w:pStyle w:val="2"/>
        <w:ind w:left="0" w:leftChars="0" w:firstLine="0" w:firstLineChars="0"/>
        <w:rPr>
          <w:rFonts w:hint="default" w:cs="仿宋_GB2312" w:asciiTheme="minorEastAsia" w:hAnsiTheme="minorEastAsia" w:eastAsiaTheme="minorEastAsia"/>
          <w:b/>
          <w:color w:val="auto"/>
          <w:kern w:val="2"/>
          <w:sz w:val="32"/>
          <w:szCs w:val="32"/>
          <w:lang w:val="en-US" w:eastAsia="zh-CN" w:bidi="ar-SA"/>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6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9"/>
      <w:framePr w:wrap="around" w:vAnchor="text" w:hAnchor="margin" w:xAlign="right" w:y="1"/>
      <w:rPr>
        <w:rStyle w:val="64"/>
      </w:rPr>
    </w:pPr>
    <w:r>
      <w:fldChar w:fldCharType="begin"/>
    </w:r>
    <w:r>
      <w:rPr>
        <w:rStyle w:val="64"/>
      </w:rPr>
      <w:instrText xml:space="preserve">PAGE  </w:instrText>
    </w:r>
    <w:r>
      <w:fldChar w:fldCharType="end"/>
    </w:r>
  </w:p>
  <w:p w14:paraId="3F34B94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9"/>
      <w:framePr w:wrap="around" w:vAnchor="text" w:hAnchor="margin" w:xAlign="right" w:y="1"/>
      <w:rPr>
        <w:rStyle w:val="64"/>
      </w:rPr>
    </w:pPr>
    <w:r>
      <w:fldChar w:fldCharType="begin"/>
    </w:r>
    <w:r>
      <w:rPr>
        <w:rStyle w:val="64"/>
      </w:rPr>
      <w:instrText xml:space="preserve">PAGE  </w:instrText>
    </w:r>
    <w:r>
      <w:fldChar w:fldCharType="end"/>
    </w:r>
  </w:p>
  <w:p w14:paraId="49CD9CF1">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8" w:name="_Toc131845147"/>
    <w:bookmarkStart w:id="169" w:name="_Toc36110187"/>
    <w:bookmarkStart w:id="170" w:name="_Toc91899912"/>
    <w:bookmarkStart w:id="171" w:name="_Toc164085800"/>
    <w:r>
      <w:rPr>
        <w:rFonts w:hint="eastAsia" w:ascii="仿宋_GB2312" w:eastAsia="仿宋_GB2312"/>
        <w:kern w:val="0"/>
        <w:szCs w:val="21"/>
      </w:rPr>
      <w:t xml:space="preserve"> 页</w:t>
    </w:r>
    <w:bookmarkEnd w:id="168"/>
    <w:bookmarkEnd w:id="169"/>
    <w:bookmarkEnd w:id="170"/>
    <w:bookmarkEnd w:id="1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ZWNhMDgwNzc4MDgyMDEzZTY3YzYyMGE0ZGFhM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91BBF"/>
    <w:rsid w:val="01615BA7"/>
    <w:rsid w:val="02DA0C0E"/>
    <w:rsid w:val="03253AFD"/>
    <w:rsid w:val="038E391A"/>
    <w:rsid w:val="039277FB"/>
    <w:rsid w:val="03DD35E4"/>
    <w:rsid w:val="05624616"/>
    <w:rsid w:val="065A6178"/>
    <w:rsid w:val="074E5106"/>
    <w:rsid w:val="074F44FD"/>
    <w:rsid w:val="075562B7"/>
    <w:rsid w:val="07F6164B"/>
    <w:rsid w:val="087A1B7A"/>
    <w:rsid w:val="09266EDC"/>
    <w:rsid w:val="096B2097"/>
    <w:rsid w:val="0A5B7E63"/>
    <w:rsid w:val="0A6767AA"/>
    <w:rsid w:val="0ACD4199"/>
    <w:rsid w:val="0C87121B"/>
    <w:rsid w:val="0CFA42FF"/>
    <w:rsid w:val="0DD5555E"/>
    <w:rsid w:val="0DF702FE"/>
    <w:rsid w:val="0E3F698B"/>
    <w:rsid w:val="0F21508F"/>
    <w:rsid w:val="0F816ACD"/>
    <w:rsid w:val="0FB94501"/>
    <w:rsid w:val="106F7B83"/>
    <w:rsid w:val="10B047CF"/>
    <w:rsid w:val="10FC16EA"/>
    <w:rsid w:val="118963A1"/>
    <w:rsid w:val="127723A9"/>
    <w:rsid w:val="13072A44"/>
    <w:rsid w:val="131E5E73"/>
    <w:rsid w:val="132F6A72"/>
    <w:rsid w:val="145044FA"/>
    <w:rsid w:val="147C07AD"/>
    <w:rsid w:val="165C118C"/>
    <w:rsid w:val="184C5231"/>
    <w:rsid w:val="186742B0"/>
    <w:rsid w:val="187622AE"/>
    <w:rsid w:val="19745377"/>
    <w:rsid w:val="1A312930"/>
    <w:rsid w:val="1AAB4490"/>
    <w:rsid w:val="1AE2541E"/>
    <w:rsid w:val="1B2A271F"/>
    <w:rsid w:val="1B890139"/>
    <w:rsid w:val="1C386203"/>
    <w:rsid w:val="1D266CE1"/>
    <w:rsid w:val="1D3963AF"/>
    <w:rsid w:val="1D682B0D"/>
    <w:rsid w:val="1E714A66"/>
    <w:rsid w:val="1FE868A9"/>
    <w:rsid w:val="211E26D6"/>
    <w:rsid w:val="21283D08"/>
    <w:rsid w:val="23810484"/>
    <w:rsid w:val="240D1D18"/>
    <w:rsid w:val="254D59F1"/>
    <w:rsid w:val="25B440B3"/>
    <w:rsid w:val="276500BD"/>
    <w:rsid w:val="280B47C0"/>
    <w:rsid w:val="28C55EDD"/>
    <w:rsid w:val="28D75A0E"/>
    <w:rsid w:val="291B5352"/>
    <w:rsid w:val="29263821"/>
    <w:rsid w:val="2AA1365A"/>
    <w:rsid w:val="2C1F4808"/>
    <w:rsid w:val="2CD371F8"/>
    <w:rsid w:val="2D824B25"/>
    <w:rsid w:val="2DC46415"/>
    <w:rsid w:val="2DD15014"/>
    <w:rsid w:val="2E35294D"/>
    <w:rsid w:val="2F431526"/>
    <w:rsid w:val="2FB3703A"/>
    <w:rsid w:val="2FB44A0F"/>
    <w:rsid w:val="2FD25781"/>
    <w:rsid w:val="309668E7"/>
    <w:rsid w:val="319C6071"/>
    <w:rsid w:val="31A905EB"/>
    <w:rsid w:val="322E1CFE"/>
    <w:rsid w:val="32DB72BE"/>
    <w:rsid w:val="342E63AB"/>
    <w:rsid w:val="345D260B"/>
    <w:rsid w:val="35A85D44"/>
    <w:rsid w:val="365302AE"/>
    <w:rsid w:val="36B507C8"/>
    <w:rsid w:val="36F80B33"/>
    <w:rsid w:val="37F142D2"/>
    <w:rsid w:val="38A46FB1"/>
    <w:rsid w:val="39A13F14"/>
    <w:rsid w:val="39DF49CF"/>
    <w:rsid w:val="3A326BBD"/>
    <w:rsid w:val="3A351C05"/>
    <w:rsid w:val="3AAA41A1"/>
    <w:rsid w:val="3B2E1A16"/>
    <w:rsid w:val="3B6A5AD3"/>
    <w:rsid w:val="3B79C5FC"/>
    <w:rsid w:val="3C5F759A"/>
    <w:rsid w:val="3C901C8F"/>
    <w:rsid w:val="3D271C45"/>
    <w:rsid w:val="3D5C78D4"/>
    <w:rsid w:val="3E7D799E"/>
    <w:rsid w:val="3E9608C5"/>
    <w:rsid w:val="3EEB764E"/>
    <w:rsid w:val="3FFF72A6"/>
    <w:rsid w:val="40153CDD"/>
    <w:rsid w:val="413E57AF"/>
    <w:rsid w:val="42103979"/>
    <w:rsid w:val="42693067"/>
    <w:rsid w:val="42E1381E"/>
    <w:rsid w:val="43FB717C"/>
    <w:rsid w:val="4476700E"/>
    <w:rsid w:val="44966878"/>
    <w:rsid w:val="451E447A"/>
    <w:rsid w:val="45345B76"/>
    <w:rsid w:val="45B44352"/>
    <w:rsid w:val="468974CC"/>
    <w:rsid w:val="47041CC3"/>
    <w:rsid w:val="47307808"/>
    <w:rsid w:val="47800F9A"/>
    <w:rsid w:val="486F747C"/>
    <w:rsid w:val="48C72E74"/>
    <w:rsid w:val="498C64B9"/>
    <w:rsid w:val="4AC62A0B"/>
    <w:rsid w:val="4C6A38FC"/>
    <w:rsid w:val="4C754095"/>
    <w:rsid w:val="4D081205"/>
    <w:rsid w:val="4D861CF6"/>
    <w:rsid w:val="4E3150E2"/>
    <w:rsid w:val="4E487F82"/>
    <w:rsid w:val="4E4D5946"/>
    <w:rsid w:val="4EF676C9"/>
    <w:rsid w:val="51590625"/>
    <w:rsid w:val="51A0432A"/>
    <w:rsid w:val="51D644C0"/>
    <w:rsid w:val="527140E5"/>
    <w:rsid w:val="5292508F"/>
    <w:rsid w:val="52A96B6F"/>
    <w:rsid w:val="53D55AFF"/>
    <w:rsid w:val="545735C7"/>
    <w:rsid w:val="550764A4"/>
    <w:rsid w:val="551926E0"/>
    <w:rsid w:val="553D0290"/>
    <w:rsid w:val="55927BDD"/>
    <w:rsid w:val="561279B9"/>
    <w:rsid w:val="56515F3B"/>
    <w:rsid w:val="5676E2BD"/>
    <w:rsid w:val="56A143BE"/>
    <w:rsid w:val="572B71CA"/>
    <w:rsid w:val="57D2381C"/>
    <w:rsid w:val="57E958DA"/>
    <w:rsid w:val="58AE4F0C"/>
    <w:rsid w:val="5A2A7C7B"/>
    <w:rsid w:val="5BA53C90"/>
    <w:rsid w:val="5BE02A4F"/>
    <w:rsid w:val="5C80234E"/>
    <w:rsid w:val="5D5932FD"/>
    <w:rsid w:val="5DA2083C"/>
    <w:rsid w:val="5E0E058B"/>
    <w:rsid w:val="5E261785"/>
    <w:rsid w:val="5E3821DC"/>
    <w:rsid w:val="5F7E46DF"/>
    <w:rsid w:val="5FCC5339"/>
    <w:rsid w:val="5FE70807"/>
    <w:rsid w:val="600D03CE"/>
    <w:rsid w:val="60E53485"/>
    <w:rsid w:val="61054A27"/>
    <w:rsid w:val="611D2366"/>
    <w:rsid w:val="6126799A"/>
    <w:rsid w:val="612A3574"/>
    <w:rsid w:val="62885958"/>
    <w:rsid w:val="6316196C"/>
    <w:rsid w:val="63D640D5"/>
    <w:rsid w:val="64540CC2"/>
    <w:rsid w:val="64CE2EAA"/>
    <w:rsid w:val="662E75B1"/>
    <w:rsid w:val="66342C2E"/>
    <w:rsid w:val="663E784C"/>
    <w:rsid w:val="664A463C"/>
    <w:rsid w:val="685867EC"/>
    <w:rsid w:val="68F0088D"/>
    <w:rsid w:val="69222034"/>
    <w:rsid w:val="69735746"/>
    <w:rsid w:val="6E8E12EF"/>
    <w:rsid w:val="70227EC6"/>
    <w:rsid w:val="71D43752"/>
    <w:rsid w:val="72A11F2B"/>
    <w:rsid w:val="72E41463"/>
    <w:rsid w:val="72FFFA5B"/>
    <w:rsid w:val="73DD6243"/>
    <w:rsid w:val="749C4185"/>
    <w:rsid w:val="75986F33"/>
    <w:rsid w:val="75D311E6"/>
    <w:rsid w:val="75DA2C18"/>
    <w:rsid w:val="75DB6412"/>
    <w:rsid w:val="76CF41D8"/>
    <w:rsid w:val="775319EF"/>
    <w:rsid w:val="775C1F10"/>
    <w:rsid w:val="782D083A"/>
    <w:rsid w:val="783F0EE9"/>
    <w:rsid w:val="790F1C77"/>
    <w:rsid w:val="79D21C19"/>
    <w:rsid w:val="7A67303B"/>
    <w:rsid w:val="7AAB1D04"/>
    <w:rsid w:val="7ABA4368"/>
    <w:rsid w:val="7ADF2DAC"/>
    <w:rsid w:val="7B257FFD"/>
    <w:rsid w:val="7C104713"/>
    <w:rsid w:val="7C2B1DA5"/>
    <w:rsid w:val="7DAA4EE5"/>
    <w:rsid w:val="7DF4317E"/>
    <w:rsid w:val="7E64308B"/>
    <w:rsid w:val="7E9242CD"/>
    <w:rsid w:val="7EE2719E"/>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5"/>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474"/>
    <w:qFormat/>
    <w:uiPriority w:val="0"/>
    <w:pPr>
      <w:spacing w:line="480" w:lineRule="exact"/>
      <w:ind w:firstLine="480" w:firstLineChars="200"/>
    </w:pPr>
    <w:rPr>
      <w:rFonts w:ascii="宋体" w:hAnsi="宋体"/>
      <w:sz w:val="24"/>
    </w:rPr>
  </w:style>
  <w:style w:type="paragraph" w:styleId="5">
    <w:name w:val="Body Text"/>
    <w:basedOn w:val="1"/>
    <w:next w:val="6"/>
    <w:link w:val="511"/>
    <w:qFormat/>
    <w:uiPriority w:val="0"/>
    <w:pPr>
      <w:autoSpaceDE w:val="0"/>
      <w:autoSpaceDN w:val="0"/>
      <w:spacing w:line="360" w:lineRule="auto"/>
    </w:pPr>
    <w:rPr>
      <w:rFonts w:ascii="宋体"/>
      <w:sz w:val="24"/>
      <w:szCs w:val="21"/>
      <w:lang w:val="zh-CN"/>
    </w:rPr>
  </w:style>
  <w:style w:type="paragraph" w:styleId="6">
    <w:name w:val="Body Text First Indent"/>
    <w:basedOn w:val="5"/>
    <w:next w:val="7"/>
    <w:link w:val="544"/>
    <w:qFormat/>
    <w:uiPriority w:val="0"/>
    <w:pPr>
      <w:ind w:firstLine="420"/>
    </w:pPr>
    <w:rPr>
      <w:szCs w:val="20"/>
    </w:rPr>
  </w:style>
  <w:style w:type="paragraph" w:styleId="7">
    <w:name w:val="toc 6"/>
    <w:basedOn w:val="1"/>
    <w:next w:val="1"/>
    <w:qFormat/>
    <w:uiPriority w:val="0"/>
    <w:pPr>
      <w:ind w:left="2100" w:leftChars="10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semiHidden/>
    <w:qFormat/>
    <w:uiPriority w:val="0"/>
    <w:pPr>
      <w:shd w:val="clear" w:color="auto" w:fill="000080"/>
    </w:pPr>
  </w:style>
  <w:style w:type="paragraph" w:styleId="23">
    <w:name w:val="annotation text"/>
    <w:basedOn w:val="1"/>
    <w:link w:val="613"/>
    <w:qFormat/>
    <w:uiPriority w:val="99"/>
    <w:pPr>
      <w:jc w:val="left"/>
    </w:pPr>
  </w:style>
  <w:style w:type="paragraph" w:styleId="24">
    <w:name w:val="Salutation"/>
    <w:basedOn w:val="1"/>
    <w:next w:val="1"/>
    <w:link w:val="481"/>
    <w:qFormat/>
    <w:uiPriority w:val="0"/>
    <w:rPr>
      <w:rFonts w:ascii="仿宋_GB2312" w:eastAsia="仿宋_GB2312"/>
      <w:sz w:val="28"/>
      <w:szCs w:val="20"/>
    </w:rPr>
  </w:style>
  <w:style w:type="paragraph" w:styleId="25">
    <w:name w:val="Body Text 3"/>
    <w:basedOn w:val="1"/>
    <w:link w:val="580"/>
    <w:qFormat/>
    <w:uiPriority w:val="0"/>
    <w:pPr>
      <w:jc w:val="center"/>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9"/>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3"/>
    <w:next w:val="23"/>
    <w:semiHidden/>
    <w:qFormat/>
    <w:uiPriority w:val="0"/>
    <w:rPr>
      <w:b/>
      <w:bCs/>
    </w:rPr>
  </w:style>
  <w:style w:type="paragraph" w:styleId="59">
    <w:name w:val="Body Text First Indent 2"/>
    <w:basedOn w:val="2"/>
    <w:next w:val="1"/>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9"/>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9"/>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9"/>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8"/>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8"/>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9"/>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2"/>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10"/>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10"/>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3"/>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2"/>
    <w:qFormat/>
    <w:uiPriority w:val="0"/>
    <w:rPr>
      <w:b/>
      <w:bCs/>
      <w:kern w:val="2"/>
      <w:sz w:val="24"/>
      <w:szCs w:val="24"/>
    </w:rPr>
  </w:style>
  <w:style w:type="character" w:customStyle="1" w:styleId="481">
    <w:name w:val="称呼 Char"/>
    <w:link w:val="24"/>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4"/>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6"/>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10"/>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5"/>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9"/>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11"/>
    <w:qFormat/>
    <w:uiPriority w:val="0"/>
    <w:rPr>
      <w:rFonts w:ascii="Arial" w:hAnsi="Arial" w:eastAsia="黑体"/>
      <w:b/>
      <w:bCs/>
      <w:kern w:val="2"/>
      <w:sz w:val="24"/>
      <w:szCs w:val="24"/>
    </w:rPr>
  </w:style>
  <w:style w:type="character" w:customStyle="1" w:styleId="612">
    <w:name w:val="正文缩进 Char2"/>
    <w:link w:val="19"/>
    <w:qFormat/>
    <w:uiPriority w:val="0"/>
    <w:rPr>
      <w:rFonts w:ascii="宋体" w:eastAsia="宋体"/>
      <w:snapToGrid w:val="0"/>
      <w:color w:val="000000"/>
      <w:kern w:val="28"/>
      <w:sz w:val="28"/>
      <w:lang w:val="en-US" w:eastAsia="zh-CN" w:bidi="ar-SA"/>
    </w:rPr>
  </w:style>
  <w:style w:type="character" w:customStyle="1" w:styleId="613">
    <w:name w:val="批注文字 Char1"/>
    <w:link w:val="23"/>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table" w:customStyle="1" w:styleId="633">
    <w:name w:val="Table Normal"/>
    <w:unhideWhenUsed/>
    <w:qFormat/>
    <w:uiPriority w:val="0"/>
    <w:tblPr>
      <w:tblCellMar>
        <w:top w:w="0" w:type="dxa"/>
        <w:left w:w="0" w:type="dxa"/>
        <w:bottom w:w="0" w:type="dxa"/>
        <w:right w:w="0" w:type="dxa"/>
      </w:tblCellMar>
    </w:tblPr>
  </w:style>
  <w:style w:type="paragraph" w:customStyle="1" w:styleId="634">
    <w:name w:val="[Normal]"/>
    <w:autoRedefine/>
    <w:qFormat/>
    <w:uiPriority w:val="0"/>
    <w:rPr>
      <w:rFonts w:ascii="宋体" w:hAnsi="宋体" w:eastAsia="宋体" w:cs="Times New Roman"/>
      <w:sz w:val="24"/>
      <w:szCs w:val="22"/>
      <w:lang w:val="zh-CN" w:eastAsia="zh-CN" w:bidi="ar-SA"/>
    </w:rPr>
  </w:style>
  <w:style w:type="paragraph" w:customStyle="1" w:styleId="635">
    <w:name w:val="正文文本首行缩进 2"/>
    <w:basedOn w:val="2"/>
    <w:autoRedefine/>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872</Words>
  <Characters>983</Characters>
  <Lines>379</Lines>
  <Paragraphs>106</Paragraphs>
  <TotalTime>7</TotalTime>
  <ScaleCrop>false</ScaleCrop>
  <LinksUpToDate>false</LinksUpToDate>
  <CharactersWithSpaces>1086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五月桑</cp:lastModifiedBy>
  <cp:lastPrinted>2021-10-23T18:37:00Z</cp:lastPrinted>
  <dcterms:modified xsi:type="dcterms:W3CDTF">2025-06-28T01:34:16Z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3F5693C7C46B493CB1E7A36213532D5E_13</vt:lpwstr>
  </property>
  <property fmtid="{D5CDD505-2E9C-101B-9397-08002B2CF9AE}" pid="4" name="KSOTemplateDocerSaveRecord">
    <vt:lpwstr>eyJoZGlkIjoiMGIwMDIyNGQ1MzA1NTkzNWQwNDgyZjQ4OWNiMjdkYWUiLCJ1c2VySWQiOiIzODQ5ODE1ODAifQ==</vt:lpwstr>
  </property>
</Properties>
</file>