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62" w:rsidRDefault="007B37ED">
      <w:pPr>
        <w:spacing w:line="360" w:lineRule="auto"/>
        <w:jc w:val="center"/>
        <w:rPr>
          <w:rFonts w:ascii="黑体" w:eastAsia="黑体" w:hAnsi="黑体"/>
          <w:sz w:val="28"/>
          <w:szCs w:val="28"/>
        </w:rPr>
      </w:pPr>
      <w:r>
        <w:rPr>
          <w:rFonts w:ascii="黑体" w:eastAsia="黑体" w:hAnsi="黑体" w:hint="eastAsia"/>
          <w:sz w:val="28"/>
          <w:szCs w:val="28"/>
        </w:rPr>
        <w:t>更正公告</w:t>
      </w:r>
    </w:p>
    <w:p w:rsidR="00B84762" w:rsidRDefault="007B37ED">
      <w:pPr>
        <w:spacing w:line="360" w:lineRule="auto"/>
        <w:jc w:val="center"/>
        <w:rPr>
          <w:rFonts w:ascii="黑体" w:eastAsia="黑体" w:hAnsi="黑体"/>
          <w:sz w:val="28"/>
          <w:szCs w:val="28"/>
        </w:rPr>
      </w:pPr>
      <w:r>
        <w:rPr>
          <w:rFonts w:ascii="黑体" w:eastAsia="黑体" w:hAnsi="黑体" w:hint="eastAsia"/>
          <w:color w:val="000000"/>
          <w:sz w:val="28"/>
          <w:szCs w:val="28"/>
        </w:rPr>
        <w:t>杭州市公共资源交易中心上城分中心关于2023年上城区教育局下属学校幼儿园大中型玩具项目招标文件</w:t>
      </w:r>
      <w:r>
        <w:rPr>
          <w:rFonts w:ascii="黑体" w:eastAsia="黑体" w:hAnsi="黑体" w:hint="eastAsia"/>
          <w:sz w:val="28"/>
          <w:szCs w:val="28"/>
        </w:rPr>
        <w:t>更正的公告</w:t>
      </w:r>
    </w:p>
    <w:p w:rsidR="00B84762" w:rsidRDefault="007B37ED">
      <w:pPr>
        <w:jc w:val="center"/>
        <w:rPr>
          <w:rFonts w:ascii="黑体" w:eastAsia="黑体" w:hAnsi="黑体"/>
          <w:sz w:val="28"/>
          <w:szCs w:val="28"/>
        </w:rPr>
      </w:pPr>
      <w:r>
        <w:rPr>
          <w:rFonts w:ascii="黑体" w:eastAsia="黑体" w:hAnsi="黑体" w:hint="eastAsia"/>
          <w:sz w:val="28"/>
          <w:szCs w:val="28"/>
        </w:rPr>
        <w:t>公告日期：2023年5月18日</w:t>
      </w:r>
    </w:p>
    <w:p w:rsidR="00B84762" w:rsidRDefault="007B37ED">
      <w:pPr>
        <w:spacing w:line="360" w:lineRule="auto"/>
        <w:outlineLvl w:val="0"/>
        <w:rPr>
          <w:rFonts w:ascii="宋体" w:hAnsi="宋体"/>
          <w:sz w:val="28"/>
          <w:szCs w:val="28"/>
        </w:rPr>
      </w:pPr>
      <w:r>
        <w:rPr>
          <w:rFonts w:ascii="宋体" w:hAnsi="宋体" w:hint="eastAsia"/>
          <w:sz w:val="28"/>
          <w:szCs w:val="28"/>
        </w:rPr>
        <w:t>一．更正人名称：杭州市上城区教育发展服务中心、杭州市公共资源交易中心上城分中心</w:t>
      </w:r>
    </w:p>
    <w:p w:rsidR="00B84762" w:rsidRDefault="007B37ED">
      <w:pPr>
        <w:spacing w:line="360" w:lineRule="auto"/>
        <w:outlineLvl w:val="0"/>
        <w:rPr>
          <w:rFonts w:ascii="宋体" w:hAnsi="宋体"/>
          <w:color w:val="2E74B5"/>
          <w:sz w:val="28"/>
          <w:szCs w:val="28"/>
        </w:rPr>
      </w:pPr>
      <w:r>
        <w:rPr>
          <w:rFonts w:ascii="宋体" w:hAnsi="宋体" w:hint="eastAsia"/>
          <w:sz w:val="28"/>
          <w:szCs w:val="28"/>
        </w:rPr>
        <w:t xml:space="preserve">二．采购项目名称：2023年上城区教育局下属学校幼儿园大中型玩具项目招标文件 </w:t>
      </w:r>
    </w:p>
    <w:p w:rsidR="00B84762" w:rsidRDefault="007B37ED">
      <w:pPr>
        <w:spacing w:line="360" w:lineRule="auto"/>
        <w:outlineLvl w:val="0"/>
        <w:rPr>
          <w:rFonts w:ascii="宋体" w:hAnsi="宋体"/>
          <w:sz w:val="28"/>
          <w:szCs w:val="28"/>
        </w:rPr>
      </w:pPr>
      <w:r>
        <w:rPr>
          <w:rFonts w:ascii="宋体" w:hAnsi="宋体" w:hint="eastAsia"/>
          <w:sz w:val="28"/>
          <w:szCs w:val="28"/>
        </w:rPr>
        <w:t>三．采购项目编号：</w:t>
      </w:r>
      <w:r>
        <w:rPr>
          <w:rFonts w:ascii="宋体" w:hAnsi="宋体" w:cs="宋体"/>
          <w:sz w:val="30"/>
          <w:szCs w:val="30"/>
        </w:rPr>
        <w:t>SCCG2023-GK-1</w:t>
      </w:r>
      <w:r>
        <w:rPr>
          <w:rFonts w:ascii="宋体" w:hAnsi="宋体" w:cs="宋体" w:hint="eastAsia"/>
          <w:sz w:val="30"/>
          <w:szCs w:val="30"/>
        </w:rPr>
        <w:t>7</w:t>
      </w:r>
    </w:p>
    <w:p w:rsidR="00B84762" w:rsidRDefault="007B37ED">
      <w:pPr>
        <w:spacing w:line="360" w:lineRule="auto"/>
        <w:outlineLvl w:val="0"/>
        <w:rPr>
          <w:rFonts w:ascii="宋体" w:hAnsi="宋体"/>
          <w:sz w:val="28"/>
          <w:szCs w:val="28"/>
        </w:rPr>
      </w:pPr>
      <w:r>
        <w:rPr>
          <w:rFonts w:ascii="宋体" w:hAnsi="宋体" w:hint="eastAsia"/>
          <w:sz w:val="28"/>
          <w:szCs w:val="28"/>
        </w:rPr>
        <w:t>四．原采购公告发布日期：2023年5月9日</w:t>
      </w:r>
    </w:p>
    <w:p w:rsidR="00B84762" w:rsidRDefault="007B37ED">
      <w:pPr>
        <w:spacing w:line="360" w:lineRule="auto"/>
        <w:outlineLvl w:val="0"/>
        <w:rPr>
          <w:rFonts w:ascii="宋体" w:hAnsi="宋体"/>
          <w:sz w:val="28"/>
          <w:szCs w:val="28"/>
        </w:rPr>
      </w:pPr>
      <w:r>
        <w:rPr>
          <w:rFonts w:ascii="宋体" w:hAnsi="宋体" w:hint="eastAsia"/>
          <w:sz w:val="28"/>
          <w:szCs w:val="28"/>
        </w:rPr>
        <w:t>五．更正事项：采购文件   </w:t>
      </w:r>
    </w:p>
    <w:p w:rsidR="00B84762" w:rsidRDefault="007B37ED">
      <w:pPr>
        <w:spacing w:line="360" w:lineRule="auto"/>
        <w:outlineLvl w:val="0"/>
        <w:rPr>
          <w:rFonts w:ascii="宋体" w:hAnsi="宋体"/>
          <w:sz w:val="28"/>
          <w:szCs w:val="28"/>
        </w:rPr>
      </w:pPr>
      <w:r>
        <w:rPr>
          <w:rFonts w:ascii="宋体" w:hAnsi="宋体" w:hint="eastAsia"/>
          <w:sz w:val="28"/>
          <w:szCs w:val="28"/>
        </w:rPr>
        <w:t>六.更正内容：</w:t>
      </w:r>
    </w:p>
    <w:tbl>
      <w:tblPr>
        <w:tblpPr w:leftFromText="180" w:rightFromText="180" w:vertAnchor="text" w:horzAnchor="page" w:tblpX="955" w:tblpY="194"/>
        <w:tblOverlap w:val="never"/>
        <w:tblW w:w="10350" w:type="dxa"/>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tblPr>
      <w:tblGrid>
        <w:gridCol w:w="735"/>
        <w:gridCol w:w="1290"/>
        <w:gridCol w:w="3795"/>
        <w:gridCol w:w="4530"/>
      </w:tblGrid>
      <w:tr w:rsidR="00B84762">
        <w:tc>
          <w:tcPr>
            <w:tcW w:w="735" w:type="dxa"/>
            <w:noWrap/>
          </w:tcPr>
          <w:p w:rsidR="00B84762" w:rsidRDefault="007B37ED">
            <w:pPr>
              <w:spacing w:line="360" w:lineRule="auto"/>
              <w:outlineLvl w:val="0"/>
              <w:rPr>
                <w:rFonts w:ascii="宋体" w:hAnsi="宋体"/>
                <w:sz w:val="24"/>
              </w:rPr>
            </w:pPr>
            <w:bookmarkStart w:id="0" w:name="B09_更正理由"/>
            <w:r>
              <w:rPr>
                <w:rFonts w:ascii="宋体" w:hAnsi="宋体" w:hint="eastAsia"/>
                <w:sz w:val="24"/>
              </w:rPr>
              <w:t>序号</w:t>
            </w:r>
          </w:p>
        </w:tc>
        <w:tc>
          <w:tcPr>
            <w:tcW w:w="1290" w:type="dxa"/>
            <w:noWrap/>
          </w:tcPr>
          <w:p w:rsidR="00B84762" w:rsidRDefault="007B37ED">
            <w:pPr>
              <w:spacing w:line="360" w:lineRule="auto"/>
              <w:outlineLvl w:val="0"/>
              <w:rPr>
                <w:rFonts w:ascii="宋体" w:hAnsi="宋体"/>
                <w:sz w:val="24"/>
              </w:rPr>
            </w:pPr>
            <w:r>
              <w:rPr>
                <w:rFonts w:ascii="宋体" w:hAnsi="宋体" w:hint="eastAsia"/>
                <w:sz w:val="24"/>
              </w:rPr>
              <w:t>更正事项</w:t>
            </w:r>
          </w:p>
        </w:tc>
        <w:tc>
          <w:tcPr>
            <w:tcW w:w="3795" w:type="dxa"/>
            <w:noWrap/>
          </w:tcPr>
          <w:p w:rsidR="00B84762" w:rsidRDefault="007B37ED">
            <w:pPr>
              <w:spacing w:line="360" w:lineRule="auto"/>
              <w:outlineLvl w:val="0"/>
              <w:rPr>
                <w:rFonts w:ascii="宋体" w:hAnsi="宋体"/>
                <w:sz w:val="24"/>
              </w:rPr>
            </w:pPr>
            <w:r>
              <w:rPr>
                <w:rFonts w:ascii="宋体" w:hAnsi="宋体" w:hint="eastAsia"/>
                <w:sz w:val="24"/>
              </w:rPr>
              <w:t>更正前内容</w:t>
            </w:r>
          </w:p>
        </w:tc>
        <w:tc>
          <w:tcPr>
            <w:tcW w:w="4530" w:type="dxa"/>
            <w:noWrap/>
          </w:tcPr>
          <w:p w:rsidR="00B84762" w:rsidRDefault="007B37ED">
            <w:pPr>
              <w:spacing w:line="360" w:lineRule="auto"/>
              <w:outlineLvl w:val="0"/>
              <w:rPr>
                <w:rFonts w:ascii="宋体" w:hAnsi="宋体"/>
                <w:sz w:val="24"/>
              </w:rPr>
            </w:pPr>
            <w:r>
              <w:rPr>
                <w:rFonts w:ascii="宋体" w:hAnsi="宋体" w:hint="eastAsia"/>
                <w:sz w:val="24"/>
              </w:rPr>
              <w:t>更正后内容</w:t>
            </w:r>
          </w:p>
        </w:tc>
      </w:tr>
      <w:tr w:rsidR="00B84762">
        <w:trPr>
          <w:trHeight w:val="966"/>
        </w:trPr>
        <w:tc>
          <w:tcPr>
            <w:tcW w:w="735" w:type="dxa"/>
            <w:noWrap/>
          </w:tcPr>
          <w:p w:rsidR="00B84762" w:rsidRDefault="007B37ED">
            <w:pPr>
              <w:spacing w:line="360" w:lineRule="auto"/>
              <w:jc w:val="center"/>
              <w:outlineLvl w:val="0"/>
              <w:rPr>
                <w:rFonts w:ascii="宋体" w:hAnsi="宋体"/>
                <w:sz w:val="24"/>
              </w:rPr>
            </w:pPr>
            <w:r>
              <w:rPr>
                <w:rFonts w:ascii="宋体" w:hAnsi="宋体" w:hint="eastAsia"/>
                <w:sz w:val="24"/>
              </w:rPr>
              <w:t>1</w:t>
            </w:r>
          </w:p>
        </w:tc>
        <w:tc>
          <w:tcPr>
            <w:tcW w:w="1290" w:type="dxa"/>
            <w:noWrap/>
          </w:tcPr>
          <w:p w:rsidR="00B84762" w:rsidRDefault="007B37ED">
            <w:pPr>
              <w:spacing w:line="360" w:lineRule="auto"/>
              <w:outlineLvl w:val="0"/>
              <w:rPr>
                <w:rFonts w:ascii="宋体" w:hAnsi="宋体"/>
                <w:sz w:val="24"/>
              </w:rPr>
            </w:pPr>
            <w:r>
              <w:rPr>
                <w:rFonts w:ascii="宋体" w:hAnsi="宋体" w:hint="eastAsia"/>
                <w:sz w:val="24"/>
              </w:rPr>
              <w:t>评标办法序号1</w:t>
            </w:r>
          </w:p>
        </w:tc>
        <w:tc>
          <w:tcPr>
            <w:tcW w:w="3795" w:type="dxa"/>
            <w:noWrap/>
          </w:tcPr>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投标企业具有效期内的认证证书：</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1.质量管理体系认证证书，覆盖的产品和服务至少包括：游乐设施、塑料玩具；(0-1)</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2.环境管理体系认证证书，覆盖的产品和服务至少包括：游乐设施、塑料玩具；(0-1)</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3.职业健康安全管理体系认证证书，覆盖的产品和服务至少包括：游乐设施、塑料玩具；(0-1)</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所投儿童滑梯由市级或以上相关质量检测中心符合标准的检测报告：</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1、投标产品选用的玩具主要材料、配件的检测报告：</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镀锌管：耐中性盐雾24h内符合GB/ 4340.1-2009；（0-1分）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扣件：符合GB/T10125-2012、</w:t>
            </w:r>
            <w:r>
              <w:rPr>
                <w:rFonts w:ascii="宋体" w:hAnsi="宋体" w:cs="宋体" w:hint="eastAsia"/>
                <w:color w:val="000000" w:themeColor="text1"/>
                <w:sz w:val="24"/>
              </w:rPr>
              <w:lastRenderedPageBreak/>
              <w:t>GB/T6461-2002、GB/T228.1-2010、GB/T4340.1-2009标准要求；（0-1分）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护栏：符合GB/T10125-2012、GB/T228.1-2010、GB/T4340.1-2009标准要求；（0-1分）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平台：符合GB/T10125-2012、GB/T228.1-2010、GB/T230.1-2018标准要求；（0-1分）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工程塑料：符合GB/T16422.2-2014、GB/T7921-2008标准要求；（0-1分）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2、投标产品选用的玩具成品的检测报告：</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抗菌游乐设施检测报告；（0-1分）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滑梯：检测报告符合GB6675.11-2014标准要求；（0-1分）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备注：</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T1771-2007、GB/T1766-2008标准要求；壁厚符合GB/T 13793-2016标准要求；维氏硬度符合GB/T</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①检测报告送检方必须为所投产品的生产厂家，投标时须提供原厂证明，提供投标产品生产单位出具的委托检测报告原件拍照并加盖投标人公章。</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②所有证书、报告必须真实、合规，在有效期内。</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③投标文件中须提供清晰可辨的证书、报告彩色拍照并加盖投标人公章。</w:t>
            </w:r>
          </w:p>
          <w:p w:rsidR="00B84762" w:rsidRDefault="007B37ED">
            <w:pPr>
              <w:jc w:val="left"/>
              <w:rPr>
                <w:rFonts w:ascii="宋体" w:hAnsi="宋体"/>
                <w:sz w:val="24"/>
              </w:rPr>
            </w:pPr>
            <w:r>
              <w:rPr>
                <w:rFonts w:ascii="宋体" w:hAnsi="宋体" w:cs="宋体" w:hint="eastAsia"/>
                <w:color w:val="000000" w:themeColor="text1"/>
                <w:sz w:val="24"/>
              </w:rPr>
              <w:t>如投标人提供的证书、报告拍照件因模糊不清而造成评标委员会在评审时做出对投标人不利的评审由投标人自行承担。</w:t>
            </w:r>
          </w:p>
        </w:tc>
        <w:tc>
          <w:tcPr>
            <w:tcW w:w="4530" w:type="dxa"/>
            <w:noWrap/>
          </w:tcPr>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lastRenderedPageBreak/>
              <w:t>一、投标企业具有效期内的认证证书：</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1.质量管理体系认证证书，覆盖的产品和服务至少包括：游乐设施、塑料玩具；(0-1)</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2.环境管理体系认证证书，覆盖的产品和服务至少包括：游乐设施、塑料玩具；(0-1)</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3.职业健康安全管理体系认证证书，覆盖的产品和服务至少包括：游乐设施、塑料玩具；(0-1)</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二、所投儿童滑梯由市级或以上相关质量检测中心符合标准的检测报告：</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1、投标产品选用的玩具主要材料、配件的检测报告：</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镀锌管：</w:t>
            </w:r>
            <w:r>
              <w:rPr>
                <w:rFonts w:ascii="宋体" w:hAnsi="宋体" w:hint="eastAsia"/>
                <w:sz w:val="24"/>
              </w:rPr>
              <w:t>耐中性盐雾24h内符合GB/T1771-2007；（0-1分）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扣件：符合GB/T10125-2021、GB/T6461-2002、GB/T228.1-2010、</w:t>
            </w:r>
            <w:r>
              <w:rPr>
                <w:rFonts w:ascii="宋体" w:hAnsi="宋体" w:cs="宋体" w:hint="eastAsia"/>
                <w:color w:val="000000" w:themeColor="text1"/>
                <w:sz w:val="24"/>
              </w:rPr>
              <w:lastRenderedPageBreak/>
              <w:t>GB/T4340.1-2009标准要求；（0-1分）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护栏：符合GB/T10125-2012、GB/T228.1-2010、GB/T4340.1-2009标准要求；（0-1分）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平台：符合GB/T10125-2012、GB/T228.1-2010、GB/T230.1-2018标准要求；（0-1分）</w:t>
            </w:r>
          </w:p>
          <w:p w:rsidR="00B84762" w:rsidRDefault="007B37ED">
            <w:pPr>
              <w:jc w:val="left"/>
              <w:rPr>
                <w:rFonts w:ascii="宋体" w:hAnsi="宋体"/>
                <w:sz w:val="24"/>
              </w:rPr>
            </w:pPr>
            <w:r>
              <w:rPr>
                <w:rFonts w:ascii="宋体" w:hAnsi="宋体" w:hint="eastAsia"/>
                <w:sz w:val="24"/>
              </w:rPr>
              <w:t>工程塑料：符合GB/T16422.2022、GB/T7921-2008标准要求；（0-1分）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2、投标产品选用的玩具成品的检测报告：</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抗菌游乐设施检测报告；（0-1分）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滑梯：检测报告符合GB6675.11-2014标准要求；（0-1分）</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T1771-2007、GB/T1766-2008标准要求；壁厚符合GB/T 13793-2016标准要求；维氏硬度符合GB/T</w:t>
            </w:r>
            <w:r>
              <w:rPr>
                <w:rFonts w:ascii="宋体" w:hAnsi="宋体" w:hint="eastAsia"/>
                <w:sz w:val="24"/>
              </w:rPr>
              <w:t>4340.1-2009</w:t>
            </w:r>
          </w:p>
          <w:p w:rsidR="00B84762" w:rsidRDefault="007B37ED">
            <w:pPr>
              <w:pStyle w:val="2"/>
              <w:ind w:leftChars="0" w:left="0" w:firstLineChars="0" w:firstLine="0"/>
            </w:pPr>
            <w:r>
              <w:rPr>
                <w:rFonts w:cs="宋体" w:hint="eastAsia"/>
                <w:color w:val="000000" w:themeColor="text1"/>
                <w:sz w:val="24"/>
              </w:rPr>
              <w:t>三、备注：</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1.检测报告送检方必须为所投产品的生产厂家，投标时须提供原厂证明，提供投标产品生产单位出具的委托检测报告原件拍照并加盖投标人公章。</w:t>
            </w:r>
          </w:p>
          <w:p w:rsidR="00EA2861" w:rsidRDefault="007B37ED" w:rsidP="00EA2861">
            <w:pPr>
              <w:jc w:val="left"/>
              <w:rPr>
                <w:rFonts w:ascii="宋体" w:hAnsi="宋体" w:cs="宋体"/>
                <w:color w:val="000000" w:themeColor="text1"/>
                <w:sz w:val="24"/>
              </w:rPr>
            </w:pPr>
            <w:r>
              <w:rPr>
                <w:rFonts w:ascii="宋体" w:hAnsi="宋体" w:cs="宋体" w:hint="eastAsia"/>
                <w:color w:val="000000" w:themeColor="text1"/>
                <w:sz w:val="24"/>
              </w:rPr>
              <w:t>2所有证书、报告必须真实、合规。欢迎投标单位提供国家认可玩具最新标准的证书参与投标。</w:t>
            </w:r>
            <w:bookmarkStart w:id="1" w:name="_GoBack"/>
            <w:bookmarkEnd w:id="1"/>
            <w:r w:rsidR="00EA2861">
              <w:rPr>
                <w:rFonts w:ascii="宋体" w:hAnsi="宋体" w:cs="宋体" w:hint="eastAsia"/>
                <w:color w:val="000000" w:themeColor="text1"/>
                <w:sz w:val="24"/>
              </w:rPr>
              <w:t>提供最新标准证书有效，分值同评分办法中现有标准证书分值一致。</w:t>
            </w:r>
          </w:p>
          <w:p w:rsidR="00B84762" w:rsidRDefault="007B37ED">
            <w:pPr>
              <w:jc w:val="left"/>
              <w:rPr>
                <w:rFonts w:ascii="宋体" w:hAnsi="宋体" w:cs="宋体"/>
                <w:color w:val="000000" w:themeColor="text1"/>
                <w:sz w:val="24"/>
              </w:rPr>
            </w:pPr>
            <w:r>
              <w:rPr>
                <w:rFonts w:ascii="宋体" w:hAnsi="宋体" w:cs="宋体" w:hint="eastAsia"/>
                <w:color w:val="000000" w:themeColor="text1"/>
                <w:sz w:val="24"/>
              </w:rPr>
              <w:t>3.投标文件中须提供清晰可辨的证书、报告彩色拍照并加盖投标人公章。</w:t>
            </w:r>
          </w:p>
          <w:p w:rsidR="00B84762" w:rsidRDefault="007B37ED">
            <w:r>
              <w:rPr>
                <w:rFonts w:ascii="宋体" w:hAnsi="宋体" w:cs="宋体" w:hint="eastAsia"/>
                <w:color w:val="000000" w:themeColor="text1"/>
                <w:sz w:val="24"/>
              </w:rPr>
              <w:t>4.如投标人提供的证书、报告拍照件因模糊不清而造成评标委员会在评审时做出对投标人不利的评审由投标人自行承担。</w:t>
            </w:r>
          </w:p>
          <w:p w:rsidR="00B84762" w:rsidRDefault="00B84762">
            <w:pPr>
              <w:spacing w:line="360" w:lineRule="auto"/>
              <w:outlineLvl w:val="0"/>
              <w:rPr>
                <w:rFonts w:ascii="宋体" w:hAnsi="宋体"/>
                <w:sz w:val="24"/>
              </w:rPr>
            </w:pPr>
          </w:p>
        </w:tc>
      </w:tr>
      <w:tr w:rsidR="00B84762">
        <w:tc>
          <w:tcPr>
            <w:tcW w:w="735" w:type="dxa"/>
            <w:noWrap/>
          </w:tcPr>
          <w:p w:rsidR="00B84762" w:rsidRDefault="007B37ED">
            <w:pPr>
              <w:spacing w:line="360" w:lineRule="auto"/>
              <w:jc w:val="center"/>
              <w:outlineLvl w:val="0"/>
              <w:rPr>
                <w:rFonts w:ascii="宋体" w:hAnsi="宋体"/>
                <w:sz w:val="24"/>
              </w:rPr>
            </w:pPr>
            <w:r>
              <w:rPr>
                <w:rFonts w:ascii="宋体" w:hAnsi="宋体" w:hint="eastAsia"/>
                <w:sz w:val="24"/>
              </w:rPr>
              <w:lastRenderedPageBreak/>
              <w:t>2</w:t>
            </w:r>
          </w:p>
        </w:tc>
        <w:tc>
          <w:tcPr>
            <w:tcW w:w="1290" w:type="dxa"/>
            <w:noWrap/>
          </w:tcPr>
          <w:p w:rsidR="00B84762" w:rsidRDefault="007B37ED">
            <w:pPr>
              <w:spacing w:line="360" w:lineRule="auto"/>
              <w:outlineLvl w:val="0"/>
              <w:rPr>
                <w:rFonts w:ascii="宋体" w:hAnsi="宋体"/>
                <w:sz w:val="24"/>
              </w:rPr>
            </w:pPr>
            <w:r>
              <w:rPr>
                <w:rFonts w:ascii="宋体" w:hAnsi="宋体" w:hint="eastAsia"/>
                <w:sz w:val="24"/>
              </w:rPr>
              <w:t>评标办法序号2</w:t>
            </w:r>
          </w:p>
        </w:tc>
        <w:tc>
          <w:tcPr>
            <w:tcW w:w="3795" w:type="dxa"/>
            <w:noWrap/>
          </w:tcPr>
          <w:p w:rsidR="00B84762" w:rsidRDefault="007B37ED">
            <w:pPr>
              <w:spacing w:line="360" w:lineRule="auto"/>
              <w:outlineLvl w:val="0"/>
              <w:rPr>
                <w:rFonts w:ascii="宋体" w:hAnsi="宋体"/>
                <w:sz w:val="24"/>
              </w:rPr>
            </w:pPr>
            <w:r>
              <w:rPr>
                <w:rFonts w:ascii="宋体" w:hAnsi="宋体" w:cs="宋体" w:hint="eastAsia"/>
                <w:color w:val="000000" w:themeColor="text1"/>
                <w:kern w:val="0"/>
                <w:sz w:val="24"/>
              </w:rPr>
              <w:t>投标人提供所投产品的中国环境标志产品认证证书且处于有效期之内的，每提供一个得1分，最高2分</w:t>
            </w:r>
          </w:p>
        </w:tc>
        <w:tc>
          <w:tcPr>
            <w:tcW w:w="4530" w:type="dxa"/>
            <w:noWrap/>
          </w:tcPr>
          <w:p w:rsidR="00B84762" w:rsidRDefault="007B37ED">
            <w:pPr>
              <w:spacing w:line="360" w:lineRule="auto"/>
              <w:rPr>
                <w:rFonts w:ascii="宋体" w:hAnsi="宋体"/>
                <w:sz w:val="24"/>
              </w:rPr>
            </w:pPr>
            <w:r>
              <w:rPr>
                <w:rFonts w:ascii="宋体" w:hAnsi="宋体" w:cs="宋体" w:hint="eastAsia"/>
                <w:color w:val="000000" w:themeColor="text1"/>
                <w:kern w:val="0"/>
                <w:sz w:val="24"/>
              </w:rPr>
              <w:t>投标人或生产厂家提供所投产品的中国环境标志产品认证证书且处于有效期之内的，每提供一个得1分，最高2分</w:t>
            </w:r>
          </w:p>
        </w:tc>
      </w:tr>
      <w:tr w:rsidR="00B84762">
        <w:tc>
          <w:tcPr>
            <w:tcW w:w="735" w:type="dxa"/>
            <w:noWrap/>
          </w:tcPr>
          <w:p w:rsidR="00B84762" w:rsidRDefault="007B37ED">
            <w:pPr>
              <w:spacing w:line="360" w:lineRule="auto"/>
              <w:jc w:val="center"/>
              <w:outlineLvl w:val="0"/>
              <w:rPr>
                <w:rFonts w:ascii="宋体" w:hAnsi="宋体"/>
                <w:sz w:val="24"/>
              </w:rPr>
            </w:pPr>
            <w:r>
              <w:rPr>
                <w:rFonts w:ascii="宋体" w:hAnsi="宋体" w:hint="eastAsia"/>
                <w:sz w:val="24"/>
              </w:rPr>
              <w:lastRenderedPageBreak/>
              <w:t>3</w:t>
            </w:r>
          </w:p>
        </w:tc>
        <w:tc>
          <w:tcPr>
            <w:tcW w:w="1290" w:type="dxa"/>
            <w:noWrap/>
          </w:tcPr>
          <w:p w:rsidR="00B84762" w:rsidRDefault="007B37ED">
            <w:pPr>
              <w:spacing w:line="360" w:lineRule="auto"/>
              <w:outlineLvl w:val="0"/>
              <w:rPr>
                <w:rFonts w:ascii="宋体" w:hAnsi="宋体"/>
                <w:sz w:val="24"/>
              </w:rPr>
            </w:pPr>
            <w:r>
              <w:rPr>
                <w:rFonts w:ascii="宋体" w:hAnsi="宋体" w:hint="eastAsia"/>
                <w:sz w:val="24"/>
              </w:rPr>
              <w:t>评标办法序号6</w:t>
            </w:r>
          </w:p>
        </w:tc>
        <w:tc>
          <w:tcPr>
            <w:tcW w:w="3795" w:type="dxa"/>
            <w:noWrap/>
          </w:tcPr>
          <w:p w:rsidR="00B84762" w:rsidRDefault="007B37ED">
            <w:pPr>
              <w:textAlignment w:val="baseline"/>
              <w:rPr>
                <w:rFonts w:ascii="宋体" w:hAnsi="宋体" w:cs="宋体"/>
                <w:color w:val="000000" w:themeColor="text1"/>
                <w:sz w:val="24"/>
              </w:rPr>
            </w:pPr>
            <w:r>
              <w:rPr>
                <w:rFonts w:ascii="宋体" w:hAnsi="宋体" w:cs="宋体" w:hint="eastAsia"/>
                <w:color w:val="000000" w:themeColor="text1"/>
                <w:sz w:val="24"/>
              </w:rPr>
              <w:t>投标人或生产厂家完成本项目所具备下列主要生产设备（与提供检测报告为同一厂家）（提供生产设备现场实景图、生产设备采购发票原件）：</w:t>
            </w:r>
          </w:p>
          <w:p w:rsidR="00B84762" w:rsidRDefault="007B37ED">
            <w:pPr>
              <w:textAlignment w:val="baseline"/>
              <w:rPr>
                <w:rFonts w:ascii="宋体" w:hAnsi="宋体" w:cs="宋体"/>
                <w:color w:val="000000" w:themeColor="text1"/>
                <w:sz w:val="24"/>
              </w:rPr>
            </w:pPr>
            <w:r>
              <w:rPr>
                <w:rFonts w:ascii="宋体" w:hAnsi="宋体" w:cs="宋体" w:hint="eastAsia"/>
                <w:color w:val="000000" w:themeColor="text1"/>
                <w:sz w:val="24"/>
              </w:rPr>
              <w:t>1、玩具生产设备（自有）</w:t>
            </w:r>
          </w:p>
          <w:p w:rsidR="00B84762" w:rsidRDefault="007B37ED">
            <w:pPr>
              <w:textAlignment w:val="baseline"/>
              <w:rPr>
                <w:rFonts w:ascii="宋体" w:hAnsi="宋体" w:cs="宋体"/>
                <w:color w:val="000000" w:themeColor="text1"/>
                <w:sz w:val="24"/>
              </w:rPr>
            </w:pPr>
            <w:r>
              <w:rPr>
                <w:rFonts w:ascii="宋体" w:hAnsi="宋体" w:cs="宋体" w:hint="eastAsia"/>
                <w:color w:val="000000" w:themeColor="text1"/>
                <w:sz w:val="24"/>
              </w:rPr>
              <w:t>注塑机、龙门数控铣床、全自动弯管机、自动化喷涂流水线、滚塑机、吹塑机；每提供1项得0.2分（0-1分）</w:t>
            </w:r>
          </w:p>
          <w:p w:rsidR="00B84762" w:rsidRDefault="007B37ED">
            <w:pPr>
              <w:textAlignment w:val="baseline"/>
              <w:rPr>
                <w:rFonts w:ascii="宋体" w:hAnsi="宋体" w:cs="宋体"/>
                <w:color w:val="000000" w:themeColor="text1"/>
                <w:sz w:val="24"/>
              </w:rPr>
            </w:pPr>
            <w:r>
              <w:rPr>
                <w:rFonts w:ascii="宋体" w:hAnsi="宋体" w:cs="宋体" w:hint="eastAsia"/>
                <w:color w:val="000000" w:themeColor="text1"/>
                <w:sz w:val="24"/>
              </w:rPr>
              <w:t>2、质量检测设备（自有）</w:t>
            </w:r>
          </w:p>
          <w:p w:rsidR="00B84762" w:rsidRDefault="007B37ED">
            <w:pPr>
              <w:spacing w:line="360" w:lineRule="auto"/>
              <w:outlineLvl w:val="0"/>
              <w:rPr>
                <w:rFonts w:ascii="宋体" w:hAnsi="宋体"/>
                <w:sz w:val="24"/>
              </w:rPr>
            </w:pPr>
            <w:r>
              <w:rPr>
                <w:rFonts w:ascii="宋体" w:hAnsi="宋体" w:cs="宋体" w:hint="eastAsia"/>
                <w:color w:val="000000" w:themeColor="text1"/>
                <w:sz w:val="24"/>
              </w:rPr>
              <w:t>综合力学测试机、强度和耐久性试验机、甲醛释放量测定仪、VOC分析仪；每提供一项得0.25分（0-1分）</w:t>
            </w:r>
          </w:p>
        </w:tc>
        <w:tc>
          <w:tcPr>
            <w:tcW w:w="4530" w:type="dxa"/>
            <w:noWrap/>
          </w:tcPr>
          <w:p w:rsidR="00B84762" w:rsidRDefault="007B37ED">
            <w:pPr>
              <w:textAlignment w:val="baseline"/>
              <w:rPr>
                <w:rFonts w:ascii="宋体" w:hAnsi="宋体" w:cs="宋体"/>
                <w:color w:val="000000" w:themeColor="text1"/>
                <w:sz w:val="24"/>
              </w:rPr>
            </w:pPr>
            <w:r>
              <w:rPr>
                <w:rFonts w:ascii="宋体" w:hAnsi="宋体" w:cs="宋体" w:hint="eastAsia"/>
                <w:color w:val="000000" w:themeColor="text1"/>
                <w:sz w:val="24"/>
              </w:rPr>
              <w:t>投标人或生产厂家完成本项目所具备下列主要生产设备【提供生产设备现场实景图、生产设备采购发票原件复印件（加盖公章）或提供租赁协议复印件（加盖公章）】：</w:t>
            </w:r>
          </w:p>
          <w:p w:rsidR="00B84762" w:rsidRDefault="007B37ED">
            <w:pPr>
              <w:textAlignment w:val="baseline"/>
              <w:rPr>
                <w:rFonts w:ascii="宋体" w:hAnsi="宋体" w:cs="宋体"/>
                <w:color w:val="000000" w:themeColor="text1"/>
                <w:sz w:val="24"/>
              </w:rPr>
            </w:pPr>
            <w:r>
              <w:rPr>
                <w:rFonts w:ascii="宋体" w:hAnsi="宋体" w:cs="宋体" w:hint="eastAsia"/>
                <w:color w:val="000000" w:themeColor="text1"/>
                <w:sz w:val="24"/>
              </w:rPr>
              <w:t>1、玩具生产设备（自有或租赁）</w:t>
            </w:r>
          </w:p>
          <w:p w:rsidR="00B84762" w:rsidRDefault="007B37ED">
            <w:pPr>
              <w:textAlignment w:val="baseline"/>
              <w:rPr>
                <w:rFonts w:ascii="宋体" w:hAnsi="宋体" w:cs="宋体"/>
                <w:color w:val="000000" w:themeColor="text1"/>
                <w:sz w:val="24"/>
              </w:rPr>
            </w:pPr>
            <w:r>
              <w:rPr>
                <w:rFonts w:ascii="宋体" w:hAnsi="宋体" w:cs="宋体" w:hint="eastAsia"/>
                <w:color w:val="000000" w:themeColor="text1"/>
                <w:sz w:val="24"/>
              </w:rPr>
              <w:t>注塑机、龙门数控铣床、全自动弯管机、自动化喷涂流水线、滚塑机、吹塑机；每提供1项得0.2分（0-1分）</w:t>
            </w:r>
          </w:p>
          <w:p w:rsidR="00B84762" w:rsidRDefault="007B37ED">
            <w:pPr>
              <w:textAlignment w:val="baseline"/>
              <w:rPr>
                <w:rFonts w:ascii="宋体" w:hAnsi="宋体" w:cs="宋体"/>
                <w:color w:val="000000" w:themeColor="text1"/>
                <w:sz w:val="24"/>
              </w:rPr>
            </w:pPr>
            <w:r>
              <w:rPr>
                <w:rFonts w:ascii="宋体" w:hAnsi="宋体" w:cs="宋体" w:hint="eastAsia"/>
                <w:color w:val="000000" w:themeColor="text1"/>
                <w:sz w:val="24"/>
              </w:rPr>
              <w:t>2、质量检测设备（自有或租赁）</w:t>
            </w:r>
          </w:p>
          <w:p w:rsidR="00B84762" w:rsidRDefault="007B37ED">
            <w:pPr>
              <w:spacing w:line="360" w:lineRule="auto"/>
              <w:rPr>
                <w:rFonts w:ascii="宋体" w:hAnsi="宋体"/>
                <w:sz w:val="24"/>
              </w:rPr>
            </w:pPr>
            <w:r>
              <w:rPr>
                <w:rFonts w:ascii="宋体" w:hAnsi="宋体" w:cs="宋体" w:hint="eastAsia"/>
                <w:color w:val="000000" w:themeColor="text1"/>
                <w:sz w:val="24"/>
              </w:rPr>
              <w:t>综合力学测试机、强度和耐久性试验机、甲醛释放量测定仪、VOC分析仪；每提供一项得0.25分（0-1分）</w:t>
            </w:r>
          </w:p>
        </w:tc>
      </w:tr>
      <w:tr w:rsidR="00B84762">
        <w:tc>
          <w:tcPr>
            <w:tcW w:w="735" w:type="dxa"/>
            <w:noWrap/>
          </w:tcPr>
          <w:p w:rsidR="00B84762" w:rsidRDefault="007B37ED">
            <w:pPr>
              <w:spacing w:line="360" w:lineRule="auto"/>
              <w:jc w:val="center"/>
              <w:outlineLvl w:val="0"/>
              <w:rPr>
                <w:rFonts w:ascii="宋体" w:hAnsi="宋体"/>
                <w:sz w:val="24"/>
              </w:rPr>
            </w:pPr>
            <w:r>
              <w:rPr>
                <w:rFonts w:ascii="宋体" w:hAnsi="宋体" w:hint="eastAsia"/>
                <w:sz w:val="24"/>
              </w:rPr>
              <w:t>4</w:t>
            </w:r>
          </w:p>
        </w:tc>
        <w:tc>
          <w:tcPr>
            <w:tcW w:w="1290" w:type="dxa"/>
            <w:noWrap/>
          </w:tcPr>
          <w:p w:rsidR="00B84762" w:rsidRDefault="007B37ED">
            <w:pPr>
              <w:spacing w:line="360" w:lineRule="auto"/>
              <w:outlineLvl w:val="0"/>
              <w:rPr>
                <w:rFonts w:ascii="宋体" w:hAnsi="宋体"/>
                <w:sz w:val="24"/>
              </w:rPr>
            </w:pPr>
            <w:r>
              <w:rPr>
                <w:rFonts w:ascii="宋体" w:hAnsi="宋体" w:hint="eastAsia"/>
                <w:sz w:val="24"/>
              </w:rPr>
              <w:t>第三部分采购需求中四、样品清单</w:t>
            </w:r>
          </w:p>
        </w:tc>
        <w:tc>
          <w:tcPr>
            <w:tcW w:w="3795" w:type="dxa"/>
            <w:noWrap/>
          </w:tcPr>
          <w:p w:rsidR="00B84762" w:rsidRDefault="007B37ED">
            <w:pPr>
              <w:spacing w:line="360" w:lineRule="auto"/>
              <w:outlineLvl w:val="0"/>
              <w:rPr>
                <w:rFonts w:ascii="宋体" w:hAnsi="宋体" w:cs="宋体"/>
                <w:color w:val="000000" w:themeColor="text1"/>
                <w:kern w:val="0"/>
                <w:sz w:val="24"/>
              </w:rPr>
            </w:pPr>
            <w:r>
              <w:rPr>
                <w:rFonts w:ascii="宋体" w:hAnsi="宋体" w:cs="宋体" w:hint="eastAsia"/>
                <w:sz w:val="24"/>
              </w:rPr>
              <w:t>塑料、航海船用缆绳、封口；五金扣件（包含但不限于螺丝、螺帽）、防腐木</w:t>
            </w:r>
          </w:p>
        </w:tc>
        <w:tc>
          <w:tcPr>
            <w:tcW w:w="4530" w:type="dxa"/>
            <w:noWrap/>
          </w:tcPr>
          <w:p w:rsidR="00B84762" w:rsidRDefault="007B37ED">
            <w:pPr>
              <w:spacing w:line="360" w:lineRule="auto"/>
              <w:rPr>
                <w:rFonts w:ascii="宋体" w:hAnsi="宋体" w:cs="宋体"/>
                <w:color w:val="000000" w:themeColor="text1"/>
                <w:kern w:val="0"/>
                <w:sz w:val="24"/>
              </w:rPr>
            </w:pPr>
            <w:r>
              <w:rPr>
                <w:rFonts w:ascii="宋体" w:hAnsi="宋体" w:cs="宋体" w:hint="eastAsia"/>
                <w:sz w:val="24"/>
              </w:rPr>
              <w:t>塑料、航海船用缆绳、封口；五金扣件（包含但不限于螺丝、螺帽）、防腐木（巴蒂木）</w:t>
            </w:r>
          </w:p>
        </w:tc>
      </w:tr>
      <w:tr w:rsidR="00B84762">
        <w:tc>
          <w:tcPr>
            <w:tcW w:w="735" w:type="dxa"/>
            <w:noWrap/>
          </w:tcPr>
          <w:p w:rsidR="00B84762" w:rsidRDefault="007B37ED">
            <w:pPr>
              <w:spacing w:line="360" w:lineRule="auto"/>
              <w:outlineLvl w:val="0"/>
              <w:rPr>
                <w:rFonts w:ascii="宋体" w:hAnsi="宋体"/>
                <w:sz w:val="24"/>
              </w:rPr>
            </w:pPr>
            <w:r>
              <w:rPr>
                <w:rFonts w:ascii="宋体" w:hAnsi="宋体" w:hint="eastAsia"/>
                <w:sz w:val="24"/>
              </w:rPr>
              <w:t>5</w:t>
            </w:r>
          </w:p>
        </w:tc>
        <w:tc>
          <w:tcPr>
            <w:tcW w:w="1290" w:type="dxa"/>
            <w:noWrap/>
          </w:tcPr>
          <w:p w:rsidR="00B84762" w:rsidRDefault="007B37ED">
            <w:pPr>
              <w:spacing w:line="360" w:lineRule="auto"/>
              <w:outlineLvl w:val="0"/>
              <w:rPr>
                <w:rFonts w:ascii="宋体" w:hAnsi="宋体"/>
                <w:sz w:val="24"/>
              </w:rPr>
            </w:pPr>
            <w:r>
              <w:rPr>
                <w:rFonts w:ascii="宋体" w:hAnsi="宋体" w:hint="eastAsia"/>
                <w:sz w:val="24"/>
              </w:rPr>
              <w:t>投标文件递交截止时间</w:t>
            </w:r>
          </w:p>
        </w:tc>
        <w:tc>
          <w:tcPr>
            <w:tcW w:w="3795" w:type="dxa"/>
            <w:noWrap/>
          </w:tcPr>
          <w:p w:rsidR="00B84762" w:rsidRDefault="007B37ED">
            <w:pPr>
              <w:spacing w:line="360" w:lineRule="auto"/>
              <w:outlineLvl w:val="0"/>
              <w:rPr>
                <w:rFonts w:ascii="宋体" w:hAnsi="宋体"/>
                <w:sz w:val="24"/>
              </w:rPr>
            </w:pPr>
            <w:r>
              <w:rPr>
                <w:rFonts w:ascii="宋体" w:hAnsi="宋体" w:hint="eastAsia"/>
                <w:sz w:val="24"/>
              </w:rPr>
              <w:t>2023年5月29 日10点00分00秒</w:t>
            </w:r>
          </w:p>
        </w:tc>
        <w:tc>
          <w:tcPr>
            <w:tcW w:w="4530" w:type="dxa"/>
            <w:noWrap/>
          </w:tcPr>
          <w:p w:rsidR="00B84762" w:rsidRDefault="007B37ED">
            <w:pPr>
              <w:spacing w:line="360" w:lineRule="auto"/>
              <w:outlineLvl w:val="0"/>
              <w:rPr>
                <w:rFonts w:ascii="宋体" w:hAnsi="宋体"/>
                <w:sz w:val="24"/>
              </w:rPr>
            </w:pPr>
            <w:r>
              <w:rPr>
                <w:rFonts w:ascii="宋体" w:hAnsi="宋体" w:hint="eastAsia"/>
                <w:sz w:val="24"/>
              </w:rPr>
              <w:t>2023年6月2 日10点00分00秒</w:t>
            </w:r>
          </w:p>
        </w:tc>
      </w:tr>
      <w:tr w:rsidR="00B84762">
        <w:tc>
          <w:tcPr>
            <w:tcW w:w="735" w:type="dxa"/>
            <w:noWrap/>
          </w:tcPr>
          <w:p w:rsidR="00B84762" w:rsidRDefault="007B37ED">
            <w:pPr>
              <w:spacing w:line="360" w:lineRule="auto"/>
              <w:outlineLvl w:val="0"/>
              <w:rPr>
                <w:rFonts w:ascii="宋体" w:hAnsi="宋体"/>
                <w:sz w:val="24"/>
              </w:rPr>
            </w:pPr>
            <w:r>
              <w:rPr>
                <w:rFonts w:ascii="宋体" w:hAnsi="宋体" w:hint="eastAsia"/>
                <w:sz w:val="24"/>
              </w:rPr>
              <w:t>6</w:t>
            </w:r>
          </w:p>
        </w:tc>
        <w:tc>
          <w:tcPr>
            <w:tcW w:w="1290" w:type="dxa"/>
            <w:noWrap/>
          </w:tcPr>
          <w:p w:rsidR="00B84762" w:rsidRDefault="007B37ED">
            <w:pPr>
              <w:spacing w:line="360" w:lineRule="auto"/>
              <w:outlineLvl w:val="0"/>
              <w:rPr>
                <w:rFonts w:ascii="宋体" w:hAnsi="宋体"/>
                <w:sz w:val="24"/>
              </w:rPr>
            </w:pPr>
            <w:r>
              <w:rPr>
                <w:rFonts w:ascii="宋体" w:hAnsi="宋体" w:hint="eastAsia"/>
                <w:sz w:val="24"/>
              </w:rPr>
              <w:t>开标时间</w:t>
            </w:r>
          </w:p>
        </w:tc>
        <w:tc>
          <w:tcPr>
            <w:tcW w:w="3795" w:type="dxa"/>
            <w:noWrap/>
          </w:tcPr>
          <w:p w:rsidR="00B84762" w:rsidRDefault="007B37ED">
            <w:pPr>
              <w:spacing w:line="360" w:lineRule="auto"/>
              <w:outlineLvl w:val="0"/>
              <w:rPr>
                <w:rFonts w:ascii="宋体" w:hAnsi="宋体"/>
                <w:sz w:val="24"/>
              </w:rPr>
            </w:pPr>
            <w:r>
              <w:rPr>
                <w:rFonts w:ascii="宋体" w:hAnsi="宋体" w:hint="eastAsia"/>
                <w:sz w:val="24"/>
              </w:rPr>
              <w:t>2023年5月29日10点00分00秒</w:t>
            </w:r>
          </w:p>
        </w:tc>
        <w:tc>
          <w:tcPr>
            <w:tcW w:w="4530" w:type="dxa"/>
            <w:noWrap/>
          </w:tcPr>
          <w:p w:rsidR="00B84762" w:rsidRDefault="007B37ED">
            <w:pPr>
              <w:spacing w:line="360" w:lineRule="auto"/>
              <w:outlineLvl w:val="0"/>
              <w:rPr>
                <w:rFonts w:ascii="宋体" w:hAnsi="宋体"/>
                <w:sz w:val="24"/>
              </w:rPr>
            </w:pPr>
            <w:r>
              <w:rPr>
                <w:rFonts w:ascii="宋体" w:hAnsi="宋体" w:hint="eastAsia"/>
                <w:sz w:val="24"/>
              </w:rPr>
              <w:t>2023年6月2 日10点00分00秒</w:t>
            </w:r>
          </w:p>
        </w:tc>
      </w:tr>
      <w:tr w:rsidR="00B84762">
        <w:tc>
          <w:tcPr>
            <w:tcW w:w="735" w:type="dxa"/>
            <w:noWrap/>
          </w:tcPr>
          <w:p w:rsidR="00B84762" w:rsidRDefault="007B37ED">
            <w:pPr>
              <w:spacing w:line="360" w:lineRule="auto"/>
              <w:outlineLvl w:val="0"/>
              <w:rPr>
                <w:rFonts w:ascii="宋体" w:hAnsi="宋体"/>
                <w:sz w:val="24"/>
              </w:rPr>
            </w:pPr>
            <w:r>
              <w:rPr>
                <w:rFonts w:ascii="宋体" w:hAnsi="宋体" w:hint="eastAsia"/>
                <w:sz w:val="24"/>
              </w:rPr>
              <w:t>7</w:t>
            </w:r>
          </w:p>
        </w:tc>
        <w:tc>
          <w:tcPr>
            <w:tcW w:w="1290" w:type="dxa"/>
            <w:noWrap/>
          </w:tcPr>
          <w:p w:rsidR="00B84762" w:rsidRDefault="007B37ED">
            <w:pPr>
              <w:spacing w:line="360" w:lineRule="auto"/>
              <w:outlineLvl w:val="0"/>
              <w:rPr>
                <w:rFonts w:ascii="宋体" w:hAnsi="宋体"/>
                <w:sz w:val="24"/>
              </w:rPr>
            </w:pPr>
            <w:r>
              <w:rPr>
                <w:rFonts w:ascii="宋体" w:hAnsi="宋体" w:hint="eastAsia"/>
                <w:sz w:val="24"/>
              </w:rPr>
              <w:t>样品递交时间</w:t>
            </w:r>
          </w:p>
        </w:tc>
        <w:tc>
          <w:tcPr>
            <w:tcW w:w="3795" w:type="dxa"/>
            <w:noWrap/>
          </w:tcPr>
          <w:p w:rsidR="00B84762" w:rsidRDefault="007B37ED">
            <w:pPr>
              <w:spacing w:line="360" w:lineRule="auto"/>
              <w:outlineLvl w:val="0"/>
              <w:rPr>
                <w:rFonts w:ascii="宋体" w:hAnsi="宋体"/>
                <w:sz w:val="24"/>
              </w:rPr>
            </w:pPr>
            <w:r>
              <w:rPr>
                <w:rFonts w:ascii="宋体" w:hAnsi="宋体" w:hint="eastAsia"/>
                <w:sz w:val="24"/>
              </w:rPr>
              <w:t>2023年5月29日9:00起至提交投标文件截止时间止</w:t>
            </w:r>
          </w:p>
        </w:tc>
        <w:tc>
          <w:tcPr>
            <w:tcW w:w="4530" w:type="dxa"/>
            <w:noWrap/>
          </w:tcPr>
          <w:p w:rsidR="00B84762" w:rsidRDefault="007B37ED">
            <w:pPr>
              <w:spacing w:line="360" w:lineRule="auto"/>
              <w:outlineLvl w:val="0"/>
              <w:rPr>
                <w:rFonts w:ascii="宋体" w:hAnsi="宋体"/>
                <w:sz w:val="24"/>
              </w:rPr>
            </w:pPr>
            <w:r>
              <w:rPr>
                <w:rFonts w:ascii="宋体" w:hAnsi="宋体" w:hint="eastAsia"/>
                <w:sz w:val="24"/>
              </w:rPr>
              <w:t>2023年6月2日9:00起至提交投标文件截止时间止</w:t>
            </w:r>
          </w:p>
        </w:tc>
      </w:tr>
    </w:tbl>
    <w:bookmarkEnd w:id="0"/>
    <w:p w:rsidR="00B84762" w:rsidRDefault="007B37ED">
      <w:pPr>
        <w:spacing w:line="360" w:lineRule="auto"/>
        <w:rPr>
          <w:rFonts w:ascii="宋体" w:hAnsi="宋体"/>
          <w:sz w:val="28"/>
          <w:szCs w:val="28"/>
        </w:rPr>
      </w:pPr>
      <w:r>
        <w:rPr>
          <w:rFonts w:ascii="宋体" w:hAnsi="宋体" w:hint="eastAsia"/>
          <w:sz w:val="28"/>
          <w:szCs w:val="28"/>
        </w:rPr>
        <w:t>七．更正事项：无</w:t>
      </w:r>
    </w:p>
    <w:p w:rsidR="00B84762" w:rsidRDefault="00284C62">
      <w:pPr>
        <w:spacing w:line="360" w:lineRule="auto"/>
        <w:outlineLvl w:val="0"/>
        <w:rPr>
          <w:rFonts w:ascii="宋体" w:hAnsi="宋体"/>
          <w:sz w:val="28"/>
          <w:szCs w:val="28"/>
        </w:rPr>
      </w:pPr>
      <w:r>
        <w:rPr>
          <w:rFonts w:ascii="宋体" w:hAnsi="宋体" w:hint="eastAsia"/>
          <w:noProof/>
          <w:sz w:val="28"/>
          <w:szCs w:val="28"/>
        </w:rPr>
        <w:drawing>
          <wp:anchor distT="0" distB="0" distL="114300" distR="114300" simplePos="0" relativeHeight="251658240" behindDoc="0" locked="0" layoutInCell="1" allowOverlap="1">
            <wp:simplePos x="0" y="0"/>
            <wp:positionH relativeFrom="column">
              <wp:posOffset>3619500</wp:posOffset>
            </wp:positionH>
            <wp:positionV relativeFrom="paragraph">
              <wp:posOffset>55245</wp:posOffset>
            </wp:positionV>
            <wp:extent cx="1504950" cy="1495425"/>
            <wp:effectExtent l="19050" t="0" r="0" b="0"/>
            <wp:wrapNone/>
            <wp:docPr id="3" name="图片 3" descr="C:\Users\zhong\AppData\Local\Temp\WeChat Files\2bd9310c052f34cfa6b3c79ecdc85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ong\AppData\Local\Temp\WeChat Files\2bd9310c052f34cfa6b3c79ecdc85eb.png"/>
                    <pic:cNvPicPr>
                      <a:picLocks noChangeAspect="1" noChangeArrowheads="1"/>
                    </pic:cNvPicPr>
                  </pic:nvPicPr>
                  <pic:blipFill>
                    <a:blip r:embed="rId6"/>
                    <a:srcRect/>
                    <a:stretch>
                      <a:fillRect/>
                    </a:stretch>
                  </pic:blipFill>
                  <pic:spPr bwMode="auto">
                    <a:xfrm>
                      <a:off x="0" y="0"/>
                      <a:ext cx="1504950" cy="1495425"/>
                    </a:xfrm>
                    <a:prstGeom prst="rect">
                      <a:avLst/>
                    </a:prstGeom>
                    <a:noFill/>
                    <a:ln w="9525">
                      <a:noFill/>
                      <a:miter lim="800000"/>
                      <a:headEnd/>
                      <a:tailEnd/>
                    </a:ln>
                  </pic:spPr>
                </pic:pic>
              </a:graphicData>
            </a:graphic>
          </wp:anchor>
        </w:drawing>
      </w:r>
      <w:r w:rsidR="007B37ED">
        <w:rPr>
          <w:rFonts w:ascii="宋体" w:hAnsi="宋体" w:hint="eastAsia"/>
          <w:sz w:val="28"/>
          <w:szCs w:val="28"/>
        </w:rPr>
        <w:t>八．其他事项：无</w:t>
      </w:r>
    </w:p>
    <w:p w:rsidR="002B18E3" w:rsidRPr="002B18E3" w:rsidRDefault="002B18E3" w:rsidP="002B18E3">
      <w:pPr>
        <w:pStyle w:val="2"/>
        <w:ind w:firstLine="560"/>
      </w:pPr>
      <w:r>
        <w:rPr>
          <w:rFonts w:hint="eastAsia"/>
          <w:sz w:val="28"/>
          <w:szCs w:val="28"/>
        </w:rPr>
        <w:t xml:space="preserve">                        杭州市上城区教育发展服务中心</w:t>
      </w:r>
    </w:p>
    <w:p w:rsidR="00B84762" w:rsidRDefault="007B37ED">
      <w:pPr>
        <w:spacing w:line="360" w:lineRule="auto"/>
        <w:ind w:firstLineChars="2200" w:firstLine="6160"/>
        <w:outlineLvl w:val="0"/>
      </w:pPr>
      <w:r>
        <w:rPr>
          <w:rFonts w:ascii="宋体" w:hAnsi="宋体" w:hint="eastAsia"/>
          <w:sz w:val="28"/>
          <w:szCs w:val="28"/>
        </w:rPr>
        <w:t>2023年5月18日</w:t>
      </w:r>
    </w:p>
    <w:p w:rsidR="00B84762" w:rsidRDefault="00B84762"/>
    <w:sectPr w:rsidR="00B84762" w:rsidSect="00B8476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250" w:rsidRDefault="00A66250" w:rsidP="002B18E3">
      <w:r>
        <w:separator/>
      </w:r>
    </w:p>
  </w:endnote>
  <w:endnote w:type="continuationSeparator" w:id="1">
    <w:p w:rsidR="00A66250" w:rsidRDefault="00A66250" w:rsidP="002B1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250" w:rsidRDefault="00A66250" w:rsidP="002B18E3">
      <w:r>
        <w:separator/>
      </w:r>
    </w:p>
  </w:footnote>
  <w:footnote w:type="continuationSeparator" w:id="1">
    <w:p w:rsidR="00A66250" w:rsidRDefault="00A66250" w:rsidP="002B18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9090601"/>
    <w:rsid w:val="00284C62"/>
    <w:rsid w:val="002B18E3"/>
    <w:rsid w:val="006B4117"/>
    <w:rsid w:val="007B37ED"/>
    <w:rsid w:val="00A66250"/>
    <w:rsid w:val="00B84762"/>
    <w:rsid w:val="00EA2861"/>
    <w:rsid w:val="0A0D0F0E"/>
    <w:rsid w:val="0CC041CD"/>
    <w:rsid w:val="32866304"/>
    <w:rsid w:val="3A380451"/>
    <w:rsid w:val="3C4F7287"/>
    <w:rsid w:val="3F960A84"/>
    <w:rsid w:val="42EF0B76"/>
    <w:rsid w:val="46463357"/>
    <w:rsid w:val="4CCC47C9"/>
    <w:rsid w:val="661E1084"/>
    <w:rsid w:val="690906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847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B84762"/>
    <w:pPr>
      <w:spacing w:after="120" w:line="240" w:lineRule="auto"/>
      <w:ind w:leftChars="200" w:left="420" w:firstLine="210"/>
    </w:pPr>
    <w:rPr>
      <w:sz w:val="21"/>
    </w:rPr>
  </w:style>
  <w:style w:type="paragraph" w:styleId="a3">
    <w:name w:val="Body Text Indent"/>
    <w:basedOn w:val="a"/>
    <w:next w:val="a"/>
    <w:qFormat/>
    <w:rsid w:val="00B84762"/>
    <w:pPr>
      <w:spacing w:line="480" w:lineRule="exact"/>
      <w:ind w:firstLineChars="200" w:firstLine="480"/>
    </w:pPr>
    <w:rPr>
      <w:rFonts w:ascii="宋体" w:hAnsi="宋体"/>
      <w:sz w:val="24"/>
    </w:rPr>
  </w:style>
  <w:style w:type="paragraph" w:styleId="a4">
    <w:name w:val="Normal Indent"/>
    <w:basedOn w:val="a"/>
    <w:qFormat/>
    <w:rsid w:val="00B84762"/>
    <w:pPr>
      <w:widowControl/>
      <w:snapToGrid w:val="0"/>
      <w:spacing w:line="480" w:lineRule="exact"/>
      <w:ind w:firstLine="567"/>
    </w:pPr>
    <w:rPr>
      <w:rFonts w:ascii="宋体"/>
      <w:snapToGrid w:val="0"/>
      <w:color w:val="000000"/>
      <w:kern w:val="28"/>
      <w:sz w:val="28"/>
      <w:szCs w:val="20"/>
    </w:rPr>
  </w:style>
  <w:style w:type="paragraph" w:styleId="a5">
    <w:name w:val="Normal (Web)"/>
    <w:basedOn w:val="a"/>
    <w:qFormat/>
    <w:rsid w:val="00B84762"/>
    <w:pPr>
      <w:spacing w:beforeAutospacing="1" w:afterAutospacing="1"/>
      <w:jc w:val="left"/>
    </w:pPr>
    <w:rPr>
      <w:kern w:val="0"/>
      <w:sz w:val="24"/>
    </w:rPr>
  </w:style>
  <w:style w:type="table" w:styleId="a6">
    <w:name w:val="Table Grid"/>
    <w:basedOn w:val="a1"/>
    <w:qFormat/>
    <w:rsid w:val="00B847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2B1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B18E3"/>
    <w:rPr>
      <w:kern w:val="2"/>
      <w:sz w:val="18"/>
      <w:szCs w:val="18"/>
    </w:rPr>
  </w:style>
  <w:style w:type="paragraph" w:styleId="a8">
    <w:name w:val="footer"/>
    <w:basedOn w:val="a"/>
    <w:link w:val="Char0"/>
    <w:rsid w:val="002B18E3"/>
    <w:pPr>
      <w:tabs>
        <w:tab w:val="center" w:pos="4153"/>
        <w:tab w:val="right" w:pos="8306"/>
      </w:tabs>
      <w:snapToGrid w:val="0"/>
      <w:jc w:val="left"/>
    </w:pPr>
    <w:rPr>
      <w:sz w:val="18"/>
      <w:szCs w:val="18"/>
    </w:rPr>
  </w:style>
  <w:style w:type="character" w:customStyle="1" w:styleId="Char0">
    <w:name w:val="页脚 Char"/>
    <w:basedOn w:val="a0"/>
    <w:link w:val="a8"/>
    <w:rsid w:val="002B18E3"/>
    <w:rPr>
      <w:kern w:val="2"/>
      <w:sz w:val="18"/>
      <w:szCs w:val="18"/>
    </w:rPr>
  </w:style>
  <w:style w:type="paragraph" w:styleId="a9">
    <w:name w:val="Balloon Text"/>
    <w:basedOn w:val="a"/>
    <w:link w:val="Char1"/>
    <w:rsid w:val="00284C62"/>
    <w:rPr>
      <w:sz w:val="18"/>
      <w:szCs w:val="18"/>
    </w:rPr>
  </w:style>
  <w:style w:type="character" w:customStyle="1" w:styleId="Char1">
    <w:name w:val="批注框文本 Char"/>
    <w:basedOn w:val="a0"/>
    <w:link w:val="a9"/>
    <w:rsid w:val="00284C6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Asteria</dc:creator>
  <cp:lastModifiedBy>zhong</cp:lastModifiedBy>
  <cp:revision>3</cp:revision>
  <cp:lastPrinted>2023-05-18T03:47:00Z</cp:lastPrinted>
  <dcterms:created xsi:type="dcterms:W3CDTF">2023-05-17T06:58:00Z</dcterms:created>
  <dcterms:modified xsi:type="dcterms:W3CDTF">2023-05-18T06:44:00Z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AC291E7397B64C81A68A1B6DE00D70C6</vt:lpwstr>
  </property>
</Properties>
</file>