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0"/>
        <w:rPr>
          <w:rFonts w:ascii="宋体" w:hAnsi="宋体" w:cs="宋体"/>
          <w:b/>
          <w:bCs/>
          <w:color w:val="auto"/>
          <w:sz w:val="44"/>
          <w:szCs w:val="44"/>
          <w:highlight w:val="none"/>
        </w:rPr>
      </w:pPr>
      <w:bookmarkStart w:id="103" w:name="_GoBack"/>
    </w:p>
    <w:p>
      <w:pPr>
        <w:ind w:left="-634" w:leftChars="-317"/>
        <w:jc w:val="center"/>
        <w:rPr>
          <w:rFonts w:hint="eastAsia" w:eastAsia="宋体"/>
          <w:b/>
          <w:bCs/>
          <w:color w:val="auto"/>
          <w:sz w:val="44"/>
          <w:szCs w:val="44"/>
          <w:highlight w:val="none"/>
          <w:lang w:eastAsia="zh-CN"/>
        </w:rPr>
      </w:pPr>
      <w:r>
        <w:rPr>
          <w:rFonts w:hint="eastAsia" w:hAnsi="宋体" w:cs="宋体"/>
          <w:b/>
          <w:bCs/>
          <w:color w:val="auto"/>
          <w:sz w:val="44"/>
          <w:szCs w:val="44"/>
          <w:highlight w:val="none"/>
          <w:lang w:eastAsia="zh-CN"/>
        </w:rPr>
        <w:t>上虞区电视天气预报节目制作项目</w:t>
      </w:r>
    </w:p>
    <w:p>
      <w:pPr>
        <w:pStyle w:val="7"/>
        <w:rPr>
          <w:rFonts w:ascii="宋体"/>
          <w:b/>
          <w:bCs/>
          <w:color w:val="auto"/>
          <w:sz w:val="44"/>
          <w:szCs w:val="44"/>
          <w:highlight w:val="none"/>
        </w:rPr>
      </w:pPr>
    </w:p>
    <w:p>
      <w:pPr>
        <w:pStyle w:val="7"/>
        <w:rPr>
          <w:rFonts w:ascii="宋体"/>
          <w:b/>
          <w:bCs/>
          <w:color w:val="auto"/>
          <w:sz w:val="44"/>
          <w:szCs w:val="44"/>
          <w:highlight w:val="none"/>
        </w:rPr>
      </w:pPr>
    </w:p>
    <w:p>
      <w:pPr>
        <w:pStyle w:val="7"/>
        <w:rPr>
          <w:rFonts w:ascii="宋体"/>
          <w:b/>
          <w:bCs/>
          <w:color w:val="auto"/>
          <w:sz w:val="44"/>
          <w:szCs w:val="44"/>
          <w:highlight w:val="none"/>
        </w:rPr>
      </w:pPr>
    </w:p>
    <w:p>
      <w:pPr>
        <w:pStyle w:val="7"/>
        <w:rPr>
          <w:rFonts w:ascii="宋体"/>
          <w:b/>
          <w:bCs/>
          <w:color w:val="auto"/>
          <w:sz w:val="44"/>
          <w:szCs w:val="44"/>
          <w:highlight w:val="none"/>
        </w:rPr>
      </w:pPr>
    </w:p>
    <w:p>
      <w:pPr>
        <w:pStyle w:val="7"/>
        <w:rPr>
          <w:rFonts w:ascii="宋体"/>
          <w:b/>
          <w:bCs/>
          <w:color w:val="auto"/>
          <w:sz w:val="44"/>
          <w:szCs w:val="44"/>
          <w:highlight w:val="none"/>
        </w:rPr>
      </w:pPr>
    </w:p>
    <w:p>
      <w:pPr>
        <w:spacing w:line="360" w:lineRule="auto"/>
        <w:jc w:val="both"/>
        <w:rPr>
          <w:rFonts w:hint="eastAsia" w:ascii="宋体" w:hAnsi="宋体" w:cs="宋体"/>
          <w:b/>
          <w:bCs/>
          <w:color w:val="auto"/>
          <w:sz w:val="72"/>
          <w:szCs w:val="72"/>
          <w:highlight w:val="none"/>
        </w:rPr>
      </w:pPr>
    </w:p>
    <w:p>
      <w:pPr>
        <w:spacing w:line="360" w:lineRule="auto"/>
        <w:jc w:val="center"/>
        <w:rPr>
          <w:rFonts w:ascii="宋体"/>
          <w:b/>
          <w:bCs/>
          <w:color w:val="auto"/>
          <w:sz w:val="24"/>
          <w:szCs w:val="24"/>
          <w:highlight w:val="none"/>
        </w:rPr>
      </w:pPr>
      <w:r>
        <w:rPr>
          <w:rFonts w:hint="eastAsia" w:ascii="宋体" w:hAnsi="宋体" w:cs="宋体"/>
          <w:b/>
          <w:bCs/>
          <w:color w:val="auto"/>
          <w:sz w:val="72"/>
          <w:szCs w:val="72"/>
          <w:highlight w:val="none"/>
        </w:rPr>
        <w:t>竞争性磋商文件</w:t>
      </w:r>
    </w:p>
    <w:p>
      <w:pPr>
        <w:spacing w:line="360" w:lineRule="auto"/>
        <w:jc w:val="center"/>
        <w:rPr>
          <w:rFonts w:ascii="宋体"/>
          <w:b/>
          <w:bCs/>
          <w:color w:val="auto"/>
          <w:sz w:val="24"/>
          <w:szCs w:val="24"/>
          <w:highlight w:val="none"/>
        </w:rPr>
      </w:pPr>
    </w:p>
    <w:p>
      <w:pPr>
        <w:snapToGrid w:val="0"/>
        <w:spacing w:line="360" w:lineRule="auto"/>
        <w:ind w:firstLine="2301" w:firstLineChars="767"/>
        <w:jc w:val="left"/>
        <w:rPr>
          <w:rFonts w:hint="default" w:ascii="宋体" w:eastAsia="宋体"/>
          <w:color w:val="auto"/>
          <w:sz w:val="30"/>
          <w:szCs w:val="30"/>
          <w:highlight w:val="none"/>
          <w:u w:val="single"/>
          <w:lang w:val="en-US"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lang w:val="en-US" w:eastAsia="zh-CN"/>
        </w:rPr>
        <w:t>ZW2024015</w:t>
      </w:r>
    </w:p>
    <w:p>
      <w:pPr>
        <w:snapToGrid w:val="0"/>
        <w:spacing w:line="360" w:lineRule="auto"/>
        <w:ind w:firstLine="2301" w:firstLineChars="767"/>
        <w:jc w:val="left"/>
        <w:rPr>
          <w:rFonts w:ascii="宋体"/>
          <w:color w:val="auto"/>
          <w:sz w:val="30"/>
          <w:szCs w:val="30"/>
          <w:highlight w:val="none"/>
        </w:rPr>
      </w:pPr>
    </w:p>
    <w:p>
      <w:pPr>
        <w:spacing w:line="360" w:lineRule="auto"/>
        <w:rPr>
          <w:rFonts w:ascii="宋体"/>
          <w:color w:val="auto"/>
          <w:sz w:val="28"/>
          <w:szCs w:val="28"/>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rPr>
          <w:rFonts w:ascii="宋体"/>
          <w:color w:val="auto"/>
          <w:sz w:val="24"/>
          <w:szCs w:val="24"/>
          <w:highlight w:val="none"/>
        </w:rPr>
      </w:pPr>
    </w:p>
    <w:p>
      <w:pPr>
        <w:snapToGrid w:val="0"/>
        <w:spacing w:line="360" w:lineRule="auto"/>
        <w:ind w:firstLine="1500" w:firstLineChars="500"/>
        <w:jc w:val="both"/>
        <w:rPr>
          <w:rFonts w:hint="eastAsia" w:ascii="宋体" w:eastAsia="宋体"/>
          <w:color w:val="auto"/>
          <w:highlight w:val="none"/>
          <w:u w:val="single"/>
          <w:lang w:eastAsia="zh-CN"/>
        </w:rPr>
      </w:pPr>
      <w:r>
        <w:rPr>
          <w:rFonts w:hint="eastAsia" w:ascii="宋体" w:hAnsi="宋体" w:cs="宋体"/>
          <w:color w:val="auto"/>
          <w:sz w:val="30"/>
          <w:szCs w:val="30"/>
          <w:highlight w:val="none"/>
        </w:rPr>
        <w:t>采   购   人：</w:t>
      </w:r>
      <w:r>
        <w:rPr>
          <w:rFonts w:hint="eastAsia" w:ascii="宋体" w:hAnsi="宋体" w:cs="宋体"/>
          <w:color w:val="auto"/>
          <w:sz w:val="30"/>
          <w:szCs w:val="30"/>
          <w:highlight w:val="none"/>
          <w:lang w:eastAsia="zh-CN"/>
        </w:rPr>
        <w:t>绍兴市上虞区气象局</w:t>
      </w:r>
    </w:p>
    <w:p>
      <w:pPr>
        <w:snapToGrid w:val="0"/>
        <w:spacing w:line="360" w:lineRule="auto"/>
        <w:ind w:firstLine="1500" w:firstLineChars="500"/>
        <w:jc w:val="both"/>
        <w:rPr>
          <w:rFonts w:hint="eastAsia" w:ascii="宋体" w:eastAsia="宋体"/>
          <w:color w:val="auto"/>
          <w:sz w:val="30"/>
          <w:szCs w:val="30"/>
          <w:highlight w:val="none"/>
          <w:lang w:eastAsia="zh-CN"/>
        </w:rPr>
      </w:pPr>
      <w:r>
        <w:rPr>
          <w:rFonts w:hint="eastAsia" w:ascii="宋体" w:hAnsi="宋体" w:cs="宋体"/>
          <w:color w:val="auto"/>
          <w:sz w:val="30"/>
          <w:szCs w:val="30"/>
          <w:highlight w:val="none"/>
        </w:rPr>
        <w:t>采购代理机构：</w:t>
      </w:r>
      <w:r>
        <w:rPr>
          <w:rFonts w:hint="eastAsia" w:ascii="宋体" w:hAnsi="宋体" w:cs="宋体"/>
          <w:color w:val="auto"/>
          <w:sz w:val="30"/>
          <w:szCs w:val="30"/>
          <w:highlight w:val="none"/>
          <w:lang w:eastAsia="zh-CN"/>
        </w:rPr>
        <w:t>中纬工程管理咨询有限公司</w:t>
      </w:r>
    </w:p>
    <w:p>
      <w:pPr>
        <w:jc w:val="center"/>
        <w:rPr>
          <w:rFonts w:ascii="宋体"/>
          <w:color w:val="auto"/>
          <w:sz w:val="30"/>
          <w:szCs w:val="30"/>
          <w:highlight w:val="none"/>
        </w:rPr>
        <w:sectPr>
          <w:pgSz w:w="11906" w:h="16838"/>
          <w:pgMar w:top="1440" w:right="1416" w:bottom="1440" w:left="1800" w:header="851" w:footer="992" w:gutter="0"/>
          <w:cols w:space="425" w:num="1"/>
          <w:docGrid w:type="lines" w:linePitch="312" w:charSpace="0"/>
        </w:sectPr>
      </w:pPr>
      <w:r>
        <w:rPr>
          <w:rFonts w:hint="eastAsia" w:ascii="宋体" w:hAnsi="宋体" w:cs="宋体"/>
          <w:color w:val="auto"/>
          <w:sz w:val="30"/>
          <w:szCs w:val="30"/>
          <w:highlight w:val="none"/>
          <w:lang w:val="en-US" w:eastAsia="zh-CN"/>
        </w:rPr>
        <w:t>2024</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4</w:t>
      </w:r>
      <w:r>
        <w:rPr>
          <w:rFonts w:hint="eastAsia" w:ascii="宋体" w:hAnsi="宋体" w:cs="宋体"/>
          <w:color w:val="auto"/>
          <w:sz w:val="30"/>
          <w:szCs w:val="30"/>
          <w:highlight w:val="none"/>
        </w:rPr>
        <w:t>月</w:t>
      </w:r>
    </w:p>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目录</w:t>
      </w:r>
    </w:p>
    <w:p>
      <w:pPr>
        <w:pStyle w:val="18"/>
        <w:tabs>
          <w:tab w:val="right" w:leader="dot" w:pos="8306"/>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"1-3"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"_Toc13178" </w:instrText>
      </w:r>
      <w:r>
        <w:rPr>
          <w:color w:val="auto"/>
          <w:highlight w:val="none"/>
        </w:rPr>
        <w:fldChar w:fldCharType="separate"/>
      </w:r>
      <w:r>
        <w:rPr>
          <w:rFonts w:hint="eastAsia" w:ascii="宋体" w:hAnsi="宋体" w:cs="宋体"/>
          <w:color w:val="auto"/>
          <w:sz w:val="24"/>
          <w:szCs w:val="44"/>
          <w:highlight w:val="none"/>
        </w:rPr>
        <w:t>第一部分 磋商公告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_Toc13178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8"/>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"_Toc24505" </w:instrText>
      </w:r>
      <w:r>
        <w:rPr>
          <w:color w:val="auto"/>
          <w:highlight w:val="none"/>
        </w:rPr>
        <w:fldChar w:fldCharType="separate"/>
      </w:r>
      <w:r>
        <w:rPr>
          <w:rFonts w:hint="eastAsia" w:ascii="宋体" w:hAnsi="宋体" w:cs="宋体"/>
          <w:color w:val="auto"/>
          <w:sz w:val="24"/>
          <w:szCs w:val="44"/>
          <w:highlight w:val="none"/>
        </w:rPr>
        <w:t>第二部分 供应商须知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_Toc24505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1"/>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"_Toc24554" </w:instrText>
      </w:r>
      <w:r>
        <w:rPr>
          <w:color w:val="auto"/>
          <w:highlight w:val="none"/>
        </w:rPr>
        <w:fldChar w:fldCharType="separate"/>
      </w:r>
      <w:r>
        <w:rPr>
          <w:rFonts w:hint="eastAsia" w:ascii="宋体" w:hAnsi="宋体" w:cs="宋体"/>
          <w:color w:val="auto"/>
          <w:sz w:val="24"/>
          <w:szCs w:val="24"/>
          <w:highlight w:val="none"/>
        </w:rPr>
        <w:t>一、 总则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_Toc24554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1"/>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"_Toc187" </w:instrText>
      </w:r>
      <w:r>
        <w:rPr>
          <w:color w:val="auto"/>
          <w:highlight w:val="none"/>
        </w:rPr>
        <w:fldChar w:fldCharType="separate"/>
      </w:r>
      <w:r>
        <w:rPr>
          <w:rFonts w:hint="eastAsia" w:ascii="宋体" w:hAnsi="宋体" w:cs="宋体"/>
          <w:color w:val="auto"/>
          <w:sz w:val="24"/>
          <w:szCs w:val="24"/>
          <w:highlight w:val="none"/>
        </w:rPr>
        <w:t>二、 竞争性磋商文件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1"/>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"_Toc27018" </w:instrText>
      </w:r>
      <w:r>
        <w:rPr>
          <w:color w:val="auto"/>
          <w:highlight w:val="none"/>
        </w:rPr>
        <w:fldChar w:fldCharType="separate"/>
      </w:r>
      <w:r>
        <w:rPr>
          <w:rFonts w:hint="eastAsia" w:ascii="宋体" w:hAnsi="宋体" w:cs="宋体"/>
          <w:color w:val="auto"/>
          <w:sz w:val="24"/>
          <w:szCs w:val="24"/>
          <w:highlight w:val="none"/>
        </w:rPr>
        <w:t>三、 竞争性磋商响应文件的编写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_Toc27018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1"/>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"_Toc32523" </w:instrText>
      </w:r>
      <w:r>
        <w:rPr>
          <w:color w:val="auto"/>
          <w:highlight w:val="none"/>
        </w:rPr>
        <w:fldChar w:fldCharType="separate"/>
      </w:r>
      <w:r>
        <w:rPr>
          <w:rFonts w:hint="eastAsia" w:ascii="宋体" w:hAnsi="宋体" w:cs="宋体"/>
          <w:color w:val="auto"/>
          <w:sz w:val="24"/>
          <w:szCs w:val="24"/>
          <w:highlight w:val="none"/>
        </w:rPr>
        <w:t>四、 响应文件的递交</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_Toc32523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1"/>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"_Toc31149" </w:instrText>
      </w:r>
      <w:r>
        <w:rPr>
          <w:color w:val="auto"/>
          <w:highlight w:val="none"/>
        </w:rPr>
        <w:fldChar w:fldCharType="separate"/>
      </w:r>
      <w:r>
        <w:rPr>
          <w:rFonts w:hint="eastAsia" w:ascii="宋体" w:hAnsi="宋体" w:cs="宋体"/>
          <w:color w:val="auto"/>
          <w:sz w:val="24"/>
          <w:szCs w:val="24"/>
          <w:highlight w:val="none"/>
        </w:rPr>
        <w:t>五、 磋商无效的情形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_Toc31149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1"/>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"_Toc6023" </w:instrText>
      </w:r>
      <w:r>
        <w:rPr>
          <w:color w:val="auto"/>
          <w:highlight w:val="none"/>
        </w:rPr>
        <w:fldChar w:fldCharType="separate"/>
      </w:r>
      <w:r>
        <w:rPr>
          <w:rFonts w:hint="eastAsia" w:ascii="宋体" w:hAnsi="宋体" w:cs="宋体"/>
          <w:color w:val="auto"/>
          <w:sz w:val="24"/>
          <w:szCs w:val="24"/>
          <w:highlight w:val="none"/>
        </w:rPr>
        <w:t>六、 采购中止的情形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_Toc6023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1"/>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"_Toc5935" </w:instrText>
      </w:r>
      <w:r>
        <w:rPr>
          <w:color w:val="auto"/>
          <w:highlight w:val="none"/>
        </w:rPr>
        <w:fldChar w:fldCharType="separate"/>
      </w:r>
      <w:r>
        <w:rPr>
          <w:rFonts w:hint="eastAsia" w:ascii="宋体" w:hAnsi="宋体" w:cs="宋体"/>
          <w:color w:val="auto"/>
          <w:sz w:val="24"/>
          <w:szCs w:val="24"/>
          <w:highlight w:val="none"/>
        </w:rPr>
        <w:t>七、 确定成交供应商与签订合同</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_Toc5935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8"/>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"_Toc17731" </w:instrText>
      </w:r>
      <w:r>
        <w:rPr>
          <w:color w:val="auto"/>
          <w:highlight w:val="none"/>
        </w:rPr>
        <w:fldChar w:fldCharType="separate"/>
      </w:r>
      <w:r>
        <w:rPr>
          <w:rFonts w:hint="eastAsia" w:ascii="宋体" w:hAnsi="宋体" w:cs="宋体"/>
          <w:color w:val="auto"/>
          <w:sz w:val="24"/>
          <w:szCs w:val="44"/>
          <w:highlight w:val="none"/>
        </w:rPr>
        <w:t>第三部分 采购内容及要求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_Toc17731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8"/>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"_Toc18895" </w:instrText>
      </w:r>
      <w:r>
        <w:rPr>
          <w:color w:val="auto"/>
          <w:highlight w:val="none"/>
        </w:rPr>
        <w:fldChar w:fldCharType="separate"/>
      </w:r>
      <w:r>
        <w:rPr>
          <w:rFonts w:hint="eastAsia" w:ascii="宋体" w:hAnsi="宋体" w:cs="宋体"/>
          <w:color w:val="auto"/>
          <w:sz w:val="24"/>
          <w:szCs w:val="44"/>
          <w:highlight w:val="none"/>
        </w:rPr>
        <w:t>第四部分 磋商原则及磋商方法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_Toc18895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1"/>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"_Toc3582" </w:instrText>
      </w:r>
      <w:r>
        <w:rPr>
          <w:color w:val="auto"/>
          <w:highlight w:val="none"/>
        </w:rPr>
        <w:fldChar w:fldCharType="separate"/>
      </w:r>
      <w:r>
        <w:rPr>
          <w:rFonts w:hint="eastAsia" w:ascii="宋体" w:hAnsi="宋体" w:cs="宋体"/>
          <w:color w:val="auto"/>
          <w:sz w:val="24"/>
          <w:szCs w:val="24"/>
          <w:highlight w:val="none"/>
        </w:rPr>
        <w:t>一、 磋商原则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_Toc3582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1"/>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"_Toc4456" </w:instrText>
      </w:r>
      <w:r>
        <w:rPr>
          <w:color w:val="auto"/>
          <w:highlight w:val="none"/>
        </w:rPr>
        <w:fldChar w:fldCharType="separate"/>
      </w:r>
      <w:r>
        <w:rPr>
          <w:rFonts w:hint="eastAsia" w:ascii="宋体" w:hAnsi="宋体" w:cs="宋体"/>
          <w:color w:val="auto"/>
          <w:sz w:val="24"/>
          <w:szCs w:val="24"/>
          <w:highlight w:val="none"/>
        </w:rPr>
        <w:t>二、 磋商程序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_Toc4456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1"/>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"_Toc1778" </w:instrText>
      </w:r>
      <w:r>
        <w:rPr>
          <w:color w:val="auto"/>
          <w:highlight w:val="none"/>
        </w:rPr>
        <w:fldChar w:fldCharType="separate"/>
      </w:r>
      <w:r>
        <w:rPr>
          <w:rFonts w:hint="eastAsia" w:ascii="宋体" w:hAnsi="宋体" w:cs="宋体"/>
          <w:color w:val="auto"/>
          <w:sz w:val="24"/>
          <w:szCs w:val="24"/>
          <w:highlight w:val="none"/>
        </w:rPr>
        <w:t>三、 注意事项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_Toc1778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1"/>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"_Toc6127" </w:instrText>
      </w:r>
      <w:r>
        <w:rPr>
          <w:color w:val="auto"/>
          <w:highlight w:val="none"/>
        </w:rPr>
        <w:fldChar w:fldCharType="separate"/>
      </w:r>
      <w:r>
        <w:rPr>
          <w:rFonts w:hint="eastAsia" w:ascii="宋体" w:hAnsi="宋体" w:cs="宋体"/>
          <w:color w:val="auto"/>
          <w:sz w:val="24"/>
          <w:szCs w:val="24"/>
          <w:highlight w:val="none"/>
        </w:rPr>
        <w:t>四、 评分细则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_Toc6127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8"/>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"_Toc32092" </w:instrText>
      </w:r>
      <w:r>
        <w:rPr>
          <w:color w:val="auto"/>
          <w:highlight w:val="none"/>
        </w:rPr>
        <w:fldChar w:fldCharType="separate"/>
      </w:r>
      <w:r>
        <w:rPr>
          <w:rFonts w:hint="eastAsia" w:ascii="宋体" w:hAnsi="宋体" w:cs="宋体"/>
          <w:color w:val="auto"/>
          <w:sz w:val="24"/>
          <w:szCs w:val="44"/>
          <w:highlight w:val="none"/>
        </w:rPr>
        <w:t>第五部分 采购合同</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_Toc32092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8"/>
        <w:tabs>
          <w:tab w:val="right" w:leader="dot" w:pos="8306"/>
        </w:tabs>
        <w:spacing w:line="360" w:lineRule="auto"/>
        <w:rPr>
          <w:color w:val="auto"/>
          <w:highlight w:val="none"/>
        </w:rPr>
      </w:pPr>
      <w:r>
        <w:rPr>
          <w:color w:val="auto"/>
          <w:highlight w:val="none"/>
        </w:rPr>
        <w:fldChar w:fldCharType="begin"/>
      </w:r>
      <w:r>
        <w:rPr>
          <w:color w:val="auto"/>
          <w:highlight w:val="none"/>
        </w:rPr>
        <w:instrText xml:space="preserve"> HYPERLINK \l "_Toc31834" </w:instrText>
      </w:r>
      <w:r>
        <w:rPr>
          <w:color w:val="auto"/>
          <w:highlight w:val="none"/>
        </w:rPr>
        <w:fldChar w:fldCharType="separate"/>
      </w:r>
      <w:r>
        <w:rPr>
          <w:rFonts w:hint="eastAsia" w:ascii="宋体" w:hAnsi="宋体" w:cs="宋体"/>
          <w:color w:val="auto"/>
          <w:sz w:val="24"/>
          <w:szCs w:val="44"/>
          <w:highlight w:val="none"/>
        </w:rPr>
        <w:t>第六部分 应提交的有关格式范例</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_Toc31834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
        <w:spacing w:line="360" w:lineRule="auto"/>
        <w:rPr>
          <w:rFonts w:cs="Times New Roman"/>
          <w:color w:val="auto"/>
          <w:highlight w:val="none"/>
        </w:rPr>
      </w:pPr>
      <w:r>
        <w:rPr>
          <w:rFonts w:hint="eastAsia" w:hAnsi="宋体"/>
          <w:color w:val="auto"/>
          <w:szCs w:val="24"/>
          <w:highlight w:val="none"/>
        </w:rPr>
        <w:fldChar w:fldCharType="end"/>
      </w: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3148"/>
        </w:tabs>
        <w:jc w:val="left"/>
        <w:rPr>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color w:val="auto"/>
          <w:highlight w:val="none"/>
        </w:rPr>
        <w:tab/>
      </w:r>
    </w:p>
    <w:p>
      <w:pPr>
        <w:pStyle w:val="3"/>
        <w:jc w:val="center"/>
        <w:rPr>
          <w:rFonts w:ascii="宋体" w:cs="Times New Roman"/>
          <w:color w:val="auto"/>
          <w:highlight w:val="none"/>
        </w:rPr>
      </w:pPr>
      <w:bookmarkStart w:id="0" w:name="_Toc13178"/>
      <w:bookmarkStart w:id="1" w:name="_Toc32199"/>
      <w:bookmarkStart w:id="2" w:name="_Toc31034"/>
      <w:bookmarkStart w:id="3" w:name="第二部分"/>
      <w:bookmarkStart w:id="4"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0"/>
      <w:bookmarkEnd w:id="1"/>
      <w:bookmarkEnd w:id="2"/>
    </w:p>
    <w:p>
      <w:pPr>
        <w:adjustRightIn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中纬工程管理咨询有限公司</w:t>
      </w:r>
      <w:r>
        <w:rPr>
          <w:rFonts w:hint="eastAsia" w:ascii="宋体" w:hAnsi="宋体" w:cs="宋体"/>
          <w:color w:val="auto"/>
          <w:sz w:val="28"/>
          <w:szCs w:val="28"/>
          <w:highlight w:val="none"/>
        </w:rPr>
        <w:t>关于</w:t>
      </w:r>
      <w:r>
        <w:rPr>
          <w:rFonts w:hint="eastAsia" w:ascii="宋体" w:hAnsi="宋体" w:cs="宋体"/>
          <w:color w:val="auto"/>
          <w:sz w:val="28"/>
          <w:szCs w:val="28"/>
          <w:highlight w:val="none"/>
          <w:lang w:eastAsia="zh-CN"/>
        </w:rPr>
        <w:t>绍兴市上虞区气象局上虞区电视天气预报节目制作项目</w:t>
      </w:r>
      <w:r>
        <w:rPr>
          <w:rFonts w:hint="eastAsia" w:ascii="宋体" w:hAnsi="宋体" w:cs="宋体"/>
          <w:color w:val="auto"/>
          <w:sz w:val="28"/>
          <w:szCs w:val="28"/>
          <w:highlight w:val="none"/>
        </w:rPr>
        <w:t>的竞争性磋商公告</w:t>
      </w:r>
    </w:p>
    <w:p>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公告日期：</w:t>
      </w:r>
      <w:r>
        <w:rPr>
          <w:rFonts w:hint="eastAsia" w:ascii="宋体" w:hAnsi="宋体" w:cs="宋体"/>
          <w:color w:val="auto"/>
          <w:sz w:val="28"/>
          <w:szCs w:val="28"/>
          <w:highlight w:val="none"/>
          <w:lang w:eastAsia="zh-CN"/>
        </w:rPr>
        <w:t>2024</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日</w:t>
      </w:r>
    </w:p>
    <w:p>
      <w:pPr>
        <w:adjustRightIn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lang w:eastAsia="zh-CN"/>
        </w:rPr>
        <w:t>中纬工程管理咨询有限公司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绍兴市上虞区气象局</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上虞区电视天气预报节目制作项目</w:t>
      </w:r>
      <w:r>
        <w:rPr>
          <w:rFonts w:hint="eastAsia" w:ascii="宋体" w:hAnsi="宋体" w:cs="宋体"/>
          <w:color w:val="auto"/>
          <w:sz w:val="24"/>
          <w:szCs w:val="24"/>
          <w:highlight w:val="none"/>
        </w:rPr>
        <w:t>进行竞争性磋商采购，欢迎国内合格的供应商参加本次采购活动。</w:t>
      </w:r>
    </w:p>
    <w:p>
      <w:pPr>
        <w:adjustRightInd w:val="0"/>
        <w:spacing w:line="360" w:lineRule="auto"/>
        <w:ind w:firstLine="480" w:firstLineChars="200"/>
        <w:rPr>
          <w:rFonts w:hint="default" w:ascii="宋体" w:eastAsia="宋体"/>
          <w:color w:val="auto"/>
          <w:sz w:val="24"/>
          <w:szCs w:val="24"/>
          <w:highlight w:val="none"/>
          <w:u w:val="single"/>
          <w:lang w:val="en-US" w:eastAsia="zh-CN"/>
        </w:rPr>
      </w:pPr>
      <w:r>
        <w:rPr>
          <w:rFonts w:hint="eastAsia" w:ascii="宋体" w:hAnsi="宋体" w:cs="宋体"/>
          <w:color w:val="auto"/>
          <w:sz w:val="24"/>
          <w:szCs w:val="24"/>
          <w:highlight w:val="none"/>
        </w:rPr>
        <w:t>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磋商项目编号：</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ZW2024015 </w:t>
      </w:r>
    </w:p>
    <w:p>
      <w:pPr>
        <w:adjustRightInd w:val="0"/>
        <w:spacing w:line="360" w:lineRule="auto"/>
        <w:ind w:firstLine="480" w:firstLineChars="200"/>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采购组织类型：</w:t>
      </w:r>
      <w:r>
        <w:rPr>
          <w:rFonts w:hint="eastAsia" w:ascii="宋体" w:hAnsi="宋体" w:cs="宋体"/>
          <w:color w:val="auto"/>
          <w:sz w:val="24"/>
          <w:szCs w:val="24"/>
          <w:highlight w:val="none"/>
          <w:u w:val="single"/>
        </w:rPr>
        <w:t>分散采购（中介代理</w:t>
      </w:r>
      <w:r>
        <w:rPr>
          <w:rFonts w:hint="eastAsia" w:ascii="宋体" w:hAnsi="宋体" w:cs="宋体"/>
          <w:color w:val="auto"/>
          <w:sz w:val="24"/>
          <w:szCs w:val="24"/>
          <w:highlight w:val="none"/>
          <w:u w:val="single"/>
          <w:lang w:eastAsia="zh-CN"/>
        </w:rPr>
        <w:t>）</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r>
        <w:rPr>
          <w:rFonts w:ascii="宋体" w:hAnsi="宋体" w:cs="宋体"/>
          <w:color w:val="auto"/>
          <w:sz w:val="24"/>
          <w:szCs w:val="24"/>
          <w:highlight w:val="none"/>
        </w:rPr>
        <w:t>:</w:t>
      </w:r>
    </w:p>
    <w:tbl>
      <w:tblPr>
        <w:tblStyle w:val="26"/>
        <w:tblW w:w="10179" w:type="dxa"/>
        <w:jc w:val="center"/>
        <w:tblInd w:w="0" w:type="dxa"/>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568"/>
        <w:gridCol w:w="2977"/>
        <w:gridCol w:w="708"/>
        <w:gridCol w:w="715"/>
        <w:gridCol w:w="1275"/>
        <w:gridCol w:w="2268"/>
        <w:gridCol w:w="1276"/>
        <w:gridCol w:w="392"/>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Ex>
        <w:trPr>
          <w:trHeight w:val="977" w:hRule="atLeast"/>
          <w:jc w:val="center"/>
        </w:trPr>
        <w:tc>
          <w:tcPr>
            <w:tcW w:w="568" w:type="dxa"/>
            <w:tcBorders>
              <w:top w:val="single" w:color="000000" w:sz="4" w:space="0"/>
            </w:tcBorders>
            <w:vAlign w:val="center"/>
          </w:tcPr>
          <w:p>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977" w:type="dxa"/>
            <w:tcBorders>
              <w:top w:val="single" w:color="000000" w:sz="4" w:space="0"/>
            </w:tcBorders>
            <w:vAlign w:val="center"/>
          </w:tcPr>
          <w:p>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项目名称</w:t>
            </w:r>
          </w:p>
        </w:tc>
        <w:tc>
          <w:tcPr>
            <w:tcW w:w="708" w:type="dxa"/>
            <w:tcBorders>
              <w:top w:val="single" w:color="000000" w:sz="4" w:space="0"/>
            </w:tcBorders>
            <w:vAlign w:val="center"/>
          </w:tcPr>
          <w:p>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数量</w:t>
            </w:r>
          </w:p>
        </w:tc>
        <w:tc>
          <w:tcPr>
            <w:tcW w:w="715" w:type="dxa"/>
            <w:tcBorders>
              <w:top w:val="single" w:color="000000" w:sz="4" w:space="0"/>
            </w:tcBorders>
            <w:vAlign w:val="center"/>
          </w:tcPr>
          <w:p>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单位</w:t>
            </w:r>
          </w:p>
        </w:tc>
        <w:tc>
          <w:tcPr>
            <w:tcW w:w="1275" w:type="dxa"/>
            <w:tcBorders>
              <w:top w:val="single" w:color="000000" w:sz="4" w:space="0"/>
            </w:tcBorders>
            <w:vAlign w:val="center"/>
          </w:tcPr>
          <w:p>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预算金额</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万</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2268" w:type="dxa"/>
            <w:tcBorders>
              <w:top w:val="single" w:color="000000" w:sz="4" w:space="0"/>
            </w:tcBorders>
            <w:vAlign w:val="center"/>
          </w:tcPr>
          <w:p>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1276" w:type="dxa"/>
            <w:tcBorders>
              <w:top w:val="single" w:color="000000" w:sz="4" w:space="0"/>
            </w:tcBorders>
            <w:vAlign w:val="center"/>
          </w:tcPr>
          <w:p>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最高限价</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万</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392" w:type="dxa"/>
            <w:tcBorders>
              <w:top w:val="single" w:color="000000" w:sz="4" w:space="0"/>
            </w:tcBorders>
            <w:vAlign w:val="center"/>
          </w:tcPr>
          <w:p>
            <w:pPr>
              <w:adjustRightInd w:val="0"/>
              <w:spacing w:line="360" w:lineRule="auto"/>
              <w:jc w:val="center"/>
              <w:rPr>
                <w:rFonts w:ascii="宋体"/>
                <w:color w:val="auto"/>
                <w:sz w:val="24"/>
                <w:szCs w:val="24"/>
                <w:highlight w:val="none"/>
              </w:rPr>
            </w:pPr>
            <w:r>
              <w:rPr>
                <w:rFonts w:hint="eastAsia" w:ascii="宋体"/>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Ex>
        <w:trPr>
          <w:jc w:val="center"/>
        </w:trPr>
        <w:tc>
          <w:tcPr>
            <w:tcW w:w="568" w:type="dxa"/>
            <w:tcBorders>
              <w:bottom w:val="single" w:color="000000" w:sz="4" w:space="0"/>
            </w:tcBorders>
            <w:vAlign w:val="center"/>
          </w:tcPr>
          <w:p>
            <w:pP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2977" w:type="dxa"/>
            <w:tcBorders>
              <w:bottom w:val="single" w:color="000000" w:sz="4" w:space="0"/>
            </w:tcBorders>
            <w:vAlign w:val="center"/>
          </w:tcPr>
          <w:p>
            <w:pPr>
              <w:adjustRightInd w:val="0"/>
              <w:spacing w:line="360" w:lineRule="auto"/>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eastAsia="zh-CN"/>
              </w:rPr>
              <w:t>上虞区电视天气预报节目制作项目</w:t>
            </w:r>
          </w:p>
        </w:tc>
        <w:tc>
          <w:tcPr>
            <w:tcW w:w="708" w:type="dxa"/>
            <w:tcBorders>
              <w:bottom w:val="single" w:color="000000" w:sz="4" w:space="0"/>
            </w:tcBorders>
            <w:vAlign w:val="center"/>
          </w:tcPr>
          <w:p>
            <w:pP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715" w:type="dxa"/>
            <w:tcBorders>
              <w:bottom w:val="single" w:color="000000" w:sz="4" w:space="0"/>
            </w:tcBorders>
            <w:vAlign w:val="center"/>
          </w:tcPr>
          <w:p>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w:t>
            </w:r>
          </w:p>
        </w:tc>
        <w:tc>
          <w:tcPr>
            <w:tcW w:w="1275" w:type="dxa"/>
            <w:tcBorders>
              <w:bottom w:val="single" w:color="000000" w:sz="4" w:space="0"/>
            </w:tcBorders>
            <w:vAlign w:val="center"/>
          </w:tcPr>
          <w:p>
            <w:pPr>
              <w:widowControl/>
              <w:spacing w:before="100" w:after="100" w:line="312" w:lineRule="auto"/>
              <w:jc w:val="center"/>
              <w:rPr>
                <w:rFonts w:hint="default" w:ascii="宋体" w:eastAsia="宋体"/>
                <w:color w:val="auto"/>
                <w:sz w:val="24"/>
                <w:szCs w:val="24"/>
                <w:highlight w:val="none"/>
                <w:lang w:val="en-US" w:eastAsia="zh-CN"/>
              </w:rPr>
            </w:pPr>
            <w:r>
              <w:rPr>
                <w:rFonts w:hint="eastAsia" w:ascii="宋体" w:hAnsi="宋体" w:cs="宋体"/>
                <w:color w:val="auto"/>
                <w:sz w:val="24"/>
                <w:highlight w:val="none"/>
                <w:lang w:val="en-US" w:eastAsia="zh-CN"/>
              </w:rPr>
              <w:t xml:space="preserve"> 30</w:t>
            </w:r>
          </w:p>
        </w:tc>
        <w:tc>
          <w:tcPr>
            <w:tcW w:w="2268" w:type="dxa"/>
            <w:tcBorders>
              <w:bottom w:val="single" w:color="000000" w:sz="4" w:space="0"/>
            </w:tcBorders>
            <w:vAlign w:val="center"/>
          </w:tcPr>
          <w:p>
            <w:pPr>
              <w:pStyle w:val="13"/>
              <w:snapToGrid w:val="0"/>
              <w:spacing w:before="120" w:after="120"/>
              <w:jc w:val="center"/>
              <w:rPr>
                <w:rFonts w:hAnsi="宋体" w:cs="Times New Roman"/>
                <w:color w:val="auto"/>
                <w:sz w:val="24"/>
                <w:szCs w:val="24"/>
                <w:highlight w:val="none"/>
              </w:rPr>
            </w:pPr>
            <w:r>
              <w:rPr>
                <w:rFonts w:hint="eastAsia" w:hAnsi="宋体" w:cs="Times New Roman"/>
                <w:color w:val="auto"/>
                <w:sz w:val="24"/>
                <w:szCs w:val="24"/>
                <w:highlight w:val="none"/>
              </w:rPr>
              <w:t>上虞区电视天气预报节目制作服务（一年）</w:t>
            </w:r>
          </w:p>
        </w:tc>
        <w:tc>
          <w:tcPr>
            <w:tcW w:w="1276" w:type="dxa"/>
            <w:tcBorders>
              <w:bottom w:val="single" w:color="000000" w:sz="4" w:space="0"/>
            </w:tcBorders>
            <w:vAlign w:val="center"/>
          </w:tcPr>
          <w:p>
            <w:pPr>
              <w:adjustRightInd w:val="0"/>
              <w:spacing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30</w:t>
            </w:r>
          </w:p>
        </w:tc>
        <w:tc>
          <w:tcPr>
            <w:tcW w:w="392" w:type="dxa"/>
            <w:tcBorders>
              <w:bottom w:val="single" w:color="000000" w:sz="4" w:space="0"/>
            </w:tcBorders>
            <w:vAlign w:val="center"/>
          </w:tcPr>
          <w:p>
            <w:pPr>
              <w:adjustRightInd w:val="0"/>
              <w:spacing w:line="360" w:lineRule="auto"/>
              <w:jc w:val="center"/>
              <w:rPr>
                <w:rFonts w:ascii="宋体"/>
                <w:color w:val="auto"/>
                <w:sz w:val="24"/>
                <w:szCs w:val="24"/>
                <w:highlight w:val="none"/>
              </w:rPr>
            </w:pPr>
          </w:p>
        </w:tc>
      </w:tr>
    </w:tbl>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合格供应商资格要求</w:t>
      </w:r>
      <w:r>
        <w:rPr>
          <w:rFonts w:ascii="宋体" w:hAnsi="宋体" w:cs="宋体"/>
          <w:color w:val="auto"/>
          <w:sz w:val="24"/>
          <w:szCs w:val="24"/>
          <w:highlight w:val="none"/>
        </w:rPr>
        <w:t>:</w:t>
      </w:r>
    </w:p>
    <w:p>
      <w:pPr>
        <w:numPr>
          <w:ilvl w:val="0"/>
          <w:numId w:val="2"/>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符合政府采购法第二十二条，且未被“信用中国”（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p>
    <w:p>
      <w:pPr>
        <w:numPr>
          <w:ilvl w:val="0"/>
          <w:numId w:val="2"/>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落实政府采购政策需满足的资格要求：</w:t>
      </w:r>
      <w:r>
        <w:rPr>
          <w:rFonts w:hint="eastAsia" w:ascii="宋体" w:hAnsi="宋体" w:cs="宋体"/>
          <w:color w:val="auto"/>
          <w:sz w:val="24"/>
          <w:highlight w:val="none"/>
        </w:rPr>
        <w:t>供应商为中小企业/小微企业。</w:t>
      </w:r>
    </w:p>
    <w:p>
      <w:pPr>
        <w:numPr>
          <w:ilvl w:val="0"/>
          <w:numId w:val="2"/>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本项目不接受联合体参加磋商。</w:t>
      </w:r>
    </w:p>
    <w:p>
      <w:pPr>
        <w:numPr>
          <w:ilvl w:val="0"/>
          <w:numId w:val="2"/>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本项目采用资格后审的审查方式，由磋商小组负责审查。</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五．获取磋商文件</w:t>
      </w:r>
    </w:p>
    <w:p>
      <w:pPr>
        <w:numPr>
          <w:ilvl w:val="0"/>
          <w:numId w:val="3"/>
        </w:numPr>
        <w:adjustRightInd w:val="0"/>
        <w:spacing w:line="360" w:lineRule="auto"/>
        <w:ind w:firstLine="480" w:firstLineChars="200"/>
        <w:rPr>
          <w:rFonts w:ascii="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r>
        <w:rPr>
          <w:rFonts w:ascii="宋体" w:hAnsi="宋体" w:cs="宋体"/>
          <w:color w:val="auto"/>
          <w:sz w:val="24"/>
          <w:szCs w:val="24"/>
          <w:highlight w:val="none"/>
        </w:rPr>
        <w:t>:</w:t>
      </w:r>
      <w:bookmarkEnd w:id="5"/>
      <w:r>
        <w:rPr>
          <w:rFonts w:hint="eastAsia" w:ascii="宋体" w:hAnsi="宋体" w:cs="宋体"/>
          <w:color w:val="auto"/>
          <w:sz w:val="24"/>
          <w:szCs w:val="24"/>
          <w:highlight w:val="none"/>
          <w:u w:val="single"/>
          <w:lang w:eastAsia="zh-CN"/>
        </w:rPr>
        <w:t>2024</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:30</w:t>
      </w:r>
      <w:r>
        <w:rPr>
          <w:rFonts w:hint="eastAsia" w:ascii="宋体" w:hAnsi="宋体" w:cs="宋体"/>
          <w:color w:val="auto"/>
          <w:sz w:val="24"/>
          <w:szCs w:val="24"/>
          <w:highlight w:val="none"/>
        </w:rPr>
        <w:t>之前获取。</w:t>
      </w:r>
    </w:p>
    <w:p>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获取磋商文件方式：供应商登陆政采云平台</w:t>
      </w:r>
      <w:r>
        <w:rPr>
          <w:rFonts w:ascii="宋体" w:hAnsi="宋体" w:cs="宋体"/>
          <w:color w:val="auto"/>
          <w:sz w:val="24"/>
          <w:szCs w:val="24"/>
          <w:highlight w:val="none"/>
        </w:rPr>
        <w:t>http://www.zcygov.cn/</w:t>
      </w:r>
      <w:r>
        <w:rPr>
          <w:rFonts w:hint="eastAsia" w:ascii="宋体" w:hAnsi="宋体" w:cs="宋体"/>
          <w:color w:val="auto"/>
          <w:sz w:val="24"/>
          <w:szCs w:val="24"/>
          <w:highlight w:val="none"/>
        </w:rPr>
        <w:t>，在线申请获取磋商文件（进入“项目采购”应用，在获取采购文件菜单中选择项目，申请获取采购文件）。</w:t>
      </w:r>
    </w:p>
    <w:p>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六、投标与开标注意事项：</w:t>
      </w:r>
    </w:p>
    <w:p>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pPr>
        <w:numPr>
          <w:ilvl w:val="0"/>
          <w:numId w:val="5"/>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标前准备：各供应商应在开标前确保成为浙江省政府采购网正式注册入库供应商，并完成CA数字证书办理。因未注册入库、未办理CA数字证书等原因造成无法投标或投标失败等后果由供应商自行承担。</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pPr>
        <w:adjustRightInd w:val="0"/>
        <w:spacing w:line="360" w:lineRule="auto"/>
        <w:ind w:left="400" w:leftChars="200"/>
        <w:rPr>
          <w:rFonts w:ascii="宋体" w:hAnsi="宋体" w:cs="宋体"/>
          <w:color w:val="auto"/>
          <w:sz w:val="24"/>
          <w:highlight w:val="none"/>
        </w:rPr>
      </w:pPr>
      <w:r>
        <w:rPr>
          <w:rFonts w:hint="eastAsia" w:ascii="宋体" w:hAnsi="宋体" w:cs="宋体"/>
          <w:color w:val="auto"/>
          <w:sz w:val="24"/>
          <w:highlight w:val="none"/>
        </w:rPr>
        <w:t>《CA管理学习专题》：</w:t>
      </w:r>
    </w:p>
    <w:p>
      <w:pPr>
        <w:adjustRightInd w:val="0"/>
        <w:spacing w:line="360" w:lineRule="auto"/>
        <w:ind w:left="40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pPr>
        <w:adjustRightInd w:val="0"/>
        <w:spacing w:line="360" w:lineRule="auto"/>
        <w:ind w:left="400" w:leftChars="200"/>
        <w:rPr>
          <w:rFonts w:ascii="宋体" w:hAnsi="宋体" w:cs="宋体"/>
          <w:color w:val="auto"/>
          <w:sz w:val="24"/>
          <w:highlight w:val="none"/>
        </w:rPr>
      </w:pPr>
      <w:r>
        <w:rPr>
          <w:rFonts w:hint="eastAsia" w:ascii="宋体" w:hAnsi="宋体" w:cs="宋体"/>
          <w:color w:val="auto"/>
          <w:sz w:val="24"/>
          <w:highlight w:val="none"/>
        </w:rPr>
        <w:t>《CA驱动和申领流程》:</w:t>
      </w:r>
    </w:p>
    <w:p>
      <w:pPr>
        <w:adjustRightInd w:val="0"/>
        <w:spacing w:line="360" w:lineRule="auto"/>
        <w:ind w:left="40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highlight w:val="none"/>
        </w:rPr>
        <w:t>http://zfcg.czt.zj.gov.cn/bidClientTemplate/2019-05-27/12945.html</w:t>
      </w:r>
      <w:r>
        <w:rPr>
          <w:rFonts w:hint="eastAsia" w:ascii="宋体" w:hAnsi="宋体" w:cs="宋体"/>
          <w:color w:val="auto"/>
          <w:sz w:val="24"/>
          <w:highlight w:val="none"/>
        </w:rPr>
        <w:fldChar w:fldCharType="end"/>
      </w:r>
    </w:p>
    <w:p>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投标文件制作：</w:t>
      </w:r>
    </w:p>
    <w:p>
      <w:pPr>
        <w:numPr>
          <w:ilvl w:val="0"/>
          <w:numId w:val="6"/>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应按照本项目招标文件和政采云平台的要求编制、加密并递交投标文件。供应商在使用系统进行投标的过程中遇到涉及平台使用的任何问题，可致电政采云平台技术支持热线咨询，联系方式：400-881-7190。</w:t>
      </w:r>
    </w:p>
    <w:p>
      <w:pPr>
        <w:numPr>
          <w:ilvl w:val="0"/>
          <w:numId w:val="6"/>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投标人通过“政采云”平台电子投标工具制作投标文件。</w:t>
      </w:r>
    </w:p>
    <w:p>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pPr>
        <w:adjustRightInd w:val="0"/>
        <w:spacing w:line="360" w:lineRule="auto"/>
        <w:ind w:firstLine="40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szCs w:val="24"/>
          <w:highlight w:val="none"/>
        </w:rPr>
        <w:t>http://zfcg.czt.zj.gov.cn/bidClientTemplate/2019-09-24/12975.html</w:t>
      </w:r>
      <w:r>
        <w:rPr>
          <w:rFonts w:hint="eastAsia" w:ascii="宋体" w:hAnsi="宋体" w:cs="宋体"/>
          <w:color w:val="auto"/>
          <w:sz w:val="24"/>
          <w:szCs w:val="24"/>
          <w:highlight w:val="none"/>
        </w:rPr>
        <w:fldChar w:fldCharType="end"/>
      </w:r>
    </w:p>
    <w:p>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《供应商-政府采购项目电子交易操作指南》：(需登录账号后查看)</w:t>
      </w:r>
    </w:p>
    <w:p>
      <w:pPr>
        <w:adjustRightInd w:val="0"/>
        <w:spacing w:line="360" w:lineRule="auto"/>
        <w:ind w:firstLine="40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4.供应商在法定质疑期内应一次性提出针对同一采购程序环节的质疑。否则质疑将不予受理。</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5.投标人可指派授权代表递交备份文件，授权代表递交备份文件需携带法定代表人授权书原件，于投标截止时间前到达开标地点递交。</w:t>
      </w:r>
    </w:p>
    <w:p>
      <w:pPr>
        <w:adjustRightInd w:val="0"/>
        <w:spacing w:line="360" w:lineRule="auto"/>
        <w:ind w:left="400" w:leftChars="200"/>
        <w:rPr>
          <w:rFonts w:ascii="宋体" w:hAnsi="宋体" w:cs="宋体"/>
          <w:color w:val="auto"/>
          <w:sz w:val="24"/>
          <w:szCs w:val="24"/>
          <w:highlight w:val="none"/>
        </w:rPr>
      </w:pPr>
      <w:r>
        <w:rPr>
          <w:rFonts w:hint="eastAsia" w:ascii="宋体" w:hAnsi="宋体" w:cs="宋体"/>
          <w:color w:val="auto"/>
          <w:sz w:val="24"/>
          <w:szCs w:val="24"/>
          <w:highlight w:val="none"/>
        </w:rPr>
        <w:t>6.特别提醒</w:t>
      </w:r>
    </w:p>
    <w:p>
      <w:pPr>
        <w:wordWrap w:val="0"/>
        <w:adjustRightIn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单位负责人为同一人或者存在直接控股、管理关系的不同供应商，不得参加同一合同项下的政府采购活动。</w:t>
      </w:r>
    </w:p>
    <w:p>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七．磋商响应截止时间及要求：</w:t>
      </w:r>
      <w:r>
        <w:rPr>
          <w:rFonts w:hint="eastAsia" w:ascii="宋体" w:hAnsi="宋体" w:cs="宋体"/>
          <w:color w:val="auto"/>
          <w:sz w:val="24"/>
          <w:szCs w:val="24"/>
          <w:highlight w:val="none"/>
          <w:u w:val="single"/>
          <w:lang w:eastAsia="zh-CN"/>
        </w:rPr>
        <w:t>2024</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30</w:t>
      </w:r>
      <w:r>
        <w:rPr>
          <w:rFonts w:hint="eastAsia" w:ascii="宋体" w:hAnsi="宋体" w:cs="宋体"/>
          <w:color w:val="auto"/>
          <w:sz w:val="24"/>
          <w:szCs w:val="24"/>
          <w:highlight w:val="none"/>
        </w:rPr>
        <w:t>分整之前将电子磋商响应文件上传到“政采云”平台。</w:t>
      </w:r>
    </w:p>
    <w:p>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八．递交首次响应文件时间及地点：</w:t>
      </w:r>
      <w:r>
        <w:rPr>
          <w:rFonts w:hint="eastAsia" w:ascii="宋体" w:hAnsi="宋体" w:cs="宋体"/>
          <w:color w:val="auto"/>
          <w:sz w:val="24"/>
          <w:szCs w:val="24"/>
          <w:highlight w:val="none"/>
          <w:u w:val="single"/>
          <w:lang w:eastAsia="zh-CN"/>
        </w:rPr>
        <w:t>2024</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30</w:t>
      </w:r>
      <w:r>
        <w:rPr>
          <w:rFonts w:hint="eastAsia" w:ascii="宋体" w:hAnsi="宋体" w:cs="宋体"/>
          <w:color w:val="auto"/>
          <w:sz w:val="24"/>
          <w:szCs w:val="24"/>
          <w:highlight w:val="none"/>
        </w:rPr>
        <w:t>分</w:t>
      </w:r>
      <w:bookmarkStart w:id="6" w:name="B30_开标地点"/>
      <w:r>
        <w:rPr>
          <w:rFonts w:hint="eastAsia" w:ascii="宋体" w:hAnsi="宋体" w:cs="宋体"/>
          <w:color w:val="auto"/>
          <w:sz w:val="24"/>
          <w:szCs w:val="24"/>
          <w:highlight w:val="none"/>
        </w:rPr>
        <w:t>整在</w:t>
      </w:r>
      <w:r>
        <w:rPr>
          <w:rFonts w:hint="eastAsia" w:ascii="宋体" w:hAnsi="宋体" w:cs="宋体"/>
          <w:color w:val="auto"/>
          <w:sz w:val="24"/>
          <w:highlight w:val="none"/>
          <w:lang w:eastAsia="zh-CN"/>
        </w:rPr>
        <w:t>中纬工程管理咨询有限公司</w:t>
      </w:r>
      <w:r>
        <w:rPr>
          <w:rFonts w:hint="eastAsia" w:ascii="宋体" w:hAnsi="宋体" w:cs="宋体"/>
          <w:color w:val="auto"/>
          <w:sz w:val="24"/>
          <w:szCs w:val="24"/>
          <w:highlight w:val="none"/>
        </w:rPr>
        <w:t>开标</w:t>
      </w:r>
      <w:r>
        <w:rPr>
          <w:rFonts w:hint="eastAsia" w:ascii="宋体" w:hAnsi="宋体" w:cs="宋体"/>
          <w:color w:val="auto"/>
          <w:sz w:val="24"/>
          <w:szCs w:val="24"/>
          <w:highlight w:val="none"/>
          <w:lang w:val="en-US" w:eastAsia="zh-CN"/>
        </w:rPr>
        <w:t>室</w:t>
      </w:r>
      <w:r>
        <w:rPr>
          <w:rFonts w:hint="eastAsia" w:ascii="宋体" w:hAnsi="宋体" w:cs="宋体"/>
          <w:color w:val="auto"/>
          <w:sz w:val="24"/>
          <w:szCs w:val="24"/>
          <w:highlight w:val="none"/>
        </w:rPr>
        <w:t>。</w:t>
      </w:r>
      <w:bookmarkEnd w:id="6"/>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开标时间后</w:t>
      </w:r>
      <w:r>
        <w:rPr>
          <w:rFonts w:ascii="宋体" w:hAnsi="宋体" w:cs="宋体"/>
          <w:color w:val="auto"/>
          <w:sz w:val="24"/>
          <w:szCs w:val="24"/>
          <w:highlight w:val="none"/>
        </w:rPr>
        <w:t>30</w:t>
      </w:r>
      <w:r>
        <w:rPr>
          <w:rFonts w:hint="eastAsia" w:ascii="宋体" w:hAnsi="宋体" w:cs="宋体"/>
          <w:color w:val="auto"/>
          <w:sz w:val="24"/>
          <w:szCs w:val="24"/>
          <w:highlight w:val="none"/>
        </w:rPr>
        <w:t>分钟内（当日</w:t>
      </w:r>
      <w:r>
        <w:rPr>
          <w:rFonts w:hint="eastAsia" w:ascii="宋体" w:hAnsi="宋体" w:cs="宋体"/>
          <w:color w:val="auto"/>
          <w:sz w:val="24"/>
          <w:szCs w:val="24"/>
          <w:highlight w:val="none"/>
          <w:u w:val="none"/>
          <w:lang w:eastAsia="zh-CN"/>
        </w:rPr>
        <w:t>2024</w:t>
      </w:r>
      <w:r>
        <w:rPr>
          <w:rFonts w:hint="eastAsia" w:ascii="宋体" w:hAnsi="宋体" w:cs="宋体"/>
          <w:color w:val="auto"/>
          <w:sz w:val="24"/>
          <w:szCs w:val="24"/>
          <w:highlight w:val="none"/>
          <w:u w:val="none"/>
        </w:rPr>
        <w:t>年</w:t>
      </w:r>
      <w:r>
        <w:rPr>
          <w:rFonts w:hint="eastAsia" w:ascii="宋体" w:hAnsi="宋体" w:cs="宋体"/>
          <w:color w:val="auto"/>
          <w:sz w:val="24"/>
          <w:szCs w:val="24"/>
          <w:highlight w:val="none"/>
          <w:u w:val="none"/>
          <w:lang w:val="en-US" w:eastAsia="zh-CN"/>
        </w:rPr>
        <w:t>4</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11</w:t>
      </w:r>
      <w:r>
        <w:rPr>
          <w:rFonts w:hint="eastAsia" w:ascii="宋体" w:hAnsi="宋体" w:cs="宋体"/>
          <w:color w:val="auto"/>
          <w:sz w:val="24"/>
          <w:szCs w:val="24"/>
          <w:highlight w:val="none"/>
          <w:u w:val="none"/>
        </w:rPr>
        <w:t>日</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0 : 00 </w:t>
      </w:r>
      <w:r>
        <w:rPr>
          <w:rFonts w:hint="eastAsia" w:ascii="宋体" w:hAnsi="宋体" w:cs="宋体"/>
          <w:color w:val="auto"/>
          <w:sz w:val="24"/>
          <w:szCs w:val="24"/>
          <w:highlight w:val="none"/>
        </w:rPr>
        <w:t>前）供应商可以登录“政采云”平台，用“项目采购</w:t>
      </w:r>
      <w:r>
        <w:rPr>
          <w:rFonts w:ascii="宋体" w:cs="宋体"/>
          <w:color w:val="auto"/>
          <w:sz w:val="24"/>
          <w:szCs w:val="24"/>
          <w:highlight w:val="none"/>
        </w:rPr>
        <w:t>-</w:t>
      </w:r>
      <w:r>
        <w:rPr>
          <w:rFonts w:hint="eastAsia" w:ascii="宋体" w:hAnsi="宋体" w:cs="宋体"/>
          <w:color w:val="auto"/>
          <w:sz w:val="24"/>
          <w:szCs w:val="24"/>
          <w:highlight w:val="none"/>
        </w:rPr>
        <w:t>开标评标”功能进行解密响应文件。若供应商在规定时间内（当日</w:t>
      </w:r>
      <w:r>
        <w:rPr>
          <w:rFonts w:hint="eastAsia" w:ascii="宋体" w:hAnsi="宋体" w:cs="宋体"/>
          <w:color w:val="auto"/>
          <w:sz w:val="24"/>
          <w:szCs w:val="24"/>
          <w:highlight w:val="none"/>
          <w:lang w:val="en-US" w:eastAsia="zh-CN"/>
        </w:rPr>
        <w:t>2024年4月11日</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0: 00 </w:t>
      </w:r>
      <w:r>
        <w:rPr>
          <w:rFonts w:hint="eastAsia" w:ascii="宋体" w:hAnsi="宋体" w:cs="宋体"/>
          <w:color w:val="auto"/>
          <w:sz w:val="24"/>
          <w:szCs w:val="24"/>
          <w:highlight w:val="none"/>
        </w:rPr>
        <w:t>前）解密失败，则由采购代理机构工作人员上传供应商提供的备份文件。备份文件（后缀名为</w:t>
      </w:r>
      <w:r>
        <w:rPr>
          <w:rFonts w:ascii="宋体" w:hAnsi="宋体" w:cs="宋体"/>
          <w:color w:val="auto"/>
          <w:sz w:val="24"/>
          <w:szCs w:val="24"/>
          <w:highlight w:val="none"/>
        </w:rPr>
        <w:t>.bfbs</w:t>
      </w:r>
      <w:r>
        <w:rPr>
          <w:rFonts w:hint="eastAsia" w:ascii="宋体" w:hAnsi="宋体" w:cs="宋体"/>
          <w:color w:val="auto"/>
          <w:sz w:val="24"/>
          <w:szCs w:val="24"/>
          <w:highlight w:val="none"/>
        </w:rPr>
        <w:t>）须存储在</w:t>
      </w:r>
      <w:r>
        <w:rPr>
          <w:rFonts w:ascii="宋体" w:hAnsi="宋体" w:cs="宋体"/>
          <w:color w:val="auto"/>
          <w:sz w:val="24"/>
          <w:szCs w:val="24"/>
          <w:highlight w:val="none"/>
        </w:rPr>
        <w:t>U</w:t>
      </w:r>
      <w:r>
        <w:rPr>
          <w:rFonts w:hint="eastAsia" w:ascii="宋体" w:hAnsi="宋体" w:cs="宋体"/>
          <w:color w:val="auto"/>
          <w:sz w:val="24"/>
          <w:szCs w:val="24"/>
          <w:highlight w:val="none"/>
        </w:rPr>
        <w:t>盘中，与上传的电子磋商响应文件一致，用信封进行密封并盖章</w:t>
      </w:r>
      <w:r>
        <w:rPr>
          <w:rFonts w:hint="eastAsia" w:ascii="宋体" w:hAnsi="宋体" w:cs="宋体"/>
          <w:b/>
          <w:bCs/>
          <w:color w:val="auto"/>
          <w:sz w:val="24"/>
          <w:szCs w:val="24"/>
          <w:highlight w:val="none"/>
        </w:rPr>
        <w:t>（信封内仅需放入存储备份文件的</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w:t>
      </w:r>
      <w:r>
        <w:rPr>
          <w:rFonts w:hint="eastAsia" w:ascii="宋体" w:hAnsi="宋体" w:cs="宋体"/>
          <w:color w:val="auto"/>
          <w:sz w:val="24"/>
          <w:szCs w:val="24"/>
          <w:highlight w:val="none"/>
        </w:rPr>
        <w:t>，由授权代表在磋商响应截止时间前递交至开标地点。若电子磋商响应文件正常解锁，则</w:t>
      </w:r>
      <w:r>
        <w:rPr>
          <w:rFonts w:ascii="宋体" w:hAnsi="宋体" w:cs="宋体"/>
          <w:color w:val="auto"/>
          <w:sz w:val="24"/>
          <w:szCs w:val="24"/>
          <w:highlight w:val="none"/>
        </w:rPr>
        <w:t>U</w:t>
      </w:r>
      <w:r>
        <w:rPr>
          <w:rFonts w:hint="eastAsia" w:ascii="宋体" w:hAnsi="宋体" w:cs="宋体"/>
          <w:color w:val="auto"/>
          <w:sz w:val="24"/>
          <w:szCs w:val="24"/>
          <w:highlight w:val="none"/>
        </w:rPr>
        <w:t>盘退还给供应商；若解锁失败，则由采购代理机构将</w:t>
      </w:r>
      <w:r>
        <w:rPr>
          <w:rFonts w:ascii="宋体" w:hAnsi="宋体" w:cs="宋体"/>
          <w:color w:val="auto"/>
          <w:sz w:val="24"/>
          <w:szCs w:val="24"/>
          <w:highlight w:val="none"/>
        </w:rPr>
        <w:t>U</w:t>
      </w:r>
      <w:r>
        <w:rPr>
          <w:rFonts w:hint="eastAsia" w:ascii="宋体" w:hAnsi="宋体" w:cs="宋体"/>
          <w:color w:val="auto"/>
          <w:sz w:val="24"/>
          <w:szCs w:val="24"/>
          <w:highlight w:val="none"/>
        </w:rPr>
        <w:t>盘中的备份文件上传，该</w:t>
      </w:r>
      <w:r>
        <w:rPr>
          <w:rFonts w:ascii="宋体" w:hAnsi="宋体" w:cs="宋体"/>
          <w:color w:val="auto"/>
          <w:sz w:val="24"/>
          <w:szCs w:val="24"/>
          <w:highlight w:val="none"/>
        </w:rPr>
        <w:t>U</w:t>
      </w:r>
      <w:r>
        <w:rPr>
          <w:rFonts w:hint="eastAsia" w:ascii="宋体" w:hAnsi="宋体" w:cs="宋体"/>
          <w:color w:val="auto"/>
          <w:sz w:val="24"/>
          <w:szCs w:val="24"/>
          <w:highlight w:val="none"/>
        </w:rPr>
        <w:t>盘将由采购代理机构保存。</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本次开标不提供现场视频。</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九．磋商保证金：无</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十．公告期限：3个工作日</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十一．联系方式：</w:t>
      </w:r>
    </w:p>
    <w:p>
      <w:pPr>
        <w:adjustRightInd w:val="0"/>
        <w:spacing w:line="360" w:lineRule="auto"/>
        <w:ind w:firstLine="480" w:firstLineChars="200"/>
        <w:rPr>
          <w:rFonts w:hint="eastAsia" w:ascii="宋体" w:eastAsia="宋体"/>
          <w:color w:val="auto"/>
          <w:sz w:val="24"/>
          <w:szCs w:val="24"/>
          <w:highlight w:val="none"/>
          <w:lang w:eastAsia="zh-CN"/>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．采购代理机构名称：</w:t>
      </w:r>
      <w:r>
        <w:rPr>
          <w:rFonts w:hint="eastAsia" w:ascii="宋体" w:hAnsi="宋体" w:cs="宋体"/>
          <w:color w:val="auto"/>
          <w:sz w:val="24"/>
          <w:szCs w:val="24"/>
          <w:highlight w:val="none"/>
          <w:lang w:eastAsia="zh-CN"/>
        </w:rPr>
        <w:t>中纬工程管理咨询有限公司</w:t>
      </w:r>
    </w:p>
    <w:p>
      <w:pPr>
        <w:adjustRightInd w:val="0"/>
        <w:spacing w:line="360" w:lineRule="auto"/>
        <w:ind w:firstLine="480" w:firstLineChars="200"/>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eastAsia="zh-CN"/>
        </w:rPr>
        <w:t>董女士</w:t>
      </w:r>
    </w:p>
    <w:p>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项目联系方式（询问）：</w:t>
      </w:r>
      <w:r>
        <w:rPr>
          <w:rFonts w:hint="eastAsia" w:ascii="宋体" w:hAnsi="宋体" w:cs="宋体"/>
          <w:color w:val="auto"/>
          <w:sz w:val="24"/>
          <w:szCs w:val="24"/>
          <w:highlight w:val="none"/>
          <w:lang w:eastAsia="zh-CN"/>
        </w:rPr>
        <w:t>17706562887</w:t>
      </w:r>
    </w:p>
    <w:p>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eastAsia="zh-CN"/>
        </w:rPr>
        <w:t>郑女士</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lang w:eastAsia="zh-CN"/>
        </w:rPr>
        <w:t>13819587120</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p>
    <w:p>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绍兴市上虞区曹娥街道上虞电商产业园1号楼1楼</w:t>
      </w:r>
    </w:p>
    <w:p>
      <w:pPr>
        <w:adjustRightInd w:val="0"/>
        <w:spacing w:line="360" w:lineRule="auto"/>
        <w:ind w:firstLine="480" w:firstLineChars="200"/>
        <w:rPr>
          <w:rFonts w:hint="eastAsia" w:ascii="宋体" w:eastAsia="宋体"/>
          <w:color w:val="auto"/>
          <w:sz w:val="24"/>
          <w:szCs w:val="24"/>
          <w:highlight w:val="none"/>
          <w:lang w:eastAsia="zh-CN"/>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．采购人名称：</w:t>
      </w:r>
      <w:r>
        <w:rPr>
          <w:rFonts w:hint="eastAsia" w:ascii="宋体" w:hAnsi="宋体" w:cs="宋体"/>
          <w:color w:val="auto"/>
          <w:sz w:val="24"/>
          <w:highlight w:val="none"/>
          <w:lang w:eastAsia="zh-CN"/>
        </w:rPr>
        <w:t>绍兴市上虞区气象局</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项目联系人（询问）：杨女士</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项目联系方式（询问）： 0575-82212184</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质疑联系人：周先生 </w:t>
      </w:r>
      <w:r>
        <w:rPr>
          <w:rFonts w:ascii="宋体" w:hAnsi="宋体" w:cs="宋体"/>
          <w:color w:val="auto"/>
          <w:sz w:val="24"/>
          <w:szCs w:val="24"/>
          <w:highlight w:val="none"/>
        </w:rPr>
        <w:t xml:space="preserve">   </w:t>
      </w:r>
    </w:p>
    <w:p>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质疑联系方式：0575-82203250</w:t>
      </w:r>
    </w:p>
    <w:p>
      <w:pPr>
        <w:adjustRightInd w:val="0"/>
        <w:spacing w:line="360" w:lineRule="auto"/>
        <w:ind w:firstLine="480" w:firstLineChars="200"/>
        <w:rPr>
          <w:rFonts w:hint="eastAsia" w:ascii="宋体" w:eastAsia="宋体"/>
          <w:color w:val="auto"/>
          <w:sz w:val="24"/>
          <w:szCs w:val="24"/>
          <w:highlight w:val="none"/>
          <w:lang w:val="en-US" w:eastAsia="zh-CN"/>
        </w:rPr>
      </w:pPr>
      <w:r>
        <w:rPr>
          <w:rFonts w:hint="eastAsia" w:ascii="宋体" w:hAnsi="宋体" w:cs="宋体"/>
          <w:color w:val="auto"/>
          <w:sz w:val="24"/>
          <w:szCs w:val="24"/>
          <w:highlight w:val="none"/>
        </w:rPr>
        <w:t>地址：</w:t>
      </w:r>
      <w:r>
        <w:rPr>
          <w:rFonts w:hint="eastAsia" w:ascii="宋体" w:hAnsi="宋体" w:cs="宋体"/>
          <w:color w:val="auto"/>
          <w:sz w:val="24"/>
          <w:highlight w:val="none"/>
        </w:rPr>
        <w:t>绍兴市上虞区王充路80号</w:t>
      </w:r>
    </w:p>
    <w:p>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．同级政府采购监督管理部门名称：上虞区财政局政府采购监管科</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联系人：谷先生</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0575-82130212</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0575-82154859</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地址：绍兴市上虞区体育场路</w:t>
      </w:r>
      <w:r>
        <w:rPr>
          <w:rFonts w:ascii="宋体" w:hAnsi="宋体" w:cs="宋体"/>
          <w:color w:val="auto"/>
          <w:sz w:val="24"/>
          <w:szCs w:val="24"/>
          <w:highlight w:val="none"/>
        </w:rPr>
        <w:t>18</w:t>
      </w:r>
      <w:r>
        <w:rPr>
          <w:rFonts w:hint="eastAsia" w:ascii="宋体" w:hAnsi="宋体" w:cs="宋体"/>
          <w:color w:val="auto"/>
          <w:sz w:val="24"/>
          <w:szCs w:val="24"/>
          <w:highlight w:val="none"/>
        </w:rPr>
        <w:t>号</w:t>
      </w:r>
    </w:p>
    <w:p>
      <w:pP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7" w:name="_Toc546"/>
      <w:bookmarkStart w:id="8" w:name="_Toc24505"/>
      <w:bookmarkStart w:id="9" w:name="_Toc29834"/>
      <w:r>
        <w:rPr>
          <w:rStyle w:val="34"/>
          <w:rFonts w:hint="eastAsia" w:cs="宋体"/>
          <w:color w:val="auto"/>
          <w:sz w:val="36"/>
          <w:szCs w:val="36"/>
          <w:highlight w:val="none"/>
        </w:rPr>
        <w:t>第二部分</w:t>
      </w:r>
      <w:bookmarkEnd w:id="3"/>
      <w:r>
        <w:rPr>
          <w:rStyle w:val="34"/>
          <w:color w:val="auto"/>
          <w:sz w:val="36"/>
          <w:szCs w:val="36"/>
          <w:highlight w:val="none"/>
        </w:rPr>
        <w:t xml:space="preserve"> </w:t>
      </w:r>
      <w:bookmarkEnd w:id="4"/>
      <w:r>
        <w:rPr>
          <w:rStyle w:val="34"/>
          <w:rFonts w:hint="eastAsia" w:cs="宋体"/>
          <w:color w:val="auto"/>
          <w:sz w:val="36"/>
          <w:szCs w:val="36"/>
          <w:highlight w:val="none"/>
        </w:rPr>
        <w:t>供应商须知</w:t>
      </w:r>
      <w:bookmarkEnd w:id="7"/>
      <w:bookmarkEnd w:id="8"/>
      <w:bookmarkEnd w:id="9"/>
    </w:p>
    <w:p>
      <w:pPr>
        <w:widowControl/>
        <w:adjustRightInd w:val="0"/>
        <w:snapToGrid w:val="0"/>
        <w:spacing w:line="360" w:lineRule="auto"/>
        <w:jc w:val="center"/>
        <w:rPr>
          <w:rFonts w:ascii="宋体"/>
          <w:b/>
          <w:bCs/>
          <w:snapToGrid w:val="0"/>
          <w:color w:val="auto"/>
          <w:sz w:val="32"/>
          <w:szCs w:val="32"/>
          <w:highlight w:val="none"/>
        </w:rPr>
      </w:pPr>
      <w:r>
        <w:rPr>
          <w:rFonts w:hint="eastAsia" w:ascii="宋体" w:hAnsi="宋体" w:cs="宋体"/>
          <w:b/>
          <w:bCs/>
          <w:snapToGrid w:val="0"/>
          <w:color w:val="auto"/>
          <w:sz w:val="30"/>
          <w:szCs w:val="30"/>
          <w:highlight w:val="none"/>
        </w:rPr>
        <w:t>供应商须知前附表</w:t>
      </w:r>
    </w:p>
    <w:tbl>
      <w:tblPr>
        <w:tblStyle w:val="26"/>
        <w:tblW w:w="926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8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pPr>
              <w:snapToGrid w:val="0"/>
              <w:jc w:val="center"/>
              <w:rPr>
                <w:rFonts w:ascii="宋体"/>
                <w:b/>
                <w:bCs/>
                <w:snapToGrid w:val="0"/>
                <w:color w:val="auto"/>
                <w:highlight w:val="none"/>
              </w:rPr>
            </w:pPr>
            <w:r>
              <w:rPr>
                <w:rFonts w:hint="eastAsia" w:ascii="宋体" w:hAnsi="宋体" w:cs="宋体"/>
                <w:b/>
                <w:bCs/>
                <w:snapToGrid w:val="0"/>
                <w:color w:val="auto"/>
                <w:highlight w:val="none"/>
              </w:rPr>
              <w:t>序号</w:t>
            </w:r>
          </w:p>
        </w:tc>
        <w:tc>
          <w:tcPr>
            <w:tcW w:w="1800" w:type="dxa"/>
            <w:tcBorders>
              <w:top w:val="double" w:color="auto" w:sz="4" w:space="0"/>
            </w:tcBorders>
            <w:vAlign w:val="center"/>
          </w:tcPr>
          <w:p>
            <w:pPr>
              <w:snapToGrid w:val="0"/>
              <w:jc w:val="center"/>
              <w:rPr>
                <w:rFonts w:ascii="宋体"/>
                <w:b/>
                <w:bCs/>
                <w:snapToGrid w:val="0"/>
                <w:color w:val="auto"/>
                <w:highlight w:val="none"/>
              </w:rPr>
            </w:pPr>
            <w:r>
              <w:rPr>
                <w:rFonts w:hint="eastAsia" w:ascii="宋体" w:hAnsi="宋体" w:cs="宋体"/>
                <w:b/>
                <w:bCs/>
                <w:snapToGrid w:val="0"/>
                <w:color w:val="auto"/>
                <w:highlight w:val="none"/>
              </w:rPr>
              <w:t>项目</w:t>
            </w:r>
          </w:p>
        </w:tc>
        <w:tc>
          <w:tcPr>
            <w:tcW w:w="6814" w:type="dxa"/>
            <w:tcBorders>
              <w:top w:val="double" w:color="auto" w:sz="4" w:space="0"/>
            </w:tcBorders>
            <w:vAlign w:val="center"/>
          </w:tcPr>
          <w:p>
            <w:pPr>
              <w:snapToGrid w:val="0"/>
              <w:jc w:val="center"/>
              <w:rPr>
                <w:rFonts w:ascii="宋体"/>
                <w:b/>
                <w:bCs/>
                <w:snapToGrid w:val="0"/>
                <w:color w:val="auto"/>
                <w:highlight w:val="none"/>
              </w:rPr>
            </w:pPr>
            <w:r>
              <w:rPr>
                <w:rFonts w:hint="eastAsia" w:ascii="宋体" w:hAnsi="宋体" w:cs="宋体"/>
                <w:b/>
                <w:bCs/>
                <w:snapToGrid w:val="0"/>
                <w:color w:val="auto"/>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7" w:hRule="atLeast"/>
          <w:jc w:val="center"/>
        </w:trPr>
        <w:tc>
          <w:tcPr>
            <w:tcW w:w="648" w:type="dxa"/>
            <w:vAlign w:val="center"/>
          </w:tcPr>
          <w:p>
            <w:pPr>
              <w:snapToGrid w:val="0"/>
              <w:jc w:val="center"/>
              <w:rPr>
                <w:rFonts w:ascii="宋体"/>
                <w:snapToGrid w:val="0"/>
                <w:color w:val="auto"/>
                <w:highlight w:val="none"/>
              </w:rPr>
            </w:pPr>
            <w:r>
              <w:rPr>
                <w:rFonts w:ascii="宋体" w:hAnsi="宋体" w:cs="宋体"/>
                <w:snapToGrid w:val="0"/>
                <w:color w:val="auto"/>
                <w:highlight w:val="none"/>
              </w:rPr>
              <w:t>1</w:t>
            </w:r>
          </w:p>
        </w:tc>
        <w:tc>
          <w:tcPr>
            <w:tcW w:w="1800"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项目名称</w:t>
            </w:r>
          </w:p>
        </w:tc>
        <w:tc>
          <w:tcPr>
            <w:tcW w:w="6814" w:type="dxa"/>
            <w:vAlign w:val="center"/>
          </w:tcPr>
          <w:p>
            <w:pPr>
              <w:snapToGrid w:val="0"/>
              <w:ind w:firstLine="400" w:firstLineChars="200"/>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lang w:eastAsia="zh-CN"/>
              </w:rPr>
              <w:t>上虞区电视天气预报节目制作项目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7" w:hRule="atLeast"/>
          <w:jc w:val="center"/>
        </w:trPr>
        <w:tc>
          <w:tcPr>
            <w:tcW w:w="648" w:type="dxa"/>
            <w:vAlign w:val="center"/>
          </w:tcPr>
          <w:p>
            <w:pPr>
              <w:snapToGrid w:val="0"/>
              <w:jc w:val="center"/>
              <w:rPr>
                <w:rFonts w:ascii="宋体"/>
                <w:snapToGrid w:val="0"/>
                <w:color w:val="auto"/>
                <w:highlight w:val="none"/>
              </w:rPr>
            </w:pPr>
            <w:r>
              <w:rPr>
                <w:rFonts w:ascii="宋体" w:hAnsi="宋体" w:cs="宋体"/>
                <w:snapToGrid w:val="0"/>
                <w:color w:val="auto"/>
                <w:highlight w:val="none"/>
              </w:rPr>
              <w:t>2</w:t>
            </w:r>
          </w:p>
        </w:tc>
        <w:tc>
          <w:tcPr>
            <w:tcW w:w="1800"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项目实施时间</w:t>
            </w:r>
          </w:p>
        </w:tc>
        <w:tc>
          <w:tcPr>
            <w:tcW w:w="6814" w:type="dxa"/>
            <w:vAlign w:val="center"/>
          </w:tcPr>
          <w:p>
            <w:pPr>
              <w:ind w:firstLine="402" w:firstLineChars="200"/>
              <w:rPr>
                <w:rFonts w:ascii="宋体" w:hAnsi="宋体" w:cs="宋体"/>
                <w:b/>
                <w:bCs/>
                <w:snapToGrid w:val="0"/>
                <w:color w:val="auto"/>
                <w:highlight w:val="none"/>
              </w:rPr>
            </w:pPr>
            <w:r>
              <w:rPr>
                <w:rFonts w:hint="eastAsia" w:ascii="宋体" w:hAnsi="宋体" w:cs="宋体"/>
                <w:b/>
                <w:bCs/>
                <w:snapToGrid w:val="0"/>
                <w:color w:val="auto"/>
                <w:highlight w:val="none"/>
              </w:rPr>
              <w:t>自合同签订之日起至合同履行完毕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7" w:hRule="atLeast"/>
          <w:jc w:val="center"/>
        </w:trPr>
        <w:tc>
          <w:tcPr>
            <w:tcW w:w="648" w:type="dxa"/>
            <w:vAlign w:val="center"/>
          </w:tcPr>
          <w:p>
            <w:pPr>
              <w:snapToGrid w:val="0"/>
              <w:jc w:val="center"/>
              <w:rPr>
                <w:rFonts w:ascii="宋体"/>
                <w:snapToGrid w:val="0"/>
                <w:color w:val="auto"/>
                <w:highlight w:val="none"/>
              </w:rPr>
            </w:pPr>
            <w:r>
              <w:rPr>
                <w:rFonts w:ascii="宋体" w:hAnsi="宋体" w:cs="宋体"/>
                <w:snapToGrid w:val="0"/>
                <w:color w:val="auto"/>
                <w:highlight w:val="none"/>
              </w:rPr>
              <w:t>3</w:t>
            </w:r>
          </w:p>
        </w:tc>
        <w:tc>
          <w:tcPr>
            <w:tcW w:w="1800" w:type="dxa"/>
            <w:vAlign w:val="center"/>
          </w:tcPr>
          <w:p>
            <w:pPr>
              <w:snapToGrid w:val="0"/>
              <w:jc w:val="center"/>
              <w:rPr>
                <w:rFonts w:ascii="宋体"/>
                <w:b/>
                <w:bCs/>
                <w:snapToGrid w:val="0"/>
                <w:color w:val="auto"/>
                <w:highlight w:val="none"/>
              </w:rPr>
            </w:pPr>
            <w:r>
              <w:rPr>
                <w:rFonts w:hint="eastAsia" w:ascii="宋体" w:hAnsi="宋体" w:cs="宋体"/>
                <w:b/>
                <w:bCs/>
                <w:snapToGrid w:val="0"/>
                <w:color w:val="auto"/>
                <w:highlight w:val="none"/>
              </w:rPr>
              <w:t>最高限价</w:t>
            </w:r>
          </w:p>
        </w:tc>
        <w:tc>
          <w:tcPr>
            <w:tcW w:w="6814" w:type="dxa"/>
            <w:vAlign w:val="center"/>
          </w:tcPr>
          <w:p>
            <w:pPr>
              <w:snapToGrid w:val="0"/>
              <w:ind w:firstLine="400" w:firstLineChars="200"/>
              <w:rPr>
                <w:rFonts w:ascii="宋体"/>
                <w:b/>
                <w:bCs/>
                <w:snapToGrid w:val="0"/>
                <w:color w:val="auto"/>
                <w:highlight w:val="none"/>
              </w:rPr>
            </w:pPr>
            <w:r>
              <w:rPr>
                <w:rFonts w:hint="eastAsia" w:ascii="宋体" w:hAnsi="宋体" w:cs="宋体"/>
                <w:color w:val="auto"/>
                <w:highlight w:val="none"/>
              </w:rPr>
              <w:t>本项目最高限价人民币</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30</w:t>
            </w:r>
            <w:r>
              <w:rPr>
                <w:rFonts w:ascii="宋体" w:hAnsi="宋体" w:cs="宋体"/>
                <w:color w:val="auto"/>
                <w:highlight w:val="none"/>
                <w:u w:val="single"/>
              </w:rPr>
              <w:t xml:space="preserve"> </w:t>
            </w:r>
            <w:r>
              <w:rPr>
                <w:rFonts w:hint="eastAsia" w:ascii="宋体" w:hAnsi="宋体" w:cs="宋体"/>
                <w:color w:val="auto"/>
                <w:highlight w:val="none"/>
              </w:rPr>
              <w:t xml:space="preserve">万元。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highlight w:val="none"/>
              </w:rPr>
            </w:pPr>
            <w:r>
              <w:rPr>
                <w:rFonts w:ascii="宋体" w:hAnsi="宋体" w:cs="宋体"/>
                <w:snapToGrid w:val="0"/>
                <w:color w:val="auto"/>
                <w:highlight w:val="none"/>
              </w:rPr>
              <w:t xml:space="preserve">                                                                                                   4</w:t>
            </w:r>
          </w:p>
        </w:tc>
        <w:tc>
          <w:tcPr>
            <w:tcW w:w="1800"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资格审查方式</w:t>
            </w:r>
          </w:p>
        </w:tc>
        <w:tc>
          <w:tcPr>
            <w:tcW w:w="6814" w:type="dxa"/>
            <w:vAlign w:val="center"/>
          </w:tcPr>
          <w:p>
            <w:pPr>
              <w:snapToGrid w:val="0"/>
              <w:ind w:firstLine="400" w:firstLineChars="200"/>
              <w:rPr>
                <w:rFonts w:ascii="宋体"/>
                <w:snapToGrid w:val="0"/>
                <w:color w:val="auto"/>
                <w:highlight w:val="none"/>
              </w:rPr>
            </w:pPr>
            <w:r>
              <w:rPr>
                <w:rFonts w:hint="eastAsia" w:ascii="宋体" w:hAnsi="宋体" w:cs="宋体"/>
                <w:snapToGrid w:val="0"/>
                <w:color w:val="auto"/>
                <w:highlight w:val="none"/>
              </w:rPr>
              <w:t>资格审查是指开标后，磋商小组将依据法律法规和磋商文件的规定对供应商的资格进行审查。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8" w:type="dxa"/>
            <w:vAlign w:val="center"/>
          </w:tcPr>
          <w:p>
            <w:pPr>
              <w:snapToGrid w:val="0"/>
              <w:jc w:val="center"/>
              <w:rPr>
                <w:rFonts w:ascii="宋体"/>
                <w:snapToGrid w:val="0"/>
                <w:color w:val="auto"/>
                <w:highlight w:val="none"/>
              </w:rPr>
            </w:pPr>
            <w:r>
              <w:rPr>
                <w:rFonts w:ascii="宋体" w:hAnsi="宋体" w:cs="宋体"/>
                <w:snapToGrid w:val="0"/>
                <w:color w:val="auto"/>
                <w:highlight w:val="none"/>
              </w:rPr>
              <w:t>5</w:t>
            </w:r>
          </w:p>
        </w:tc>
        <w:tc>
          <w:tcPr>
            <w:tcW w:w="1800"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踏勘现场</w:t>
            </w:r>
          </w:p>
        </w:tc>
        <w:tc>
          <w:tcPr>
            <w:tcW w:w="6814" w:type="dxa"/>
            <w:vAlign w:val="center"/>
          </w:tcPr>
          <w:p>
            <w:pPr>
              <w:snapToGrid w:val="0"/>
              <w:ind w:firstLine="402" w:firstLineChars="200"/>
              <w:rPr>
                <w:rFonts w:ascii="宋体"/>
                <w:snapToGrid w:val="0"/>
                <w:color w:val="auto"/>
                <w:highlight w:val="none"/>
              </w:rPr>
            </w:pPr>
            <w:r>
              <w:rPr>
                <w:rFonts w:hint="eastAsia" w:ascii="宋体" w:hAnsi="宋体" w:cs="宋体"/>
                <w:b/>
                <w:bCs/>
                <w:snapToGrid w:val="0"/>
                <w:color w:val="auto"/>
                <w:highlight w:val="none"/>
              </w:rPr>
              <w:t>本项目不组织现场踏勘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highlight w:val="none"/>
              </w:rPr>
            </w:pPr>
            <w:r>
              <w:rPr>
                <w:rFonts w:ascii="宋体" w:hAnsi="宋体" w:cs="宋体"/>
                <w:snapToGrid w:val="0"/>
                <w:color w:val="auto"/>
                <w:highlight w:val="none"/>
              </w:rPr>
              <w:t>6</w:t>
            </w:r>
          </w:p>
        </w:tc>
        <w:tc>
          <w:tcPr>
            <w:tcW w:w="1800"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询问</w:t>
            </w:r>
          </w:p>
        </w:tc>
        <w:tc>
          <w:tcPr>
            <w:tcW w:w="6814" w:type="dxa"/>
            <w:vAlign w:val="center"/>
          </w:tcPr>
          <w:p>
            <w:pPr>
              <w:snapToGrid w:val="0"/>
              <w:ind w:firstLine="400" w:firstLineChars="200"/>
              <w:rPr>
                <w:rFonts w:ascii="宋体"/>
                <w:snapToGrid w:val="0"/>
                <w:color w:val="auto"/>
                <w:highlight w:val="none"/>
              </w:rPr>
            </w:pPr>
            <w:r>
              <w:rPr>
                <w:rFonts w:hint="eastAsia" w:ascii="宋体" w:hAnsi="宋体" w:cs="宋体"/>
                <w:snapToGrid w:val="0"/>
                <w:color w:val="auto"/>
                <w:highlight w:val="none"/>
              </w:rPr>
              <w:t>供应商对政府采购活动事项有疑问的，可以向采购机构提出询问，采购人或者招标代理机构应当在</w:t>
            </w:r>
            <w:r>
              <w:rPr>
                <w:rFonts w:ascii="宋体" w:hAnsi="宋体" w:cs="宋体"/>
                <w:snapToGrid w:val="0"/>
                <w:color w:val="auto"/>
                <w:highlight w:val="none"/>
              </w:rPr>
              <w:t>3</w:t>
            </w:r>
            <w:r>
              <w:rPr>
                <w:rFonts w:hint="eastAsia" w:ascii="宋体" w:hAnsi="宋体" w:cs="宋体"/>
                <w:snapToGrid w:val="0"/>
                <w:color w:val="auto"/>
                <w:highlight w:val="none"/>
              </w:rPr>
              <w:t>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highlight w:val="none"/>
              </w:rPr>
            </w:pPr>
            <w:r>
              <w:rPr>
                <w:rFonts w:ascii="宋体" w:hAnsi="宋体" w:cs="宋体"/>
                <w:snapToGrid w:val="0"/>
                <w:color w:val="auto"/>
                <w:highlight w:val="none"/>
              </w:rPr>
              <w:t>7</w:t>
            </w:r>
          </w:p>
        </w:tc>
        <w:tc>
          <w:tcPr>
            <w:tcW w:w="1800"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磋商文件的澄清与修改</w:t>
            </w:r>
          </w:p>
        </w:tc>
        <w:tc>
          <w:tcPr>
            <w:tcW w:w="6814" w:type="dxa"/>
            <w:vAlign w:val="center"/>
          </w:tcPr>
          <w:p>
            <w:pPr>
              <w:snapToGrid w:val="0"/>
              <w:ind w:firstLine="400" w:firstLineChars="200"/>
              <w:rPr>
                <w:rFonts w:ascii="宋体"/>
                <w:snapToGrid w:val="0"/>
                <w:color w:val="auto"/>
                <w:highlight w:val="none"/>
              </w:rPr>
            </w:pPr>
            <w:r>
              <w:rPr>
                <w:rFonts w:hint="eastAsia" w:ascii="宋体" w:hAnsi="宋体" w:cs="宋体"/>
                <w:snapToGrid w:val="0"/>
                <w:color w:val="auto"/>
                <w:highlight w:val="none"/>
              </w:rPr>
              <w:t>采购单位可以对已发出的磋商文件进行必要澄清或者修改，澄清或者修改的内容可能影响响应文件编制的，应当在提交首次响应文件截至时间至少</w:t>
            </w:r>
            <w:r>
              <w:rPr>
                <w:rFonts w:ascii="宋体" w:hAnsi="宋体" w:cs="宋体"/>
                <w:snapToGrid w:val="0"/>
                <w:color w:val="auto"/>
                <w:highlight w:val="none"/>
              </w:rPr>
              <w:t>5</w:t>
            </w:r>
            <w:r>
              <w:rPr>
                <w:rFonts w:hint="eastAsia" w:ascii="宋体" w:hAnsi="宋体" w:cs="宋体"/>
                <w:snapToGrid w:val="0"/>
                <w:color w:val="auto"/>
                <w:highlight w:val="none"/>
              </w:rPr>
              <w:t>日前，在磋商公告发布的媒体上发布更正公告。本项目磋商文件和补充（答疑、澄清）、修改文件等请自行登录浙江政府采购网或绍兴市上虞区公共资源交易中心网站查看。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highlight w:val="none"/>
              </w:rPr>
            </w:pPr>
            <w:r>
              <w:rPr>
                <w:rFonts w:ascii="宋体" w:hAnsi="宋体" w:cs="宋体"/>
                <w:snapToGrid w:val="0"/>
                <w:color w:val="auto"/>
                <w:highlight w:val="none"/>
              </w:rPr>
              <w:t>8</w:t>
            </w:r>
          </w:p>
        </w:tc>
        <w:tc>
          <w:tcPr>
            <w:tcW w:w="1800"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磋商响应文件组成</w:t>
            </w:r>
          </w:p>
        </w:tc>
        <w:tc>
          <w:tcPr>
            <w:tcW w:w="6814" w:type="dxa"/>
            <w:vAlign w:val="center"/>
          </w:tcPr>
          <w:p>
            <w:pPr>
              <w:snapToGrid w:val="0"/>
              <w:ind w:firstLine="400" w:firstLineChars="200"/>
              <w:rPr>
                <w:rFonts w:ascii="宋体"/>
                <w:snapToGrid w:val="0"/>
                <w:color w:val="auto"/>
                <w:highlight w:val="none"/>
              </w:rPr>
            </w:pPr>
            <w:r>
              <w:rPr>
                <w:rFonts w:hint="eastAsia" w:ascii="宋体" w:hAnsi="宋体" w:cs="宋体"/>
                <w:snapToGrid w:val="0"/>
                <w:color w:val="auto"/>
                <w:highlight w:val="none"/>
              </w:rPr>
              <w:t>供应商向采购人递交的响应文件由资格文件、商务技术文件、报价文件三部分组成。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7" w:hRule="atLeast"/>
          <w:jc w:val="center"/>
        </w:trPr>
        <w:tc>
          <w:tcPr>
            <w:tcW w:w="648" w:type="dxa"/>
            <w:vAlign w:val="center"/>
          </w:tcPr>
          <w:p>
            <w:pPr>
              <w:snapToGrid w:val="0"/>
              <w:jc w:val="center"/>
              <w:rPr>
                <w:rFonts w:ascii="宋体"/>
                <w:snapToGrid w:val="0"/>
                <w:color w:val="auto"/>
                <w:highlight w:val="none"/>
              </w:rPr>
            </w:pPr>
            <w:r>
              <w:rPr>
                <w:rFonts w:ascii="宋体" w:hAnsi="宋体" w:cs="宋体"/>
                <w:snapToGrid w:val="0"/>
                <w:color w:val="auto"/>
                <w:highlight w:val="none"/>
              </w:rPr>
              <w:t>9</w:t>
            </w:r>
          </w:p>
        </w:tc>
        <w:tc>
          <w:tcPr>
            <w:tcW w:w="1800"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评标办法</w:t>
            </w:r>
          </w:p>
        </w:tc>
        <w:tc>
          <w:tcPr>
            <w:tcW w:w="6814" w:type="dxa"/>
            <w:vAlign w:val="center"/>
          </w:tcPr>
          <w:p>
            <w:pPr>
              <w:snapToGrid w:val="0"/>
              <w:ind w:firstLine="400" w:firstLineChars="200"/>
              <w:rPr>
                <w:rFonts w:ascii="宋体"/>
                <w:snapToGrid w:val="0"/>
                <w:color w:val="auto"/>
                <w:highlight w:val="none"/>
              </w:rPr>
            </w:pPr>
            <w:r>
              <w:rPr>
                <w:rFonts w:hint="eastAsia" w:ascii="宋体" w:hAnsi="宋体" w:cs="宋体"/>
                <w:snapToGrid w:val="0"/>
                <w:color w:val="auto"/>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highlight w:val="none"/>
              </w:rPr>
            </w:pPr>
            <w:r>
              <w:rPr>
                <w:rFonts w:ascii="宋体" w:hAnsi="宋体" w:cs="宋体"/>
                <w:snapToGrid w:val="0"/>
                <w:color w:val="auto"/>
                <w:highlight w:val="none"/>
              </w:rPr>
              <w:t>10</w:t>
            </w:r>
          </w:p>
        </w:tc>
        <w:tc>
          <w:tcPr>
            <w:tcW w:w="1800"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磋商响应文件递交地址及截止时间</w:t>
            </w:r>
          </w:p>
        </w:tc>
        <w:tc>
          <w:tcPr>
            <w:tcW w:w="6814" w:type="dxa"/>
            <w:vAlign w:val="center"/>
          </w:tcPr>
          <w:p>
            <w:pPr>
              <w:snapToGrid w:val="0"/>
              <w:ind w:firstLine="400" w:firstLineChars="200"/>
              <w:rPr>
                <w:rFonts w:ascii="宋体"/>
                <w:color w:val="auto"/>
                <w:highlight w:val="none"/>
              </w:rPr>
            </w:pPr>
            <w:r>
              <w:rPr>
                <w:rFonts w:hint="eastAsia" w:ascii="宋体" w:hAnsi="宋体" w:cs="宋体"/>
                <w:snapToGrid w:val="0"/>
                <w:color w:val="auto"/>
                <w:highlight w:val="none"/>
              </w:rPr>
              <w:t>详见磋商公告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highlight w:val="none"/>
              </w:rPr>
            </w:pPr>
            <w:r>
              <w:rPr>
                <w:rFonts w:ascii="宋体" w:hAnsi="宋体" w:cs="宋体"/>
                <w:snapToGrid w:val="0"/>
                <w:color w:val="auto"/>
                <w:highlight w:val="none"/>
              </w:rPr>
              <w:t>11</w:t>
            </w:r>
          </w:p>
        </w:tc>
        <w:tc>
          <w:tcPr>
            <w:tcW w:w="1800"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开标时间、地点</w:t>
            </w:r>
          </w:p>
        </w:tc>
        <w:tc>
          <w:tcPr>
            <w:tcW w:w="6814" w:type="dxa"/>
            <w:vAlign w:val="center"/>
          </w:tcPr>
          <w:p>
            <w:pPr>
              <w:snapToGrid w:val="0"/>
              <w:ind w:firstLine="400" w:firstLineChars="200"/>
              <w:rPr>
                <w:rFonts w:ascii="宋体"/>
                <w:snapToGrid w:val="0"/>
                <w:color w:val="auto"/>
                <w:highlight w:val="none"/>
              </w:rPr>
            </w:pPr>
            <w:r>
              <w:rPr>
                <w:rFonts w:hint="eastAsia" w:ascii="宋体" w:hAnsi="宋体" w:cs="宋体"/>
                <w:snapToGrid w:val="0"/>
                <w:color w:val="auto"/>
                <w:highlight w:val="none"/>
              </w:rPr>
              <w:t>开标时间：</w:t>
            </w:r>
            <w:r>
              <w:rPr>
                <w:rFonts w:hint="eastAsia" w:ascii="宋体" w:hAnsi="宋体" w:cs="宋体"/>
                <w:color w:val="auto"/>
                <w:highlight w:val="none"/>
              </w:rPr>
              <w:t>详见磋商公告</w:t>
            </w:r>
          </w:p>
          <w:p>
            <w:pPr>
              <w:snapToGrid w:val="0"/>
              <w:ind w:firstLine="400" w:firstLineChars="200"/>
              <w:rPr>
                <w:rFonts w:ascii="宋体"/>
                <w:color w:val="auto"/>
                <w:highlight w:val="none"/>
              </w:rPr>
            </w:pPr>
            <w:r>
              <w:rPr>
                <w:rFonts w:hint="eastAsia" w:ascii="宋体" w:hAnsi="宋体" w:cs="宋体"/>
                <w:snapToGrid w:val="0"/>
                <w:color w:val="auto"/>
                <w:highlight w:val="none"/>
              </w:rPr>
              <w:t>开标地点：</w:t>
            </w:r>
            <w:r>
              <w:rPr>
                <w:rFonts w:hint="eastAsia" w:ascii="宋体" w:hAnsi="宋体" w:cs="宋体"/>
                <w:color w:val="auto"/>
                <w:highlight w:val="none"/>
              </w:rPr>
              <w:t>详见磋商公告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highlight w:val="none"/>
              </w:rPr>
            </w:pPr>
            <w:r>
              <w:rPr>
                <w:rFonts w:ascii="宋体" w:hAnsi="宋体" w:cs="宋体"/>
                <w:snapToGrid w:val="0"/>
                <w:color w:val="auto"/>
                <w:highlight w:val="none"/>
              </w:rPr>
              <w:t>12</w:t>
            </w:r>
          </w:p>
        </w:tc>
        <w:tc>
          <w:tcPr>
            <w:tcW w:w="1800"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磋商响应文件有效期</w:t>
            </w:r>
          </w:p>
        </w:tc>
        <w:tc>
          <w:tcPr>
            <w:tcW w:w="6814" w:type="dxa"/>
            <w:vAlign w:val="center"/>
          </w:tcPr>
          <w:p>
            <w:pPr>
              <w:snapToGrid w:val="0"/>
              <w:ind w:firstLine="400" w:firstLineChars="200"/>
              <w:rPr>
                <w:rFonts w:ascii="宋体"/>
                <w:snapToGrid w:val="0"/>
                <w:color w:val="auto"/>
                <w:highlight w:val="none"/>
              </w:rPr>
            </w:pPr>
            <w:r>
              <w:rPr>
                <w:rFonts w:hint="eastAsia" w:ascii="宋体" w:hAnsi="宋体" w:cs="宋体"/>
                <w:snapToGrid w:val="0"/>
                <w:color w:val="auto"/>
                <w:highlight w:val="none"/>
              </w:rPr>
              <w:t>响应文件有效期为从提交响应文件的截止之日起</w:t>
            </w:r>
            <w:r>
              <w:rPr>
                <w:rFonts w:ascii="宋体" w:hAnsi="宋体" w:cs="宋体"/>
                <w:snapToGrid w:val="0"/>
                <w:color w:val="auto"/>
                <w:highlight w:val="none"/>
              </w:rPr>
              <w:t>90</w:t>
            </w:r>
            <w:r>
              <w:rPr>
                <w:rFonts w:hint="eastAsia" w:ascii="宋体" w:hAnsi="宋体" w:cs="宋体"/>
                <w:snapToGrid w:val="0"/>
                <w:color w:val="auto"/>
                <w:highlight w:val="none"/>
              </w:rPr>
              <w:t>天。供应商的响应文件中承诺的响应文件有效期少于磋商文件中载明的响应文件有效期的，磋商无效。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highlight w:val="none"/>
              </w:rPr>
            </w:pPr>
            <w:r>
              <w:rPr>
                <w:rFonts w:ascii="宋体" w:hAnsi="宋体" w:cs="宋体"/>
                <w:snapToGrid w:val="0"/>
                <w:color w:val="auto"/>
                <w:highlight w:val="none"/>
              </w:rPr>
              <w:t>13</w:t>
            </w:r>
          </w:p>
        </w:tc>
        <w:tc>
          <w:tcPr>
            <w:tcW w:w="1800"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履约保证金</w:t>
            </w:r>
          </w:p>
        </w:tc>
        <w:tc>
          <w:tcPr>
            <w:tcW w:w="6814" w:type="dxa"/>
            <w:vAlign w:val="center"/>
          </w:tcPr>
          <w:p>
            <w:pPr>
              <w:pStyle w:val="13"/>
              <w:snapToGrid w:val="0"/>
              <w:ind w:firstLine="400" w:firstLineChars="200"/>
              <w:rPr>
                <w:rFonts w:hAnsi="宋体" w:cs="Times New Roman"/>
                <w:color w:val="auto"/>
                <w:highlight w:val="none"/>
              </w:rPr>
            </w:pPr>
            <w:r>
              <w:rPr>
                <w:rFonts w:hint="eastAsia" w:hAnsi="宋体"/>
                <w:snapToGrid w:val="0"/>
                <w:color w:val="auto"/>
                <w:highlight w:val="none"/>
              </w:rPr>
              <w:t>本项目不作要求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highlight w:val="none"/>
              </w:rPr>
            </w:pPr>
            <w:r>
              <w:rPr>
                <w:rFonts w:ascii="宋体" w:hAnsi="宋体" w:cs="宋体"/>
                <w:snapToGrid w:val="0"/>
                <w:color w:val="auto"/>
                <w:highlight w:val="none"/>
              </w:rPr>
              <w:t>14</w:t>
            </w:r>
          </w:p>
        </w:tc>
        <w:tc>
          <w:tcPr>
            <w:tcW w:w="1800"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磋商公告及成交结果公告发布媒体</w:t>
            </w:r>
          </w:p>
        </w:tc>
        <w:tc>
          <w:tcPr>
            <w:tcW w:w="6814" w:type="dxa"/>
            <w:vAlign w:val="center"/>
          </w:tcPr>
          <w:p>
            <w:pPr>
              <w:pStyle w:val="13"/>
              <w:snapToGrid w:val="0"/>
              <w:ind w:firstLine="400" w:firstLineChars="200"/>
              <w:rPr>
                <w:rFonts w:hAnsi="宋体" w:cs="Times New Roman"/>
                <w:color w:val="auto"/>
                <w:highlight w:val="none"/>
              </w:rPr>
            </w:pPr>
            <w:r>
              <w:rPr>
                <w:rFonts w:hint="eastAsia" w:hAnsi="宋体"/>
                <w:color w:val="auto"/>
                <w:highlight w:val="none"/>
              </w:rPr>
              <w:t>浙江省政府采购网、</w:t>
            </w:r>
            <w:r>
              <w:rPr>
                <w:rFonts w:hAnsi="宋体"/>
                <w:color w:val="auto"/>
                <w:highlight w:val="none"/>
              </w:rPr>
              <w:t xml:space="preserve"> </w:t>
            </w:r>
            <w:r>
              <w:rPr>
                <w:rFonts w:hint="eastAsia" w:hAnsi="宋体"/>
                <w:color w:val="auto"/>
                <w:highlight w:val="none"/>
              </w:rPr>
              <w:t>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color w:val="auto"/>
                <w:highlight w:val="none"/>
              </w:rPr>
            </w:pPr>
            <w:r>
              <w:rPr>
                <w:rFonts w:ascii="宋体" w:hAnsi="宋体" w:cs="宋体"/>
                <w:color w:val="auto"/>
                <w:highlight w:val="none"/>
              </w:rPr>
              <w:t>15</w:t>
            </w:r>
          </w:p>
        </w:tc>
        <w:tc>
          <w:tcPr>
            <w:tcW w:w="1800"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质疑</w:t>
            </w:r>
          </w:p>
        </w:tc>
        <w:tc>
          <w:tcPr>
            <w:tcW w:w="6814" w:type="dxa"/>
            <w:vAlign w:val="center"/>
          </w:tcPr>
          <w:p>
            <w:pPr>
              <w:ind w:firstLine="400" w:firstLineChars="200"/>
              <w:jc w:val="left"/>
              <w:rPr>
                <w:rFonts w:ascii="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pPr>
              <w:ind w:firstLine="400" w:firstLineChars="200"/>
              <w:jc w:val="left"/>
              <w:rPr>
                <w:rFonts w:ascii="宋体"/>
                <w:color w:val="auto"/>
                <w:highlight w:val="none"/>
              </w:rPr>
            </w:pPr>
            <w:r>
              <w:rPr>
                <w:rFonts w:hint="eastAsia" w:ascii="宋体" w:hAnsi="宋体" w:cs="宋体"/>
                <w:color w:val="auto"/>
                <w:highlight w:val="none"/>
              </w:rPr>
              <w:t>供应商认为磋商文件使自己的权益受到损害的，可以在磋商文件公告期限届满之日起</w:t>
            </w:r>
            <w:r>
              <w:rPr>
                <w:rFonts w:ascii="宋体" w:hAnsi="宋体" w:cs="宋体"/>
                <w:color w:val="auto"/>
                <w:highlight w:val="none"/>
              </w:rPr>
              <w:t>7</w:t>
            </w:r>
            <w:r>
              <w:rPr>
                <w:rFonts w:hint="eastAsia" w:ascii="宋体" w:hAnsi="宋体" w:cs="宋体"/>
                <w:color w:val="auto"/>
                <w:highlight w:val="none"/>
              </w:rPr>
              <w:t>个工作日内，以书面形式向采购人和采购代理机构提出质疑。供应商在法定质疑期内应一次性提出针对同一采购程序环节的质疑。否则质疑将不予受理。</w:t>
            </w:r>
          </w:p>
          <w:p>
            <w:pPr>
              <w:ind w:firstLine="400" w:firstLineChars="200"/>
              <w:jc w:val="left"/>
              <w:rPr>
                <w:rFonts w:ascii="宋体"/>
                <w:color w:val="auto"/>
                <w:highlight w:val="none"/>
              </w:rPr>
            </w:pPr>
            <w:r>
              <w:rPr>
                <w:rFonts w:hint="eastAsia" w:ascii="宋体" w:hAnsi="宋体" w:cs="宋体"/>
                <w:color w:val="auto"/>
                <w:highlight w:val="none"/>
              </w:rPr>
              <w:t>供应商如认为采购过程使自身的合法权益受到损害的，应于各采购程序环节结束之日起七个工作日内以书面形式向采购机构提出质疑；</w:t>
            </w:r>
          </w:p>
          <w:p>
            <w:pPr>
              <w:snapToGrid w:val="0"/>
              <w:ind w:firstLine="400" w:firstLineChars="200"/>
              <w:jc w:val="left"/>
              <w:rPr>
                <w:rFonts w:ascii="宋体"/>
                <w:snapToGrid w:val="0"/>
                <w:color w:val="auto"/>
                <w:highlight w:val="none"/>
              </w:rPr>
            </w:pPr>
            <w:r>
              <w:rPr>
                <w:rFonts w:hint="eastAsia" w:ascii="宋体" w:hAnsi="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highlight w:val="none"/>
              </w:rPr>
            </w:pPr>
            <w:r>
              <w:rPr>
                <w:rFonts w:ascii="宋体" w:hAnsi="宋体" w:cs="宋体"/>
                <w:snapToGrid w:val="0"/>
                <w:color w:val="auto"/>
                <w:highlight w:val="none"/>
              </w:rPr>
              <w:t>16</w:t>
            </w:r>
          </w:p>
        </w:tc>
        <w:tc>
          <w:tcPr>
            <w:tcW w:w="1800"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投诉</w:t>
            </w:r>
          </w:p>
        </w:tc>
        <w:tc>
          <w:tcPr>
            <w:tcW w:w="6814" w:type="dxa"/>
            <w:vAlign w:val="center"/>
          </w:tcPr>
          <w:p>
            <w:pPr>
              <w:snapToGrid w:val="0"/>
              <w:ind w:firstLine="400" w:firstLineChars="200"/>
              <w:jc w:val="left"/>
              <w:rPr>
                <w:rFonts w:ascii="宋体"/>
                <w:snapToGrid w:val="0"/>
                <w:color w:val="auto"/>
                <w:highlight w:val="none"/>
              </w:rPr>
            </w:pPr>
            <w:r>
              <w:rPr>
                <w:rFonts w:hint="eastAsia" w:ascii="宋体" w:hAnsi="宋体" w:cs="宋体"/>
                <w:snapToGrid w:val="0"/>
                <w:color w:val="auto"/>
                <w:highlight w:val="none"/>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highlight w:val="none"/>
              </w:rPr>
            </w:pPr>
            <w:r>
              <w:rPr>
                <w:rFonts w:ascii="宋体" w:hAnsi="宋体" w:cs="宋体"/>
                <w:snapToGrid w:val="0"/>
                <w:color w:val="auto"/>
                <w:highlight w:val="none"/>
              </w:rPr>
              <w:t>17</w:t>
            </w:r>
          </w:p>
        </w:tc>
        <w:tc>
          <w:tcPr>
            <w:tcW w:w="1800"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特别说明</w:t>
            </w:r>
          </w:p>
        </w:tc>
        <w:tc>
          <w:tcPr>
            <w:tcW w:w="6814" w:type="dxa"/>
            <w:vAlign w:val="center"/>
          </w:tcPr>
          <w:p>
            <w:pPr>
              <w:pStyle w:val="13"/>
              <w:snapToGrid w:val="0"/>
              <w:ind w:firstLine="400" w:firstLineChars="200"/>
              <w:rPr>
                <w:rFonts w:hAnsi="宋体" w:cs="Times New Roman"/>
                <w:color w:val="auto"/>
                <w:highlight w:val="none"/>
              </w:rPr>
            </w:pPr>
            <w:r>
              <w:rPr>
                <w:rFonts w:hint="eastAsia" w:hAnsi="宋体"/>
                <w:color w:val="auto"/>
                <w:highlight w:val="none"/>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pPr>
              <w:pStyle w:val="13"/>
              <w:snapToGrid w:val="0"/>
              <w:ind w:firstLine="400" w:firstLineChars="200"/>
              <w:rPr>
                <w:rFonts w:hAnsi="宋体" w:cs="Times New Roman"/>
                <w:color w:val="auto"/>
                <w:highlight w:val="none"/>
              </w:rPr>
            </w:pPr>
            <w:r>
              <w:rPr>
                <w:rFonts w:hint="eastAsia" w:hAnsi="宋体"/>
                <w:color w:val="auto"/>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3"/>
              <w:snapToGrid w:val="0"/>
              <w:ind w:firstLine="400" w:firstLineChars="200"/>
              <w:rPr>
                <w:rFonts w:hAnsi="宋体" w:cs="Times New Roman"/>
                <w:color w:val="auto"/>
                <w:highlight w:val="none"/>
              </w:rPr>
            </w:pPr>
            <w:r>
              <w:rPr>
                <w:rFonts w:hint="eastAsia" w:hAnsi="宋体"/>
                <w:color w:val="auto"/>
                <w:highlight w:val="none"/>
              </w:rPr>
              <w:t>质疑、投诉人未按前列进行质疑、投诉（申诉），均属于扰乱政府采购市场不良行为。</w:t>
            </w:r>
          </w:p>
          <w:p>
            <w:pPr>
              <w:pStyle w:val="13"/>
              <w:snapToGrid w:val="0"/>
              <w:ind w:firstLine="400" w:firstLineChars="200"/>
              <w:rPr>
                <w:rFonts w:hAnsi="宋体" w:cs="Times New Roman"/>
                <w:b/>
                <w:bCs/>
                <w:color w:val="auto"/>
                <w:highlight w:val="none"/>
              </w:rPr>
            </w:pPr>
            <w:r>
              <w:rPr>
                <w:rFonts w:hint="eastAsia" w:hAnsi="宋体"/>
                <w:color w:val="auto"/>
                <w:highlight w:val="none"/>
              </w:rPr>
              <w:t>磋商文件中凡标注“★”的条款均为实质性要求，不响应的响应文件将作无效标处理。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29" w:hRule="atLeast"/>
          <w:jc w:val="center"/>
        </w:trPr>
        <w:tc>
          <w:tcPr>
            <w:tcW w:w="648" w:type="dxa"/>
            <w:vAlign w:val="center"/>
          </w:tcPr>
          <w:p>
            <w:pPr>
              <w:snapToGrid w:val="0"/>
              <w:jc w:val="center"/>
              <w:rPr>
                <w:rFonts w:ascii="宋体"/>
                <w:snapToGrid w:val="0"/>
                <w:color w:val="auto"/>
                <w:highlight w:val="none"/>
              </w:rPr>
            </w:pPr>
            <w:r>
              <w:rPr>
                <w:rFonts w:ascii="宋体" w:hAnsi="宋体" w:cs="宋体"/>
                <w:snapToGrid w:val="0"/>
                <w:color w:val="auto"/>
                <w:highlight w:val="none"/>
              </w:rPr>
              <w:t>1</w:t>
            </w:r>
            <w:r>
              <w:rPr>
                <w:rFonts w:hint="eastAsia" w:ascii="宋体" w:hAnsi="宋体" w:cs="宋体"/>
                <w:snapToGrid w:val="0"/>
                <w:color w:val="auto"/>
                <w:highlight w:val="none"/>
              </w:rPr>
              <w:t>8</w:t>
            </w:r>
          </w:p>
        </w:tc>
        <w:tc>
          <w:tcPr>
            <w:tcW w:w="1800" w:type="dxa"/>
            <w:vAlign w:val="center"/>
          </w:tcPr>
          <w:p>
            <w:pPr>
              <w:snapToGrid w:val="0"/>
              <w:jc w:val="center"/>
              <w:rPr>
                <w:rFonts w:ascii="宋体"/>
                <w:color w:val="auto"/>
                <w:highlight w:val="none"/>
              </w:rPr>
            </w:pPr>
            <w:r>
              <w:rPr>
                <w:rFonts w:hint="eastAsia" w:ascii="宋体" w:hAnsi="宋体" w:cs="宋体"/>
                <w:color w:val="auto"/>
                <w:highlight w:val="none"/>
              </w:rPr>
              <w:t>支</w:t>
            </w:r>
          </w:p>
          <w:p>
            <w:pPr>
              <w:snapToGrid w:val="0"/>
              <w:jc w:val="center"/>
              <w:rPr>
                <w:rFonts w:ascii="宋体"/>
                <w:color w:val="auto"/>
                <w:highlight w:val="none"/>
              </w:rPr>
            </w:pPr>
            <w:r>
              <w:rPr>
                <w:rFonts w:hint="eastAsia" w:ascii="宋体" w:hAnsi="宋体" w:cs="宋体"/>
                <w:color w:val="auto"/>
                <w:highlight w:val="none"/>
              </w:rPr>
              <w:t>持</w:t>
            </w:r>
          </w:p>
          <w:p>
            <w:pPr>
              <w:snapToGrid w:val="0"/>
              <w:jc w:val="center"/>
              <w:rPr>
                <w:rFonts w:ascii="宋体"/>
                <w:color w:val="auto"/>
                <w:highlight w:val="none"/>
              </w:rPr>
            </w:pPr>
            <w:r>
              <w:rPr>
                <w:rFonts w:hint="eastAsia" w:ascii="宋体" w:hAnsi="宋体" w:cs="宋体"/>
                <w:color w:val="auto"/>
                <w:highlight w:val="none"/>
              </w:rPr>
              <w:t>中</w:t>
            </w:r>
          </w:p>
          <w:p>
            <w:pPr>
              <w:snapToGrid w:val="0"/>
              <w:jc w:val="center"/>
              <w:rPr>
                <w:rFonts w:ascii="宋体"/>
                <w:color w:val="auto"/>
                <w:highlight w:val="none"/>
              </w:rPr>
            </w:pPr>
            <w:r>
              <w:rPr>
                <w:rFonts w:hint="eastAsia" w:ascii="宋体" w:hAnsi="宋体" w:cs="宋体"/>
                <w:color w:val="auto"/>
                <w:highlight w:val="none"/>
              </w:rPr>
              <w:t>小</w:t>
            </w:r>
          </w:p>
          <w:p>
            <w:pPr>
              <w:snapToGrid w:val="0"/>
              <w:jc w:val="center"/>
              <w:rPr>
                <w:rFonts w:ascii="宋体"/>
                <w:color w:val="auto"/>
                <w:highlight w:val="none"/>
              </w:rPr>
            </w:pPr>
            <w:r>
              <w:rPr>
                <w:rFonts w:hint="eastAsia" w:ascii="宋体" w:hAnsi="宋体" w:cs="宋体"/>
                <w:color w:val="auto"/>
                <w:highlight w:val="none"/>
              </w:rPr>
              <w:t>企</w:t>
            </w:r>
          </w:p>
          <w:p>
            <w:pPr>
              <w:snapToGrid w:val="0"/>
              <w:jc w:val="center"/>
              <w:rPr>
                <w:rFonts w:ascii="宋体"/>
                <w:color w:val="auto"/>
                <w:highlight w:val="none"/>
              </w:rPr>
            </w:pPr>
            <w:r>
              <w:rPr>
                <w:rFonts w:hint="eastAsia" w:ascii="宋体" w:hAnsi="宋体" w:cs="宋体"/>
                <w:color w:val="auto"/>
                <w:highlight w:val="none"/>
              </w:rPr>
              <w:t>业</w:t>
            </w:r>
          </w:p>
        </w:tc>
        <w:tc>
          <w:tcPr>
            <w:tcW w:w="6814" w:type="dxa"/>
            <w:vAlign w:val="center"/>
          </w:tcPr>
          <w:p>
            <w:pPr>
              <w:ind w:firstLine="40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pPr>
              <w:ind w:firstLine="40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pPr>
              <w:ind w:firstLine="400" w:firstLineChars="200"/>
              <w:rPr>
                <w:rFonts w:ascii="宋体" w:hAnsi="宋体" w:cs="宋体"/>
                <w:color w:val="auto"/>
                <w:highlight w:val="none"/>
              </w:rPr>
            </w:pPr>
            <w:r>
              <w:rPr>
                <w:rFonts w:hint="eastAsia" w:ascii="宋体" w:hAnsi="宋体" w:cs="宋体"/>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pPr>
              <w:ind w:firstLine="400" w:firstLineChars="200"/>
              <w:rPr>
                <w:rFonts w:ascii="宋体" w:hAnsi="宋体" w:cs="宋体"/>
                <w:color w:val="auto"/>
                <w:highlight w:val="none"/>
              </w:rPr>
            </w:pPr>
            <w:r>
              <w:rPr>
                <w:rFonts w:hint="eastAsia" w:ascii="宋体" w:hAnsi="宋体" w:cs="宋体"/>
                <w:color w:val="auto"/>
                <w:highlight w:val="none"/>
              </w:rPr>
              <w:t>在服务采购项目中，服务由小微企业承接，即提供服务的人员为小微企业依照《中华人民共和国劳动合同法》订立劳动合同的从业人员。</w:t>
            </w:r>
          </w:p>
          <w:p>
            <w:pPr>
              <w:ind w:firstLine="400" w:firstLineChars="20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pPr>
              <w:ind w:firstLine="40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00" w:firstLineChars="200"/>
              <w:rPr>
                <w:rFonts w:ascii="宋体" w:hAnsi="宋体" w:cs="宋体"/>
                <w:color w:val="auto"/>
                <w:highlight w:val="none"/>
              </w:rPr>
            </w:pPr>
            <w:r>
              <w:rPr>
                <w:rFonts w:hint="eastAsia" w:ascii="宋体" w:hAnsi="宋体" w:cs="宋体"/>
                <w:color w:val="auto"/>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-20%给予扣除，用扣除后的价格参加评审；对于联合协议或者分包意向协议约定小微企业的合同份额占到合同总金额30%以上的，采购单位、采购代理机构应结合项目实际，对联合体或者大中型企业的报价按4%—6%给予扣除，用扣除后的价格参加评审。</w:t>
            </w:r>
          </w:p>
          <w:p>
            <w:pPr>
              <w:ind w:firstLine="400" w:firstLineChars="200"/>
              <w:rPr>
                <w:rFonts w:ascii="宋体"/>
                <w:color w:val="auto"/>
                <w:highlight w:val="none"/>
              </w:rPr>
            </w:pPr>
            <w:r>
              <w:rPr>
                <w:rFonts w:hint="eastAsia" w:ascii="宋体" w:hAnsi="宋体" w:cs="宋体"/>
                <w:color w:val="auto"/>
                <w:highlight w:val="none"/>
              </w:rPr>
              <w:t>组成联合体或者接受分包的小微企业与联合体内其他企业、分包企业之间存在直接控股、管理关系的，不享受价格扣除优惠政策</w:t>
            </w:r>
            <w:r>
              <w:rPr>
                <w:rFonts w:hint="eastAsia" w:ascii="宋体" w:hAnsi="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7" w:hRule="atLeast"/>
          <w:jc w:val="center"/>
        </w:trPr>
        <w:tc>
          <w:tcPr>
            <w:tcW w:w="648"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19</w:t>
            </w:r>
          </w:p>
        </w:tc>
        <w:tc>
          <w:tcPr>
            <w:tcW w:w="1800" w:type="dxa"/>
            <w:vAlign w:val="center"/>
          </w:tcPr>
          <w:p>
            <w:pPr>
              <w:snapToGrid w:val="0"/>
              <w:jc w:val="center"/>
              <w:rPr>
                <w:rFonts w:ascii="宋体" w:hAnsi="宋体" w:cs="宋体"/>
                <w:color w:val="auto"/>
                <w:highlight w:val="none"/>
              </w:rPr>
            </w:pPr>
            <w:r>
              <w:rPr>
                <w:rFonts w:hint="eastAsia" w:ascii="宋体" w:hAnsi="宋体" w:cs="宋体"/>
                <w:color w:val="auto"/>
                <w:highlight w:val="none"/>
              </w:rPr>
              <w:t>招标代理服务费</w:t>
            </w:r>
          </w:p>
        </w:tc>
        <w:tc>
          <w:tcPr>
            <w:tcW w:w="6814" w:type="dxa"/>
            <w:vAlign w:val="center"/>
          </w:tcPr>
          <w:p>
            <w:pPr>
              <w:autoSpaceDN w:val="0"/>
              <w:spacing w:line="340" w:lineRule="exact"/>
              <w:rPr>
                <w:rFonts w:ascii="宋体" w:hAnsi="宋体" w:cs="宋体"/>
                <w:snapToGrid w:val="0"/>
                <w:color w:val="auto"/>
                <w:kern w:val="0"/>
                <w:highlight w:val="none"/>
              </w:rPr>
            </w:pPr>
            <w:r>
              <w:rPr>
                <w:rFonts w:hint="eastAsia" w:ascii="宋体" w:hAnsi="宋体" w:cs="宋体"/>
                <w:snapToGrid w:val="0"/>
                <w:color w:val="auto"/>
                <w:kern w:val="0"/>
                <w:highlight w:val="none"/>
              </w:rPr>
              <w:t>招标代理服务费由成交供应商支付，按下列服务招标计算方式计取。</w:t>
            </w:r>
          </w:p>
          <w:tbl>
            <w:tblPr>
              <w:tblStyle w:val="26"/>
              <w:tblW w:w="6565"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346"/>
              <w:gridCol w:w="1084"/>
              <w:gridCol w:w="1084"/>
              <w:gridCol w:w="10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tblCellSpacing w:w="0" w:type="dxa"/>
                <w:jc w:val="center"/>
              </w:trPr>
              <w:tc>
                <w:tcPr>
                  <w:tcW w:w="3346"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服务类型 中标金额（万元）</w:t>
                  </w:r>
                </w:p>
              </w:tc>
              <w:tc>
                <w:tcPr>
                  <w:tcW w:w="1084" w:type="dxa"/>
                  <w:tcBorders>
                    <w:top w:val="outset" w:color="auto" w:sz="6" w:space="0"/>
                    <w:left w:val="outset" w:color="auto" w:sz="6" w:space="0"/>
                    <w:bottom w:val="outset" w:color="auto" w:sz="6" w:space="0"/>
                    <w:right w:val="outset" w:color="auto" w:sz="6" w:space="0"/>
                  </w:tcBorders>
                  <w:noWrap/>
                  <w:vAlign w:val="center"/>
                </w:tcPr>
                <w:p>
                  <w:pPr>
                    <w:widowControl/>
                    <w:spacing w:before="100" w:beforeAutospacing="1" w:after="100" w:afterAutospacing="1"/>
                    <w:jc w:val="center"/>
                    <w:rPr>
                      <w:rFonts w:ascii="宋体" w:hAnsi="宋体" w:cs="宋体"/>
                      <w:color w:val="auto"/>
                      <w:highlight w:val="none"/>
                    </w:rPr>
                  </w:pPr>
                  <w:r>
                    <w:rPr>
                      <w:rFonts w:hint="eastAsia" w:ascii="宋体" w:hAnsi="宋体" w:cs="宋体"/>
                      <w:color w:val="auto"/>
                      <w:highlight w:val="none"/>
                    </w:rPr>
                    <w:t>货物招标</w:t>
                  </w:r>
                </w:p>
              </w:tc>
              <w:tc>
                <w:tcPr>
                  <w:tcW w:w="108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服务招标</w:t>
                  </w:r>
                </w:p>
              </w:tc>
              <w:tc>
                <w:tcPr>
                  <w:tcW w:w="1051"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10" w:hRule="atLeast"/>
                <w:tblCellSpacing w:w="0" w:type="dxa"/>
                <w:jc w:val="center"/>
              </w:trPr>
              <w:tc>
                <w:tcPr>
                  <w:tcW w:w="3346"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100以下</w:t>
                  </w:r>
                </w:p>
              </w:tc>
              <w:tc>
                <w:tcPr>
                  <w:tcW w:w="108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1.5％</w:t>
                  </w:r>
                </w:p>
              </w:tc>
              <w:tc>
                <w:tcPr>
                  <w:tcW w:w="108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1.5％</w:t>
                  </w:r>
                </w:p>
              </w:tc>
              <w:tc>
                <w:tcPr>
                  <w:tcW w:w="1051"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10" w:hRule="atLeast"/>
                <w:tblCellSpacing w:w="0" w:type="dxa"/>
                <w:jc w:val="center"/>
              </w:trPr>
              <w:tc>
                <w:tcPr>
                  <w:tcW w:w="3346"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100—500</w:t>
                  </w:r>
                </w:p>
              </w:tc>
              <w:tc>
                <w:tcPr>
                  <w:tcW w:w="108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1.1％</w:t>
                  </w:r>
                </w:p>
              </w:tc>
              <w:tc>
                <w:tcPr>
                  <w:tcW w:w="108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0.8％</w:t>
                  </w:r>
                </w:p>
              </w:tc>
              <w:tc>
                <w:tcPr>
                  <w:tcW w:w="1051"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10" w:hRule="atLeast"/>
                <w:tblCellSpacing w:w="0" w:type="dxa"/>
                <w:jc w:val="center"/>
              </w:trPr>
              <w:tc>
                <w:tcPr>
                  <w:tcW w:w="3346"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500—1000</w:t>
                  </w:r>
                </w:p>
              </w:tc>
              <w:tc>
                <w:tcPr>
                  <w:tcW w:w="108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0.8％</w:t>
                  </w:r>
                </w:p>
              </w:tc>
              <w:tc>
                <w:tcPr>
                  <w:tcW w:w="108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0.45％</w:t>
                  </w:r>
                </w:p>
              </w:tc>
              <w:tc>
                <w:tcPr>
                  <w:tcW w:w="1051"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10" w:hRule="atLeast"/>
                <w:tblCellSpacing w:w="0" w:type="dxa"/>
                <w:jc w:val="center"/>
              </w:trPr>
              <w:tc>
                <w:tcPr>
                  <w:tcW w:w="3346"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1000—5000</w:t>
                  </w:r>
                </w:p>
              </w:tc>
              <w:tc>
                <w:tcPr>
                  <w:tcW w:w="108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0.5％</w:t>
                  </w:r>
                </w:p>
              </w:tc>
              <w:tc>
                <w:tcPr>
                  <w:tcW w:w="108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0.25％</w:t>
                  </w:r>
                </w:p>
              </w:tc>
              <w:tc>
                <w:tcPr>
                  <w:tcW w:w="1051"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10" w:hRule="atLeast"/>
                <w:tblCellSpacing w:w="0" w:type="dxa"/>
                <w:jc w:val="center"/>
              </w:trPr>
              <w:tc>
                <w:tcPr>
                  <w:tcW w:w="3346"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5000—10000</w:t>
                  </w:r>
                </w:p>
              </w:tc>
              <w:tc>
                <w:tcPr>
                  <w:tcW w:w="108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0.25％</w:t>
                  </w:r>
                </w:p>
              </w:tc>
              <w:tc>
                <w:tcPr>
                  <w:tcW w:w="108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0.1％</w:t>
                  </w:r>
                </w:p>
              </w:tc>
              <w:tc>
                <w:tcPr>
                  <w:tcW w:w="1051"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10" w:hRule="atLeast"/>
                <w:tblCellSpacing w:w="0" w:type="dxa"/>
                <w:jc w:val="center"/>
              </w:trPr>
              <w:tc>
                <w:tcPr>
                  <w:tcW w:w="3346"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10000——100000</w:t>
                  </w:r>
                </w:p>
              </w:tc>
              <w:tc>
                <w:tcPr>
                  <w:tcW w:w="108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0.05％</w:t>
                  </w:r>
                </w:p>
              </w:tc>
              <w:tc>
                <w:tcPr>
                  <w:tcW w:w="108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0.05％</w:t>
                  </w:r>
                </w:p>
              </w:tc>
              <w:tc>
                <w:tcPr>
                  <w:tcW w:w="1051"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10" w:hRule="atLeast"/>
                <w:tblCellSpacing w:w="0" w:type="dxa"/>
                <w:jc w:val="center"/>
              </w:trPr>
              <w:tc>
                <w:tcPr>
                  <w:tcW w:w="3346"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1000000以上</w:t>
                  </w:r>
                </w:p>
              </w:tc>
              <w:tc>
                <w:tcPr>
                  <w:tcW w:w="108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0.01％</w:t>
                  </w:r>
                </w:p>
              </w:tc>
              <w:tc>
                <w:tcPr>
                  <w:tcW w:w="108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0.01％</w:t>
                  </w:r>
                </w:p>
              </w:tc>
              <w:tc>
                <w:tcPr>
                  <w:tcW w:w="1051"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0.01％</w:t>
                  </w:r>
                </w:p>
              </w:tc>
            </w:tr>
          </w:tbl>
          <w:p>
            <w:pPr>
              <w:spacing w:line="340" w:lineRule="exact"/>
              <w:ind w:firstLine="400" w:firstLineChars="200"/>
              <w:rPr>
                <w:rFonts w:hint="default" w:ascii="宋体" w:hAnsi="宋体" w:eastAsia="宋体" w:cs="宋体"/>
                <w:snapToGrid w:val="0"/>
                <w:color w:val="auto"/>
                <w:highlight w:val="none"/>
                <w:lang w:val="en-US" w:eastAsia="zh-CN"/>
              </w:rPr>
            </w:pPr>
            <w:r>
              <w:rPr>
                <w:rFonts w:hint="eastAsia" w:ascii="宋体" w:hAnsi="宋体" w:cs="宋体"/>
                <w:snapToGrid w:val="0"/>
                <w:color w:val="auto"/>
                <w:kern w:val="0"/>
                <w:highlight w:val="none"/>
              </w:rPr>
              <w:t>结算方式及时间为：在领取中标通知书前由成交供应商一次性向采购代理机构付清</w:t>
            </w:r>
            <w:r>
              <w:rPr>
                <w:rFonts w:hint="eastAsia" w:ascii="宋体" w:hAnsi="宋体" w:cs="宋体"/>
                <w:snapToGrid w:val="0"/>
                <w:color w:val="auto"/>
                <w:kern w:val="0"/>
                <w:highlight w:val="none"/>
                <w:lang w:eastAsia="zh-CN"/>
              </w:rPr>
              <w:t>；</w:t>
            </w:r>
            <w:r>
              <w:rPr>
                <w:rFonts w:hint="eastAsia" w:ascii="宋体" w:hAnsi="宋体" w:cs="宋体"/>
                <w:snapToGrid w:val="0"/>
                <w:color w:val="auto"/>
                <w:kern w:val="0"/>
                <w:highlight w:val="none"/>
                <w:lang w:val="en-US" w:eastAsia="zh-CN"/>
              </w:rPr>
              <w:t>代理费不足4600元按4600元计取；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7" w:hRule="atLeast"/>
          <w:jc w:val="center"/>
        </w:trPr>
        <w:tc>
          <w:tcPr>
            <w:tcW w:w="648" w:type="dxa"/>
            <w:vAlign w:val="center"/>
          </w:tcPr>
          <w:p>
            <w:pPr>
              <w:snapToGrid w:val="0"/>
              <w:jc w:val="center"/>
              <w:rPr>
                <w:rFonts w:ascii="宋体" w:hAnsi="宋体" w:cs="宋体"/>
                <w:snapToGrid w:val="0"/>
                <w:color w:val="auto"/>
                <w:highlight w:val="none"/>
              </w:rPr>
            </w:pPr>
            <w:r>
              <w:rPr>
                <w:rFonts w:hint="eastAsia" w:ascii="宋体" w:hAnsi="宋体" w:cs="宋体"/>
                <w:snapToGrid w:val="0"/>
                <w:color w:val="auto"/>
                <w:highlight w:val="none"/>
              </w:rPr>
              <w:t>20</w:t>
            </w:r>
          </w:p>
        </w:tc>
        <w:tc>
          <w:tcPr>
            <w:tcW w:w="1800" w:type="dxa"/>
            <w:vAlign w:val="center"/>
          </w:tcPr>
          <w:p>
            <w:pPr>
              <w:snapToGrid w:val="0"/>
              <w:jc w:val="center"/>
              <w:rPr>
                <w:rFonts w:ascii="宋体"/>
                <w:color w:val="auto"/>
                <w:highlight w:val="none"/>
              </w:rPr>
            </w:pPr>
            <w:r>
              <w:rPr>
                <w:rFonts w:hint="eastAsia" w:ascii="宋体" w:hAnsi="宋体" w:cs="宋体"/>
                <w:color w:val="auto"/>
                <w:highlight w:val="none"/>
              </w:rPr>
              <w:t>是否允许分包</w:t>
            </w:r>
          </w:p>
        </w:tc>
        <w:tc>
          <w:tcPr>
            <w:tcW w:w="6814" w:type="dxa"/>
            <w:vAlign w:val="center"/>
          </w:tcPr>
          <w:p>
            <w:pPr>
              <w:ind w:firstLine="40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648"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21</w:t>
            </w:r>
          </w:p>
        </w:tc>
        <w:tc>
          <w:tcPr>
            <w:tcW w:w="1800" w:type="dxa"/>
            <w:tcBorders>
              <w:top w:val="single" w:color="auto" w:sz="4" w:space="0"/>
            </w:tcBorders>
            <w:vAlign w:val="center"/>
          </w:tcPr>
          <w:p>
            <w:pPr>
              <w:snapToGrid w:val="0"/>
              <w:jc w:val="center"/>
              <w:rPr>
                <w:rFonts w:ascii="宋体"/>
                <w:color w:val="auto"/>
                <w:highlight w:val="none"/>
              </w:rPr>
            </w:pPr>
            <w:r>
              <w:rPr>
                <w:rFonts w:hint="eastAsia" w:ascii="宋体" w:hAnsi="宋体" w:cs="宋体"/>
                <w:color w:val="auto"/>
                <w:highlight w:val="none"/>
              </w:rPr>
              <w:t>是否提供演示</w:t>
            </w:r>
          </w:p>
        </w:tc>
        <w:tc>
          <w:tcPr>
            <w:tcW w:w="6814" w:type="dxa"/>
            <w:tcBorders>
              <w:top w:val="single" w:color="auto" w:sz="4" w:space="0"/>
            </w:tcBorders>
            <w:vAlign w:val="center"/>
          </w:tcPr>
          <w:p>
            <w:pPr>
              <w:ind w:firstLine="40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u w:val="single"/>
              </w:rPr>
              <w:t xml:space="preserve"> 不需要</w:t>
            </w:r>
            <w:r>
              <w:rPr>
                <w:rFonts w:ascii="宋体" w:hAnsi="宋体" w:cs="宋体"/>
                <w:color w:val="auto"/>
                <w:szCs w:val="21"/>
                <w:highlight w:val="none"/>
                <w:u w:val="single"/>
              </w:rPr>
              <w:t xml:space="preserve"> </w:t>
            </w:r>
            <w:r>
              <w:rPr>
                <w:rFonts w:hint="eastAsia" w:ascii="宋体" w:hAnsi="宋体" w:cs="宋体"/>
                <w:color w:val="auto"/>
                <w:szCs w:val="21"/>
                <w:highlight w:val="none"/>
              </w:rPr>
              <w:t>提供演示。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22</w:t>
            </w:r>
          </w:p>
        </w:tc>
        <w:tc>
          <w:tcPr>
            <w:tcW w:w="1800" w:type="dxa"/>
            <w:vAlign w:val="center"/>
          </w:tcPr>
          <w:p>
            <w:pPr>
              <w:snapToGrid w:val="0"/>
              <w:jc w:val="center"/>
              <w:rPr>
                <w:rFonts w:ascii="宋体"/>
                <w:color w:val="auto"/>
                <w:highlight w:val="none"/>
              </w:rPr>
            </w:pPr>
            <w:r>
              <w:rPr>
                <w:rFonts w:hint="eastAsia" w:ascii="宋体" w:hAnsi="宋体" w:cs="宋体"/>
                <w:color w:val="auto"/>
                <w:highlight w:val="none"/>
              </w:rPr>
              <w:t>供应商信用信息查询渠道及截止时点、信用信息查询记录和证据留存的具体方式、信用信息的使用规则</w:t>
            </w:r>
          </w:p>
        </w:tc>
        <w:tc>
          <w:tcPr>
            <w:tcW w:w="6814" w:type="dxa"/>
            <w:vAlign w:val="center"/>
          </w:tcPr>
          <w:p>
            <w:pPr>
              <w:ind w:firstLine="40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、查询渠道：信用中国（网址：</w:t>
            </w:r>
            <w:r>
              <w:rPr>
                <w:rFonts w:ascii="宋体" w:hAnsi="宋体" w:cs="宋体"/>
                <w:color w:val="auto"/>
                <w:highlight w:val="none"/>
              </w:rPr>
              <w:t>http://www.creditchina.gov.cn</w:t>
            </w:r>
            <w:r>
              <w:rPr>
                <w:rFonts w:hint="eastAsia" w:ascii="宋体" w:hAnsi="宋体" w:cs="宋体"/>
                <w:color w:val="auto"/>
                <w:highlight w:val="none"/>
              </w:rPr>
              <w:t>）、中国政府采购网</w:t>
            </w:r>
            <w:r>
              <w:rPr>
                <w:rFonts w:ascii="宋体" w:hAnsi="宋体" w:cs="宋体"/>
                <w:color w:val="auto"/>
                <w:highlight w:val="none"/>
              </w:rPr>
              <w:t>(</w:t>
            </w:r>
            <w:r>
              <w:rPr>
                <w:rFonts w:hint="eastAsia" w:ascii="宋体" w:hAnsi="宋体" w:cs="宋体"/>
                <w:color w:val="auto"/>
                <w:highlight w:val="none"/>
              </w:rPr>
              <w:t>网址：</w:t>
            </w:r>
            <w:r>
              <w:rPr>
                <w:rFonts w:ascii="宋体" w:hAnsi="宋体" w:cs="宋体"/>
                <w:color w:val="auto"/>
                <w:highlight w:val="none"/>
              </w:rPr>
              <w:t>http://www.ccgp.gov.cn</w:t>
            </w:r>
            <w:r>
              <w:rPr>
                <w:rFonts w:hint="eastAsia" w:ascii="宋体" w:hAnsi="宋体" w:cs="宋体"/>
                <w:color w:val="auto"/>
                <w:highlight w:val="none"/>
              </w:rPr>
              <w:t>）。</w:t>
            </w:r>
          </w:p>
          <w:p>
            <w:pPr>
              <w:ind w:firstLine="40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、截止时点：开标后评标前。</w:t>
            </w:r>
          </w:p>
          <w:p>
            <w:pPr>
              <w:ind w:firstLine="40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、信用信息查询记录和证据留存的具体方式：由采购组织机构在规定查询时间内打印信用信息查询记录并归入项目档案。</w:t>
            </w:r>
          </w:p>
          <w:p>
            <w:pPr>
              <w:ind w:firstLine="40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23</w:t>
            </w:r>
          </w:p>
        </w:tc>
        <w:tc>
          <w:tcPr>
            <w:tcW w:w="1800" w:type="dxa"/>
            <w:vAlign w:val="center"/>
          </w:tcPr>
          <w:p>
            <w:pPr>
              <w:snapToGrid w:val="0"/>
              <w:jc w:val="center"/>
              <w:rPr>
                <w:rFonts w:ascii="宋体"/>
                <w:color w:val="auto"/>
                <w:highlight w:val="none"/>
              </w:rPr>
            </w:pPr>
            <w:r>
              <w:rPr>
                <w:rFonts w:hint="eastAsia" w:ascii="宋体" w:hAnsi="宋体" w:cs="宋体"/>
                <w:color w:val="auto"/>
                <w:highlight w:val="none"/>
              </w:rPr>
              <w:t>金融支持</w:t>
            </w:r>
          </w:p>
        </w:tc>
        <w:tc>
          <w:tcPr>
            <w:tcW w:w="6814" w:type="dxa"/>
            <w:vAlign w:val="center"/>
          </w:tcPr>
          <w:p>
            <w:pPr>
              <w:ind w:firstLine="400" w:firstLineChars="200"/>
              <w:rPr>
                <w:rFonts w:ascii="宋体"/>
                <w:color w:val="auto"/>
                <w:highlight w:val="none"/>
              </w:rPr>
            </w:pPr>
            <w:r>
              <w:rPr>
                <w:rFonts w:hint="eastAsia" w:ascii="宋体" w:hAnsi="宋体" w:cs="宋体"/>
                <w:color w:val="auto"/>
                <w:highlight w:val="none"/>
              </w:rPr>
              <w:t>为支持和促进中小企业发展，进一步发挥政府采购政策功能，浙江省财政厅出台浙财采监〔</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 xml:space="preserve">3 </w:t>
            </w:r>
            <w:r>
              <w:rPr>
                <w:rFonts w:hint="eastAsia" w:ascii="宋体" w:hAnsi="宋体" w:cs="宋体"/>
                <w:color w:val="auto"/>
                <w:highlight w:val="none"/>
              </w:rPr>
              <w:t>号文件，企业若有融资意向，可登陆政采云平台融资服务（</w:t>
            </w:r>
            <w:r>
              <w:rPr>
                <w:rFonts w:ascii="宋体" w:hAnsi="宋体" w:cs="宋体"/>
                <w:color w:val="auto"/>
                <w:highlight w:val="none"/>
              </w:rPr>
              <w:t>https://jinrong.zcygov.cn/</w:t>
            </w:r>
            <w:r>
              <w:rPr>
                <w:rFonts w:hint="eastAsia" w:ascii="宋体" w:hAnsi="宋体" w:cs="宋体"/>
                <w:color w:val="auto"/>
                <w:highlight w:val="none"/>
              </w:rPr>
              <w:t>），查看相应融资政策文件及各相关银行服务方案。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Merge w:val="restart"/>
            <w:vAlign w:val="center"/>
          </w:tcPr>
          <w:p>
            <w:pPr>
              <w:snapToGrid w:val="0"/>
              <w:jc w:val="center"/>
              <w:rPr>
                <w:rFonts w:ascii="宋体" w:hAnsi="宋体" w:cs="宋体"/>
                <w:snapToGrid w:val="0"/>
                <w:color w:val="auto"/>
                <w:highlight w:val="none"/>
              </w:rPr>
            </w:pPr>
            <w:r>
              <w:rPr>
                <w:rFonts w:hint="eastAsia" w:ascii="宋体" w:hAnsi="宋体" w:cs="宋体"/>
                <w:snapToGrid w:val="0"/>
                <w:color w:val="auto"/>
                <w:highlight w:val="none"/>
              </w:rPr>
              <w:t>2</w:t>
            </w:r>
            <w:r>
              <w:rPr>
                <w:rFonts w:ascii="宋体" w:hAnsi="宋体" w:cs="宋体"/>
                <w:snapToGrid w:val="0"/>
                <w:color w:val="auto"/>
                <w:highlight w:val="none"/>
              </w:rPr>
              <w:t>4</w:t>
            </w:r>
          </w:p>
        </w:tc>
        <w:tc>
          <w:tcPr>
            <w:tcW w:w="1800" w:type="dxa"/>
            <w:vMerge w:val="restart"/>
            <w:vAlign w:val="center"/>
          </w:tcPr>
          <w:p>
            <w:pPr>
              <w:snapToGrid w:val="0"/>
              <w:jc w:val="center"/>
              <w:rPr>
                <w:rFonts w:ascii="宋体" w:hAnsi="宋体" w:cs="宋体"/>
                <w:color w:val="auto"/>
                <w:highlight w:val="none"/>
              </w:rPr>
            </w:pPr>
            <w:r>
              <w:rPr>
                <w:rFonts w:hint="eastAsia" w:ascii="宋体" w:hAnsi="宋体" w:cs="宋体"/>
                <w:color w:val="auto"/>
                <w:highlight w:val="none"/>
              </w:rPr>
              <w:t>预付款</w:t>
            </w:r>
          </w:p>
        </w:tc>
        <w:tc>
          <w:tcPr>
            <w:tcW w:w="6814" w:type="dxa"/>
            <w:vAlign w:val="center"/>
          </w:tcPr>
          <w:p>
            <w:pPr>
              <w:ind w:firstLine="400" w:firstLineChars="200"/>
              <w:rPr>
                <w:rFonts w:ascii="宋体" w:hAnsi="宋体" w:cs="宋体"/>
                <w:color w:val="auto"/>
                <w:highlight w:val="none"/>
              </w:rPr>
            </w:pPr>
            <w:r>
              <w:rPr>
                <w:rFonts w:hint="eastAsia" w:ascii="宋体" w:hAnsi="宋体" w:cs="宋体"/>
                <w:color w:val="auto"/>
                <w:highlight w:val="none"/>
              </w:rPr>
              <w:t>本项目 ☑是 □否 涉及预付款，预付款比例为</w:t>
            </w:r>
            <w:r>
              <w:rPr>
                <w:rFonts w:hint="eastAsia" w:ascii="宋体" w:hAnsi="宋体" w:cs="宋体"/>
                <w:color w:val="auto"/>
                <w:highlight w:val="none"/>
                <w:u w:val="single"/>
              </w:rPr>
              <w:t xml:space="preserve"> </w:t>
            </w:r>
            <w:r>
              <w:rPr>
                <w:rFonts w:ascii="宋体" w:hAnsi="宋体" w:cs="宋体"/>
                <w:color w:val="auto"/>
                <w:highlight w:val="none"/>
                <w:u w:val="single"/>
              </w:rPr>
              <w:t xml:space="preserve">40 </w:t>
            </w:r>
            <w:r>
              <w:rPr>
                <w:rFonts w:ascii="宋体" w:hAnsi="宋体" w:cs="宋体"/>
                <w:color w:val="auto"/>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Merge w:val="continue"/>
            <w:vAlign w:val="center"/>
          </w:tcPr>
          <w:p>
            <w:pPr>
              <w:snapToGrid w:val="0"/>
              <w:jc w:val="center"/>
              <w:rPr>
                <w:rFonts w:ascii="宋体" w:hAnsi="宋体" w:cs="宋体"/>
                <w:snapToGrid w:val="0"/>
                <w:color w:val="auto"/>
                <w:highlight w:val="none"/>
              </w:rPr>
            </w:pPr>
          </w:p>
        </w:tc>
        <w:tc>
          <w:tcPr>
            <w:tcW w:w="1800" w:type="dxa"/>
            <w:vMerge w:val="continue"/>
            <w:vAlign w:val="center"/>
          </w:tcPr>
          <w:p>
            <w:pPr>
              <w:snapToGrid w:val="0"/>
              <w:jc w:val="center"/>
              <w:rPr>
                <w:rFonts w:ascii="宋体" w:hAnsi="宋体" w:cs="宋体"/>
                <w:color w:val="auto"/>
                <w:highlight w:val="none"/>
              </w:rPr>
            </w:pPr>
          </w:p>
        </w:tc>
        <w:tc>
          <w:tcPr>
            <w:tcW w:w="6814" w:type="dxa"/>
            <w:vAlign w:val="center"/>
          </w:tcPr>
          <w:p>
            <w:pPr>
              <w:ind w:firstLine="400" w:firstLineChars="200"/>
              <w:rPr>
                <w:rFonts w:ascii="宋体" w:hAnsi="宋体" w:cs="宋体"/>
                <w:color w:val="auto"/>
                <w:highlight w:val="none"/>
              </w:rPr>
            </w:pPr>
            <w:r>
              <w:rPr>
                <w:rFonts w:hint="eastAsia" w:ascii="宋体" w:hAnsi="宋体" w:cs="宋体"/>
                <w:color w:val="auto"/>
                <w:highlight w:val="none"/>
              </w:rPr>
              <w:t>根据《浙江省财政厅关于进一步发挥政府采购政策功能全力推动经济稳进提质的通知》[浙财采监〔2022）3号]文件第二条第五点关于“进一步提高政府采购预付款比例”的规定：</w:t>
            </w:r>
          </w:p>
          <w:p>
            <w:pPr>
              <w:ind w:firstLine="400" w:firstLineChars="200"/>
              <w:rPr>
                <w:rFonts w:ascii="宋体" w:hAnsi="宋体" w:cs="宋体"/>
                <w:color w:val="auto"/>
                <w:highlight w:val="none"/>
              </w:rPr>
            </w:pPr>
            <w:r>
              <w:rPr>
                <w:rFonts w:hint="eastAsia" w:ascii="宋体" w:hAnsi="宋体" w:cs="宋体"/>
                <w:color w:val="auto"/>
                <w:highlight w:val="none"/>
              </w:rPr>
              <w:t>1、采购单位应当在政府采购合同中约定预付款；</w:t>
            </w:r>
          </w:p>
          <w:p>
            <w:pPr>
              <w:ind w:firstLine="400" w:firstLineChars="200"/>
              <w:rPr>
                <w:rFonts w:ascii="宋体" w:hAnsi="宋体" w:cs="宋体"/>
                <w:color w:val="auto"/>
                <w:highlight w:val="none"/>
              </w:rPr>
            </w:pPr>
            <w:r>
              <w:rPr>
                <w:rFonts w:hint="eastAsia" w:ascii="宋体" w:hAnsi="宋体" w:cs="宋体"/>
                <w:color w:val="auto"/>
                <w:highlight w:val="none"/>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pPr>
              <w:ind w:firstLine="400" w:firstLineChars="200"/>
              <w:rPr>
                <w:rFonts w:ascii="宋体" w:hAnsi="宋体" w:cs="宋体"/>
                <w:color w:val="auto"/>
                <w:highlight w:val="none"/>
              </w:rPr>
            </w:pPr>
            <w:r>
              <w:rPr>
                <w:rFonts w:hint="eastAsia" w:ascii="宋体" w:hAnsi="宋体" w:cs="宋体"/>
                <w:color w:val="auto"/>
                <w:highlight w:val="none"/>
              </w:rPr>
              <w:t>3、本项目涉及投标人为大型企业，或者以人工投入为主且实行按月定期结算支付款项的，预付款可低于上述比例或者不约定预付款（相应字样应在合同中体现）。</w:t>
            </w:r>
          </w:p>
          <w:p>
            <w:pPr>
              <w:ind w:firstLine="400" w:firstLineChars="200"/>
              <w:rPr>
                <w:rFonts w:ascii="宋体" w:hAnsi="宋体" w:cs="宋体"/>
                <w:color w:val="auto"/>
                <w:highlight w:val="none"/>
              </w:rPr>
            </w:pPr>
            <w:r>
              <w:rPr>
                <w:rFonts w:hint="eastAsia" w:ascii="宋体" w:hAnsi="宋体" w:cs="宋体"/>
                <w:color w:val="auto"/>
                <w:highlight w:val="none"/>
              </w:rPr>
              <w:t>4、在签订合同时，中标人明确表示无需预付款或者主动要求降低预付款比例的，应提交相应申请函经采购人确认后，可不适用前述规定。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pPr>
              <w:snapToGrid w:val="0"/>
              <w:jc w:val="center"/>
              <w:rPr>
                <w:rFonts w:ascii="宋体"/>
                <w:snapToGrid w:val="0"/>
                <w:color w:val="auto"/>
                <w:highlight w:val="none"/>
              </w:rPr>
            </w:pPr>
            <w:r>
              <w:rPr>
                <w:rFonts w:hint="eastAsia" w:ascii="宋体" w:hAnsi="宋体" w:cs="宋体"/>
                <w:snapToGrid w:val="0"/>
                <w:color w:val="auto"/>
                <w:highlight w:val="none"/>
              </w:rPr>
              <w:t>2</w:t>
            </w:r>
            <w:r>
              <w:rPr>
                <w:rFonts w:ascii="宋体" w:hAnsi="宋体" w:cs="宋体"/>
                <w:snapToGrid w:val="0"/>
                <w:color w:val="auto"/>
                <w:highlight w:val="none"/>
              </w:rPr>
              <w:t>5</w:t>
            </w:r>
          </w:p>
        </w:tc>
        <w:tc>
          <w:tcPr>
            <w:tcW w:w="1800" w:type="dxa"/>
            <w:tcBorders>
              <w:bottom w:val="double" w:color="auto" w:sz="4" w:space="0"/>
            </w:tcBorders>
            <w:vAlign w:val="center"/>
          </w:tcPr>
          <w:p>
            <w:pPr>
              <w:snapToGrid w:val="0"/>
              <w:jc w:val="center"/>
              <w:rPr>
                <w:rFonts w:ascii="宋体"/>
                <w:color w:val="auto"/>
                <w:highlight w:val="none"/>
              </w:rPr>
            </w:pPr>
            <w:r>
              <w:rPr>
                <w:rFonts w:hint="eastAsia" w:ascii="宋体" w:hAnsi="宋体" w:cs="宋体"/>
                <w:color w:val="auto"/>
                <w:highlight w:val="none"/>
              </w:rPr>
              <w:t>其他</w:t>
            </w:r>
          </w:p>
        </w:tc>
        <w:tc>
          <w:tcPr>
            <w:tcW w:w="6814" w:type="dxa"/>
            <w:tcBorders>
              <w:bottom w:val="double" w:color="auto" w:sz="4" w:space="0"/>
            </w:tcBorders>
            <w:vAlign w:val="center"/>
          </w:tcPr>
          <w:p>
            <w:pPr>
              <w:ind w:firstLine="402"/>
              <w:rPr>
                <w:rFonts w:ascii="宋体" w:hAnsi="宋体" w:cs="宋体"/>
                <w:b/>
                <w:bCs/>
                <w:color w:val="auto"/>
                <w:highlight w:val="none"/>
              </w:rPr>
            </w:pPr>
            <w:r>
              <w:rPr>
                <w:rFonts w:hint="eastAsia" w:ascii="宋体" w:hAnsi="宋体" w:cs="宋体"/>
                <w:b/>
                <w:bCs/>
                <w:color w:val="auto"/>
                <w:highlight w:val="none"/>
              </w:rPr>
              <w:t>1、本磋商文件要求提供的身份证复印件皆需提供正反面，否则按不提供处理。</w:t>
            </w:r>
          </w:p>
          <w:p>
            <w:pPr>
              <w:ind w:firstLine="402"/>
              <w:rPr>
                <w:b/>
                <w:bCs/>
                <w:color w:val="auto"/>
                <w:highlight w:val="none"/>
              </w:rPr>
            </w:pPr>
            <w:r>
              <w:rPr>
                <w:b/>
                <w:bCs/>
                <w:color w:val="auto"/>
                <w:highlight w:val="none"/>
              </w:rPr>
              <w:t>2</w:t>
            </w:r>
            <w:r>
              <w:rPr>
                <w:rFonts w:hint="eastAsia"/>
                <w:b/>
                <w:bCs/>
                <w:color w:val="auto"/>
                <w:highlight w:val="none"/>
              </w:rPr>
              <w:t>、若本项目涉及柴油动力移动源的应当符合低排放要求。</w:t>
            </w:r>
          </w:p>
        </w:tc>
      </w:tr>
    </w:tbl>
    <w:p>
      <w:pPr>
        <w:pStyle w:val="7"/>
        <w:spacing w:line="360" w:lineRule="auto"/>
        <w:rPr>
          <w:rFonts w:ascii="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pPr>
        <w:pStyle w:val="4"/>
        <w:numPr>
          <w:ilvl w:val="0"/>
          <w:numId w:val="7"/>
        </w:numPr>
        <w:jc w:val="center"/>
        <w:rPr>
          <w:rFonts w:hAnsi="宋体" w:cs="Times New Roman"/>
          <w:color w:val="auto"/>
          <w:highlight w:val="none"/>
        </w:rPr>
      </w:pPr>
      <w:r>
        <w:rPr>
          <w:rFonts w:hAnsi="宋体"/>
          <w:color w:val="auto"/>
          <w:highlight w:val="none"/>
        </w:rPr>
        <w:t xml:space="preserve"> </w:t>
      </w:r>
      <w:bookmarkStart w:id="10" w:name="_Toc24554"/>
      <w:bookmarkStart w:id="11" w:name="_Toc25187"/>
      <w:r>
        <w:rPr>
          <w:rFonts w:hint="eastAsia" w:hAnsi="宋体"/>
          <w:color w:val="auto"/>
          <w:highlight w:val="none"/>
        </w:rPr>
        <w:t>总则</w:t>
      </w:r>
      <w:bookmarkEnd w:id="10"/>
      <w:bookmarkEnd w:id="11"/>
    </w:p>
    <w:p>
      <w:pPr>
        <w:spacing w:line="336" w:lineRule="auto"/>
        <w:ind w:firstLine="480" w:firstLineChars="200"/>
        <w:rPr>
          <w:color w:val="auto"/>
          <w:sz w:val="24"/>
          <w:szCs w:val="24"/>
          <w:highlight w:val="none"/>
        </w:rPr>
      </w:pPr>
      <w:r>
        <w:rPr>
          <w:rFonts w:hint="eastAsia"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pPr>
        <w:spacing w:line="336" w:lineRule="auto"/>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1.1</w:t>
      </w:r>
      <w:r>
        <w:rPr>
          <w:rFonts w:hint="eastAsia" w:ascii="宋体" w:hAnsi="宋体" w:cs="宋体"/>
          <w:color w:val="auto"/>
          <w:sz w:val="24"/>
          <w:szCs w:val="24"/>
          <w:highlight w:val="none"/>
        </w:rPr>
        <w:t>本次磋商工作仅适用于</w:t>
      </w:r>
      <w:r>
        <w:rPr>
          <w:rFonts w:hint="eastAsia" w:ascii="宋体" w:hAnsi="宋体" w:cs="宋体"/>
          <w:color w:val="auto"/>
          <w:sz w:val="24"/>
          <w:szCs w:val="24"/>
          <w:highlight w:val="none"/>
          <w:u w:val="single"/>
          <w:lang w:eastAsia="zh-CN"/>
        </w:rPr>
        <w:t>上虞区电视天气预报节目制作项目</w:t>
      </w:r>
      <w:r>
        <w:rPr>
          <w:rFonts w:hint="eastAsia" w:ascii="宋体" w:hAnsi="宋体" w:cs="宋体"/>
          <w:color w:val="auto"/>
          <w:sz w:val="24"/>
          <w:szCs w:val="24"/>
          <w:highlight w:val="none"/>
        </w:rPr>
        <w:t>。</w:t>
      </w:r>
    </w:p>
    <w:p>
      <w:pPr>
        <w:pStyle w:val="24"/>
        <w:spacing w:line="336" w:lineRule="auto"/>
        <w:ind w:firstLine="480" w:firstLineChars="200"/>
        <w:rPr>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本项目采购方式采用竞争性磋商方式。</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pP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绍兴市上虞区气象局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中纬工程管理咨询有限公司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pP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pPr>
        <w:spacing w:line="336" w:lineRule="auto"/>
        <w:ind w:firstLine="480" w:firstLineChars="200"/>
        <w:rPr>
          <w:rFonts w:ascii="宋体"/>
          <w:color w:val="auto"/>
          <w:sz w:val="24"/>
          <w:szCs w:val="24"/>
          <w:highlight w:val="none"/>
        </w:rPr>
      </w:pPr>
      <w:bookmarkStart w:id="12" w:name="_Toc204683265"/>
      <w:bookmarkStart w:id="13" w:name="_Toc197163261"/>
      <w:bookmarkStart w:id="14" w:name="_Toc208913145"/>
      <w:bookmarkStart w:id="15" w:name="_Toc208287611"/>
      <w:bookmarkStart w:id="16" w:name="_Toc197156227"/>
      <w:bookmarkStart w:id="17" w:name="_Toc211412066"/>
      <w:bookmarkStart w:id="18" w:name="_Toc193538208"/>
      <w:bookmarkStart w:id="19" w:name="_Toc197657950"/>
      <w:bookmarkStart w:id="20" w:name="_Toc207946571"/>
      <w:bookmarkStart w:id="21" w:name="_Toc209520993"/>
      <w:bookmarkStart w:id="22" w:name="_Toc209435242"/>
      <w:bookmarkStart w:id="23" w:name="_Toc209504018"/>
      <w:bookmarkStart w:id="24" w:name="_Toc193523219"/>
      <w:bookmarkStart w:id="25" w:name="_Toc197053926"/>
      <w:r>
        <w:rPr>
          <w:rFonts w:hint="eastAsia" w:ascii="宋体" w:hAnsi="宋体" w:cs="宋体"/>
          <w:color w:val="auto"/>
          <w:sz w:val="24"/>
          <w:szCs w:val="24"/>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pPr>
        <w:pStyle w:val="4"/>
        <w:numPr>
          <w:ilvl w:val="0"/>
          <w:numId w:val="7"/>
        </w:numPr>
        <w:jc w:val="center"/>
        <w:rPr>
          <w:rFonts w:cs="Times New Roman"/>
          <w:color w:val="auto"/>
          <w:highlight w:val="none"/>
        </w:rPr>
      </w:pPr>
      <w:bookmarkStart w:id="26" w:name="_Toc416992151"/>
      <w:bookmarkStart w:id="27" w:name="_Toc32689"/>
      <w:bookmarkStart w:id="28" w:name="_Toc25923"/>
      <w:r>
        <w:rPr>
          <w:color w:val="auto"/>
          <w:highlight w:val="none"/>
        </w:rPr>
        <w:t xml:space="preserve"> </w:t>
      </w:r>
      <w:bookmarkStart w:id="29" w:name="_Toc11814"/>
      <w:bookmarkStart w:id="30" w:name="_Toc187"/>
      <w:r>
        <w:rPr>
          <w:rFonts w:hint="eastAsia"/>
          <w:color w:val="auto"/>
          <w:highlight w:val="none"/>
        </w:rPr>
        <w:t>竞争性磋商文件</w:t>
      </w:r>
      <w:bookmarkEnd w:id="26"/>
      <w:bookmarkEnd w:id="27"/>
      <w:bookmarkEnd w:id="28"/>
      <w:bookmarkEnd w:id="29"/>
      <w:bookmarkEnd w:id="30"/>
    </w:p>
    <w:p>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pP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pPr>
        <w:pStyle w:val="11"/>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pPr>
        <w:pStyle w:val="11"/>
        <w:spacing w:line="336" w:lineRule="auto"/>
        <w:ind w:right="-240"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pPr>
        <w:pStyle w:val="7"/>
        <w:spacing w:line="336" w:lineRule="auto"/>
        <w:rPr>
          <w:rFonts w:ascii="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pPr>
        <w:pStyle w:val="4"/>
        <w:numPr>
          <w:ilvl w:val="0"/>
          <w:numId w:val="7"/>
        </w:numPr>
        <w:jc w:val="center"/>
        <w:rPr>
          <w:rFonts w:cs="Times New Roman"/>
          <w:color w:val="auto"/>
          <w:highlight w:val="none"/>
        </w:rPr>
      </w:pPr>
      <w:bookmarkStart w:id="31" w:name="_Toc1202"/>
      <w:bookmarkStart w:id="32" w:name="_Toc11093"/>
      <w:bookmarkStart w:id="33" w:name="_Toc14650"/>
      <w:bookmarkStart w:id="34" w:name="_Toc1729"/>
      <w:bookmarkStart w:id="35" w:name="_Toc1828"/>
      <w:bookmarkStart w:id="36" w:name="_Toc26603"/>
      <w:bookmarkStart w:id="37" w:name="_Toc6079"/>
      <w:bookmarkStart w:id="38" w:name="_Toc23135"/>
      <w:bookmarkStart w:id="39" w:name="_Toc24622"/>
      <w:bookmarkStart w:id="40" w:name="_Toc6273"/>
      <w:bookmarkStart w:id="41" w:name="_Toc10810"/>
      <w:bookmarkStart w:id="42" w:name="_Toc18702"/>
      <w:bookmarkStart w:id="43" w:name="_Toc26027"/>
      <w:bookmarkStart w:id="44" w:name="_Toc11669"/>
      <w:bookmarkStart w:id="45" w:name="_Toc6457"/>
      <w:bookmarkStart w:id="46" w:name="_Toc23975"/>
      <w:bookmarkStart w:id="47" w:name="_Toc391298957"/>
      <w:bookmarkStart w:id="48" w:name="_Toc8860"/>
      <w:bookmarkStart w:id="49" w:name="_Toc7126"/>
      <w:bookmarkStart w:id="50" w:name="_Toc31748"/>
      <w:bookmarkStart w:id="51" w:name="_Toc11692"/>
      <w:bookmarkStart w:id="52" w:name="_Toc10669"/>
      <w:r>
        <w:rPr>
          <w:color w:val="auto"/>
          <w:highlight w:val="none"/>
        </w:rPr>
        <w:t xml:space="preserve"> </w:t>
      </w:r>
      <w:bookmarkStart w:id="53" w:name="_Toc11515"/>
      <w:bookmarkStart w:id="54" w:name="_Toc27018"/>
      <w:r>
        <w:rPr>
          <w:color w:val="auto"/>
          <w:highlight w:val="none"/>
        </w:rPr>
        <w:tab/>
      </w:r>
      <w:r>
        <w:rPr>
          <w:rFonts w:hint="eastAsia"/>
          <w:color w:val="auto"/>
          <w:highlight w:val="none"/>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pP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pPr>
        <w:pStyle w:val="50"/>
        <w:tabs>
          <w:tab w:val="left" w:pos="0"/>
        </w:tabs>
        <w:spacing w:before="0" w:line="336" w:lineRule="auto"/>
        <w:ind w:firstLine="480"/>
        <w:rPr>
          <w:rFonts w:ascii="宋体" w:hAnsi="宋体" w:cs="宋体"/>
          <w:color w:val="auto"/>
          <w:highlight w:val="none"/>
          <w:u w:val="single"/>
        </w:rPr>
      </w:pPr>
      <w:r>
        <w:rPr>
          <w:rFonts w:ascii="宋体" w:hAnsi="宋体" w:cs="宋体"/>
          <w:color w:val="auto"/>
          <w:highlight w:val="none"/>
          <w:u w:val="none"/>
        </w:rPr>
        <w:t>8.2.2</w:t>
      </w:r>
      <w:r>
        <w:rPr>
          <w:rFonts w:hint="eastAsia" w:ascii="宋体" w:hAnsi="宋体" w:cs="宋体"/>
          <w:color w:val="auto"/>
          <w:highlight w:val="none"/>
          <w:u w:val="none"/>
        </w:rPr>
        <w:t>本次报价应包含项目所需全部服务，不得缺漏，是履行合同的最终价格（包括但不限于提供服务所需的一切人员工资、奖金、法定节假日双休日加班费、夜餐费、各种社会保险、食宿与交通、服装、安全、工具及管理费用、税费、利润等相关费用，以及其它报价时应综合考虑日后属政策性调整等因素造成的价格变动）。投标报价为供应商所能承受的最低、最终报价，供应商不得再要求追加任何费用。</w:t>
      </w:r>
    </w:p>
    <w:p>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pP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pPr>
        <w:pStyle w:val="13"/>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w:t>
      </w:r>
      <w:r>
        <w:rPr>
          <w:rFonts w:hAnsi="宋体"/>
          <w:b/>
          <w:bCs/>
          <w:color w:val="auto"/>
          <w:sz w:val="24"/>
          <w:szCs w:val="24"/>
          <w:highlight w:val="none"/>
          <w:u w:val="single"/>
        </w:rPr>
        <w:t>-</w:t>
      </w:r>
      <w:r>
        <w:rPr>
          <w:rFonts w:hint="eastAsia" w:hAnsi="宋体"/>
          <w:b/>
          <w:bCs/>
          <w:color w:val="auto"/>
          <w:sz w:val="24"/>
          <w:szCs w:val="24"/>
          <w:highlight w:val="none"/>
          <w:u w:val="single"/>
        </w:rPr>
        <w:t>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pPr>
        <w:pStyle w:val="50"/>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响应文件应当包括以下主要内容：资格文件、商务技术文件、报价文件。</w:t>
      </w:r>
    </w:p>
    <w:p>
      <w:pPr>
        <w:pStyle w:val="50"/>
        <w:numPr>
          <w:ilvl w:val="0"/>
          <w:numId w:val="8"/>
        </w:numP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pPr>
        <w:pStyle w:val="50"/>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pPr>
        <w:pStyle w:val="50"/>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营业执照</w:t>
      </w:r>
      <w:r>
        <w:rPr>
          <w:rFonts w:ascii="宋体" w:hAnsi="宋体" w:cs="宋体"/>
          <w:color w:val="auto"/>
          <w:highlight w:val="none"/>
        </w:rPr>
        <w:t>(</w:t>
      </w:r>
      <w:r>
        <w:rPr>
          <w:rFonts w:hint="eastAsia" w:ascii="宋体" w:hAnsi="宋体" w:cs="宋体"/>
          <w:color w:val="auto"/>
          <w:highlight w:val="none"/>
        </w:rPr>
        <w:t>或事业法人登记证或其他工商等登记证明材料</w:t>
      </w:r>
      <w:r>
        <w:rPr>
          <w:rFonts w:ascii="宋体" w:hAnsi="宋体" w:cs="宋体"/>
          <w:color w:val="auto"/>
          <w:highlight w:val="none"/>
        </w:rPr>
        <w:t>)</w:t>
      </w:r>
      <w:r>
        <w:rPr>
          <w:rFonts w:hint="eastAsia" w:ascii="宋体" w:hAnsi="宋体" w:cs="宋体"/>
          <w:color w:val="auto"/>
          <w:highlight w:val="none"/>
        </w:rPr>
        <w:t>复印件、税务登记证</w:t>
      </w:r>
      <w:r>
        <w:rPr>
          <w:rFonts w:ascii="宋体" w:hAnsi="宋体" w:cs="宋体"/>
          <w:color w:val="auto"/>
          <w:highlight w:val="none"/>
        </w:rPr>
        <w:t>(</w:t>
      </w:r>
      <w:r>
        <w:rPr>
          <w:rFonts w:hint="eastAsia" w:ascii="宋体" w:hAnsi="宋体" w:cs="宋体"/>
          <w:color w:val="auto"/>
          <w:highlight w:val="none"/>
        </w:rPr>
        <w:t>或其它缴纳证明材料</w:t>
      </w:r>
      <w:r>
        <w:rPr>
          <w:rFonts w:ascii="宋体" w:hAnsi="宋体" w:cs="宋体"/>
          <w:color w:val="auto"/>
          <w:highlight w:val="none"/>
        </w:rPr>
        <w:t>)</w:t>
      </w:r>
      <w:r>
        <w:rPr>
          <w:rFonts w:hint="eastAsia" w:ascii="宋体" w:hAnsi="宋体" w:cs="宋体"/>
          <w:color w:val="auto"/>
          <w:highlight w:val="none"/>
        </w:rPr>
        <w:t>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50"/>
        <w:spacing w:before="0" w:line="336" w:lineRule="auto"/>
        <w:ind w:firstLine="480"/>
        <w:rPr>
          <w:rFonts w:ascii="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50"/>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具有履行合同所必需的产品和专业技术能力的承诺函；</w:t>
      </w:r>
    </w:p>
    <w:p>
      <w:pPr>
        <w:pStyle w:val="50"/>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投标人承诺函；</w:t>
      </w:r>
    </w:p>
    <w:p>
      <w:pPr>
        <w:pStyle w:val="50"/>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 xml:space="preserve">中小企业声明函（格式见附件）； </w:t>
      </w:r>
    </w:p>
    <w:p>
      <w:pPr>
        <w:pStyle w:val="50"/>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残疾人福利性单位声明函(如有)（格式见附件）；</w:t>
      </w:r>
    </w:p>
    <w:p>
      <w:pPr>
        <w:pStyle w:val="50"/>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监狱企业证明文件(如有)（格式见附件）。</w:t>
      </w:r>
    </w:p>
    <w:p>
      <w:pPr>
        <w:pStyle w:val="50"/>
        <w:numPr>
          <w:ilvl w:val="0"/>
          <w:numId w:val="8"/>
        </w:numP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商务技术文件，本次磋商需要供应商提供以下项所列的技术文件：</w:t>
      </w:r>
    </w:p>
    <w:p>
      <w:pPr>
        <w:pStyle w:val="50"/>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评分对应表（格式见附件，主要用于评委对应评分内容）</w:t>
      </w:r>
    </w:p>
    <w:p>
      <w:pPr>
        <w:pStyle w:val="50"/>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供应商商务技术文件中资信分自评表（格式见附件）；</w:t>
      </w:r>
    </w:p>
    <w:p>
      <w:pPr>
        <w:pStyle w:val="50"/>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磋商项目明细清单（格式见附件）；</w:t>
      </w:r>
    </w:p>
    <w:p>
      <w:pPr>
        <w:pStyle w:val="50"/>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技术响应及建议表（格式见附件）；</w:t>
      </w:r>
    </w:p>
    <w:p>
      <w:pPr>
        <w:pStyle w:val="50"/>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商务响应表（格式见附件）；</w:t>
      </w:r>
    </w:p>
    <w:p>
      <w:pPr>
        <w:pStyle w:val="50"/>
        <w:numPr>
          <w:ilvl w:val="0"/>
          <w:numId w:val="10"/>
        </w:numPr>
        <w:spacing w:before="0" w:line="336" w:lineRule="auto"/>
        <w:ind w:firstLine="480"/>
        <w:rPr>
          <w:rFonts w:ascii="宋体"/>
          <w:color w:val="auto"/>
          <w:highlight w:val="none"/>
        </w:rPr>
      </w:pPr>
      <w:r>
        <w:rPr>
          <w:rFonts w:hint="eastAsia" w:ascii="宋体"/>
          <w:color w:val="auto"/>
          <w:highlight w:val="none"/>
          <w:lang w:eastAsia="zh-CN"/>
        </w:rPr>
        <w:t>项目理解；</w:t>
      </w:r>
    </w:p>
    <w:p>
      <w:pPr>
        <w:pStyle w:val="50"/>
        <w:numPr>
          <w:ilvl w:val="0"/>
          <w:numId w:val="10"/>
        </w:numPr>
        <w:spacing w:before="0" w:line="336" w:lineRule="auto"/>
        <w:ind w:firstLine="480"/>
        <w:rPr>
          <w:rFonts w:ascii="宋体"/>
          <w:color w:val="auto"/>
          <w:highlight w:val="none"/>
        </w:rPr>
      </w:pPr>
      <w:r>
        <w:rPr>
          <w:rFonts w:hint="eastAsia" w:ascii="宋体" w:hAnsi="宋体" w:cs="宋体"/>
          <w:color w:val="auto"/>
          <w:highlight w:val="none"/>
          <w:lang w:eastAsia="zh-CN"/>
        </w:rPr>
        <w:t>重难点分析</w:t>
      </w:r>
      <w:r>
        <w:rPr>
          <w:rFonts w:hint="eastAsia" w:ascii="宋体" w:hAnsi="宋体" w:cs="宋体"/>
          <w:color w:val="auto"/>
          <w:highlight w:val="none"/>
        </w:rPr>
        <w:t>；</w:t>
      </w:r>
    </w:p>
    <w:p>
      <w:pPr>
        <w:pStyle w:val="50"/>
        <w:numPr>
          <w:ilvl w:val="0"/>
          <w:numId w:val="10"/>
        </w:numPr>
        <w:spacing w:before="0" w:line="336" w:lineRule="auto"/>
        <w:ind w:firstLine="480"/>
        <w:rPr>
          <w:rFonts w:ascii="宋体"/>
          <w:color w:val="auto"/>
          <w:highlight w:val="none"/>
        </w:rPr>
      </w:pPr>
      <w:r>
        <w:rPr>
          <w:rFonts w:hint="eastAsia" w:ascii="宋体" w:hAnsi="宋体" w:cs="宋体"/>
          <w:color w:val="auto"/>
          <w:highlight w:val="none"/>
          <w:lang w:eastAsia="zh-CN"/>
        </w:rPr>
        <w:t>制作方案</w:t>
      </w:r>
      <w:r>
        <w:rPr>
          <w:rFonts w:hint="eastAsia" w:ascii="宋体" w:hAnsi="宋体" w:cs="宋体"/>
          <w:color w:val="auto"/>
          <w:highlight w:val="none"/>
        </w:rPr>
        <w:t>；</w:t>
      </w:r>
    </w:p>
    <w:p>
      <w:pPr>
        <w:pStyle w:val="50"/>
        <w:numPr>
          <w:ilvl w:val="0"/>
          <w:numId w:val="10"/>
        </w:numPr>
        <w:spacing w:before="0" w:line="336" w:lineRule="auto"/>
        <w:ind w:firstLine="480"/>
        <w:rPr>
          <w:rFonts w:ascii="宋体"/>
          <w:color w:val="auto"/>
          <w:highlight w:val="none"/>
        </w:rPr>
      </w:pPr>
      <w:r>
        <w:rPr>
          <w:rFonts w:hint="eastAsia" w:ascii="宋体" w:hAnsi="宋体" w:cs="宋体"/>
          <w:color w:val="auto"/>
          <w:highlight w:val="none"/>
          <w:lang w:eastAsia="zh-CN"/>
        </w:rPr>
        <w:t>人员配置</w:t>
      </w:r>
      <w:r>
        <w:rPr>
          <w:rFonts w:hint="eastAsia" w:ascii="宋体" w:hAnsi="宋体" w:cs="宋体"/>
          <w:color w:val="auto"/>
          <w:highlight w:val="none"/>
        </w:rPr>
        <w:t>；</w:t>
      </w:r>
    </w:p>
    <w:p>
      <w:pPr>
        <w:pStyle w:val="50"/>
        <w:numPr>
          <w:ilvl w:val="0"/>
          <w:numId w:val="10"/>
        </w:numPr>
        <w:spacing w:before="0" w:line="336" w:lineRule="auto"/>
        <w:ind w:firstLine="480"/>
        <w:rPr>
          <w:rFonts w:ascii="宋体"/>
          <w:color w:val="auto"/>
          <w:highlight w:val="none"/>
        </w:rPr>
      </w:pPr>
      <w:r>
        <w:rPr>
          <w:rFonts w:hint="eastAsia" w:ascii="宋体" w:hAnsi="宋体" w:cs="宋体"/>
          <w:color w:val="auto"/>
          <w:sz w:val="24"/>
          <w:szCs w:val="24"/>
          <w:highlight w:val="none"/>
          <w:lang w:eastAsia="zh-CN"/>
        </w:rPr>
        <w:t>工作方案及实施计划</w:t>
      </w:r>
      <w:r>
        <w:rPr>
          <w:rFonts w:hint="eastAsia" w:ascii="宋体" w:hAnsi="宋体" w:cs="宋体"/>
          <w:color w:val="auto"/>
          <w:highlight w:val="none"/>
        </w:rPr>
        <w:t>；</w:t>
      </w:r>
    </w:p>
    <w:p>
      <w:pPr>
        <w:pStyle w:val="50"/>
        <w:numPr>
          <w:ilvl w:val="0"/>
          <w:numId w:val="10"/>
        </w:numPr>
        <w:spacing w:before="0" w:line="336" w:lineRule="auto"/>
        <w:ind w:firstLine="480"/>
        <w:rPr>
          <w:rFonts w:ascii="宋体"/>
          <w:color w:val="auto"/>
          <w:highlight w:val="none"/>
        </w:rPr>
      </w:pPr>
      <w:r>
        <w:rPr>
          <w:rFonts w:hint="eastAsia" w:ascii="宋体" w:hAnsi="宋体" w:cs="宋体"/>
          <w:color w:val="auto"/>
          <w:highlight w:val="none"/>
          <w:lang w:eastAsia="zh-CN"/>
        </w:rPr>
        <w:t>培训方案</w:t>
      </w:r>
      <w:r>
        <w:rPr>
          <w:rFonts w:hint="eastAsia" w:ascii="宋体" w:hAnsi="宋体" w:cs="宋体"/>
          <w:color w:val="auto"/>
          <w:highlight w:val="none"/>
        </w:rPr>
        <w:t>；</w:t>
      </w:r>
    </w:p>
    <w:p>
      <w:pPr>
        <w:pStyle w:val="50"/>
        <w:numPr>
          <w:ilvl w:val="0"/>
          <w:numId w:val="10"/>
        </w:numPr>
        <w:spacing w:before="0" w:line="336" w:lineRule="auto"/>
        <w:ind w:firstLine="480"/>
        <w:rPr>
          <w:rFonts w:ascii="宋体"/>
          <w:color w:val="auto"/>
          <w:highlight w:val="none"/>
        </w:rPr>
      </w:pPr>
      <w:r>
        <w:rPr>
          <w:rFonts w:hint="eastAsia" w:ascii="宋体" w:hAnsi="宋体" w:cs="宋体"/>
          <w:color w:val="auto"/>
          <w:highlight w:val="none"/>
          <w:lang w:eastAsia="zh-CN"/>
        </w:rPr>
        <w:t>应急响应方案</w:t>
      </w:r>
      <w:r>
        <w:rPr>
          <w:rFonts w:hint="eastAsia" w:ascii="宋体" w:hAnsi="宋体" w:cs="宋体"/>
          <w:color w:val="auto"/>
          <w:highlight w:val="none"/>
        </w:rPr>
        <w:t>；</w:t>
      </w:r>
    </w:p>
    <w:p>
      <w:pPr>
        <w:pStyle w:val="50"/>
        <w:numPr>
          <w:ilvl w:val="0"/>
          <w:numId w:val="10"/>
        </w:numPr>
        <w:spacing w:before="0" w:line="336" w:lineRule="auto"/>
        <w:ind w:firstLine="480"/>
        <w:rPr>
          <w:rFonts w:ascii="宋体"/>
          <w:color w:val="auto"/>
          <w:highlight w:val="none"/>
        </w:rPr>
      </w:pPr>
      <w:r>
        <w:rPr>
          <w:rFonts w:hint="eastAsia" w:ascii="宋体" w:hAnsi="宋体" w:cs="宋体"/>
          <w:color w:val="auto"/>
          <w:highlight w:val="none"/>
          <w:lang w:eastAsia="zh-CN"/>
        </w:rPr>
        <w:t>售后服务；</w:t>
      </w:r>
    </w:p>
    <w:p>
      <w:pPr>
        <w:pStyle w:val="50"/>
        <w:numPr>
          <w:ilvl w:val="0"/>
          <w:numId w:val="10"/>
        </w:numPr>
        <w:spacing w:before="0" w:line="336" w:lineRule="auto"/>
        <w:ind w:firstLine="480"/>
        <w:rPr>
          <w:rFonts w:ascii="宋体"/>
          <w:color w:val="auto"/>
          <w:highlight w:val="none"/>
        </w:rPr>
      </w:pPr>
      <w:r>
        <w:rPr>
          <w:rFonts w:hint="eastAsia" w:ascii="宋体" w:hAnsi="宋体" w:cs="宋体"/>
          <w:color w:val="auto"/>
          <w:highlight w:val="none"/>
          <w:lang w:eastAsia="zh-CN"/>
        </w:rPr>
        <w:t>合理化建议；</w:t>
      </w:r>
    </w:p>
    <w:p>
      <w:pPr>
        <w:pStyle w:val="50"/>
        <w:numPr>
          <w:ilvl w:val="0"/>
          <w:numId w:val="10"/>
        </w:numPr>
        <w:spacing w:before="0" w:line="336" w:lineRule="auto"/>
        <w:ind w:firstLine="480"/>
        <w:rPr>
          <w:rFonts w:ascii="宋体"/>
          <w:color w:val="auto"/>
          <w:highlight w:val="none"/>
        </w:rPr>
      </w:pPr>
      <w:r>
        <w:rPr>
          <w:rFonts w:hint="eastAsia" w:ascii="宋体" w:hAnsi="宋体" w:cs="宋体"/>
          <w:color w:val="auto"/>
          <w:highlight w:val="none"/>
          <w:lang w:eastAsia="zh-CN"/>
        </w:rPr>
        <w:t>本地化服务；</w:t>
      </w:r>
    </w:p>
    <w:p>
      <w:pPr>
        <w:pStyle w:val="50"/>
        <w:numPr>
          <w:ilvl w:val="0"/>
          <w:numId w:val="10"/>
        </w:numPr>
        <w:spacing w:before="0" w:line="336" w:lineRule="auto"/>
        <w:ind w:firstLine="480"/>
        <w:rPr>
          <w:rFonts w:ascii="宋体"/>
          <w:color w:val="auto"/>
          <w:highlight w:val="none"/>
        </w:rPr>
      </w:pPr>
      <w:r>
        <w:rPr>
          <w:rFonts w:hint="eastAsia" w:ascii="宋体" w:hAnsi="宋体" w:cs="宋体"/>
          <w:color w:val="auto"/>
          <w:highlight w:val="none"/>
          <w:lang w:eastAsia="zh-CN"/>
        </w:rPr>
        <w:t>业绩；</w:t>
      </w:r>
    </w:p>
    <w:p>
      <w:pPr>
        <w:pStyle w:val="50"/>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供应商认为需要的其他文件资料。</w:t>
      </w:r>
      <w:r>
        <w:rPr>
          <w:rFonts w:ascii="宋体" w:hAnsi="宋体" w:cs="宋体"/>
          <w:color w:val="auto"/>
          <w:highlight w:val="none"/>
        </w:rPr>
        <w:t xml:space="preserve"> </w:t>
      </w:r>
    </w:p>
    <w:p>
      <w:pPr>
        <w:pStyle w:val="50"/>
        <w:tabs>
          <w:tab w:val="left" w:pos="0"/>
        </w:tabs>
        <w:spacing w:before="0" w:line="336" w:lineRule="auto"/>
        <w:ind w:firstLine="480"/>
        <w:rPr>
          <w:rFonts w:ascii="宋体"/>
          <w:color w:val="auto"/>
          <w:highlight w:val="none"/>
        </w:rPr>
      </w:pPr>
      <w:r>
        <w:rPr>
          <w:rFonts w:hint="eastAsia" w:ascii="宋体" w:hAnsi="宋体" w:cs="宋体"/>
          <w:color w:val="auto"/>
          <w:highlight w:val="none"/>
        </w:rPr>
        <w:t>注：以上内容应与评标办法中内容具有一致性。</w:t>
      </w:r>
    </w:p>
    <w:p>
      <w:pPr>
        <w:pStyle w:val="50"/>
        <w:tabs>
          <w:tab w:val="left" w:pos="0"/>
        </w:tabs>
        <w:spacing w:before="0" w:line="336" w:lineRule="auto"/>
        <w:ind w:firstLine="480"/>
        <w:rPr>
          <w:rFonts w:ascii="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pPr>
        <w:pStyle w:val="50"/>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50"/>
        <w:numPr>
          <w:ilvl w:val="0"/>
          <w:numId w:val="8"/>
        </w:numP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pPr>
        <w:pStyle w:val="50"/>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pPr>
        <w:pStyle w:val="50"/>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报价一览表（格式见附件）；</w:t>
      </w:r>
    </w:p>
    <w:p>
      <w:pPr>
        <w:pStyle w:val="50"/>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磋商报价明细表（格式见附件）。</w:t>
      </w:r>
    </w:p>
    <w:p>
      <w:pPr>
        <w:pStyle w:val="50"/>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注：“资格文件”、“商务技术文件”、“报价文件”须分</w:t>
      </w:r>
      <w:r>
        <w:rPr>
          <w:rFonts w:ascii="宋体" w:hAnsi="宋体" w:cs="宋体"/>
          <w:b/>
          <w:bCs/>
          <w:color w:val="auto"/>
          <w:highlight w:val="none"/>
          <w:u w:val="single"/>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pPr>
        <w:pStyle w:val="50"/>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pPr>
        <w:pStyle w:val="50"/>
        <w:keepNext w:val="0"/>
        <w:keepLines w:val="0"/>
        <w:pageBreakBefore w:val="0"/>
        <w:widowControl/>
        <w:kinsoku/>
        <w:wordWrap/>
        <w:overflowPunct/>
        <w:topLinePunct w:val="0"/>
        <w:autoSpaceDE/>
        <w:autoSpaceDN/>
        <w:bidi w:val="0"/>
        <w:adjustRightInd w:val="0"/>
        <w:snapToGrid/>
        <w:spacing w:before="0" w:line="360"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pPr>
        <w:pStyle w:val="50"/>
        <w:keepNext w:val="0"/>
        <w:keepLines w:val="0"/>
        <w:pageBreakBefore w:val="0"/>
        <w:widowControl/>
        <w:kinsoku/>
        <w:wordWrap/>
        <w:overflowPunct/>
        <w:topLinePunct w:val="0"/>
        <w:autoSpaceDE/>
        <w:autoSpaceDN/>
        <w:bidi w:val="0"/>
        <w:adjustRightInd w:val="0"/>
        <w:snapToGrid/>
        <w:spacing w:before="0" w:line="360"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pPr>
        <w:pStyle w:val="50"/>
        <w:keepNext w:val="0"/>
        <w:keepLines w:val="0"/>
        <w:pageBreakBefore w:val="0"/>
        <w:widowControl/>
        <w:kinsoku/>
        <w:wordWrap/>
        <w:overflowPunct/>
        <w:topLinePunct w:val="0"/>
        <w:autoSpaceDE/>
        <w:autoSpaceDN/>
        <w:bidi w:val="0"/>
        <w:adjustRightInd w:val="0"/>
        <w:snapToGrid/>
        <w:spacing w:before="0" w:line="360"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pPr>
        <w:pStyle w:val="50"/>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pPr>
        <w:pStyle w:val="50"/>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pPr>
        <w:pStyle w:val="50"/>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pPr>
        <w:pStyle w:val="50"/>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pPr>
        <w:pStyle w:val="50"/>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pPr>
        <w:pStyle w:val="50"/>
        <w:spacing w:before="0" w:line="336" w:lineRule="auto"/>
        <w:ind w:left="40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供应商采取提供虚假资料等不正当手段的；</w:t>
      </w:r>
    </w:p>
    <w:p>
      <w:pPr>
        <w:pStyle w:val="50"/>
        <w:spacing w:before="0" w:line="336" w:lineRule="auto"/>
        <w:ind w:left="40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6</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pPr>
        <w:pStyle w:val="50"/>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pPr>
        <w:pStyle w:val="50"/>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pPr>
        <w:pStyle w:val="50"/>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响应文件须按附件格式要求进行电子签章，供应商应写全称。（电子磋商响应文件中所须加盖公章部分均应采用电子签章）</w:t>
      </w:r>
    </w:p>
    <w:p>
      <w:pPr>
        <w:pStyle w:val="50"/>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pPr>
        <w:pStyle w:val="50"/>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pPr>
        <w:pStyle w:val="50"/>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w:t>
      </w:r>
      <w:r>
        <w:rPr>
          <w:rFonts w:ascii="宋体" w:hAnsi="宋体" w:cs="宋体"/>
          <w:b/>
          <w:bCs/>
          <w:color w:val="auto"/>
          <w:highlight w:val="none"/>
        </w:rPr>
        <w:t xml:space="preserve"> </w:t>
      </w:r>
      <w:r>
        <w:rPr>
          <w:rFonts w:hint="eastAsia" w:ascii="宋体" w:hAnsi="宋体" w:cs="宋体"/>
          <w:b/>
          <w:bCs/>
          <w:color w:val="auto"/>
          <w:highlight w:val="none"/>
        </w:rPr>
        <w:t>响应文件的形式</w:t>
      </w:r>
    </w:p>
    <w:p>
      <w:pPr>
        <w:pStyle w:val="50"/>
        <w:keepNext w:val="0"/>
        <w:keepLines w:val="0"/>
        <w:pageBreakBefore w:val="0"/>
        <w:widowControl/>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ascii="宋体" w:cs="宋体"/>
          <w:color w:val="auto"/>
          <w:highlight w:val="none"/>
        </w:rPr>
        <w:t>-</w:t>
      </w:r>
      <w:r>
        <w:rPr>
          <w:rFonts w:hint="eastAsia" w:ascii="宋体" w:hAnsi="宋体" w:cs="宋体"/>
          <w:color w:val="auto"/>
          <w:highlight w:val="none"/>
        </w:rPr>
        <w:t>电子招投标操作指南”及本磋商文件要求制作、加密传输。</w:t>
      </w:r>
    </w:p>
    <w:p>
      <w:pPr>
        <w:pStyle w:val="4"/>
        <w:numPr>
          <w:ilvl w:val="0"/>
          <w:numId w:val="7"/>
        </w:numPr>
        <w:jc w:val="center"/>
        <w:rPr>
          <w:rFonts w:cs="Times New Roman"/>
          <w:color w:val="auto"/>
          <w:highlight w:val="none"/>
        </w:rPr>
      </w:pPr>
      <w:bookmarkStart w:id="55" w:name="_Toc1420"/>
      <w:r>
        <w:rPr>
          <w:color w:val="auto"/>
          <w:highlight w:val="none"/>
        </w:rPr>
        <w:t xml:space="preserve"> </w:t>
      </w:r>
      <w:bookmarkStart w:id="56" w:name="_Toc21266"/>
      <w:bookmarkStart w:id="57" w:name="_Toc32523"/>
      <w:r>
        <w:rPr>
          <w:rFonts w:hint="eastAsia"/>
          <w:color w:val="auto"/>
          <w:highlight w:val="none"/>
        </w:rPr>
        <w:t>响应文件的递交</w:t>
      </w:r>
      <w:bookmarkEnd w:id="55"/>
      <w:bookmarkEnd w:id="56"/>
      <w:bookmarkEnd w:id="57"/>
    </w:p>
    <w:p>
      <w:pPr>
        <w:pStyle w:val="13"/>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pPr>
        <w:pStyle w:val="50"/>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pPr>
        <w:pStyle w:val="50"/>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pPr>
        <w:pStyle w:val="13"/>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pPr>
        <w:pStyle w:val="13"/>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pPr>
        <w:pStyle w:val="4"/>
        <w:numPr>
          <w:ilvl w:val="0"/>
          <w:numId w:val="7"/>
        </w:numPr>
        <w:jc w:val="center"/>
        <w:rPr>
          <w:rFonts w:hAnsi="宋体" w:cs="Times New Roman"/>
          <w:color w:val="auto"/>
          <w:highlight w:val="none"/>
        </w:rPr>
      </w:pPr>
      <w:r>
        <w:rPr>
          <w:color w:val="auto"/>
          <w:highlight w:val="none"/>
        </w:rPr>
        <w:t xml:space="preserve"> </w:t>
      </w:r>
      <w:bookmarkStart w:id="58" w:name="_Toc24120"/>
      <w:bookmarkStart w:id="59" w:name="_Toc31149"/>
      <w:r>
        <w:rPr>
          <w:rFonts w:hint="eastAsia"/>
          <w:color w:val="auto"/>
          <w:highlight w:val="none"/>
        </w:rPr>
        <w:t>磋商无效的情形</w:t>
      </w:r>
      <w:bookmarkEnd w:id="58"/>
      <w:bookmarkEnd w:id="59"/>
    </w:p>
    <w:p>
      <w:pPr>
        <w:pStyle w:val="13"/>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pPr>
        <w:pStyle w:val="13"/>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ascii="宋体" w:cs="宋体"/>
          <w:b/>
          <w:bCs/>
          <w:color w:val="auto"/>
          <w:sz w:val="24"/>
          <w:szCs w:val="24"/>
          <w:highlight w:val="none"/>
        </w:rPr>
        <w:t>,</w:t>
      </w:r>
      <w:r>
        <w:rPr>
          <w:rFonts w:hint="eastAsia" w:ascii="宋体" w:hAnsi="宋体" w:cs="宋体"/>
          <w:b/>
          <w:bCs/>
          <w:color w:val="auto"/>
          <w:sz w:val="24"/>
          <w:szCs w:val="24"/>
          <w:highlight w:val="none"/>
        </w:rPr>
        <w:t>经评标委员会认定为无法评审的；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内的主要产品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重要组成部分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出现技术、商务描述不一致或前后描述不一致，经评标委员会认定后为无法评审的；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pP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pPr>
        <w:tabs>
          <w:tab w:val="left" w:pos="3870"/>
          <w:tab w:val="left" w:pos="4085"/>
        </w:tabs>
        <w:snapToGrid w:val="0"/>
        <w:spacing w:line="336" w:lineRule="auto"/>
        <w:ind w:firstLine="482" w:firstLineChars="200"/>
        <w:jc w:val="left"/>
        <w:rPr>
          <w:rFonts w:ascii="宋体" w:hAnsi="宋体" w:cs="宋体"/>
          <w:b/>
          <w:color w:val="auto"/>
          <w:sz w:val="24"/>
          <w:highlight w:val="none"/>
        </w:rPr>
      </w:pPr>
      <w:r>
        <w:rPr>
          <w:rFonts w:hint="eastAsia" w:ascii="宋体" w:hAnsi="宋体" w:cs="宋体"/>
          <w:b/>
          <w:bCs/>
          <w:color w:val="auto"/>
          <w:sz w:val="24"/>
          <w:szCs w:val="24"/>
          <w:highlight w:val="none"/>
        </w:rPr>
        <w:t>16.17</w:t>
      </w:r>
      <w:r>
        <w:rPr>
          <w:rFonts w:hint="eastAsia" w:ascii="宋体" w:hAnsi="宋体" w:cs="宋体"/>
          <w:b/>
          <w:color w:val="auto"/>
          <w:sz w:val="24"/>
          <w:highlight w:val="none"/>
        </w:rPr>
        <w:t>员工工资标准低于上虞区最低工资标准的；</w:t>
      </w:r>
    </w:p>
    <w:p>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16.18 其他违反法律、法规的情形。</w:t>
      </w:r>
    </w:p>
    <w:p>
      <w:pPr>
        <w:pStyle w:val="4"/>
        <w:numPr>
          <w:ilvl w:val="0"/>
          <w:numId w:val="7"/>
        </w:numPr>
        <w:jc w:val="center"/>
        <w:rPr>
          <w:rFonts w:cs="Times New Roman"/>
          <w:color w:val="auto"/>
          <w:highlight w:val="none"/>
        </w:rPr>
      </w:pPr>
      <w:r>
        <w:rPr>
          <w:color w:val="auto"/>
          <w:highlight w:val="none"/>
        </w:rPr>
        <w:t xml:space="preserve"> </w:t>
      </w:r>
      <w:bookmarkStart w:id="60" w:name="_Toc21752"/>
      <w:bookmarkStart w:id="61" w:name="_Toc6023"/>
      <w:r>
        <w:rPr>
          <w:rFonts w:hint="eastAsia"/>
          <w:color w:val="auto"/>
          <w:highlight w:val="none"/>
        </w:rPr>
        <w:t>采购中止的情形</w:t>
      </w:r>
      <w:bookmarkEnd w:id="60"/>
      <w:bookmarkEnd w:id="61"/>
    </w:p>
    <w:p>
      <w:pPr>
        <w:pStyle w:val="13"/>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pPr>
        <w:pStyle w:val="50"/>
        <w:keepNext w:val="0"/>
        <w:keepLines w:val="0"/>
        <w:pageBreakBefore w:val="0"/>
        <w:tabs>
          <w:tab w:val="left" w:pos="0"/>
        </w:tabs>
        <w:kinsoku/>
        <w:wordWrap/>
        <w:overflowPunct/>
        <w:topLinePunct w:val="0"/>
        <w:autoSpaceDE/>
        <w:autoSpaceDN/>
        <w:bidi w:val="0"/>
        <w:snapToGrid/>
        <w:spacing w:before="0" w:line="336" w:lineRule="auto"/>
        <w:ind w:left="0" w:leftChars="0" w:firstLine="480" w:firstLineChars="200"/>
        <w:textAlignment w:val="auto"/>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pPr>
        <w:keepNext w:val="0"/>
        <w:keepLines w:val="0"/>
        <w:pageBreakBefore w:val="0"/>
        <w:numPr>
          <w:ilvl w:val="0"/>
          <w:numId w:val="13"/>
        </w:numPr>
        <w:tabs>
          <w:tab w:val="left" w:pos="0"/>
        </w:tabs>
        <w:kinsoku/>
        <w:wordWrap/>
        <w:overflowPunct/>
        <w:topLinePunct w:val="0"/>
        <w:autoSpaceDE/>
        <w:autoSpaceDN/>
        <w:bidi w:val="0"/>
        <w:snapToGrid/>
        <w:spacing w:line="336" w:lineRule="auto"/>
        <w:ind w:left="0" w:leftChars="0"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pPr>
        <w:keepNext w:val="0"/>
        <w:keepLines w:val="0"/>
        <w:pageBreakBefore w:val="0"/>
        <w:numPr>
          <w:ilvl w:val="0"/>
          <w:numId w:val="13"/>
        </w:numPr>
        <w:tabs>
          <w:tab w:val="left" w:pos="0"/>
        </w:tabs>
        <w:kinsoku/>
        <w:wordWrap/>
        <w:overflowPunct/>
        <w:topLinePunct w:val="0"/>
        <w:autoSpaceDE/>
        <w:autoSpaceDN/>
        <w:bidi w:val="0"/>
        <w:snapToGrid/>
        <w:spacing w:line="336" w:lineRule="auto"/>
        <w:ind w:left="0" w:leftChars="0"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pPr>
        <w:keepNext w:val="0"/>
        <w:keepLines w:val="0"/>
        <w:pageBreakBefore w:val="0"/>
        <w:numPr>
          <w:ilvl w:val="0"/>
          <w:numId w:val="13"/>
        </w:numPr>
        <w:tabs>
          <w:tab w:val="left" w:pos="0"/>
        </w:tabs>
        <w:kinsoku/>
        <w:wordWrap/>
        <w:overflowPunct/>
        <w:topLinePunct w:val="0"/>
        <w:autoSpaceDE/>
        <w:autoSpaceDN/>
        <w:bidi w:val="0"/>
        <w:snapToGrid/>
        <w:spacing w:line="336" w:lineRule="auto"/>
        <w:ind w:left="0" w:leftChars="0"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pPr>
        <w:keepNext w:val="0"/>
        <w:keepLines w:val="0"/>
        <w:pageBreakBefore w:val="0"/>
        <w:numPr>
          <w:ilvl w:val="0"/>
          <w:numId w:val="13"/>
        </w:numPr>
        <w:tabs>
          <w:tab w:val="left" w:pos="0"/>
        </w:tabs>
        <w:kinsoku/>
        <w:wordWrap/>
        <w:overflowPunct/>
        <w:topLinePunct w:val="0"/>
        <w:autoSpaceDE/>
        <w:autoSpaceDN/>
        <w:bidi w:val="0"/>
        <w:snapToGrid/>
        <w:spacing w:line="336" w:lineRule="auto"/>
        <w:ind w:left="0" w:leftChars="0"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pPr>
        <w:keepNext w:val="0"/>
        <w:keepLines w:val="0"/>
        <w:pageBreakBefore w:val="0"/>
        <w:numPr>
          <w:ilvl w:val="0"/>
          <w:numId w:val="13"/>
        </w:numPr>
        <w:tabs>
          <w:tab w:val="left" w:pos="0"/>
        </w:tabs>
        <w:kinsoku/>
        <w:wordWrap/>
        <w:overflowPunct/>
        <w:topLinePunct w:val="0"/>
        <w:autoSpaceDE/>
        <w:autoSpaceDN/>
        <w:bidi w:val="0"/>
        <w:snapToGrid/>
        <w:spacing w:line="336" w:lineRule="auto"/>
        <w:ind w:left="0" w:leftChars="0"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pPr>
        <w:pStyle w:val="50"/>
        <w:keepNext w:val="0"/>
        <w:keepLines w:val="0"/>
        <w:pageBreakBefore w:val="0"/>
        <w:tabs>
          <w:tab w:val="left" w:pos="0"/>
        </w:tabs>
        <w:kinsoku/>
        <w:wordWrap/>
        <w:overflowPunct/>
        <w:topLinePunct w:val="0"/>
        <w:autoSpaceDE/>
        <w:autoSpaceDN/>
        <w:bidi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pPr>
        <w:pStyle w:val="4"/>
        <w:numPr>
          <w:ilvl w:val="0"/>
          <w:numId w:val="7"/>
        </w:numPr>
        <w:jc w:val="center"/>
        <w:rPr>
          <w:rFonts w:cs="Times New Roman"/>
          <w:color w:val="auto"/>
          <w:highlight w:val="none"/>
        </w:rPr>
      </w:pPr>
      <w:r>
        <w:rPr>
          <w:color w:val="auto"/>
          <w:highlight w:val="none"/>
        </w:rPr>
        <w:t xml:space="preserve"> </w:t>
      </w:r>
      <w:bookmarkStart w:id="62" w:name="_Toc14029"/>
      <w:bookmarkStart w:id="63" w:name="_Toc5935"/>
      <w:r>
        <w:rPr>
          <w:rFonts w:hint="eastAsia"/>
          <w:color w:val="auto"/>
          <w:highlight w:val="none"/>
        </w:rPr>
        <w:t>确定成交供应商与签订合同</w:t>
      </w:r>
      <w:bookmarkEnd w:id="62"/>
      <w:bookmarkEnd w:id="63"/>
    </w:p>
    <w:p>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pPr>
        <w:pStyle w:val="50"/>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pPr>
        <w:pStyle w:val="50"/>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pP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pP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绍兴市上虞区气象局</w:t>
      </w:r>
      <w:r>
        <w:rPr>
          <w:rFonts w:hint="eastAsia" w:ascii="宋体" w:hAnsi="宋体" w:cs="宋体"/>
          <w:color w:val="auto"/>
          <w:sz w:val="24"/>
          <w:szCs w:val="24"/>
          <w:highlight w:val="none"/>
        </w:rPr>
        <w:t>和</w:t>
      </w:r>
      <w:r>
        <w:rPr>
          <w:rFonts w:hint="eastAsia" w:ascii="宋体" w:hAnsi="宋体" w:cs="宋体"/>
          <w:color w:val="auto"/>
          <w:sz w:val="24"/>
          <w:szCs w:val="24"/>
          <w:highlight w:val="none"/>
          <w:u w:val="single"/>
          <w:lang w:eastAsia="zh-CN"/>
        </w:rPr>
        <w:t>中纬工程管理咨询有限公司</w:t>
      </w:r>
      <w:r>
        <w:rPr>
          <w:rFonts w:hint="eastAsia" w:ascii="宋体" w:hAnsi="宋体" w:cs="宋体"/>
          <w:color w:val="auto"/>
          <w:sz w:val="24"/>
          <w:szCs w:val="24"/>
          <w:highlight w:val="none"/>
        </w:rPr>
        <w:t>。</w:t>
      </w:r>
    </w:p>
    <w:p>
      <w:pPr>
        <w:pStyle w:val="3"/>
        <w:jc w:val="center"/>
        <w:rPr>
          <w:rFonts w:cs="宋体"/>
          <w:color w:val="auto"/>
          <w:sz w:val="36"/>
          <w:szCs w:val="36"/>
          <w:highlight w:val="none"/>
        </w:rPr>
      </w:pPr>
      <w:r>
        <w:rPr>
          <w:color w:val="auto"/>
          <w:sz w:val="36"/>
          <w:szCs w:val="36"/>
          <w:highlight w:val="none"/>
        </w:rPr>
        <w:br w:type="page"/>
      </w:r>
      <w:bookmarkStart w:id="64" w:name="_Toc17731"/>
      <w:bookmarkStart w:id="65" w:name="_Toc21248"/>
      <w:r>
        <w:rPr>
          <w:rFonts w:hint="eastAsia"/>
          <w:color w:val="auto"/>
          <w:sz w:val="36"/>
          <w:szCs w:val="36"/>
          <w:highlight w:val="none"/>
        </w:rPr>
        <w:t xml:space="preserve">第三部分 </w:t>
      </w:r>
      <w:r>
        <w:rPr>
          <w:rFonts w:hint="eastAsia" w:cs="宋体"/>
          <w:color w:val="auto"/>
          <w:sz w:val="36"/>
          <w:szCs w:val="36"/>
          <w:highlight w:val="none"/>
        </w:rPr>
        <w:t>采购内容及要求</w:t>
      </w:r>
      <w:bookmarkEnd w:id="64"/>
      <w:bookmarkEnd w:id="65"/>
    </w:p>
    <w:p>
      <w:pPr>
        <w:pStyle w:val="4"/>
        <w:spacing w:line="336" w:lineRule="auto"/>
        <w:jc w:val="center"/>
        <w:rPr>
          <w:color w:val="auto"/>
          <w:highlight w:val="none"/>
        </w:rPr>
      </w:pPr>
      <w:r>
        <w:rPr>
          <w:rFonts w:hint="eastAsia"/>
          <w:color w:val="auto"/>
          <w:highlight w:val="none"/>
        </w:rPr>
        <w:t>第一章 采购内容及要求</w:t>
      </w:r>
    </w:p>
    <w:p>
      <w:pPr>
        <w:numPr>
          <w:ilvl w:val="0"/>
          <w:numId w:val="0"/>
        </w:numPr>
        <w:spacing w:line="360" w:lineRule="auto"/>
        <w:rPr>
          <w:rFonts w:ascii="宋体" w:hAnsi="宋体" w:cs="宋体"/>
          <w:b/>
          <w:bCs/>
          <w:color w:val="auto"/>
          <w:kern w:val="2"/>
          <w:sz w:val="24"/>
          <w:szCs w:val="24"/>
          <w:highlight w:val="none"/>
        </w:rPr>
      </w:pPr>
      <w:bookmarkStart w:id="66" w:name="_Toc15284"/>
      <w:r>
        <w:rPr>
          <w:rFonts w:hint="eastAsia" w:ascii="宋体" w:hAnsi="宋体" w:cs="宋体"/>
          <w:b/>
          <w:bCs/>
          <w:color w:val="auto"/>
          <w:kern w:val="2"/>
          <w:sz w:val="24"/>
          <w:szCs w:val="24"/>
          <w:highlight w:val="none"/>
          <w:lang w:eastAsia="zh-CN"/>
        </w:rPr>
        <w:t>一、</w:t>
      </w:r>
      <w:r>
        <w:rPr>
          <w:rFonts w:hint="eastAsia" w:ascii="宋体" w:hAnsi="宋体" w:cs="宋体"/>
          <w:b/>
          <w:bCs/>
          <w:color w:val="auto"/>
          <w:kern w:val="2"/>
          <w:sz w:val="24"/>
          <w:szCs w:val="24"/>
          <w:highlight w:val="none"/>
        </w:rPr>
        <w:t>采购内容：</w:t>
      </w:r>
    </w:p>
    <w:p>
      <w:pPr>
        <w:numPr>
          <w:ilvl w:val="0"/>
          <w:numId w:val="14"/>
        </w:numPr>
        <w:spacing w:line="360" w:lineRule="auto"/>
        <w:ind w:firstLine="480"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服务期：一年；</w:t>
      </w:r>
    </w:p>
    <w:p>
      <w:pPr>
        <w:numPr>
          <w:ilvl w:val="0"/>
          <w:numId w:val="14"/>
        </w:numPr>
        <w:spacing w:line="360" w:lineRule="auto"/>
        <w:ind w:firstLine="480"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每日制作2套“上虞天气预报”电视节目，于每天16：00前完成，产品格式为mpg或mp4标清数字视频。2套《上虞天气》影视节目分别包括以下内容，在特殊天气情况下，经采购人要求，节目时间可适当延长，费用不增加。</w:t>
      </w:r>
    </w:p>
    <w:tbl>
      <w:tblPr>
        <w:tblStyle w:val="26"/>
        <w:tblW w:w="847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83"/>
        <w:gridCol w:w="370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3083" w:type="dxa"/>
            <w:noWrap/>
          </w:tcPr>
          <w:p>
            <w:pPr>
              <w:spacing w:line="360" w:lineRule="auto"/>
              <w:jc w:val="center"/>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内    容</w:t>
            </w:r>
          </w:p>
        </w:tc>
        <w:tc>
          <w:tcPr>
            <w:tcW w:w="3700" w:type="dxa"/>
            <w:noWrap/>
          </w:tcPr>
          <w:p>
            <w:pPr>
              <w:spacing w:line="360" w:lineRule="auto"/>
              <w:jc w:val="center"/>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长     度</w:t>
            </w:r>
          </w:p>
        </w:tc>
        <w:tc>
          <w:tcPr>
            <w:tcW w:w="1695" w:type="dxa"/>
            <w:noWrap/>
          </w:tcPr>
          <w:p>
            <w:pPr>
              <w:spacing w:line="360" w:lineRule="auto"/>
              <w:jc w:val="center"/>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3083"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片头</w:t>
            </w:r>
          </w:p>
        </w:tc>
        <w:tc>
          <w:tcPr>
            <w:tcW w:w="3700"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15秒</w:t>
            </w:r>
          </w:p>
        </w:tc>
        <w:tc>
          <w:tcPr>
            <w:tcW w:w="1695"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标清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083"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主持人出镜</w:t>
            </w:r>
          </w:p>
        </w:tc>
        <w:tc>
          <w:tcPr>
            <w:tcW w:w="3700"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根据采购人提供的文稿长度</w:t>
            </w:r>
          </w:p>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一般75秒</w:t>
            </w:r>
          </w:p>
        </w:tc>
        <w:tc>
          <w:tcPr>
            <w:tcW w:w="1695"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标清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atLeast"/>
        </w:trPr>
        <w:tc>
          <w:tcPr>
            <w:tcW w:w="3083"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乡镇（景点）预报与生活指数预报图文及配音</w:t>
            </w:r>
          </w:p>
        </w:tc>
        <w:tc>
          <w:tcPr>
            <w:tcW w:w="3700"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1分钟50秒</w:t>
            </w:r>
          </w:p>
        </w:tc>
        <w:tc>
          <w:tcPr>
            <w:tcW w:w="1695"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标清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3083"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片尾</w:t>
            </w:r>
          </w:p>
        </w:tc>
        <w:tc>
          <w:tcPr>
            <w:tcW w:w="3700"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10秒</w:t>
            </w:r>
          </w:p>
        </w:tc>
        <w:tc>
          <w:tcPr>
            <w:tcW w:w="1695"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标清</w:t>
            </w:r>
          </w:p>
        </w:tc>
      </w:tr>
    </w:tbl>
    <w:p>
      <w:pPr>
        <w:spacing w:line="360" w:lineRule="auto"/>
        <w:rPr>
          <w:rFonts w:ascii="宋体" w:hAnsi="宋体" w:cs="宋体"/>
          <w:b/>
          <w:bCs/>
          <w:color w:val="auto"/>
          <w:kern w:val="2"/>
          <w:sz w:val="24"/>
          <w:szCs w:val="24"/>
          <w:highlight w:val="none"/>
        </w:rPr>
      </w:pPr>
      <w:r>
        <w:rPr>
          <w:rFonts w:hint="eastAsia" w:ascii="宋体" w:hAnsi="宋体" w:cs="宋体"/>
          <w:b/>
          <w:bCs/>
          <w:color w:val="auto"/>
          <w:kern w:val="2"/>
          <w:sz w:val="24"/>
          <w:szCs w:val="24"/>
          <w:highlight w:val="none"/>
        </w:rPr>
        <w:t>二、专业要求：</w:t>
      </w:r>
    </w:p>
    <w:p>
      <w:pPr>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供应商应具备电视天气预报节目制作业务经验，从事相关工作3年以上</w:t>
      </w:r>
      <w:r>
        <w:rPr>
          <w:rFonts w:hint="eastAsia" w:ascii="宋体" w:hAnsi="宋体" w:cs="宋体"/>
          <w:color w:val="auto"/>
          <w:kern w:val="2"/>
          <w:sz w:val="24"/>
          <w:szCs w:val="24"/>
          <w:highlight w:val="none"/>
          <w:lang w:eastAsia="zh-CN"/>
        </w:rPr>
        <w:t>。</w:t>
      </w:r>
    </w:p>
    <w:p>
      <w:pPr>
        <w:spacing w:line="360" w:lineRule="auto"/>
        <w:rPr>
          <w:rFonts w:ascii="宋体" w:hAnsi="宋体" w:cs="宋体"/>
          <w:b/>
          <w:bCs/>
          <w:color w:val="auto"/>
          <w:kern w:val="2"/>
          <w:sz w:val="24"/>
          <w:szCs w:val="24"/>
          <w:highlight w:val="none"/>
        </w:rPr>
      </w:pPr>
      <w:r>
        <w:rPr>
          <w:rFonts w:hint="eastAsia" w:ascii="宋体" w:hAnsi="宋体" w:cs="宋体"/>
          <w:b/>
          <w:bCs/>
          <w:color w:val="auto"/>
          <w:kern w:val="2"/>
          <w:sz w:val="24"/>
          <w:szCs w:val="24"/>
          <w:highlight w:val="none"/>
        </w:rPr>
        <w:t>三、服务要求：</w:t>
      </w:r>
    </w:p>
    <w:p>
      <w:pPr>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 xml:space="preserve">    （1）每期节目制作由供应商负责落实出镜主持人1</w:t>
      </w:r>
      <w:r>
        <w:rPr>
          <w:rFonts w:hint="eastAsia" w:ascii="宋体" w:hAnsi="宋体" w:cs="宋体"/>
          <w:color w:val="auto"/>
          <w:kern w:val="2"/>
          <w:sz w:val="24"/>
          <w:szCs w:val="24"/>
          <w:highlight w:val="none"/>
          <w:lang w:eastAsia="zh-CN"/>
        </w:rPr>
        <w:t>岗</w:t>
      </w:r>
      <w:r>
        <w:rPr>
          <w:rFonts w:hint="eastAsia" w:ascii="宋体" w:hAnsi="宋体" w:cs="宋体"/>
          <w:color w:val="auto"/>
          <w:kern w:val="2"/>
          <w:sz w:val="24"/>
          <w:szCs w:val="24"/>
          <w:highlight w:val="none"/>
        </w:rPr>
        <w:t>（需具备普通话等级一级乙等及以上）、节目编导制作人员1</w:t>
      </w:r>
      <w:r>
        <w:rPr>
          <w:rFonts w:hint="eastAsia" w:ascii="宋体" w:hAnsi="宋体" w:cs="宋体"/>
          <w:color w:val="auto"/>
          <w:kern w:val="2"/>
          <w:sz w:val="24"/>
          <w:szCs w:val="24"/>
          <w:highlight w:val="none"/>
          <w:lang w:eastAsia="zh-CN"/>
        </w:rPr>
        <w:t>岗</w:t>
      </w:r>
      <w:r>
        <w:rPr>
          <w:rFonts w:hint="eastAsia" w:ascii="宋体" w:hAnsi="宋体" w:cs="宋体"/>
          <w:color w:val="auto"/>
          <w:kern w:val="2"/>
          <w:sz w:val="24"/>
          <w:szCs w:val="24"/>
          <w:highlight w:val="none"/>
        </w:rPr>
        <w:t>（具备</w:t>
      </w:r>
      <w:r>
        <w:rPr>
          <w:rFonts w:hint="eastAsia" w:ascii="宋体" w:hAnsi="宋体" w:cs="宋体"/>
          <w:color w:val="auto"/>
          <w:kern w:val="2"/>
          <w:sz w:val="24"/>
          <w:szCs w:val="24"/>
          <w:highlight w:val="none"/>
          <w:lang w:val="en-US" w:eastAsia="zh-CN"/>
        </w:rPr>
        <w:t>广告师职业资格</w:t>
      </w:r>
      <w:r>
        <w:rPr>
          <w:rFonts w:hint="eastAsia" w:ascii="宋体" w:hAnsi="宋体" w:cs="宋体"/>
          <w:color w:val="auto"/>
          <w:kern w:val="2"/>
          <w:sz w:val="24"/>
          <w:szCs w:val="24"/>
          <w:highlight w:val="none"/>
        </w:rPr>
        <w:t>）、气象相关专业人员1</w:t>
      </w:r>
      <w:r>
        <w:rPr>
          <w:rFonts w:hint="eastAsia" w:ascii="宋体" w:hAnsi="宋体" w:cs="宋体"/>
          <w:color w:val="auto"/>
          <w:kern w:val="2"/>
          <w:sz w:val="24"/>
          <w:szCs w:val="24"/>
          <w:highlight w:val="none"/>
          <w:lang w:eastAsia="zh-CN"/>
        </w:rPr>
        <w:t>岗</w:t>
      </w:r>
      <w:r>
        <w:rPr>
          <w:rFonts w:hint="eastAsia" w:ascii="宋体" w:hAnsi="宋体" w:cs="宋体"/>
          <w:color w:val="auto"/>
          <w:kern w:val="2"/>
          <w:sz w:val="24"/>
          <w:szCs w:val="24"/>
          <w:highlight w:val="none"/>
        </w:rPr>
        <w:t>（具备气象相关专业本科及以上学历，有气象专业术语及专用图像识别能力）在区气象局影视节目制作中心现场办公（时间：8:30-17:15），同时落实出镜主持人和节目编导各1</w:t>
      </w:r>
      <w:r>
        <w:rPr>
          <w:rFonts w:hint="eastAsia" w:ascii="宋体" w:hAnsi="宋体" w:cs="宋体"/>
          <w:color w:val="auto"/>
          <w:kern w:val="2"/>
          <w:sz w:val="24"/>
          <w:szCs w:val="24"/>
          <w:highlight w:val="none"/>
          <w:lang w:val="en-US" w:eastAsia="zh-CN"/>
        </w:rPr>
        <w:t>岗</w:t>
      </w:r>
      <w:r>
        <w:rPr>
          <w:rFonts w:hint="eastAsia" w:ascii="宋体" w:hAnsi="宋体" w:cs="宋体"/>
          <w:color w:val="auto"/>
          <w:kern w:val="2"/>
          <w:sz w:val="24"/>
          <w:szCs w:val="24"/>
          <w:highlight w:val="none"/>
        </w:rPr>
        <w:t>备勤（出现因人员调配原因导致节目无法制作情况，须1小时内抵达制作中心现场办公）。制作节目所产生的节目包装，设备平台和数据传输，节目素材和耗材，人工劳务，节目主持人服装化妆、形象包装等产生的费用由供应商负责。派驻人员需遵守采购单位的管理制度，供应商要配合采购人做好对派驻人员的管理。</w:t>
      </w:r>
    </w:p>
    <w:p>
      <w:pPr>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 xml:space="preserve">    （2）因设备故障等问题无法完成常规的《上虞天气》影视节目时，供应商应于每日18：00前提供应急气象节目。电视天气预报制作人员调配安排由供应商自行负责协调，但需保证在规定时间内保质保量完成每天的电视天气预报节目制作任务。为确保供应商保质保量地完成节目制作，采购人有权利对供应商承担的职责进行考核，具体考核内容如下表，服务质量按月定量考核，季度汇总，考核分应在90分以上。连续三个月低于90分的，视为考核不合格</w:t>
      </w:r>
      <w:r>
        <w:rPr>
          <w:rFonts w:hint="eastAsia" w:ascii="宋体" w:hAnsi="宋体" w:cs="宋体"/>
          <w:color w:val="auto"/>
          <w:kern w:val="2"/>
          <w:sz w:val="24"/>
          <w:szCs w:val="24"/>
          <w:highlight w:val="none"/>
          <w:lang w:eastAsia="zh-CN"/>
        </w:rPr>
        <w:t>，采购人有权解除合同；考核分在</w:t>
      </w:r>
      <w:r>
        <w:rPr>
          <w:rFonts w:hint="eastAsia" w:ascii="宋体" w:hAnsi="宋体" w:cs="宋体"/>
          <w:color w:val="auto"/>
          <w:kern w:val="2"/>
          <w:sz w:val="24"/>
          <w:szCs w:val="24"/>
          <w:highlight w:val="none"/>
          <w:lang w:val="en-US" w:eastAsia="zh-CN"/>
        </w:rPr>
        <w:t>90分以上的全额发放合同价款</w:t>
      </w:r>
      <w:r>
        <w:rPr>
          <w:rFonts w:hint="eastAsia" w:ascii="宋体" w:hAnsi="宋体" w:cs="宋体"/>
          <w:color w:val="auto"/>
          <w:kern w:val="2"/>
          <w:sz w:val="24"/>
          <w:szCs w:val="24"/>
          <w:highlight w:val="none"/>
        </w:rPr>
        <w:t>。</w:t>
      </w:r>
    </w:p>
    <w:p>
      <w:pPr>
        <w:spacing w:line="360" w:lineRule="auto"/>
        <w:ind w:firstLine="424" w:firstLineChars="177"/>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月考核评分表</w:t>
      </w:r>
    </w:p>
    <w:tbl>
      <w:tblPr>
        <w:tblStyle w:val="26"/>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4678"/>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8" w:type="dxa"/>
            <w:noWrap/>
          </w:tcPr>
          <w:p>
            <w:pPr>
              <w:spacing w:line="360" w:lineRule="auto"/>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   考核项目</w:t>
            </w:r>
          </w:p>
        </w:tc>
        <w:tc>
          <w:tcPr>
            <w:tcW w:w="4678" w:type="dxa"/>
            <w:tcBorders>
              <w:right w:val="single" w:color="auto" w:sz="4" w:space="0"/>
            </w:tcBorders>
            <w:noWrap/>
          </w:tcPr>
          <w:p>
            <w:pPr>
              <w:spacing w:line="360" w:lineRule="auto"/>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         考核内容和标准</w:t>
            </w:r>
          </w:p>
        </w:tc>
        <w:tc>
          <w:tcPr>
            <w:tcW w:w="1418" w:type="dxa"/>
            <w:tcBorders>
              <w:left w:val="single" w:color="auto" w:sz="4" w:space="0"/>
            </w:tcBorders>
            <w:noWrap/>
          </w:tcPr>
          <w:p>
            <w:pPr>
              <w:spacing w:line="360" w:lineRule="auto"/>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扣分情况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8"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节目完成数量</w:t>
            </w:r>
          </w:p>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（40分）</w:t>
            </w:r>
          </w:p>
        </w:tc>
        <w:tc>
          <w:tcPr>
            <w:tcW w:w="4678" w:type="dxa"/>
            <w:tcBorders>
              <w:right w:val="single" w:color="auto" w:sz="4" w:space="0"/>
            </w:tcBorders>
            <w:noWrap/>
          </w:tcPr>
          <w:p>
            <w:pPr>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每天于16：00前完成2套《上虞天气》节目，由供应商原因造成的当天节目未完成，每一套扣除3分。</w:t>
            </w:r>
          </w:p>
          <w:p>
            <w:pPr>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（注：当供应商遇到设备故障等问题无法完成常规的《上虞天气》影视节目时，应于每日18：00前提供应急气象节目）</w:t>
            </w:r>
          </w:p>
        </w:tc>
        <w:tc>
          <w:tcPr>
            <w:tcW w:w="1418" w:type="dxa"/>
            <w:tcBorders>
              <w:left w:val="single" w:color="auto" w:sz="4" w:space="0"/>
            </w:tcBorders>
            <w:noWrap/>
          </w:tcPr>
          <w:p>
            <w:pPr>
              <w:spacing w:line="360" w:lineRule="auto"/>
              <w:rPr>
                <w:rFonts w:ascii="宋体" w:hAnsi="宋体" w:cs="宋体"/>
                <w:color w:val="auto"/>
                <w:kern w:val="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8"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节目完成质量</w:t>
            </w:r>
          </w:p>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（10分）</w:t>
            </w:r>
          </w:p>
        </w:tc>
        <w:tc>
          <w:tcPr>
            <w:tcW w:w="4678" w:type="dxa"/>
            <w:tcBorders>
              <w:right w:val="single" w:color="auto" w:sz="4" w:space="0"/>
            </w:tcBorders>
            <w:noWrap/>
          </w:tcPr>
          <w:p>
            <w:pPr>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根据节目制作情况，由采购人评定。</w:t>
            </w:r>
          </w:p>
          <w:p>
            <w:pPr>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主持人造型不得体，一次扣除0.5分；主持人吐字不清晰，一次扣除0.5分；配图日期、数据、单位标注不当，一次扣除0.5分。</w:t>
            </w:r>
          </w:p>
        </w:tc>
        <w:tc>
          <w:tcPr>
            <w:tcW w:w="1418" w:type="dxa"/>
            <w:tcBorders>
              <w:left w:val="single" w:color="auto" w:sz="4" w:space="0"/>
            </w:tcBorders>
            <w:noWrap/>
          </w:tcPr>
          <w:p>
            <w:pPr>
              <w:spacing w:line="360" w:lineRule="auto"/>
              <w:rPr>
                <w:rFonts w:ascii="宋体" w:hAnsi="宋体" w:cs="宋体"/>
                <w:color w:val="auto"/>
                <w:kern w:val="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8"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节目正确率</w:t>
            </w:r>
          </w:p>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（30分）</w:t>
            </w:r>
          </w:p>
        </w:tc>
        <w:tc>
          <w:tcPr>
            <w:tcW w:w="4678" w:type="dxa"/>
            <w:tcBorders>
              <w:right w:val="single" w:color="auto" w:sz="4" w:space="0"/>
            </w:tcBorders>
            <w:noWrap/>
          </w:tcPr>
          <w:p>
            <w:pPr>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由供应商原因造成的最终播出节目的制作和主持的错误率，根据错误严重程度，每次酌情扣除1～3分。</w:t>
            </w:r>
          </w:p>
        </w:tc>
        <w:tc>
          <w:tcPr>
            <w:tcW w:w="1418" w:type="dxa"/>
            <w:tcBorders>
              <w:left w:val="single" w:color="auto" w:sz="4" w:space="0"/>
            </w:tcBorders>
            <w:noWrap/>
          </w:tcPr>
          <w:p>
            <w:pPr>
              <w:spacing w:line="360" w:lineRule="auto"/>
              <w:rPr>
                <w:rFonts w:ascii="宋体" w:hAnsi="宋体" w:cs="宋体"/>
                <w:color w:val="auto"/>
                <w:kern w:val="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7" w:hRule="atLeast"/>
        </w:trPr>
        <w:tc>
          <w:tcPr>
            <w:tcW w:w="2268" w:type="dxa"/>
            <w:tcBorders>
              <w:bottom w:val="single" w:color="auto" w:sz="4" w:space="0"/>
            </w:tcBorders>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传输及时率</w:t>
            </w:r>
          </w:p>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（20分）</w:t>
            </w:r>
          </w:p>
        </w:tc>
        <w:tc>
          <w:tcPr>
            <w:tcW w:w="4678" w:type="dxa"/>
            <w:tcBorders>
              <w:bottom w:val="single" w:color="auto" w:sz="4" w:space="0"/>
              <w:right w:val="single" w:color="auto" w:sz="4" w:space="0"/>
            </w:tcBorders>
            <w:noWrap/>
          </w:tcPr>
          <w:p>
            <w:pPr>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节目于17:15前提交到县市交互平台，于17:30前传输到上虞电视台，无法及时提交或传输的需致电说明情况，每次扣除1分。</w:t>
            </w:r>
          </w:p>
        </w:tc>
        <w:tc>
          <w:tcPr>
            <w:tcW w:w="1418" w:type="dxa"/>
            <w:tcBorders>
              <w:left w:val="single" w:color="auto" w:sz="4" w:space="0"/>
              <w:bottom w:val="single" w:color="auto" w:sz="4" w:space="0"/>
            </w:tcBorders>
            <w:noWrap/>
          </w:tcPr>
          <w:p>
            <w:pPr>
              <w:spacing w:line="360" w:lineRule="auto"/>
              <w:rPr>
                <w:rFonts w:ascii="宋体" w:hAnsi="宋体" w:cs="宋体"/>
                <w:color w:val="auto"/>
                <w:kern w:val="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1" w:hRule="atLeast"/>
        </w:trPr>
        <w:tc>
          <w:tcPr>
            <w:tcW w:w="2268" w:type="dxa"/>
            <w:tcBorders>
              <w:top w:val="single" w:color="auto" w:sz="4" w:space="0"/>
            </w:tcBorders>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月考核得分</w:t>
            </w:r>
          </w:p>
        </w:tc>
        <w:tc>
          <w:tcPr>
            <w:tcW w:w="6096" w:type="dxa"/>
            <w:gridSpan w:val="2"/>
            <w:tcBorders>
              <w:top w:val="single" w:color="auto" w:sz="4" w:space="0"/>
            </w:tcBorders>
            <w:noWrap/>
          </w:tcPr>
          <w:p>
            <w:pPr>
              <w:spacing w:line="360" w:lineRule="auto"/>
              <w:rPr>
                <w:rFonts w:ascii="宋体" w:hAnsi="宋体" w:cs="宋体"/>
                <w:color w:val="auto"/>
                <w:kern w:val="2"/>
                <w:sz w:val="24"/>
                <w:szCs w:val="24"/>
                <w:highlight w:val="none"/>
              </w:rPr>
            </w:pPr>
          </w:p>
        </w:tc>
      </w:tr>
    </w:tbl>
    <w:p>
      <w:pPr>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 xml:space="preserve">    （3）供应商负责电视天气预报节目文字稿、视频背景、数字效果、声光电调试、节目录制剪辑等全流程服务，产品美观、简洁，主持人造型得体，吐字清楚；遇台风、暴雨洪涝、寒潮、雨雪冰冻等重大灾害性天气时，在气象节目中插播天气警报、灾害性天气预警信息、天气实况数据等，必要时实时播报气象预警信息。 </w:t>
      </w:r>
    </w:p>
    <w:p>
      <w:pPr>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 xml:space="preserve">    （4）节目中须包含乡镇预报（新闻综合频道）、</w:t>
      </w:r>
      <w:r>
        <w:rPr>
          <w:rFonts w:hint="eastAsia" w:ascii="宋体" w:hAnsi="宋体" w:cs="宋体"/>
          <w:color w:val="auto"/>
          <w:kern w:val="2"/>
          <w:sz w:val="24"/>
          <w:szCs w:val="24"/>
          <w:highlight w:val="none"/>
          <w:shd w:val="clear" w:color="auto" w:fill="auto"/>
        </w:rPr>
        <w:t>景点预报</w:t>
      </w:r>
      <w:r>
        <w:rPr>
          <w:rFonts w:hint="eastAsia" w:ascii="宋体" w:hAnsi="宋体" w:cs="宋体"/>
          <w:color w:val="auto"/>
          <w:kern w:val="2"/>
          <w:sz w:val="24"/>
          <w:szCs w:val="24"/>
          <w:highlight w:val="none"/>
        </w:rPr>
        <w:t>（文化娱乐频道）与森林火险等级预报、空气质量指数预报等内容以及配图、配音等；应采购人要求，经双方协商，可临时性增加其他节目内容，供应商负责配合采购人完成气象科普宣传相关工作任务。</w:t>
      </w:r>
    </w:p>
    <w:p>
      <w:pPr>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 xml:space="preserve">    （5）节目完成后由供应商提供mpg或mp4格式的标清数字视频文件，并上传至区气象局影视节目交互平台，经上虞区气象局审核后，由供应商负责每日17：15前传输至上虞区广电总台。</w:t>
      </w:r>
    </w:p>
    <w:p>
      <w:pPr>
        <w:spacing w:line="360" w:lineRule="auto"/>
        <w:rPr>
          <w:rFonts w:asciiTheme="minorEastAsia" w:hAnsiTheme="minorEastAsia" w:eastAsiaTheme="minorEastAsia"/>
          <w:color w:val="auto"/>
          <w:sz w:val="24"/>
          <w:szCs w:val="24"/>
          <w:highlight w:val="none"/>
        </w:rPr>
      </w:pPr>
      <w:r>
        <w:rPr>
          <w:rFonts w:hint="eastAsia" w:ascii="宋体" w:hAnsi="宋体" w:cs="宋体"/>
          <w:color w:val="auto"/>
          <w:kern w:val="2"/>
          <w:sz w:val="24"/>
          <w:szCs w:val="24"/>
          <w:highlight w:val="none"/>
        </w:rPr>
        <w:t xml:space="preserve">    （6）上虞区电视天气预报节目应主动适应和满足上级气象主管机构对气象影视节目的标准和要求，当标准要求发生变化时，供应商负责免费整改落实到位。</w:t>
      </w:r>
    </w:p>
    <w:p>
      <w:pPr>
        <w:pStyle w:val="7"/>
        <w:rPr>
          <w:color w:val="auto"/>
          <w:highlight w:val="none"/>
        </w:rPr>
      </w:pPr>
    </w:p>
    <w:p>
      <w:pPr>
        <w:pStyle w:val="4"/>
        <w:spacing w:line="336" w:lineRule="auto"/>
        <w:jc w:val="center"/>
        <w:rPr>
          <w:color w:val="auto"/>
          <w:highlight w:val="none"/>
        </w:rPr>
      </w:pPr>
      <w:r>
        <w:rPr>
          <w:rFonts w:hint="eastAsia"/>
          <w:color w:val="auto"/>
          <w:highlight w:val="none"/>
        </w:rPr>
        <w:t>第二章 付款方式</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合同签订后支付合同款的</w:t>
      </w:r>
      <w:r>
        <w:rPr>
          <w:rFonts w:ascii="宋体" w:hAnsi="宋体" w:cs="宋体"/>
          <w:color w:val="auto"/>
          <w:sz w:val="24"/>
          <w:highlight w:val="none"/>
        </w:rPr>
        <w:t>4</w:t>
      </w:r>
      <w:r>
        <w:rPr>
          <w:rFonts w:hint="eastAsia" w:ascii="宋体" w:hAnsi="宋体" w:cs="宋体"/>
          <w:color w:val="auto"/>
          <w:sz w:val="24"/>
          <w:highlight w:val="none"/>
        </w:rPr>
        <w:t>0%，根据考核结果支付相应合同价款（项目完成的合同价超过40%时开始支付，未超过则不支付）。</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pStyle w:val="3"/>
        <w:jc w:val="center"/>
        <w:rPr>
          <w:rFonts w:cs="Times New Roman"/>
          <w:color w:val="auto"/>
          <w:sz w:val="36"/>
          <w:szCs w:val="36"/>
          <w:highlight w:val="none"/>
        </w:rPr>
      </w:pPr>
      <w:bookmarkStart w:id="67" w:name="_Toc18895"/>
      <w:r>
        <w:rPr>
          <w:rFonts w:hint="eastAsia" w:cs="宋体"/>
          <w:color w:val="auto"/>
          <w:sz w:val="36"/>
          <w:szCs w:val="36"/>
          <w:highlight w:val="none"/>
        </w:rPr>
        <w:t>第四部分 磋商原则及磋商方法</w:t>
      </w:r>
      <w:bookmarkEnd w:id="66"/>
      <w:bookmarkEnd w:id="67"/>
    </w:p>
    <w:p>
      <w:pPr>
        <w:pStyle w:val="4"/>
        <w:numPr>
          <w:ilvl w:val="0"/>
          <w:numId w:val="15"/>
        </w:numPr>
        <w:jc w:val="center"/>
        <w:rPr>
          <w:rFonts w:cs="Times New Roman"/>
          <w:color w:val="auto"/>
          <w:highlight w:val="none"/>
        </w:rPr>
      </w:pPr>
      <w:bookmarkStart w:id="68" w:name="_Toc1265"/>
      <w:r>
        <w:rPr>
          <w:rFonts w:hint="eastAsia"/>
          <w:color w:val="auto"/>
          <w:highlight w:val="none"/>
        </w:rPr>
        <w:t xml:space="preserve"> </w:t>
      </w:r>
      <w:bookmarkStart w:id="69" w:name="_Toc3582"/>
      <w:r>
        <w:rPr>
          <w:rFonts w:hint="eastAsia"/>
          <w:color w:val="auto"/>
          <w:highlight w:val="none"/>
        </w:rPr>
        <w:t>磋商原则</w:t>
      </w:r>
      <w:bookmarkEnd w:id="68"/>
      <w:bookmarkEnd w:id="69"/>
    </w:p>
    <w:p>
      <w:pPr>
        <w:pStyle w:val="7"/>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、本次竞争性磋商本着公平、公正、科学、择优的原则，邀请各磋商方参加报价。</w:t>
      </w:r>
    </w:p>
    <w:p>
      <w:pPr>
        <w:pStyle w:val="7"/>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pPr>
        <w:pStyle w:val="7"/>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、磋商小组按照统一的磋商原则和磋商方法，用同一标准对所有响应性文件进行评审。</w:t>
      </w:r>
    </w:p>
    <w:p>
      <w:pPr>
        <w:pStyle w:val="13"/>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4</w:t>
      </w:r>
      <w:r>
        <w:rPr>
          <w:rFonts w:hint="eastAsia" w:hAnsi="宋体"/>
          <w:b/>
          <w:bCs/>
          <w:color w:val="auto"/>
          <w:sz w:val="24"/>
          <w:szCs w:val="24"/>
          <w:highlight w:val="none"/>
        </w:rPr>
        <w:t>、评审</w:t>
      </w:r>
    </w:p>
    <w:p>
      <w:pPr>
        <w:pStyle w:val="13"/>
        <w:spacing w:line="336" w:lineRule="auto"/>
        <w:ind w:firstLine="480" w:firstLineChars="200"/>
        <w:rPr>
          <w:rFonts w:hAnsi="宋体" w:cs="Times New Roman"/>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在磋商响应截止时间前按规定提交响应文件的供应商在三家（含）以上的，由采购人或采购代理机构组织进行开标。</w:t>
      </w:r>
    </w:p>
    <w:p>
      <w:pPr>
        <w:pStyle w:val="13"/>
        <w:spacing w:line="336" w:lineRule="auto"/>
        <w:ind w:firstLine="482" w:firstLineChars="200"/>
        <w:rPr>
          <w:rFonts w:hAnsi="宋体" w:cs="Times New Roman"/>
          <w:color w:val="auto"/>
          <w:sz w:val="24"/>
          <w:szCs w:val="24"/>
          <w:highlight w:val="none"/>
        </w:rPr>
      </w:pPr>
      <w:r>
        <w:rPr>
          <w:rFonts w:hAnsi="宋体"/>
          <w:b/>
          <w:bCs/>
          <w:color w:val="auto"/>
          <w:sz w:val="24"/>
          <w:szCs w:val="24"/>
          <w:highlight w:val="none"/>
        </w:rPr>
        <w:t>4.2</w:t>
      </w:r>
      <w:r>
        <w:rPr>
          <w:rFonts w:hint="eastAsia" w:hAnsi="宋体"/>
          <w:b/>
          <w:bCs/>
          <w:color w:val="auto"/>
          <w:sz w:val="24"/>
          <w:szCs w:val="24"/>
          <w:highlight w:val="none"/>
        </w:rPr>
        <w:t>供应商登录政采云平台，用“项目采购</w:t>
      </w:r>
      <w:r>
        <w:rPr>
          <w:rFonts w:hAnsi="宋体"/>
          <w:b/>
          <w:bCs/>
          <w:color w:val="auto"/>
          <w:sz w:val="24"/>
          <w:szCs w:val="24"/>
          <w:highlight w:val="none"/>
        </w:rPr>
        <w:t>-</w:t>
      </w:r>
      <w:r>
        <w:rPr>
          <w:rFonts w:hint="eastAsia" w:hAnsi="宋体"/>
          <w:b/>
          <w:bCs/>
          <w:color w:val="auto"/>
          <w:sz w:val="24"/>
          <w:szCs w:val="24"/>
          <w:highlight w:val="none"/>
        </w:rPr>
        <w:t>开标评标”功能对电子磋商响应文件进行在线解密。在线解密电子磋商响应文件时间为开标时间起</w:t>
      </w:r>
      <w:r>
        <w:rPr>
          <w:rFonts w:hAnsi="宋体"/>
          <w:b/>
          <w:bCs/>
          <w:color w:val="auto"/>
          <w:sz w:val="24"/>
          <w:szCs w:val="24"/>
          <w:highlight w:val="none"/>
        </w:rPr>
        <w:t>30</w:t>
      </w:r>
      <w:r>
        <w:rPr>
          <w:rFonts w:hint="eastAsia" w:hAnsi="宋体"/>
          <w:b/>
          <w:bCs/>
          <w:color w:val="auto"/>
          <w:sz w:val="24"/>
          <w:szCs w:val="24"/>
          <w:highlight w:val="none"/>
        </w:rPr>
        <w:t>分钟内。若电子磋商响应文件解密失败，则由采购代理机构工作人员上传供应商提供的备份文件。</w:t>
      </w:r>
      <w:r>
        <w:rPr>
          <w:rFonts w:hint="eastAsia" w:hAnsi="宋体"/>
          <w:color w:val="auto"/>
          <w:sz w:val="24"/>
          <w:szCs w:val="24"/>
          <w:highlight w:val="none"/>
        </w:rPr>
        <w:t>备份文件（后缀名为</w:t>
      </w:r>
      <w:r>
        <w:rPr>
          <w:rFonts w:hAnsi="宋体"/>
          <w:color w:val="auto"/>
          <w:sz w:val="24"/>
          <w:szCs w:val="24"/>
          <w:highlight w:val="none"/>
        </w:rPr>
        <w:t>.bfbs</w:t>
      </w:r>
      <w:r>
        <w:rPr>
          <w:rFonts w:hint="eastAsia" w:hAnsi="宋体"/>
          <w:color w:val="auto"/>
          <w:sz w:val="24"/>
          <w:szCs w:val="24"/>
          <w:highlight w:val="none"/>
        </w:rPr>
        <w:t>）须存储在</w:t>
      </w:r>
      <w:r>
        <w:rPr>
          <w:rFonts w:hAnsi="宋体"/>
          <w:color w:val="auto"/>
          <w:sz w:val="24"/>
          <w:szCs w:val="24"/>
          <w:highlight w:val="none"/>
        </w:rPr>
        <w:t>U</w:t>
      </w:r>
      <w:r>
        <w:rPr>
          <w:rFonts w:hint="eastAsia" w:hAnsi="宋体"/>
          <w:color w:val="auto"/>
          <w:sz w:val="24"/>
          <w:szCs w:val="24"/>
          <w:highlight w:val="none"/>
        </w:rPr>
        <w:t>盘中，与上传的电子磋商响应文件一致，用信封进行密封并盖章</w:t>
      </w:r>
      <w:r>
        <w:rPr>
          <w:rFonts w:hint="eastAsia" w:hAnsi="宋体"/>
          <w:b/>
          <w:bCs/>
          <w:color w:val="auto"/>
          <w:sz w:val="24"/>
          <w:szCs w:val="24"/>
          <w:highlight w:val="none"/>
        </w:rPr>
        <w:t>（信封内仅需放入存储备份文件的</w:t>
      </w:r>
      <w:r>
        <w:rPr>
          <w:rFonts w:hAnsi="宋体"/>
          <w:b/>
          <w:bCs/>
          <w:color w:val="auto"/>
          <w:sz w:val="24"/>
          <w:szCs w:val="24"/>
          <w:highlight w:val="none"/>
        </w:rPr>
        <w:t>U</w:t>
      </w:r>
      <w:r>
        <w:rPr>
          <w:rFonts w:hint="eastAsia" w:hAnsi="宋体"/>
          <w:b/>
          <w:bCs/>
          <w:color w:val="auto"/>
          <w:sz w:val="24"/>
          <w:szCs w:val="24"/>
          <w:highlight w:val="none"/>
        </w:rPr>
        <w:t>盘）</w:t>
      </w:r>
      <w:r>
        <w:rPr>
          <w:rFonts w:hint="eastAsia" w:hAnsi="宋体"/>
          <w:color w:val="auto"/>
          <w:sz w:val="24"/>
          <w:szCs w:val="24"/>
          <w:highlight w:val="none"/>
        </w:rPr>
        <w:t>，由授权代表在磋商响应截止时间前递交至开标地点。</w:t>
      </w:r>
    </w:p>
    <w:p>
      <w:pPr>
        <w:pStyle w:val="13"/>
        <w:spacing w:line="336" w:lineRule="auto"/>
        <w:ind w:firstLine="480" w:firstLineChars="200"/>
        <w:rPr>
          <w:rFonts w:hAnsi="宋体" w:cs="Times New Roman"/>
          <w:color w:val="auto"/>
          <w:sz w:val="24"/>
          <w:szCs w:val="24"/>
          <w:highlight w:val="none"/>
        </w:rPr>
      </w:pPr>
      <w:r>
        <w:rPr>
          <w:rFonts w:hAnsi="宋体"/>
          <w:color w:val="auto"/>
          <w:sz w:val="24"/>
          <w:szCs w:val="24"/>
          <w:highlight w:val="none"/>
        </w:rPr>
        <w:t>4.3</w:t>
      </w:r>
      <w:r>
        <w:rPr>
          <w:rFonts w:hint="eastAsia" w:hAnsi="宋体"/>
          <w:color w:val="auto"/>
          <w:sz w:val="24"/>
          <w:szCs w:val="24"/>
          <w:highlight w:val="none"/>
        </w:rPr>
        <w:t>采购人按磋商文件规定的时间、地点公开开标。开标仪式由采购人或采购代理机构主持及有关人员参加。</w:t>
      </w:r>
    </w:p>
    <w:p>
      <w:pPr>
        <w:pStyle w:val="50"/>
        <w:spacing w:before="0" w:line="336" w:lineRule="auto"/>
        <w:ind w:firstLine="480"/>
        <w:rPr>
          <w:rFonts w:ascii="宋体"/>
          <w:color w:val="auto"/>
          <w:highlight w:val="none"/>
        </w:rPr>
      </w:pPr>
      <w:r>
        <w:rPr>
          <w:rFonts w:ascii="宋体" w:hAnsi="宋体" w:cs="宋体"/>
          <w:color w:val="auto"/>
          <w:highlight w:val="none"/>
        </w:rPr>
        <w:t>4.4</w:t>
      </w:r>
      <w:r>
        <w:rPr>
          <w:rFonts w:hint="eastAsia" w:ascii="宋体" w:hAnsi="宋体" w:cs="宋体"/>
          <w:color w:val="auto"/>
          <w:highlight w:val="none"/>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highlight w:val="none"/>
        </w:rPr>
        <w:t>磋商响应</w:t>
      </w:r>
      <w:r>
        <w:rPr>
          <w:rFonts w:hint="eastAsia" w:ascii="宋体" w:hAnsi="宋体" w:cs="宋体"/>
          <w:color w:val="auto"/>
          <w:highlight w:val="none"/>
        </w:rPr>
        <w:t>截止时间前到达开标地点递交备份文件。若电子磋商响应文件正常解锁，则</w:t>
      </w:r>
      <w:r>
        <w:rPr>
          <w:rFonts w:ascii="宋体" w:hAnsi="宋体" w:cs="宋体"/>
          <w:color w:val="auto"/>
          <w:highlight w:val="none"/>
        </w:rPr>
        <w:t>U</w:t>
      </w:r>
      <w:r>
        <w:rPr>
          <w:rFonts w:hint="eastAsia" w:ascii="宋体" w:hAnsi="宋体" w:cs="宋体"/>
          <w:color w:val="auto"/>
          <w:highlight w:val="none"/>
        </w:rPr>
        <w:t>盘退还给供应商；若解锁失败，则由采购代理机构将</w:t>
      </w:r>
      <w:r>
        <w:rPr>
          <w:rFonts w:ascii="宋体" w:hAnsi="宋体" w:cs="宋体"/>
          <w:color w:val="auto"/>
          <w:highlight w:val="none"/>
        </w:rPr>
        <w:t>U</w:t>
      </w:r>
      <w:r>
        <w:rPr>
          <w:rFonts w:hint="eastAsia" w:ascii="宋体" w:hAnsi="宋体" w:cs="宋体"/>
          <w:color w:val="auto"/>
          <w:highlight w:val="none"/>
        </w:rPr>
        <w:t>盘中的备份文件上传，该</w:t>
      </w:r>
      <w:r>
        <w:rPr>
          <w:rFonts w:ascii="宋体" w:hAnsi="宋体" w:cs="宋体"/>
          <w:color w:val="auto"/>
          <w:highlight w:val="none"/>
        </w:rPr>
        <w:t>U</w:t>
      </w:r>
      <w:r>
        <w:rPr>
          <w:rFonts w:hint="eastAsia" w:ascii="宋体" w:hAnsi="宋体" w:cs="宋体"/>
          <w:color w:val="auto"/>
          <w:highlight w:val="none"/>
        </w:rPr>
        <w:t>盘将由采购代理机构保存。</w:t>
      </w:r>
    </w:p>
    <w:p>
      <w:pPr>
        <w:pStyle w:val="50"/>
        <w:spacing w:before="0" w:line="336" w:lineRule="auto"/>
        <w:ind w:firstLine="480"/>
        <w:rPr>
          <w:rFonts w:ascii="宋体"/>
          <w:color w:val="auto"/>
          <w:highlight w:val="none"/>
        </w:rPr>
      </w:pPr>
      <w:r>
        <w:rPr>
          <w:rFonts w:ascii="宋体" w:hAnsi="宋体" w:cs="宋体"/>
          <w:color w:val="auto"/>
          <w:highlight w:val="none"/>
        </w:rPr>
        <w:t>4.5</w:t>
      </w:r>
      <w:r>
        <w:rPr>
          <w:rFonts w:hint="eastAsia" w:ascii="宋体"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36" w:lineRule="auto"/>
        <w:ind w:firstLine="48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、组建磋商小组</w:t>
      </w:r>
    </w:p>
    <w:p>
      <w:pPr>
        <w:pStyle w:val="50"/>
        <w:spacing w:before="0" w:line="336" w:lineRule="auto"/>
        <w:ind w:firstLine="480"/>
        <w:rPr>
          <w:rFonts w:ascii="宋体"/>
          <w:color w:val="auto"/>
          <w:highlight w:val="none"/>
        </w:rPr>
      </w:pPr>
      <w:r>
        <w:rPr>
          <w:rFonts w:ascii="宋体" w:hAnsi="宋体" w:cs="宋体"/>
          <w:color w:val="auto"/>
          <w:highlight w:val="none"/>
        </w:rPr>
        <w:t>5.1</w:t>
      </w:r>
      <w:r>
        <w:rPr>
          <w:rFonts w:hint="eastAsia" w:ascii="宋体" w:hAnsi="宋体" w:cs="宋体"/>
          <w:color w:val="auto"/>
          <w:highlight w:val="none"/>
        </w:rPr>
        <w:t>磋商小组由采购人代表和评审专家共</w:t>
      </w:r>
      <w:r>
        <w:rPr>
          <w:rFonts w:ascii="宋体" w:hAnsi="宋体" w:cs="宋体"/>
          <w:color w:val="auto"/>
          <w:highlight w:val="none"/>
        </w:rPr>
        <w:t>3</w:t>
      </w:r>
      <w:r>
        <w:rPr>
          <w:rFonts w:hint="eastAsia" w:ascii="宋体" w:hAnsi="宋体" w:cs="宋体"/>
          <w:color w:val="auto"/>
          <w:highlight w:val="none"/>
        </w:rPr>
        <w:t>人或以上单数组成，其中评审专家人数不少于磋商小组成员总数的</w:t>
      </w:r>
      <w:r>
        <w:rPr>
          <w:rFonts w:ascii="宋体" w:hAnsi="宋体" w:cs="宋体"/>
          <w:color w:val="auto"/>
          <w:highlight w:val="none"/>
        </w:rPr>
        <w:t>2/3</w:t>
      </w:r>
      <w:r>
        <w:rPr>
          <w:rFonts w:hint="eastAsia" w:ascii="宋体" w:hAnsi="宋体" w:cs="宋体"/>
          <w:color w:val="auto"/>
          <w:highlight w:val="none"/>
        </w:rPr>
        <w:t>。</w:t>
      </w:r>
    </w:p>
    <w:p>
      <w:pPr>
        <w:pStyle w:val="50"/>
        <w:tabs>
          <w:tab w:val="left" w:pos="0"/>
        </w:tabs>
        <w:spacing w:before="0" w:line="336" w:lineRule="auto"/>
        <w:ind w:firstLine="480"/>
        <w:rPr>
          <w:rFonts w:ascii="宋体"/>
          <w:color w:val="auto"/>
          <w:highlight w:val="none"/>
          <w:lang w:val="zh-CN"/>
        </w:rPr>
      </w:pPr>
      <w:r>
        <w:rPr>
          <w:rFonts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pPr>
        <w:pStyle w:val="7"/>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pPr>
        <w:pStyle w:val="4"/>
        <w:numPr>
          <w:ilvl w:val="0"/>
          <w:numId w:val="15"/>
        </w:numPr>
        <w:jc w:val="center"/>
        <w:rPr>
          <w:rFonts w:cs="Times New Roman"/>
          <w:color w:val="auto"/>
          <w:highlight w:val="none"/>
        </w:rPr>
      </w:pPr>
      <w:r>
        <w:rPr>
          <w:color w:val="auto"/>
          <w:highlight w:val="none"/>
        </w:rPr>
        <w:t xml:space="preserve"> </w:t>
      </w:r>
      <w:bookmarkStart w:id="70" w:name="_Toc10093"/>
      <w:bookmarkStart w:id="71" w:name="_Toc4456"/>
      <w:r>
        <w:rPr>
          <w:rFonts w:hint="eastAsia"/>
          <w:color w:val="auto"/>
          <w:highlight w:val="none"/>
        </w:rPr>
        <w:t>磋商程序</w:t>
      </w:r>
      <w:bookmarkEnd w:id="70"/>
      <w:bookmarkEnd w:id="71"/>
    </w:p>
    <w:p>
      <w:pPr>
        <w:snapToGrid w:val="0"/>
        <w:spacing w:line="336" w:lineRule="auto"/>
        <w:ind w:firstLine="480"/>
        <w:rPr>
          <w:rFonts w:ascii="宋体" w:hAnsi="宋体" w:cs="宋体"/>
          <w:b/>
          <w:bCs/>
          <w:color w:val="auto"/>
          <w:sz w:val="24"/>
          <w:szCs w:val="24"/>
          <w:highlight w:val="none"/>
        </w:rPr>
      </w:pPr>
      <w:r>
        <w:rPr>
          <w:rFonts w:hint="eastAsia" w:ascii="宋体" w:hAnsi="宋体" w:cs="宋体"/>
          <w:b/>
          <w:bCs/>
          <w:color w:val="auto"/>
          <w:sz w:val="24"/>
          <w:szCs w:val="24"/>
          <w:highlight w:val="none"/>
        </w:rPr>
        <w:t>1、对所有响应文件的初审</w:t>
      </w:r>
    </w:p>
    <w:p>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1.1资格审查</w:t>
      </w:r>
    </w:p>
    <w:p>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（1）开标后，磋商小组将依法对供应商的资格进行审查。</w:t>
      </w:r>
    </w:p>
    <w:p>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（2）磋商小组依据法律法规和磋商文件的规定，对供应商的基本资格条件、特定资格条件进行审查。</w:t>
      </w:r>
    </w:p>
    <w:p>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（3）供应商未按照磋商文件要求提供与基本资格条件、特定资格条件相应的有效资格证明材料的，视为供应商不具备磋商文件中规定的资格要求，其磋商无效。并将无效原由告知相关供应商.</w:t>
      </w:r>
    </w:p>
    <w:p>
      <w:pPr>
        <w:wordWrap w:val="0"/>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（1）响应文件无法定代表人或其委托授权代表签名或盖章。</w:t>
      </w:r>
    </w:p>
    <w:p>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（2）响应文件内容虚假的。</w:t>
      </w:r>
    </w:p>
    <w:p>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（3）响应文件有采购人不能接受的附加条件的。</w:t>
      </w:r>
    </w:p>
    <w:p>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（4）磋商有效期、服务期等商务条款不能满足磋商文件要求的。</w:t>
      </w:r>
    </w:p>
    <w:p>
      <w:pPr>
        <w:widowControl/>
        <w:spacing w:line="336" w:lineRule="auto"/>
        <w:ind w:firstLine="482"/>
        <w:jc w:val="left"/>
        <w:rPr>
          <w:rFonts w:ascii="宋体" w:hAnsi="宋体" w:cs="宋体"/>
          <w:color w:val="auto"/>
          <w:sz w:val="24"/>
          <w:szCs w:val="24"/>
          <w:highlight w:val="none"/>
        </w:rPr>
      </w:pPr>
      <w:r>
        <w:rPr>
          <w:rFonts w:hint="eastAsia" w:ascii="宋体" w:hAnsi="宋体" w:cs="宋体"/>
          <w:color w:val="auto"/>
          <w:sz w:val="24"/>
          <w:szCs w:val="24"/>
          <w:highlight w:val="none"/>
        </w:rPr>
        <w:t>（5）投标价格超出预算或最高限价，导致采购单位无法支付的。</w:t>
      </w:r>
    </w:p>
    <w:p>
      <w:pPr>
        <w:widowControl/>
        <w:spacing w:line="336" w:lineRule="auto"/>
        <w:ind w:firstLine="482"/>
        <w:jc w:val="left"/>
        <w:rPr>
          <w:rFonts w:ascii="宋体" w:hAnsi="宋体" w:cs="宋体"/>
          <w:color w:val="auto"/>
          <w:sz w:val="24"/>
          <w:szCs w:val="24"/>
          <w:highlight w:val="none"/>
        </w:rPr>
      </w:pPr>
      <w:r>
        <w:rPr>
          <w:rFonts w:hint="eastAsia" w:ascii="宋体" w:hAnsi="宋体" w:cs="宋体"/>
          <w:color w:val="auto"/>
          <w:sz w:val="24"/>
          <w:szCs w:val="24"/>
          <w:highlight w:val="none"/>
        </w:rPr>
        <w:t>（6）磋商文件明确规定的其他无效条款的。</w:t>
      </w:r>
    </w:p>
    <w:p>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0"/>
        <w:tabs>
          <w:tab w:val="left" w:pos="0"/>
        </w:tabs>
        <w:spacing w:before="0" w:line="336" w:lineRule="auto"/>
        <w:ind w:firstLine="480"/>
        <w:rPr>
          <w:rFonts w:ascii="宋体" w:hAnsi="宋体" w:cs="宋体"/>
          <w:color w:val="auto"/>
          <w:highlight w:val="none"/>
        </w:rPr>
      </w:pPr>
      <w:r>
        <w:rPr>
          <w:rFonts w:hint="eastAsia" w:ascii="宋体" w:hAnsi="宋体" w:cs="宋体"/>
          <w:color w:val="auto"/>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pPr>
        <w:snapToGrid w:val="0"/>
        <w:spacing w:line="336" w:lineRule="auto"/>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zh-CN"/>
        </w:rPr>
        <w:t>、磋商</w:t>
      </w:r>
    </w:p>
    <w:p>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2.1 初审合格的供应商进入下一步的磋商活动。</w:t>
      </w:r>
    </w:p>
    <w:p>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2.2 磋商小组所有成员应当集中与单一供应商分别进行磋商，并给予所有参加磋商的供应商平等的磋商机会。</w:t>
      </w:r>
    </w:p>
    <w:p>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2.4 在磋商过程中，磋商小组可以根据磋商文件和磋商情况实质性变动采购需求中的技术、服务要求以及合同草案条款。实质性变动的内容，须经采购人代表确认。</w:t>
      </w:r>
    </w:p>
    <w:p>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 磋商文件作出的实质性变动是磋商文件的有效组成部分，磋商小组应当及时以书面形式同时通知所有参加磋商的供应商。</w:t>
      </w:r>
    </w:p>
    <w:p>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napToGrid w:val="0"/>
        <w:spacing w:line="336" w:lineRule="auto"/>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zh-CN"/>
        </w:rPr>
        <w:t>、最后报价</w:t>
      </w:r>
    </w:p>
    <w:p>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3.1商务技术汇总后，供应商开启报价文件，磋商小组应当要求所有实质性响应的供应商在规定时间内提交最后报价。</w:t>
      </w:r>
    </w:p>
    <w:p>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3.2最后报价是供应商响应文件的有效组成部分，若最后报价高于响应文件报价文件报价，则以第一次报价计入评分。</w:t>
      </w:r>
    </w:p>
    <w:p>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3.3已提交响应文件的供应商，在提交最后报价之前，若因磋商文件实质性变动导致供应商无法满足采购需求的，允许供应商退出磋商。</w:t>
      </w:r>
    </w:p>
    <w:p>
      <w:pPr>
        <w:pStyle w:val="7"/>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4、电子评标</w:t>
      </w:r>
    </w:p>
    <w:p>
      <w:pPr>
        <w:pStyle w:val="7"/>
        <w:spacing w:line="336"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    4.1磋商活动由采购代理机构主持,磋商响应截止时间后,供应商登录政采云平台对电子响应文件进行在线解密；</w:t>
      </w:r>
    </w:p>
    <w:p>
      <w:pPr>
        <w:pStyle w:val="7"/>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4.2响应文件解密结束,开启响应文件,磋商小组对资格和商务技术响应文件进行资格审查和符合性审查；</w:t>
      </w:r>
    </w:p>
    <w:p>
      <w:pPr>
        <w:pStyle w:val="7"/>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4.3供应商按递交磋商响应文件的前后顺序决定磋商的顺序,就价格、服务等认为需要磋商的内容进行磋商,供应商逐家回答磋商小组的提问,供应商作出最终承诺；</w:t>
      </w:r>
    </w:p>
    <w:p>
      <w:pPr>
        <w:pStyle w:val="7"/>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4.4磋商小组对商务技术响应文件进行评审；</w:t>
      </w:r>
    </w:p>
    <w:p>
      <w:pPr>
        <w:pStyle w:val="7"/>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4.5商务技术汇总后，供应商开启报价文件，进行磋商二次报价（最终报价），</w:t>
      </w:r>
      <w:r>
        <w:rPr>
          <w:rFonts w:hint="eastAsia" w:ascii="宋体" w:hAnsi="宋体" w:cs="宋体"/>
          <w:b/>
          <w:bCs/>
          <w:color w:val="auto"/>
          <w:sz w:val="24"/>
          <w:szCs w:val="24"/>
          <w:highlight w:val="none"/>
        </w:rPr>
        <w:t>如果供应商在规定时间30分钟内未提交第二次报价，视该供应商放弃本次投标，作无效标处理</w:t>
      </w:r>
      <w:r>
        <w:rPr>
          <w:rFonts w:hint="eastAsia" w:ascii="宋体" w:hAnsi="宋体" w:cs="宋体"/>
          <w:color w:val="auto"/>
          <w:sz w:val="24"/>
          <w:szCs w:val="24"/>
          <w:highlight w:val="none"/>
        </w:rPr>
        <w:t>；</w:t>
      </w:r>
    </w:p>
    <w:p>
      <w:pPr>
        <w:pStyle w:val="7"/>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4.6在系统上开启最终报价情况；</w:t>
      </w:r>
    </w:p>
    <w:p>
      <w:pPr>
        <w:pStyle w:val="7"/>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4.7磋商小组对报价情况进行评审；</w:t>
      </w:r>
    </w:p>
    <w:p>
      <w:pPr>
        <w:pStyle w:val="7"/>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4.8在系统上公开资格和商务技术评审结果；</w:t>
      </w:r>
    </w:p>
    <w:p>
      <w:pPr>
        <w:pStyle w:val="7"/>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4.9在系统上公布评审结果。</w:t>
      </w:r>
    </w:p>
    <w:p>
      <w:pPr>
        <w:pStyle w:val="7"/>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4.10开标会结束。</w:t>
      </w:r>
    </w:p>
    <w:p>
      <w:pPr>
        <w:snapToGrid w:val="0"/>
        <w:spacing w:line="336"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特别说明:政采云如对电子化开标及评审程序有调整的,按调整后的程序操作。</w:t>
      </w:r>
    </w:p>
    <w:p>
      <w:pPr>
        <w:snapToGri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5.综合评分</w:t>
      </w:r>
    </w:p>
    <w:p>
      <w:pPr>
        <w:tabs>
          <w:tab w:val="left" w:pos="-1080"/>
          <w:tab w:val="left" w:pos="180"/>
          <w:tab w:val="left" w:pos="1080"/>
        </w:tabs>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5.1本评标办法采用综合评标法，由商务技术分和报价分合计组成，其中商务技术分</w:t>
      </w:r>
      <w:r>
        <w:rPr>
          <w:rFonts w:hint="eastAsia" w:ascii="宋体" w:hAnsi="宋体" w:cs="宋体"/>
          <w:color w:val="auto"/>
          <w:sz w:val="24"/>
          <w:szCs w:val="24"/>
          <w:highlight w:val="none"/>
          <w:u w:val="single"/>
        </w:rPr>
        <w:t xml:space="preserve"> 80 </w:t>
      </w:r>
      <w:r>
        <w:rPr>
          <w:rFonts w:hint="eastAsia" w:ascii="宋体" w:hAnsi="宋体" w:cs="宋体"/>
          <w:color w:val="auto"/>
          <w:sz w:val="24"/>
          <w:szCs w:val="24"/>
          <w:highlight w:val="none"/>
        </w:rPr>
        <w:t>分、报价分</w:t>
      </w:r>
      <w:r>
        <w:rPr>
          <w:rFonts w:hint="eastAsia" w:ascii="宋体" w:hAnsi="宋体" w:cs="宋体"/>
          <w:color w:val="auto"/>
          <w:sz w:val="24"/>
          <w:szCs w:val="24"/>
          <w:highlight w:val="none"/>
          <w:u w:val="single"/>
        </w:rPr>
        <w:t xml:space="preserve"> 20 </w:t>
      </w:r>
      <w:r>
        <w:rPr>
          <w:rFonts w:hint="eastAsia" w:ascii="宋体" w:hAnsi="宋体" w:cs="宋体"/>
          <w:color w:val="auto"/>
          <w:sz w:val="24"/>
          <w:szCs w:val="24"/>
          <w:highlight w:val="none"/>
        </w:rPr>
        <w:t>分；满分为100分。</w:t>
      </w:r>
    </w:p>
    <w:p>
      <w:pPr>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5.2经初步评审合格的响应文件，磋商小组根据竞争性磋商文件确定的评审标准和方法，对其商务技术部分作进一步评审、比较、打分。</w:t>
      </w:r>
    </w:p>
    <w:p>
      <w:pPr>
        <w:pStyle w:val="13"/>
        <w:spacing w:line="336" w:lineRule="auto"/>
        <w:ind w:firstLine="480" w:firstLineChars="200"/>
        <w:rPr>
          <w:rFonts w:hAnsi="宋体"/>
          <w:color w:val="auto"/>
          <w:sz w:val="24"/>
          <w:szCs w:val="24"/>
          <w:highlight w:val="none"/>
        </w:rPr>
      </w:pPr>
      <w:r>
        <w:rPr>
          <w:rFonts w:hint="eastAsia" w:hAnsi="宋体"/>
          <w:color w:val="auto"/>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pPr>
        <w:pStyle w:val="13"/>
        <w:spacing w:line="336" w:lineRule="auto"/>
        <w:ind w:left="400" w:leftChars="200"/>
        <w:rPr>
          <w:rFonts w:hAnsi="宋体"/>
          <w:b/>
          <w:bCs/>
          <w:color w:val="auto"/>
          <w:sz w:val="24"/>
          <w:szCs w:val="24"/>
          <w:highlight w:val="none"/>
        </w:rPr>
      </w:pPr>
      <w:r>
        <w:rPr>
          <w:rFonts w:hint="eastAsia" w:hAnsi="宋体"/>
          <w:b/>
          <w:bCs/>
          <w:color w:val="auto"/>
          <w:sz w:val="24"/>
          <w:szCs w:val="24"/>
          <w:highlight w:val="none"/>
        </w:rPr>
        <w:t>6、修正原则</w:t>
      </w:r>
    </w:p>
    <w:p>
      <w:pPr>
        <w:pStyle w:val="50"/>
        <w:spacing w:before="0" w:line="336" w:lineRule="auto"/>
        <w:ind w:left="400" w:leftChars="200" w:firstLine="0" w:firstLineChars="0"/>
        <w:rPr>
          <w:rFonts w:ascii="宋体" w:hAnsi="宋体" w:cs="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pPr>
        <w:pStyle w:val="50"/>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6.1响应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pPr>
        <w:pStyle w:val="50"/>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pPr>
        <w:pStyle w:val="50"/>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pPr>
        <w:pStyle w:val="50"/>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pPr>
        <w:pStyle w:val="50"/>
        <w:spacing w:before="0" w:line="336" w:lineRule="auto"/>
        <w:ind w:firstLine="480"/>
        <w:rPr>
          <w:rFonts w:ascii="宋体" w:hAnsi="宋体" w:cs="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同时出现两种以上不一致的，按照前款规定的顺序修正。修正后的报价按照财政部公布第87号令 《政府采购产品和服务招标投标管理办法》第五十一条第二款的规定经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pPr>
        <w:pStyle w:val="13"/>
        <w:spacing w:line="336" w:lineRule="auto"/>
        <w:ind w:left="400" w:leftChars="200"/>
        <w:rPr>
          <w:rFonts w:hAnsi="宋体"/>
          <w:b/>
          <w:bCs/>
          <w:color w:val="auto"/>
          <w:sz w:val="24"/>
          <w:szCs w:val="24"/>
          <w:highlight w:val="none"/>
        </w:rPr>
      </w:pPr>
      <w:r>
        <w:rPr>
          <w:rFonts w:hint="eastAsia" w:hAnsi="宋体"/>
          <w:b/>
          <w:bCs/>
          <w:color w:val="auto"/>
          <w:sz w:val="24"/>
          <w:szCs w:val="24"/>
          <w:highlight w:val="none"/>
        </w:rPr>
        <w:t>7、响应文件的澄清</w:t>
      </w:r>
    </w:p>
    <w:p>
      <w:pPr>
        <w:pStyle w:val="50"/>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pPr>
        <w:pStyle w:val="4"/>
        <w:numPr>
          <w:ilvl w:val="0"/>
          <w:numId w:val="15"/>
        </w:numPr>
        <w:jc w:val="center"/>
        <w:rPr>
          <w:rFonts w:cs="Times New Roman"/>
          <w:color w:val="auto"/>
          <w:highlight w:val="none"/>
        </w:rPr>
      </w:pPr>
      <w:r>
        <w:rPr>
          <w:color w:val="auto"/>
          <w:highlight w:val="none"/>
        </w:rPr>
        <w:t xml:space="preserve"> </w:t>
      </w:r>
      <w:bookmarkStart w:id="72" w:name="_Toc12816"/>
      <w:bookmarkStart w:id="73" w:name="_Toc1778"/>
      <w:r>
        <w:rPr>
          <w:rFonts w:hint="eastAsia"/>
          <w:color w:val="auto"/>
          <w:highlight w:val="none"/>
        </w:rPr>
        <w:t>注意事项</w:t>
      </w:r>
      <w:bookmarkEnd w:id="72"/>
      <w:bookmarkEnd w:id="73"/>
    </w:p>
    <w:p>
      <w:pPr>
        <w:pStyle w:val="7"/>
        <w:spacing w:line="336" w:lineRule="auto"/>
        <w:rPr>
          <w:b/>
          <w:bCs/>
          <w:color w:val="auto"/>
          <w:sz w:val="24"/>
          <w:szCs w:val="24"/>
          <w:highlight w:val="none"/>
        </w:rPr>
      </w:pPr>
      <w:r>
        <w:rPr>
          <w:rFonts w:hint="eastAsia"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pPr>
        <w:pStyle w:val="4"/>
        <w:numPr>
          <w:ilvl w:val="0"/>
          <w:numId w:val="16"/>
        </w:numPr>
        <w:jc w:val="center"/>
        <w:rPr>
          <w:rFonts w:cs="Times New Roman"/>
          <w:color w:val="auto"/>
          <w:highlight w:val="none"/>
        </w:rPr>
      </w:pPr>
      <w:r>
        <w:rPr>
          <w:color w:val="auto"/>
          <w:highlight w:val="none"/>
        </w:rPr>
        <w:t xml:space="preserve"> </w:t>
      </w:r>
      <w:bookmarkStart w:id="74" w:name="_Toc6127"/>
      <w:bookmarkStart w:id="75" w:name="_Toc13782"/>
      <w:r>
        <w:rPr>
          <w:rFonts w:hint="eastAsia"/>
          <w:color w:val="auto"/>
          <w:highlight w:val="none"/>
        </w:rPr>
        <w:t>评分细则</w:t>
      </w:r>
      <w:bookmarkEnd w:id="74"/>
      <w:bookmarkEnd w:id="75"/>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一、报价文件评分标准（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rPr>
        <w:t>20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、本次采购最高限价规定如下：</w:t>
      </w:r>
    </w:p>
    <w:p>
      <w:pPr>
        <w:wordWrap w:val="0"/>
        <w:spacing w:line="360" w:lineRule="auto"/>
        <w:ind w:firstLine="480" w:firstLineChars="200"/>
        <w:rPr>
          <w:rFonts w:ascii="宋体"/>
          <w:b/>
          <w:bCs/>
          <w:color w:val="auto"/>
          <w:sz w:val="24"/>
          <w:szCs w:val="24"/>
          <w:highlight w:val="none"/>
        </w:rPr>
      </w:pPr>
      <w:r>
        <w:rPr>
          <w:rFonts w:hint="eastAsia" w:ascii="宋体" w:hAnsi="宋体" w:cs="宋体"/>
          <w:color w:val="auto"/>
          <w:sz w:val="24"/>
          <w:szCs w:val="24"/>
          <w:highlight w:val="none"/>
        </w:rPr>
        <w:t>本项目投标报价的最高限价</w:t>
      </w:r>
      <w:r>
        <w:rPr>
          <w:rFonts w:hint="eastAsia" w:ascii="宋体" w:hAnsi="宋体" w:cs="宋体"/>
          <w:b/>
          <w:bCs/>
          <w:color w:val="auto"/>
          <w:sz w:val="24"/>
          <w:szCs w:val="24"/>
          <w:highlight w:val="none"/>
        </w:rPr>
        <w:t>为人民币</w:t>
      </w:r>
      <w:r>
        <w:rPr>
          <w:rFonts w:hint="eastAsia" w:ascii="宋体" w:hAnsi="宋体"/>
          <w:b/>
          <w:color w:val="auto"/>
          <w:sz w:val="24"/>
          <w:szCs w:val="21"/>
          <w:highlight w:val="none"/>
          <w:u w:val="single"/>
          <w:lang w:val="en-US" w:eastAsia="zh-CN"/>
        </w:rPr>
        <w:t>叁拾</w:t>
      </w:r>
      <w:r>
        <w:rPr>
          <w:rFonts w:hint="eastAsia" w:ascii="宋体" w:hAnsi="宋体"/>
          <w:b/>
          <w:color w:val="auto"/>
          <w:sz w:val="24"/>
          <w:szCs w:val="21"/>
          <w:highlight w:val="none"/>
          <w:u w:val="single"/>
        </w:rPr>
        <w:t>万元整</w:t>
      </w:r>
      <w:r>
        <w:rPr>
          <w:rFonts w:hint="eastAsia" w:ascii="宋体" w:hAnsi="宋体" w:cs="宋体"/>
          <w:b/>
          <w:bCs/>
          <w:color w:val="auto"/>
          <w:sz w:val="24"/>
          <w:szCs w:val="24"/>
          <w:highlight w:val="none"/>
        </w:rPr>
        <w:t>（小写</w:t>
      </w:r>
      <w:r>
        <w:rPr>
          <w:rFonts w:hint="eastAsia" w:ascii="宋体" w:hAnsi="宋体"/>
          <w:b/>
          <w:color w:val="auto"/>
          <w:sz w:val="24"/>
          <w:szCs w:val="21"/>
          <w:highlight w:val="none"/>
          <w:u w:val="single"/>
          <w:lang w:val="en-US" w:eastAsia="zh-CN"/>
        </w:rPr>
        <w:t>300000</w:t>
      </w:r>
      <w:r>
        <w:rPr>
          <w:rFonts w:ascii="宋体" w:hAnsi="宋体" w:cs="宋体"/>
          <w:b/>
          <w:bCs/>
          <w:color w:val="auto"/>
          <w:sz w:val="24"/>
          <w:szCs w:val="24"/>
          <w:highlight w:val="none"/>
          <w:u w:val="single"/>
        </w:rPr>
        <w:t xml:space="preserve">.00 </w:t>
      </w:r>
      <w:r>
        <w:rPr>
          <w:rFonts w:hint="eastAsia" w:ascii="宋体" w:hAnsi="宋体" w:cs="宋体"/>
          <w:b/>
          <w:bCs/>
          <w:color w:val="auto"/>
          <w:sz w:val="24"/>
          <w:szCs w:val="24"/>
          <w:highlight w:val="none"/>
        </w:rPr>
        <w:t>元）。最高限价由采购人根据市场价格的调查设定，并且不高于本项目财政预算。</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、供应商的报价在最高限价内的，为有效报价。</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、本次评标设有最佳报价。最佳报价确定方式：根据所有入围供应商有效报价中的最低报价作为最佳报价。</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、最佳报价者的报价分为满分，其他供应商的有效报价与最佳报价相比，按下列方法计算其报价分：</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投标价格分</w:t>
      </w:r>
      <w:r>
        <w:rPr>
          <w:rFonts w:ascii="宋体" w:hAnsi="宋体" w:cs="宋体"/>
          <w:color w:val="auto"/>
          <w:sz w:val="24"/>
          <w:szCs w:val="24"/>
          <w:highlight w:val="none"/>
        </w:rPr>
        <w:t>=(</w:t>
      </w:r>
      <w:r>
        <w:rPr>
          <w:rFonts w:hint="eastAsia" w:ascii="宋体" w:hAnsi="宋体" w:cs="宋体"/>
          <w:color w:val="auto"/>
          <w:sz w:val="24"/>
          <w:szCs w:val="24"/>
          <w:highlight w:val="none"/>
        </w:rPr>
        <w:t>最佳报价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highlight w:val="none"/>
        </w:rPr>
        <w:t>0</w:t>
      </w:r>
      <w:r>
        <w:rPr>
          <w:rFonts w:hint="eastAsia" w:ascii="宋体" w:hAnsi="宋体" w:cs="宋体"/>
          <w:color w:val="auto"/>
          <w:sz w:val="24"/>
          <w:szCs w:val="24"/>
          <w:highlight w:val="none"/>
        </w:rPr>
        <w:t>”元，视同赠送）</w:t>
      </w:r>
      <w:r>
        <w:rPr>
          <w:rFonts w:ascii="宋体" w:cs="宋体"/>
          <w:color w:val="auto"/>
          <w:sz w:val="24"/>
          <w:szCs w:val="24"/>
          <w:highlight w:val="none"/>
        </w:rPr>
        <w:t>,</w:t>
      </w:r>
      <w:r>
        <w:rPr>
          <w:rFonts w:hint="eastAsia" w:ascii="宋体" w:hAnsi="宋体" w:cs="宋体"/>
          <w:color w:val="auto"/>
          <w:sz w:val="24"/>
          <w:szCs w:val="24"/>
          <w:highlight w:val="none"/>
        </w:rPr>
        <w:t>如出现则做</w:t>
      </w:r>
      <w:r>
        <w:rPr>
          <w:rFonts w:hint="eastAsia" w:ascii="宋体" w:hAnsi="宋体" w:cs="宋体"/>
          <w:b/>
          <w:bCs/>
          <w:color w:val="auto"/>
          <w:sz w:val="24"/>
          <w:szCs w:val="24"/>
          <w:highlight w:val="none"/>
        </w:rPr>
        <w:t>无效响应</w:t>
      </w:r>
      <w:r>
        <w:rPr>
          <w:rFonts w:hint="eastAsia" w:ascii="宋体" w:hAnsi="宋体" w:cs="宋体"/>
          <w:color w:val="auto"/>
          <w:sz w:val="24"/>
          <w:szCs w:val="24"/>
          <w:highlight w:val="none"/>
        </w:rPr>
        <w:t>处理。</w:t>
      </w:r>
    </w:p>
    <w:p>
      <w:pPr>
        <w:autoSpaceDE w:val="0"/>
        <w:autoSpaceDN w:val="0"/>
        <w:spacing w:line="360" w:lineRule="auto"/>
        <w:ind w:firstLine="482"/>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w:t>
      </w:r>
      <w:r>
        <w:rPr>
          <w:rFonts w:hint="eastAsia" w:ascii="Arial" w:hAnsi="Arial"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olor w:val="auto"/>
          <w:sz w:val="24"/>
          <w:szCs w:val="21"/>
          <w:highlight w:val="none"/>
        </w:rPr>
        <w:t>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w:t>
      </w:r>
      <w:r>
        <w:rPr>
          <w:rFonts w:hint="eastAsia" w:ascii="宋体" w:hAnsi="宋体" w:cs="宋体"/>
          <w:color w:val="auto"/>
          <w:sz w:val="24"/>
          <w:szCs w:val="24"/>
          <w:highlight w:val="none"/>
        </w:rPr>
        <w:t>、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-20%给予扣除，用扣除后的价格参加评审；对于联合协议或者分包意向协议约定小微企业的合同份额占到合同总金额30%以上的，采购单位、采购代理机构应结合项目实际，对联合体或者大中型企业的报价按4%—6%给予扣除，用扣除后的价格参加评审。（中标价及合同价仍以其投标报价为准）。</w:t>
      </w:r>
    </w:p>
    <w:p>
      <w:pPr>
        <w:spacing w:line="360" w:lineRule="auto"/>
        <w:ind w:firstLine="480" w:firstLineChars="200"/>
        <w:rPr>
          <w:rFonts w:ascii="Arial" w:hAnsi="Arial" w:cs="宋体"/>
          <w:color w:val="auto"/>
          <w:sz w:val="24"/>
          <w:szCs w:val="24"/>
          <w:highlight w:val="none"/>
        </w:rPr>
      </w:pPr>
      <w:r>
        <w:rPr>
          <w:rFonts w:hint="eastAsia" w:ascii="宋体" w:hAnsi="宋体" w:cs="宋体"/>
          <w:color w:val="auto"/>
          <w:sz w:val="24"/>
          <w:szCs w:val="24"/>
          <w:highlight w:val="none"/>
        </w:rPr>
        <w:t>组成联合体或者接受分包的小微企业与联合体内其他企业、分包企业之间存在直接控股、管理关系的，不享受价格</w:t>
      </w:r>
      <w:r>
        <w:rPr>
          <w:rFonts w:hint="eastAsia" w:ascii="Arial" w:hAnsi="Arial" w:cs="宋体"/>
          <w:color w:val="auto"/>
          <w:sz w:val="24"/>
          <w:szCs w:val="24"/>
          <w:highlight w:val="none"/>
        </w:rPr>
        <w:t>扣除优惠政策。联合体各方均为小型、微型企业的，联合体视同为小型、微型企业。</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二、商务技术文件评标内容及标准（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rPr>
        <w:t>80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pPr>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1、评分细则</w:t>
      </w:r>
    </w:p>
    <w:tbl>
      <w:tblPr>
        <w:tblStyle w:val="26"/>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6030"/>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类型</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项目</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评标要点及说明</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129" w:type="dxa"/>
            <w:vMerge w:val="restart"/>
            <w:tcBorders>
              <w:left w:val="single" w:color="auto" w:sz="4" w:space="0"/>
              <w:right w:val="single" w:color="auto" w:sz="4" w:space="0"/>
            </w:tcBorders>
            <w:vAlign w:val="center"/>
          </w:tcPr>
          <w:p>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技术</w:t>
            </w:r>
          </w:p>
        </w:tc>
        <w:tc>
          <w:tcPr>
            <w:tcW w:w="1985" w:type="dxa"/>
            <w:tcBorders>
              <w:left w:val="single" w:color="auto" w:sz="4" w:space="0"/>
              <w:right w:val="single" w:color="auto" w:sz="4" w:space="0"/>
            </w:tcBorders>
            <w:vAlign w:val="center"/>
          </w:tcPr>
          <w:p>
            <w:pPr>
              <w:widowControl/>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项目理解</w:t>
            </w:r>
          </w:p>
        </w:tc>
        <w:tc>
          <w:tcPr>
            <w:tcW w:w="6030"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根据投标人对本项目的需求解读、工作内容及特点的理解程度进行打分。</w:t>
            </w:r>
          </w:p>
        </w:tc>
        <w:tc>
          <w:tcPr>
            <w:tcW w:w="707" w:type="dxa"/>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9" w:type="dxa"/>
            <w:vMerge w:val="continue"/>
            <w:tcBorders>
              <w:left w:val="single" w:color="auto" w:sz="4" w:space="0"/>
              <w:right w:val="single" w:color="auto" w:sz="4" w:space="0"/>
            </w:tcBorders>
            <w:vAlign w:val="center"/>
          </w:tcPr>
          <w:p>
            <w:pPr>
              <w:widowControl/>
              <w:jc w:val="center"/>
              <w:rPr>
                <w:rFonts w:ascii="宋体" w:hAnsi="宋体" w:cs="宋体"/>
                <w:color w:val="auto"/>
                <w:sz w:val="24"/>
                <w:szCs w:val="24"/>
                <w:highlight w:val="none"/>
              </w:rPr>
            </w:pPr>
          </w:p>
        </w:tc>
        <w:tc>
          <w:tcPr>
            <w:tcW w:w="1985" w:type="dxa"/>
            <w:tcBorders>
              <w:left w:val="single" w:color="auto" w:sz="4" w:space="0"/>
              <w:right w:val="single" w:color="auto" w:sz="4" w:space="0"/>
            </w:tcBorders>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重难点分析</w:t>
            </w:r>
          </w:p>
        </w:tc>
        <w:tc>
          <w:tcPr>
            <w:tcW w:w="6030"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eastAsia="zh-CN"/>
              </w:rPr>
              <w:t>根据投标人针对本项目的重难点分析及应对措施的科学性、有效性进行打分。</w:t>
            </w:r>
          </w:p>
        </w:tc>
        <w:tc>
          <w:tcPr>
            <w:tcW w:w="707"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9" w:type="dxa"/>
            <w:vMerge w:val="continue"/>
            <w:tcBorders>
              <w:left w:val="single" w:color="auto" w:sz="4" w:space="0"/>
              <w:right w:val="single" w:color="auto" w:sz="4" w:space="0"/>
            </w:tcBorders>
            <w:vAlign w:val="center"/>
          </w:tcPr>
          <w:p>
            <w:pPr>
              <w:widowControl/>
              <w:rPr>
                <w:rFonts w:ascii="宋体" w:hAnsi="宋体" w:cs="宋体"/>
                <w:color w:val="auto"/>
                <w:sz w:val="24"/>
                <w:szCs w:val="24"/>
                <w:highlight w:val="none"/>
              </w:rPr>
            </w:pPr>
          </w:p>
        </w:tc>
        <w:tc>
          <w:tcPr>
            <w:tcW w:w="1985" w:type="dxa"/>
            <w:vMerge w:val="restart"/>
            <w:tcBorders>
              <w:left w:val="single" w:color="auto" w:sz="4" w:space="0"/>
              <w:right w:val="single" w:color="auto" w:sz="4" w:space="0"/>
            </w:tcBorders>
            <w:vAlign w:val="center"/>
          </w:tcPr>
          <w:p>
            <w:pPr>
              <w:widowControl/>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制作</w:t>
            </w:r>
            <w:r>
              <w:rPr>
                <w:rFonts w:hint="eastAsia" w:ascii="宋体" w:hAnsi="宋体" w:eastAsia="宋体" w:cs="宋体"/>
                <w:color w:val="auto"/>
                <w:sz w:val="24"/>
                <w:szCs w:val="24"/>
                <w:highlight w:val="none"/>
                <w:lang w:eastAsia="zh-CN"/>
              </w:rPr>
              <w:t>方案</w:t>
            </w:r>
          </w:p>
        </w:tc>
        <w:tc>
          <w:tcPr>
            <w:tcW w:w="6030"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根据投标人针对本项目的</w:t>
            </w:r>
            <w:r>
              <w:rPr>
                <w:rFonts w:hint="eastAsia" w:ascii="宋体" w:hAnsi="宋体" w:cs="宋体"/>
                <w:color w:val="auto"/>
                <w:sz w:val="24"/>
                <w:szCs w:val="24"/>
                <w:highlight w:val="none"/>
                <w:lang w:eastAsia="zh-CN"/>
              </w:rPr>
              <w:t>制作</w:t>
            </w:r>
            <w:r>
              <w:rPr>
                <w:rFonts w:hint="eastAsia" w:ascii="宋体" w:hAnsi="宋体" w:eastAsia="宋体" w:cs="宋体"/>
                <w:color w:val="auto"/>
                <w:sz w:val="24"/>
                <w:szCs w:val="24"/>
                <w:highlight w:val="none"/>
                <w:lang w:eastAsia="zh-CN"/>
              </w:rPr>
              <w:t>方案的完整性、详细性、与本项目的适应性进行打分。</w:t>
            </w:r>
          </w:p>
        </w:tc>
        <w:tc>
          <w:tcPr>
            <w:tcW w:w="707"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9" w:type="dxa"/>
            <w:vMerge w:val="continue"/>
            <w:tcBorders>
              <w:left w:val="single" w:color="auto" w:sz="4" w:space="0"/>
              <w:right w:val="single" w:color="auto" w:sz="4" w:space="0"/>
            </w:tcBorders>
            <w:vAlign w:val="center"/>
          </w:tcPr>
          <w:p>
            <w:pPr>
              <w:widowControl/>
              <w:rPr>
                <w:rFonts w:ascii="宋体" w:hAnsi="宋体" w:cs="宋体"/>
                <w:color w:val="auto"/>
                <w:sz w:val="24"/>
                <w:szCs w:val="24"/>
                <w:highlight w:val="none"/>
              </w:rPr>
            </w:pPr>
          </w:p>
        </w:tc>
        <w:tc>
          <w:tcPr>
            <w:tcW w:w="1985" w:type="dxa"/>
            <w:vMerge w:val="continue"/>
            <w:tcBorders>
              <w:left w:val="single" w:color="auto" w:sz="4" w:space="0"/>
              <w:right w:val="single" w:color="auto" w:sz="4" w:space="0"/>
            </w:tcBorders>
            <w:vAlign w:val="center"/>
          </w:tcPr>
          <w:p>
            <w:pPr>
              <w:widowControl/>
              <w:jc w:val="center"/>
              <w:rPr>
                <w:rFonts w:hint="eastAsia" w:ascii="宋体" w:hAnsi="宋体" w:cs="宋体"/>
                <w:color w:val="auto"/>
                <w:sz w:val="24"/>
                <w:szCs w:val="24"/>
                <w:highlight w:val="none"/>
                <w:lang w:eastAsia="zh-CN"/>
              </w:rPr>
            </w:pPr>
          </w:p>
        </w:tc>
        <w:tc>
          <w:tcPr>
            <w:tcW w:w="6030"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根据投标人方案撰写主题明确、条理清晰度、构思理念新颖性进行打分。</w:t>
            </w:r>
          </w:p>
        </w:tc>
        <w:tc>
          <w:tcPr>
            <w:tcW w:w="707" w:type="dxa"/>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9" w:type="dxa"/>
            <w:vMerge w:val="continue"/>
            <w:tcBorders>
              <w:left w:val="single" w:color="auto" w:sz="4" w:space="0"/>
              <w:right w:val="single" w:color="auto" w:sz="4" w:space="0"/>
            </w:tcBorders>
            <w:vAlign w:val="center"/>
          </w:tcPr>
          <w:p>
            <w:pPr>
              <w:widowControl/>
              <w:rPr>
                <w:rFonts w:ascii="宋体" w:hAnsi="宋体" w:cs="宋体"/>
                <w:color w:val="auto"/>
                <w:sz w:val="24"/>
                <w:szCs w:val="24"/>
                <w:highlight w:val="none"/>
              </w:rPr>
            </w:pPr>
          </w:p>
        </w:tc>
        <w:tc>
          <w:tcPr>
            <w:tcW w:w="1985" w:type="dxa"/>
            <w:vMerge w:val="continue"/>
            <w:tcBorders>
              <w:left w:val="single" w:color="auto" w:sz="4" w:space="0"/>
              <w:right w:val="single" w:color="auto" w:sz="4" w:space="0"/>
            </w:tcBorders>
            <w:vAlign w:val="center"/>
          </w:tcPr>
          <w:p>
            <w:pPr>
              <w:widowControl/>
              <w:jc w:val="center"/>
              <w:rPr>
                <w:rFonts w:hint="eastAsia" w:ascii="宋体" w:hAnsi="宋体" w:cs="宋体"/>
                <w:color w:val="auto"/>
                <w:sz w:val="24"/>
                <w:szCs w:val="24"/>
                <w:highlight w:val="none"/>
                <w:lang w:eastAsia="zh-CN"/>
              </w:rPr>
            </w:pPr>
          </w:p>
        </w:tc>
        <w:tc>
          <w:tcPr>
            <w:tcW w:w="6030"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根据投标人方案内容的表现力、策划精良性、运用合理性进行打分。</w:t>
            </w:r>
          </w:p>
        </w:tc>
        <w:tc>
          <w:tcPr>
            <w:tcW w:w="707" w:type="dxa"/>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129" w:type="dxa"/>
            <w:vMerge w:val="continue"/>
            <w:tcBorders>
              <w:left w:val="single" w:color="auto" w:sz="4" w:space="0"/>
              <w:right w:val="single" w:color="auto" w:sz="4" w:space="0"/>
            </w:tcBorders>
            <w:vAlign w:val="center"/>
          </w:tcPr>
          <w:p>
            <w:pPr>
              <w:widowControl/>
              <w:rPr>
                <w:rFonts w:ascii="宋体" w:hAnsi="宋体" w:cs="宋体"/>
                <w:color w:val="auto"/>
                <w:sz w:val="24"/>
                <w:szCs w:val="24"/>
                <w:highlight w:val="none"/>
              </w:rPr>
            </w:pPr>
          </w:p>
        </w:tc>
        <w:tc>
          <w:tcPr>
            <w:tcW w:w="1985" w:type="dxa"/>
            <w:vMerge w:val="restart"/>
            <w:tcBorders>
              <w:left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人员配置</w:t>
            </w:r>
          </w:p>
        </w:tc>
        <w:tc>
          <w:tcPr>
            <w:tcW w:w="6030"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根据投标人提供的项目组人员配备充足度、专业齐全性、结构合理性进行打分。</w:t>
            </w:r>
          </w:p>
        </w:tc>
        <w:tc>
          <w:tcPr>
            <w:tcW w:w="707" w:type="dxa"/>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1129" w:type="dxa"/>
            <w:vMerge w:val="continue"/>
            <w:tcBorders>
              <w:left w:val="single" w:color="auto" w:sz="4" w:space="0"/>
              <w:right w:val="single" w:color="auto" w:sz="4" w:space="0"/>
            </w:tcBorders>
            <w:vAlign w:val="center"/>
          </w:tcPr>
          <w:p>
            <w:pPr>
              <w:widowControl/>
              <w:rPr>
                <w:rFonts w:ascii="宋体" w:hAnsi="宋体" w:cs="宋体"/>
                <w:color w:val="auto"/>
                <w:sz w:val="24"/>
                <w:szCs w:val="24"/>
                <w:highlight w:val="none"/>
              </w:rPr>
            </w:pPr>
          </w:p>
        </w:tc>
        <w:tc>
          <w:tcPr>
            <w:tcW w:w="1985"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p>
        </w:tc>
        <w:tc>
          <w:tcPr>
            <w:tcW w:w="6030"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根据投标人提供的项目负责人的素质、专业、经验等进行打分。需提供项目负责人近三个月社保证明材料、相关证书等的扫描件并加盖单位公章。</w:t>
            </w:r>
          </w:p>
        </w:tc>
        <w:tc>
          <w:tcPr>
            <w:tcW w:w="707" w:type="dxa"/>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1129" w:type="dxa"/>
            <w:vMerge w:val="continue"/>
            <w:tcBorders>
              <w:left w:val="single" w:color="auto" w:sz="4" w:space="0"/>
              <w:right w:val="single" w:color="auto" w:sz="4" w:space="0"/>
            </w:tcBorders>
            <w:vAlign w:val="center"/>
          </w:tcPr>
          <w:p>
            <w:pPr>
              <w:widowControl/>
              <w:rPr>
                <w:rFonts w:ascii="宋体" w:hAnsi="宋体" w:cs="宋体"/>
                <w:color w:val="auto"/>
                <w:sz w:val="24"/>
                <w:szCs w:val="24"/>
                <w:highlight w:val="none"/>
              </w:rPr>
            </w:pPr>
          </w:p>
        </w:tc>
        <w:tc>
          <w:tcPr>
            <w:tcW w:w="1985"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p>
        </w:tc>
        <w:tc>
          <w:tcPr>
            <w:tcW w:w="6030"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根据投标人提供的项目组成员（除项目负责人外）素质、专业、经验等进行打分。需提供项目组成员近三个月社保证明材料、相关证书等的扫描件并加盖单位公章。</w:t>
            </w:r>
          </w:p>
        </w:tc>
        <w:tc>
          <w:tcPr>
            <w:tcW w:w="707"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129" w:type="dxa"/>
            <w:vMerge w:val="continue"/>
            <w:tcBorders>
              <w:left w:val="single" w:color="auto" w:sz="4" w:space="0"/>
              <w:right w:val="single" w:color="auto" w:sz="4" w:space="0"/>
            </w:tcBorders>
            <w:vAlign w:val="center"/>
          </w:tcPr>
          <w:p>
            <w:pPr>
              <w:widowControl/>
              <w:rPr>
                <w:rFonts w:ascii="宋体" w:hAnsi="宋体" w:cs="宋体"/>
                <w:color w:val="auto"/>
                <w:sz w:val="24"/>
                <w:szCs w:val="24"/>
                <w:highlight w:val="none"/>
              </w:rPr>
            </w:pPr>
          </w:p>
        </w:tc>
        <w:tc>
          <w:tcPr>
            <w:tcW w:w="1985" w:type="dxa"/>
            <w:vMerge w:val="restart"/>
            <w:tcBorders>
              <w:left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工作方案及实施计划</w:t>
            </w:r>
          </w:p>
        </w:tc>
        <w:tc>
          <w:tcPr>
            <w:tcW w:w="6030"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根据投标人提供的节目策划和实施方案的详尽度、完整性、科学合理性进行打分。</w:t>
            </w:r>
          </w:p>
        </w:tc>
        <w:tc>
          <w:tcPr>
            <w:tcW w:w="707" w:type="dxa"/>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1129" w:type="dxa"/>
            <w:vMerge w:val="continue"/>
            <w:tcBorders>
              <w:left w:val="single" w:color="auto" w:sz="4" w:space="0"/>
              <w:right w:val="single" w:color="auto" w:sz="4" w:space="0"/>
            </w:tcBorders>
            <w:vAlign w:val="center"/>
          </w:tcPr>
          <w:p>
            <w:pPr>
              <w:widowControl/>
              <w:rPr>
                <w:rFonts w:ascii="宋体" w:hAnsi="宋体" w:cs="宋体"/>
                <w:color w:val="auto"/>
                <w:sz w:val="24"/>
                <w:szCs w:val="24"/>
                <w:highlight w:val="none"/>
              </w:rPr>
            </w:pPr>
          </w:p>
        </w:tc>
        <w:tc>
          <w:tcPr>
            <w:tcW w:w="1985"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p>
        </w:tc>
        <w:tc>
          <w:tcPr>
            <w:tcW w:w="6030"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根据投标人提供的拍摄制作实施计划的详尽度、完整性、科学合理性进行打分。</w:t>
            </w:r>
          </w:p>
        </w:tc>
        <w:tc>
          <w:tcPr>
            <w:tcW w:w="707" w:type="dxa"/>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9" w:type="dxa"/>
            <w:vMerge w:val="continue"/>
            <w:tcBorders>
              <w:left w:val="single" w:color="auto" w:sz="4" w:space="0"/>
              <w:right w:val="single" w:color="auto" w:sz="4" w:space="0"/>
            </w:tcBorders>
            <w:vAlign w:val="center"/>
          </w:tcPr>
          <w:p>
            <w:pPr>
              <w:widowControl/>
              <w:rPr>
                <w:rFonts w:ascii="宋体" w:hAnsi="宋体" w:cs="宋体"/>
                <w:color w:val="auto"/>
                <w:sz w:val="24"/>
                <w:szCs w:val="24"/>
                <w:highlight w:val="none"/>
              </w:rPr>
            </w:pPr>
          </w:p>
        </w:tc>
        <w:tc>
          <w:tcPr>
            <w:tcW w:w="1985"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p>
        </w:tc>
        <w:tc>
          <w:tcPr>
            <w:tcW w:w="6030"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根据投标人对于电视节目专题的实施计划进行打分。</w:t>
            </w:r>
          </w:p>
        </w:tc>
        <w:tc>
          <w:tcPr>
            <w:tcW w:w="707" w:type="dxa"/>
            <w:tcBorders>
              <w:top w:val="single" w:color="auto" w:sz="4" w:space="0"/>
              <w:left w:val="single" w:color="auto" w:sz="4" w:space="0"/>
              <w:right w:val="single" w:color="auto" w:sz="4" w:space="0"/>
            </w:tcBorders>
            <w:vAlign w:val="center"/>
          </w:tcPr>
          <w:p>
            <w:pPr>
              <w:widowControl/>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9" w:type="dxa"/>
            <w:vMerge w:val="continue"/>
            <w:tcBorders>
              <w:left w:val="single" w:color="auto" w:sz="4" w:space="0"/>
              <w:right w:val="single" w:color="auto" w:sz="4" w:space="0"/>
            </w:tcBorders>
            <w:vAlign w:val="center"/>
          </w:tcPr>
          <w:p>
            <w:pPr>
              <w:widowControl/>
              <w:rPr>
                <w:rFonts w:ascii="宋体" w:hAnsi="宋体" w:cs="宋体"/>
                <w:color w:val="auto"/>
                <w:sz w:val="24"/>
                <w:szCs w:val="24"/>
                <w:highlight w:val="none"/>
              </w:rPr>
            </w:pPr>
          </w:p>
        </w:tc>
        <w:tc>
          <w:tcPr>
            <w:tcW w:w="1985"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培训方案</w:t>
            </w:r>
          </w:p>
        </w:tc>
        <w:tc>
          <w:tcPr>
            <w:tcW w:w="6030"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根据投标人针对本项目提供培训方案的全面性、科学性（培训的方式、地点、人数、时间等实质性内容）进行打分。</w:t>
            </w:r>
          </w:p>
        </w:tc>
        <w:tc>
          <w:tcPr>
            <w:tcW w:w="707"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9" w:type="dxa"/>
            <w:vMerge w:val="continue"/>
            <w:tcBorders>
              <w:left w:val="single" w:color="auto" w:sz="4" w:space="0"/>
              <w:right w:val="single" w:color="auto" w:sz="4" w:space="0"/>
            </w:tcBorders>
            <w:vAlign w:val="center"/>
          </w:tcPr>
          <w:p>
            <w:pPr>
              <w:widowControl/>
              <w:rPr>
                <w:rFonts w:ascii="宋体" w:hAnsi="宋体" w:cs="宋体"/>
                <w:color w:val="auto"/>
                <w:sz w:val="24"/>
                <w:szCs w:val="24"/>
                <w:highlight w:val="none"/>
              </w:rPr>
            </w:pPr>
          </w:p>
        </w:tc>
        <w:tc>
          <w:tcPr>
            <w:tcW w:w="1985"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应急响应方案</w:t>
            </w:r>
          </w:p>
        </w:tc>
        <w:tc>
          <w:tcPr>
            <w:tcW w:w="6030"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根据投标人针对本项目提供的应急响应方案的科学性、合理性进行打分。</w:t>
            </w:r>
          </w:p>
        </w:tc>
        <w:tc>
          <w:tcPr>
            <w:tcW w:w="707"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129" w:type="dxa"/>
            <w:vMerge w:val="continue"/>
            <w:tcBorders>
              <w:left w:val="single" w:color="auto" w:sz="4" w:space="0"/>
              <w:right w:val="single" w:color="auto" w:sz="4" w:space="0"/>
            </w:tcBorders>
            <w:vAlign w:val="center"/>
          </w:tcPr>
          <w:p>
            <w:pPr>
              <w:widowControl/>
              <w:rPr>
                <w:rFonts w:ascii="宋体" w:hAnsi="宋体" w:cs="宋体"/>
                <w:color w:val="auto"/>
                <w:sz w:val="24"/>
                <w:szCs w:val="24"/>
                <w:highlight w:val="none"/>
              </w:rPr>
            </w:pPr>
          </w:p>
        </w:tc>
        <w:tc>
          <w:tcPr>
            <w:tcW w:w="1985"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售后服务</w:t>
            </w:r>
          </w:p>
        </w:tc>
        <w:tc>
          <w:tcPr>
            <w:tcW w:w="6030"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根据投标人针对本项目的售后服务方案的具体性、合理性、可行性进行打分。</w:t>
            </w:r>
          </w:p>
        </w:tc>
        <w:tc>
          <w:tcPr>
            <w:tcW w:w="707"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1129" w:type="dxa"/>
            <w:vMerge w:val="continue"/>
            <w:tcBorders>
              <w:left w:val="single" w:color="auto" w:sz="4" w:space="0"/>
              <w:right w:val="single" w:color="auto" w:sz="4" w:space="0"/>
            </w:tcBorders>
            <w:vAlign w:val="center"/>
          </w:tcPr>
          <w:p>
            <w:pPr>
              <w:widowControl/>
              <w:rPr>
                <w:rFonts w:ascii="宋体" w:hAnsi="宋体" w:cs="宋体"/>
                <w:color w:val="auto"/>
                <w:sz w:val="24"/>
                <w:szCs w:val="24"/>
                <w:highlight w:val="none"/>
              </w:rPr>
            </w:pPr>
          </w:p>
        </w:tc>
        <w:tc>
          <w:tcPr>
            <w:tcW w:w="1985"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合理化建议</w:t>
            </w:r>
          </w:p>
        </w:tc>
        <w:tc>
          <w:tcPr>
            <w:tcW w:w="6030"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lang w:eastAsia="zh-CN"/>
              </w:rPr>
              <w:t>投标人提出的合理化建议合理</w:t>
            </w:r>
            <w:r>
              <w:rPr>
                <w:rFonts w:hint="eastAsia" w:ascii="宋体" w:hAnsi="宋体" w:eastAsia="宋体" w:cs="宋体"/>
                <w:color w:val="auto"/>
                <w:sz w:val="24"/>
                <w:szCs w:val="24"/>
                <w:highlight w:val="none"/>
                <w:lang w:val="en-US" w:eastAsia="zh-CN"/>
              </w:rPr>
              <w:t>的具体性、合理性、可行性进行打分</w:t>
            </w:r>
          </w:p>
        </w:tc>
        <w:tc>
          <w:tcPr>
            <w:tcW w:w="707"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1129" w:type="dxa"/>
            <w:vMerge w:val="continue"/>
            <w:tcBorders>
              <w:left w:val="single" w:color="auto" w:sz="4" w:space="0"/>
              <w:right w:val="single" w:color="auto" w:sz="4" w:space="0"/>
            </w:tcBorders>
            <w:vAlign w:val="center"/>
          </w:tcPr>
          <w:p>
            <w:pPr>
              <w:widowControl/>
              <w:rPr>
                <w:rFonts w:ascii="宋体" w:hAnsi="宋体" w:cs="宋体"/>
                <w:color w:val="auto"/>
                <w:sz w:val="24"/>
                <w:szCs w:val="24"/>
                <w:highlight w:val="none"/>
              </w:rPr>
            </w:pPr>
          </w:p>
        </w:tc>
        <w:tc>
          <w:tcPr>
            <w:tcW w:w="1985"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本地化服务</w:t>
            </w:r>
          </w:p>
        </w:tc>
        <w:tc>
          <w:tcPr>
            <w:tcW w:w="6030"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根据投标人提供的售后服务方案、售后服务承诺的可行性、完整性以及服务承诺落实的保障措施，服务响应时间，现场技术服务能力等进行综合评分。</w:t>
            </w:r>
          </w:p>
        </w:tc>
        <w:tc>
          <w:tcPr>
            <w:tcW w:w="707"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129" w:type="dxa"/>
            <w:tcBorders>
              <w:left w:val="single" w:color="auto" w:sz="4" w:space="0"/>
              <w:right w:val="single" w:color="auto" w:sz="4" w:space="0"/>
            </w:tcBorders>
            <w:vAlign w:val="center"/>
          </w:tcPr>
          <w:p>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资信</w:t>
            </w:r>
          </w:p>
        </w:tc>
        <w:tc>
          <w:tcPr>
            <w:tcW w:w="1985" w:type="dxa"/>
            <w:tcBorders>
              <w:left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业绩</w:t>
            </w:r>
          </w:p>
        </w:tc>
        <w:tc>
          <w:tcPr>
            <w:tcW w:w="6030"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s="宋体"/>
                <w:color w:val="auto"/>
                <w:sz w:val="24"/>
                <w:szCs w:val="24"/>
                <w:highlight w:val="none"/>
              </w:rPr>
            </w:pPr>
            <w:r>
              <w:rPr>
                <w:rFonts w:hint="eastAsia" w:ascii="宋体" w:hAnsi="宋体" w:cs="宋体"/>
                <w:color w:val="auto"/>
                <w:sz w:val="24"/>
                <w:szCs w:val="24"/>
                <w:highlight w:val="none"/>
              </w:rPr>
              <w:t>类似业绩</w:t>
            </w:r>
            <w:r>
              <w:rPr>
                <w:rFonts w:hint="eastAsia" w:ascii="宋体" w:hAnsi="宋体" w:cs="宋体"/>
                <w:b/>
                <w:color w:val="auto"/>
                <w:sz w:val="24"/>
                <w:highlight w:val="none"/>
              </w:rPr>
              <w:t>（具体详见商务要求表）</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r>
    </w:tbl>
    <w:p>
      <w:pPr>
        <w:ind w:firstLine="482" w:firstLineChars="200"/>
        <w:rPr>
          <w:rFonts w:hint="eastAsia" w:ascii="宋体" w:hAnsi="宋体" w:cs="宋体"/>
          <w:b/>
          <w:bCs/>
          <w:color w:val="auto"/>
          <w:sz w:val="24"/>
          <w:highlight w:val="none"/>
        </w:rPr>
      </w:pPr>
    </w:p>
    <w:p>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2、商务要求表</w:t>
      </w:r>
      <w:r>
        <w:rPr>
          <w:rFonts w:hint="eastAsia" w:ascii="宋体" w:hAnsi="宋体" w:cs="宋体"/>
          <w:color w:val="auto"/>
          <w:sz w:val="24"/>
          <w:highlight w:val="none"/>
        </w:rPr>
        <w:t>（对应评分标准）</w:t>
      </w:r>
    </w:p>
    <w:tbl>
      <w:tblPr>
        <w:tblStyle w:val="26"/>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995"/>
        <w:gridCol w:w="607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1142" w:type="dxa"/>
            <w:tcBorders>
              <w:left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资信</w:t>
            </w:r>
          </w:p>
        </w:tc>
        <w:tc>
          <w:tcPr>
            <w:tcW w:w="1995"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szCs w:val="24"/>
                <w:highlight w:val="none"/>
              </w:rPr>
              <w:t>业绩</w:t>
            </w:r>
          </w:p>
        </w:tc>
        <w:tc>
          <w:tcPr>
            <w:tcW w:w="60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color w:val="auto"/>
                <w:sz w:val="24"/>
                <w:highlight w:val="none"/>
              </w:rPr>
            </w:pPr>
            <w:r>
              <w:rPr>
                <w:rFonts w:hint="eastAsia" w:ascii="宋体" w:hAnsi="宋体" w:cs="宋体"/>
                <w:color w:val="auto"/>
                <w:sz w:val="24"/>
                <w:highlight w:val="none"/>
              </w:rPr>
              <w:t>投标人自20</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年1月1日（以合同签订时间为准）以来已完成类似项目业绩的每个得0.5分，最高得2分，没有不得分</w:t>
            </w:r>
            <w:r>
              <w:rPr>
                <w:rFonts w:hint="eastAsia" w:ascii="宋体" w:hAnsi="宋体" w:cs="宋体"/>
                <w:color w:val="auto"/>
                <w:sz w:val="24"/>
                <w:highlight w:val="none"/>
                <w:lang w:eastAsia="zh-CN"/>
              </w:rPr>
              <w:t>。</w:t>
            </w:r>
            <w:r>
              <w:rPr>
                <w:rFonts w:hint="eastAsia" w:ascii="宋体" w:hAnsi="宋体" w:cs="宋体"/>
                <w:color w:val="auto"/>
                <w:sz w:val="24"/>
                <w:highlight w:val="none"/>
              </w:rPr>
              <w:t>提供合同扫描件并加盖</w:t>
            </w:r>
            <w:r>
              <w:rPr>
                <w:rFonts w:hint="eastAsia" w:ascii="宋体" w:hAnsi="宋体" w:cs="宋体"/>
                <w:color w:val="auto"/>
                <w:sz w:val="24"/>
                <w:highlight w:val="none"/>
                <w:lang w:eastAsia="zh-CN"/>
              </w:rPr>
              <w:t>单位</w:t>
            </w:r>
            <w:r>
              <w:rPr>
                <w:rFonts w:hint="eastAsia" w:ascii="宋体" w:hAnsi="宋体" w:cs="宋体"/>
                <w:color w:val="auto"/>
                <w:sz w:val="24"/>
                <w:highlight w:val="none"/>
              </w:rPr>
              <w:t>公章。</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ascii="宋体" w:hAnsi="宋体" w:cs="宋体"/>
                <w:color w:val="auto"/>
                <w:sz w:val="24"/>
                <w:szCs w:val="24"/>
                <w:highlight w:val="none"/>
              </w:rPr>
              <w:t>2</w:t>
            </w:r>
          </w:p>
        </w:tc>
      </w:tr>
    </w:tbl>
    <w:p>
      <w:pPr>
        <w:spacing w:line="360" w:lineRule="auto"/>
        <w:ind w:firstLine="480" w:firstLineChars="200"/>
        <w:rPr>
          <w:rFonts w:ascii="宋体" w:hAnsi="宋体" w:cs="宋体"/>
          <w:color w:val="auto"/>
          <w:sz w:val="24"/>
          <w:szCs w:val="24"/>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pPr>
        <w:spacing w:line="360" w:lineRule="auto"/>
        <w:ind w:firstLine="480" w:firstLineChars="200"/>
        <w:rPr>
          <w:color w:val="auto"/>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p>
    <w:p>
      <w:pPr>
        <w:rPr>
          <w:rFonts w:cs="宋体"/>
          <w:color w:val="auto"/>
          <w:sz w:val="36"/>
          <w:szCs w:val="36"/>
          <w:highlight w:val="none"/>
        </w:rPr>
      </w:pPr>
      <w:bookmarkStart w:id="76" w:name="_Toc8033"/>
      <w:bookmarkStart w:id="77" w:name="_Toc4517"/>
    </w:p>
    <w:p>
      <w:pPr>
        <w:rPr>
          <w:rFonts w:cs="宋体"/>
          <w:color w:val="auto"/>
          <w:sz w:val="36"/>
          <w:szCs w:val="36"/>
          <w:highlight w:val="none"/>
        </w:rPr>
      </w:pPr>
    </w:p>
    <w:p>
      <w:pPr>
        <w:rPr>
          <w:rFonts w:cs="宋体"/>
          <w:color w:val="auto"/>
          <w:sz w:val="36"/>
          <w:szCs w:val="36"/>
          <w:highlight w:val="none"/>
        </w:rPr>
      </w:pPr>
    </w:p>
    <w:p>
      <w:pPr>
        <w:rPr>
          <w:rFonts w:cs="宋体"/>
          <w:color w:val="auto"/>
          <w:sz w:val="36"/>
          <w:szCs w:val="36"/>
          <w:highlight w:val="none"/>
        </w:rPr>
      </w:pPr>
    </w:p>
    <w:p>
      <w:pPr>
        <w:pStyle w:val="3"/>
        <w:jc w:val="center"/>
        <w:rPr>
          <w:rFonts w:hint="eastAsia" w:cs="宋体"/>
          <w:color w:val="auto"/>
          <w:sz w:val="36"/>
          <w:szCs w:val="36"/>
          <w:highlight w:val="none"/>
          <w:lang w:val="en-US" w:eastAsia="zh-CN"/>
        </w:rPr>
      </w:pPr>
      <w:bookmarkStart w:id="78" w:name="_Toc32092"/>
      <w:r>
        <w:rPr>
          <w:rFonts w:hint="eastAsia" w:cs="宋体"/>
          <w:color w:val="auto"/>
          <w:sz w:val="36"/>
          <w:szCs w:val="36"/>
          <w:highlight w:val="none"/>
          <w:lang w:val="en-US" w:eastAsia="zh-CN"/>
        </w:rPr>
        <w:t xml:space="preserve">  </w:t>
      </w:r>
    </w:p>
    <w:p>
      <w:pPr>
        <w:rPr>
          <w:rFonts w:hint="eastAsia" w:cs="宋体"/>
          <w:color w:val="auto"/>
          <w:sz w:val="36"/>
          <w:szCs w:val="36"/>
          <w:highlight w:val="none"/>
          <w:lang w:val="en-US" w:eastAsia="zh-CN"/>
        </w:rPr>
      </w:pPr>
      <w:r>
        <w:rPr>
          <w:rFonts w:hint="eastAsia" w:cs="宋体"/>
          <w:color w:val="auto"/>
          <w:sz w:val="36"/>
          <w:szCs w:val="36"/>
          <w:highlight w:val="none"/>
          <w:lang w:val="en-US" w:eastAsia="zh-CN"/>
        </w:rPr>
        <w:br w:type="page"/>
      </w:r>
    </w:p>
    <w:p>
      <w:pPr>
        <w:pStyle w:val="3"/>
        <w:jc w:val="center"/>
        <w:rPr>
          <w:rFonts w:ascii="宋体" w:cs="Times New Roman"/>
          <w:color w:val="auto"/>
          <w:highlight w:val="none"/>
        </w:rPr>
      </w:pPr>
      <w:r>
        <w:rPr>
          <w:rFonts w:hint="eastAsia" w:cs="宋体"/>
          <w:color w:val="auto"/>
          <w:sz w:val="36"/>
          <w:szCs w:val="36"/>
          <w:highlight w:val="none"/>
          <w:lang w:val="en-US" w:eastAsia="zh-CN"/>
        </w:rPr>
        <w:t xml:space="preserve">   </w:t>
      </w:r>
      <w:r>
        <w:rPr>
          <w:rFonts w:hint="eastAsia" w:cs="宋体"/>
          <w:color w:val="auto"/>
          <w:sz w:val="36"/>
          <w:szCs w:val="36"/>
          <w:highlight w:val="none"/>
        </w:rPr>
        <w:t>第五部分</w:t>
      </w:r>
      <w:r>
        <w:rPr>
          <w:color w:val="auto"/>
          <w:sz w:val="36"/>
          <w:szCs w:val="36"/>
          <w:highlight w:val="none"/>
        </w:rPr>
        <w:t xml:space="preserve"> </w:t>
      </w:r>
      <w:r>
        <w:rPr>
          <w:rFonts w:hint="eastAsia" w:cs="宋体"/>
          <w:color w:val="auto"/>
          <w:sz w:val="36"/>
          <w:szCs w:val="36"/>
          <w:highlight w:val="none"/>
        </w:rPr>
        <w:t>采购合同</w:t>
      </w:r>
      <w:bookmarkEnd w:id="76"/>
      <w:bookmarkEnd w:id="77"/>
      <w:bookmarkEnd w:id="78"/>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合同编号：（</w:t>
      </w:r>
      <w:r>
        <w:rPr>
          <w:rFonts w:hint="eastAsia" w:ascii="宋体" w:hAnsi="宋体" w:cs="宋体"/>
          <w:color w:val="auto"/>
          <w:sz w:val="24"/>
          <w:highlight w:val="none"/>
          <w:lang w:eastAsia="zh-CN"/>
        </w:rPr>
        <w:t>2024</w:t>
      </w:r>
      <w:r>
        <w:rPr>
          <w:rFonts w:hint="eastAsia" w:ascii="宋体" w:hAnsi="宋体" w:cs="宋体"/>
          <w:color w:val="auto"/>
          <w:sz w:val="24"/>
          <w:highlight w:val="none"/>
        </w:rPr>
        <w:t>）第</w:t>
      </w:r>
      <w:r>
        <w:rPr>
          <w:rFonts w:hint="eastAsia" w:ascii="宋体" w:hAnsi="宋体" w:cs="宋体"/>
          <w:color w:val="auto"/>
          <w:sz w:val="24"/>
          <w:highlight w:val="none"/>
          <w:u w:val="single"/>
        </w:rPr>
        <w:t>　　</w:t>
      </w:r>
      <w:r>
        <w:rPr>
          <w:rFonts w:hint="eastAsia" w:ascii="宋体" w:hAnsi="宋体" w:cs="宋体"/>
          <w:color w:val="auto"/>
          <w:sz w:val="24"/>
          <w:highlight w:val="none"/>
        </w:rPr>
        <w:t>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签订日期：</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rPr>
        <w:t>　　</w:t>
      </w:r>
      <w:r>
        <w:rPr>
          <w:rFonts w:hint="eastAsia" w:ascii="宋体" w:hAnsi="宋体" w:cs="宋体"/>
          <w:color w:val="auto"/>
          <w:sz w:val="24"/>
          <w:highlight w:val="none"/>
        </w:rPr>
        <w:t>月</w:t>
      </w:r>
      <w:r>
        <w:rPr>
          <w:rFonts w:hint="eastAsia" w:ascii="宋体" w:hAnsi="宋体" w:cs="宋体"/>
          <w:color w:val="auto"/>
          <w:sz w:val="24"/>
          <w:highlight w:val="none"/>
          <w:u w:val="single"/>
        </w:rPr>
        <w:t>　　</w:t>
      </w:r>
      <w:r>
        <w:rPr>
          <w:rFonts w:hint="eastAsia" w:ascii="宋体" w:hAnsi="宋体" w:cs="宋体"/>
          <w:color w:val="auto"/>
          <w:sz w:val="24"/>
          <w:highlight w:val="none"/>
        </w:rPr>
        <w:t>日</w:t>
      </w:r>
    </w:p>
    <w:p>
      <w:pPr>
        <w:spacing w:line="360" w:lineRule="auto"/>
        <w:ind w:firstLine="480" w:firstLineChars="200"/>
        <w:rPr>
          <w:rFonts w:ascii="宋体" w:hAnsi="宋体" w:cs="宋体"/>
          <w:color w:val="auto"/>
          <w:sz w:val="28"/>
          <w:highlight w:val="none"/>
          <w:u w:val="single"/>
        </w:rPr>
      </w:pPr>
      <w:r>
        <w:rPr>
          <w:rFonts w:hint="eastAsia" w:ascii="宋体" w:hAnsi="宋体" w:cs="宋体"/>
          <w:color w:val="auto"/>
          <w:sz w:val="24"/>
          <w:highlight w:val="none"/>
        </w:rPr>
        <w:t>　甲方</w:t>
      </w:r>
      <w:r>
        <w:rPr>
          <w:rFonts w:hint="eastAsia" w:ascii="宋体" w:hAnsi="宋体" w:cs="宋体"/>
          <w:color w:val="auto"/>
          <w:sz w:val="28"/>
          <w:highlight w:val="none"/>
        </w:rPr>
        <w:t>：</w:t>
      </w:r>
      <w:r>
        <w:rPr>
          <w:rFonts w:hint="eastAsia" w:ascii="宋体" w:hAnsi="宋体" w:cs="宋体"/>
          <w:color w:val="auto"/>
          <w:sz w:val="28"/>
          <w:highlight w:val="none"/>
          <w:u w:val="single"/>
        </w:rPr>
        <w:t>　　　　　　　　　　　　　　　　　　　　　　　　　</w:t>
      </w:r>
    </w:p>
    <w:p>
      <w:pPr>
        <w:spacing w:line="360" w:lineRule="auto"/>
        <w:ind w:firstLine="720" w:firstLineChars="300"/>
        <w:jc w:val="left"/>
        <w:rPr>
          <w:rFonts w:ascii="宋体" w:hAnsi="宋体" w:cs="宋体"/>
          <w:color w:val="auto"/>
          <w:sz w:val="28"/>
          <w:highlight w:val="none"/>
          <w:u w:val="single"/>
        </w:rPr>
      </w:pPr>
      <w:r>
        <w:rPr>
          <w:rFonts w:hint="eastAsia" w:ascii="宋体" w:hAnsi="宋体" w:cs="宋体"/>
          <w:color w:val="auto"/>
          <w:sz w:val="24"/>
          <w:highlight w:val="none"/>
        </w:rPr>
        <w:t>乙方</w:t>
      </w:r>
      <w:r>
        <w:rPr>
          <w:rFonts w:hint="eastAsia" w:ascii="宋体" w:hAnsi="宋体" w:cs="宋体"/>
          <w:color w:val="auto"/>
          <w:sz w:val="28"/>
          <w:highlight w:val="none"/>
        </w:rPr>
        <w:t>：</w:t>
      </w:r>
      <w:r>
        <w:rPr>
          <w:rFonts w:hint="eastAsia" w:ascii="宋体" w:hAnsi="宋体" w:cs="宋体"/>
          <w:color w:val="auto"/>
          <w:sz w:val="28"/>
          <w:highlight w:val="none"/>
          <w:u w:val="single"/>
        </w:rPr>
        <w:t>　　　　　　　　　　　　　　　　　　　　　　　　　</w:t>
      </w:r>
    </w:p>
    <w:p>
      <w:pPr>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根据《中华人民共和国民法典》、政府采购编号为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招标文件、乙方投标人文件的规定，经竞争性磋商，签订本合同。</w:t>
      </w:r>
      <w:r>
        <w:rPr>
          <w:rFonts w:hint="eastAsia" w:ascii="宋体" w:hAnsi="宋体" w:cs="宋体"/>
          <w:b/>
          <w:bCs/>
          <w:color w:val="auto"/>
          <w:sz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kern w:val="2"/>
          <w:sz w:val="24"/>
          <w:szCs w:val="24"/>
          <w:highlight w:val="none"/>
        </w:rPr>
      </w:pPr>
      <w:r>
        <w:rPr>
          <w:rFonts w:hint="eastAsia" w:ascii="宋体" w:hAnsi="宋体" w:cs="宋体"/>
          <w:b/>
          <w:bCs/>
          <w:color w:val="auto"/>
          <w:kern w:val="2"/>
          <w:sz w:val="24"/>
          <w:szCs w:val="24"/>
          <w:highlight w:val="none"/>
          <w:lang w:eastAsia="zh-CN"/>
        </w:rPr>
        <w:t>一、</w:t>
      </w:r>
      <w:r>
        <w:rPr>
          <w:rFonts w:hint="eastAsia" w:ascii="宋体" w:hAnsi="宋体" w:cs="宋体"/>
          <w:b/>
          <w:bCs/>
          <w:color w:val="auto"/>
          <w:kern w:val="2"/>
          <w:sz w:val="24"/>
          <w:szCs w:val="24"/>
          <w:highlight w:val="none"/>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（1）</w:t>
      </w:r>
      <w:r>
        <w:rPr>
          <w:rFonts w:hint="eastAsia" w:ascii="宋体" w:hAnsi="宋体" w:cs="宋体"/>
          <w:color w:val="auto"/>
          <w:kern w:val="2"/>
          <w:sz w:val="24"/>
          <w:szCs w:val="24"/>
          <w:highlight w:val="none"/>
        </w:rPr>
        <w:t>服务期：一年；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（2）</w:t>
      </w:r>
      <w:r>
        <w:rPr>
          <w:rFonts w:hint="eastAsia" w:ascii="宋体" w:hAnsi="宋体" w:cs="宋体"/>
          <w:color w:val="auto"/>
          <w:kern w:val="2"/>
          <w:sz w:val="24"/>
          <w:szCs w:val="24"/>
          <w:highlight w:val="none"/>
        </w:rPr>
        <w:t>每日制作2套“上虞天气预报”电视节目，于每天16：00前完成，产品格式为mpg或mp4标清数字视频</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rPr>
        <w:t>2套《上虞天气》影视节目分别包括以下内容，在特殊天气情况下，经采购人要求，节目时间可适当延长，费用不增加。</w:t>
      </w:r>
    </w:p>
    <w:tbl>
      <w:tblPr>
        <w:tblStyle w:val="26"/>
        <w:tblW w:w="847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83"/>
        <w:gridCol w:w="370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3083" w:type="dxa"/>
            <w:noWrap/>
          </w:tcPr>
          <w:p>
            <w:pPr>
              <w:spacing w:line="360" w:lineRule="auto"/>
              <w:jc w:val="center"/>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内    容</w:t>
            </w:r>
          </w:p>
        </w:tc>
        <w:tc>
          <w:tcPr>
            <w:tcW w:w="3700" w:type="dxa"/>
            <w:noWrap/>
          </w:tcPr>
          <w:p>
            <w:pPr>
              <w:spacing w:line="360" w:lineRule="auto"/>
              <w:jc w:val="center"/>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长     度</w:t>
            </w:r>
          </w:p>
        </w:tc>
        <w:tc>
          <w:tcPr>
            <w:tcW w:w="1695" w:type="dxa"/>
            <w:noWrap/>
          </w:tcPr>
          <w:p>
            <w:pPr>
              <w:spacing w:line="360" w:lineRule="auto"/>
              <w:jc w:val="center"/>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3083"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片头</w:t>
            </w:r>
          </w:p>
        </w:tc>
        <w:tc>
          <w:tcPr>
            <w:tcW w:w="3700"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15秒</w:t>
            </w:r>
          </w:p>
        </w:tc>
        <w:tc>
          <w:tcPr>
            <w:tcW w:w="1695"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标清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083"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主持人出镜</w:t>
            </w:r>
          </w:p>
        </w:tc>
        <w:tc>
          <w:tcPr>
            <w:tcW w:w="3700"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根据采购人提供的文稿长度</w:t>
            </w:r>
          </w:p>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一般75秒</w:t>
            </w:r>
          </w:p>
        </w:tc>
        <w:tc>
          <w:tcPr>
            <w:tcW w:w="1695"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标清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atLeast"/>
        </w:trPr>
        <w:tc>
          <w:tcPr>
            <w:tcW w:w="3083"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乡镇（景点）预报与生活指数预报图文及配音</w:t>
            </w:r>
          </w:p>
        </w:tc>
        <w:tc>
          <w:tcPr>
            <w:tcW w:w="3700"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1分钟50秒</w:t>
            </w:r>
          </w:p>
        </w:tc>
        <w:tc>
          <w:tcPr>
            <w:tcW w:w="1695"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标清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3083"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片尾</w:t>
            </w:r>
          </w:p>
        </w:tc>
        <w:tc>
          <w:tcPr>
            <w:tcW w:w="3700"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10秒</w:t>
            </w:r>
          </w:p>
        </w:tc>
        <w:tc>
          <w:tcPr>
            <w:tcW w:w="1695"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标清</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auto"/>
          <w:kern w:val="2"/>
          <w:sz w:val="24"/>
          <w:szCs w:val="24"/>
          <w:highlight w:val="none"/>
        </w:rPr>
      </w:pPr>
      <w:r>
        <w:rPr>
          <w:rFonts w:hint="eastAsia" w:ascii="宋体" w:hAnsi="宋体" w:cs="宋体"/>
          <w:b/>
          <w:bCs/>
          <w:color w:val="auto"/>
          <w:kern w:val="2"/>
          <w:sz w:val="24"/>
          <w:szCs w:val="24"/>
          <w:highlight w:val="none"/>
        </w:rPr>
        <w:t>二、专业要求：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乙方</w:t>
      </w:r>
      <w:r>
        <w:rPr>
          <w:rFonts w:hint="eastAsia" w:ascii="宋体" w:hAnsi="宋体" w:cs="宋体"/>
          <w:color w:val="auto"/>
          <w:kern w:val="2"/>
          <w:sz w:val="24"/>
          <w:szCs w:val="24"/>
          <w:highlight w:val="none"/>
        </w:rPr>
        <w:t>应具备电视天气预报节目制作业务经验，从事相关工作3年以上</w:t>
      </w:r>
      <w:r>
        <w:rPr>
          <w:rFonts w:hint="eastAsia" w:ascii="宋体" w:hAnsi="宋体" w:cs="宋体"/>
          <w:color w:val="auto"/>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auto"/>
          <w:kern w:val="2"/>
          <w:sz w:val="24"/>
          <w:szCs w:val="24"/>
          <w:highlight w:val="none"/>
        </w:rPr>
      </w:pPr>
      <w:r>
        <w:rPr>
          <w:rFonts w:hint="eastAsia" w:ascii="宋体" w:hAnsi="宋体" w:cs="宋体"/>
          <w:b/>
          <w:bCs/>
          <w:color w:val="auto"/>
          <w:kern w:val="2"/>
          <w:sz w:val="24"/>
          <w:szCs w:val="24"/>
          <w:highlight w:val="none"/>
        </w:rPr>
        <w:t>三、服务要求：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（1）每期节目制作由</w:t>
      </w:r>
      <w:r>
        <w:rPr>
          <w:rFonts w:hint="eastAsia" w:ascii="宋体" w:hAnsi="宋体" w:cs="宋体"/>
          <w:color w:val="auto"/>
          <w:kern w:val="2"/>
          <w:sz w:val="24"/>
          <w:szCs w:val="24"/>
          <w:highlight w:val="none"/>
          <w:lang w:val="en-US" w:eastAsia="zh-CN"/>
        </w:rPr>
        <w:t>乙方</w:t>
      </w:r>
      <w:r>
        <w:rPr>
          <w:rFonts w:hint="eastAsia" w:ascii="宋体" w:hAnsi="宋体" w:cs="宋体"/>
          <w:color w:val="auto"/>
          <w:kern w:val="2"/>
          <w:sz w:val="24"/>
          <w:szCs w:val="24"/>
          <w:highlight w:val="none"/>
        </w:rPr>
        <w:t>负责落实出镜主持人1</w:t>
      </w:r>
      <w:r>
        <w:rPr>
          <w:rFonts w:hint="eastAsia" w:ascii="宋体" w:hAnsi="宋体" w:cs="宋体"/>
          <w:color w:val="auto"/>
          <w:kern w:val="2"/>
          <w:sz w:val="24"/>
          <w:szCs w:val="24"/>
          <w:highlight w:val="none"/>
          <w:lang w:eastAsia="zh-CN"/>
        </w:rPr>
        <w:t>岗</w:t>
      </w:r>
      <w:r>
        <w:rPr>
          <w:rFonts w:hint="eastAsia" w:ascii="宋体" w:hAnsi="宋体" w:cs="宋体"/>
          <w:color w:val="auto"/>
          <w:kern w:val="2"/>
          <w:sz w:val="24"/>
          <w:szCs w:val="24"/>
          <w:highlight w:val="none"/>
        </w:rPr>
        <w:t>（需具备普通话等级一级乙等及以上）、节目编导制作人员1</w:t>
      </w:r>
      <w:r>
        <w:rPr>
          <w:rFonts w:hint="eastAsia" w:ascii="宋体" w:hAnsi="宋体" w:cs="宋体"/>
          <w:color w:val="auto"/>
          <w:kern w:val="2"/>
          <w:sz w:val="24"/>
          <w:szCs w:val="24"/>
          <w:highlight w:val="none"/>
          <w:lang w:eastAsia="zh-CN"/>
        </w:rPr>
        <w:t>岗</w:t>
      </w:r>
      <w:r>
        <w:rPr>
          <w:rFonts w:hint="eastAsia" w:ascii="宋体" w:hAnsi="宋体" w:cs="宋体"/>
          <w:color w:val="auto"/>
          <w:kern w:val="2"/>
          <w:sz w:val="24"/>
          <w:szCs w:val="24"/>
          <w:highlight w:val="none"/>
        </w:rPr>
        <w:t>（具备</w:t>
      </w:r>
      <w:r>
        <w:rPr>
          <w:rFonts w:hint="eastAsia" w:ascii="宋体" w:hAnsi="宋体" w:cs="宋体"/>
          <w:color w:val="auto"/>
          <w:kern w:val="2"/>
          <w:sz w:val="24"/>
          <w:szCs w:val="24"/>
          <w:highlight w:val="none"/>
          <w:lang w:val="en-US" w:eastAsia="zh-CN"/>
        </w:rPr>
        <w:t>广告师职业资格</w:t>
      </w:r>
      <w:r>
        <w:rPr>
          <w:rFonts w:hint="eastAsia" w:ascii="宋体" w:hAnsi="宋体" w:cs="宋体"/>
          <w:color w:val="auto"/>
          <w:kern w:val="2"/>
          <w:sz w:val="24"/>
          <w:szCs w:val="24"/>
          <w:highlight w:val="none"/>
        </w:rPr>
        <w:t>）、气象相关专业人员1</w:t>
      </w:r>
      <w:r>
        <w:rPr>
          <w:rFonts w:hint="eastAsia" w:ascii="宋体" w:hAnsi="宋体" w:cs="宋体"/>
          <w:color w:val="auto"/>
          <w:kern w:val="2"/>
          <w:sz w:val="24"/>
          <w:szCs w:val="24"/>
          <w:highlight w:val="none"/>
          <w:lang w:eastAsia="zh-CN"/>
        </w:rPr>
        <w:t>岗</w:t>
      </w:r>
      <w:r>
        <w:rPr>
          <w:rFonts w:hint="eastAsia" w:ascii="宋体" w:hAnsi="宋体" w:cs="宋体"/>
          <w:color w:val="auto"/>
          <w:kern w:val="2"/>
          <w:sz w:val="24"/>
          <w:szCs w:val="24"/>
          <w:highlight w:val="none"/>
        </w:rPr>
        <w:t>（具备气象相关专业本科及以上学历，有气象专业术语及专用图像识别能力）在区气象局影视节目制作中心现场办公（时间：8:30-17:15），同时落实出镜主持人和节目编导各1</w:t>
      </w:r>
      <w:r>
        <w:rPr>
          <w:rFonts w:hint="eastAsia" w:ascii="宋体" w:hAnsi="宋体" w:cs="宋体"/>
          <w:color w:val="auto"/>
          <w:kern w:val="2"/>
          <w:sz w:val="24"/>
          <w:szCs w:val="24"/>
          <w:highlight w:val="none"/>
          <w:lang w:val="en-US" w:eastAsia="zh-CN"/>
        </w:rPr>
        <w:t>岗</w:t>
      </w:r>
      <w:r>
        <w:rPr>
          <w:rFonts w:hint="eastAsia" w:ascii="宋体" w:hAnsi="宋体" w:cs="宋体"/>
          <w:color w:val="auto"/>
          <w:kern w:val="2"/>
          <w:sz w:val="24"/>
          <w:szCs w:val="24"/>
          <w:highlight w:val="none"/>
        </w:rPr>
        <w:t>备勤（出现因人员调配原因导致节目无法制作情况，须1小时内抵达制作中心现场办公）</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rPr>
        <w:t>制作节目所产生的节目包装，设备平台和数据传输，节目素材和耗材，人工劳务，节目主持人服装化妆、形象包装等产生的费用由供应商负责</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rPr>
        <w:t>派驻人员需遵守采购单位的管理制度，</w:t>
      </w:r>
      <w:r>
        <w:rPr>
          <w:rFonts w:hint="eastAsia" w:ascii="宋体" w:hAnsi="宋体" w:cs="宋体"/>
          <w:color w:val="auto"/>
          <w:kern w:val="2"/>
          <w:sz w:val="24"/>
          <w:szCs w:val="24"/>
          <w:highlight w:val="none"/>
          <w:lang w:val="en-US" w:eastAsia="zh-CN"/>
        </w:rPr>
        <w:t>乙方</w:t>
      </w:r>
      <w:r>
        <w:rPr>
          <w:rFonts w:hint="eastAsia" w:ascii="宋体" w:hAnsi="宋体" w:cs="宋体"/>
          <w:color w:val="auto"/>
          <w:kern w:val="2"/>
          <w:sz w:val="24"/>
          <w:szCs w:val="24"/>
          <w:highlight w:val="none"/>
        </w:rPr>
        <w:t>要配合</w:t>
      </w:r>
      <w:r>
        <w:rPr>
          <w:rFonts w:hint="eastAsia" w:ascii="宋体" w:hAnsi="宋体" w:cs="宋体"/>
          <w:color w:val="auto"/>
          <w:kern w:val="2"/>
          <w:sz w:val="24"/>
          <w:szCs w:val="24"/>
          <w:highlight w:val="none"/>
          <w:lang w:val="en-US" w:eastAsia="zh-CN"/>
        </w:rPr>
        <w:t>甲方</w:t>
      </w:r>
      <w:r>
        <w:rPr>
          <w:rFonts w:hint="eastAsia" w:ascii="宋体" w:hAnsi="宋体" w:cs="宋体"/>
          <w:color w:val="auto"/>
          <w:kern w:val="2"/>
          <w:sz w:val="24"/>
          <w:szCs w:val="24"/>
          <w:highlight w:val="none"/>
        </w:rPr>
        <w:t>做好对派驻人员的管理。</w:t>
      </w:r>
    </w:p>
    <w:p>
      <w:pPr>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 xml:space="preserve">    （2）因设备故障等问题无法完成常规的《上虞天气》影视节目时，</w:t>
      </w:r>
      <w:r>
        <w:rPr>
          <w:rFonts w:hint="eastAsia" w:ascii="宋体" w:hAnsi="宋体" w:cs="宋体"/>
          <w:color w:val="auto"/>
          <w:kern w:val="2"/>
          <w:sz w:val="24"/>
          <w:szCs w:val="24"/>
          <w:highlight w:val="none"/>
          <w:lang w:val="en-US" w:eastAsia="zh-CN"/>
        </w:rPr>
        <w:t>乙方</w:t>
      </w:r>
      <w:r>
        <w:rPr>
          <w:rFonts w:hint="eastAsia" w:ascii="宋体" w:hAnsi="宋体" w:cs="宋体"/>
          <w:color w:val="auto"/>
          <w:kern w:val="2"/>
          <w:sz w:val="24"/>
          <w:szCs w:val="24"/>
          <w:highlight w:val="none"/>
        </w:rPr>
        <w:t>应于每日18：00前提供应急气象节目。电视天气预报制作人员调配安排由供应商</w:t>
      </w:r>
      <w:r>
        <w:rPr>
          <w:rFonts w:hint="eastAsia" w:ascii="宋体" w:hAnsi="宋体" w:cs="宋体"/>
          <w:color w:val="auto"/>
          <w:kern w:val="2"/>
          <w:sz w:val="24"/>
          <w:szCs w:val="24"/>
          <w:highlight w:val="none"/>
          <w:lang w:val="en-US" w:eastAsia="zh-CN"/>
        </w:rPr>
        <w:t>乙方</w:t>
      </w:r>
      <w:r>
        <w:rPr>
          <w:rFonts w:hint="eastAsia" w:ascii="宋体" w:hAnsi="宋体" w:cs="宋体"/>
          <w:color w:val="auto"/>
          <w:kern w:val="2"/>
          <w:sz w:val="24"/>
          <w:szCs w:val="24"/>
          <w:highlight w:val="none"/>
        </w:rPr>
        <w:t>自行负责协调，但需保证在规定时间内保质保量完成每天的电视天气预报节目制作任务。为确保</w:t>
      </w:r>
      <w:r>
        <w:rPr>
          <w:rFonts w:hint="eastAsia" w:ascii="宋体" w:hAnsi="宋体" w:cs="宋体"/>
          <w:color w:val="auto"/>
          <w:kern w:val="2"/>
          <w:sz w:val="24"/>
          <w:szCs w:val="24"/>
          <w:highlight w:val="none"/>
          <w:lang w:val="en-US" w:eastAsia="zh-CN"/>
        </w:rPr>
        <w:t>乙方</w:t>
      </w:r>
      <w:r>
        <w:rPr>
          <w:rFonts w:hint="eastAsia" w:ascii="宋体" w:hAnsi="宋体" w:cs="宋体"/>
          <w:color w:val="auto"/>
          <w:kern w:val="2"/>
          <w:sz w:val="24"/>
          <w:szCs w:val="24"/>
          <w:highlight w:val="none"/>
        </w:rPr>
        <w:t>保质保量地完成节目制作，</w:t>
      </w:r>
      <w:r>
        <w:rPr>
          <w:rFonts w:hint="eastAsia" w:ascii="宋体" w:hAnsi="宋体" w:cs="宋体"/>
          <w:color w:val="auto"/>
          <w:kern w:val="2"/>
          <w:sz w:val="24"/>
          <w:szCs w:val="24"/>
          <w:highlight w:val="none"/>
          <w:lang w:val="en-US" w:eastAsia="zh-CN"/>
        </w:rPr>
        <w:t>甲方</w:t>
      </w:r>
      <w:r>
        <w:rPr>
          <w:rFonts w:hint="eastAsia" w:ascii="宋体" w:hAnsi="宋体" w:cs="宋体"/>
          <w:color w:val="auto"/>
          <w:kern w:val="2"/>
          <w:sz w:val="24"/>
          <w:szCs w:val="24"/>
          <w:highlight w:val="none"/>
        </w:rPr>
        <w:t>有权利对</w:t>
      </w:r>
      <w:r>
        <w:rPr>
          <w:rFonts w:hint="eastAsia" w:ascii="宋体" w:hAnsi="宋体" w:cs="宋体"/>
          <w:color w:val="auto"/>
          <w:kern w:val="2"/>
          <w:sz w:val="24"/>
          <w:szCs w:val="24"/>
          <w:highlight w:val="none"/>
          <w:lang w:val="en-US" w:eastAsia="zh-CN"/>
        </w:rPr>
        <w:t>乙方</w:t>
      </w:r>
      <w:r>
        <w:rPr>
          <w:rFonts w:hint="eastAsia" w:ascii="宋体" w:hAnsi="宋体" w:cs="宋体"/>
          <w:color w:val="auto"/>
          <w:kern w:val="2"/>
          <w:sz w:val="24"/>
          <w:szCs w:val="24"/>
          <w:highlight w:val="none"/>
        </w:rPr>
        <w:t>承担的职责进行考核，具体考核内容如下表，服务质量按月定量考核，季度汇总，考核分应在90分以上。连续三个月低于90分的，视为考核不合格</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甲方</w:t>
      </w:r>
      <w:r>
        <w:rPr>
          <w:rFonts w:hint="eastAsia" w:ascii="宋体" w:hAnsi="宋体" w:cs="宋体"/>
          <w:color w:val="auto"/>
          <w:kern w:val="2"/>
          <w:sz w:val="24"/>
          <w:szCs w:val="24"/>
          <w:highlight w:val="none"/>
          <w:lang w:eastAsia="zh-CN"/>
        </w:rPr>
        <w:t>有权解除合同；考核分在</w:t>
      </w:r>
      <w:r>
        <w:rPr>
          <w:rFonts w:hint="eastAsia" w:ascii="宋体" w:hAnsi="宋体" w:cs="宋体"/>
          <w:color w:val="auto"/>
          <w:kern w:val="2"/>
          <w:sz w:val="24"/>
          <w:szCs w:val="24"/>
          <w:highlight w:val="none"/>
          <w:lang w:val="en-US" w:eastAsia="zh-CN"/>
        </w:rPr>
        <w:t>90分以上的全额发放合同价款</w:t>
      </w:r>
      <w:r>
        <w:rPr>
          <w:rFonts w:hint="eastAsia" w:ascii="宋体" w:hAnsi="宋体" w:cs="宋体"/>
          <w:color w:val="auto"/>
          <w:kern w:val="2"/>
          <w:sz w:val="24"/>
          <w:szCs w:val="24"/>
          <w:highlight w:val="none"/>
        </w:rPr>
        <w:t>。</w:t>
      </w:r>
    </w:p>
    <w:p>
      <w:pPr>
        <w:spacing w:line="360" w:lineRule="auto"/>
        <w:ind w:firstLine="424" w:firstLineChars="177"/>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月考核评分表</w:t>
      </w:r>
    </w:p>
    <w:tbl>
      <w:tblPr>
        <w:tblStyle w:val="26"/>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4678"/>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8" w:type="dxa"/>
            <w:noWrap/>
          </w:tcPr>
          <w:p>
            <w:pPr>
              <w:spacing w:line="360" w:lineRule="auto"/>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   考核项目</w:t>
            </w:r>
          </w:p>
        </w:tc>
        <w:tc>
          <w:tcPr>
            <w:tcW w:w="4678" w:type="dxa"/>
            <w:tcBorders>
              <w:right w:val="single" w:color="auto" w:sz="4" w:space="0"/>
            </w:tcBorders>
            <w:noWrap/>
          </w:tcPr>
          <w:p>
            <w:pPr>
              <w:spacing w:line="360" w:lineRule="auto"/>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         考核内容和标准</w:t>
            </w:r>
          </w:p>
        </w:tc>
        <w:tc>
          <w:tcPr>
            <w:tcW w:w="1418" w:type="dxa"/>
            <w:tcBorders>
              <w:left w:val="single" w:color="auto" w:sz="4" w:space="0"/>
            </w:tcBorders>
            <w:noWrap/>
          </w:tcPr>
          <w:p>
            <w:pPr>
              <w:spacing w:line="360" w:lineRule="auto"/>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扣分情况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8"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节目完成数量</w:t>
            </w:r>
          </w:p>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（40分）</w:t>
            </w:r>
          </w:p>
        </w:tc>
        <w:tc>
          <w:tcPr>
            <w:tcW w:w="4678" w:type="dxa"/>
            <w:tcBorders>
              <w:right w:val="single" w:color="auto" w:sz="4" w:space="0"/>
            </w:tcBorders>
            <w:noWrap/>
          </w:tcPr>
          <w:p>
            <w:pPr>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每天于16：00前完成2套《上虞天气》节目，由</w:t>
            </w:r>
            <w:r>
              <w:rPr>
                <w:rFonts w:hint="eastAsia" w:ascii="宋体" w:hAnsi="宋体" w:cs="宋体"/>
                <w:color w:val="auto"/>
                <w:kern w:val="2"/>
                <w:sz w:val="24"/>
                <w:szCs w:val="24"/>
                <w:highlight w:val="none"/>
                <w:lang w:val="en-US" w:eastAsia="zh-CN"/>
              </w:rPr>
              <w:t>乙方</w:t>
            </w:r>
            <w:r>
              <w:rPr>
                <w:rFonts w:hint="eastAsia" w:ascii="宋体" w:hAnsi="宋体" w:cs="宋体"/>
                <w:color w:val="auto"/>
                <w:kern w:val="2"/>
                <w:sz w:val="24"/>
                <w:szCs w:val="24"/>
                <w:highlight w:val="none"/>
              </w:rPr>
              <w:t>原因造成的当天节目未完成，每一套扣除3分。</w:t>
            </w:r>
          </w:p>
          <w:p>
            <w:pPr>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（注：当</w:t>
            </w:r>
            <w:r>
              <w:rPr>
                <w:rFonts w:hint="eastAsia" w:ascii="宋体" w:hAnsi="宋体" w:cs="宋体"/>
                <w:color w:val="auto"/>
                <w:kern w:val="2"/>
                <w:sz w:val="24"/>
                <w:szCs w:val="24"/>
                <w:highlight w:val="none"/>
                <w:lang w:val="en-US" w:eastAsia="zh-CN"/>
              </w:rPr>
              <w:t>乙方</w:t>
            </w:r>
            <w:r>
              <w:rPr>
                <w:rFonts w:hint="eastAsia" w:ascii="宋体" w:hAnsi="宋体" w:cs="宋体"/>
                <w:color w:val="auto"/>
                <w:kern w:val="2"/>
                <w:sz w:val="24"/>
                <w:szCs w:val="24"/>
                <w:highlight w:val="none"/>
              </w:rPr>
              <w:t>遇到设备故障等问题无法完成常规的《上虞天气》影视节目时，应于每日18：00前提供应急气象节目）</w:t>
            </w:r>
          </w:p>
        </w:tc>
        <w:tc>
          <w:tcPr>
            <w:tcW w:w="1418" w:type="dxa"/>
            <w:tcBorders>
              <w:left w:val="single" w:color="auto" w:sz="4" w:space="0"/>
            </w:tcBorders>
            <w:noWrap/>
          </w:tcPr>
          <w:p>
            <w:pPr>
              <w:spacing w:line="360" w:lineRule="auto"/>
              <w:rPr>
                <w:rFonts w:ascii="宋体" w:hAnsi="宋体" w:cs="宋体"/>
                <w:color w:val="auto"/>
                <w:kern w:val="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8"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节目完成质量</w:t>
            </w:r>
          </w:p>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（10分）</w:t>
            </w:r>
          </w:p>
        </w:tc>
        <w:tc>
          <w:tcPr>
            <w:tcW w:w="4678" w:type="dxa"/>
            <w:tcBorders>
              <w:right w:val="single" w:color="auto" w:sz="4" w:space="0"/>
            </w:tcBorders>
            <w:noWrap/>
          </w:tcPr>
          <w:p>
            <w:pPr>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根据节目制作情况，由</w:t>
            </w:r>
            <w:r>
              <w:rPr>
                <w:rFonts w:hint="eastAsia" w:ascii="宋体" w:hAnsi="宋体" w:cs="宋体"/>
                <w:color w:val="auto"/>
                <w:kern w:val="2"/>
                <w:sz w:val="24"/>
                <w:szCs w:val="24"/>
                <w:highlight w:val="none"/>
                <w:lang w:val="en-US" w:eastAsia="zh-CN"/>
              </w:rPr>
              <w:t>甲方</w:t>
            </w:r>
            <w:r>
              <w:rPr>
                <w:rFonts w:hint="eastAsia" w:ascii="宋体" w:hAnsi="宋体" w:cs="宋体"/>
                <w:color w:val="auto"/>
                <w:kern w:val="2"/>
                <w:sz w:val="24"/>
                <w:szCs w:val="24"/>
                <w:highlight w:val="none"/>
              </w:rPr>
              <w:t>评定。</w:t>
            </w:r>
          </w:p>
          <w:p>
            <w:pPr>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主持人造型不得体，一次扣除0.5分；主持人吐字不清晰，一次扣除0.5分；配图日期、数据、单位标注不当，一次扣除0.5分。</w:t>
            </w:r>
          </w:p>
        </w:tc>
        <w:tc>
          <w:tcPr>
            <w:tcW w:w="1418" w:type="dxa"/>
            <w:tcBorders>
              <w:left w:val="single" w:color="auto" w:sz="4" w:space="0"/>
            </w:tcBorders>
            <w:noWrap/>
          </w:tcPr>
          <w:p>
            <w:pPr>
              <w:spacing w:line="360" w:lineRule="auto"/>
              <w:rPr>
                <w:rFonts w:ascii="宋体" w:hAnsi="宋体" w:cs="宋体"/>
                <w:color w:val="auto"/>
                <w:kern w:val="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8" w:type="dxa"/>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节目正确率</w:t>
            </w:r>
          </w:p>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（30分）</w:t>
            </w:r>
          </w:p>
        </w:tc>
        <w:tc>
          <w:tcPr>
            <w:tcW w:w="4678" w:type="dxa"/>
            <w:tcBorders>
              <w:right w:val="single" w:color="auto" w:sz="4" w:space="0"/>
            </w:tcBorders>
            <w:noWrap/>
          </w:tcPr>
          <w:p>
            <w:pPr>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由</w:t>
            </w:r>
            <w:r>
              <w:rPr>
                <w:rFonts w:hint="eastAsia" w:ascii="宋体" w:hAnsi="宋体" w:cs="宋体"/>
                <w:color w:val="auto"/>
                <w:kern w:val="2"/>
                <w:sz w:val="24"/>
                <w:szCs w:val="24"/>
                <w:highlight w:val="none"/>
                <w:lang w:val="en-US" w:eastAsia="zh-CN"/>
              </w:rPr>
              <w:t>乙方</w:t>
            </w:r>
            <w:r>
              <w:rPr>
                <w:rFonts w:hint="eastAsia" w:ascii="宋体" w:hAnsi="宋体" w:cs="宋体"/>
                <w:color w:val="auto"/>
                <w:kern w:val="2"/>
                <w:sz w:val="24"/>
                <w:szCs w:val="24"/>
                <w:highlight w:val="none"/>
              </w:rPr>
              <w:t>原因造成的最终播出节目的制作和主持的错误率，根据错误严重程度，每次酌情扣除1～3分。</w:t>
            </w:r>
          </w:p>
        </w:tc>
        <w:tc>
          <w:tcPr>
            <w:tcW w:w="1418" w:type="dxa"/>
            <w:tcBorders>
              <w:left w:val="single" w:color="auto" w:sz="4" w:space="0"/>
            </w:tcBorders>
            <w:noWrap/>
          </w:tcPr>
          <w:p>
            <w:pPr>
              <w:spacing w:line="360" w:lineRule="auto"/>
              <w:rPr>
                <w:rFonts w:ascii="宋体" w:hAnsi="宋体" w:cs="宋体"/>
                <w:color w:val="auto"/>
                <w:kern w:val="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7" w:hRule="atLeast"/>
        </w:trPr>
        <w:tc>
          <w:tcPr>
            <w:tcW w:w="2268" w:type="dxa"/>
            <w:tcBorders>
              <w:bottom w:val="single" w:color="auto" w:sz="4" w:space="0"/>
            </w:tcBorders>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传输及时率</w:t>
            </w:r>
          </w:p>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（20分）</w:t>
            </w:r>
          </w:p>
        </w:tc>
        <w:tc>
          <w:tcPr>
            <w:tcW w:w="4678" w:type="dxa"/>
            <w:tcBorders>
              <w:bottom w:val="single" w:color="auto" w:sz="4" w:space="0"/>
              <w:right w:val="single" w:color="auto" w:sz="4" w:space="0"/>
            </w:tcBorders>
            <w:noWrap/>
          </w:tcPr>
          <w:p>
            <w:pPr>
              <w:spacing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节目于17:15前提交到县市交互平台，于17:30前传输到上虞电视台，无法及时提交或传输的需致电说明情况，每次扣除1分。</w:t>
            </w:r>
          </w:p>
        </w:tc>
        <w:tc>
          <w:tcPr>
            <w:tcW w:w="1418" w:type="dxa"/>
            <w:tcBorders>
              <w:left w:val="single" w:color="auto" w:sz="4" w:space="0"/>
              <w:bottom w:val="single" w:color="auto" w:sz="4" w:space="0"/>
            </w:tcBorders>
            <w:noWrap/>
          </w:tcPr>
          <w:p>
            <w:pPr>
              <w:spacing w:line="360" w:lineRule="auto"/>
              <w:rPr>
                <w:rFonts w:ascii="宋体" w:hAnsi="宋体" w:cs="宋体"/>
                <w:color w:val="auto"/>
                <w:kern w:val="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1" w:hRule="atLeast"/>
        </w:trPr>
        <w:tc>
          <w:tcPr>
            <w:tcW w:w="2268" w:type="dxa"/>
            <w:tcBorders>
              <w:top w:val="single" w:color="auto" w:sz="4" w:space="0"/>
            </w:tcBorders>
            <w:noWrap/>
            <w:vAlign w:val="center"/>
          </w:tcPr>
          <w:p>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月考核得分</w:t>
            </w:r>
          </w:p>
        </w:tc>
        <w:tc>
          <w:tcPr>
            <w:tcW w:w="6096" w:type="dxa"/>
            <w:gridSpan w:val="2"/>
            <w:tcBorders>
              <w:top w:val="single" w:color="auto" w:sz="4" w:space="0"/>
            </w:tcBorders>
            <w:noWrap/>
          </w:tcPr>
          <w:p>
            <w:pPr>
              <w:spacing w:line="360" w:lineRule="auto"/>
              <w:rPr>
                <w:rFonts w:ascii="宋体" w:hAnsi="宋体" w:cs="宋体"/>
                <w:color w:val="auto"/>
                <w:kern w:val="2"/>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（3）</w:t>
      </w:r>
      <w:r>
        <w:rPr>
          <w:rFonts w:hint="eastAsia" w:ascii="宋体" w:hAnsi="宋体" w:cs="宋体"/>
          <w:color w:val="auto"/>
          <w:kern w:val="2"/>
          <w:sz w:val="24"/>
          <w:szCs w:val="24"/>
          <w:highlight w:val="none"/>
          <w:lang w:val="en-US" w:eastAsia="zh-CN"/>
        </w:rPr>
        <w:t>乙方</w:t>
      </w:r>
      <w:r>
        <w:rPr>
          <w:rFonts w:hint="eastAsia" w:ascii="宋体" w:hAnsi="宋体" w:cs="宋体"/>
          <w:color w:val="auto"/>
          <w:kern w:val="2"/>
          <w:sz w:val="24"/>
          <w:szCs w:val="24"/>
          <w:highlight w:val="none"/>
        </w:rPr>
        <w:t>负责电视天气预报节目文字稿、视频背景、数字效果、声光电调试、节目录制剪辑等全流程服务，产品美观、简洁，主持人造型得体，吐字清楚；遇台风、暴雨洪涝、寒潮、雨雪冰冻等重大灾害性天气时，在气象节目中插播天气警报、灾害性天气预警信息、天气实况数据等，必要时实时播报气象预警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（4）节目中须包含乡镇预报（新闻综合频道）、</w:t>
      </w:r>
      <w:r>
        <w:rPr>
          <w:rFonts w:hint="eastAsia" w:ascii="宋体" w:hAnsi="宋体" w:cs="宋体"/>
          <w:color w:val="auto"/>
          <w:kern w:val="2"/>
          <w:sz w:val="24"/>
          <w:szCs w:val="24"/>
          <w:highlight w:val="none"/>
          <w:shd w:val="clear" w:color="auto" w:fill="auto"/>
        </w:rPr>
        <w:t>景点预报</w:t>
      </w:r>
      <w:r>
        <w:rPr>
          <w:rFonts w:hint="eastAsia" w:ascii="宋体" w:hAnsi="宋体" w:cs="宋体"/>
          <w:color w:val="auto"/>
          <w:kern w:val="2"/>
          <w:sz w:val="24"/>
          <w:szCs w:val="24"/>
          <w:highlight w:val="none"/>
        </w:rPr>
        <w:t>（文化娱乐频道）与森林火险等级预报、空气质量指数预报等内容以及配图、配音等；应</w:t>
      </w:r>
      <w:r>
        <w:rPr>
          <w:rFonts w:hint="eastAsia" w:ascii="宋体" w:hAnsi="宋体" w:cs="宋体"/>
          <w:color w:val="auto"/>
          <w:kern w:val="2"/>
          <w:sz w:val="24"/>
          <w:szCs w:val="24"/>
          <w:highlight w:val="none"/>
          <w:lang w:val="en-US" w:eastAsia="zh-CN"/>
        </w:rPr>
        <w:t>甲方</w:t>
      </w:r>
      <w:r>
        <w:rPr>
          <w:rFonts w:hint="eastAsia" w:ascii="宋体" w:hAnsi="宋体" w:cs="宋体"/>
          <w:color w:val="auto"/>
          <w:kern w:val="2"/>
          <w:sz w:val="24"/>
          <w:szCs w:val="24"/>
          <w:highlight w:val="none"/>
        </w:rPr>
        <w:t>要求，经双方协商，可临时性增加其他节目内容，</w:t>
      </w:r>
      <w:r>
        <w:rPr>
          <w:rFonts w:hint="eastAsia" w:ascii="宋体" w:hAnsi="宋体" w:cs="宋体"/>
          <w:color w:val="auto"/>
          <w:kern w:val="2"/>
          <w:sz w:val="24"/>
          <w:szCs w:val="24"/>
          <w:highlight w:val="none"/>
          <w:lang w:val="en-US" w:eastAsia="zh-CN"/>
        </w:rPr>
        <w:t>乙方</w:t>
      </w:r>
      <w:r>
        <w:rPr>
          <w:rFonts w:hint="eastAsia" w:ascii="宋体" w:hAnsi="宋体" w:cs="宋体"/>
          <w:color w:val="auto"/>
          <w:kern w:val="2"/>
          <w:sz w:val="24"/>
          <w:szCs w:val="24"/>
          <w:highlight w:val="none"/>
        </w:rPr>
        <w:t>负责配合</w:t>
      </w:r>
      <w:r>
        <w:rPr>
          <w:rFonts w:hint="eastAsia" w:ascii="宋体" w:hAnsi="宋体" w:cs="宋体"/>
          <w:color w:val="auto"/>
          <w:kern w:val="2"/>
          <w:sz w:val="24"/>
          <w:szCs w:val="24"/>
          <w:highlight w:val="none"/>
          <w:lang w:val="en-US" w:eastAsia="zh-CN"/>
        </w:rPr>
        <w:t>甲方</w:t>
      </w:r>
      <w:r>
        <w:rPr>
          <w:rFonts w:hint="eastAsia" w:ascii="宋体" w:hAnsi="宋体" w:cs="宋体"/>
          <w:color w:val="auto"/>
          <w:kern w:val="2"/>
          <w:sz w:val="24"/>
          <w:szCs w:val="24"/>
          <w:highlight w:val="none"/>
        </w:rPr>
        <w:t>完成气象科普宣传相关工作任务。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（5）节目完成后由</w:t>
      </w:r>
      <w:r>
        <w:rPr>
          <w:rFonts w:hint="eastAsia" w:ascii="宋体" w:hAnsi="宋体" w:cs="宋体"/>
          <w:color w:val="auto"/>
          <w:kern w:val="2"/>
          <w:sz w:val="24"/>
          <w:szCs w:val="24"/>
          <w:highlight w:val="none"/>
          <w:lang w:val="en-US" w:eastAsia="zh-CN"/>
        </w:rPr>
        <w:t>乙方</w:t>
      </w:r>
      <w:r>
        <w:rPr>
          <w:rFonts w:hint="eastAsia" w:ascii="宋体" w:hAnsi="宋体" w:cs="宋体"/>
          <w:color w:val="auto"/>
          <w:kern w:val="2"/>
          <w:sz w:val="24"/>
          <w:szCs w:val="24"/>
          <w:highlight w:val="none"/>
        </w:rPr>
        <w:t>提供mpg或mp4格式的标清数字视频文件，并上传至区气象局影视节目交互平台，经上虞区气象局审核后，由</w:t>
      </w:r>
      <w:r>
        <w:rPr>
          <w:rFonts w:hint="eastAsia" w:ascii="宋体" w:hAnsi="宋体" w:cs="宋体"/>
          <w:color w:val="auto"/>
          <w:kern w:val="2"/>
          <w:sz w:val="24"/>
          <w:szCs w:val="24"/>
          <w:highlight w:val="none"/>
          <w:lang w:val="en-US" w:eastAsia="zh-CN"/>
        </w:rPr>
        <w:t>乙方</w:t>
      </w:r>
      <w:r>
        <w:rPr>
          <w:rFonts w:hint="eastAsia" w:ascii="宋体" w:hAnsi="宋体" w:cs="宋体"/>
          <w:color w:val="auto"/>
          <w:kern w:val="2"/>
          <w:sz w:val="24"/>
          <w:szCs w:val="24"/>
          <w:highlight w:val="none"/>
        </w:rPr>
        <w:t>负责每日17：15前传输至上虞区广电总台。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bCs/>
          <w:color w:val="auto"/>
          <w:sz w:val="24"/>
          <w:highlight w:val="none"/>
        </w:rPr>
      </w:pPr>
      <w:r>
        <w:rPr>
          <w:rFonts w:hint="eastAsia" w:ascii="宋体" w:hAnsi="宋体" w:cs="宋体"/>
          <w:color w:val="auto"/>
          <w:kern w:val="2"/>
          <w:sz w:val="24"/>
          <w:szCs w:val="24"/>
          <w:highlight w:val="none"/>
        </w:rPr>
        <w:t>（6）上虞区电视天气预报节目应主动适应和满足上级气象主管机构对气象影视节目的标准和要求，当标准要求发生变化时，</w:t>
      </w:r>
      <w:r>
        <w:rPr>
          <w:rFonts w:hint="eastAsia" w:ascii="宋体" w:hAnsi="宋体" w:cs="宋体"/>
          <w:color w:val="auto"/>
          <w:kern w:val="2"/>
          <w:sz w:val="24"/>
          <w:szCs w:val="24"/>
          <w:highlight w:val="none"/>
          <w:lang w:val="en-US" w:eastAsia="zh-CN"/>
        </w:rPr>
        <w:t>乙方</w:t>
      </w:r>
      <w:r>
        <w:rPr>
          <w:rFonts w:hint="eastAsia" w:ascii="宋体" w:hAnsi="宋体" w:cs="宋体"/>
          <w:color w:val="auto"/>
          <w:kern w:val="2"/>
          <w:sz w:val="24"/>
          <w:szCs w:val="24"/>
          <w:highlight w:val="none"/>
        </w:rPr>
        <w:t>负责免费整改落实到位。</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lang w:eastAsia="zh-CN"/>
        </w:rPr>
        <w:t>四</w:t>
      </w:r>
      <w:r>
        <w:rPr>
          <w:rFonts w:hint="eastAsia" w:ascii="宋体" w:hAnsi="宋体"/>
          <w:b/>
          <w:bCs/>
          <w:color w:val="auto"/>
          <w:sz w:val="24"/>
          <w:highlight w:val="none"/>
        </w:rPr>
        <w:t>、合同金额</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本合同金额为人民币（大写）：________元（</w:t>
      </w:r>
      <w:r>
        <w:rPr>
          <w:rFonts w:hint="default" w:ascii="Arial" w:hAnsi="Arial" w:cs="Arial"/>
          <w:bCs/>
          <w:color w:val="auto"/>
          <w:sz w:val="24"/>
          <w:highlight w:val="none"/>
        </w:rPr>
        <w:t>¥</w:t>
      </w:r>
      <w:r>
        <w:rPr>
          <w:rFonts w:hint="eastAsia" w:ascii="宋体" w:hAnsi="宋体" w:cs="宋体"/>
          <w:bCs/>
          <w:color w:val="auto"/>
          <w:sz w:val="24"/>
          <w:highlight w:val="none"/>
        </w:rPr>
        <w:t>_______元）。</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eastAsia="zh-CN"/>
        </w:rPr>
        <w:t>五</w:t>
      </w:r>
      <w:r>
        <w:rPr>
          <w:rFonts w:hint="eastAsia" w:ascii="宋体" w:hAnsi="宋体" w:cs="宋体"/>
          <w:b/>
          <w:bCs/>
          <w:color w:val="auto"/>
          <w:sz w:val="24"/>
          <w:highlight w:val="none"/>
        </w:rPr>
        <w:t>、付款方式：</w:t>
      </w:r>
    </w:p>
    <w:p>
      <w:pPr>
        <w:pStyle w:val="7"/>
        <w:spacing w:line="360" w:lineRule="auto"/>
        <w:ind w:left="-170" w:leftChars="-85" w:firstLine="480" w:firstLineChars="200"/>
        <w:rPr>
          <w:rFonts w:ascii="宋体" w:hAnsi="宋体"/>
          <w:color w:val="auto"/>
          <w:sz w:val="24"/>
          <w:highlight w:val="none"/>
        </w:rPr>
      </w:pPr>
      <w:r>
        <w:rPr>
          <w:rFonts w:hint="eastAsia" w:ascii="宋体" w:hAnsi="宋体"/>
          <w:color w:val="auto"/>
          <w:sz w:val="24"/>
          <w:highlight w:val="none"/>
        </w:rPr>
        <w:t>合同签订后支付合同款的40%，根据考核结果支付相应合同价款（项目完成的合同价超过40%时开始支付，未超过则不支付）。</w:t>
      </w:r>
    </w:p>
    <w:p>
      <w:pPr>
        <w:spacing w:line="360" w:lineRule="auto"/>
        <w:ind w:firstLine="481"/>
        <w:rPr>
          <w:rFonts w:ascii="宋体" w:hAnsi="宋体" w:cs="宋体"/>
          <w:b/>
          <w:bCs/>
          <w:color w:val="auto"/>
          <w:sz w:val="24"/>
          <w:highlight w:val="none"/>
        </w:rPr>
      </w:pPr>
      <w:r>
        <w:rPr>
          <w:rFonts w:hint="eastAsia" w:ascii="宋体" w:hAnsi="宋体" w:cs="宋体"/>
          <w:b/>
          <w:bCs/>
          <w:color w:val="auto"/>
          <w:sz w:val="24"/>
          <w:highlight w:val="none"/>
          <w:lang w:eastAsia="zh-CN"/>
        </w:rPr>
        <w:t>六</w:t>
      </w:r>
      <w:r>
        <w:rPr>
          <w:rFonts w:hint="eastAsia" w:ascii="宋体" w:hAnsi="宋体" w:cs="宋体"/>
          <w:b/>
          <w:bCs/>
          <w:color w:val="auto"/>
          <w:sz w:val="24"/>
          <w:highlight w:val="none"/>
        </w:rPr>
        <w:t>、其他约定事项</w:t>
      </w:r>
    </w:p>
    <w:p>
      <w:pPr>
        <w:spacing w:line="360" w:lineRule="auto"/>
        <w:ind w:firstLine="481"/>
        <w:rPr>
          <w:rFonts w:ascii="宋体" w:hAnsi="宋体" w:cs="宋体"/>
          <w:color w:val="auto"/>
          <w:sz w:val="24"/>
          <w:szCs w:val="21"/>
          <w:highlight w:val="none"/>
        </w:rPr>
      </w:pPr>
      <w:r>
        <w:rPr>
          <w:rFonts w:hint="eastAsia" w:ascii="宋体" w:hAnsi="宋体" w:cs="宋体"/>
          <w:color w:val="auto"/>
          <w:sz w:val="24"/>
          <w:szCs w:val="21"/>
          <w:highlight w:val="none"/>
        </w:rPr>
        <w:t>本合同执行过程中的未尽事宜，双方应本着实事求是友好协商的态度加以解决。双方协商一致的，签订补充协议。补充协议与本合同具有同等效力。</w:t>
      </w:r>
    </w:p>
    <w:p>
      <w:pPr>
        <w:spacing w:line="360" w:lineRule="auto"/>
        <w:ind w:left="481"/>
        <w:rPr>
          <w:rFonts w:ascii="宋体" w:hAnsi="宋体" w:cs="宋体"/>
          <w:b/>
          <w:bCs/>
          <w:color w:val="auto"/>
          <w:sz w:val="24"/>
          <w:highlight w:val="none"/>
        </w:rPr>
      </w:pPr>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 xml:space="preserve">、解决合同纠纷方式 </w:t>
      </w:r>
    </w:p>
    <w:p>
      <w:pPr>
        <w:spacing w:line="360" w:lineRule="auto"/>
        <w:ind w:firstLine="481"/>
        <w:rPr>
          <w:rFonts w:ascii="宋体" w:hAnsi="宋体" w:cs="宋体"/>
          <w:color w:val="auto"/>
          <w:sz w:val="24"/>
          <w:szCs w:val="21"/>
          <w:highlight w:val="none"/>
        </w:rPr>
      </w:pPr>
      <w:r>
        <w:rPr>
          <w:rFonts w:hint="eastAsia" w:ascii="宋体" w:hAnsi="宋体" w:cs="宋体"/>
          <w:color w:val="auto"/>
          <w:sz w:val="24"/>
          <w:szCs w:val="21"/>
          <w:highlight w:val="none"/>
        </w:rPr>
        <w:t>1、由于不可抗力，致使合同无法履行时，双方应按有关法律规定及时协商处理。</w:t>
      </w:r>
    </w:p>
    <w:p>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pPr>
        <w:spacing w:line="360" w:lineRule="auto"/>
        <w:ind w:left="480"/>
        <w:rPr>
          <w:rFonts w:ascii="宋体" w:hAnsi="宋体" w:cs="宋体"/>
          <w:b/>
          <w:bCs/>
          <w:color w:val="auto"/>
          <w:sz w:val="24"/>
          <w:highlight w:val="none"/>
        </w:rPr>
      </w:pPr>
      <w:r>
        <w:rPr>
          <w:rFonts w:hint="eastAsia" w:ascii="宋体" w:hAnsi="宋体" w:cs="宋体"/>
          <w:b/>
          <w:bCs/>
          <w:color w:val="auto"/>
          <w:sz w:val="24"/>
          <w:highlight w:val="none"/>
          <w:lang w:eastAsia="zh-CN"/>
        </w:rPr>
        <w:t>八</w:t>
      </w:r>
      <w:r>
        <w:rPr>
          <w:rFonts w:hint="eastAsia" w:ascii="宋体" w:hAnsi="宋体" w:cs="宋体"/>
          <w:b/>
          <w:bCs/>
          <w:color w:val="auto"/>
          <w:sz w:val="24"/>
          <w:highlight w:val="none"/>
        </w:rPr>
        <w:t>、附则</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1、本合同由双方代表签字，加盖双方公章或合同专用章即生效。全部成果交接完毕和服务费结算完成后，本合同终止。</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2、若本项目涉及柴油动力移动源的应当符合低排放要求。</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本合同一式</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份，其中正本两份，甲乙双方各执一份，并由甲方在30日内做好政采云平台网上合同创建及备案。</w:t>
      </w:r>
    </w:p>
    <w:p>
      <w:pPr>
        <w:pStyle w:val="11"/>
        <w:ind w:firstLine="480" w:firstLineChars="200"/>
        <w:rPr>
          <w:color w:val="auto"/>
          <w:highlight w:val="none"/>
        </w:rPr>
      </w:pPr>
    </w:p>
    <w:tbl>
      <w:tblPr>
        <w:tblStyle w:val="26"/>
        <w:tblW w:w="810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甲方单位</w:t>
            </w:r>
          </w:p>
        </w:tc>
        <w:tc>
          <w:tcPr>
            <w:tcW w:w="2340" w:type="dxa"/>
            <w:vAlign w:val="center"/>
          </w:tcPr>
          <w:p>
            <w:pPr>
              <w:snapToGrid w:val="0"/>
              <w:spacing w:line="360" w:lineRule="auto"/>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（盖章）</w:t>
            </w:r>
          </w:p>
        </w:tc>
        <w:tc>
          <w:tcPr>
            <w:tcW w:w="1620" w:type="dxa"/>
            <w:vAlign w:val="center"/>
          </w:tcPr>
          <w:p>
            <w:pPr>
              <w:snapToGrid w:val="0"/>
              <w:spacing w:line="360" w:lineRule="auto"/>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乙方单位</w:t>
            </w:r>
          </w:p>
        </w:tc>
        <w:tc>
          <w:tcPr>
            <w:tcW w:w="2700" w:type="dxa"/>
            <w:vAlign w:val="center"/>
          </w:tcPr>
          <w:p>
            <w:pPr>
              <w:snapToGrid w:val="0"/>
              <w:spacing w:line="360" w:lineRule="auto"/>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代表签名</w:t>
            </w:r>
          </w:p>
        </w:tc>
        <w:tc>
          <w:tcPr>
            <w:tcW w:w="2340" w:type="dxa"/>
            <w:vAlign w:val="center"/>
          </w:tcPr>
          <w:p>
            <w:pPr>
              <w:snapToGrid w:val="0"/>
              <w:spacing w:line="360" w:lineRule="auto"/>
              <w:jc w:val="center"/>
              <w:rPr>
                <w:rFonts w:ascii="宋体" w:hAnsi="宋体" w:cs="宋体"/>
                <w:snapToGrid w:val="0"/>
                <w:color w:val="auto"/>
                <w:sz w:val="22"/>
                <w:szCs w:val="22"/>
                <w:highlight w:val="none"/>
              </w:rPr>
            </w:pPr>
          </w:p>
        </w:tc>
        <w:tc>
          <w:tcPr>
            <w:tcW w:w="1620" w:type="dxa"/>
            <w:vAlign w:val="center"/>
          </w:tcPr>
          <w:p>
            <w:pPr>
              <w:snapToGrid w:val="0"/>
              <w:spacing w:line="360" w:lineRule="auto"/>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代表签名</w:t>
            </w:r>
          </w:p>
        </w:tc>
        <w:tc>
          <w:tcPr>
            <w:tcW w:w="2700" w:type="dxa"/>
            <w:vAlign w:val="center"/>
          </w:tcPr>
          <w:p>
            <w:pPr>
              <w:snapToGrid w:val="0"/>
              <w:spacing w:line="360" w:lineRule="auto"/>
              <w:jc w:val="center"/>
              <w:rPr>
                <w:rFonts w:ascii="宋体" w:hAnsi="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地址</w:t>
            </w:r>
          </w:p>
        </w:tc>
        <w:tc>
          <w:tcPr>
            <w:tcW w:w="2340" w:type="dxa"/>
            <w:vAlign w:val="center"/>
          </w:tcPr>
          <w:p>
            <w:pPr>
              <w:snapToGrid w:val="0"/>
              <w:spacing w:line="360" w:lineRule="auto"/>
              <w:jc w:val="center"/>
              <w:rPr>
                <w:rFonts w:ascii="宋体" w:hAnsi="宋体" w:cs="宋体"/>
                <w:snapToGrid w:val="0"/>
                <w:color w:val="auto"/>
                <w:sz w:val="22"/>
                <w:szCs w:val="22"/>
                <w:highlight w:val="none"/>
              </w:rPr>
            </w:pPr>
          </w:p>
        </w:tc>
        <w:tc>
          <w:tcPr>
            <w:tcW w:w="1620" w:type="dxa"/>
            <w:vAlign w:val="center"/>
          </w:tcPr>
          <w:p>
            <w:pPr>
              <w:snapToGrid w:val="0"/>
              <w:spacing w:line="360" w:lineRule="auto"/>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地址</w:t>
            </w:r>
          </w:p>
        </w:tc>
        <w:tc>
          <w:tcPr>
            <w:tcW w:w="2700" w:type="dxa"/>
            <w:vAlign w:val="center"/>
          </w:tcPr>
          <w:p>
            <w:pPr>
              <w:snapToGrid w:val="0"/>
              <w:spacing w:line="360" w:lineRule="auto"/>
              <w:jc w:val="center"/>
              <w:rPr>
                <w:rFonts w:ascii="宋体" w:hAnsi="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电话</w:t>
            </w:r>
          </w:p>
        </w:tc>
        <w:tc>
          <w:tcPr>
            <w:tcW w:w="2340" w:type="dxa"/>
            <w:vAlign w:val="center"/>
          </w:tcPr>
          <w:p>
            <w:pPr>
              <w:snapToGrid w:val="0"/>
              <w:spacing w:line="360" w:lineRule="auto"/>
              <w:jc w:val="center"/>
              <w:rPr>
                <w:rFonts w:ascii="宋体" w:hAnsi="宋体" w:cs="宋体"/>
                <w:snapToGrid w:val="0"/>
                <w:color w:val="auto"/>
                <w:sz w:val="22"/>
                <w:szCs w:val="22"/>
                <w:highlight w:val="none"/>
              </w:rPr>
            </w:pPr>
          </w:p>
        </w:tc>
        <w:tc>
          <w:tcPr>
            <w:tcW w:w="1620" w:type="dxa"/>
            <w:vAlign w:val="center"/>
          </w:tcPr>
          <w:p>
            <w:pPr>
              <w:snapToGrid w:val="0"/>
              <w:spacing w:line="360" w:lineRule="auto"/>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电话</w:t>
            </w:r>
          </w:p>
        </w:tc>
        <w:tc>
          <w:tcPr>
            <w:tcW w:w="2700" w:type="dxa"/>
            <w:vAlign w:val="center"/>
          </w:tcPr>
          <w:p>
            <w:pPr>
              <w:snapToGrid w:val="0"/>
              <w:spacing w:line="360" w:lineRule="auto"/>
              <w:jc w:val="center"/>
              <w:rPr>
                <w:rFonts w:ascii="宋体" w:hAnsi="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开户银行</w:t>
            </w:r>
          </w:p>
        </w:tc>
        <w:tc>
          <w:tcPr>
            <w:tcW w:w="2340" w:type="dxa"/>
            <w:vAlign w:val="center"/>
          </w:tcPr>
          <w:p>
            <w:pPr>
              <w:snapToGrid w:val="0"/>
              <w:spacing w:line="360" w:lineRule="auto"/>
              <w:jc w:val="center"/>
              <w:rPr>
                <w:rFonts w:ascii="宋体" w:hAnsi="宋体" w:cs="宋体"/>
                <w:snapToGrid w:val="0"/>
                <w:color w:val="auto"/>
                <w:sz w:val="22"/>
                <w:szCs w:val="22"/>
                <w:highlight w:val="none"/>
              </w:rPr>
            </w:pPr>
          </w:p>
        </w:tc>
        <w:tc>
          <w:tcPr>
            <w:tcW w:w="1620" w:type="dxa"/>
            <w:vAlign w:val="center"/>
          </w:tcPr>
          <w:p>
            <w:pPr>
              <w:snapToGrid w:val="0"/>
              <w:spacing w:line="360" w:lineRule="auto"/>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开户银行</w:t>
            </w:r>
          </w:p>
        </w:tc>
        <w:tc>
          <w:tcPr>
            <w:tcW w:w="2700" w:type="dxa"/>
            <w:vAlign w:val="center"/>
          </w:tcPr>
          <w:p>
            <w:pPr>
              <w:snapToGrid w:val="0"/>
              <w:spacing w:line="360" w:lineRule="auto"/>
              <w:jc w:val="center"/>
              <w:rPr>
                <w:rFonts w:ascii="宋体" w:hAnsi="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帐号</w:t>
            </w:r>
          </w:p>
        </w:tc>
        <w:tc>
          <w:tcPr>
            <w:tcW w:w="2340" w:type="dxa"/>
            <w:vAlign w:val="center"/>
          </w:tcPr>
          <w:p>
            <w:pPr>
              <w:snapToGrid w:val="0"/>
              <w:spacing w:line="360" w:lineRule="auto"/>
              <w:jc w:val="center"/>
              <w:rPr>
                <w:rFonts w:ascii="宋体" w:hAnsi="宋体" w:cs="宋体"/>
                <w:snapToGrid w:val="0"/>
                <w:color w:val="auto"/>
                <w:sz w:val="22"/>
                <w:szCs w:val="22"/>
                <w:highlight w:val="none"/>
              </w:rPr>
            </w:pPr>
          </w:p>
        </w:tc>
        <w:tc>
          <w:tcPr>
            <w:tcW w:w="1620" w:type="dxa"/>
            <w:vAlign w:val="center"/>
          </w:tcPr>
          <w:p>
            <w:pPr>
              <w:snapToGrid w:val="0"/>
              <w:spacing w:line="360" w:lineRule="auto"/>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帐号</w:t>
            </w:r>
          </w:p>
        </w:tc>
        <w:tc>
          <w:tcPr>
            <w:tcW w:w="2700" w:type="dxa"/>
            <w:vAlign w:val="center"/>
          </w:tcPr>
          <w:p>
            <w:pPr>
              <w:snapToGrid w:val="0"/>
              <w:spacing w:line="360" w:lineRule="auto"/>
              <w:jc w:val="center"/>
              <w:rPr>
                <w:rFonts w:ascii="宋体" w:hAnsi="宋体" w:cs="宋体"/>
                <w:snapToGrid w:val="0"/>
                <w:color w:val="auto"/>
                <w:sz w:val="22"/>
                <w:szCs w:val="22"/>
                <w:highlight w:val="none"/>
              </w:rPr>
            </w:pPr>
          </w:p>
        </w:tc>
      </w:tr>
    </w:tbl>
    <w:p>
      <w:pPr>
        <w:spacing w:line="336" w:lineRule="auto"/>
        <w:ind w:firstLine="1084" w:firstLineChars="300"/>
        <w:jc w:val="left"/>
        <w:rPr>
          <w:color w:val="auto"/>
          <w:highlight w:val="none"/>
        </w:rPr>
      </w:pPr>
      <w:r>
        <w:rPr>
          <w:rFonts w:hint="eastAsia" w:ascii="宋体" w:hAnsi="宋体" w:cs="宋体"/>
          <w:b/>
          <w:color w:val="auto"/>
          <w:sz w:val="36"/>
          <w:szCs w:val="36"/>
          <w:highlight w:val="none"/>
        </w:rPr>
        <w:br w:type="page"/>
      </w:r>
    </w:p>
    <w:p>
      <w:pPr>
        <w:rPr>
          <w:color w:val="auto"/>
          <w:highlight w:val="none"/>
        </w:rPr>
      </w:pPr>
    </w:p>
    <w:p>
      <w:pPr>
        <w:pStyle w:val="3"/>
        <w:jc w:val="center"/>
        <w:rPr>
          <w:rFonts w:cs="Times New Roman"/>
          <w:color w:val="auto"/>
          <w:sz w:val="36"/>
          <w:szCs w:val="36"/>
          <w:highlight w:val="none"/>
        </w:rPr>
      </w:pPr>
      <w:bookmarkStart w:id="79" w:name="_Toc31834"/>
      <w:bookmarkStart w:id="80" w:name="_Toc7690"/>
      <w:bookmarkStart w:id="81" w:name="_Toc4669"/>
      <w:r>
        <w:rPr>
          <w:rFonts w:hint="eastAsia" w:cs="宋体"/>
          <w:color w:val="auto"/>
          <w:sz w:val="36"/>
          <w:szCs w:val="36"/>
          <w:highlight w:val="none"/>
        </w:rPr>
        <w:t>第六部分</w:t>
      </w:r>
      <w:r>
        <w:rPr>
          <w:color w:val="auto"/>
          <w:sz w:val="36"/>
          <w:szCs w:val="36"/>
          <w:highlight w:val="none"/>
        </w:rPr>
        <w:t xml:space="preserve"> </w:t>
      </w:r>
      <w:r>
        <w:rPr>
          <w:rFonts w:hint="eastAsia" w:cs="宋体"/>
          <w:color w:val="auto"/>
          <w:sz w:val="36"/>
          <w:szCs w:val="36"/>
          <w:highlight w:val="none"/>
        </w:rPr>
        <w:t>应提交的有关格式范例</w:t>
      </w:r>
      <w:bookmarkEnd w:id="79"/>
      <w:bookmarkEnd w:id="80"/>
      <w:bookmarkEnd w:id="81"/>
    </w:p>
    <w:p>
      <w:pPr>
        <w:spacing w:line="360" w:lineRule="auto"/>
        <w:ind w:firstLine="480" w:firstLineChars="200"/>
        <w:outlineLvl w:val="0"/>
        <w:rPr>
          <w:rFonts w:ascii="宋体"/>
          <w:color w:val="auto"/>
          <w:sz w:val="24"/>
          <w:szCs w:val="24"/>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“资格文件”、“商务技术文件”、“报价文件”须分</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w:t>
      </w:r>
      <w:r>
        <w:rPr>
          <w:rFonts w:ascii="宋体" w:hAnsi="宋体" w:cs="宋体"/>
          <w:b/>
          <w:bCs/>
          <w:color w:val="auto"/>
          <w:sz w:val="24"/>
          <w:szCs w:val="24"/>
          <w:highlight w:val="none"/>
        </w:rPr>
        <w:t>PDF</w:t>
      </w:r>
      <w:r>
        <w:rPr>
          <w:rFonts w:hint="eastAsia" w:ascii="宋体" w:hAnsi="宋体" w:cs="宋体"/>
          <w:b/>
          <w:bCs/>
          <w:color w:val="auto"/>
          <w:sz w:val="24"/>
          <w:szCs w:val="24"/>
          <w:highlight w:val="none"/>
        </w:rPr>
        <w:t>格式分别导入。</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pPr>
        <w:spacing w:line="360" w:lineRule="auto"/>
        <w:jc w:val="center"/>
        <w:rPr>
          <w:rFonts w:ascii="宋体"/>
          <w:b/>
          <w:bCs/>
          <w:color w:val="auto"/>
          <w:sz w:val="36"/>
          <w:szCs w:val="36"/>
          <w:highlight w:val="none"/>
        </w:rPr>
      </w:pPr>
      <w:r>
        <w:rPr>
          <w:rFonts w:ascii="宋体"/>
          <w:b/>
          <w:bCs/>
          <w:color w:val="auto"/>
          <w:sz w:val="24"/>
          <w:szCs w:val="24"/>
          <w:highlight w:val="none"/>
        </w:rPr>
        <w:br w:type="page"/>
      </w:r>
      <w:r>
        <w:rPr>
          <w:rFonts w:hint="eastAsia" w:ascii="宋体" w:hAnsi="宋体" w:cs="宋体"/>
          <w:b/>
          <w:bCs/>
          <w:color w:val="auto"/>
          <w:sz w:val="36"/>
          <w:szCs w:val="36"/>
          <w:highlight w:val="none"/>
        </w:rPr>
        <w:t>资格文件部分</w:t>
      </w:r>
    </w:p>
    <w:p>
      <w:pPr>
        <w:spacing w:line="360" w:lineRule="auto"/>
        <w:jc w:val="center"/>
        <w:rPr>
          <w:rFonts w:ascii="宋体"/>
          <w:b/>
          <w:bCs/>
          <w:color w:val="auto"/>
          <w:sz w:val="36"/>
          <w:szCs w:val="36"/>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目录</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）法定代表人授权书；（格式见附件）</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）营业执照</w:t>
      </w:r>
      <w:r>
        <w:rPr>
          <w:rFonts w:ascii="宋体" w:hAnsi="宋体" w:cs="宋体"/>
          <w:color w:val="auto"/>
          <w:sz w:val="24"/>
          <w:szCs w:val="24"/>
          <w:highlight w:val="none"/>
        </w:rPr>
        <w:t>(</w:t>
      </w:r>
      <w:r>
        <w:rPr>
          <w:rFonts w:hint="eastAsia" w:ascii="宋体" w:hAnsi="宋体" w:cs="宋体"/>
          <w:color w:val="auto"/>
          <w:sz w:val="24"/>
          <w:szCs w:val="24"/>
          <w:highlight w:val="none"/>
        </w:rPr>
        <w:t>或事业法人登记证或其他工商等登记证明材料</w:t>
      </w:r>
      <w:r>
        <w:rPr>
          <w:rFonts w:ascii="宋体" w:hAnsi="宋体" w:cs="宋体"/>
          <w:color w:val="auto"/>
          <w:sz w:val="24"/>
          <w:szCs w:val="24"/>
          <w:highlight w:val="none"/>
        </w:rPr>
        <w:t>)</w:t>
      </w:r>
      <w:r>
        <w:rPr>
          <w:rFonts w:hint="eastAsia" w:ascii="宋体" w:hAnsi="宋体" w:cs="宋体"/>
          <w:color w:val="auto"/>
          <w:sz w:val="24"/>
          <w:szCs w:val="24"/>
          <w:highlight w:val="none"/>
        </w:rPr>
        <w:t>复印件、税务登记证</w:t>
      </w:r>
      <w:r>
        <w:rPr>
          <w:rFonts w:ascii="宋体" w:hAnsi="宋体" w:cs="宋体"/>
          <w:color w:val="auto"/>
          <w:sz w:val="24"/>
          <w:szCs w:val="24"/>
          <w:highlight w:val="none"/>
        </w:rPr>
        <w:t>(</w:t>
      </w:r>
      <w:r>
        <w:rPr>
          <w:rFonts w:hint="eastAsia" w:ascii="宋体" w:hAnsi="宋体" w:cs="宋体"/>
          <w:color w:val="auto"/>
          <w:sz w:val="24"/>
          <w:szCs w:val="24"/>
          <w:highlight w:val="none"/>
        </w:rPr>
        <w:t>或其它缴纳证明材料</w:t>
      </w:r>
      <w:r>
        <w:rPr>
          <w:rFonts w:ascii="宋体" w:hAnsi="宋体" w:cs="宋体"/>
          <w:color w:val="auto"/>
          <w:sz w:val="24"/>
          <w:szCs w:val="24"/>
          <w:highlight w:val="none"/>
        </w:rPr>
        <w:t>)</w:t>
      </w:r>
      <w:r>
        <w:rPr>
          <w:rFonts w:hint="eastAsia" w:ascii="宋体" w:hAnsi="宋体" w:cs="宋体"/>
          <w:color w:val="auto"/>
          <w:sz w:val="24"/>
          <w:szCs w:val="24"/>
          <w:highlight w:val="none"/>
        </w:rPr>
        <w:t>复印件、社保登记证（或其它缴纳证明材料）复印件；实施“五证合一、一照一码”登记制度改革的，只需提供改革后取得的营业执照复印件；事业单位的，则提供有效的《事业单位法人证书》副本复印件并加盖单位公章；</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）具有履行合同所必需的产品和专业技术能力的承诺函；</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）投标人承诺函；</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）中小企业声明函（格式见附件）；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（6）残疾人福利性单位声明函(如有)（格式见附件）；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（7）监狱企业证明文件(如有)（格式见附件）。</w:t>
      </w:r>
    </w:p>
    <w:p>
      <w:pPr>
        <w:pStyle w:val="11"/>
        <w:ind w:firstLine="486"/>
        <w:rPr>
          <w:rFonts w:cs="Times New Roman"/>
          <w:color w:val="auto"/>
          <w:highlight w:val="none"/>
        </w:rPr>
      </w:pPr>
    </w:p>
    <w:p>
      <w:pPr>
        <w:pStyle w:val="11"/>
        <w:ind w:firstLine="486"/>
        <w:rPr>
          <w:rFonts w:cs="Times New Roman"/>
          <w:color w:val="auto"/>
          <w:highlight w:val="none"/>
        </w:rPr>
      </w:pPr>
    </w:p>
    <w:p>
      <w:pPr>
        <w:rPr>
          <w:rFonts w:ascii="宋体"/>
          <w:color w:val="auto"/>
          <w:highlight w:val="none"/>
        </w:rPr>
      </w:pPr>
      <w:r>
        <w:rPr>
          <w:rFonts w:ascii="宋体"/>
          <w:color w:val="auto"/>
          <w:highlight w:val="none"/>
        </w:rPr>
        <w:br w:type="page"/>
      </w:r>
      <w:bookmarkStart w:id="82" w:name="_Toc24699"/>
    </w:p>
    <w:p>
      <w:pPr>
        <w:rPr>
          <w:b/>
          <w:bCs/>
          <w:color w:val="auto"/>
          <w:highlight w:val="none"/>
        </w:rPr>
      </w:pPr>
      <w:r>
        <w:rPr>
          <w:rFonts w:hint="eastAsia" w:cs="宋体"/>
          <w:b/>
          <w:bCs/>
          <w:color w:val="auto"/>
          <w:highlight w:val="none"/>
        </w:rPr>
        <w:t>附件一：</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法定代表人授权书</w:t>
      </w:r>
      <w:bookmarkEnd w:id="82"/>
    </w:p>
    <w:p>
      <w:pPr>
        <w:pStyle w:val="7"/>
        <w:spacing w:line="360" w:lineRule="auto"/>
        <w:rPr>
          <w:rFonts w:ascii="宋体"/>
          <w:color w:val="auto"/>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绍兴市上虞区气象局</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中纬工程管理咨询有限公司</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（供应商全称）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pPr>
        <w:spacing w:line="360" w:lineRule="auto"/>
        <w:ind w:firstLine="480" w:firstLineChars="200"/>
        <w:rPr>
          <w:rFonts w:ascii="宋体"/>
          <w:color w:val="auto"/>
          <w:sz w:val="24"/>
          <w:szCs w:val="24"/>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法定代表人签字：</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供应商全称：（盖章）</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附：</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授权代表姓名：</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职务：</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详细通讯地址：</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电话：</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邮政编码：</w:t>
      </w:r>
    </w:p>
    <w:p>
      <w:pPr>
        <w:pStyle w:val="13"/>
        <w:snapToGrid w:val="0"/>
        <w:spacing w:line="360" w:lineRule="auto"/>
        <w:rPr>
          <w:rFonts w:hAnsi="宋体" w:cs="Times New Roman"/>
          <w:color w:val="auto"/>
          <w:sz w:val="24"/>
          <w:szCs w:val="24"/>
          <w:highlight w:val="none"/>
        </w:rPr>
      </w:pPr>
    </w:p>
    <w:p>
      <w:pPr>
        <w:pStyle w:val="13"/>
        <w:snapToGrid w:val="0"/>
        <w:spacing w:line="360" w:lineRule="auto"/>
        <w:rPr>
          <w:rFonts w:hAnsi="宋体" w:cs="Times New Roman"/>
          <w:color w:val="auto"/>
          <w:sz w:val="24"/>
          <w:szCs w:val="24"/>
          <w:highlight w:val="none"/>
        </w:rPr>
      </w:pPr>
    </w:p>
    <w:p>
      <w:pPr>
        <w:pStyle w:val="13"/>
        <w:snapToGrid w:val="0"/>
        <w:spacing w:line="360" w:lineRule="auto"/>
        <w:rPr>
          <w:rFonts w:hAnsi="宋体" w:cs="Times New Roman"/>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附：授权代表身份证复印件（正反面）</w:t>
      </w:r>
    </w:p>
    <w:p>
      <w:pPr>
        <w:spacing w:line="360" w:lineRule="auto"/>
        <w:rPr>
          <w:rFonts w:ascii="宋体"/>
          <w:b/>
          <w:bCs/>
          <w:color w:val="auto"/>
          <w:sz w:val="24"/>
          <w:szCs w:val="24"/>
          <w:highlight w:val="none"/>
        </w:rPr>
      </w:pPr>
    </w:p>
    <w:p>
      <w:pPr>
        <w:pStyle w:val="11"/>
        <w:ind w:firstLine="486"/>
        <w:rPr>
          <w:rFonts w:cs="Times New Roman"/>
          <w:color w:val="auto"/>
          <w:highlight w:val="none"/>
        </w:rPr>
      </w:pPr>
    </w:p>
    <w:p>
      <w:pPr>
        <w:snapToGrid w:val="0"/>
        <w:spacing w:before="50" w:after="156" w:afterLines="50"/>
        <w:jc w:val="left"/>
        <w:rPr>
          <w:rFonts w:ascii="宋体"/>
          <w:b/>
          <w:bCs/>
          <w:color w:val="auto"/>
          <w:sz w:val="24"/>
          <w:szCs w:val="24"/>
          <w:highlight w:val="none"/>
          <w:lang w:val="zh-CN"/>
        </w:rPr>
      </w:pPr>
      <w:r>
        <w:rPr>
          <w:rFonts w:ascii="宋体"/>
          <w:b/>
          <w:bCs/>
          <w:color w:val="auto"/>
          <w:sz w:val="24"/>
          <w:szCs w:val="24"/>
          <w:highlight w:val="none"/>
        </w:rPr>
        <w:br w:type="page"/>
      </w:r>
      <w:r>
        <w:rPr>
          <w:rFonts w:hint="eastAsia" w:ascii="宋体" w:hAnsi="宋体" w:cs="宋体"/>
          <w:b/>
          <w:bCs/>
          <w:color w:val="auto"/>
          <w:sz w:val="24"/>
          <w:szCs w:val="24"/>
          <w:highlight w:val="none"/>
          <w:lang w:val="zh-CN"/>
        </w:rPr>
        <w:t>附件二：</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 标 人 承 诺 函</w:t>
      </w:r>
    </w:p>
    <w:p>
      <w:pPr>
        <w:rPr>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绍兴市上虞区气象局</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中纬工程管理咨询有限公司</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rPr>
        <w:t>（招标项目名称）（编号为）</w:t>
      </w:r>
      <w:r>
        <w:rPr>
          <w:rFonts w:hint="eastAsia" w:ascii="宋体" w:hAnsi="宋体" w:cs="宋体"/>
          <w:color w:val="auto"/>
          <w:sz w:val="24"/>
          <w:highlight w:val="none"/>
        </w:rPr>
        <w:t>的投标，为此，我方就本次投标有关事项郑重承诺如下：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1、我方已详细审查全部招标文件，同意招标文件的各项要求。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2、我方向贵方提交的所有投标文件、资料都是准确的和真实的。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3、若中标，我方将按招标文件规定履行合同责任和义务。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6、我方参与本项目前3年内的经营活动中没有重大违法记录；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pPr>
        <w:pStyle w:val="50"/>
        <w:spacing w:before="0"/>
        <w:ind w:firstLine="480"/>
        <w:rPr>
          <w:rFonts w:ascii="宋体" w:hAnsi="宋体" w:cs="宋体"/>
          <w:color w:val="auto"/>
          <w:highlight w:val="none"/>
        </w:rPr>
      </w:pPr>
      <w:r>
        <w:rPr>
          <w:rFonts w:hint="eastAsia" w:ascii="宋体" w:hAnsi="宋体" w:cs="宋体"/>
          <w:color w:val="auto"/>
          <w:highlight w:val="none"/>
        </w:rPr>
        <w:t>8、具有良好的商业信誉和健全的财务会计制度；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9、具有依法缴纳税收和社会保障资金的良好记录；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10、以上事项如有虚假或隐瞒，我方愿意承担一切后果，并不再寻求任何旨在减轻或免除法律责任的辩解。</w:t>
      </w:r>
    </w:p>
    <w:p>
      <w:pPr>
        <w:spacing w:line="360" w:lineRule="auto"/>
        <w:ind w:firstLine="480" w:firstLineChars="200"/>
        <w:rPr>
          <w:rFonts w:ascii="宋体" w:hAnsi="宋体" w:cs="宋体"/>
          <w:color w:val="auto"/>
          <w:sz w:val="24"/>
          <w:highlight w:val="none"/>
        </w:rPr>
      </w:pPr>
    </w:p>
    <w:p>
      <w:pPr>
        <w:pStyle w:val="11"/>
        <w:ind w:left="5000"/>
        <w:rPr>
          <w:color w:val="auto"/>
          <w:highlight w:val="none"/>
        </w:rPr>
      </w:pPr>
    </w:p>
    <w:p>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pPr>
        <w:pStyle w:val="7"/>
        <w:rPr>
          <w:rFonts w:ascii="宋体"/>
          <w:color w:val="auto"/>
          <w:highlight w:val="none"/>
        </w:rPr>
      </w:pPr>
    </w:p>
    <w:p>
      <w:pPr>
        <w:spacing w:line="360" w:lineRule="auto"/>
        <w:rPr>
          <w:rFonts w:ascii="宋体"/>
          <w:b/>
          <w:bCs/>
          <w:color w:val="auto"/>
          <w:sz w:val="36"/>
          <w:szCs w:val="36"/>
          <w:highlight w:val="none"/>
        </w:rPr>
      </w:pPr>
    </w:p>
    <w:p>
      <w:pPr>
        <w:spacing w:line="360" w:lineRule="auto"/>
        <w:rPr>
          <w:rFonts w:ascii="宋体"/>
          <w:b/>
          <w:bCs/>
          <w:color w:val="auto"/>
          <w:sz w:val="36"/>
          <w:szCs w:val="36"/>
          <w:highlight w:val="none"/>
        </w:rPr>
      </w:pPr>
    </w:p>
    <w:p>
      <w:pPr>
        <w:spacing w:line="360" w:lineRule="auto"/>
        <w:jc w:val="left"/>
        <w:rPr>
          <w:rFonts w:ascii="宋体"/>
          <w:b/>
          <w:bCs/>
          <w:color w:val="auto"/>
          <w:sz w:val="32"/>
          <w:szCs w:val="32"/>
          <w:highlight w:val="none"/>
        </w:rPr>
      </w:pPr>
      <w:r>
        <w:rPr>
          <w:rFonts w:hint="eastAsia" w:ascii="宋体" w:hAnsi="宋体" w:cs="宋体"/>
          <w:b/>
          <w:bCs/>
          <w:color w:val="auto"/>
          <w:sz w:val="24"/>
          <w:szCs w:val="24"/>
          <w:highlight w:val="none"/>
          <w:lang w:val="zh-CN"/>
        </w:rPr>
        <w:t>附件三：</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w:t>
      </w:r>
    </w:p>
    <w:p>
      <w:pPr>
        <w:widowControl/>
        <w:snapToGrid w:val="0"/>
        <w:spacing w:line="324" w:lineRule="auto"/>
        <w:ind w:firstLine="480" w:firstLineChars="200"/>
        <w:jc w:val="center"/>
        <w:rPr>
          <w:rFonts w:ascii="宋体"/>
          <w:color w:val="auto"/>
          <w:sz w:val="24"/>
          <w:szCs w:val="24"/>
          <w:highlight w:val="none"/>
        </w:rPr>
      </w:pPr>
      <w:r>
        <w:rPr>
          <w:rFonts w:hint="eastAsia" w:ascii="宋体" w:hAnsi="宋体" w:cs="宋体"/>
          <w:color w:val="auto"/>
          <w:sz w:val="24"/>
          <w:szCs w:val="24"/>
          <w:highlight w:val="none"/>
        </w:rPr>
        <w:t>【不属于中小企业的无需填写、递交】</w:t>
      </w:r>
    </w:p>
    <w:p>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pPr>
        <w:spacing w:line="288" w:lineRule="auto"/>
        <w:ind w:right="420" w:firstLine="4320" w:firstLineChars="1800"/>
        <w:rPr>
          <w:rFonts w:ascii="宋体" w:hAnsi="宋体" w:cs="宋体"/>
          <w:color w:val="auto"/>
          <w:sz w:val="24"/>
          <w:szCs w:val="24"/>
          <w:highlight w:val="none"/>
        </w:rPr>
      </w:pPr>
    </w:p>
    <w:p>
      <w:pPr>
        <w:spacing w:line="288" w:lineRule="auto"/>
        <w:ind w:right="420" w:firstLine="4320" w:firstLineChars="1800"/>
        <w:rPr>
          <w:rFonts w:ascii="宋体" w:hAnsi="宋体" w:cs="宋体"/>
          <w:color w:val="auto"/>
          <w:sz w:val="24"/>
          <w:szCs w:val="24"/>
          <w:highlight w:val="none"/>
        </w:rPr>
      </w:pPr>
    </w:p>
    <w:p>
      <w:pPr>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pPr>
        <w:spacing w:line="288" w:lineRule="auto"/>
        <w:ind w:left="360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pPr>
        <w:pStyle w:val="7"/>
        <w:spacing w:line="288" w:lineRule="auto"/>
        <w:rPr>
          <w:rFonts w:ascii="宋体" w:hAnsi="宋体" w:cs="宋体"/>
          <w:color w:val="auto"/>
          <w:sz w:val="24"/>
          <w:szCs w:val="24"/>
          <w:highlight w:val="none"/>
        </w:rPr>
      </w:pPr>
    </w:p>
    <w:p>
      <w:pPr>
        <w:spacing w:line="288" w:lineRule="auto"/>
        <w:ind w:firstLine="480" w:firstLineChars="200"/>
        <w:jc w:val="left"/>
        <w:rPr>
          <w:rFonts w:ascii="宋体" w:hAnsi="宋体" w:cs="宋体"/>
          <w:color w:val="auto"/>
          <w:sz w:val="24"/>
          <w:szCs w:val="24"/>
          <w:highlight w:val="none"/>
        </w:rPr>
      </w:pPr>
    </w:p>
    <w:p>
      <w:pPr>
        <w:spacing w:line="288" w:lineRule="auto"/>
        <w:ind w:firstLine="480" w:firstLineChars="200"/>
        <w:jc w:val="left"/>
        <w:rPr>
          <w:rFonts w:ascii="宋体" w:hAnsi="宋体" w:cs="宋体"/>
          <w:color w:val="auto"/>
          <w:sz w:val="24"/>
          <w:szCs w:val="24"/>
          <w:highlight w:val="none"/>
        </w:rPr>
      </w:pPr>
    </w:p>
    <w:p>
      <w:pPr>
        <w:spacing w:line="288" w:lineRule="auto"/>
        <w:ind w:firstLine="480" w:firstLineChars="200"/>
        <w:jc w:val="left"/>
        <w:rPr>
          <w:rFonts w:ascii="宋体" w:hAnsi="宋体" w:cs="宋体"/>
          <w:color w:val="auto"/>
          <w:sz w:val="24"/>
          <w:szCs w:val="24"/>
          <w:highlight w:val="none"/>
        </w:rPr>
      </w:pPr>
    </w:p>
    <w:p>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pPr>
        <w:widowControl/>
        <w:snapToGrid w:val="0"/>
        <w:spacing w:line="324" w:lineRule="auto"/>
        <w:ind w:firstLine="480" w:firstLineChars="200"/>
        <w:jc w:val="left"/>
        <w:rPr>
          <w:rFonts w:ascii="宋体"/>
          <w:color w:val="auto"/>
          <w:sz w:val="24"/>
          <w:szCs w:val="24"/>
          <w:highlight w:val="none"/>
        </w:rPr>
      </w:pPr>
    </w:p>
    <w:p>
      <w:pPr>
        <w:pStyle w:val="4"/>
        <w:spacing w:line="360" w:lineRule="auto"/>
        <w:jc w:val="center"/>
        <w:rPr>
          <w:rFonts w:hAnsi="宋体" w:cs="Times New Roman"/>
          <w:color w:val="auto"/>
          <w:sz w:val="24"/>
          <w:szCs w:val="24"/>
          <w:highlight w:val="none"/>
        </w:rPr>
      </w:pPr>
    </w:p>
    <w:p>
      <w:pPr>
        <w:pStyle w:val="4"/>
        <w:spacing w:line="360" w:lineRule="auto"/>
        <w:jc w:val="center"/>
        <w:rPr>
          <w:rFonts w:hAnsi="宋体" w:cs="Times New Roman"/>
          <w:color w:val="auto"/>
          <w:sz w:val="24"/>
          <w:szCs w:val="24"/>
          <w:highlight w:val="none"/>
        </w:rPr>
      </w:pPr>
    </w:p>
    <w:p>
      <w:pPr>
        <w:jc w:val="center"/>
        <w:rPr>
          <w:color w:val="auto"/>
          <w:highlight w:val="none"/>
          <w:lang w:val="zh-CN"/>
        </w:rPr>
      </w:pPr>
      <w:bookmarkStart w:id="83" w:name="_Toc3295"/>
      <w:bookmarkStart w:id="84" w:name="_Toc30916"/>
      <w:bookmarkStart w:id="85" w:name="_Toc2071"/>
      <w:r>
        <w:rPr>
          <w:rFonts w:hAnsi="宋体"/>
          <w:color w:val="auto"/>
          <w:highlight w:val="none"/>
        </w:rPr>
        <w:br w:type="page"/>
      </w:r>
      <w:bookmarkEnd w:id="83"/>
      <w:bookmarkEnd w:id="84"/>
      <w:bookmarkEnd w:id="85"/>
    </w:p>
    <w:p>
      <w:pPr>
        <w:rPr>
          <w:b/>
          <w:bCs/>
          <w:color w:val="auto"/>
          <w:sz w:val="24"/>
          <w:szCs w:val="24"/>
          <w:highlight w:val="none"/>
          <w:lang w:val="zh-CN"/>
        </w:rPr>
      </w:pPr>
      <w:bookmarkStart w:id="86" w:name="_Toc25017"/>
      <w:bookmarkStart w:id="87" w:name="_Toc9715"/>
      <w:bookmarkStart w:id="88" w:name="_Toc16150"/>
      <w:bookmarkStart w:id="89" w:name="_Toc31472"/>
      <w:r>
        <w:rPr>
          <w:rFonts w:hint="eastAsia" w:cs="宋体"/>
          <w:b/>
          <w:bCs/>
          <w:color w:val="auto"/>
          <w:sz w:val="24"/>
          <w:szCs w:val="24"/>
          <w:highlight w:val="none"/>
          <w:lang w:val="zh-CN"/>
        </w:rPr>
        <w:t>附件四</w:t>
      </w:r>
      <w:r>
        <w:rPr>
          <w:rFonts w:hint="eastAsia" w:cs="宋体"/>
          <w:b/>
          <w:bCs/>
          <w:color w:val="auto"/>
          <w:sz w:val="24"/>
          <w:szCs w:val="24"/>
          <w:highlight w:val="none"/>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残疾人福利性单位声明函</w:t>
      </w:r>
      <w:bookmarkEnd w:id="86"/>
      <w:bookmarkEnd w:id="87"/>
      <w:bookmarkEnd w:id="88"/>
      <w:bookmarkEnd w:id="89"/>
    </w:p>
    <w:p>
      <w:pPr>
        <w:widowControl/>
        <w:snapToGrid w:val="0"/>
        <w:spacing w:line="324" w:lineRule="auto"/>
        <w:ind w:firstLine="480" w:firstLineChars="200"/>
        <w:jc w:val="center"/>
        <w:rPr>
          <w:rFonts w:ascii="宋体"/>
          <w:color w:val="auto"/>
          <w:sz w:val="24"/>
          <w:szCs w:val="24"/>
          <w:highlight w:val="none"/>
        </w:rPr>
      </w:pPr>
      <w:r>
        <w:rPr>
          <w:rFonts w:hint="eastAsia" w:ascii="宋体" w:hAnsi="宋体" w:cs="宋体"/>
          <w:color w:val="auto"/>
          <w:sz w:val="24"/>
          <w:szCs w:val="24"/>
          <w:highlight w:val="none"/>
        </w:rPr>
        <w:t>【不属于残疾人福利性单位的无需填写、递交】</w:t>
      </w:r>
    </w:p>
    <w:p>
      <w:pPr>
        <w:spacing w:line="588" w:lineRule="exact"/>
        <w:rPr>
          <w:rFonts w:ascii="宋体"/>
          <w:b/>
          <w:bCs/>
          <w:color w:val="auto"/>
          <w:spacing w:val="6"/>
          <w:sz w:val="30"/>
          <w:szCs w:val="30"/>
          <w:highlight w:val="none"/>
        </w:rPr>
      </w:pPr>
    </w:p>
    <w:p>
      <w:pPr>
        <w:spacing w:line="588"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民政部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z w:val="24"/>
          <w:szCs w:val="24"/>
          <w:highlight w:val="none"/>
        </w:rPr>
        <w:t>号）的规定，本单位为符合条件的残疾人福利性单位，且本单位参加</w:t>
      </w:r>
      <w:r>
        <w:rPr>
          <w:rFonts w:ascii="宋体" w:hAnsi="宋体" w:cs="宋体"/>
          <w:color w:val="auto"/>
          <w:sz w:val="24"/>
          <w:szCs w:val="24"/>
          <w:highlight w:val="none"/>
        </w:rPr>
        <w:t>______</w:t>
      </w:r>
      <w:r>
        <w:rPr>
          <w:rFonts w:hint="eastAsia" w:ascii="宋体" w:hAnsi="宋体" w:cs="宋体"/>
          <w:color w:val="auto"/>
          <w:sz w:val="24"/>
          <w:szCs w:val="24"/>
          <w:highlight w:val="none"/>
        </w:rPr>
        <w:t>单位的</w:t>
      </w:r>
      <w:r>
        <w:rPr>
          <w:rFonts w:ascii="宋体" w:hAnsi="宋体" w:cs="宋体"/>
          <w:color w:val="auto"/>
          <w:sz w:val="24"/>
          <w:szCs w:val="24"/>
          <w:highlight w:val="none"/>
        </w:rPr>
        <w:t>______</w:t>
      </w:r>
      <w:r>
        <w:rPr>
          <w:rFonts w:hint="eastAsia" w:ascii="宋体" w:hAnsi="宋体" w:cs="宋体"/>
          <w:color w:val="auto"/>
          <w:sz w:val="24"/>
          <w:szCs w:val="24"/>
          <w:highlight w:val="none"/>
        </w:rPr>
        <w:t>项目采购活动提供本单位服务，或者提供其他残疾人福利性单位提供的服务。本单位对上述声明的真实性负责。如有虚假，将依法承担相应责任。</w:t>
      </w:r>
    </w:p>
    <w:p>
      <w:pPr>
        <w:pStyle w:val="4"/>
        <w:rPr>
          <w:rFonts w:cs="Times New Roman"/>
          <w:color w:val="auto"/>
          <w:highlight w:val="none"/>
        </w:rPr>
      </w:pPr>
    </w:p>
    <w:p>
      <w:pPr>
        <w:pStyle w:val="7"/>
        <w:rPr>
          <w:color w:val="auto"/>
          <w:highlight w:val="none"/>
        </w:rPr>
      </w:pPr>
    </w:p>
    <w:p>
      <w:pPr>
        <w:spacing w:line="588" w:lineRule="exact"/>
        <w:rPr>
          <w:rFonts w:ascii="宋体"/>
          <w:color w:val="auto"/>
          <w:sz w:val="24"/>
          <w:szCs w:val="24"/>
          <w:highlight w:val="none"/>
        </w:rPr>
      </w:pP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rPr>
          <w:b/>
          <w:bCs/>
          <w:color w:val="auto"/>
          <w:sz w:val="24"/>
          <w:szCs w:val="24"/>
          <w:highlight w:val="none"/>
          <w:lang w:val="zh-CN"/>
        </w:rPr>
      </w:pPr>
      <w:bookmarkStart w:id="90" w:name="_Toc15966"/>
      <w:bookmarkStart w:id="91" w:name="_Toc5441"/>
      <w:bookmarkStart w:id="92" w:name="_Toc2386"/>
      <w:bookmarkStart w:id="93" w:name="_Toc24"/>
      <w:r>
        <w:rPr>
          <w:color w:val="auto"/>
          <w:sz w:val="24"/>
          <w:szCs w:val="24"/>
          <w:highlight w:val="none"/>
          <w:lang w:val="zh-CN"/>
        </w:rPr>
        <w:br w:type="page"/>
      </w:r>
      <w:r>
        <w:rPr>
          <w:rFonts w:hint="eastAsia" w:cs="宋体"/>
          <w:b/>
          <w:bCs/>
          <w:color w:val="auto"/>
          <w:sz w:val="24"/>
          <w:szCs w:val="24"/>
          <w:highlight w:val="none"/>
          <w:lang w:val="zh-CN"/>
        </w:rPr>
        <w:t>附件五</w:t>
      </w:r>
      <w:r>
        <w:rPr>
          <w:rFonts w:hint="eastAsia" w:cs="宋体"/>
          <w:b/>
          <w:bCs/>
          <w:color w:val="auto"/>
          <w:sz w:val="24"/>
          <w:szCs w:val="24"/>
          <w:highlight w:val="none"/>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监狱企业证明文件</w:t>
      </w:r>
      <w:bookmarkEnd w:id="90"/>
      <w:bookmarkEnd w:id="91"/>
      <w:bookmarkEnd w:id="92"/>
      <w:bookmarkEnd w:id="93"/>
    </w:p>
    <w:p>
      <w:pPr>
        <w:widowControl/>
        <w:snapToGri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【不属于监狱企业的无需填写、递交】</w:t>
      </w:r>
    </w:p>
    <w:p>
      <w:pPr>
        <w:widowControl/>
        <w:snapToGrid w:val="0"/>
        <w:spacing w:line="324" w:lineRule="auto"/>
        <w:jc w:val="center"/>
        <w:rPr>
          <w:rFonts w:ascii="宋体"/>
          <w:color w:val="auto"/>
          <w:sz w:val="24"/>
          <w:szCs w:val="24"/>
          <w:highlight w:val="none"/>
        </w:rPr>
      </w:pPr>
    </w:p>
    <w:p>
      <w:pPr>
        <w:spacing w:line="588" w:lineRule="exact"/>
        <w:ind w:firstLine="480" w:firstLineChars="200"/>
        <w:rPr>
          <w:rFonts w:ascii="宋体"/>
          <w:color w:val="auto"/>
          <w:sz w:val="24"/>
          <w:szCs w:val="24"/>
          <w:highlight w:val="none"/>
        </w:rPr>
      </w:pPr>
    </w:p>
    <w:p>
      <w:pPr>
        <w:adjustRightInd w:val="0"/>
        <w:snapToGrid w:val="0"/>
        <w:spacing w:before="156"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监狱企业需提供省级以上的监狱管理局、戒毒管理局（含新疆生产建设兵团）出具的属于监狱企业的证明文件。</w:t>
      </w:r>
      <w:r>
        <w:rPr>
          <w:rFonts w:ascii="宋体" w:hAnsi="宋体" w:cs="宋体"/>
          <w:color w:val="auto"/>
          <w:sz w:val="24"/>
          <w:szCs w:val="24"/>
          <w:highlight w:val="none"/>
        </w:rPr>
        <w:t xml:space="preserve">  </w:t>
      </w:r>
    </w:p>
    <w:p>
      <w:pPr>
        <w:pStyle w:val="4"/>
        <w:rPr>
          <w:rFonts w:cs="Times New Roman"/>
          <w:color w:val="auto"/>
          <w:highlight w:val="none"/>
        </w:rPr>
      </w:pPr>
    </w:p>
    <w:p>
      <w:pPr>
        <w:pStyle w:val="7"/>
        <w:rPr>
          <w:color w:val="auto"/>
          <w:highlight w:val="none"/>
        </w:rPr>
      </w:pP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spacing w:line="360" w:lineRule="auto"/>
        <w:jc w:val="center"/>
        <w:rPr>
          <w:rFonts w:ascii="宋体"/>
          <w:b/>
          <w:bCs/>
          <w:color w:val="auto"/>
          <w:sz w:val="24"/>
          <w:szCs w:val="24"/>
          <w:highlight w:val="none"/>
        </w:rPr>
      </w:pPr>
    </w:p>
    <w:p>
      <w:pPr>
        <w:spacing w:line="360" w:lineRule="auto"/>
        <w:rPr>
          <w:color w:val="auto"/>
          <w:sz w:val="36"/>
          <w:szCs w:val="36"/>
          <w:highlight w:val="none"/>
        </w:rPr>
      </w:pPr>
    </w:p>
    <w:p>
      <w:pPr>
        <w:spacing w:line="360" w:lineRule="auto"/>
        <w:rPr>
          <w:color w:val="auto"/>
          <w:sz w:val="36"/>
          <w:szCs w:val="36"/>
          <w:highlight w:val="none"/>
        </w:rPr>
      </w:pPr>
    </w:p>
    <w:p>
      <w:pPr>
        <w:spacing w:line="360" w:lineRule="auto"/>
        <w:rPr>
          <w:color w:val="auto"/>
          <w:sz w:val="36"/>
          <w:szCs w:val="36"/>
          <w:highlight w:val="none"/>
        </w:rPr>
      </w:pPr>
    </w:p>
    <w:p>
      <w:pPr>
        <w:spacing w:line="360" w:lineRule="auto"/>
        <w:rPr>
          <w:color w:val="auto"/>
          <w:sz w:val="36"/>
          <w:szCs w:val="36"/>
          <w:highlight w:val="none"/>
        </w:rPr>
      </w:pPr>
    </w:p>
    <w:p>
      <w:pPr>
        <w:spacing w:line="360" w:lineRule="auto"/>
        <w:rPr>
          <w:color w:val="auto"/>
          <w:sz w:val="36"/>
          <w:szCs w:val="36"/>
          <w:highlight w:val="none"/>
        </w:rPr>
      </w:pPr>
    </w:p>
    <w:p>
      <w:pPr>
        <w:spacing w:line="360" w:lineRule="auto"/>
        <w:rPr>
          <w:color w:val="auto"/>
          <w:sz w:val="36"/>
          <w:szCs w:val="36"/>
          <w:highlight w:val="none"/>
        </w:rPr>
      </w:pPr>
    </w:p>
    <w:p>
      <w:pPr>
        <w:spacing w:line="360" w:lineRule="auto"/>
        <w:rPr>
          <w:color w:val="auto"/>
          <w:sz w:val="36"/>
          <w:szCs w:val="36"/>
          <w:highlight w:val="none"/>
        </w:rPr>
      </w:pPr>
    </w:p>
    <w:p>
      <w:pPr>
        <w:spacing w:line="360" w:lineRule="auto"/>
        <w:rPr>
          <w:color w:val="auto"/>
          <w:sz w:val="36"/>
          <w:szCs w:val="36"/>
          <w:highlight w:val="none"/>
        </w:rPr>
      </w:pPr>
    </w:p>
    <w:p>
      <w:pPr>
        <w:spacing w:line="360" w:lineRule="auto"/>
        <w:rPr>
          <w:color w:val="auto"/>
          <w:sz w:val="36"/>
          <w:szCs w:val="36"/>
          <w:highlight w:val="none"/>
        </w:rPr>
      </w:pPr>
    </w:p>
    <w:p>
      <w:pPr>
        <w:spacing w:line="360" w:lineRule="auto"/>
        <w:rPr>
          <w:color w:val="auto"/>
          <w:sz w:val="36"/>
          <w:szCs w:val="36"/>
          <w:highlight w:val="none"/>
        </w:rPr>
      </w:pPr>
    </w:p>
    <w:p>
      <w:pPr>
        <w:spacing w:line="360" w:lineRule="auto"/>
        <w:rPr>
          <w:color w:val="auto"/>
          <w:sz w:val="36"/>
          <w:szCs w:val="36"/>
          <w:highlight w:val="none"/>
        </w:rPr>
      </w:pPr>
    </w:p>
    <w:p>
      <w:pPr>
        <w:pStyle w:val="24"/>
        <w:ind w:firstLine="200"/>
        <w:rPr>
          <w:color w:val="auto"/>
          <w:highlight w:val="none"/>
        </w:rPr>
      </w:pPr>
    </w:p>
    <w:p>
      <w:pPr>
        <w:widowControl/>
        <w:jc w:val="left"/>
        <w:rPr>
          <w:rFonts w:ascii="宋体"/>
          <w:b/>
          <w:bCs/>
          <w:color w:val="auto"/>
          <w:sz w:val="24"/>
          <w:szCs w:val="24"/>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商务技术文件</w:t>
      </w:r>
    </w:p>
    <w:p>
      <w:pPr>
        <w:spacing w:line="360" w:lineRule="auto"/>
        <w:jc w:val="center"/>
        <w:rPr>
          <w:rFonts w:ascii="宋体"/>
          <w:b/>
          <w:bCs/>
          <w:color w:val="auto"/>
          <w:sz w:val="36"/>
          <w:szCs w:val="36"/>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目录</w:t>
      </w:r>
    </w:p>
    <w:p>
      <w:pPr>
        <w:pStyle w:val="11"/>
        <w:ind w:left="426" w:firstLine="486"/>
        <w:rPr>
          <w:rFonts w:cs="Times New Roman"/>
          <w:color w:val="auto"/>
          <w:highlight w:val="none"/>
        </w:rPr>
      </w:pPr>
    </w:p>
    <w:p>
      <w:pPr>
        <w:numPr>
          <w:ilvl w:val="0"/>
          <w:numId w:val="17"/>
        </w:num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评分对应表（格式见附件，主要用于评委对应评分内容）</w:t>
      </w:r>
    </w:p>
    <w:p>
      <w:pPr>
        <w:numPr>
          <w:ilvl w:val="0"/>
          <w:numId w:val="17"/>
        </w:num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供应商商务技术文件中资信分自评表（格式见附件）；</w:t>
      </w:r>
    </w:p>
    <w:p>
      <w:pPr>
        <w:numPr>
          <w:ilvl w:val="0"/>
          <w:numId w:val="17"/>
        </w:num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磋商项目明细清单（格式见附件）；</w:t>
      </w:r>
    </w:p>
    <w:p>
      <w:pPr>
        <w:numPr>
          <w:ilvl w:val="0"/>
          <w:numId w:val="17"/>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技术响应及建议表（格式见附件）；</w:t>
      </w:r>
    </w:p>
    <w:p>
      <w:pPr>
        <w:numPr>
          <w:ilvl w:val="0"/>
          <w:numId w:val="17"/>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商务响应表（格式见附件）；</w:t>
      </w:r>
    </w:p>
    <w:p>
      <w:pPr>
        <w:numPr>
          <w:ilvl w:val="0"/>
          <w:numId w:val="17"/>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项目理解；</w:t>
      </w:r>
    </w:p>
    <w:p>
      <w:pPr>
        <w:numPr>
          <w:ilvl w:val="0"/>
          <w:numId w:val="17"/>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重难点分析</w:t>
      </w:r>
      <w:r>
        <w:rPr>
          <w:rFonts w:hint="eastAsia" w:ascii="宋体" w:hAnsi="宋体" w:cs="宋体"/>
          <w:color w:val="auto"/>
          <w:sz w:val="24"/>
          <w:szCs w:val="24"/>
          <w:highlight w:val="none"/>
        </w:rPr>
        <w:t>；</w:t>
      </w:r>
    </w:p>
    <w:p>
      <w:pPr>
        <w:numPr>
          <w:ilvl w:val="0"/>
          <w:numId w:val="17"/>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制作方案</w:t>
      </w:r>
    </w:p>
    <w:p>
      <w:pPr>
        <w:numPr>
          <w:ilvl w:val="0"/>
          <w:numId w:val="17"/>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人员配置</w:t>
      </w:r>
      <w:r>
        <w:rPr>
          <w:rFonts w:hint="eastAsia" w:ascii="宋体" w:hAnsi="宋体" w:cs="宋体"/>
          <w:color w:val="auto"/>
          <w:sz w:val="24"/>
          <w:szCs w:val="24"/>
          <w:highlight w:val="none"/>
        </w:rPr>
        <w:t>；</w:t>
      </w:r>
    </w:p>
    <w:p>
      <w:pPr>
        <w:numPr>
          <w:ilvl w:val="0"/>
          <w:numId w:val="17"/>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工作方案及实施计划；</w:t>
      </w:r>
    </w:p>
    <w:p>
      <w:pPr>
        <w:numPr>
          <w:ilvl w:val="0"/>
          <w:numId w:val="17"/>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培训方案</w:t>
      </w:r>
      <w:r>
        <w:rPr>
          <w:rFonts w:hint="eastAsia" w:ascii="宋体" w:hAnsi="宋体" w:eastAsia="宋体" w:cs="宋体"/>
          <w:color w:val="auto"/>
          <w:sz w:val="24"/>
          <w:szCs w:val="24"/>
          <w:highlight w:val="none"/>
        </w:rPr>
        <w:t>；</w:t>
      </w:r>
    </w:p>
    <w:p>
      <w:pPr>
        <w:numPr>
          <w:ilvl w:val="0"/>
          <w:numId w:val="17"/>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应急响应方案</w:t>
      </w:r>
      <w:r>
        <w:rPr>
          <w:rFonts w:hint="eastAsia" w:ascii="宋体" w:hAnsi="宋体" w:eastAsia="宋体" w:cs="宋体"/>
          <w:color w:val="auto"/>
          <w:sz w:val="24"/>
          <w:szCs w:val="24"/>
          <w:highlight w:val="none"/>
        </w:rPr>
        <w:t>；</w:t>
      </w:r>
    </w:p>
    <w:p>
      <w:pPr>
        <w:numPr>
          <w:ilvl w:val="0"/>
          <w:numId w:val="17"/>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售后服务；</w:t>
      </w:r>
    </w:p>
    <w:p>
      <w:pPr>
        <w:numPr>
          <w:ilvl w:val="0"/>
          <w:numId w:val="17"/>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合理化建议；</w:t>
      </w:r>
    </w:p>
    <w:p>
      <w:pPr>
        <w:numPr>
          <w:ilvl w:val="0"/>
          <w:numId w:val="17"/>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本地化服务；</w:t>
      </w:r>
    </w:p>
    <w:p>
      <w:pPr>
        <w:numPr>
          <w:ilvl w:val="0"/>
          <w:numId w:val="17"/>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业绩；</w:t>
      </w:r>
    </w:p>
    <w:p>
      <w:pPr>
        <w:numPr>
          <w:ilvl w:val="0"/>
          <w:numId w:val="17"/>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供应商认为需要的其他文件资料。 </w:t>
      </w:r>
    </w:p>
    <w:p>
      <w:pPr>
        <w:pStyle w:val="13"/>
        <w:spacing w:line="500" w:lineRule="exact"/>
        <w:ind w:firstLine="480" w:firstLineChars="200"/>
        <w:rPr>
          <w:rFonts w:hAnsi="宋体" w:cs="Times New Roman"/>
          <w:color w:val="auto"/>
          <w:sz w:val="24"/>
          <w:szCs w:val="24"/>
          <w:highlight w:val="none"/>
        </w:rPr>
      </w:pPr>
    </w:p>
    <w:p>
      <w:pPr>
        <w:rPr>
          <w:rFonts w:ascii="宋体"/>
          <w:color w:val="auto"/>
          <w:sz w:val="28"/>
          <w:szCs w:val="28"/>
          <w:highlight w:val="none"/>
        </w:rPr>
      </w:pPr>
    </w:p>
    <w:p>
      <w:pPr>
        <w:rPr>
          <w:rFonts w:ascii="宋体"/>
          <w:color w:val="auto"/>
          <w:sz w:val="28"/>
          <w:szCs w:val="28"/>
          <w:highlight w:val="none"/>
        </w:rPr>
      </w:pPr>
    </w:p>
    <w:p>
      <w:pPr>
        <w:rPr>
          <w:rFonts w:ascii="宋体"/>
          <w:color w:val="auto"/>
          <w:sz w:val="28"/>
          <w:szCs w:val="28"/>
          <w:highlight w:val="none"/>
        </w:rPr>
      </w:pPr>
    </w:p>
    <w:p>
      <w:pPr>
        <w:pStyle w:val="2"/>
        <w:rPr>
          <w:color w:val="auto"/>
          <w:highlight w:val="none"/>
        </w:rPr>
      </w:pPr>
    </w:p>
    <w:p>
      <w:pPr>
        <w:rPr>
          <w:rFonts w:ascii="宋体"/>
          <w:color w:val="auto"/>
          <w:sz w:val="28"/>
          <w:szCs w:val="28"/>
          <w:highlight w:val="none"/>
        </w:rPr>
      </w:pPr>
    </w:p>
    <w:p>
      <w:pPr>
        <w:snapToGrid w:val="0"/>
        <w:spacing w:before="50" w:after="50"/>
        <w:jc w:val="left"/>
        <w:rPr>
          <w:rFonts w:ascii="宋体"/>
          <w:b/>
          <w:bCs/>
          <w:color w:val="auto"/>
          <w:sz w:val="24"/>
          <w:szCs w:val="24"/>
          <w:highlight w:val="none"/>
          <w:lang w:val="zh-CN"/>
        </w:rPr>
      </w:pPr>
      <w:bookmarkStart w:id="94" w:name="_Toc10131"/>
      <w:r>
        <w:rPr>
          <w:rFonts w:hint="eastAsia" w:ascii="宋体" w:hAnsi="宋体" w:cs="宋体"/>
          <w:b/>
          <w:bCs/>
          <w:color w:val="auto"/>
          <w:sz w:val="24"/>
          <w:szCs w:val="24"/>
          <w:highlight w:val="none"/>
          <w:lang w:val="zh-CN"/>
        </w:rPr>
        <w:t>附件六：</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评分对应表</w:t>
      </w:r>
    </w:p>
    <w:p>
      <w:pPr>
        <w:snapToGrid w:val="0"/>
        <w:spacing w:before="50"/>
        <w:jc w:val="center"/>
        <w:rPr>
          <w:rFonts w:ascii="宋体"/>
          <w:b/>
          <w:bCs/>
          <w:color w:val="auto"/>
          <w:sz w:val="32"/>
          <w:szCs w:val="32"/>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92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对应评分办法及评分标准</w:t>
            </w:r>
          </w:p>
          <w:p>
            <w:pPr>
              <w:jc w:val="center"/>
              <w:rPr>
                <w:rFonts w:ascii="宋体"/>
                <w:color w:val="auto"/>
                <w:sz w:val="24"/>
                <w:szCs w:val="24"/>
                <w:highlight w:val="none"/>
              </w:rPr>
            </w:pPr>
            <w:r>
              <w:rPr>
                <w:rFonts w:hint="eastAsia" w:ascii="宋体" w:hAnsi="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color w:val="auto"/>
                <w:sz w:val="24"/>
                <w:szCs w:val="24"/>
                <w:highlight w:val="none"/>
              </w:rPr>
            </w:pPr>
          </w:p>
        </w:tc>
      </w:tr>
    </w:tbl>
    <w:p>
      <w:pPr>
        <w:spacing w:line="360" w:lineRule="auto"/>
        <w:ind w:firstLine="480" w:firstLineChars="200"/>
        <w:rPr>
          <w:rFonts w:ascii="宋体"/>
          <w:color w:val="auto"/>
          <w:sz w:val="24"/>
          <w:szCs w:val="24"/>
          <w:highlight w:val="none"/>
        </w:rPr>
      </w:pPr>
    </w:p>
    <w:p>
      <w:pPr>
        <w:spacing w:line="360" w:lineRule="auto"/>
        <w:ind w:left="3600" w:leftChars="1800" w:firstLine="480" w:firstLineChars="200"/>
        <w:rPr>
          <w:rFonts w:ascii="宋体"/>
          <w:color w:val="auto"/>
          <w:sz w:val="24"/>
          <w:szCs w:val="24"/>
          <w:highlight w:val="none"/>
        </w:rPr>
      </w:pP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rPr>
          <w:color w:val="auto"/>
          <w:highlight w:val="none"/>
          <w:lang w:val="zh-CN"/>
        </w:rPr>
      </w:pPr>
    </w:p>
    <w:p>
      <w:pPr>
        <w:rPr>
          <w:b/>
          <w:bCs/>
          <w:color w:val="auto"/>
          <w:sz w:val="24"/>
          <w:szCs w:val="24"/>
          <w:highlight w:val="none"/>
          <w:lang w:val="zh-CN"/>
        </w:rPr>
      </w:pPr>
      <w:r>
        <w:rPr>
          <w:rFonts w:hint="eastAsia" w:cs="宋体"/>
          <w:b/>
          <w:bCs/>
          <w:color w:val="auto"/>
          <w:sz w:val="24"/>
          <w:szCs w:val="24"/>
          <w:highlight w:val="none"/>
          <w:lang w:val="zh-CN"/>
        </w:rPr>
        <w:t>附件</w:t>
      </w:r>
      <w:r>
        <w:rPr>
          <w:rFonts w:hint="eastAsia" w:cs="宋体"/>
          <w:b/>
          <w:bCs/>
          <w:color w:val="auto"/>
          <w:sz w:val="24"/>
          <w:szCs w:val="24"/>
          <w:highlight w:val="none"/>
        </w:rPr>
        <w:t>七：</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94"/>
    </w:p>
    <w:p>
      <w:pPr>
        <w:snapToGrid w:val="0"/>
        <w:spacing w:before="50"/>
        <w:jc w:val="center"/>
        <w:rPr>
          <w:rFonts w:ascii="宋体"/>
          <w:b/>
          <w:bCs/>
          <w:color w:val="auto"/>
          <w:sz w:val="32"/>
          <w:szCs w:val="32"/>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99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1</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2</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3</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4</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5</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6</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7</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8</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bl>
    <w:p>
      <w:pPr>
        <w:spacing w:line="360" w:lineRule="auto"/>
        <w:ind w:firstLine="480" w:firstLineChars="200"/>
        <w:rPr>
          <w:rFonts w:ascii="宋体"/>
          <w:color w:val="auto"/>
          <w:sz w:val="24"/>
          <w:szCs w:val="24"/>
          <w:highlight w:val="none"/>
        </w:rPr>
      </w:pPr>
    </w:p>
    <w:p>
      <w:pPr>
        <w:spacing w:line="360" w:lineRule="auto"/>
        <w:ind w:left="3600" w:leftChars="1800" w:firstLine="480" w:firstLineChars="200"/>
        <w:rPr>
          <w:rFonts w:ascii="宋体"/>
          <w:color w:val="auto"/>
          <w:sz w:val="24"/>
          <w:szCs w:val="24"/>
          <w:highlight w:val="none"/>
        </w:rPr>
      </w:pP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snapToGrid w:val="0"/>
        <w:spacing w:before="50" w:after="156" w:afterLines="50"/>
        <w:jc w:val="left"/>
        <w:rPr>
          <w:rFonts w:ascii="宋体"/>
          <w:b/>
          <w:bCs/>
          <w:color w:val="auto"/>
          <w:sz w:val="24"/>
          <w:szCs w:val="24"/>
          <w:highlight w:val="none"/>
          <w:lang w:val="zh-CN"/>
        </w:rPr>
      </w:pPr>
      <w:r>
        <w:rPr>
          <w:rFonts w:ascii="宋体"/>
          <w:b/>
          <w:bCs/>
          <w:color w:val="auto"/>
          <w:sz w:val="30"/>
          <w:szCs w:val="30"/>
          <w:highlight w:val="none"/>
        </w:rPr>
        <w:br w:type="page"/>
      </w:r>
      <w:r>
        <w:rPr>
          <w:rFonts w:hint="eastAsia" w:ascii="宋体" w:hAnsi="宋体" w:cs="宋体"/>
          <w:b/>
          <w:bCs/>
          <w:color w:val="auto"/>
          <w:sz w:val="24"/>
          <w:szCs w:val="24"/>
          <w:highlight w:val="none"/>
          <w:lang w:val="zh-CN"/>
        </w:rPr>
        <w:t>附件八：</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投标项目明细清单</w:t>
      </w:r>
    </w:p>
    <w:p>
      <w:pPr>
        <w:spacing w:line="360" w:lineRule="auto"/>
        <w:ind w:firstLine="480" w:firstLineChars="200"/>
        <w:rPr>
          <w:rFonts w:ascii="宋体"/>
          <w:color w:val="auto"/>
          <w:sz w:val="24"/>
          <w:szCs w:val="24"/>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90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bl>
    <w:p>
      <w:pPr>
        <w:snapToGrid w:val="0"/>
        <w:spacing w:before="156"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pPr>
        <w:pStyle w:val="11"/>
        <w:rPr>
          <w:rFonts w:cs="Times New Roman"/>
          <w:color w:val="auto"/>
          <w:highlight w:val="none"/>
        </w:rPr>
      </w:pPr>
    </w:p>
    <w:p>
      <w:pPr>
        <w:pStyle w:val="11"/>
        <w:rPr>
          <w:rFonts w:cs="Times New Roman"/>
          <w:color w:val="auto"/>
          <w:highlight w:val="none"/>
        </w:rPr>
      </w:pPr>
    </w:p>
    <w:p>
      <w:pPr>
        <w:pStyle w:val="11"/>
        <w:rPr>
          <w:rFonts w:cs="Times New Roman"/>
          <w:color w:val="auto"/>
          <w:highlight w:val="none"/>
        </w:rPr>
      </w:pPr>
    </w:p>
    <w:p>
      <w:pPr>
        <w:snapToGrid w:val="0"/>
        <w:spacing w:before="156" w:beforeLines="50"/>
        <w:rPr>
          <w:rFonts w:ascii="宋体"/>
          <w:color w:val="auto"/>
          <w:sz w:val="24"/>
          <w:szCs w:val="24"/>
          <w:highlight w:val="none"/>
        </w:rPr>
      </w:pP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snapToGrid w:val="0"/>
        <w:spacing w:before="50" w:after="50"/>
        <w:rPr>
          <w:rFonts w:ascii="宋体"/>
          <w:color w:val="auto"/>
          <w:spacing w:val="20"/>
          <w:sz w:val="24"/>
          <w:szCs w:val="24"/>
          <w:highlight w:val="none"/>
        </w:rPr>
      </w:pPr>
    </w:p>
    <w:p>
      <w:pPr>
        <w:snapToGrid w:val="0"/>
        <w:spacing w:before="50" w:after="50"/>
        <w:rPr>
          <w:rFonts w:ascii="宋体"/>
          <w:color w:val="auto"/>
          <w:spacing w:val="20"/>
          <w:sz w:val="30"/>
          <w:szCs w:val="30"/>
          <w:highlight w:val="none"/>
        </w:rPr>
      </w:pPr>
    </w:p>
    <w:p>
      <w:pPr>
        <w:pStyle w:val="11"/>
        <w:ind w:firstLine="686"/>
        <w:rPr>
          <w:rFonts w:cs="Times New Roman"/>
          <w:color w:val="auto"/>
          <w:spacing w:val="20"/>
          <w:sz w:val="30"/>
          <w:szCs w:val="30"/>
          <w:highlight w:val="none"/>
        </w:rPr>
      </w:pPr>
    </w:p>
    <w:p>
      <w:pPr>
        <w:pStyle w:val="11"/>
        <w:ind w:firstLine="686"/>
        <w:rPr>
          <w:rFonts w:cs="Times New Roman"/>
          <w:color w:val="auto"/>
          <w:spacing w:val="20"/>
          <w:sz w:val="30"/>
          <w:szCs w:val="30"/>
          <w:highlight w:val="none"/>
        </w:rPr>
        <w:sectPr>
          <w:pgSz w:w="11906" w:h="16838"/>
          <w:pgMar w:top="1440" w:right="1800" w:bottom="1440" w:left="1800" w:header="851" w:footer="992" w:gutter="0"/>
          <w:pgNumType w:start="10"/>
          <w:cols w:space="425" w:num="1"/>
          <w:docGrid w:type="lines" w:linePitch="312" w:charSpace="0"/>
        </w:sectPr>
      </w:pPr>
    </w:p>
    <w:p>
      <w:pPr>
        <w:rPr>
          <w:b/>
          <w:bCs/>
          <w:color w:val="auto"/>
          <w:sz w:val="24"/>
          <w:szCs w:val="24"/>
          <w:highlight w:val="none"/>
        </w:rPr>
      </w:pPr>
      <w:bookmarkStart w:id="95" w:name="_Toc2823"/>
      <w:r>
        <w:rPr>
          <w:rFonts w:hint="eastAsia" w:cs="宋体"/>
          <w:b/>
          <w:bCs/>
          <w:color w:val="auto"/>
          <w:sz w:val="24"/>
          <w:szCs w:val="24"/>
          <w:highlight w:val="none"/>
        </w:rPr>
        <w:t>附件九：</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技术响应及建议表</w:t>
      </w:r>
      <w:bookmarkEnd w:id="95"/>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color w:val="auto"/>
                <w:sz w:val="24"/>
                <w:szCs w:val="24"/>
                <w:highlight w:val="none"/>
              </w:rPr>
            </w:pPr>
          </w:p>
        </w:tc>
        <w:tc>
          <w:tcPr>
            <w:tcW w:w="1440" w:type="dxa"/>
            <w:vAlign w:val="center"/>
          </w:tcPr>
          <w:p>
            <w:pPr>
              <w:snapToGrid w:val="0"/>
              <w:spacing w:before="50" w:after="50"/>
              <w:jc w:val="center"/>
              <w:rPr>
                <w:rFonts w:ascii="宋体"/>
                <w:color w:val="auto"/>
                <w:sz w:val="24"/>
                <w:szCs w:val="24"/>
                <w:highlight w:val="none"/>
              </w:rPr>
            </w:pPr>
          </w:p>
        </w:tc>
        <w:tc>
          <w:tcPr>
            <w:tcW w:w="1980" w:type="dxa"/>
            <w:vAlign w:val="center"/>
          </w:tcPr>
          <w:p>
            <w:pPr>
              <w:snapToGrid w:val="0"/>
              <w:spacing w:before="50" w:after="50"/>
              <w:jc w:val="center"/>
              <w:rPr>
                <w:rFonts w:ascii="宋体"/>
                <w:color w:val="auto"/>
                <w:sz w:val="24"/>
                <w:szCs w:val="24"/>
                <w:highlight w:val="none"/>
              </w:rPr>
            </w:pPr>
          </w:p>
        </w:tc>
        <w:tc>
          <w:tcPr>
            <w:tcW w:w="2520" w:type="dxa"/>
            <w:vAlign w:val="center"/>
          </w:tcPr>
          <w:p>
            <w:pPr>
              <w:snapToGrid w:val="0"/>
              <w:spacing w:before="50" w:after="50"/>
              <w:jc w:val="center"/>
              <w:rPr>
                <w:rFonts w:ascii="宋体"/>
                <w:color w:val="auto"/>
                <w:sz w:val="24"/>
                <w:szCs w:val="24"/>
                <w:highlight w:val="none"/>
              </w:rPr>
            </w:pPr>
          </w:p>
        </w:tc>
        <w:tc>
          <w:tcPr>
            <w:tcW w:w="1953" w:type="dxa"/>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color w:val="auto"/>
                <w:sz w:val="24"/>
                <w:szCs w:val="24"/>
                <w:highlight w:val="none"/>
              </w:rPr>
            </w:pPr>
          </w:p>
        </w:tc>
        <w:tc>
          <w:tcPr>
            <w:tcW w:w="1440" w:type="dxa"/>
            <w:vAlign w:val="center"/>
          </w:tcPr>
          <w:p>
            <w:pPr>
              <w:snapToGrid w:val="0"/>
              <w:spacing w:before="50" w:after="50"/>
              <w:jc w:val="center"/>
              <w:rPr>
                <w:rFonts w:ascii="宋体"/>
                <w:color w:val="auto"/>
                <w:sz w:val="24"/>
                <w:szCs w:val="24"/>
                <w:highlight w:val="none"/>
              </w:rPr>
            </w:pPr>
          </w:p>
        </w:tc>
        <w:tc>
          <w:tcPr>
            <w:tcW w:w="1980" w:type="dxa"/>
            <w:vAlign w:val="center"/>
          </w:tcPr>
          <w:p>
            <w:pPr>
              <w:snapToGrid w:val="0"/>
              <w:spacing w:before="50" w:after="50"/>
              <w:jc w:val="center"/>
              <w:rPr>
                <w:rFonts w:ascii="宋体"/>
                <w:color w:val="auto"/>
                <w:sz w:val="24"/>
                <w:szCs w:val="24"/>
                <w:highlight w:val="none"/>
              </w:rPr>
            </w:pPr>
          </w:p>
        </w:tc>
        <w:tc>
          <w:tcPr>
            <w:tcW w:w="2520" w:type="dxa"/>
            <w:vAlign w:val="center"/>
          </w:tcPr>
          <w:p>
            <w:pPr>
              <w:snapToGrid w:val="0"/>
              <w:spacing w:before="50" w:after="50"/>
              <w:jc w:val="center"/>
              <w:rPr>
                <w:rFonts w:ascii="宋体"/>
                <w:color w:val="auto"/>
                <w:sz w:val="24"/>
                <w:szCs w:val="24"/>
                <w:highlight w:val="none"/>
              </w:rPr>
            </w:pPr>
          </w:p>
        </w:tc>
        <w:tc>
          <w:tcPr>
            <w:tcW w:w="1953" w:type="dxa"/>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color w:val="auto"/>
                <w:sz w:val="24"/>
                <w:szCs w:val="24"/>
                <w:highlight w:val="none"/>
              </w:rPr>
            </w:pPr>
          </w:p>
        </w:tc>
        <w:tc>
          <w:tcPr>
            <w:tcW w:w="1440" w:type="dxa"/>
            <w:vAlign w:val="center"/>
          </w:tcPr>
          <w:p>
            <w:pPr>
              <w:snapToGrid w:val="0"/>
              <w:spacing w:before="50" w:after="50"/>
              <w:jc w:val="center"/>
              <w:rPr>
                <w:rFonts w:ascii="宋体"/>
                <w:color w:val="auto"/>
                <w:sz w:val="24"/>
                <w:szCs w:val="24"/>
                <w:highlight w:val="none"/>
              </w:rPr>
            </w:pPr>
          </w:p>
        </w:tc>
        <w:tc>
          <w:tcPr>
            <w:tcW w:w="1980" w:type="dxa"/>
            <w:vAlign w:val="center"/>
          </w:tcPr>
          <w:p>
            <w:pPr>
              <w:snapToGrid w:val="0"/>
              <w:spacing w:before="50" w:after="50"/>
              <w:jc w:val="center"/>
              <w:rPr>
                <w:rFonts w:ascii="宋体"/>
                <w:color w:val="auto"/>
                <w:sz w:val="24"/>
                <w:szCs w:val="24"/>
                <w:highlight w:val="none"/>
              </w:rPr>
            </w:pPr>
          </w:p>
        </w:tc>
        <w:tc>
          <w:tcPr>
            <w:tcW w:w="2520" w:type="dxa"/>
            <w:vAlign w:val="center"/>
          </w:tcPr>
          <w:p>
            <w:pPr>
              <w:snapToGrid w:val="0"/>
              <w:spacing w:before="50" w:after="50"/>
              <w:jc w:val="center"/>
              <w:rPr>
                <w:rFonts w:ascii="宋体"/>
                <w:color w:val="auto"/>
                <w:sz w:val="24"/>
                <w:szCs w:val="24"/>
                <w:highlight w:val="none"/>
              </w:rPr>
            </w:pPr>
          </w:p>
        </w:tc>
        <w:tc>
          <w:tcPr>
            <w:tcW w:w="1953" w:type="dxa"/>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color w:val="auto"/>
                <w:sz w:val="24"/>
                <w:szCs w:val="24"/>
                <w:highlight w:val="none"/>
              </w:rPr>
            </w:pPr>
          </w:p>
        </w:tc>
        <w:tc>
          <w:tcPr>
            <w:tcW w:w="1440" w:type="dxa"/>
            <w:vAlign w:val="center"/>
          </w:tcPr>
          <w:p>
            <w:pPr>
              <w:snapToGrid w:val="0"/>
              <w:spacing w:before="50" w:after="50"/>
              <w:jc w:val="center"/>
              <w:rPr>
                <w:rFonts w:ascii="宋体"/>
                <w:color w:val="auto"/>
                <w:sz w:val="24"/>
                <w:szCs w:val="24"/>
                <w:highlight w:val="none"/>
              </w:rPr>
            </w:pPr>
          </w:p>
        </w:tc>
        <w:tc>
          <w:tcPr>
            <w:tcW w:w="1980" w:type="dxa"/>
            <w:vAlign w:val="center"/>
          </w:tcPr>
          <w:p>
            <w:pPr>
              <w:snapToGrid w:val="0"/>
              <w:spacing w:before="50" w:after="50"/>
              <w:jc w:val="center"/>
              <w:rPr>
                <w:rFonts w:ascii="宋体"/>
                <w:color w:val="auto"/>
                <w:sz w:val="24"/>
                <w:szCs w:val="24"/>
                <w:highlight w:val="none"/>
              </w:rPr>
            </w:pPr>
          </w:p>
        </w:tc>
        <w:tc>
          <w:tcPr>
            <w:tcW w:w="2520" w:type="dxa"/>
            <w:vAlign w:val="center"/>
          </w:tcPr>
          <w:p>
            <w:pPr>
              <w:snapToGrid w:val="0"/>
              <w:spacing w:before="50" w:after="50"/>
              <w:jc w:val="center"/>
              <w:rPr>
                <w:rFonts w:ascii="宋体"/>
                <w:color w:val="auto"/>
                <w:sz w:val="24"/>
                <w:szCs w:val="24"/>
                <w:highlight w:val="none"/>
              </w:rPr>
            </w:pPr>
          </w:p>
        </w:tc>
        <w:tc>
          <w:tcPr>
            <w:tcW w:w="1953" w:type="dxa"/>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color w:val="auto"/>
                <w:sz w:val="24"/>
                <w:szCs w:val="24"/>
                <w:highlight w:val="none"/>
              </w:rPr>
            </w:pPr>
          </w:p>
        </w:tc>
        <w:tc>
          <w:tcPr>
            <w:tcW w:w="1440" w:type="dxa"/>
            <w:vAlign w:val="center"/>
          </w:tcPr>
          <w:p>
            <w:pPr>
              <w:snapToGrid w:val="0"/>
              <w:spacing w:before="50" w:after="50"/>
              <w:jc w:val="center"/>
              <w:rPr>
                <w:rFonts w:ascii="宋体"/>
                <w:color w:val="auto"/>
                <w:sz w:val="24"/>
                <w:szCs w:val="24"/>
                <w:highlight w:val="none"/>
              </w:rPr>
            </w:pPr>
          </w:p>
        </w:tc>
        <w:tc>
          <w:tcPr>
            <w:tcW w:w="1980" w:type="dxa"/>
            <w:vAlign w:val="center"/>
          </w:tcPr>
          <w:p>
            <w:pPr>
              <w:snapToGrid w:val="0"/>
              <w:spacing w:before="50" w:after="50"/>
              <w:jc w:val="center"/>
              <w:rPr>
                <w:rFonts w:ascii="宋体"/>
                <w:color w:val="auto"/>
                <w:sz w:val="24"/>
                <w:szCs w:val="24"/>
                <w:highlight w:val="none"/>
              </w:rPr>
            </w:pPr>
          </w:p>
        </w:tc>
        <w:tc>
          <w:tcPr>
            <w:tcW w:w="2520" w:type="dxa"/>
            <w:vAlign w:val="center"/>
          </w:tcPr>
          <w:p>
            <w:pPr>
              <w:snapToGrid w:val="0"/>
              <w:spacing w:before="50" w:after="50"/>
              <w:jc w:val="center"/>
              <w:rPr>
                <w:rFonts w:ascii="宋体"/>
                <w:color w:val="auto"/>
                <w:sz w:val="24"/>
                <w:szCs w:val="24"/>
                <w:highlight w:val="none"/>
              </w:rPr>
            </w:pPr>
          </w:p>
        </w:tc>
        <w:tc>
          <w:tcPr>
            <w:tcW w:w="1953" w:type="dxa"/>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2160" w:type="dxa"/>
            <w:gridSpan w:val="2"/>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pPr>
              <w:spacing w:line="360" w:lineRule="auto"/>
              <w:jc w:val="center"/>
              <w:rPr>
                <w:rFonts w:ascii="宋体"/>
                <w:color w:val="auto"/>
                <w:sz w:val="24"/>
                <w:szCs w:val="24"/>
                <w:highlight w:val="none"/>
              </w:rPr>
            </w:pPr>
          </w:p>
        </w:tc>
      </w:tr>
    </w:tbl>
    <w:p>
      <w:pPr>
        <w:snapToGrid w:val="0"/>
        <w:spacing w:line="360" w:lineRule="auto"/>
        <w:rPr>
          <w:rFonts w:ascii="宋体"/>
          <w:color w:val="auto"/>
          <w:sz w:val="24"/>
          <w:szCs w:val="24"/>
          <w:highlight w:val="none"/>
        </w:rPr>
      </w:pPr>
    </w:p>
    <w:p>
      <w:pPr>
        <w:pStyle w:val="13"/>
        <w:spacing w:line="360" w:lineRule="auto"/>
        <w:rPr>
          <w:rFonts w:hAnsi="宋体" w:cs="Times New Roman"/>
          <w:color w:val="auto"/>
          <w:sz w:val="24"/>
          <w:szCs w:val="24"/>
          <w:highlight w:val="none"/>
        </w:rPr>
      </w:pPr>
      <w:r>
        <w:rPr>
          <w:rFonts w:hint="eastAsia" w:hAnsi="宋体"/>
          <w:color w:val="auto"/>
          <w:sz w:val="24"/>
          <w:szCs w:val="24"/>
          <w:highlight w:val="none"/>
        </w:rPr>
        <w:t>注：名称可基于项目清单根据供应商实际情况调整。</w:t>
      </w:r>
    </w:p>
    <w:p>
      <w:pPr>
        <w:rPr>
          <w:rFonts w:ascii="宋体"/>
          <w:color w:val="auto"/>
          <w:sz w:val="24"/>
          <w:szCs w:val="24"/>
          <w:highlight w:val="none"/>
        </w:rPr>
      </w:pPr>
    </w:p>
    <w:p>
      <w:pPr>
        <w:pStyle w:val="11"/>
        <w:rPr>
          <w:rFonts w:cs="Times New Roman"/>
          <w:color w:val="auto"/>
          <w:highlight w:val="none"/>
        </w:rPr>
      </w:pPr>
    </w:p>
    <w:p>
      <w:pPr>
        <w:snapToGrid w:val="0"/>
        <w:spacing w:line="360" w:lineRule="auto"/>
        <w:rPr>
          <w:rFonts w:ascii="宋体"/>
          <w:color w:val="auto"/>
          <w:sz w:val="24"/>
          <w:szCs w:val="24"/>
          <w:highlight w:val="none"/>
        </w:rPr>
      </w:pP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rPr>
          <w:color w:val="auto"/>
          <w:sz w:val="24"/>
          <w:szCs w:val="24"/>
          <w:highlight w:val="none"/>
        </w:rPr>
      </w:pPr>
      <w:r>
        <w:rPr>
          <w:color w:val="auto"/>
          <w:sz w:val="24"/>
          <w:szCs w:val="24"/>
          <w:highlight w:val="none"/>
        </w:rPr>
        <w:br w:type="page"/>
      </w:r>
    </w:p>
    <w:p>
      <w:pPr>
        <w:rPr>
          <w:b/>
          <w:bCs/>
          <w:color w:val="auto"/>
          <w:sz w:val="24"/>
          <w:szCs w:val="24"/>
          <w:highlight w:val="none"/>
        </w:rPr>
      </w:pPr>
      <w:r>
        <w:rPr>
          <w:rFonts w:hint="eastAsia" w:cs="宋体"/>
          <w:b/>
          <w:bCs/>
          <w:color w:val="auto"/>
          <w:sz w:val="24"/>
          <w:szCs w:val="24"/>
          <w:highlight w:val="none"/>
        </w:rPr>
        <w:t>附件十：</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商务响应表</w:t>
      </w:r>
    </w:p>
    <w:p>
      <w:pPr>
        <w:snapToGrid w:val="0"/>
        <w:spacing w:before="50"/>
        <w:jc w:val="center"/>
        <w:rPr>
          <w:rFonts w:ascii="宋体"/>
          <w:b/>
          <w:bCs/>
          <w:color w:val="auto"/>
          <w:sz w:val="32"/>
          <w:szCs w:val="32"/>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943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是否</w:t>
            </w:r>
          </w:p>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w:t>
            </w: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bl>
    <w:p>
      <w:pPr>
        <w:spacing w:line="360" w:lineRule="auto"/>
        <w:ind w:left="3600" w:leftChars="1800" w:firstLine="480" w:firstLineChars="200"/>
        <w:rPr>
          <w:rFonts w:ascii="宋体"/>
          <w:color w:val="auto"/>
          <w:sz w:val="24"/>
          <w:szCs w:val="24"/>
          <w:highlight w:val="none"/>
        </w:rPr>
      </w:pPr>
    </w:p>
    <w:p>
      <w:pPr>
        <w:spacing w:line="360" w:lineRule="auto"/>
        <w:ind w:left="3600" w:leftChars="1800" w:firstLine="480" w:firstLineChars="200"/>
        <w:rPr>
          <w:rFonts w:ascii="宋体"/>
          <w:color w:val="auto"/>
          <w:sz w:val="24"/>
          <w:szCs w:val="24"/>
          <w:highlight w:val="none"/>
        </w:rPr>
      </w:pPr>
    </w:p>
    <w:p>
      <w:pPr>
        <w:spacing w:line="360" w:lineRule="auto"/>
        <w:ind w:left="3600" w:leftChars="1800" w:firstLine="480" w:firstLineChars="200"/>
        <w:rPr>
          <w:rFonts w:ascii="宋体"/>
          <w:color w:val="auto"/>
          <w:sz w:val="24"/>
          <w:szCs w:val="24"/>
          <w:highlight w:val="none"/>
        </w:rPr>
      </w:pP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snapToGrid w:val="0"/>
        <w:spacing w:before="50" w:after="50"/>
        <w:rPr>
          <w:rFonts w:ascii="宋体"/>
          <w:b/>
          <w:bCs/>
          <w:color w:val="auto"/>
          <w:sz w:val="24"/>
          <w:szCs w:val="24"/>
          <w:highlight w:val="none"/>
          <w:lang w:val="zh-CN"/>
        </w:rPr>
      </w:pPr>
      <w:r>
        <w:rPr>
          <w:rFonts w:ascii="宋体"/>
          <w:color w:val="auto"/>
          <w:sz w:val="24"/>
          <w:szCs w:val="24"/>
          <w:highlight w:val="none"/>
        </w:rPr>
        <w:br w:type="page"/>
      </w:r>
      <w:r>
        <w:rPr>
          <w:rFonts w:hint="eastAsia" w:ascii="宋体" w:hAnsi="宋体" w:cs="宋体"/>
          <w:b/>
          <w:bCs/>
          <w:color w:val="auto"/>
          <w:sz w:val="24"/>
          <w:szCs w:val="24"/>
          <w:highlight w:val="none"/>
          <w:lang w:val="zh-CN"/>
        </w:rPr>
        <w:t>附件十一：</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项目团队</w:t>
      </w:r>
    </w:p>
    <w:p>
      <w:pPr>
        <w:snapToGrid w:val="0"/>
        <w:spacing w:before="156" w:beforeLines="50" w:after="50"/>
        <w:jc w:val="center"/>
        <w:rPr>
          <w:rFonts w:ascii="宋体"/>
          <w:b/>
          <w:bCs/>
          <w:color w:val="auto"/>
          <w:sz w:val="30"/>
          <w:szCs w:val="30"/>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5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156"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156"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460" w:lineRule="exact"/>
              <w:ind w:left="5000"/>
              <w:rPr>
                <w:rFonts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156"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156"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156"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156"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156"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156"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156" w:beforeLines="50" w:after="50" w:line="460" w:lineRule="exact"/>
              <w:rPr>
                <w:rFonts w:ascii="宋体"/>
                <w:color w:val="auto"/>
                <w:sz w:val="24"/>
                <w:szCs w:val="24"/>
                <w:highlight w:val="none"/>
              </w:rPr>
            </w:pPr>
          </w:p>
        </w:tc>
      </w:tr>
    </w:tbl>
    <w:p>
      <w:pPr>
        <w:adjustRightInd w:val="0"/>
        <w:snapToGrid w:val="0"/>
        <w:spacing w:line="360" w:lineRule="auto"/>
        <w:jc w:val="left"/>
        <w:rPr>
          <w:rFonts w:ascii="宋体"/>
          <w:color w:val="auto"/>
          <w:sz w:val="24"/>
          <w:szCs w:val="24"/>
          <w:highlight w:val="none"/>
        </w:rPr>
      </w:pPr>
    </w:p>
    <w:p>
      <w:pPr>
        <w:adjustRightInd w:val="0"/>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r>
        <w:rPr>
          <w:rFonts w:ascii="宋体" w:hAnsi="宋体" w:cs="宋体"/>
          <w:color w:val="auto"/>
          <w:sz w:val="24"/>
          <w:szCs w:val="24"/>
          <w:highlight w:val="none"/>
        </w:rPr>
        <w:t xml:space="preserve"> </w:t>
      </w:r>
    </w:p>
    <w:p>
      <w:pPr>
        <w:snapToGrid w:val="0"/>
        <w:spacing w:before="50" w:after="156" w:afterLines="50" w:line="460" w:lineRule="exact"/>
        <w:jc w:val="left"/>
        <w:rPr>
          <w:rFonts w:ascii="宋体"/>
          <w:color w:val="auto"/>
          <w:sz w:val="24"/>
          <w:szCs w:val="24"/>
          <w:highlight w:val="none"/>
        </w:rPr>
      </w:pPr>
    </w:p>
    <w:p>
      <w:pPr>
        <w:pStyle w:val="11"/>
        <w:rPr>
          <w:rFonts w:cs="Times New Roman"/>
          <w:color w:val="auto"/>
          <w:highlight w:val="none"/>
        </w:rPr>
      </w:pP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spacing w:line="360" w:lineRule="auto"/>
        <w:jc w:val="center"/>
        <w:rPr>
          <w:rFonts w:ascii="宋体"/>
          <w:b/>
          <w:bCs/>
          <w:color w:val="auto"/>
          <w:sz w:val="36"/>
          <w:szCs w:val="36"/>
          <w:highlight w:val="none"/>
        </w:rPr>
      </w:pPr>
      <w:r>
        <w:rPr>
          <w:rFonts w:ascii="宋体"/>
          <w:color w:val="auto"/>
          <w:spacing w:val="20"/>
          <w:sz w:val="30"/>
          <w:szCs w:val="30"/>
          <w:highlight w:val="none"/>
        </w:rPr>
        <w:br w:type="page"/>
      </w:r>
      <w:r>
        <w:rPr>
          <w:rFonts w:hint="eastAsia" w:ascii="宋体" w:hAnsi="宋体" w:cs="宋体"/>
          <w:b/>
          <w:bCs/>
          <w:color w:val="auto"/>
          <w:sz w:val="36"/>
          <w:szCs w:val="36"/>
          <w:highlight w:val="none"/>
        </w:rPr>
        <w:t>报价文件</w:t>
      </w:r>
    </w:p>
    <w:p>
      <w:pPr>
        <w:spacing w:line="360" w:lineRule="auto"/>
        <w:jc w:val="center"/>
        <w:rPr>
          <w:rFonts w:ascii="宋体"/>
          <w:b/>
          <w:bCs/>
          <w:color w:val="auto"/>
          <w:sz w:val="36"/>
          <w:szCs w:val="36"/>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目录</w:t>
      </w:r>
    </w:p>
    <w:p>
      <w:pPr>
        <w:pStyle w:val="11"/>
        <w:ind w:firstLine="723"/>
        <w:rPr>
          <w:rFonts w:cs="Times New Roman"/>
          <w:b/>
          <w:bCs/>
          <w:color w:val="auto"/>
          <w:sz w:val="36"/>
          <w:szCs w:val="36"/>
          <w:highlight w:val="none"/>
        </w:rPr>
      </w:pPr>
    </w:p>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）磋商函（格式见附件）；</w:t>
      </w:r>
    </w:p>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）报价一览表（格式见附件）；</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）磋商报价明细表（格式见附件）。</w:t>
      </w:r>
    </w:p>
    <w:p>
      <w:pPr>
        <w:rPr>
          <w:rFonts w:ascii="宋体"/>
          <w:color w:val="auto"/>
          <w:highlight w:val="none"/>
        </w:rPr>
      </w:pPr>
    </w:p>
    <w:p>
      <w:pPr>
        <w:rPr>
          <w:rFonts w:ascii="宋体"/>
          <w:color w:val="auto"/>
          <w:highlight w:val="none"/>
        </w:rPr>
      </w:pPr>
      <w:r>
        <w:rPr>
          <w:rFonts w:ascii="宋体"/>
          <w:color w:val="auto"/>
          <w:highlight w:val="none"/>
        </w:rPr>
        <w:br w:type="page"/>
      </w:r>
    </w:p>
    <w:p>
      <w:pPr>
        <w:rPr>
          <w:rFonts w:ascii="宋体"/>
          <w:b/>
          <w:bCs/>
          <w:color w:val="auto"/>
          <w:highlight w:val="none"/>
          <w:lang w:val="zh-CN"/>
        </w:rPr>
      </w:pPr>
      <w:bookmarkStart w:id="96" w:name="_Toc3094"/>
      <w:r>
        <w:rPr>
          <w:rFonts w:hint="eastAsia" w:cs="宋体"/>
          <w:b/>
          <w:bCs/>
          <w:color w:val="auto"/>
          <w:sz w:val="24"/>
          <w:szCs w:val="24"/>
          <w:highlight w:val="none"/>
          <w:lang w:val="zh-CN"/>
        </w:rPr>
        <w:t>附件</w:t>
      </w:r>
      <w:bookmarkStart w:id="97" w:name="_Toc98731770"/>
      <w:bookmarkStart w:id="98" w:name="_Toc130094924"/>
      <w:r>
        <w:rPr>
          <w:rFonts w:hint="eastAsia" w:cs="宋体"/>
          <w:b/>
          <w:bCs/>
          <w:color w:val="auto"/>
          <w:sz w:val="24"/>
          <w:szCs w:val="24"/>
          <w:highlight w:val="none"/>
        </w:rPr>
        <w:t>十二：</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商</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函</w:t>
      </w:r>
      <w:bookmarkEnd w:id="96"/>
      <w:bookmarkEnd w:id="97"/>
      <w:bookmarkEnd w:id="98"/>
    </w:p>
    <w:p>
      <w:pPr>
        <w:spacing w:line="360" w:lineRule="auto"/>
        <w:ind w:firstLine="480" w:firstLineChars="200"/>
        <w:rPr>
          <w:rFonts w:ascii="宋体"/>
          <w:color w:val="auto"/>
          <w:sz w:val="24"/>
          <w:szCs w:val="24"/>
          <w:highlight w:val="none"/>
          <w:u w:val="singl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绍兴市上虞区气象局</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中纬工程管理咨询有限公司</w:t>
      </w:r>
      <w:r>
        <w:rPr>
          <w:rFonts w:hint="eastAsia" w:ascii="宋体" w:hAnsi="宋体" w:cs="宋体"/>
          <w:color w:val="auto"/>
          <w:sz w:val="24"/>
          <w:szCs w:val="24"/>
          <w:highlight w:val="none"/>
        </w:rPr>
        <w:t>：</w:t>
      </w:r>
    </w:p>
    <w:p>
      <w:pPr>
        <w:spacing w:line="360" w:lineRule="auto"/>
        <w:ind w:firstLine="480"/>
        <w:jc w:val="left"/>
        <w:rPr>
          <w:rFonts w:asci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pPr>
        <w:spacing w:line="360" w:lineRule="auto"/>
        <w:ind w:firstLine="480" w:firstLineChars="240"/>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9525" t="7620" r="8890" b="11430"/>
                <wp:wrapNone/>
                <wp:docPr id="1" name="1026"/>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pPSQa0gAAAAcBAAAPAAAA&#10;AAAAAAEAIAAAACIAAABkcnMvZG93bnJldi54bWxQSwECFAAUAAAACACHTuJAITVy9qkBAABLAwAA&#10;DgAAAAAAAAABACAAAAAhAQAAZHJzL2Uyb0RvYy54bWxQSwUGAAAAAAYABgBZAQAAPAU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、一旦我单位中标，我单位愿意承接报价一览表中所列的技术服务，服务期：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、一旦我单位中标，我们保证按照磋商文件的要求，完成服务。</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、除非另行达成协议并生效，你方的成交通知书和本磋商函将构成约束你我双方的合同。</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、我单位承诺，一旦发生磋商文件第二部分第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pPr>
        <w:pStyle w:val="13"/>
        <w:snapToGrid w:val="0"/>
        <w:spacing w:line="360" w:lineRule="auto"/>
        <w:ind w:left="480"/>
        <w:rPr>
          <w:rFonts w:hAnsi="宋体"/>
          <w:color w:val="auto"/>
          <w:sz w:val="24"/>
          <w:szCs w:val="24"/>
          <w:highlight w:val="none"/>
        </w:rPr>
      </w:pPr>
      <w:r>
        <w:rPr>
          <w:rFonts w:hAnsi="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firstLine="5280" w:firstLineChars="2200"/>
        <w:rPr>
          <w:rFonts w:ascii="宋体"/>
          <w:color w:val="auto"/>
          <w:sz w:val="24"/>
          <w:szCs w:val="24"/>
          <w:highlight w:val="none"/>
        </w:rPr>
      </w:pPr>
    </w:p>
    <w:p>
      <w:pPr>
        <w:rPr>
          <w:color w:val="auto"/>
          <w:sz w:val="24"/>
          <w:szCs w:val="24"/>
          <w:highlight w:val="none"/>
          <w:lang w:val="zh-CN"/>
        </w:rPr>
      </w:pPr>
      <w:bookmarkStart w:id="99" w:name="_Toc12011"/>
      <w:r>
        <w:rPr>
          <w:color w:val="auto"/>
          <w:sz w:val="24"/>
          <w:szCs w:val="24"/>
          <w:highlight w:val="none"/>
          <w:lang w:val="zh-CN"/>
        </w:rPr>
        <w:br w:type="page"/>
      </w:r>
    </w:p>
    <w:p>
      <w:pPr>
        <w:rPr>
          <w:b/>
          <w:bCs/>
          <w:color w:val="auto"/>
          <w:sz w:val="24"/>
          <w:szCs w:val="24"/>
          <w:highlight w:val="none"/>
          <w:lang w:val="zh-CN"/>
        </w:rPr>
      </w:pPr>
      <w:r>
        <w:rPr>
          <w:rFonts w:hint="eastAsia" w:cs="宋体"/>
          <w:b/>
          <w:bCs/>
          <w:color w:val="auto"/>
          <w:sz w:val="24"/>
          <w:szCs w:val="24"/>
          <w:highlight w:val="none"/>
          <w:lang w:val="zh-CN"/>
        </w:rPr>
        <w:t>附件</w:t>
      </w:r>
      <w:bookmarkStart w:id="100" w:name="_Toc130094925"/>
      <w:bookmarkStart w:id="101" w:name="_Toc98731771"/>
      <w:r>
        <w:rPr>
          <w:rFonts w:hint="eastAsia" w:cs="宋体"/>
          <w:b/>
          <w:bCs/>
          <w:color w:val="auto"/>
          <w:sz w:val="24"/>
          <w:szCs w:val="24"/>
          <w:highlight w:val="none"/>
        </w:rPr>
        <w:t>十三：</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报价一览表</w:t>
      </w:r>
      <w:bookmarkEnd w:id="99"/>
      <w:bookmarkEnd w:id="100"/>
      <w:bookmarkEnd w:id="101"/>
    </w:p>
    <w:p>
      <w:pPr>
        <w:pStyle w:val="13"/>
        <w:spacing w:line="360" w:lineRule="auto"/>
        <w:rPr>
          <w:rFonts w:hAnsi="宋体" w:cs="Times New Roman"/>
          <w:color w:val="auto"/>
          <w:sz w:val="24"/>
          <w:szCs w:val="24"/>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6"/>
        <w:tblW w:w="8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9" w:hRule="atLeast"/>
          <w:jc w:val="center"/>
        </w:trPr>
        <w:tc>
          <w:tcPr>
            <w:tcW w:w="2089" w:type="dxa"/>
            <w:vAlign w:val="center"/>
          </w:tcPr>
          <w:p>
            <w:pPr>
              <w:pStyle w:val="13"/>
              <w:spacing w:line="360" w:lineRule="auto"/>
              <w:jc w:val="center"/>
              <w:rPr>
                <w:rFonts w:hAnsi="宋体" w:cs="Times New Roman"/>
                <w:b/>
                <w:bCs/>
                <w:color w:val="auto"/>
                <w:sz w:val="24"/>
                <w:szCs w:val="24"/>
                <w:highlight w:val="none"/>
              </w:rPr>
            </w:pPr>
            <w:r>
              <w:rPr>
                <w:rFonts w:hint="eastAsia" w:hAnsi="宋体"/>
                <w:b/>
                <w:bCs/>
                <w:color w:val="auto"/>
                <w:sz w:val="24"/>
                <w:szCs w:val="24"/>
                <w:highlight w:val="none"/>
              </w:rPr>
              <w:t>投标总价</w:t>
            </w:r>
          </w:p>
        </w:tc>
        <w:tc>
          <w:tcPr>
            <w:tcW w:w="6707" w:type="dxa"/>
            <w:vAlign w:val="center"/>
          </w:tcPr>
          <w:p>
            <w:pPr>
              <w:pStyle w:val="13"/>
              <w:spacing w:line="360" w:lineRule="auto"/>
              <w:jc w:val="center"/>
              <w:rPr>
                <w:rFonts w:hAnsi="宋体" w:cs="Times New Roman"/>
                <w:b/>
                <w:bCs/>
                <w:color w:val="auto"/>
                <w:sz w:val="24"/>
                <w:szCs w:val="24"/>
                <w:highlight w:val="none"/>
              </w:rPr>
            </w:pPr>
            <w:r>
              <w:rPr>
                <w:rFonts w:hint="eastAsia" w:hAnsi="宋体"/>
                <w:b/>
                <w:bCs/>
                <w:color w:val="auto"/>
                <w:sz w:val="24"/>
                <w:szCs w:val="24"/>
                <w:highlight w:val="none"/>
              </w:rPr>
              <w:t>大写：</w:t>
            </w:r>
            <w:r>
              <w:rPr>
                <w:rFonts w:hint="eastAsia" w:hAnsi="宋体"/>
                <w:b/>
                <w:bCs/>
                <w:color w:val="auto"/>
                <w:sz w:val="24"/>
                <w:szCs w:val="24"/>
                <w:highlight w:val="none"/>
                <w:u w:val="single"/>
              </w:rPr>
              <w:t>　　　　</w:t>
            </w:r>
            <w:r>
              <w:rPr>
                <w:rFonts w:hAnsi="宋体"/>
                <w:b/>
                <w:bCs/>
                <w:color w:val="auto"/>
                <w:sz w:val="24"/>
                <w:szCs w:val="24"/>
                <w:highlight w:val="none"/>
                <w:u w:val="single"/>
              </w:rPr>
              <w:t xml:space="preserve">            </w:t>
            </w:r>
            <w:r>
              <w:rPr>
                <w:rFonts w:hint="eastAsia" w:hAnsi="宋体"/>
                <w:b/>
                <w:bCs/>
                <w:color w:val="auto"/>
                <w:sz w:val="24"/>
                <w:szCs w:val="24"/>
                <w:highlight w:val="none"/>
              </w:rPr>
              <w:t>元（小写：</w:t>
            </w:r>
            <w:r>
              <w:rPr>
                <w:rFonts w:hint="eastAsia" w:hAnsi="宋体"/>
                <w:b/>
                <w:bCs/>
                <w:color w:val="auto"/>
                <w:sz w:val="24"/>
                <w:szCs w:val="24"/>
                <w:highlight w:val="none"/>
                <w:u w:val="single"/>
              </w:rPr>
              <w:t>　　　　</w:t>
            </w:r>
            <w:r>
              <w:rPr>
                <w:rFonts w:hAnsi="宋体"/>
                <w:b/>
                <w:bCs/>
                <w:color w:val="auto"/>
                <w:sz w:val="24"/>
                <w:szCs w:val="24"/>
                <w:highlight w:val="none"/>
                <w:u w:val="single"/>
              </w:rPr>
              <w:t xml:space="preserve"> </w:t>
            </w:r>
            <w:r>
              <w:rPr>
                <w:rFonts w:hint="eastAsia" w:hAnsi="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8" w:hRule="atLeast"/>
          <w:jc w:val="center"/>
        </w:trPr>
        <w:tc>
          <w:tcPr>
            <w:tcW w:w="8796" w:type="dxa"/>
            <w:gridSpan w:val="2"/>
            <w:vAlign w:val="center"/>
          </w:tcPr>
          <w:p>
            <w:pPr>
              <w:pStyle w:val="13"/>
              <w:spacing w:line="360" w:lineRule="auto"/>
              <w:ind w:firstLine="480" w:firstLineChars="200"/>
              <w:rPr>
                <w:rFonts w:hAnsi="宋体" w:cs="Times New Roman"/>
                <w:b/>
                <w:bCs/>
                <w:color w:val="auto"/>
                <w:sz w:val="24"/>
                <w:szCs w:val="24"/>
                <w:highlight w:val="none"/>
              </w:rPr>
            </w:pPr>
            <w:r>
              <w:rPr>
                <w:rFonts w:hint="eastAsia" w:hAnsi="宋体" w:cs="Times New Roman"/>
                <w:b w:val="0"/>
                <w:bCs w:val="0"/>
                <w:color w:val="auto"/>
                <w:sz w:val="24"/>
                <w:szCs w:val="24"/>
                <w:highlight w:val="none"/>
              </w:rPr>
              <w:t>本次报价应包含项目所需全部服务，不得缺漏，是履行合同的最终价格（包括</w:t>
            </w:r>
            <w:r>
              <w:rPr>
                <w:rFonts w:hint="eastAsia" w:hAnsi="宋体" w:cs="Times New Roman"/>
                <w:b w:val="0"/>
                <w:bCs w:val="0"/>
                <w:color w:val="auto"/>
                <w:sz w:val="24"/>
                <w:szCs w:val="24"/>
                <w:highlight w:val="none"/>
                <w:lang w:val="en-US" w:eastAsia="zh-CN"/>
              </w:rPr>
              <w:t>但不限于</w:t>
            </w:r>
            <w:r>
              <w:rPr>
                <w:rFonts w:hint="eastAsia" w:hAnsi="宋体" w:cs="Times New Roman"/>
                <w:b w:val="0"/>
                <w:bCs w:val="0"/>
                <w:color w:val="auto"/>
                <w:sz w:val="24"/>
                <w:szCs w:val="24"/>
                <w:highlight w:val="none"/>
              </w:rPr>
              <w:t>提供服务所需的一切人员工资、奖金、法定节假日双休日加班费、夜餐费、各种社会保险、食宿与交通、服装、安全、工具及管理费用、税费、利润等相关费用，以及其它报价时应综合考虑日后属政策性调整等因素造成的价格变动）。投标报价为供应商所能承受的最低、最终报价，供应商不得再要求追加任何费用。</w:t>
            </w:r>
          </w:p>
        </w:tc>
      </w:tr>
    </w:tbl>
    <w:p>
      <w:pPr>
        <w:pStyle w:val="13"/>
        <w:spacing w:line="360" w:lineRule="auto"/>
        <w:rPr>
          <w:rFonts w:hAnsi="宋体" w:cs="Times New Roman"/>
          <w:color w:val="auto"/>
          <w:sz w:val="24"/>
          <w:szCs w:val="24"/>
          <w:highlight w:val="none"/>
        </w:rPr>
      </w:pPr>
    </w:p>
    <w:p>
      <w:pPr>
        <w:pStyle w:val="13"/>
        <w:spacing w:line="360" w:lineRule="auto"/>
        <w:rPr>
          <w:rFonts w:hAnsi="宋体" w:cs="Times New Roman"/>
          <w:color w:val="auto"/>
          <w:sz w:val="24"/>
          <w:szCs w:val="24"/>
          <w:highlight w:val="none"/>
        </w:rPr>
      </w:pPr>
    </w:p>
    <w:p>
      <w:pPr>
        <w:pStyle w:val="13"/>
        <w:spacing w:line="360" w:lineRule="auto"/>
        <w:rPr>
          <w:rFonts w:hAnsi="宋体" w:cs="Times New Roman"/>
          <w:color w:val="auto"/>
          <w:sz w:val="24"/>
          <w:szCs w:val="24"/>
          <w:highlight w:val="none"/>
        </w:rPr>
      </w:pP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snapToGrid w:val="0"/>
        <w:spacing w:line="360" w:lineRule="auto"/>
        <w:ind w:firstLine="435"/>
        <w:rPr>
          <w:rFonts w:ascii="宋体"/>
          <w:color w:val="auto"/>
          <w:highlight w:val="none"/>
        </w:rPr>
      </w:pPr>
    </w:p>
    <w:p>
      <w:pPr>
        <w:snapToGrid w:val="0"/>
        <w:spacing w:line="360" w:lineRule="auto"/>
        <w:ind w:firstLine="435"/>
        <w:rPr>
          <w:rFonts w:ascii="宋体"/>
          <w:color w:val="auto"/>
          <w:highlight w:val="none"/>
        </w:rPr>
      </w:pPr>
    </w:p>
    <w:p>
      <w:pPr>
        <w:snapToGrid w:val="0"/>
        <w:spacing w:line="360" w:lineRule="auto"/>
        <w:ind w:firstLine="435"/>
        <w:rPr>
          <w:rFonts w:ascii="宋体"/>
          <w:color w:val="auto"/>
          <w:highlight w:val="none"/>
        </w:rPr>
      </w:pPr>
    </w:p>
    <w:p>
      <w:pPr>
        <w:snapToGrid w:val="0"/>
        <w:spacing w:line="360" w:lineRule="auto"/>
        <w:ind w:firstLine="435"/>
        <w:rPr>
          <w:rFonts w:ascii="宋体"/>
          <w:color w:val="auto"/>
          <w:highlight w:val="none"/>
        </w:rPr>
      </w:pPr>
    </w:p>
    <w:p>
      <w:pPr>
        <w:snapToGrid w:val="0"/>
        <w:spacing w:line="360" w:lineRule="auto"/>
        <w:ind w:firstLine="435"/>
        <w:rPr>
          <w:rFonts w:ascii="宋体"/>
          <w:color w:val="auto"/>
          <w:highlight w:val="none"/>
        </w:rPr>
      </w:pPr>
    </w:p>
    <w:p>
      <w:pPr>
        <w:spacing w:line="360" w:lineRule="auto"/>
        <w:jc w:val="left"/>
        <w:rPr>
          <w:rFonts w:ascii="宋体"/>
          <w:b/>
          <w:bCs/>
          <w:color w:val="auto"/>
          <w:sz w:val="24"/>
          <w:szCs w:val="24"/>
          <w:highlight w:val="none"/>
          <w:lang w:val="zh-CN"/>
        </w:rPr>
      </w:pPr>
      <w:r>
        <w:rPr>
          <w:rFonts w:ascii="宋体"/>
          <w:color w:val="auto"/>
          <w:highlight w:val="none"/>
        </w:rPr>
        <w:br w:type="page"/>
      </w:r>
      <w:bookmarkStart w:id="102" w:name="_Toc7196"/>
      <w:r>
        <w:rPr>
          <w:rFonts w:hint="eastAsia" w:ascii="宋体" w:hAnsi="宋体" w:cs="宋体"/>
          <w:b/>
          <w:bCs/>
          <w:color w:val="auto"/>
          <w:sz w:val="24"/>
          <w:szCs w:val="24"/>
          <w:highlight w:val="none"/>
          <w:lang w:val="zh-CN"/>
        </w:rPr>
        <w:t>附件十</w:t>
      </w:r>
      <w:r>
        <w:rPr>
          <w:rFonts w:hint="eastAsia" w:hAnsi="宋体" w:cs="宋体"/>
          <w:b/>
          <w:bCs/>
          <w:color w:val="auto"/>
          <w:sz w:val="24"/>
          <w:szCs w:val="24"/>
          <w:highlight w:val="none"/>
          <w:lang w:val="zh-CN"/>
        </w:rPr>
        <w:t>四</w:t>
      </w:r>
      <w:r>
        <w:rPr>
          <w:rFonts w:hint="eastAsia" w:ascii="宋体" w:hAnsi="宋体" w:cs="宋体"/>
          <w:b/>
          <w:bCs/>
          <w:color w:val="auto"/>
          <w:sz w:val="24"/>
          <w:szCs w:val="24"/>
          <w:highlight w:val="none"/>
          <w:lang w:val="zh-CN"/>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磋商报价明细表</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6"/>
        <w:tblW w:w="9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0"/>
        <w:gridCol w:w="915"/>
        <w:gridCol w:w="1875"/>
        <w:gridCol w:w="495"/>
        <w:gridCol w:w="498"/>
        <w:gridCol w:w="114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89" w:type="dxa"/>
            <w:vMerge w:val="restart"/>
            <w:vAlign w:val="center"/>
          </w:tcPr>
          <w:p>
            <w:pPr>
              <w:pStyle w:val="13"/>
              <w:spacing w:line="360" w:lineRule="auto"/>
              <w:jc w:val="center"/>
              <w:rPr>
                <w:rFonts w:hAnsi="宋体"/>
                <w:color w:val="auto"/>
                <w:sz w:val="22"/>
                <w:szCs w:val="22"/>
                <w:highlight w:val="none"/>
              </w:rPr>
            </w:pPr>
            <w:r>
              <w:rPr>
                <w:rFonts w:hint="eastAsia" w:hAnsi="宋体"/>
                <w:color w:val="auto"/>
                <w:sz w:val="22"/>
                <w:szCs w:val="22"/>
                <w:highlight w:val="none"/>
              </w:rPr>
              <w:t>序</w:t>
            </w:r>
          </w:p>
          <w:p>
            <w:pPr>
              <w:pStyle w:val="13"/>
              <w:spacing w:line="360" w:lineRule="auto"/>
              <w:jc w:val="center"/>
              <w:rPr>
                <w:rFonts w:hAnsi="宋体"/>
                <w:color w:val="auto"/>
                <w:sz w:val="22"/>
                <w:szCs w:val="22"/>
                <w:highlight w:val="none"/>
              </w:rPr>
            </w:pPr>
            <w:r>
              <w:rPr>
                <w:rFonts w:hint="eastAsia" w:hAnsi="宋体"/>
                <w:color w:val="auto"/>
                <w:sz w:val="22"/>
                <w:szCs w:val="22"/>
                <w:highlight w:val="none"/>
              </w:rPr>
              <w:t>号</w:t>
            </w:r>
          </w:p>
        </w:tc>
        <w:tc>
          <w:tcPr>
            <w:tcW w:w="2490" w:type="dxa"/>
            <w:vMerge w:val="restart"/>
            <w:vAlign w:val="center"/>
          </w:tcPr>
          <w:p>
            <w:pPr>
              <w:pStyle w:val="13"/>
              <w:spacing w:line="360" w:lineRule="auto"/>
              <w:jc w:val="center"/>
              <w:rPr>
                <w:rFonts w:hAnsi="宋体"/>
                <w:color w:val="auto"/>
                <w:sz w:val="22"/>
                <w:szCs w:val="22"/>
                <w:highlight w:val="none"/>
              </w:rPr>
            </w:pPr>
            <w:r>
              <w:rPr>
                <w:rFonts w:hint="eastAsia" w:hAnsi="宋体"/>
                <w:color w:val="auto"/>
                <w:sz w:val="22"/>
                <w:szCs w:val="22"/>
                <w:highlight w:val="none"/>
              </w:rPr>
              <w:t>名称</w:t>
            </w:r>
          </w:p>
        </w:tc>
        <w:tc>
          <w:tcPr>
            <w:tcW w:w="915" w:type="dxa"/>
            <w:vMerge w:val="restart"/>
            <w:vAlign w:val="center"/>
          </w:tcPr>
          <w:p>
            <w:pPr>
              <w:pStyle w:val="13"/>
              <w:spacing w:line="360" w:lineRule="auto"/>
              <w:jc w:val="center"/>
              <w:rPr>
                <w:rFonts w:hAnsi="宋体"/>
                <w:color w:val="auto"/>
                <w:sz w:val="22"/>
                <w:szCs w:val="22"/>
                <w:highlight w:val="none"/>
              </w:rPr>
            </w:pPr>
            <w:r>
              <w:rPr>
                <w:rFonts w:hint="eastAsia" w:hAnsi="宋体"/>
                <w:color w:val="auto"/>
                <w:sz w:val="22"/>
                <w:szCs w:val="22"/>
                <w:highlight w:val="none"/>
              </w:rPr>
              <w:t>内容</w:t>
            </w:r>
          </w:p>
        </w:tc>
        <w:tc>
          <w:tcPr>
            <w:tcW w:w="1875" w:type="dxa"/>
            <w:vMerge w:val="restart"/>
            <w:vAlign w:val="center"/>
          </w:tcPr>
          <w:p>
            <w:pPr>
              <w:pStyle w:val="13"/>
              <w:spacing w:line="360" w:lineRule="auto"/>
              <w:jc w:val="center"/>
              <w:rPr>
                <w:rFonts w:hAnsi="宋体"/>
                <w:color w:val="auto"/>
                <w:sz w:val="22"/>
                <w:szCs w:val="22"/>
                <w:highlight w:val="none"/>
              </w:rPr>
            </w:pPr>
            <w:r>
              <w:rPr>
                <w:rFonts w:hint="eastAsia" w:hAnsi="宋体"/>
                <w:color w:val="auto"/>
                <w:sz w:val="22"/>
                <w:szCs w:val="22"/>
                <w:highlight w:val="none"/>
              </w:rPr>
              <w:t>其他</w:t>
            </w:r>
          </w:p>
        </w:tc>
        <w:tc>
          <w:tcPr>
            <w:tcW w:w="495" w:type="dxa"/>
            <w:vMerge w:val="restart"/>
            <w:vAlign w:val="center"/>
          </w:tcPr>
          <w:p>
            <w:pPr>
              <w:pStyle w:val="13"/>
              <w:spacing w:line="360" w:lineRule="auto"/>
              <w:jc w:val="center"/>
              <w:rPr>
                <w:rFonts w:hAnsi="宋体"/>
                <w:color w:val="auto"/>
                <w:sz w:val="22"/>
                <w:szCs w:val="22"/>
                <w:highlight w:val="none"/>
              </w:rPr>
            </w:pPr>
            <w:r>
              <w:rPr>
                <w:rFonts w:hint="eastAsia" w:hAnsi="宋体"/>
                <w:color w:val="auto"/>
                <w:sz w:val="22"/>
                <w:szCs w:val="22"/>
                <w:highlight w:val="none"/>
              </w:rPr>
              <w:t>单</w:t>
            </w:r>
          </w:p>
          <w:p>
            <w:pPr>
              <w:pStyle w:val="13"/>
              <w:spacing w:line="360" w:lineRule="auto"/>
              <w:jc w:val="center"/>
              <w:rPr>
                <w:rFonts w:hAnsi="宋体"/>
                <w:color w:val="auto"/>
                <w:sz w:val="22"/>
                <w:szCs w:val="22"/>
                <w:highlight w:val="none"/>
              </w:rPr>
            </w:pPr>
            <w:r>
              <w:rPr>
                <w:rFonts w:hint="eastAsia" w:hAnsi="宋体"/>
                <w:color w:val="auto"/>
                <w:sz w:val="22"/>
                <w:szCs w:val="22"/>
                <w:highlight w:val="none"/>
              </w:rPr>
              <w:t>位</w:t>
            </w:r>
          </w:p>
        </w:tc>
        <w:tc>
          <w:tcPr>
            <w:tcW w:w="498" w:type="dxa"/>
            <w:vMerge w:val="restart"/>
            <w:vAlign w:val="center"/>
          </w:tcPr>
          <w:p>
            <w:pPr>
              <w:pStyle w:val="13"/>
              <w:spacing w:line="360" w:lineRule="auto"/>
              <w:jc w:val="center"/>
              <w:rPr>
                <w:rFonts w:hAnsi="宋体"/>
                <w:color w:val="auto"/>
                <w:sz w:val="22"/>
                <w:szCs w:val="22"/>
                <w:highlight w:val="none"/>
              </w:rPr>
            </w:pPr>
            <w:r>
              <w:rPr>
                <w:rFonts w:hint="eastAsia" w:hAnsi="宋体"/>
                <w:color w:val="auto"/>
                <w:sz w:val="22"/>
                <w:szCs w:val="22"/>
                <w:highlight w:val="none"/>
              </w:rPr>
              <w:t>数量</w:t>
            </w:r>
          </w:p>
        </w:tc>
        <w:tc>
          <w:tcPr>
            <w:tcW w:w="2270" w:type="dxa"/>
            <w:gridSpan w:val="2"/>
            <w:vAlign w:val="center"/>
          </w:tcPr>
          <w:p>
            <w:pPr>
              <w:pStyle w:val="13"/>
              <w:spacing w:line="360" w:lineRule="auto"/>
              <w:jc w:val="center"/>
              <w:rPr>
                <w:rFonts w:hAnsi="宋体"/>
                <w:color w:val="auto"/>
                <w:sz w:val="22"/>
                <w:szCs w:val="22"/>
                <w:highlight w:val="none"/>
              </w:rPr>
            </w:pPr>
            <w:r>
              <w:rPr>
                <w:rFonts w:hint="eastAsia" w:hAnsi="宋体"/>
                <w:color w:val="auto"/>
                <w:sz w:val="22"/>
                <w:szCs w:val="22"/>
                <w:highlight w:val="none"/>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89" w:type="dxa"/>
            <w:vMerge w:val="continue"/>
            <w:vAlign w:val="center"/>
          </w:tcPr>
          <w:p>
            <w:pPr>
              <w:pStyle w:val="13"/>
              <w:spacing w:line="360" w:lineRule="auto"/>
              <w:jc w:val="center"/>
              <w:rPr>
                <w:rFonts w:hAnsi="宋体"/>
                <w:color w:val="auto"/>
                <w:sz w:val="22"/>
                <w:szCs w:val="22"/>
                <w:highlight w:val="none"/>
              </w:rPr>
            </w:pPr>
          </w:p>
        </w:tc>
        <w:tc>
          <w:tcPr>
            <w:tcW w:w="2490" w:type="dxa"/>
            <w:vMerge w:val="continue"/>
            <w:vAlign w:val="center"/>
          </w:tcPr>
          <w:p>
            <w:pPr>
              <w:pStyle w:val="13"/>
              <w:spacing w:line="360" w:lineRule="auto"/>
              <w:jc w:val="center"/>
              <w:rPr>
                <w:rFonts w:hAnsi="宋体"/>
                <w:color w:val="auto"/>
                <w:sz w:val="22"/>
                <w:szCs w:val="22"/>
                <w:highlight w:val="none"/>
              </w:rPr>
            </w:pPr>
          </w:p>
        </w:tc>
        <w:tc>
          <w:tcPr>
            <w:tcW w:w="915" w:type="dxa"/>
            <w:vMerge w:val="continue"/>
            <w:vAlign w:val="center"/>
          </w:tcPr>
          <w:p>
            <w:pPr>
              <w:pStyle w:val="13"/>
              <w:spacing w:line="360" w:lineRule="auto"/>
              <w:jc w:val="center"/>
              <w:rPr>
                <w:rFonts w:hAnsi="宋体"/>
                <w:color w:val="auto"/>
                <w:sz w:val="22"/>
                <w:szCs w:val="22"/>
                <w:highlight w:val="none"/>
              </w:rPr>
            </w:pPr>
          </w:p>
        </w:tc>
        <w:tc>
          <w:tcPr>
            <w:tcW w:w="1875" w:type="dxa"/>
            <w:vMerge w:val="continue"/>
            <w:vAlign w:val="center"/>
          </w:tcPr>
          <w:p>
            <w:pPr>
              <w:pStyle w:val="13"/>
              <w:spacing w:line="360" w:lineRule="auto"/>
              <w:jc w:val="center"/>
              <w:rPr>
                <w:rFonts w:hAnsi="宋体"/>
                <w:color w:val="auto"/>
                <w:sz w:val="22"/>
                <w:szCs w:val="22"/>
                <w:highlight w:val="none"/>
              </w:rPr>
            </w:pPr>
          </w:p>
        </w:tc>
        <w:tc>
          <w:tcPr>
            <w:tcW w:w="495" w:type="dxa"/>
            <w:vMerge w:val="continue"/>
            <w:vAlign w:val="center"/>
          </w:tcPr>
          <w:p>
            <w:pPr>
              <w:pStyle w:val="13"/>
              <w:spacing w:line="360" w:lineRule="auto"/>
              <w:jc w:val="center"/>
              <w:rPr>
                <w:rFonts w:hAnsi="宋体"/>
                <w:color w:val="auto"/>
                <w:sz w:val="22"/>
                <w:szCs w:val="22"/>
                <w:highlight w:val="none"/>
              </w:rPr>
            </w:pPr>
          </w:p>
        </w:tc>
        <w:tc>
          <w:tcPr>
            <w:tcW w:w="498" w:type="dxa"/>
            <w:vMerge w:val="continue"/>
            <w:vAlign w:val="center"/>
          </w:tcPr>
          <w:p>
            <w:pPr>
              <w:pStyle w:val="13"/>
              <w:spacing w:line="360" w:lineRule="auto"/>
              <w:jc w:val="center"/>
              <w:rPr>
                <w:rFonts w:hAnsi="宋体"/>
                <w:color w:val="auto"/>
                <w:sz w:val="22"/>
                <w:szCs w:val="22"/>
                <w:highlight w:val="none"/>
              </w:rPr>
            </w:pPr>
          </w:p>
        </w:tc>
        <w:tc>
          <w:tcPr>
            <w:tcW w:w="1147" w:type="dxa"/>
            <w:vAlign w:val="center"/>
          </w:tcPr>
          <w:p>
            <w:pPr>
              <w:pStyle w:val="13"/>
              <w:spacing w:line="360" w:lineRule="auto"/>
              <w:jc w:val="center"/>
              <w:rPr>
                <w:rFonts w:hAnsi="宋体"/>
                <w:color w:val="auto"/>
                <w:sz w:val="22"/>
                <w:szCs w:val="22"/>
                <w:highlight w:val="none"/>
              </w:rPr>
            </w:pPr>
            <w:r>
              <w:rPr>
                <w:rFonts w:hint="eastAsia" w:hAnsi="宋体"/>
                <w:color w:val="auto"/>
                <w:sz w:val="22"/>
                <w:szCs w:val="22"/>
                <w:highlight w:val="none"/>
              </w:rPr>
              <w:t>单价</w:t>
            </w:r>
          </w:p>
        </w:tc>
        <w:tc>
          <w:tcPr>
            <w:tcW w:w="1123" w:type="dxa"/>
            <w:vAlign w:val="center"/>
          </w:tcPr>
          <w:p>
            <w:pPr>
              <w:pStyle w:val="13"/>
              <w:spacing w:line="360" w:lineRule="auto"/>
              <w:jc w:val="center"/>
              <w:rPr>
                <w:rFonts w:hAnsi="宋体"/>
                <w:color w:val="auto"/>
                <w:sz w:val="22"/>
                <w:szCs w:val="22"/>
                <w:highlight w:val="none"/>
              </w:rPr>
            </w:pPr>
            <w:r>
              <w:rPr>
                <w:rFonts w:hint="eastAsia" w:hAnsi="宋体"/>
                <w:color w:val="auto"/>
                <w:sz w:val="22"/>
                <w:szCs w:val="22"/>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89" w:type="dxa"/>
            <w:vAlign w:val="center"/>
          </w:tcPr>
          <w:p>
            <w:pPr>
              <w:pStyle w:val="13"/>
              <w:jc w:val="center"/>
              <w:rPr>
                <w:rFonts w:hAnsi="宋体"/>
                <w:color w:val="auto"/>
                <w:sz w:val="22"/>
                <w:szCs w:val="22"/>
                <w:highlight w:val="none"/>
              </w:rPr>
            </w:pPr>
            <w:r>
              <w:rPr>
                <w:rFonts w:hint="eastAsia" w:hAnsi="宋体"/>
                <w:color w:val="auto"/>
                <w:sz w:val="22"/>
                <w:szCs w:val="22"/>
                <w:highlight w:val="none"/>
              </w:rPr>
              <w:t>1</w:t>
            </w:r>
          </w:p>
        </w:tc>
        <w:tc>
          <w:tcPr>
            <w:tcW w:w="2490" w:type="dxa"/>
            <w:vAlign w:val="center"/>
          </w:tcPr>
          <w:p>
            <w:pPr>
              <w:pStyle w:val="13"/>
              <w:rPr>
                <w:rFonts w:hAnsi="宋体"/>
                <w:color w:val="auto"/>
                <w:sz w:val="22"/>
                <w:szCs w:val="22"/>
                <w:highlight w:val="none"/>
              </w:rPr>
            </w:pPr>
          </w:p>
        </w:tc>
        <w:tc>
          <w:tcPr>
            <w:tcW w:w="915" w:type="dxa"/>
            <w:vAlign w:val="center"/>
          </w:tcPr>
          <w:p>
            <w:pPr>
              <w:pStyle w:val="13"/>
              <w:spacing w:line="360" w:lineRule="auto"/>
              <w:rPr>
                <w:rFonts w:hAnsi="宋体"/>
                <w:b/>
                <w:bCs/>
                <w:color w:val="auto"/>
                <w:sz w:val="22"/>
                <w:szCs w:val="22"/>
                <w:highlight w:val="none"/>
              </w:rPr>
            </w:pPr>
          </w:p>
        </w:tc>
        <w:tc>
          <w:tcPr>
            <w:tcW w:w="1875" w:type="dxa"/>
            <w:vAlign w:val="center"/>
          </w:tcPr>
          <w:p>
            <w:pPr>
              <w:pStyle w:val="13"/>
              <w:spacing w:line="360" w:lineRule="auto"/>
              <w:rPr>
                <w:rFonts w:hAnsi="宋体"/>
                <w:b/>
                <w:bCs/>
                <w:color w:val="auto"/>
                <w:sz w:val="22"/>
                <w:szCs w:val="22"/>
                <w:highlight w:val="none"/>
              </w:rPr>
            </w:pPr>
          </w:p>
        </w:tc>
        <w:tc>
          <w:tcPr>
            <w:tcW w:w="495" w:type="dxa"/>
            <w:vAlign w:val="center"/>
          </w:tcPr>
          <w:p>
            <w:pPr>
              <w:pStyle w:val="13"/>
              <w:spacing w:line="360" w:lineRule="auto"/>
              <w:rPr>
                <w:rFonts w:hAnsi="宋体"/>
                <w:b/>
                <w:bCs/>
                <w:color w:val="auto"/>
                <w:sz w:val="22"/>
                <w:szCs w:val="22"/>
                <w:highlight w:val="none"/>
              </w:rPr>
            </w:pPr>
          </w:p>
        </w:tc>
        <w:tc>
          <w:tcPr>
            <w:tcW w:w="498" w:type="dxa"/>
            <w:vAlign w:val="center"/>
          </w:tcPr>
          <w:p>
            <w:pPr>
              <w:pStyle w:val="13"/>
              <w:spacing w:line="360" w:lineRule="auto"/>
              <w:rPr>
                <w:rFonts w:hAnsi="宋体"/>
                <w:b/>
                <w:bCs/>
                <w:color w:val="auto"/>
                <w:sz w:val="22"/>
                <w:szCs w:val="22"/>
                <w:highlight w:val="none"/>
              </w:rPr>
            </w:pPr>
          </w:p>
        </w:tc>
        <w:tc>
          <w:tcPr>
            <w:tcW w:w="1147" w:type="dxa"/>
          </w:tcPr>
          <w:p>
            <w:pPr>
              <w:pStyle w:val="13"/>
              <w:spacing w:line="360" w:lineRule="auto"/>
              <w:rPr>
                <w:rFonts w:hAnsi="宋体"/>
                <w:color w:val="auto"/>
                <w:sz w:val="22"/>
                <w:szCs w:val="22"/>
                <w:highlight w:val="none"/>
              </w:rPr>
            </w:pPr>
          </w:p>
        </w:tc>
        <w:tc>
          <w:tcPr>
            <w:tcW w:w="1123" w:type="dxa"/>
          </w:tcPr>
          <w:p>
            <w:pPr>
              <w:pStyle w:val="13"/>
              <w:spacing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89" w:type="dxa"/>
            <w:vAlign w:val="center"/>
          </w:tcPr>
          <w:p>
            <w:pPr>
              <w:pStyle w:val="13"/>
              <w:jc w:val="center"/>
              <w:rPr>
                <w:rFonts w:hAnsi="宋体"/>
                <w:color w:val="auto"/>
                <w:sz w:val="22"/>
                <w:szCs w:val="22"/>
                <w:highlight w:val="none"/>
              </w:rPr>
            </w:pPr>
            <w:r>
              <w:rPr>
                <w:rFonts w:hint="eastAsia" w:hAnsi="宋体"/>
                <w:color w:val="auto"/>
                <w:sz w:val="22"/>
                <w:szCs w:val="22"/>
                <w:highlight w:val="none"/>
              </w:rPr>
              <w:t>2</w:t>
            </w:r>
          </w:p>
        </w:tc>
        <w:tc>
          <w:tcPr>
            <w:tcW w:w="2490" w:type="dxa"/>
            <w:vAlign w:val="center"/>
          </w:tcPr>
          <w:p>
            <w:pPr>
              <w:pStyle w:val="13"/>
              <w:rPr>
                <w:rFonts w:hAnsi="宋体"/>
                <w:color w:val="auto"/>
                <w:sz w:val="22"/>
                <w:szCs w:val="22"/>
                <w:highlight w:val="none"/>
              </w:rPr>
            </w:pPr>
          </w:p>
        </w:tc>
        <w:tc>
          <w:tcPr>
            <w:tcW w:w="915" w:type="dxa"/>
            <w:vAlign w:val="center"/>
          </w:tcPr>
          <w:p>
            <w:pPr>
              <w:pStyle w:val="13"/>
              <w:spacing w:line="360" w:lineRule="auto"/>
              <w:rPr>
                <w:rFonts w:hAnsi="宋体"/>
                <w:b/>
                <w:bCs/>
                <w:color w:val="auto"/>
                <w:sz w:val="22"/>
                <w:szCs w:val="22"/>
                <w:highlight w:val="none"/>
              </w:rPr>
            </w:pPr>
          </w:p>
        </w:tc>
        <w:tc>
          <w:tcPr>
            <w:tcW w:w="1875" w:type="dxa"/>
            <w:vAlign w:val="center"/>
          </w:tcPr>
          <w:p>
            <w:pPr>
              <w:pStyle w:val="13"/>
              <w:spacing w:line="360" w:lineRule="auto"/>
              <w:rPr>
                <w:rFonts w:hAnsi="宋体"/>
                <w:b/>
                <w:bCs/>
                <w:color w:val="auto"/>
                <w:sz w:val="22"/>
                <w:szCs w:val="22"/>
                <w:highlight w:val="none"/>
              </w:rPr>
            </w:pPr>
          </w:p>
        </w:tc>
        <w:tc>
          <w:tcPr>
            <w:tcW w:w="495" w:type="dxa"/>
            <w:vAlign w:val="center"/>
          </w:tcPr>
          <w:p>
            <w:pPr>
              <w:pStyle w:val="13"/>
              <w:spacing w:line="360" w:lineRule="auto"/>
              <w:rPr>
                <w:rFonts w:hAnsi="宋体"/>
                <w:b/>
                <w:bCs/>
                <w:color w:val="auto"/>
                <w:sz w:val="22"/>
                <w:szCs w:val="22"/>
                <w:highlight w:val="none"/>
              </w:rPr>
            </w:pPr>
          </w:p>
        </w:tc>
        <w:tc>
          <w:tcPr>
            <w:tcW w:w="498" w:type="dxa"/>
            <w:vAlign w:val="center"/>
          </w:tcPr>
          <w:p>
            <w:pPr>
              <w:pStyle w:val="13"/>
              <w:spacing w:line="360" w:lineRule="auto"/>
              <w:rPr>
                <w:rFonts w:hAnsi="宋体"/>
                <w:b/>
                <w:bCs/>
                <w:color w:val="auto"/>
                <w:sz w:val="22"/>
                <w:szCs w:val="22"/>
                <w:highlight w:val="none"/>
              </w:rPr>
            </w:pPr>
          </w:p>
        </w:tc>
        <w:tc>
          <w:tcPr>
            <w:tcW w:w="1147" w:type="dxa"/>
          </w:tcPr>
          <w:p>
            <w:pPr>
              <w:pStyle w:val="13"/>
              <w:spacing w:line="360" w:lineRule="auto"/>
              <w:rPr>
                <w:rFonts w:hAnsi="宋体"/>
                <w:color w:val="auto"/>
                <w:sz w:val="22"/>
                <w:szCs w:val="22"/>
                <w:highlight w:val="none"/>
              </w:rPr>
            </w:pPr>
          </w:p>
        </w:tc>
        <w:tc>
          <w:tcPr>
            <w:tcW w:w="1123" w:type="dxa"/>
          </w:tcPr>
          <w:p>
            <w:pPr>
              <w:pStyle w:val="13"/>
              <w:spacing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89" w:type="dxa"/>
            <w:vAlign w:val="center"/>
          </w:tcPr>
          <w:p>
            <w:pPr>
              <w:pStyle w:val="13"/>
              <w:jc w:val="center"/>
              <w:rPr>
                <w:rFonts w:hAnsi="宋体"/>
                <w:color w:val="auto"/>
                <w:sz w:val="22"/>
                <w:szCs w:val="22"/>
                <w:highlight w:val="none"/>
              </w:rPr>
            </w:pPr>
            <w:r>
              <w:rPr>
                <w:rFonts w:hint="eastAsia" w:hAnsi="宋体"/>
                <w:color w:val="auto"/>
                <w:sz w:val="22"/>
                <w:szCs w:val="22"/>
                <w:highlight w:val="none"/>
              </w:rPr>
              <w:t>3</w:t>
            </w:r>
          </w:p>
        </w:tc>
        <w:tc>
          <w:tcPr>
            <w:tcW w:w="2490" w:type="dxa"/>
            <w:vAlign w:val="center"/>
          </w:tcPr>
          <w:p>
            <w:pPr>
              <w:pStyle w:val="13"/>
              <w:rPr>
                <w:rFonts w:hAnsi="宋体"/>
                <w:color w:val="auto"/>
                <w:sz w:val="22"/>
                <w:szCs w:val="22"/>
                <w:highlight w:val="none"/>
              </w:rPr>
            </w:pPr>
          </w:p>
        </w:tc>
        <w:tc>
          <w:tcPr>
            <w:tcW w:w="915" w:type="dxa"/>
            <w:vAlign w:val="center"/>
          </w:tcPr>
          <w:p>
            <w:pPr>
              <w:pStyle w:val="13"/>
              <w:spacing w:line="360" w:lineRule="auto"/>
              <w:rPr>
                <w:rFonts w:hAnsi="宋体"/>
                <w:b/>
                <w:bCs/>
                <w:color w:val="auto"/>
                <w:sz w:val="22"/>
                <w:szCs w:val="22"/>
                <w:highlight w:val="none"/>
              </w:rPr>
            </w:pPr>
          </w:p>
        </w:tc>
        <w:tc>
          <w:tcPr>
            <w:tcW w:w="1875" w:type="dxa"/>
            <w:vAlign w:val="center"/>
          </w:tcPr>
          <w:p>
            <w:pPr>
              <w:pStyle w:val="13"/>
              <w:spacing w:line="360" w:lineRule="auto"/>
              <w:rPr>
                <w:rFonts w:hAnsi="宋体"/>
                <w:b/>
                <w:bCs/>
                <w:color w:val="auto"/>
                <w:sz w:val="22"/>
                <w:szCs w:val="22"/>
                <w:highlight w:val="none"/>
              </w:rPr>
            </w:pPr>
          </w:p>
        </w:tc>
        <w:tc>
          <w:tcPr>
            <w:tcW w:w="495" w:type="dxa"/>
            <w:vAlign w:val="center"/>
          </w:tcPr>
          <w:p>
            <w:pPr>
              <w:pStyle w:val="13"/>
              <w:spacing w:line="360" w:lineRule="auto"/>
              <w:rPr>
                <w:rFonts w:hAnsi="宋体"/>
                <w:b/>
                <w:bCs/>
                <w:color w:val="auto"/>
                <w:sz w:val="22"/>
                <w:szCs w:val="22"/>
                <w:highlight w:val="none"/>
              </w:rPr>
            </w:pPr>
          </w:p>
        </w:tc>
        <w:tc>
          <w:tcPr>
            <w:tcW w:w="498" w:type="dxa"/>
            <w:vAlign w:val="center"/>
          </w:tcPr>
          <w:p>
            <w:pPr>
              <w:pStyle w:val="13"/>
              <w:spacing w:line="360" w:lineRule="auto"/>
              <w:rPr>
                <w:rFonts w:hAnsi="宋体"/>
                <w:b/>
                <w:bCs/>
                <w:color w:val="auto"/>
                <w:sz w:val="22"/>
                <w:szCs w:val="22"/>
                <w:highlight w:val="none"/>
              </w:rPr>
            </w:pPr>
          </w:p>
        </w:tc>
        <w:tc>
          <w:tcPr>
            <w:tcW w:w="1147" w:type="dxa"/>
          </w:tcPr>
          <w:p>
            <w:pPr>
              <w:pStyle w:val="13"/>
              <w:spacing w:line="360" w:lineRule="auto"/>
              <w:rPr>
                <w:rFonts w:hAnsi="宋体"/>
                <w:color w:val="auto"/>
                <w:sz w:val="22"/>
                <w:szCs w:val="22"/>
                <w:highlight w:val="none"/>
              </w:rPr>
            </w:pPr>
          </w:p>
        </w:tc>
        <w:tc>
          <w:tcPr>
            <w:tcW w:w="1123" w:type="dxa"/>
          </w:tcPr>
          <w:p>
            <w:pPr>
              <w:pStyle w:val="13"/>
              <w:spacing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9" w:type="dxa"/>
            <w:vAlign w:val="center"/>
          </w:tcPr>
          <w:p>
            <w:pPr>
              <w:pStyle w:val="13"/>
              <w:jc w:val="center"/>
              <w:rPr>
                <w:rFonts w:hAnsi="宋体"/>
                <w:color w:val="auto"/>
                <w:sz w:val="22"/>
                <w:szCs w:val="22"/>
                <w:highlight w:val="none"/>
              </w:rPr>
            </w:pPr>
            <w:r>
              <w:rPr>
                <w:rFonts w:hint="eastAsia" w:hAnsi="宋体"/>
                <w:color w:val="auto"/>
                <w:sz w:val="22"/>
                <w:szCs w:val="22"/>
                <w:highlight w:val="none"/>
              </w:rPr>
              <w:t>4</w:t>
            </w:r>
          </w:p>
        </w:tc>
        <w:tc>
          <w:tcPr>
            <w:tcW w:w="2490" w:type="dxa"/>
            <w:vAlign w:val="center"/>
          </w:tcPr>
          <w:p>
            <w:pPr>
              <w:pStyle w:val="13"/>
              <w:rPr>
                <w:rFonts w:hAnsi="宋体"/>
                <w:color w:val="auto"/>
                <w:sz w:val="22"/>
                <w:szCs w:val="22"/>
                <w:highlight w:val="none"/>
              </w:rPr>
            </w:pPr>
          </w:p>
        </w:tc>
        <w:tc>
          <w:tcPr>
            <w:tcW w:w="915" w:type="dxa"/>
            <w:vAlign w:val="center"/>
          </w:tcPr>
          <w:p>
            <w:pPr>
              <w:pStyle w:val="13"/>
              <w:spacing w:line="360" w:lineRule="auto"/>
              <w:jc w:val="center"/>
              <w:rPr>
                <w:rFonts w:hAnsi="宋体"/>
                <w:color w:val="auto"/>
                <w:sz w:val="22"/>
                <w:szCs w:val="22"/>
                <w:highlight w:val="none"/>
              </w:rPr>
            </w:pPr>
          </w:p>
        </w:tc>
        <w:tc>
          <w:tcPr>
            <w:tcW w:w="1875" w:type="dxa"/>
            <w:vAlign w:val="center"/>
          </w:tcPr>
          <w:p>
            <w:pPr>
              <w:pStyle w:val="13"/>
              <w:spacing w:line="360" w:lineRule="auto"/>
              <w:jc w:val="center"/>
              <w:rPr>
                <w:rFonts w:hAnsi="宋体"/>
                <w:color w:val="auto"/>
                <w:sz w:val="22"/>
                <w:szCs w:val="22"/>
                <w:highlight w:val="none"/>
              </w:rPr>
            </w:pPr>
          </w:p>
        </w:tc>
        <w:tc>
          <w:tcPr>
            <w:tcW w:w="495" w:type="dxa"/>
            <w:vAlign w:val="center"/>
          </w:tcPr>
          <w:p>
            <w:pPr>
              <w:pStyle w:val="13"/>
              <w:spacing w:line="360" w:lineRule="auto"/>
              <w:jc w:val="center"/>
              <w:rPr>
                <w:rFonts w:hAnsi="宋体"/>
                <w:color w:val="auto"/>
                <w:sz w:val="22"/>
                <w:szCs w:val="22"/>
                <w:highlight w:val="none"/>
              </w:rPr>
            </w:pPr>
          </w:p>
        </w:tc>
        <w:tc>
          <w:tcPr>
            <w:tcW w:w="498" w:type="dxa"/>
            <w:vAlign w:val="center"/>
          </w:tcPr>
          <w:p>
            <w:pPr>
              <w:pStyle w:val="13"/>
              <w:spacing w:line="360" w:lineRule="auto"/>
              <w:jc w:val="center"/>
              <w:rPr>
                <w:rFonts w:hAnsi="宋体"/>
                <w:color w:val="auto"/>
                <w:sz w:val="22"/>
                <w:szCs w:val="22"/>
                <w:highlight w:val="none"/>
              </w:rPr>
            </w:pPr>
          </w:p>
        </w:tc>
        <w:tc>
          <w:tcPr>
            <w:tcW w:w="1147" w:type="dxa"/>
          </w:tcPr>
          <w:p>
            <w:pPr>
              <w:pStyle w:val="13"/>
              <w:spacing w:line="360" w:lineRule="auto"/>
              <w:rPr>
                <w:rFonts w:hAnsi="宋体"/>
                <w:color w:val="auto"/>
                <w:sz w:val="22"/>
                <w:szCs w:val="22"/>
                <w:highlight w:val="none"/>
              </w:rPr>
            </w:pPr>
          </w:p>
        </w:tc>
        <w:tc>
          <w:tcPr>
            <w:tcW w:w="1123" w:type="dxa"/>
          </w:tcPr>
          <w:p>
            <w:pPr>
              <w:pStyle w:val="13"/>
              <w:spacing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9" w:type="dxa"/>
            <w:vAlign w:val="center"/>
          </w:tcPr>
          <w:p>
            <w:pPr>
              <w:pStyle w:val="13"/>
              <w:spacing w:line="360" w:lineRule="auto"/>
              <w:jc w:val="center"/>
              <w:rPr>
                <w:rFonts w:hAnsi="宋体"/>
                <w:color w:val="auto"/>
                <w:sz w:val="22"/>
                <w:szCs w:val="22"/>
                <w:highlight w:val="none"/>
              </w:rPr>
            </w:pPr>
            <w:r>
              <w:rPr>
                <w:rFonts w:hint="eastAsia" w:hAnsi="宋体"/>
                <w:color w:val="auto"/>
                <w:sz w:val="22"/>
                <w:szCs w:val="22"/>
                <w:highlight w:val="none"/>
              </w:rPr>
              <w:t>5</w:t>
            </w:r>
          </w:p>
        </w:tc>
        <w:tc>
          <w:tcPr>
            <w:tcW w:w="2490" w:type="dxa"/>
            <w:vAlign w:val="center"/>
          </w:tcPr>
          <w:p>
            <w:pPr>
              <w:pStyle w:val="13"/>
              <w:spacing w:line="360" w:lineRule="auto"/>
              <w:rPr>
                <w:rFonts w:hAnsi="宋体"/>
                <w:color w:val="auto"/>
                <w:sz w:val="22"/>
                <w:szCs w:val="22"/>
                <w:highlight w:val="none"/>
              </w:rPr>
            </w:pPr>
          </w:p>
        </w:tc>
        <w:tc>
          <w:tcPr>
            <w:tcW w:w="915" w:type="dxa"/>
            <w:vAlign w:val="center"/>
          </w:tcPr>
          <w:p>
            <w:pPr>
              <w:jc w:val="center"/>
              <w:rPr>
                <w:rFonts w:ascii="宋体" w:hAnsi="宋体" w:cs="宋体"/>
                <w:color w:val="auto"/>
                <w:sz w:val="22"/>
                <w:szCs w:val="22"/>
                <w:highlight w:val="none"/>
              </w:rPr>
            </w:pPr>
          </w:p>
        </w:tc>
        <w:tc>
          <w:tcPr>
            <w:tcW w:w="1875" w:type="dxa"/>
            <w:vAlign w:val="center"/>
          </w:tcPr>
          <w:p>
            <w:pPr>
              <w:jc w:val="center"/>
              <w:rPr>
                <w:rFonts w:ascii="宋体" w:hAnsi="宋体" w:cs="宋体"/>
                <w:color w:val="auto"/>
                <w:sz w:val="22"/>
                <w:szCs w:val="22"/>
                <w:highlight w:val="none"/>
              </w:rPr>
            </w:pPr>
          </w:p>
        </w:tc>
        <w:tc>
          <w:tcPr>
            <w:tcW w:w="495" w:type="dxa"/>
            <w:vAlign w:val="center"/>
          </w:tcPr>
          <w:p>
            <w:pPr>
              <w:pStyle w:val="13"/>
              <w:spacing w:line="360" w:lineRule="auto"/>
              <w:jc w:val="center"/>
              <w:rPr>
                <w:rFonts w:hAnsi="宋体"/>
                <w:color w:val="auto"/>
                <w:sz w:val="22"/>
                <w:szCs w:val="22"/>
                <w:highlight w:val="none"/>
              </w:rPr>
            </w:pPr>
          </w:p>
        </w:tc>
        <w:tc>
          <w:tcPr>
            <w:tcW w:w="498" w:type="dxa"/>
            <w:vAlign w:val="center"/>
          </w:tcPr>
          <w:p>
            <w:pPr>
              <w:pStyle w:val="13"/>
              <w:spacing w:line="360" w:lineRule="auto"/>
              <w:jc w:val="center"/>
              <w:rPr>
                <w:rFonts w:hAnsi="宋体"/>
                <w:color w:val="auto"/>
                <w:sz w:val="22"/>
                <w:szCs w:val="22"/>
                <w:highlight w:val="none"/>
              </w:rPr>
            </w:pPr>
          </w:p>
        </w:tc>
        <w:tc>
          <w:tcPr>
            <w:tcW w:w="1147" w:type="dxa"/>
          </w:tcPr>
          <w:p>
            <w:pPr>
              <w:pStyle w:val="13"/>
              <w:spacing w:line="360" w:lineRule="auto"/>
              <w:rPr>
                <w:rFonts w:hAnsi="宋体"/>
                <w:color w:val="auto"/>
                <w:sz w:val="22"/>
                <w:szCs w:val="22"/>
                <w:highlight w:val="none"/>
              </w:rPr>
            </w:pPr>
          </w:p>
        </w:tc>
        <w:tc>
          <w:tcPr>
            <w:tcW w:w="1123" w:type="dxa"/>
          </w:tcPr>
          <w:p>
            <w:pPr>
              <w:pStyle w:val="13"/>
              <w:spacing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9" w:type="dxa"/>
          </w:tcPr>
          <w:p>
            <w:pPr>
              <w:pStyle w:val="13"/>
              <w:spacing w:line="360" w:lineRule="auto"/>
              <w:rPr>
                <w:rFonts w:hAnsi="宋体"/>
                <w:color w:val="auto"/>
                <w:sz w:val="22"/>
                <w:szCs w:val="22"/>
                <w:highlight w:val="none"/>
              </w:rPr>
            </w:pPr>
          </w:p>
        </w:tc>
        <w:tc>
          <w:tcPr>
            <w:tcW w:w="2490" w:type="dxa"/>
            <w:vAlign w:val="center"/>
          </w:tcPr>
          <w:p>
            <w:pPr>
              <w:pStyle w:val="13"/>
              <w:spacing w:line="360" w:lineRule="auto"/>
              <w:jc w:val="center"/>
              <w:rPr>
                <w:rFonts w:hAnsi="宋体"/>
                <w:color w:val="auto"/>
                <w:sz w:val="22"/>
                <w:szCs w:val="22"/>
                <w:highlight w:val="none"/>
              </w:rPr>
            </w:pPr>
            <w:r>
              <w:rPr>
                <w:rFonts w:hint="eastAsia" w:hAnsi="宋体"/>
                <w:color w:val="auto"/>
                <w:sz w:val="22"/>
                <w:szCs w:val="22"/>
                <w:highlight w:val="none"/>
              </w:rPr>
              <w:t>……</w:t>
            </w:r>
          </w:p>
        </w:tc>
        <w:tc>
          <w:tcPr>
            <w:tcW w:w="915" w:type="dxa"/>
            <w:vAlign w:val="center"/>
          </w:tcPr>
          <w:p>
            <w:pPr>
              <w:jc w:val="center"/>
              <w:rPr>
                <w:rFonts w:ascii="宋体" w:hAnsi="宋体" w:cs="宋体"/>
                <w:color w:val="auto"/>
                <w:sz w:val="22"/>
                <w:szCs w:val="22"/>
                <w:highlight w:val="none"/>
              </w:rPr>
            </w:pPr>
          </w:p>
        </w:tc>
        <w:tc>
          <w:tcPr>
            <w:tcW w:w="1875" w:type="dxa"/>
            <w:vAlign w:val="center"/>
          </w:tcPr>
          <w:p>
            <w:pPr>
              <w:jc w:val="center"/>
              <w:rPr>
                <w:rFonts w:ascii="宋体" w:hAnsi="宋体" w:cs="宋体"/>
                <w:color w:val="auto"/>
                <w:sz w:val="22"/>
                <w:szCs w:val="22"/>
                <w:highlight w:val="none"/>
              </w:rPr>
            </w:pPr>
          </w:p>
        </w:tc>
        <w:tc>
          <w:tcPr>
            <w:tcW w:w="495" w:type="dxa"/>
            <w:vAlign w:val="center"/>
          </w:tcPr>
          <w:p>
            <w:pPr>
              <w:pStyle w:val="13"/>
              <w:spacing w:line="360" w:lineRule="auto"/>
              <w:jc w:val="center"/>
              <w:rPr>
                <w:rFonts w:hAnsi="宋体"/>
                <w:color w:val="auto"/>
                <w:sz w:val="22"/>
                <w:szCs w:val="22"/>
                <w:highlight w:val="none"/>
              </w:rPr>
            </w:pPr>
          </w:p>
        </w:tc>
        <w:tc>
          <w:tcPr>
            <w:tcW w:w="498" w:type="dxa"/>
            <w:vAlign w:val="center"/>
          </w:tcPr>
          <w:p>
            <w:pPr>
              <w:pStyle w:val="13"/>
              <w:spacing w:line="360" w:lineRule="auto"/>
              <w:jc w:val="center"/>
              <w:rPr>
                <w:rFonts w:hAnsi="宋体"/>
                <w:color w:val="auto"/>
                <w:sz w:val="22"/>
                <w:szCs w:val="22"/>
                <w:highlight w:val="none"/>
              </w:rPr>
            </w:pPr>
          </w:p>
        </w:tc>
        <w:tc>
          <w:tcPr>
            <w:tcW w:w="1147" w:type="dxa"/>
          </w:tcPr>
          <w:p>
            <w:pPr>
              <w:pStyle w:val="13"/>
              <w:spacing w:line="360" w:lineRule="auto"/>
              <w:rPr>
                <w:rFonts w:hAnsi="宋体"/>
                <w:color w:val="auto"/>
                <w:sz w:val="22"/>
                <w:szCs w:val="22"/>
                <w:highlight w:val="none"/>
              </w:rPr>
            </w:pPr>
          </w:p>
        </w:tc>
        <w:tc>
          <w:tcPr>
            <w:tcW w:w="1123" w:type="dxa"/>
          </w:tcPr>
          <w:p>
            <w:pPr>
              <w:pStyle w:val="13"/>
              <w:spacing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2979" w:type="dxa"/>
            <w:gridSpan w:val="2"/>
            <w:vAlign w:val="center"/>
          </w:tcPr>
          <w:p>
            <w:pPr>
              <w:pStyle w:val="13"/>
              <w:spacing w:line="360" w:lineRule="auto"/>
              <w:jc w:val="center"/>
              <w:rPr>
                <w:rFonts w:hAnsi="宋体"/>
                <w:color w:val="auto"/>
                <w:sz w:val="22"/>
                <w:szCs w:val="22"/>
                <w:highlight w:val="none"/>
              </w:rPr>
            </w:pPr>
            <w:r>
              <w:rPr>
                <w:rFonts w:hint="eastAsia" w:hAnsi="宋体"/>
                <w:color w:val="auto"/>
                <w:sz w:val="22"/>
                <w:szCs w:val="22"/>
                <w:highlight w:val="none"/>
              </w:rPr>
              <w:t>投标总价</w:t>
            </w:r>
          </w:p>
        </w:tc>
        <w:tc>
          <w:tcPr>
            <w:tcW w:w="6053" w:type="dxa"/>
            <w:gridSpan w:val="6"/>
            <w:vAlign w:val="center"/>
          </w:tcPr>
          <w:p>
            <w:pPr>
              <w:pStyle w:val="13"/>
              <w:spacing w:line="360" w:lineRule="auto"/>
              <w:jc w:val="center"/>
              <w:rPr>
                <w:rFonts w:hAnsi="宋体"/>
                <w:color w:val="auto"/>
                <w:sz w:val="22"/>
                <w:szCs w:val="22"/>
                <w:highlight w:val="none"/>
              </w:rPr>
            </w:pPr>
            <w:r>
              <w:rPr>
                <w:rFonts w:hint="eastAsia" w:hAnsi="宋体"/>
                <w:color w:val="auto"/>
                <w:sz w:val="22"/>
                <w:szCs w:val="22"/>
                <w:highlight w:val="none"/>
              </w:rPr>
              <w:t>大写：　　　　                元（小写：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5" w:hRule="atLeast"/>
          <w:jc w:val="center"/>
        </w:trPr>
        <w:tc>
          <w:tcPr>
            <w:tcW w:w="9032" w:type="dxa"/>
            <w:gridSpan w:val="8"/>
            <w:vAlign w:val="center"/>
          </w:tcPr>
          <w:p>
            <w:pPr>
              <w:pStyle w:val="13"/>
              <w:ind w:firstLine="440" w:firstLineChars="200"/>
              <w:rPr>
                <w:rFonts w:hAnsi="宋体"/>
                <w:color w:val="auto"/>
                <w:sz w:val="22"/>
                <w:szCs w:val="22"/>
                <w:highlight w:val="none"/>
              </w:rPr>
            </w:pPr>
            <w:r>
              <w:rPr>
                <w:rFonts w:hint="eastAsia" w:hAnsi="宋体"/>
                <w:b w:val="0"/>
                <w:bCs w:val="0"/>
                <w:color w:val="auto"/>
                <w:sz w:val="22"/>
                <w:szCs w:val="22"/>
                <w:highlight w:val="none"/>
              </w:rPr>
              <w:t>本次报价应包含项目所需全部服务，不得缺漏，是履行合同的最终价格（包括</w:t>
            </w:r>
            <w:r>
              <w:rPr>
                <w:rFonts w:hint="eastAsia" w:hAnsi="宋体"/>
                <w:b w:val="0"/>
                <w:bCs w:val="0"/>
                <w:color w:val="auto"/>
                <w:sz w:val="22"/>
                <w:szCs w:val="22"/>
                <w:highlight w:val="none"/>
                <w:lang w:val="en-US" w:eastAsia="zh-CN"/>
              </w:rPr>
              <w:t>但不限于</w:t>
            </w:r>
            <w:r>
              <w:rPr>
                <w:rFonts w:hint="eastAsia" w:hAnsi="宋体"/>
                <w:b w:val="0"/>
                <w:bCs w:val="0"/>
                <w:color w:val="auto"/>
                <w:sz w:val="22"/>
                <w:szCs w:val="22"/>
                <w:highlight w:val="none"/>
              </w:rPr>
              <w:t>提供服务所需的一切人员工资、奖金、法定节假日双休日加班费、夜餐费、各种社会保险、食宿与交通、服装、安全、工具及管理费用、税费、利润等相关费用，以及其它报价时应综合考虑日后属政策性调整等因素造成的价格变动）。投标报价为供应商所能承受的最低、最终报价，供应商不得再要求追加任何费用。</w:t>
            </w:r>
          </w:p>
        </w:tc>
      </w:tr>
    </w:tbl>
    <w:p>
      <w:pPr>
        <w:pStyle w:val="13"/>
        <w:spacing w:line="360" w:lineRule="auto"/>
        <w:ind w:firstLine="480" w:firstLineChars="200"/>
        <w:rPr>
          <w:rFonts w:hAnsi="宋体" w:cs="Times New Roman"/>
          <w:color w:val="auto"/>
          <w:sz w:val="24"/>
          <w:szCs w:val="24"/>
          <w:highlight w:val="none"/>
        </w:rPr>
      </w:pPr>
      <w:r>
        <w:rPr>
          <w:rFonts w:hint="eastAsia" w:hAnsi="宋体"/>
          <w:color w:val="auto"/>
          <w:sz w:val="24"/>
          <w:szCs w:val="24"/>
          <w:highlight w:val="none"/>
        </w:rPr>
        <w:t>注：内容可根据供应商实际情况自行调整。</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60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bookmarkEnd w:id="102"/>
    </w:p>
    <w:p>
      <w:pPr>
        <w:rPr>
          <w:rFonts w:ascii="宋体" w:hAnsi="宋体" w:cs="宋体"/>
          <w:color w:val="auto"/>
          <w:sz w:val="24"/>
          <w:szCs w:val="24"/>
          <w:highlight w:val="none"/>
        </w:rPr>
      </w:pPr>
    </w:p>
    <w:bookmarkEnd w:id="1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39</w:t>
    </w:r>
    <w:r>
      <w:rPr>
        <w:lang w:val="zh-CN"/>
      </w:rP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EnclosedCircleChinese"/>
      <w:suff w:val="nothing"/>
      <w:lvlText w:val="%1　"/>
      <w:lvlJc w:val="left"/>
      <w:pPr>
        <w:ind w:firstLine="1134"/>
      </w:pPr>
      <w:rPr>
        <w:rFonts w:hint="eastAsia"/>
      </w:rPr>
    </w:lvl>
  </w:abstractNum>
  <w:abstractNum w:abstractNumId="3">
    <w:nsid w:val="00000004"/>
    <w:multiLevelType w:val="singleLevel"/>
    <w:tmpl w:val="00000004"/>
    <w:lvl w:ilvl="0" w:tentative="0">
      <w:start w:val="1"/>
      <w:numFmt w:val="decimal"/>
      <w:suff w:val="nothing"/>
      <w:lvlText w:val="%1．"/>
      <w:lvlJc w:val="left"/>
      <w:pPr>
        <w:ind w:firstLine="397"/>
      </w:pPr>
      <w:rPr>
        <w:rFonts w:hint="default"/>
      </w:rPr>
    </w:lvl>
  </w:abstractNum>
  <w:abstractNum w:abstractNumId="4">
    <w:nsid w:val="00000005"/>
    <w:multiLevelType w:val="singleLevel"/>
    <w:tmpl w:val="00000005"/>
    <w:lvl w:ilvl="0" w:tentative="0">
      <w:start w:val="1"/>
      <w:numFmt w:val="chineseCounting"/>
      <w:suff w:val="nothing"/>
      <w:lvlText w:val="%1、"/>
      <w:lvlJc w:val="left"/>
      <w:rPr>
        <w:rFonts w:hint="eastAsia"/>
      </w:rPr>
    </w:lvl>
  </w:abstractNum>
  <w:abstractNum w:abstractNumId="5">
    <w:nsid w:val="00000006"/>
    <w:multiLevelType w:val="singleLevel"/>
    <w:tmpl w:val="0000000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6">
    <w:nsid w:val="00000007"/>
    <w:multiLevelType w:val="singleLevel"/>
    <w:tmpl w:val="00000007"/>
    <w:lvl w:ilvl="0" w:tentative="0">
      <w:start w:val="1"/>
      <w:numFmt w:val="decimalEnclosedCircleChinese"/>
      <w:suff w:val="nothing"/>
      <w:lvlText w:val="%1　"/>
      <w:lvlJc w:val="left"/>
      <w:pPr>
        <w:ind w:firstLine="397"/>
      </w:pPr>
      <w:rPr>
        <w:rFonts w:hint="eastAsia"/>
      </w:rPr>
    </w:lvl>
  </w:abstractNum>
  <w:abstractNum w:abstractNumId="7">
    <w:nsid w:val="00000008"/>
    <w:multiLevelType w:val="singleLevel"/>
    <w:tmpl w:val="00000008"/>
    <w:lvl w:ilvl="0" w:tentative="0">
      <w:start w:val="1"/>
      <w:numFmt w:val="decimalEnclosedCircleChinese"/>
      <w:suff w:val="nothing"/>
      <w:lvlText w:val="%1　"/>
      <w:lvlJc w:val="left"/>
      <w:pPr>
        <w:ind w:firstLine="397"/>
      </w:pPr>
      <w:rPr>
        <w:rFonts w:hint="eastAsia"/>
      </w:rPr>
    </w:lvl>
  </w:abstractNum>
  <w:abstractNum w:abstractNumId="8">
    <w:nsid w:val="00000009"/>
    <w:multiLevelType w:val="singleLevel"/>
    <w:tmpl w:val="00000009"/>
    <w:lvl w:ilvl="0" w:tentative="0">
      <w:start w:val="1"/>
      <w:numFmt w:val="decimalEnclosedCircleChinese"/>
      <w:suff w:val="nothing"/>
      <w:lvlText w:val="%1　"/>
      <w:lvlJc w:val="left"/>
      <w:pPr>
        <w:ind w:firstLine="1134"/>
      </w:pPr>
      <w:rPr>
        <w:rFonts w:hint="eastAsia"/>
      </w:rPr>
    </w:lvl>
  </w:abstractNum>
  <w:abstractNum w:abstractNumId="9">
    <w:nsid w:val="0000000A"/>
    <w:multiLevelType w:val="singleLevel"/>
    <w:tmpl w:val="0000000A"/>
    <w:lvl w:ilvl="0" w:tentative="0">
      <w:start w:val="4"/>
      <w:numFmt w:val="chineseCounting"/>
      <w:suff w:val="nothing"/>
      <w:lvlText w:val="%1、"/>
      <w:lvlJc w:val="left"/>
      <w:rPr>
        <w:rFonts w:hint="eastAsia"/>
      </w:rPr>
    </w:lvl>
  </w:abstractNum>
  <w:abstractNum w:abstractNumId="10">
    <w:nsid w:val="0000000B"/>
    <w:multiLevelType w:val="singleLevel"/>
    <w:tmpl w:val="0000000B"/>
    <w:lvl w:ilvl="0" w:tentative="0">
      <w:start w:val="1"/>
      <w:numFmt w:val="decimalEnclosedCircleChinese"/>
      <w:suff w:val="nothing"/>
      <w:lvlText w:val="%1　"/>
      <w:lvlJc w:val="left"/>
      <w:pPr>
        <w:ind w:firstLine="1134"/>
      </w:pPr>
      <w:rPr>
        <w:rFonts w:hint="eastAsia"/>
      </w:rPr>
    </w:lvl>
  </w:abstractNum>
  <w:abstractNum w:abstractNumId="11">
    <w:nsid w:val="0000000C"/>
    <w:multiLevelType w:val="multilevel"/>
    <w:tmpl w:val="0000000C"/>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2">
    <w:nsid w:val="0000000D"/>
    <w:multiLevelType w:val="singleLevel"/>
    <w:tmpl w:val="0000000D"/>
    <w:lvl w:ilvl="0" w:tentative="0">
      <w:start w:val="1"/>
      <w:numFmt w:val="decimalEnclosedCircleChinese"/>
      <w:suff w:val="nothing"/>
      <w:lvlText w:val="%1　"/>
      <w:lvlJc w:val="left"/>
      <w:pPr>
        <w:ind w:firstLine="1134"/>
      </w:pPr>
      <w:rPr>
        <w:rFonts w:hint="eastAsia"/>
      </w:rPr>
    </w:lvl>
  </w:abstractNum>
  <w:abstractNum w:abstractNumId="13">
    <w:nsid w:val="0000000E"/>
    <w:multiLevelType w:val="singleLevel"/>
    <w:tmpl w:val="0000000E"/>
    <w:lvl w:ilvl="0" w:tentative="0">
      <w:start w:val="1"/>
      <w:numFmt w:val="decimal"/>
      <w:suff w:val="nothing"/>
      <w:lvlText w:val="%1．"/>
      <w:lvlJc w:val="left"/>
      <w:pPr>
        <w:ind w:firstLine="397"/>
      </w:pPr>
      <w:rPr>
        <w:rFonts w:hint="default"/>
      </w:rPr>
    </w:lvl>
  </w:abstractNum>
  <w:abstractNum w:abstractNumId="14">
    <w:nsid w:val="0000000F"/>
    <w:multiLevelType w:val="singleLevel"/>
    <w:tmpl w:val="0000000F"/>
    <w:lvl w:ilvl="0" w:tentative="0">
      <w:start w:val="1"/>
      <w:numFmt w:val="decimal"/>
      <w:suff w:val="nothing"/>
      <w:lvlText w:val="%1．"/>
      <w:lvlJc w:val="left"/>
      <w:pPr>
        <w:ind w:firstLine="397"/>
      </w:pPr>
      <w:rPr>
        <w:rFonts w:hint="default"/>
      </w:rPr>
    </w:lvl>
  </w:abstractNum>
  <w:abstractNum w:abstractNumId="15">
    <w:nsid w:val="3E773528"/>
    <w:multiLevelType w:val="singleLevel"/>
    <w:tmpl w:val="3E773528"/>
    <w:lvl w:ilvl="0" w:tentative="0">
      <w:start w:val="1"/>
      <w:numFmt w:val="decimal"/>
      <w:suff w:val="nothing"/>
      <w:lvlText w:val="%1、"/>
      <w:lvlJc w:val="left"/>
    </w:lvl>
  </w:abstractNum>
  <w:abstractNum w:abstractNumId="16">
    <w:nsid w:val="4B664850"/>
    <w:multiLevelType w:val="singleLevel"/>
    <w:tmpl w:val="4B664850"/>
    <w:lvl w:ilvl="0" w:tentative="0">
      <w:start w:val="1"/>
      <w:numFmt w:val="decimal"/>
      <w:suff w:val="nothing"/>
      <w:lvlText w:val="（%1）"/>
      <w:lvlJc w:val="left"/>
    </w:lvl>
  </w:abstractNum>
  <w:num w:numId="1">
    <w:abstractNumId w:val="11"/>
  </w:num>
  <w:num w:numId="2">
    <w:abstractNumId w:val="3"/>
  </w:num>
  <w:num w:numId="3">
    <w:abstractNumId w:val="13"/>
  </w:num>
  <w:num w:numId="4">
    <w:abstractNumId w:val="6"/>
  </w:num>
  <w:num w:numId="5">
    <w:abstractNumId w:val="14"/>
  </w:num>
  <w:num w:numId="6">
    <w:abstractNumId w:val="7"/>
  </w:num>
  <w:num w:numId="7">
    <w:abstractNumId w:val="4"/>
  </w:num>
  <w:num w:numId="8">
    <w:abstractNumId w:val="5"/>
  </w:num>
  <w:num w:numId="9">
    <w:abstractNumId w:val="12"/>
  </w:num>
  <w:num w:numId="10">
    <w:abstractNumId w:val="10"/>
  </w:num>
  <w:num w:numId="11">
    <w:abstractNumId w:val="2"/>
  </w:num>
  <w:num w:numId="12">
    <w:abstractNumId w:val="0"/>
  </w:num>
  <w:num w:numId="13">
    <w:abstractNumId w:val="8"/>
  </w:num>
  <w:num w:numId="14">
    <w:abstractNumId w:val="15"/>
  </w:num>
  <w:num w:numId="15">
    <w:abstractNumId w:val="1"/>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oNotHyphenateCaps/>
  <w:drawingGridHorizontalSpacing w:val="10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lYWZmZGFmYmVhODdhMTc5OTRiNzc0MWQwMGQwMjAifQ=="/>
  </w:docVars>
  <w:rsids>
    <w:rsidRoot w:val="009238AE"/>
    <w:rsid w:val="00005CCA"/>
    <w:rsid w:val="000157CD"/>
    <w:rsid w:val="00024507"/>
    <w:rsid w:val="00024E8A"/>
    <w:rsid w:val="00024ECA"/>
    <w:rsid w:val="00026595"/>
    <w:rsid w:val="00026DC4"/>
    <w:rsid w:val="00030FD6"/>
    <w:rsid w:val="000313BA"/>
    <w:rsid w:val="00036886"/>
    <w:rsid w:val="00041736"/>
    <w:rsid w:val="00041A10"/>
    <w:rsid w:val="00051739"/>
    <w:rsid w:val="0005713A"/>
    <w:rsid w:val="0006152D"/>
    <w:rsid w:val="00062334"/>
    <w:rsid w:val="00062BF2"/>
    <w:rsid w:val="0006618E"/>
    <w:rsid w:val="00071F20"/>
    <w:rsid w:val="0007513F"/>
    <w:rsid w:val="00076710"/>
    <w:rsid w:val="00082105"/>
    <w:rsid w:val="00091EB6"/>
    <w:rsid w:val="00092BDD"/>
    <w:rsid w:val="00096C0E"/>
    <w:rsid w:val="000A118A"/>
    <w:rsid w:val="000A3459"/>
    <w:rsid w:val="000A46A4"/>
    <w:rsid w:val="000A4C3F"/>
    <w:rsid w:val="000B339D"/>
    <w:rsid w:val="000C004C"/>
    <w:rsid w:val="000C1A76"/>
    <w:rsid w:val="000C63B7"/>
    <w:rsid w:val="000D46F5"/>
    <w:rsid w:val="000E0D44"/>
    <w:rsid w:val="000E253D"/>
    <w:rsid w:val="000E69B6"/>
    <w:rsid w:val="000E7F38"/>
    <w:rsid w:val="00106B3E"/>
    <w:rsid w:val="00115B85"/>
    <w:rsid w:val="0011683A"/>
    <w:rsid w:val="001218FF"/>
    <w:rsid w:val="00130D40"/>
    <w:rsid w:val="00132149"/>
    <w:rsid w:val="00142C14"/>
    <w:rsid w:val="00142CAD"/>
    <w:rsid w:val="00152CB5"/>
    <w:rsid w:val="0015334C"/>
    <w:rsid w:val="001547FF"/>
    <w:rsid w:val="0015494C"/>
    <w:rsid w:val="001578A4"/>
    <w:rsid w:val="00171D7D"/>
    <w:rsid w:val="00176DDD"/>
    <w:rsid w:val="00177BDC"/>
    <w:rsid w:val="00183914"/>
    <w:rsid w:val="00186A68"/>
    <w:rsid w:val="00186B03"/>
    <w:rsid w:val="00190420"/>
    <w:rsid w:val="00192748"/>
    <w:rsid w:val="00197F2A"/>
    <w:rsid w:val="001A43A1"/>
    <w:rsid w:val="001A57BF"/>
    <w:rsid w:val="001A5E28"/>
    <w:rsid w:val="001B222D"/>
    <w:rsid w:val="001B3190"/>
    <w:rsid w:val="001B4B3C"/>
    <w:rsid w:val="001B618B"/>
    <w:rsid w:val="001C1B73"/>
    <w:rsid w:val="001C2FB8"/>
    <w:rsid w:val="001C35BB"/>
    <w:rsid w:val="001C77F1"/>
    <w:rsid w:val="001D4A49"/>
    <w:rsid w:val="001D4E38"/>
    <w:rsid w:val="001D6368"/>
    <w:rsid w:val="001D674D"/>
    <w:rsid w:val="001D70B9"/>
    <w:rsid w:val="001E5104"/>
    <w:rsid w:val="001E6622"/>
    <w:rsid w:val="001F1C12"/>
    <w:rsid w:val="001F4AF4"/>
    <w:rsid w:val="0020596C"/>
    <w:rsid w:val="0022241D"/>
    <w:rsid w:val="002331CF"/>
    <w:rsid w:val="0023726A"/>
    <w:rsid w:val="00241844"/>
    <w:rsid w:val="00243B6F"/>
    <w:rsid w:val="002459D0"/>
    <w:rsid w:val="00247556"/>
    <w:rsid w:val="00250B52"/>
    <w:rsid w:val="00250CA0"/>
    <w:rsid w:val="002541C7"/>
    <w:rsid w:val="00255095"/>
    <w:rsid w:val="00261278"/>
    <w:rsid w:val="00261C42"/>
    <w:rsid w:val="00264A79"/>
    <w:rsid w:val="002656BA"/>
    <w:rsid w:val="00265E16"/>
    <w:rsid w:val="00267113"/>
    <w:rsid w:val="002804FD"/>
    <w:rsid w:val="00280867"/>
    <w:rsid w:val="00296069"/>
    <w:rsid w:val="002A2234"/>
    <w:rsid w:val="002A2B0F"/>
    <w:rsid w:val="002A6354"/>
    <w:rsid w:val="002B1647"/>
    <w:rsid w:val="002B72B1"/>
    <w:rsid w:val="002C1B94"/>
    <w:rsid w:val="002C2755"/>
    <w:rsid w:val="002C5AC8"/>
    <w:rsid w:val="002D1995"/>
    <w:rsid w:val="002D5D18"/>
    <w:rsid w:val="002E731C"/>
    <w:rsid w:val="002E7F96"/>
    <w:rsid w:val="002F33DF"/>
    <w:rsid w:val="002F42FF"/>
    <w:rsid w:val="002F52D8"/>
    <w:rsid w:val="002F6CDB"/>
    <w:rsid w:val="00300F62"/>
    <w:rsid w:val="00302E87"/>
    <w:rsid w:val="003061D8"/>
    <w:rsid w:val="00307951"/>
    <w:rsid w:val="00321E81"/>
    <w:rsid w:val="003227CC"/>
    <w:rsid w:val="00330D2A"/>
    <w:rsid w:val="003312D4"/>
    <w:rsid w:val="00334E09"/>
    <w:rsid w:val="0034749B"/>
    <w:rsid w:val="00350291"/>
    <w:rsid w:val="003543C5"/>
    <w:rsid w:val="00356F08"/>
    <w:rsid w:val="00365DAE"/>
    <w:rsid w:val="00370C7E"/>
    <w:rsid w:val="00383542"/>
    <w:rsid w:val="003837CC"/>
    <w:rsid w:val="00394814"/>
    <w:rsid w:val="00397702"/>
    <w:rsid w:val="003A688A"/>
    <w:rsid w:val="003B090C"/>
    <w:rsid w:val="003B4319"/>
    <w:rsid w:val="003C31D7"/>
    <w:rsid w:val="003D2FD6"/>
    <w:rsid w:val="003E3CD6"/>
    <w:rsid w:val="003E4214"/>
    <w:rsid w:val="003E4EB9"/>
    <w:rsid w:val="003E5A8D"/>
    <w:rsid w:val="003E703F"/>
    <w:rsid w:val="003F10B6"/>
    <w:rsid w:val="003F36E9"/>
    <w:rsid w:val="003F5C45"/>
    <w:rsid w:val="0040188E"/>
    <w:rsid w:val="0040441F"/>
    <w:rsid w:val="00421375"/>
    <w:rsid w:val="004228A6"/>
    <w:rsid w:val="004231F5"/>
    <w:rsid w:val="00424FC2"/>
    <w:rsid w:val="00425FF1"/>
    <w:rsid w:val="0042772E"/>
    <w:rsid w:val="00433044"/>
    <w:rsid w:val="004331F6"/>
    <w:rsid w:val="00433B17"/>
    <w:rsid w:val="00436923"/>
    <w:rsid w:val="00440CC6"/>
    <w:rsid w:val="004432EE"/>
    <w:rsid w:val="0044577A"/>
    <w:rsid w:val="004501E8"/>
    <w:rsid w:val="00462D08"/>
    <w:rsid w:val="00466845"/>
    <w:rsid w:val="00466F1F"/>
    <w:rsid w:val="004702B8"/>
    <w:rsid w:val="00474979"/>
    <w:rsid w:val="0047509E"/>
    <w:rsid w:val="004762C8"/>
    <w:rsid w:val="0047670C"/>
    <w:rsid w:val="0047748A"/>
    <w:rsid w:val="004778D1"/>
    <w:rsid w:val="00490661"/>
    <w:rsid w:val="00492769"/>
    <w:rsid w:val="0049298E"/>
    <w:rsid w:val="004A048B"/>
    <w:rsid w:val="004A1B96"/>
    <w:rsid w:val="004A6DF1"/>
    <w:rsid w:val="004A7027"/>
    <w:rsid w:val="004A7398"/>
    <w:rsid w:val="004A7940"/>
    <w:rsid w:val="004B289C"/>
    <w:rsid w:val="004B290F"/>
    <w:rsid w:val="004C6B6E"/>
    <w:rsid w:val="004C7C43"/>
    <w:rsid w:val="004D1A5C"/>
    <w:rsid w:val="004E31A0"/>
    <w:rsid w:val="004E520C"/>
    <w:rsid w:val="004E774E"/>
    <w:rsid w:val="004E7901"/>
    <w:rsid w:val="004F00E1"/>
    <w:rsid w:val="004F0E45"/>
    <w:rsid w:val="004F4DD7"/>
    <w:rsid w:val="004F5DB6"/>
    <w:rsid w:val="004F7BE9"/>
    <w:rsid w:val="00523B09"/>
    <w:rsid w:val="00526431"/>
    <w:rsid w:val="00527F45"/>
    <w:rsid w:val="00530AA4"/>
    <w:rsid w:val="0053447C"/>
    <w:rsid w:val="005354B2"/>
    <w:rsid w:val="005410B5"/>
    <w:rsid w:val="00542F2A"/>
    <w:rsid w:val="00544227"/>
    <w:rsid w:val="005469AB"/>
    <w:rsid w:val="00546A94"/>
    <w:rsid w:val="00546BB6"/>
    <w:rsid w:val="00564CB9"/>
    <w:rsid w:val="00567FAB"/>
    <w:rsid w:val="00576B27"/>
    <w:rsid w:val="00577701"/>
    <w:rsid w:val="00582C44"/>
    <w:rsid w:val="005838DD"/>
    <w:rsid w:val="00585614"/>
    <w:rsid w:val="0059409D"/>
    <w:rsid w:val="005950C4"/>
    <w:rsid w:val="005A11BE"/>
    <w:rsid w:val="005A3AAE"/>
    <w:rsid w:val="005A75C1"/>
    <w:rsid w:val="005B4869"/>
    <w:rsid w:val="005C0069"/>
    <w:rsid w:val="005C1C34"/>
    <w:rsid w:val="005C4CF9"/>
    <w:rsid w:val="005C6975"/>
    <w:rsid w:val="005D5255"/>
    <w:rsid w:val="005D6B61"/>
    <w:rsid w:val="005D7F92"/>
    <w:rsid w:val="005E1923"/>
    <w:rsid w:val="005E2724"/>
    <w:rsid w:val="005E3FFD"/>
    <w:rsid w:val="005F195F"/>
    <w:rsid w:val="005F289C"/>
    <w:rsid w:val="005F7ABA"/>
    <w:rsid w:val="00601F9A"/>
    <w:rsid w:val="00607E24"/>
    <w:rsid w:val="00610D95"/>
    <w:rsid w:val="0061212B"/>
    <w:rsid w:val="0061398D"/>
    <w:rsid w:val="00614D16"/>
    <w:rsid w:val="00620DCF"/>
    <w:rsid w:val="006250C6"/>
    <w:rsid w:val="00631F0A"/>
    <w:rsid w:val="00633E04"/>
    <w:rsid w:val="0064220E"/>
    <w:rsid w:val="0064509D"/>
    <w:rsid w:val="00647127"/>
    <w:rsid w:val="006506F2"/>
    <w:rsid w:val="0065528E"/>
    <w:rsid w:val="00656680"/>
    <w:rsid w:val="00657321"/>
    <w:rsid w:val="00660681"/>
    <w:rsid w:val="00660D02"/>
    <w:rsid w:val="00662FF9"/>
    <w:rsid w:val="00666770"/>
    <w:rsid w:val="00670855"/>
    <w:rsid w:val="00672144"/>
    <w:rsid w:val="0067283C"/>
    <w:rsid w:val="00676148"/>
    <w:rsid w:val="006A4DE3"/>
    <w:rsid w:val="006B3940"/>
    <w:rsid w:val="006B4684"/>
    <w:rsid w:val="006B4D73"/>
    <w:rsid w:val="006C1719"/>
    <w:rsid w:val="006C19F4"/>
    <w:rsid w:val="006C3871"/>
    <w:rsid w:val="006C3F60"/>
    <w:rsid w:val="006C6E31"/>
    <w:rsid w:val="006C7261"/>
    <w:rsid w:val="006D3728"/>
    <w:rsid w:val="006D4F60"/>
    <w:rsid w:val="006D5B93"/>
    <w:rsid w:val="006D6161"/>
    <w:rsid w:val="006E2209"/>
    <w:rsid w:val="006E2A5B"/>
    <w:rsid w:val="006E6F1A"/>
    <w:rsid w:val="00704560"/>
    <w:rsid w:val="007053ED"/>
    <w:rsid w:val="00712AE8"/>
    <w:rsid w:val="00715EF9"/>
    <w:rsid w:val="0072039B"/>
    <w:rsid w:val="00743859"/>
    <w:rsid w:val="007455BE"/>
    <w:rsid w:val="00746BA8"/>
    <w:rsid w:val="00747514"/>
    <w:rsid w:val="00750EE1"/>
    <w:rsid w:val="00750F06"/>
    <w:rsid w:val="00751678"/>
    <w:rsid w:val="00756F4D"/>
    <w:rsid w:val="007658DB"/>
    <w:rsid w:val="007715C3"/>
    <w:rsid w:val="0077600A"/>
    <w:rsid w:val="0078092C"/>
    <w:rsid w:val="00791C5A"/>
    <w:rsid w:val="00792733"/>
    <w:rsid w:val="007960E9"/>
    <w:rsid w:val="00796F9A"/>
    <w:rsid w:val="007971B9"/>
    <w:rsid w:val="00797C7D"/>
    <w:rsid w:val="007A34E3"/>
    <w:rsid w:val="007A38D9"/>
    <w:rsid w:val="007A5D21"/>
    <w:rsid w:val="007B1D16"/>
    <w:rsid w:val="007B3B5A"/>
    <w:rsid w:val="007B5909"/>
    <w:rsid w:val="007C2D94"/>
    <w:rsid w:val="007D1669"/>
    <w:rsid w:val="007D2795"/>
    <w:rsid w:val="007D42D8"/>
    <w:rsid w:val="007D6A53"/>
    <w:rsid w:val="007D7C5E"/>
    <w:rsid w:val="007E6454"/>
    <w:rsid w:val="007F0DA8"/>
    <w:rsid w:val="007F21A0"/>
    <w:rsid w:val="007F7C70"/>
    <w:rsid w:val="00800820"/>
    <w:rsid w:val="008033AD"/>
    <w:rsid w:val="00811EAE"/>
    <w:rsid w:val="00822ACE"/>
    <w:rsid w:val="00824AE2"/>
    <w:rsid w:val="00825BA1"/>
    <w:rsid w:val="00827073"/>
    <w:rsid w:val="0083092A"/>
    <w:rsid w:val="00830B0D"/>
    <w:rsid w:val="00835330"/>
    <w:rsid w:val="00841712"/>
    <w:rsid w:val="008417F5"/>
    <w:rsid w:val="00842FE7"/>
    <w:rsid w:val="00845C29"/>
    <w:rsid w:val="00855AA2"/>
    <w:rsid w:val="00861291"/>
    <w:rsid w:val="00862D82"/>
    <w:rsid w:val="00865391"/>
    <w:rsid w:val="00870750"/>
    <w:rsid w:val="00870E3A"/>
    <w:rsid w:val="008722E5"/>
    <w:rsid w:val="00875579"/>
    <w:rsid w:val="0088699A"/>
    <w:rsid w:val="008872BB"/>
    <w:rsid w:val="00890259"/>
    <w:rsid w:val="008940C9"/>
    <w:rsid w:val="008944BB"/>
    <w:rsid w:val="008A01D8"/>
    <w:rsid w:val="008A288F"/>
    <w:rsid w:val="008B16C3"/>
    <w:rsid w:val="008B33FE"/>
    <w:rsid w:val="008B5D98"/>
    <w:rsid w:val="008B7B9B"/>
    <w:rsid w:val="008C0D04"/>
    <w:rsid w:val="008C0FD5"/>
    <w:rsid w:val="008C72CC"/>
    <w:rsid w:val="008C7AC4"/>
    <w:rsid w:val="008D7019"/>
    <w:rsid w:val="008D7E94"/>
    <w:rsid w:val="008E3AE6"/>
    <w:rsid w:val="008F201B"/>
    <w:rsid w:val="008F45DB"/>
    <w:rsid w:val="008F4FA3"/>
    <w:rsid w:val="00900C54"/>
    <w:rsid w:val="00916D9B"/>
    <w:rsid w:val="009238AE"/>
    <w:rsid w:val="0092706E"/>
    <w:rsid w:val="00932F92"/>
    <w:rsid w:val="0094021B"/>
    <w:rsid w:val="00943647"/>
    <w:rsid w:val="009465C9"/>
    <w:rsid w:val="00950C7F"/>
    <w:rsid w:val="00951C89"/>
    <w:rsid w:val="009536FE"/>
    <w:rsid w:val="00956979"/>
    <w:rsid w:val="009610E2"/>
    <w:rsid w:val="0096538A"/>
    <w:rsid w:val="009725DF"/>
    <w:rsid w:val="009766AF"/>
    <w:rsid w:val="009836E6"/>
    <w:rsid w:val="00985DC4"/>
    <w:rsid w:val="009862E7"/>
    <w:rsid w:val="00993D05"/>
    <w:rsid w:val="00994303"/>
    <w:rsid w:val="00994F88"/>
    <w:rsid w:val="0099592B"/>
    <w:rsid w:val="009B5F8E"/>
    <w:rsid w:val="009D66A6"/>
    <w:rsid w:val="009D696E"/>
    <w:rsid w:val="009E2834"/>
    <w:rsid w:val="009E452B"/>
    <w:rsid w:val="009E5F26"/>
    <w:rsid w:val="009E62E2"/>
    <w:rsid w:val="009F0986"/>
    <w:rsid w:val="009F1AF8"/>
    <w:rsid w:val="009F20E2"/>
    <w:rsid w:val="009F381C"/>
    <w:rsid w:val="009F6E05"/>
    <w:rsid w:val="00A00F82"/>
    <w:rsid w:val="00A020D0"/>
    <w:rsid w:val="00A02FBB"/>
    <w:rsid w:val="00A0417B"/>
    <w:rsid w:val="00A04BF8"/>
    <w:rsid w:val="00A05C95"/>
    <w:rsid w:val="00A07120"/>
    <w:rsid w:val="00A07AC2"/>
    <w:rsid w:val="00A12649"/>
    <w:rsid w:val="00A16AEF"/>
    <w:rsid w:val="00A2124D"/>
    <w:rsid w:val="00A22E23"/>
    <w:rsid w:val="00A27186"/>
    <w:rsid w:val="00A3074D"/>
    <w:rsid w:val="00A44AA9"/>
    <w:rsid w:val="00A5652F"/>
    <w:rsid w:val="00A570EE"/>
    <w:rsid w:val="00A65623"/>
    <w:rsid w:val="00A77078"/>
    <w:rsid w:val="00A81A9C"/>
    <w:rsid w:val="00A826E1"/>
    <w:rsid w:val="00A82D20"/>
    <w:rsid w:val="00A830A7"/>
    <w:rsid w:val="00A87B0F"/>
    <w:rsid w:val="00A87E8B"/>
    <w:rsid w:val="00A87EB2"/>
    <w:rsid w:val="00A93817"/>
    <w:rsid w:val="00A96B16"/>
    <w:rsid w:val="00AA3ED7"/>
    <w:rsid w:val="00AA5393"/>
    <w:rsid w:val="00AA5C5C"/>
    <w:rsid w:val="00AB3D7F"/>
    <w:rsid w:val="00AC109B"/>
    <w:rsid w:val="00AC29B4"/>
    <w:rsid w:val="00AC492F"/>
    <w:rsid w:val="00AC4C2D"/>
    <w:rsid w:val="00AD3734"/>
    <w:rsid w:val="00AE228F"/>
    <w:rsid w:val="00AE2642"/>
    <w:rsid w:val="00AE3356"/>
    <w:rsid w:val="00AE39AA"/>
    <w:rsid w:val="00AE4A15"/>
    <w:rsid w:val="00AF16A5"/>
    <w:rsid w:val="00AF1D57"/>
    <w:rsid w:val="00AF3E9A"/>
    <w:rsid w:val="00AF6907"/>
    <w:rsid w:val="00B00847"/>
    <w:rsid w:val="00B023F7"/>
    <w:rsid w:val="00B046A2"/>
    <w:rsid w:val="00B07915"/>
    <w:rsid w:val="00B1147E"/>
    <w:rsid w:val="00B2308C"/>
    <w:rsid w:val="00B23946"/>
    <w:rsid w:val="00B2797C"/>
    <w:rsid w:val="00B34B4A"/>
    <w:rsid w:val="00B40CF1"/>
    <w:rsid w:val="00B46E95"/>
    <w:rsid w:val="00B527D2"/>
    <w:rsid w:val="00B52851"/>
    <w:rsid w:val="00B56B49"/>
    <w:rsid w:val="00B61F1A"/>
    <w:rsid w:val="00B62EC2"/>
    <w:rsid w:val="00B72C96"/>
    <w:rsid w:val="00B72E8C"/>
    <w:rsid w:val="00B80154"/>
    <w:rsid w:val="00B80563"/>
    <w:rsid w:val="00B84935"/>
    <w:rsid w:val="00B84D83"/>
    <w:rsid w:val="00B86923"/>
    <w:rsid w:val="00B90C43"/>
    <w:rsid w:val="00B96061"/>
    <w:rsid w:val="00BA26D6"/>
    <w:rsid w:val="00BB0BDF"/>
    <w:rsid w:val="00BB4E47"/>
    <w:rsid w:val="00BC1C6C"/>
    <w:rsid w:val="00BC2C05"/>
    <w:rsid w:val="00BC5D92"/>
    <w:rsid w:val="00BD566F"/>
    <w:rsid w:val="00BE2F8B"/>
    <w:rsid w:val="00BE3F16"/>
    <w:rsid w:val="00BE5EAF"/>
    <w:rsid w:val="00BF1A2D"/>
    <w:rsid w:val="00BF782E"/>
    <w:rsid w:val="00C00A0E"/>
    <w:rsid w:val="00C02CF2"/>
    <w:rsid w:val="00C04229"/>
    <w:rsid w:val="00C0730F"/>
    <w:rsid w:val="00C218B0"/>
    <w:rsid w:val="00C274BB"/>
    <w:rsid w:val="00C53929"/>
    <w:rsid w:val="00C626DD"/>
    <w:rsid w:val="00C726F0"/>
    <w:rsid w:val="00C733AF"/>
    <w:rsid w:val="00C80241"/>
    <w:rsid w:val="00C866F7"/>
    <w:rsid w:val="00C90079"/>
    <w:rsid w:val="00C915D9"/>
    <w:rsid w:val="00C929C6"/>
    <w:rsid w:val="00C92C42"/>
    <w:rsid w:val="00C974F2"/>
    <w:rsid w:val="00CA512E"/>
    <w:rsid w:val="00CB3518"/>
    <w:rsid w:val="00CB44BC"/>
    <w:rsid w:val="00CB5A06"/>
    <w:rsid w:val="00CB6D03"/>
    <w:rsid w:val="00CB6D0A"/>
    <w:rsid w:val="00CC1314"/>
    <w:rsid w:val="00CD402B"/>
    <w:rsid w:val="00CD7F12"/>
    <w:rsid w:val="00CE1DA2"/>
    <w:rsid w:val="00CE3A50"/>
    <w:rsid w:val="00CE4A31"/>
    <w:rsid w:val="00CF4C38"/>
    <w:rsid w:val="00CF5855"/>
    <w:rsid w:val="00D0556B"/>
    <w:rsid w:val="00D1598B"/>
    <w:rsid w:val="00D24D84"/>
    <w:rsid w:val="00D24EA2"/>
    <w:rsid w:val="00D34333"/>
    <w:rsid w:val="00D40FE2"/>
    <w:rsid w:val="00D44CCE"/>
    <w:rsid w:val="00D502E2"/>
    <w:rsid w:val="00D5486A"/>
    <w:rsid w:val="00D60E0B"/>
    <w:rsid w:val="00D617DB"/>
    <w:rsid w:val="00D63EBA"/>
    <w:rsid w:val="00D70278"/>
    <w:rsid w:val="00D80713"/>
    <w:rsid w:val="00D86052"/>
    <w:rsid w:val="00D90201"/>
    <w:rsid w:val="00D937DD"/>
    <w:rsid w:val="00D93968"/>
    <w:rsid w:val="00DA2BD8"/>
    <w:rsid w:val="00DA3339"/>
    <w:rsid w:val="00DA411F"/>
    <w:rsid w:val="00DA660E"/>
    <w:rsid w:val="00DB0166"/>
    <w:rsid w:val="00DB61AD"/>
    <w:rsid w:val="00DB6921"/>
    <w:rsid w:val="00DB7081"/>
    <w:rsid w:val="00DC572B"/>
    <w:rsid w:val="00DC5F80"/>
    <w:rsid w:val="00DC61F6"/>
    <w:rsid w:val="00DD54AA"/>
    <w:rsid w:val="00DE4447"/>
    <w:rsid w:val="00DE68F8"/>
    <w:rsid w:val="00DF389B"/>
    <w:rsid w:val="00DF5402"/>
    <w:rsid w:val="00DF7FAD"/>
    <w:rsid w:val="00E0240A"/>
    <w:rsid w:val="00E02F24"/>
    <w:rsid w:val="00E07DEC"/>
    <w:rsid w:val="00E128AB"/>
    <w:rsid w:val="00E17F8F"/>
    <w:rsid w:val="00E22E48"/>
    <w:rsid w:val="00E24DFD"/>
    <w:rsid w:val="00E4077D"/>
    <w:rsid w:val="00E40A81"/>
    <w:rsid w:val="00E42785"/>
    <w:rsid w:val="00E50D8F"/>
    <w:rsid w:val="00E67C51"/>
    <w:rsid w:val="00E7430C"/>
    <w:rsid w:val="00E75D88"/>
    <w:rsid w:val="00E75D96"/>
    <w:rsid w:val="00E76039"/>
    <w:rsid w:val="00E77CBD"/>
    <w:rsid w:val="00E8363E"/>
    <w:rsid w:val="00E83D24"/>
    <w:rsid w:val="00E863FE"/>
    <w:rsid w:val="00EA058C"/>
    <w:rsid w:val="00EA0CE7"/>
    <w:rsid w:val="00EB0D37"/>
    <w:rsid w:val="00EB2EBB"/>
    <w:rsid w:val="00EC25E7"/>
    <w:rsid w:val="00EC270F"/>
    <w:rsid w:val="00EC3E57"/>
    <w:rsid w:val="00EC579B"/>
    <w:rsid w:val="00ED0F02"/>
    <w:rsid w:val="00EF3768"/>
    <w:rsid w:val="00F031A7"/>
    <w:rsid w:val="00F06CB9"/>
    <w:rsid w:val="00F20CD3"/>
    <w:rsid w:val="00F21E95"/>
    <w:rsid w:val="00F22839"/>
    <w:rsid w:val="00F307AE"/>
    <w:rsid w:val="00F314A0"/>
    <w:rsid w:val="00F36585"/>
    <w:rsid w:val="00F40021"/>
    <w:rsid w:val="00F40FD7"/>
    <w:rsid w:val="00F41D38"/>
    <w:rsid w:val="00F41FDC"/>
    <w:rsid w:val="00F45A59"/>
    <w:rsid w:val="00F4708C"/>
    <w:rsid w:val="00F50DE9"/>
    <w:rsid w:val="00F62D99"/>
    <w:rsid w:val="00F63B33"/>
    <w:rsid w:val="00F63CC2"/>
    <w:rsid w:val="00F65B7A"/>
    <w:rsid w:val="00F66B7B"/>
    <w:rsid w:val="00F673EC"/>
    <w:rsid w:val="00F73E8F"/>
    <w:rsid w:val="00F758AC"/>
    <w:rsid w:val="00F97593"/>
    <w:rsid w:val="00FA45EF"/>
    <w:rsid w:val="00FB04A8"/>
    <w:rsid w:val="00FB4EBF"/>
    <w:rsid w:val="00FC04FC"/>
    <w:rsid w:val="00FC4BA4"/>
    <w:rsid w:val="00FC7556"/>
    <w:rsid w:val="00FD01F2"/>
    <w:rsid w:val="00FD59AE"/>
    <w:rsid w:val="00FD5D68"/>
    <w:rsid w:val="00FD5F65"/>
    <w:rsid w:val="00FD62A6"/>
    <w:rsid w:val="00FD6534"/>
    <w:rsid w:val="00FE3093"/>
    <w:rsid w:val="00FF275C"/>
    <w:rsid w:val="01205D5C"/>
    <w:rsid w:val="012D0213"/>
    <w:rsid w:val="016C0FA1"/>
    <w:rsid w:val="01CC5EE4"/>
    <w:rsid w:val="01CF1530"/>
    <w:rsid w:val="02076F1C"/>
    <w:rsid w:val="021F723B"/>
    <w:rsid w:val="0247556A"/>
    <w:rsid w:val="02775E4F"/>
    <w:rsid w:val="02A4476B"/>
    <w:rsid w:val="02C31095"/>
    <w:rsid w:val="030E489D"/>
    <w:rsid w:val="0328670B"/>
    <w:rsid w:val="03483348"/>
    <w:rsid w:val="03CE5F43"/>
    <w:rsid w:val="04F55751"/>
    <w:rsid w:val="057F6DC9"/>
    <w:rsid w:val="05D830A9"/>
    <w:rsid w:val="06FA4157"/>
    <w:rsid w:val="074D717F"/>
    <w:rsid w:val="087370B9"/>
    <w:rsid w:val="08D17D60"/>
    <w:rsid w:val="08F301FA"/>
    <w:rsid w:val="09167A44"/>
    <w:rsid w:val="09505959"/>
    <w:rsid w:val="09F204B1"/>
    <w:rsid w:val="0A1B7A08"/>
    <w:rsid w:val="0A430D0D"/>
    <w:rsid w:val="0A9D041D"/>
    <w:rsid w:val="0AB6328D"/>
    <w:rsid w:val="0B5F56D3"/>
    <w:rsid w:val="0C6531BD"/>
    <w:rsid w:val="0C654DE8"/>
    <w:rsid w:val="0CA77331"/>
    <w:rsid w:val="0CBA3508"/>
    <w:rsid w:val="0D1B387B"/>
    <w:rsid w:val="0D52512B"/>
    <w:rsid w:val="0D5C45C0"/>
    <w:rsid w:val="0D96694A"/>
    <w:rsid w:val="0D9C3919"/>
    <w:rsid w:val="0D9E24C7"/>
    <w:rsid w:val="0DB8556E"/>
    <w:rsid w:val="0DEA4CE6"/>
    <w:rsid w:val="0EAF071F"/>
    <w:rsid w:val="0EFB3311"/>
    <w:rsid w:val="0F113188"/>
    <w:rsid w:val="0FA76DA7"/>
    <w:rsid w:val="0FD3043D"/>
    <w:rsid w:val="101051ED"/>
    <w:rsid w:val="10134CB5"/>
    <w:rsid w:val="10196379"/>
    <w:rsid w:val="103A04BC"/>
    <w:rsid w:val="105E23FD"/>
    <w:rsid w:val="106612B1"/>
    <w:rsid w:val="116A6D7C"/>
    <w:rsid w:val="118F65E6"/>
    <w:rsid w:val="11B00A36"/>
    <w:rsid w:val="11C32795"/>
    <w:rsid w:val="11CF41DB"/>
    <w:rsid w:val="11D11BBF"/>
    <w:rsid w:val="11D54941"/>
    <w:rsid w:val="12130FC5"/>
    <w:rsid w:val="122A4C8C"/>
    <w:rsid w:val="12374CB3"/>
    <w:rsid w:val="12A835DF"/>
    <w:rsid w:val="12B87AB1"/>
    <w:rsid w:val="12EA7F78"/>
    <w:rsid w:val="12F06155"/>
    <w:rsid w:val="12F42BA4"/>
    <w:rsid w:val="13054DB2"/>
    <w:rsid w:val="13421B62"/>
    <w:rsid w:val="1380268A"/>
    <w:rsid w:val="13B81E24"/>
    <w:rsid w:val="13CA1B57"/>
    <w:rsid w:val="14151024"/>
    <w:rsid w:val="141F1EA3"/>
    <w:rsid w:val="149334DA"/>
    <w:rsid w:val="15246428"/>
    <w:rsid w:val="15D728CF"/>
    <w:rsid w:val="15F0259A"/>
    <w:rsid w:val="164C2CF7"/>
    <w:rsid w:val="16BF6287"/>
    <w:rsid w:val="16CB4564"/>
    <w:rsid w:val="16E82B49"/>
    <w:rsid w:val="16FA09A5"/>
    <w:rsid w:val="1735378C"/>
    <w:rsid w:val="17742506"/>
    <w:rsid w:val="178564C1"/>
    <w:rsid w:val="188E3A9B"/>
    <w:rsid w:val="18C13529"/>
    <w:rsid w:val="18E855AA"/>
    <w:rsid w:val="19B906A4"/>
    <w:rsid w:val="19F33BB6"/>
    <w:rsid w:val="1A3345AB"/>
    <w:rsid w:val="1A9A2283"/>
    <w:rsid w:val="1AE654C9"/>
    <w:rsid w:val="1AFF658A"/>
    <w:rsid w:val="1B662AAD"/>
    <w:rsid w:val="1B903686"/>
    <w:rsid w:val="1BA57132"/>
    <w:rsid w:val="1BC96B14"/>
    <w:rsid w:val="1C177904"/>
    <w:rsid w:val="1C672639"/>
    <w:rsid w:val="1CBB2985"/>
    <w:rsid w:val="1D217C86"/>
    <w:rsid w:val="1DC73F89"/>
    <w:rsid w:val="1E236A34"/>
    <w:rsid w:val="1EE946B5"/>
    <w:rsid w:val="1F242A63"/>
    <w:rsid w:val="1FA807B1"/>
    <w:rsid w:val="1FAD0CAB"/>
    <w:rsid w:val="1FF73CD4"/>
    <w:rsid w:val="20144886"/>
    <w:rsid w:val="20315438"/>
    <w:rsid w:val="20346CD6"/>
    <w:rsid w:val="206034E1"/>
    <w:rsid w:val="210C1A01"/>
    <w:rsid w:val="21425423"/>
    <w:rsid w:val="2149055F"/>
    <w:rsid w:val="22E569AE"/>
    <w:rsid w:val="23051594"/>
    <w:rsid w:val="23243032"/>
    <w:rsid w:val="235E7577"/>
    <w:rsid w:val="23A777BF"/>
    <w:rsid w:val="23EE3640"/>
    <w:rsid w:val="24106386"/>
    <w:rsid w:val="24457F46"/>
    <w:rsid w:val="2460453E"/>
    <w:rsid w:val="249417F6"/>
    <w:rsid w:val="24ED56A6"/>
    <w:rsid w:val="24F86524"/>
    <w:rsid w:val="2500205F"/>
    <w:rsid w:val="25503432"/>
    <w:rsid w:val="25777D91"/>
    <w:rsid w:val="25A751B1"/>
    <w:rsid w:val="25EE5B79"/>
    <w:rsid w:val="25F50CB6"/>
    <w:rsid w:val="261B0F18"/>
    <w:rsid w:val="263F63D5"/>
    <w:rsid w:val="26887D7C"/>
    <w:rsid w:val="26EF7DFB"/>
    <w:rsid w:val="26F96584"/>
    <w:rsid w:val="272F6449"/>
    <w:rsid w:val="277976C4"/>
    <w:rsid w:val="27930786"/>
    <w:rsid w:val="27A84EB4"/>
    <w:rsid w:val="28074CD0"/>
    <w:rsid w:val="28425D08"/>
    <w:rsid w:val="28893937"/>
    <w:rsid w:val="2893524B"/>
    <w:rsid w:val="28C63745"/>
    <w:rsid w:val="28F33BD2"/>
    <w:rsid w:val="29053906"/>
    <w:rsid w:val="293146FB"/>
    <w:rsid w:val="29673C78"/>
    <w:rsid w:val="29A547A1"/>
    <w:rsid w:val="29D40F75"/>
    <w:rsid w:val="2A6304DA"/>
    <w:rsid w:val="2A7F4FF2"/>
    <w:rsid w:val="2A832D34"/>
    <w:rsid w:val="2A8820F8"/>
    <w:rsid w:val="2AB949A8"/>
    <w:rsid w:val="2AED4651"/>
    <w:rsid w:val="2B4A3852"/>
    <w:rsid w:val="2B597F39"/>
    <w:rsid w:val="2B6568DD"/>
    <w:rsid w:val="2C0D409F"/>
    <w:rsid w:val="2CB00693"/>
    <w:rsid w:val="2CDD4252"/>
    <w:rsid w:val="2DA27975"/>
    <w:rsid w:val="2DCC2C44"/>
    <w:rsid w:val="2E051CB2"/>
    <w:rsid w:val="2E402CEA"/>
    <w:rsid w:val="2E605140"/>
    <w:rsid w:val="2E6C4331"/>
    <w:rsid w:val="2E8157DC"/>
    <w:rsid w:val="2E864BA1"/>
    <w:rsid w:val="2EBD0E37"/>
    <w:rsid w:val="2F59167E"/>
    <w:rsid w:val="2F5C1DA5"/>
    <w:rsid w:val="2FE71628"/>
    <w:rsid w:val="300466C5"/>
    <w:rsid w:val="300A35B0"/>
    <w:rsid w:val="30BE15A5"/>
    <w:rsid w:val="30D26B6E"/>
    <w:rsid w:val="31374878"/>
    <w:rsid w:val="319F4E47"/>
    <w:rsid w:val="32847649"/>
    <w:rsid w:val="32BD2B5B"/>
    <w:rsid w:val="3341553A"/>
    <w:rsid w:val="33FA2031"/>
    <w:rsid w:val="342828A1"/>
    <w:rsid w:val="34790D04"/>
    <w:rsid w:val="3489363D"/>
    <w:rsid w:val="348E0C53"/>
    <w:rsid w:val="34B32468"/>
    <w:rsid w:val="34DA3AEF"/>
    <w:rsid w:val="34E268A9"/>
    <w:rsid w:val="34FA62E8"/>
    <w:rsid w:val="35531555"/>
    <w:rsid w:val="35586B6B"/>
    <w:rsid w:val="36AF3103"/>
    <w:rsid w:val="36CF3F43"/>
    <w:rsid w:val="376D0FF4"/>
    <w:rsid w:val="379C3687"/>
    <w:rsid w:val="37FE3BB5"/>
    <w:rsid w:val="3862667F"/>
    <w:rsid w:val="38767A34"/>
    <w:rsid w:val="38E250CA"/>
    <w:rsid w:val="39152A62"/>
    <w:rsid w:val="39186D3D"/>
    <w:rsid w:val="391D56A9"/>
    <w:rsid w:val="39BA1BA2"/>
    <w:rsid w:val="39D23390"/>
    <w:rsid w:val="39E82BB3"/>
    <w:rsid w:val="3A1A0893"/>
    <w:rsid w:val="3A4257C1"/>
    <w:rsid w:val="3B1A3241"/>
    <w:rsid w:val="3B491430"/>
    <w:rsid w:val="3BBD3BCC"/>
    <w:rsid w:val="3BCD344C"/>
    <w:rsid w:val="3CCA65A0"/>
    <w:rsid w:val="3D047B5F"/>
    <w:rsid w:val="3D8175A7"/>
    <w:rsid w:val="3DA54918"/>
    <w:rsid w:val="3E1C107E"/>
    <w:rsid w:val="3ED951C1"/>
    <w:rsid w:val="3EF5367D"/>
    <w:rsid w:val="3F0338BD"/>
    <w:rsid w:val="3F397A0D"/>
    <w:rsid w:val="3F4940F4"/>
    <w:rsid w:val="3FA330D9"/>
    <w:rsid w:val="400B3158"/>
    <w:rsid w:val="403D6B94"/>
    <w:rsid w:val="407A208B"/>
    <w:rsid w:val="407D392A"/>
    <w:rsid w:val="40AA1674"/>
    <w:rsid w:val="41393CF5"/>
    <w:rsid w:val="41B415CD"/>
    <w:rsid w:val="42154762"/>
    <w:rsid w:val="42C8332A"/>
    <w:rsid w:val="43747266"/>
    <w:rsid w:val="43EA4AF4"/>
    <w:rsid w:val="446F7A2D"/>
    <w:rsid w:val="44764150"/>
    <w:rsid w:val="44A65B45"/>
    <w:rsid w:val="45354367"/>
    <w:rsid w:val="463158E2"/>
    <w:rsid w:val="463D37A1"/>
    <w:rsid w:val="465D66D7"/>
    <w:rsid w:val="46A95479"/>
    <w:rsid w:val="46F81F5C"/>
    <w:rsid w:val="46FA2178"/>
    <w:rsid w:val="480F1B2D"/>
    <w:rsid w:val="483416BA"/>
    <w:rsid w:val="48390A7E"/>
    <w:rsid w:val="48897310"/>
    <w:rsid w:val="48A64365"/>
    <w:rsid w:val="49033566"/>
    <w:rsid w:val="493D634C"/>
    <w:rsid w:val="496438D9"/>
    <w:rsid w:val="49965D98"/>
    <w:rsid w:val="4A1026DE"/>
    <w:rsid w:val="4A17094B"/>
    <w:rsid w:val="4A1962B3"/>
    <w:rsid w:val="4AE20F59"/>
    <w:rsid w:val="4B4D12B8"/>
    <w:rsid w:val="4B7F7AEB"/>
    <w:rsid w:val="4B842010"/>
    <w:rsid w:val="4BC6475E"/>
    <w:rsid w:val="4BF058F8"/>
    <w:rsid w:val="4C5E6D05"/>
    <w:rsid w:val="4C6D09D3"/>
    <w:rsid w:val="4C6E388E"/>
    <w:rsid w:val="4C7E60D8"/>
    <w:rsid w:val="4CA3113A"/>
    <w:rsid w:val="4CF84A64"/>
    <w:rsid w:val="4CFD02CC"/>
    <w:rsid w:val="4D042EB8"/>
    <w:rsid w:val="4D4001B9"/>
    <w:rsid w:val="4D810EFD"/>
    <w:rsid w:val="4D9549A9"/>
    <w:rsid w:val="4DD3102D"/>
    <w:rsid w:val="4DD70B1D"/>
    <w:rsid w:val="4DDA3E11"/>
    <w:rsid w:val="4DE90850"/>
    <w:rsid w:val="4E125FF9"/>
    <w:rsid w:val="4E265601"/>
    <w:rsid w:val="4E791BD4"/>
    <w:rsid w:val="4E981098"/>
    <w:rsid w:val="4F431107"/>
    <w:rsid w:val="4F530677"/>
    <w:rsid w:val="507C775A"/>
    <w:rsid w:val="50865088"/>
    <w:rsid w:val="50AC6291"/>
    <w:rsid w:val="50C40D2F"/>
    <w:rsid w:val="50E023DF"/>
    <w:rsid w:val="51394CD6"/>
    <w:rsid w:val="523522B6"/>
    <w:rsid w:val="5244074B"/>
    <w:rsid w:val="524C5999"/>
    <w:rsid w:val="525564B4"/>
    <w:rsid w:val="52911BE2"/>
    <w:rsid w:val="53177C0E"/>
    <w:rsid w:val="531F4D0A"/>
    <w:rsid w:val="53CB1124"/>
    <w:rsid w:val="540C7047"/>
    <w:rsid w:val="541303D5"/>
    <w:rsid w:val="543577AD"/>
    <w:rsid w:val="548B414C"/>
    <w:rsid w:val="55173EF5"/>
    <w:rsid w:val="552503C0"/>
    <w:rsid w:val="552A59D6"/>
    <w:rsid w:val="55436A98"/>
    <w:rsid w:val="555313D1"/>
    <w:rsid w:val="558E2409"/>
    <w:rsid w:val="55A0038E"/>
    <w:rsid w:val="561F12B3"/>
    <w:rsid w:val="56305446"/>
    <w:rsid w:val="564F1095"/>
    <w:rsid w:val="565D1DDC"/>
    <w:rsid w:val="56BE4E46"/>
    <w:rsid w:val="56E46059"/>
    <w:rsid w:val="56F00EA2"/>
    <w:rsid w:val="576B2A8C"/>
    <w:rsid w:val="57743881"/>
    <w:rsid w:val="5853793A"/>
    <w:rsid w:val="58B30E4F"/>
    <w:rsid w:val="590F40F8"/>
    <w:rsid w:val="59372AC1"/>
    <w:rsid w:val="599B6EA3"/>
    <w:rsid w:val="59B85CA7"/>
    <w:rsid w:val="59CF4D9E"/>
    <w:rsid w:val="59E25013"/>
    <w:rsid w:val="5A00631D"/>
    <w:rsid w:val="5A37162C"/>
    <w:rsid w:val="5A403808"/>
    <w:rsid w:val="5AD96DAE"/>
    <w:rsid w:val="5BBC75A4"/>
    <w:rsid w:val="5BC07095"/>
    <w:rsid w:val="5C142F3C"/>
    <w:rsid w:val="5C3F26AF"/>
    <w:rsid w:val="5CC20BEA"/>
    <w:rsid w:val="5E4775F9"/>
    <w:rsid w:val="5F132B6E"/>
    <w:rsid w:val="5F5A0D11"/>
    <w:rsid w:val="5FE570CA"/>
    <w:rsid w:val="6014175D"/>
    <w:rsid w:val="60956D42"/>
    <w:rsid w:val="60AE3960"/>
    <w:rsid w:val="60BD3B30"/>
    <w:rsid w:val="60C032D3"/>
    <w:rsid w:val="60E70C20"/>
    <w:rsid w:val="611F5E2A"/>
    <w:rsid w:val="6146003C"/>
    <w:rsid w:val="61706E67"/>
    <w:rsid w:val="619012B7"/>
    <w:rsid w:val="61E41603"/>
    <w:rsid w:val="625D388F"/>
    <w:rsid w:val="62C27B96"/>
    <w:rsid w:val="635F3637"/>
    <w:rsid w:val="639F3A33"/>
    <w:rsid w:val="63AC7EFE"/>
    <w:rsid w:val="63AE3C76"/>
    <w:rsid w:val="63B9FED5"/>
    <w:rsid w:val="63FE0C96"/>
    <w:rsid w:val="64925346"/>
    <w:rsid w:val="649C5533"/>
    <w:rsid w:val="64A21A2D"/>
    <w:rsid w:val="64B67287"/>
    <w:rsid w:val="64D41552"/>
    <w:rsid w:val="64D43BB1"/>
    <w:rsid w:val="65387C9C"/>
    <w:rsid w:val="660516C6"/>
    <w:rsid w:val="66AB26EF"/>
    <w:rsid w:val="6753700F"/>
    <w:rsid w:val="67AA29A7"/>
    <w:rsid w:val="67C717AB"/>
    <w:rsid w:val="68582403"/>
    <w:rsid w:val="686E1C26"/>
    <w:rsid w:val="689C2C37"/>
    <w:rsid w:val="68A13DAA"/>
    <w:rsid w:val="6916489B"/>
    <w:rsid w:val="69344C1E"/>
    <w:rsid w:val="698C2CAC"/>
    <w:rsid w:val="699F29DF"/>
    <w:rsid w:val="69F83E9D"/>
    <w:rsid w:val="6A1664E1"/>
    <w:rsid w:val="6A6257BB"/>
    <w:rsid w:val="6B272C8C"/>
    <w:rsid w:val="6B2A0087"/>
    <w:rsid w:val="6B3C7DBA"/>
    <w:rsid w:val="6B77FAFE"/>
    <w:rsid w:val="6C1C0317"/>
    <w:rsid w:val="6C3369E2"/>
    <w:rsid w:val="6C53185F"/>
    <w:rsid w:val="6C550221"/>
    <w:rsid w:val="6C627CF4"/>
    <w:rsid w:val="6CCB7647"/>
    <w:rsid w:val="6D350F65"/>
    <w:rsid w:val="6DE12B32"/>
    <w:rsid w:val="6DE5298B"/>
    <w:rsid w:val="6E0B01DA"/>
    <w:rsid w:val="6E600263"/>
    <w:rsid w:val="6F2A2D4B"/>
    <w:rsid w:val="6FE8219A"/>
    <w:rsid w:val="6FF11ABB"/>
    <w:rsid w:val="6FF2313D"/>
    <w:rsid w:val="70546349"/>
    <w:rsid w:val="70A72179"/>
    <w:rsid w:val="70EB02B8"/>
    <w:rsid w:val="71107D1F"/>
    <w:rsid w:val="712F50AA"/>
    <w:rsid w:val="71416883"/>
    <w:rsid w:val="717E2EDA"/>
    <w:rsid w:val="71846F43"/>
    <w:rsid w:val="727C17DC"/>
    <w:rsid w:val="72966949"/>
    <w:rsid w:val="72C97A08"/>
    <w:rsid w:val="72CA214F"/>
    <w:rsid w:val="73BE521F"/>
    <w:rsid w:val="7434641A"/>
    <w:rsid w:val="748C0004"/>
    <w:rsid w:val="74E05C5A"/>
    <w:rsid w:val="752D1D84"/>
    <w:rsid w:val="754E350B"/>
    <w:rsid w:val="756B19C7"/>
    <w:rsid w:val="758962F1"/>
    <w:rsid w:val="75D4736C"/>
    <w:rsid w:val="75F145C2"/>
    <w:rsid w:val="762F50EB"/>
    <w:rsid w:val="76EC08E6"/>
    <w:rsid w:val="77770AF7"/>
    <w:rsid w:val="77E34906"/>
    <w:rsid w:val="78C71166"/>
    <w:rsid w:val="78CC4E73"/>
    <w:rsid w:val="78CF4963"/>
    <w:rsid w:val="797B41A3"/>
    <w:rsid w:val="79870D9A"/>
    <w:rsid w:val="79A909FD"/>
    <w:rsid w:val="79D00993"/>
    <w:rsid w:val="7A5073DE"/>
    <w:rsid w:val="7A7F1A71"/>
    <w:rsid w:val="7ACE4ED2"/>
    <w:rsid w:val="7B046B46"/>
    <w:rsid w:val="7BB120FE"/>
    <w:rsid w:val="7BF70459"/>
    <w:rsid w:val="7C53250F"/>
    <w:rsid w:val="7C647170"/>
    <w:rsid w:val="7CCC054E"/>
    <w:rsid w:val="7CE81B50"/>
    <w:rsid w:val="7D3F00AF"/>
    <w:rsid w:val="7D4D5E56"/>
    <w:rsid w:val="7D562F5D"/>
    <w:rsid w:val="7DD86EDD"/>
    <w:rsid w:val="7DE06322"/>
    <w:rsid w:val="7DFB1059"/>
    <w:rsid w:val="7E1D3A7B"/>
    <w:rsid w:val="7E431733"/>
    <w:rsid w:val="7EC30449"/>
    <w:rsid w:val="7EFB8C9C"/>
    <w:rsid w:val="7EFD4B74"/>
    <w:rsid w:val="7F076C05"/>
    <w:rsid w:val="7F7B314F"/>
    <w:rsid w:val="7FED672C"/>
    <w:rsid w:val="B77FCE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34"/>
    <w:qFormat/>
    <w:uiPriority w:val="99"/>
    <w:pPr>
      <w:keepNext/>
      <w:keepLines/>
      <w:spacing w:line="576" w:lineRule="auto"/>
      <w:outlineLvl w:val="0"/>
    </w:pPr>
    <w:rPr>
      <w:rFonts w:ascii="Calibri" w:hAnsi="Calibri" w:eastAsia="宋体" w:cs="Calibri"/>
      <w:b/>
      <w:bCs/>
      <w:kern w:val="44"/>
      <w:sz w:val="44"/>
      <w:szCs w:val="44"/>
      <w:lang w:val="en-US" w:eastAsia="zh-CN" w:bidi="ar-SA"/>
    </w:rPr>
  </w:style>
  <w:style w:type="paragraph" w:styleId="4">
    <w:name w:val="heading 2"/>
    <w:basedOn w:val="1"/>
    <w:next w:val="1"/>
    <w:link w:val="35"/>
    <w:qFormat/>
    <w:uiPriority w:val="99"/>
    <w:pPr>
      <w:keepNext/>
      <w:spacing w:line="216" w:lineRule="auto"/>
      <w:outlineLvl w:val="1"/>
    </w:pPr>
    <w:rPr>
      <w:rFonts w:ascii="宋体" w:hAnsi="Calibri" w:eastAsia="宋体" w:cs="宋体"/>
      <w:b/>
      <w:bCs/>
      <w:sz w:val="28"/>
      <w:szCs w:val="28"/>
      <w:lang w:val="en-US" w:eastAsia="zh-CN" w:bidi="ar-SA"/>
    </w:rPr>
  </w:style>
  <w:style w:type="paragraph" w:styleId="5">
    <w:name w:val="heading 3"/>
    <w:next w:val="6"/>
    <w:link w:val="36"/>
    <w:qFormat/>
    <w:uiPriority w:val="99"/>
    <w:pPr>
      <w:keepNext/>
      <w:numPr>
        <w:ilvl w:val="0"/>
        <w:numId w:val="1"/>
      </w:numPr>
      <w:spacing w:line="216" w:lineRule="auto"/>
      <w:outlineLvl w:val="2"/>
    </w:pPr>
    <w:rPr>
      <w:rFonts w:ascii="宋体" w:hAnsi="Calibri" w:eastAsia="宋体" w:cs="宋体"/>
      <w:b/>
      <w:bCs/>
      <w:sz w:val="28"/>
      <w:szCs w:val="28"/>
      <w:lang w:val="en-US" w:eastAsia="zh-CN" w:bidi="ar-SA"/>
    </w:rPr>
  </w:style>
  <w:style w:type="paragraph" w:styleId="2">
    <w:name w:val="heading 4"/>
    <w:basedOn w:val="1"/>
    <w:next w:val="1"/>
    <w:qFormat/>
    <w:uiPriority w:val="0"/>
    <w:pPr>
      <w:keepLines/>
      <w:autoSpaceDE w:val="0"/>
      <w:autoSpaceDN w:val="0"/>
      <w:adjustRightInd w:val="0"/>
      <w:textAlignment w:val="baseline"/>
      <w:outlineLvl w:val="3"/>
    </w:pPr>
    <w:rPr>
      <w:rFonts w:ascii="Times New Roman" w:hAnsi="Times New Roman" w:eastAsia="楷体_GB2312" w:cs="Times New Roman"/>
      <w:b/>
      <w:snapToGrid w:val="0"/>
      <w:sz w:val="24"/>
      <w:lang w:val="en-US" w:eastAsia="zh-CN" w:bidi="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customStyle="1" w:styleId="6">
    <w:name w:val="正文缩进1"/>
    <w:qFormat/>
    <w:uiPriority w:val="0"/>
    <w:pPr>
      <w:ind w:firstLine="420" w:firstLineChars="200"/>
    </w:pPr>
    <w:rPr>
      <w:rFonts w:ascii="Times New Roman" w:hAnsi="Times New Roman" w:eastAsia="宋体" w:cs="Times New Roman"/>
      <w:lang w:val="en-US" w:eastAsia="zh-CN" w:bidi="ar-SA"/>
    </w:rPr>
  </w:style>
  <w:style w:type="paragraph" w:styleId="7">
    <w:name w:val="Normal Indent"/>
    <w:link w:val="73"/>
    <w:qFormat/>
    <w:uiPriority w:val="0"/>
    <w:pPr>
      <w:ind w:firstLine="420"/>
    </w:pPr>
    <w:rPr>
      <w:rFonts w:ascii="Times New Roman" w:hAnsi="Times New Roman" w:eastAsia="宋体" w:cs="Times New Roman"/>
      <w:lang w:val="en-US" w:eastAsia="zh-CN" w:bidi="ar-SA"/>
    </w:rPr>
  </w:style>
  <w:style w:type="paragraph" w:styleId="8">
    <w:name w:val="annotation text"/>
    <w:basedOn w:val="1"/>
    <w:link w:val="76"/>
    <w:qFormat/>
    <w:uiPriority w:val="0"/>
    <w:pPr>
      <w:jc w:val="left"/>
    </w:pPr>
  </w:style>
  <w:style w:type="paragraph" w:styleId="9">
    <w:name w:val="Body Text"/>
    <w:next w:val="10"/>
    <w:link w:val="37"/>
    <w:qFormat/>
    <w:uiPriority w:val="99"/>
    <w:rPr>
      <w:rFonts w:ascii="Times New Roman" w:hAnsi="Times New Roman" w:eastAsia="宋体" w:cs="Times New Roman"/>
      <w:lang w:val="en-US" w:eastAsia="zh-CN" w:bidi="ar-SA"/>
    </w:rPr>
  </w:style>
  <w:style w:type="paragraph" w:customStyle="1" w:styleId="10">
    <w:name w:val="Body Text First Indent1"/>
    <w:basedOn w:val="9"/>
    <w:qFormat/>
    <w:uiPriority w:val="0"/>
    <w:pPr>
      <w:tabs>
        <w:tab w:val="left" w:pos="1275"/>
      </w:tabs>
      <w:ind w:firstLine="420" w:firstLineChars="100"/>
    </w:pPr>
  </w:style>
  <w:style w:type="paragraph" w:styleId="11">
    <w:name w:val="Body Text Indent"/>
    <w:link w:val="43"/>
    <w:qFormat/>
    <w:uiPriority w:val="99"/>
    <w:pPr>
      <w:adjustRightInd w:val="0"/>
      <w:spacing w:line="360" w:lineRule="auto"/>
      <w:ind w:firstLine="490"/>
    </w:pPr>
    <w:rPr>
      <w:rFonts w:ascii="宋体" w:hAnsi="宋体" w:eastAsia="宋体" w:cs="宋体"/>
      <w:sz w:val="24"/>
      <w:szCs w:val="24"/>
      <w:lang w:val="en-US" w:eastAsia="zh-CN" w:bidi="ar-SA"/>
    </w:rPr>
  </w:style>
  <w:style w:type="paragraph" w:styleId="12">
    <w:name w:val="toc 3"/>
    <w:next w:val="1"/>
    <w:qFormat/>
    <w:uiPriority w:val="99"/>
    <w:pPr>
      <w:ind w:left="840" w:leftChars="400"/>
    </w:pPr>
    <w:rPr>
      <w:rFonts w:ascii="Times New Roman" w:hAnsi="Times New Roman" w:eastAsia="宋体" w:cs="Times New Roman"/>
      <w:lang w:val="en-US" w:eastAsia="zh-CN" w:bidi="ar-SA"/>
    </w:rPr>
  </w:style>
  <w:style w:type="paragraph" w:styleId="13">
    <w:name w:val="Plain Text"/>
    <w:link w:val="44"/>
    <w:qFormat/>
    <w:uiPriority w:val="0"/>
    <w:rPr>
      <w:rFonts w:ascii="宋体" w:hAnsi="Courier New" w:eastAsia="宋体" w:cs="宋体"/>
      <w:lang w:val="en-US" w:eastAsia="zh-CN" w:bidi="ar-SA"/>
    </w:rPr>
  </w:style>
  <w:style w:type="paragraph" w:styleId="14">
    <w:name w:val="Date"/>
    <w:next w:val="1"/>
    <w:link w:val="45"/>
    <w:qFormat/>
    <w:uiPriority w:val="99"/>
    <w:pPr>
      <w:ind w:left="100" w:leftChars="2500"/>
    </w:pPr>
    <w:rPr>
      <w:rFonts w:ascii="宋体" w:hAnsi="宋体" w:eastAsia="宋体" w:cs="宋体"/>
      <w:color w:val="000000"/>
      <w:sz w:val="24"/>
      <w:szCs w:val="24"/>
      <w:lang w:val="en-US" w:eastAsia="zh-CN" w:bidi="ar-SA"/>
    </w:rPr>
  </w:style>
  <w:style w:type="paragraph" w:styleId="15">
    <w:name w:val="Balloon Text"/>
    <w:link w:val="46"/>
    <w:qFormat/>
    <w:uiPriority w:val="99"/>
    <w:rPr>
      <w:rFonts w:ascii="Times New Roman" w:hAnsi="Times New Roman" w:eastAsia="宋体" w:cs="Times New Roman"/>
      <w:sz w:val="18"/>
      <w:szCs w:val="18"/>
      <w:lang w:val="en-US" w:eastAsia="zh-CN" w:bidi="ar-SA"/>
    </w:rPr>
  </w:style>
  <w:style w:type="paragraph" w:styleId="16">
    <w:name w:val="footer"/>
    <w:link w:val="47"/>
    <w:qFormat/>
    <w:uiPriority w:val="99"/>
    <w:pPr>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17">
    <w:name w:val="header"/>
    <w:link w:val="48"/>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hAnsi="Times New Roman" w:eastAsia="宋体" w:cs="宋体"/>
      <w:sz w:val="18"/>
      <w:szCs w:val="18"/>
      <w:lang w:val="en-US" w:eastAsia="zh-CN" w:bidi="ar-SA"/>
    </w:rPr>
  </w:style>
  <w:style w:type="paragraph" w:styleId="18">
    <w:name w:val="toc 1"/>
    <w:next w:val="1"/>
    <w:qFormat/>
    <w:uiPriority w:val="99"/>
    <w:rPr>
      <w:rFonts w:ascii="Times New Roman" w:hAnsi="Times New Roman" w:eastAsia="宋体" w:cs="Times New Roman"/>
      <w:lang w:val="en-US" w:eastAsia="zh-CN" w:bidi="ar-SA"/>
    </w:rPr>
  </w:style>
  <w:style w:type="paragraph" w:styleId="19">
    <w:name w:val="Subtitle"/>
    <w:basedOn w:val="1"/>
    <w:next w:val="1"/>
    <w:link w:val="69"/>
    <w:qFormat/>
    <w:uiPriority w:val="0"/>
    <w:pPr>
      <w:spacing w:before="240" w:after="60" w:line="312" w:lineRule="auto"/>
      <w:jc w:val="center"/>
      <w:outlineLvl w:val="1"/>
    </w:pPr>
    <w:rPr>
      <w:rFonts w:ascii="等线 Light" w:hAnsi="等线 Light"/>
      <w:b/>
      <w:bCs/>
      <w:snapToGrid w:val="0"/>
      <w:kern w:val="28"/>
      <w:sz w:val="32"/>
      <w:szCs w:val="32"/>
    </w:rPr>
  </w:style>
  <w:style w:type="paragraph" w:styleId="20">
    <w:name w:val="toc 6"/>
    <w:basedOn w:val="1"/>
    <w:next w:val="1"/>
    <w:qFormat/>
    <w:uiPriority w:val="0"/>
    <w:pPr>
      <w:ind w:left="2100" w:leftChars="1000"/>
    </w:pPr>
    <w:rPr>
      <w:kern w:val="2"/>
      <w:sz w:val="21"/>
      <w:szCs w:val="24"/>
    </w:rPr>
  </w:style>
  <w:style w:type="paragraph" w:styleId="21">
    <w:name w:val="toc 2"/>
    <w:next w:val="1"/>
    <w:qFormat/>
    <w:uiPriority w:val="99"/>
    <w:pPr>
      <w:ind w:left="420" w:leftChars="200"/>
    </w:pPr>
    <w:rPr>
      <w:rFonts w:ascii="Times New Roman" w:hAnsi="Times New Roman" w:eastAsia="宋体" w:cs="Times New Roman"/>
      <w:lang w:val="en-US" w:eastAsia="zh-CN" w:bidi="ar-SA"/>
    </w:rPr>
  </w:style>
  <w:style w:type="paragraph" w:styleId="22">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23">
    <w:name w:val="annotation subject"/>
    <w:basedOn w:val="8"/>
    <w:next w:val="8"/>
    <w:link w:val="77"/>
    <w:qFormat/>
    <w:uiPriority w:val="0"/>
    <w:rPr>
      <w:b/>
      <w:bCs/>
    </w:rPr>
  </w:style>
  <w:style w:type="paragraph" w:styleId="24">
    <w:name w:val="Body Text First Indent"/>
    <w:basedOn w:val="9"/>
    <w:link w:val="49"/>
    <w:qFormat/>
    <w:uiPriority w:val="99"/>
    <w:pPr>
      <w:ind w:firstLine="420" w:firstLineChars="100"/>
    </w:pPr>
  </w:style>
  <w:style w:type="paragraph" w:styleId="25">
    <w:name w:val="Body Text First Indent 2"/>
    <w:basedOn w:val="11"/>
    <w:qFormat/>
    <w:uiPriority w:val="0"/>
    <w:pPr>
      <w:ind w:firstLine="420"/>
    </w:pPr>
  </w:style>
  <w:style w:type="table" w:styleId="27">
    <w:name w:val="Table Grid"/>
    <w:basedOn w:val="26"/>
    <w:qFormat/>
    <w:uiPriority w:val="3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basedOn w:val="28"/>
    <w:qFormat/>
    <w:uiPriority w:val="99"/>
    <w:rPr>
      <w:b/>
      <w:bCs/>
    </w:rPr>
  </w:style>
  <w:style w:type="character" w:styleId="30">
    <w:name w:val="page number"/>
    <w:basedOn w:val="28"/>
    <w:qFormat/>
    <w:uiPriority w:val="99"/>
  </w:style>
  <w:style w:type="character" w:styleId="31">
    <w:name w:val="Hyperlink"/>
    <w:basedOn w:val="28"/>
    <w:qFormat/>
    <w:uiPriority w:val="99"/>
    <w:rPr>
      <w:color w:val="0000FF"/>
      <w:u w:val="single"/>
    </w:rPr>
  </w:style>
  <w:style w:type="character" w:styleId="32">
    <w:name w:val="annotation reference"/>
    <w:basedOn w:val="28"/>
    <w:qFormat/>
    <w:uiPriority w:val="0"/>
    <w:rPr>
      <w:sz w:val="21"/>
      <w:szCs w:val="21"/>
    </w:rPr>
  </w:style>
  <w:style w:type="paragraph" w:customStyle="1" w:styleId="33">
    <w:name w:val="表格文字"/>
    <w:next w:val="9"/>
    <w:qFormat/>
    <w:uiPriority w:val="0"/>
    <w:pPr>
      <w:adjustRightInd w:val="0"/>
      <w:spacing w:line="420" w:lineRule="atLeast"/>
      <w:textAlignment w:val="baseline"/>
    </w:pPr>
    <w:rPr>
      <w:rFonts w:ascii="Times New Roman" w:hAnsi="Times New Roman" w:eastAsia="宋体" w:cs="Times New Roman"/>
      <w:lang w:val="en-US" w:eastAsia="zh-CN" w:bidi="ar-SA"/>
    </w:rPr>
  </w:style>
  <w:style w:type="character" w:customStyle="1" w:styleId="34">
    <w:name w:val="标题 1 字符"/>
    <w:basedOn w:val="28"/>
    <w:link w:val="3"/>
    <w:qFormat/>
    <w:uiPriority w:val="99"/>
    <w:rPr>
      <w:b/>
      <w:bCs/>
      <w:kern w:val="44"/>
      <w:sz w:val="44"/>
      <w:szCs w:val="44"/>
    </w:rPr>
  </w:style>
  <w:style w:type="character" w:customStyle="1" w:styleId="35">
    <w:name w:val="标题 2 字符"/>
    <w:basedOn w:val="28"/>
    <w:link w:val="4"/>
    <w:qFormat/>
    <w:uiPriority w:val="99"/>
    <w:rPr>
      <w:rFonts w:ascii="宋体" w:cs="宋体"/>
      <w:b/>
      <w:bCs/>
      <w:kern w:val="2"/>
      <w:sz w:val="28"/>
      <w:szCs w:val="28"/>
    </w:rPr>
  </w:style>
  <w:style w:type="character" w:customStyle="1" w:styleId="36">
    <w:name w:val="标题 3 字符"/>
    <w:basedOn w:val="28"/>
    <w:link w:val="5"/>
    <w:qFormat/>
    <w:uiPriority w:val="0"/>
    <w:rPr>
      <w:rFonts w:ascii="宋体" w:cs="宋体"/>
      <w:b/>
      <w:bCs/>
      <w:kern w:val="2"/>
      <w:sz w:val="28"/>
      <w:szCs w:val="28"/>
    </w:rPr>
  </w:style>
  <w:style w:type="character" w:customStyle="1" w:styleId="37">
    <w:name w:val="正文文本 字符"/>
    <w:basedOn w:val="28"/>
    <w:link w:val="9"/>
    <w:qFormat/>
    <w:uiPriority w:val="99"/>
    <w:rPr>
      <w:rFonts w:ascii="Times New Roman" w:hAnsi="Times New Roman"/>
      <w:szCs w:val="21"/>
    </w:rPr>
  </w:style>
  <w:style w:type="paragraph" w:customStyle="1" w:styleId="38">
    <w:name w:val="样式 表格正文 + 两端对齐"/>
    <w:next w:val="39"/>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39">
    <w:name w:val="正文1"/>
    <w:next w:val="40"/>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40">
    <w:name w:val="自动更正"/>
    <w:next w:val="4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
    <w:name w:val="xl39"/>
    <w:next w:val="42"/>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42">
    <w:name w:val="分手多日，近况如何？"/>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43">
    <w:name w:val="正文文本缩进 字符"/>
    <w:basedOn w:val="28"/>
    <w:link w:val="11"/>
    <w:qFormat/>
    <w:uiPriority w:val="99"/>
    <w:rPr>
      <w:rFonts w:ascii="Times New Roman" w:hAnsi="Times New Roman"/>
      <w:szCs w:val="21"/>
    </w:rPr>
  </w:style>
  <w:style w:type="character" w:customStyle="1" w:styleId="44">
    <w:name w:val="纯文本 字符"/>
    <w:basedOn w:val="28"/>
    <w:link w:val="13"/>
    <w:qFormat/>
    <w:uiPriority w:val="99"/>
    <w:rPr>
      <w:rFonts w:ascii="宋体" w:hAnsi="Courier New" w:cs="Courier New"/>
      <w:szCs w:val="21"/>
    </w:rPr>
  </w:style>
  <w:style w:type="character" w:customStyle="1" w:styleId="45">
    <w:name w:val="日期 字符"/>
    <w:basedOn w:val="28"/>
    <w:link w:val="14"/>
    <w:qFormat/>
    <w:uiPriority w:val="99"/>
    <w:rPr>
      <w:rFonts w:ascii="Times New Roman" w:hAnsi="Times New Roman"/>
      <w:szCs w:val="21"/>
    </w:rPr>
  </w:style>
  <w:style w:type="character" w:customStyle="1" w:styleId="46">
    <w:name w:val="批注框文本 字符"/>
    <w:basedOn w:val="28"/>
    <w:link w:val="15"/>
    <w:qFormat/>
    <w:uiPriority w:val="99"/>
    <w:rPr>
      <w:kern w:val="2"/>
      <w:sz w:val="18"/>
      <w:szCs w:val="18"/>
    </w:rPr>
  </w:style>
  <w:style w:type="character" w:customStyle="1" w:styleId="47">
    <w:name w:val="页脚 字符"/>
    <w:basedOn w:val="28"/>
    <w:link w:val="16"/>
    <w:qFormat/>
    <w:uiPriority w:val="99"/>
    <w:rPr>
      <w:rFonts w:ascii="Times New Roman" w:hAnsi="Times New Roman"/>
      <w:sz w:val="18"/>
      <w:szCs w:val="18"/>
    </w:rPr>
  </w:style>
  <w:style w:type="character" w:customStyle="1" w:styleId="48">
    <w:name w:val="页眉 字符"/>
    <w:basedOn w:val="28"/>
    <w:link w:val="17"/>
    <w:qFormat/>
    <w:uiPriority w:val="99"/>
    <w:rPr>
      <w:rFonts w:ascii="Times New Roman" w:hAnsi="Times New Roman"/>
      <w:sz w:val="18"/>
      <w:szCs w:val="18"/>
    </w:rPr>
  </w:style>
  <w:style w:type="character" w:customStyle="1" w:styleId="49">
    <w:name w:val="正文文本首行缩进 字符"/>
    <w:basedOn w:val="37"/>
    <w:link w:val="24"/>
    <w:qFormat/>
    <w:uiPriority w:val="99"/>
    <w:rPr>
      <w:rFonts w:ascii="Times New Roman" w:hAnsi="Times New Roman"/>
      <w:szCs w:val="21"/>
    </w:rPr>
  </w:style>
  <w:style w:type="paragraph" w:customStyle="1" w:styleId="50">
    <w:name w:val="正文2"/>
    <w:link w:val="72"/>
    <w:qFormat/>
    <w:uiPriority w:val="0"/>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51">
    <w:name w:val="List Paragraph1"/>
    <w:qFormat/>
    <w:uiPriority w:val="99"/>
    <w:pPr>
      <w:ind w:firstLine="420" w:firstLineChars="200"/>
    </w:pPr>
    <w:rPr>
      <w:rFonts w:ascii="Calibri" w:hAnsi="Calibri" w:eastAsia="宋体" w:cs="Calibri"/>
      <w:lang w:val="en-US" w:eastAsia="zh-CN" w:bidi="ar-SA"/>
    </w:rPr>
  </w:style>
  <w:style w:type="character" w:customStyle="1" w:styleId="52">
    <w:name w:val="style81"/>
    <w:qFormat/>
    <w:uiPriority w:val="99"/>
    <w:rPr>
      <w:sz w:val="20"/>
      <w:szCs w:val="20"/>
    </w:rPr>
  </w:style>
  <w:style w:type="paragraph" w:customStyle="1" w:styleId="53">
    <w:name w:val="列出段落1"/>
    <w:qFormat/>
    <w:uiPriority w:val="99"/>
    <w:pPr>
      <w:ind w:firstLine="420"/>
    </w:pPr>
    <w:rPr>
      <w:rFonts w:ascii="Times New Roman" w:hAnsi="Times New Roman" w:eastAsia="宋体" w:cs="Times New Roman"/>
      <w:lang w:val="en-US" w:eastAsia="zh-CN" w:bidi="ar-SA"/>
    </w:rPr>
  </w:style>
  <w:style w:type="paragraph" w:customStyle="1" w:styleId="54">
    <w:name w:val="表格"/>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55">
    <w:name w:val="02 Char"/>
    <w:link w:val="56"/>
    <w:qFormat/>
    <w:uiPriority w:val="99"/>
    <w:rPr>
      <w:rFonts w:ascii="宋体" w:cs="宋体"/>
      <w:b/>
      <w:bCs/>
      <w:color w:val="FF0000"/>
      <w:kern w:val="2"/>
      <w:sz w:val="28"/>
      <w:szCs w:val="28"/>
    </w:rPr>
  </w:style>
  <w:style w:type="paragraph" w:customStyle="1" w:styleId="56">
    <w:name w:val="02"/>
    <w:basedOn w:val="4"/>
    <w:link w:val="55"/>
    <w:qFormat/>
    <w:uiPriority w:val="99"/>
    <w:pPr>
      <w:jc w:val="center"/>
    </w:pPr>
    <w:rPr>
      <w:color w:val="FF0000"/>
    </w:rPr>
  </w:style>
  <w:style w:type="character" w:customStyle="1" w:styleId="57">
    <w:name w:val="03 Char"/>
    <w:link w:val="58"/>
    <w:qFormat/>
    <w:uiPriority w:val="99"/>
    <w:rPr>
      <w:rFonts w:ascii="宋体" w:cs="宋体"/>
      <w:b/>
      <w:bCs/>
      <w:kern w:val="2"/>
      <w:sz w:val="28"/>
      <w:szCs w:val="28"/>
    </w:rPr>
  </w:style>
  <w:style w:type="paragraph" w:customStyle="1" w:styleId="58">
    <w:name w:val="03"/>
    <w:basedOn w:val="5"/>
    <w:link w:val="57"/>
    <w:qFormat/>
    <w:uiPriority w:val="99"/>
    <w:pPr>
      <w:numPr>
        <w:ilvl w:val="0"/>
        <w:numId w:val="0"/>
      </w:numPr>
    </w:pPr>
  </w:style>
  <w:style w:type="character" w:customStyle="1" w:styleId="59">
    <w:name w:val="宋体小四 Char"/>
    <w:link w:val="60"/>
    <w:qFormat/>
    <w:uiPriority w:val="99"/>
    <w:rPr>
      <w:rFonts w:ascii="宋体" w:eastAsia="宋体" w:cs="宋体"/>
      <w:kern w:val="2"/>
      <w:sz w:val="24"/>
      <w:szCs w:val="24"/>
    </w:rPr>
  </w:style>
  <w:style w:type="paragraph" w:customStyle="1" w:styleId="60">
    <w:name w:val="宋体小四"/>
    <w:link w:val="59"/>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61">
    <w:name w:val="fontstyle01"/>
    <w:basedOn w:val="28"/>
    <w:qFormat/>
    <w:uiPriority w:val="99"/>
    <w:rPr>
      <w:rFonts w:ascii="宋体" w:eastAsia="宋体" w:cs="宋体"/>
      <w:color w:val="000000"/>
      <w:sz w:val="22"/>
      <w:szCs w:val="22"/>
    </w:rPr>
  </w:style>
  <w:style w:type="paragraph" w:customStyle="1" w:styleId="62">
    <w:name w:val="正文首行缩进2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63">
    <w:name w:val="居中表格内容标题"/>
    <w:basedOn w:val="64"/>
    <w:qFormat/>
    <w:uiPriority w:val="0"/>
    <w:pPr>
      <w:jc w:val="center"/>
    </w:pPr>
    <w:rPr>
      <w:b/>
    </w:rPr>
  </w:style>
  <w:style w:type="paragraph" w:customStyle="1" w:styleId="64">
    <w:name w:val="居中表格内容"/>
    <w:qFormat/>
    <w:uiPriority w:val="0"/>
    <w:rPr>
      <w:rFonts w:ascii="Times New Roman" w:hAnsi="Times New Roman" w:eastAsia="宋体" w:cs="Times New Roman"/>
      <w:szCs w:val="28"/>
      <w:lang w:val="en-US" w:eastAsia="zh-CN" w:bidi="ar-SA"/>
    </w:rPr>
  </w:style>
  <w:style w:type="paragraph" w:customStyle="1" w:styleId="65">
    <w:name w:val="列出段落2"/>
    <w:link w:val="66"/>
    <w:qFormat/>
    <w:uiPriority w:val="34"/>
    <w:pPr>
      <w:ind w:firstLine="420" w:firstLineChars="200"/>
    </w:pPr>
    <w:rPr>
      <w:rFonts w:ascii="Times New Roman" w:hAnsi="Times New Roman" w:eastAsia="宋体" w:cs="Times New Roman"/>
      <w:lang w:val="en-US" w:eastAsia="zh-CN" w:bidi="ar-SA"/>
    </w:rPr>
  </w:style>
  <w:style w:type="character" w:customStyle="1" w:styleId="66">
    <w:name w:val="列表段落 字符"/>
    <w:basedOn w:val="28"/>
    <w:link w:val="65"/>
    <w:qFormat/>
    <w:uiPriority w:val="34"/>
  </w:style>
  <w:style w:type="table" w:customStyle="1" w:styleId="67">
    <w:name w:val="网格型浅色1"/>
    <w:basedOn w:val="26"/>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style>
  <w:style w:type="paragraph" w:customStyle="1" w:styleId="68">
    <w:name w:val="正文（首行缩进2字符）"/>
    <w:basedOn w:val="1"/>
    <w:qFormat/>
    <w:uiPriority w:val="0"/>
    <w:pPr>
      <w:spacing w:line="360" w:lineRule="auto"/>
      <w:ind w:firstLine="480" w:firstLineChars="200"/>
    </w:pPr>
    <w:rPr>
      <w:kern w:val="2"/>
      <w:sz w:val="24"/>
    </w:rPr>
  </w:style>
  <w:style w:type="character" w:customStyle="1" w:styleId="69">
    <w:name w:val="副标题 字符"/>
    <w:basedOn w:val="28"/>
    <w:link w:val="19"/>
    <w:qFormat/>
    <w:uiPriority w:val="0"/>
    <w:rPr>
      <w:rFonts w:ascii="等线 Light" w:hAnsi="等线 Light"/>
      <w:b/>
      <w:bCs/>
      <w:snapToGrid w:val="0"/>
      <w:kern w:val="28"/>
      <w:sz w:val="32"/>
      <w:szCs w:val="32"/>
    </w:rPr>
  </w:style>
  <w:style w:type="paragraph" w:customStyle="1" w:styleId="70">
    <w:name w:val="正文小四"/>
    <w:basedOn w:val="1"/>
    <w:qFormat/>
    <w:uiPriority w:val="0"/>
    <w:pPr>
      <w:widowControl/>
      <w:spacing w:line="360" w:lineRule="auto"/>
      <w:ind w:firstLine="200" w:firstLineChars="200"/>
      <w:jc w:val="left"/>
    </w:pPr>
    <w:rPr>
      <w:rFonts w:ascii="Calibri" w:hAnsi="Calibri" w:eastAsia="仿宋"/>
      <w:snapToGrid w:val="0"/>
      <w:sz w:val="24"/>
      <w:szCs w:val="21"/>
    </w:rPr>
  </w:style>
  <w:style w:type="paragraph" w:customStyle="1" w:styleId="71">
    <w:name w:val="样式x"/>
    <w:basedOn w:val="5"/>
    <w:qFormat/>
    <w:uiPriority w:val="0"/>
    <w:pPr>
      <w:widowControl w:val="0"/>
      <w:numPr>
        <w:numId w:val="0"/>
      </w:numPr>
      <w:ind w:left="1275" w:hanging="720"/>
      <w:jc w:val="both"/>
    </w:pPr>
    <w:rPr>
      <w:rFonts w:hAnsi="Times New Roman" w:eastAsia="仿宋" w:cs="Times New Roman"/>
      <w:bCs w:val="0"/>
      <w:snapToGrid w:val="0"/>
      <w:kern w:val="2"/>
      <w:szCs w:val="20"/>
    </w:rPr>
  </w:style>
  <w:style w:type="character" w:customStyle="1" w:styleId="72">
    <w:name w:val="正文2 Char Char"/>
    <w:link w:val="50"/>
    <w:qFormat/>
    <w:uiPriority w:val="0"/>
    <w:rPr>
      <w:sz w:val="24"/>
      <w:szCs w:val="24"/>
    </w:rPr>
  </w:style>
  <w:style w:type="character" w:customStyle="1" w:styleId="73">
    <w:name w:val="正文缩进 字符"/>
    <w:link w:val="7"/>
    <w:qFormat/>
    <w:uiPriority w:val="0"/>
  </w:style>
  <w:style w:type="paragraph" w:customStyle="1" w:styleId="74">
    <w:name w:val="_Style 1"/>
    <w:basedOn w:val="1"/>
    <w:qFormat/>
    <w:uiPriority w:val="34"/>
    <w:pPr>
      <w:ind w:firstLine="420" w:firstLineChars="200"/>
    </w:pPr>
    <w:rPr>
      <w:rFonts w:ascii="Calibri" w:hAnsi="Calibri" w:eastAsia="仿宋_GB2312"/>
      <w:kern w:val="2"/>
      <w:sz w:val="28"/>
      <w:szCs w:val="24"/>
    </w:rPr>
  </w:style>
  <w:style w:type="character" w:customStyle="1" w:styleId="75">
    <w:name w:val="font21"/>
    <w:basedOn w:val="28"/>
    <w:qFormat/>
    <w:uiPriority w:val="0"/>
    <w:rPr>
      <w:rFonts w:hint="eastAsia" w:ascii="宋体" w:hAnsi="宋体" w:eastAsia="宋体" w:cs="宋体"/>
      <w:color w:val="000000"/>
      <w:sz w:val="24"/>
      <w:szCs w:val="24"/>
      <w:u w:val="none"/>
    </w:rPr>
  </w:style>
  <w:style w:type="character" w:customStyle="1" w:styleId="76">
    <w:name w:val="批注文字 字符"/>
    <w:basedOn w:val="28"/>
    <w:link w:val="8"/>
    <w:qFormat/>
    <w:uiPriority w:val="0"/>
  </w:style>
  <w:style w:type="character" w:customStyle="1" w:styleId="77">
    <w:name w:val="批注主题 字符"/>
    <w:basedOn w:val="76"/>
    <w:link w:val="23"/>
    <w:qFormat/>
    <w:uiPriority w:val="0"/>
    <w:rPr>
      <w:b/>
      <w:bCs/>
    </w:rPr>
  </w:style>
  <w:style w:type="paragraph" w:customStyle="1" w:styleId="78">
    <w:name w:val="修订1"/>
    <w:hidden/>
    <w:semiHidden/>
    <w:qFormat/>
    <w:uiPriority w:val="99"/>
    <w:rPr>
      <w:rFonts w:ascii="Times New Roman" w:hAnsi="Times New Roman" w:eastAsia="宋体" w:cs="Times New Roman"/>
      <w:lang w:val="en-US" w:eastAsia="zh-CN" w:bidi="ar-SA"/>
    </w:rPr>
  </w:style>
  <w:style w:type="paragraph" w:styleId="79">
    <w:name w:val="List Paragraph"/>
    <w:basedOn w:val="1"/>
    <w:qFormat/>
    <w:uiPriority w:val="99"/>
    <w:pPr>
      <w:ind w:firstLine="420" w:firstLineChars="200"/>
    </w:pPr>
  </w:style>
  <w:style w:type="paragraph" w:customStyle="1" w:styleId="80">
    <w:name w:val="修订2"/>
    <w:hidden/>
    <w:semiHidden/>
    <w:qFormat/>
    <w:uiPriority w:val="99"/>
    <w:rPr>
      <w:rFonts w:ascii="Times New Roman" w:hAnsi="Times New Roman" w:eastAsia="宋体" w:cs="Times New Roman"/>
      <w:lang w:val="en-US" w:eastAsia="zh-CN" w:bidi="ar-SA"/>
    </w:rPr>
  </w:style>
  <w:style w:type="paragraph" w:customStyle="1" w:styleId="81">
    <w:name w:val="Revision"/>
    <w:hidden/>
    <w:semiHidden/>
    <w:qFormat/>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50</Pages>
  <Words>23872</Words>
  <Characters>25147</Characters>
  <Lines>40</Lines>
  <Paragraphs>57</Paragraphs>
  <TotalTime>23</TotalTime>
  <ScaleCrop>false</ScaleCrop>
  <LinksUpToDate>false</LinksUpToDate>
  <CharactersWithSpaces>26237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2023-01-16T04:19:00Z</dcterms:created>
  <dc:creator>陈圣楠</dc:creator>
  <cp:lastModifiedBy>等1406079565</cp:lastModifiedBy>
  <cp:lastPrinted>2023-02-22T08:10:00Z</cp:lastPrinted>
  <dcterms:modified xsi:type="dcterms:W3CDTF">2024-04-03T12:26:41Z</dcterms:modified>
  <dc:title>浙江绍兴上虞人民调解服务标准化</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1ABD3451DB7D402AA4C117454192C1A5</vt:lpwstr>
  </property>
</Properties>
</file>