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Lines="0" w:afterLines="0"/>
        <w:jc w:val="center"/>
        <w:rPr>
          <w:rFonts w:ascii="宋体" w:hAnsi="宋体" w:eastAsia="宋体" w:cs="宋体"/>
          <w:b/>
          <w:bCs w:val="0"/>
          <w:szCs w:val="32"/>
        </w:rPr>
      </w:pPr>
      <w:r>
        <w:rPr>
          <w:rFonts w:hint="eastAsia" w:ascii="宋体" w:hAnsi="宋体" w:eastAsia="宋体" w:cs="宋体"/>
          <w:b/>
          <w:bCs w:val="0"/>
          <w:szCs w:val="32"/>
        </w:rPr>
        <w:t>公开招标采购公告</w:t>
      </w:r>
    </w:p>
    <w:p>
      <w:pPr>
        <w:pStyle w:val="6"/>
        <w:widowControl w:val="0"/>
        <w:spacing w:afterLines="0" w:line="400" w:lineRule="exact"/>
        <w:ind w:firstLine="420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>受</w:t>
      </w:r>
      <w:r>
        <w:rPr>
          <w:rFonts w:hint="eastAsia" w:ascii="宋体" w:hAnsi="宋体"/>
          <w:b/>
          <w:sz w:val="21"/>
          <w:u w:val="single"/>
        </w:rPr>
        <w:t>金华市金义综合保税区建设发展有限公司</w:t>
      </w:r>
      <w:r>
        <w:rPr>
          <w:rFonts w:hint="eastAsia" w:ascii="宋体" w:hAnsi="宋体"/>
          <w:sz w:val="21"/>
        </w:rPr>
        <w:t>委托，现就</w:t>
      </w:r>
      <w:r>
        <w:rPr>
          <w:rFonts w:hint="eastAsia" w:ascii="宋体" w:hAnsi="宋体"/>
          <w:b/>
          <w:sz w:val="21"/>
          <w:u w:val="single"/>
        </w:rPr>
        <w:t>该公司金义综保区景澜酒店开办物资宴会家具类招标</w:t>
      </w:r>
      <w:r>
        <w:rPr>
          <w:rFonts w:hint="eastAsia" w:ascii="宋体" w:hAnsi="宋体"/>
          <w:sz w:val="21"/>
        </w:rPr>
        <w:t>进行公开招标采购，欢迎有供货能力的供应商前来投标：</w:t>
      </w:r>
    </w:p>
    <w:p>
      <w:pPr>
        <w:spacing w:line="440" w:lineRule="exact"/>
        <w:ind w:firstLine="420" w:firstLineChars="200"/>
        <w:rPr>
          <w:rFonts w:hint="eastAsia" w:ascii="仿宋_GB2312" w:eastAsia="宋体"/>
          <w:b/>
          <w:szCs w:val="21"/>
          <w:lang w:eastAsia="zh-CN"/>
        </w:rPr>
      </w:pPr>
      <w:r>
        <w:rPr>
          <w:rFonts w:hint="eastAsia" w:ascii="宋体" w:hAnsi="宋体"/>
        </w:rPr>
        <w:t>一、</w:t>
      </w:r>
      <w:r>
        <w:rPr>
          <w:rFonts w:hint="eastAsia" w:ascii="宋体" w:hAnsi="宋体"/>
          <w:b/>
        </w:rPr>
        <w:t>项目编号：</w:t>
      </w:r>
      <w:r>
        <w:rPr>
          <w:rFonts w:hint="eastAsia" w:ascii="宋体" w:hAnsi="宋体"/>
          <w:b/>
          <w:lang w:eastAsia="zh-CN"/>
        </w:rPr>
        <w:t>ZC2018-HW001-ZFCG00</w:t>
      </w:r>
      <w:r>
        <w:rPr>
          <w:rFonts w:hint="eastAsia" w:ascii="宋体" w:hAnsi="宋体"/>
          <w:b/>
          <w:lang w:val="en-US" w:eastAsia="zh-CN"/>
        </w:rPr>
        <w:t>9</w:t>
      </w:r>
      <w:bookmarkStart w:id="0" w:name="_GoBack"/>
      <w:bookmarkEnd w:id="0"/>
    </w:p>
    <w:p>
      <w:pPr>
        <w:snapToGrid w:val="0"/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二、</w:t>
      </w:r>
      <w:r>
        <w:rPr>
          <w:rFonts w:hint="eastAsia" w:ascii="宋体" w:hAnsi="宋体"/>
          <w:b/>
        </w:rPr>
        <w:t>采购方式：</w:t>
      </w:r>
      <w:r>
        <w:rPr>
          <w:rFonts w:hint="eastAsia" w:ascii="宋体" w:hAnsi="宋体"/>
        </w:rPr>
        <w:t>公开招标</w:t>
      </w:r>
    </w:p>
    <w:p>
      <w:pPr>
        <w:snapToGrid w:val="0"/>
        <w:spacing w:line="400" w:lineRule="exact"/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三、采购内容及数量：</w:t>
      </w:r>
    </w:p>
    <w:tbl>
      <w:tblPr>
        <w:tblStyle w:val="5"/>
        <w:tblW w:w="7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80"/>
        <w:gridCol w:w="325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采购内容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</w:rPr>
              <w:t>宴会家具类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ind w:left="-485" w:leftChars="-231" w:firstLine="646" w:firstLineChars="29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具体技术参数详见《第五章</w:t>
            </w:r>
            <w:r>
              <w:rPr>
                <w:rFonts w:hint="eastAsia" w:hAnsi="宋体"/>
                <w:szCs w:val="21"/>
              </w:rPr>
              <w:t>招标清单及技术要求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》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86.86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万元</w:t>
            </w:r>
          </w:p>
        </w:tc>
      </w:tr>
    </w:tbl>
    <w:p>
      <w:pPr>
        <w:snapToGrid w:val="0"/>
        <w:spacing w:line="400" w:lineRule="exac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四、合格投标人的资格要求</w:t>
      </w:r>
    </w:p>
    <w:p>
      <w:pPr>
        <w:spacing w:line="40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b/>
          <w:szCs w:val="21"/>
        </w:rPr>
        <w:t>.1</w:t>
      </w:r>
      <w:r>
        <w:rPr>
          <w:rFonts w:hint="eastAsia"/>
          <w:b/>
          <w:szCs w:val="21"/>
        </w:rPr>
        <w:t>投标产品</w:t>
      </w:r>
      <w:r>
        <w:rPr>
          <w:rFonts w:hint="eastAsia" w:ascii="宋体" w:hAnsi="宋体"/>
          <w:b/>
          <w:szCs w:val="21"/>
        </w:rPr>
        <w:t>厂家自主生产且</w:t>
      </w:r>
      <w:r>
        <w:rPr>
          <w:rFonts w:hint="eastAsia"/>
          <w:b/>
          <w:szCs w:val="21"/>
        </w:rPr>
        <w:t>营业执照经营范围具有本项目经营资格的，所投产品制造商或厂家。</w:t>
      </w:r>
    </w:p>
    <w:p>
      <w:pPr>
        <w:spacing w:line="400" w:lineRule="exact"/>
        <w:ind w:firstLine="422" w:firstLineChars="20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4</w:t>
      </w:r>
      <w:r>
        <w:rPr>
          <w:b/>
          <w:color w:val="FF0000"/>
          <w:szCs w:val="21"/>
        </w:rPr>
        <w:t>.2</w:t>
      </w:r>
      <w:r>
        <w:rPr>
          <w:rFonts w:hint="eastAsia"/>
          <w:b/>
          <w:color w:val="FF0000"/>
          <w:szCs w:val="21"/>
        </w:rPr>
        <w:t>本项目推荐品牌：愈丰、航丰、集尚、易丰、如蕾尔；</w:t>
      </w:r>
    </w:p>
    <w:p>
      <w:pPr>
        <w:spacing w:line="40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b/>
          <w:szCs w:val="21"/>
        </w:rPr>
        <w:t>.3</w:t>
      </w:r>
      <w:r>
        <w:rPr>
          <w:rFonts w:hint="eastAsia"/>
          <w:b/>
          <w:szCs w:val="21"/>
        </w:rPr>
        <w:t>制造商企业注册资金大于壹佰万元整（人民币）及以上；</w:t>
      </w:r>
    </w:p>
    <w:p>
      <w:pPr>
        <w:spacing w:line="400" w:lineRule="exact"/>
        <w:ind w:firstLine="422" w:firstLineChars="20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.4</w:t>
      </w:r>
      <w:r>
        <w:rPr>
          <w:rFonts w:ascii="宋体"/>
          <w:b/>
          <w:szCs w:val="21"/>
        </w:rPr>
        <w:t xml:space="preserve"> </w:t>
      </w:r>
      <w:r>
        <w:rPr>
          <w:rFonts w:hint="eastAsia" w:ascii="宋体"/>
          <w:b/>
          <w:szCs w:val="21"/>
        </w:rPr>
        <w:t>制造商厂家需通过环保主管部门验收并提供相应证明材料；</w:t>
      </w:r>
    </w:p>
    <w:p>
      <w:pPr>
        <w:spacing w:line="400" w:lineRule="exact"/>
        <w:ind w:firstLine="422" w:firstLineChars="200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4</w:t>
      </w:r>
      <w:r>
        <w:rPr>
          <w:rFonts w:ascii="宋体"/>
          <w:b/>
          <w:szCs w:val="21"/>
        </w:rPr>
        <w:t>.5</w:t>
      </w:r>
      <w:r>
        <w:rPr>
          <w:rFonts w:hint="eastAsia" w:ascii="宋体"/>
          <w:b/>
          <w:szCs w:val="21"/>
        </w:rPr>
        <w:t>欢迎同档次及以上品牌参与投标；</w:t>
      </w:r>
    </w:p>
    <w:p>
      <w:pPr>
        <w:spacing w:line="400" w:lineRule="exact"/>
        <w:ind w:firstLine="422" w:firstLineChars="200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.4</w:t>
      </w:r>
      <w:r>
        <w:rPr>
          <w:rFonts w:hint="eastAsia" w:ascii="宋体"/>
          <w:b/>
          <w:szCs w:val="21"/>
        </w:rPr>
        <w:t>同档次及以上品牌</w:t>
      </w:r>
      <w:r>
        <w:rPr>
          <w:rFonts w:hint="eastAsia" w:ascii="宋体" w:hAnsi="宋体"/>
          <w:b/>
          <w:szCs w:val="21"/>
        </w:rPr>
        <w:t>须提供</w:t>
      </w:r>
      <w:r>
        <w:rPr>
          <w:rFonts w:ascii="宋体" w:hAnsi="宋体"/>
          <w:b/>
          <w:szCs w:val="21"/>
        </w:rPr>
        <w:t>2015</w:t>
      </w:r>
      <w:r>
        <w:rPr>
          <w:rFonts w:hint="eastAsia" w:ascii="宋体" w:hAnsi="宋体"/>
          <w:b/>
          <w:szCs w:val="21"/>
        </w:rPr>
        <w:t>年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日（以合同签订时间为准）以来的一个及以上的全国范围区域内的星级酒店项目合同金额</w:t>
      </w:r>
      <w:r>
        <w:rPr>
          <w:rFonts w:ascii="宋体" w:hAnsi="宋体"/>
          <w:b/>
          <w:szCs w:val="21"/>
        </w:rPr>
        <w:t>40</w:t>
      </w:r>
      <w:r>
        <w:rPr>
          <w:rFonts w:hint="eastAsia" w:ascii="宋体" w:hAnsi="宋体"/>
          <w:b/>
          <w:szCs w:val="21"/>
        </w:rPr>
        <w:t>万元及以上的宴会类家具供货业绩证明材料，须提供供货合同（包括项目名称、合同金额、合同签定日期、用户单位名称、地址）；</w:t>
      </w:r>
      <w:r>
        <w:rPr>
          <w:rFonts w:ascii="宋体" w:hAnsi="宋体"/>
          <w:b/>
          <w:color w:val="FF0000"/>
          <w:szCs w:val="21"/>
        </w:rPr>
        <w:t xml:space="preserve"> 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6本项目谢绝联合体投标。</w:t>
      </w:r>
    </w:p>
    <w:p>
      <w:pPr>
        <w:snapToGrid w:val="0"/>
        <w:spacing w:line="420" w:lineRule="exact"/>
        <w:ind w:left="13" w:leftChars="6" w:firstLine="261" w:firstLineChars="124"/>
        <w:rPr>
          <w:rFonts w:ascii="宋体" w:hAnsi="宋体"/>
        </w:rPr>
      </w:pPr>
      <w:r>
        <w:rPr>
          <w:rFonts w:hint="eastAsia" w:ascii="宋体" w:hAnsi="宋体"/>
          <w:b/>
        </w:rPr>
        <w:t>五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b/>
        </w:rPr>
        <w:t>招标文件的发售</w:t>
      </w:r>
      <w:r>
        <w:rPr>
          <w:rFonts w:hint="eastAsia" w:ascii="宋体" w:hAnsi="宋体"/>
        </w:rPr>
        <w:t>：</w:t>
      </w:r>
    </w:p>
    <w:p>
      <w:pPr>
        <w:snapToGrid w:val="0"/>
        <w:spacing w:line="420" w:lineRule="exact"/>
        <w:ind w:left="13" w:leftChars="6" w:firstLine="260" w:firstLineChars="124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、发售时间：</w:t>
      </w:r>
      <w:r>
        <w:rPr>
          <w:rFonts w:ascii="宋体" w:hAnsi="宋体"/>
          <w:b/>
          <w:u w:val="single"/>
        </w:rPr>
        <w:t>20</w:t>
      </w:r>
      <w:r>
        <w:rPr>
          <w:rFonts w:hint="eastAsia" w:ascii="宋体" w:hAnsi="宋体"/>
          <w:b/>
          <w:u w:val="single"/>
        </w:rPr>
        <w:t>18</w:t>
      </w:r>
      <w:r>
        <w:rPr>
          <w:rFonts w:hint="eastAsia" w:ascii="宋体" w:hAnsi="宋体"/>
          <w:b/>
        </w:rPr>
        <w:t>年</w:t>
      </w:r>
      <w:r>
        <w:rPr>
          <w:rFonts w:hint="eastAsia" w:ascii="宋体" w:hAnsi="宋体"/>
          <w:b/>
          <w:u w:val="single"/>
        </w:rPr>
        <w:t xml:space="preserve"> </w:t>
      </w:r>
      <w:r>
        <w:rPr>
          <w:rFonts w:ascii="宋体" w:hAnsi="宋体"/>
          <w:b/>
          <w:u w:val="single"/>
        </w:rPr>
        <w:t>9</w:t>
      </w:r>
      <w:r>
        <w:rPr>
          <w:rFonts w:hint="eastAsia" w:ascii="宋体" w:hAnsi="宋体"/>
          <w:b/>
        </w:rPr>
        <w:t>月</w:t>
      </w:r>
      <w:r>
        <w:rPr>
          <w:rFonts w:hint="eastAsia" w:ascii="宋体" w:hAnsi="宋体"/>
          <w:b/>
          <w:u w:val="single"/>
        </w:rPr>
        <w:t xml:space="preserve"> </w:t>
      </w:r>
      <w:r>
        <w:rPr>
          <w:rFonts w:ascii="宋体" w:hAnsi="宋体"/>
          <w:b/>
          <w:u w:val="single"/>
        </w:rPr>
        <w:t>17</w:t>
      </w:r>
      <w:r>
        <w:rPr>
          <w:rFonts w:hint="eastAsia" w:ascii="宋体" w:hAnsi="宋体"/>
          <w:b/>
        </w:rPr>
        <w:t>日至</w:t>
      </w:r>
      <w:r>
        <w:rPr>
          <w:rFonts w:ascii="宋体" w:hAnsi="宋体"/>
          <w:b/>
          <w:u w:val="single"/>
        </w:rPr>
        <w:t>20</w:t>
      </w:r>
      <w:r>
        <w:rPr>
          <w:rFonts w:hint="eastAsia" w:ascii="宋体" w:hAnsi="宋体"/>
          <w:b/>
          <w:u w:val="single"/>
        </w:rPr>
        <w:t>18</w:t>
      </w:r>
      <w:r>
        <w:rPr>
          <w:rFonts w:hint="eastAsia" w:ascii="宋体" w:hAnsi="宋体"/>
          <w:b/>
        </w:rPr>
        <w:t>年</w:t>
      </w:r>
      <w:r>
        <w:rPr>
          <w:rFonts w:hint="eastAsia" w:ascii="宋体" w:hAnsi="宋体"/>
          <w:b/>
          <w:u w:val="single"/>
        </w:rPr>
        <w:t xml:space="preserve"> </w:t>
      </w:r>
      <w:r>
        <w:rPr>
          <w:rFonts w:ascii="宋体" w:hAnsi="宋体"/>
          <w:b/>
          <w:u w:val="single"/>
        </w:rPr>
        <w:t>9</w:t>
      </w:r>
      <w:r>
        <w:rPr>
          <w:rFonts w:hint="eastAsia" w:ascii="宋体" w:hAnsi="宋体"/>
          <w:b/>
        </w:rPr>
        <w:t>月</w:t>
      </w:r>
      <w:r>
        <w:rPr>
          <w:rFonts w:hint="eastAsia" w:ascii="宋体" w:hAnsi="宋体"/>
          <w:b/>
          <w:u w:val="single"/>
        </w:rPr>
        <w:t xml:space="preserve"> </w:t>
      </w:r>
      <w:r>
        <w:rPr>
          <w:rFonts w:ascii="宋体" w:hAnsi="宋体"/>
          <w:b/>
          <w:u w:val="single"/>
        </w:rPr>
        <w:t>21</w:t>
      </w:r>
      <w:r>
        <w:rPr>
          <w:rFonts w:hint="eastAsia" w:ascii="宋体" w:hAnsi="宋体"/>
          <w:b/>
          <w:u w:val="single"/>
        </w:rPr>
        <w:t xml:space="preserve"> </w:t>
      </w:r>
      <w:r>
        <w:rPr>
          <w:rFonts w:hint="eastAsia" w:ascii="宋体" w:hAnsi="宋体"/>
          <w:b/>
        </w:rPr>
        <w:t>日；上午：</w:t>
      </w:r>
      <w:r>
        <w:rPr>
          <w:rFonts w:ascii="宋体" w:hAnsi="宋体"/>
          <w:b/>
          <w:u w:val="single"/>
        </w:rPr>
        <w:t>8</w:t>
      </w:r>
      <w:r>
        <w:rPr>
          <w:rFonts w:hint="eastAsia" w:ascii="宋体" w:hAnsi="宋体"/>
          <w:b/>
          <w:u w:val="single"/>
        </w:rPr>
        <w:t>：</w:t>
      </w:r>
      <w:r>
        <w:rPr>
          <w:rFonts w:ascii="宋体" w:hAnsi="宋体"/>
          <w:b/>
          <w:u w:val="single"/>
        </w:rPr>
        <w:t>30-</w:t>
      </w:r>
      <w:r>
        <w:rPr>
          <w:rFonts w:hint="eastAsia" w:ascii="宋体" w:hAnsi="宋体"/>
          <w:b/>
          <w:u w:val="single"/>
        </w:rPr>
        <w:t>11：3</w:t>
      </w:r>
      <w:r>
        <w:rPr>
          <w:rFonts w:ascii="宋体" w:hAnsi="宋体"/>
          <w:b/>
          <w:u w:val="single"/>
        </w:rPr>
        <w:t>0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>；下午：</w:t>
      </w:r>
      <w:r>
        <w:rPr>
          <w:rFonts w:ascii="宋体" w:hAnsi="宋体"/>
          <w:b/>
          <w:u w:val="single"/>
        </w:rPr>
        <w:t>1</w:t>
      </w:r>
      <w:r>
        <w:rPr>
          <w:rFonts w:hint="eastAsia" w:ascii="宋体" w:hAnsi="宋体"/>
          <w:b/>
          <w:u w:val="single"/>
        </w:rPr>
        <w:t>4：0</w:t>
      </w:r>
      <w:r>
        <w:rPr>
          <w:rFonts w:ascii="宋体" w:hAnsi="宋体"/>
          <w:b/>
          <w:u w:val="single"/>
        </w:rPr>
        <w:t>0-17</w:t>
      </w:r>
      <w:r>
        <w:rPr>
          <w:rFonts w:hint="eastAsia" w:ascii="宋体" w:hAnsi="宋体"/>
          <w:b/>
          <w:u w:val="single"/>
        </w:rPr>
        <w:t>：</w:t>
      </w:r>
      <w:r>
        <w:rPr>
          <w:rFonts w:ascii="宋体" w:hAnsi="宋体"/>
          <w:b/>
          <w:u w:val="single"/>
        </w:rPr>
        <w:t>00</w:t>
      </w:r>
      <w:r>
        <w:rPr>
          <w:rFonts w:hint="eastAsia" w:ascii="宋体" w:hAnsi="宋体"/>
        </w:rPr>
        <w:t>（双休日及法定节假日除外）。</w:t>
      </w:r>
    </w:p>
    <w:p>
      <w:pPr>
        <w:snapToGrid w:val="0"/>
        <w:spacing w:line="420" w:lineRule="exact"/>
        <w:ind w:left="13" w:leftChars="6" w:firstLine="260" w:firstLineChars="124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、发售地点：</w:t>
      </w:r>
      <w:r>
        <w:rPr>
          <w:rFonts w:hint="eastAsia" w:ascii="宋体" w:hAnsi="宋体" w:cs="宋体"/>
          <w:kern w:val="0"/>
          <w:szCs w:val="21"/>
        </w:rPr>
        <w:t>金华市李渔路1103号宝莲大厦A座11楼</w:t>
      </w:r>
      <w:r>
        <w:rPr>
          <w:rFonts w:hint="eastAsia" w:ascii="宋体" w:hAnsi="宋体"/>
        </w:rPr>
        <w:t>。</w:t>
      </w:r>
    </w:p>
    <w:p>
      <w:pPr>
        <w:snapToGrid w:val="0"/>
        <w:spacing w:line="420" w:lineRule="exact"/>
        <w:ind w:left="13" w:leftChars="6" w:firstLine="260" w:firstLineChars="124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、售价：招标文件500元/份，售后不退。</w:t>
      </w:r>
    </w:p>
    <w:p>
      <w:pPr>
        <w:pStyle w:val="3"/>
        <w:spacing w:line="420" w:lineRule="exact"/>
        <w:ind w:left="13" w:leftChars="6" w:firstLine="260" w:firstLineChars="124"/>
        <w:rPr>
          <w:sz w:val="21"/>
        </w:rPr>
      </w:pPr>
      <w:r>
        <w:rPr>
          <w:rFonts w:hint="eastAsia"/>
          <w:sz w:val="21"/>
        </w:rPr>
        <w:t>招标文件发售截止时间后至</w:t>
      </w:r>
      <w:r>
        <w:rPr>
          <w:rFonts w:hint="eastAsia"/>
          <w:sz w:val="21"/>
          <w:u w:val="single"/>
        </w:rPr>
        <w:t>2018年</w:t>
      </w:r>
      <w:r>
        <w:rPr>
          <w:sz w:val="21"/>
          <w:u w:val="single"/>
        </w:rPr>
        <w:t>9</w:t>
      </w:r>
      <w:r>
        <w:rPr>
          <w:rFonts w:hint="eastAsia"/>
          <w:sz w:val="21"/>
          <w:u w:val="single"/>
        </w:rPr>
        <w:t xml:space="preserve"> 月</w:t>
      </w:r>
      <w:r>
        <w:rPr>
          <w:sz w:val="21"/>
          <w:u w:val="single"/>
        </w:rPr>
        <w:t>29</w:t>
      </w:r>
      <w:r>
        <w:rPr>
          <w:rFonts w:hint="eastAsia"/>
          <w:sz w:val="21"/>
          <w:u w:val="single"/>
        </w:rPr>
        <w:t>日1</w:t>
      </w:r>
      <w:r>
        <w:rPr>
          <w:sz w:val="21"/>
          <w:u w:val="single"/>
        </w:rPr>
        <w:t>5</w:t>
      </w:r>
      <w:r>
        <w:rPr>
          <w:rFonts w:hint="eastAsia"/>
          <w:sz w:val="21"/>
          <w:u w:val="single"/>
        </w:rPr>
        <w:t>：00</w:t>
      </w:r>
      <w:r>
        <w:rPr>
          <w:rFonts w:hint="eastAsia"/>
          <w:sz w:val="21"/>
        </w:rPr>
        <w:t>时前允许潜在投标人前来认购招标文件, 但不得对采购文件提出质疑。</w:t>
      </w:r>
    </w:p>
    <w:p>
      <w:pPr>
        <w:snapToGrid w:val="0"/>
        <w:spacing w:line="420" w:lineRule="exact"/>
        <w:ind w:left="13" w:leftChars="6" w:firstLine="261" w:firstLineChars="124"/>
        <w:rPr>
          <w:rFonts w:ascii="宋体" w:hAnsi="宋体"/>
        </w:rPr>
      </w:pPr>
      <w:r>
        <w:rPr>
          <w:rFonts w:hint="eastAsia" w:ascii="宋体" w:hAnsi="宋体"/>
          <w:b/>
        </w:rPr>
        <w:t>六、购买招标文件时应提供以下资料</w:t>
      </w:r>
      <w:r>
        <w:rPr>
          <w:rFonts w:hint="eastAsia" w:ascii="宋体" w:hAnsi="宋体" w:cs="宋体"/>
          <w:b/>
          <w:bCs/>
          <w:kern w:val="0"/>
          <w:szCs w:val="21"/>
        </w:rPr>
        <w:t>（复印件并加盖企业公章并按顺序装订成册，原件备查）</w:t>
      </w:r>
      <w:r>
        <w:rPr>
          <w:rFonts w:hint="eastAsia" w:ascii="宋体" w:hAnsi="宋体"/>
        </w:rPr>
        <w:t>：</w:t>
      </w:r>
    </w:p>
    <w:p>
      <w:pPr>
        <w:widowControl/>
        <w:spacing w:line="360" w:lineRule="exact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）法定代表人委托书和被授权人身份证明；</w:t>
      </w:r>
    </w:p>
    <w:p>
      <w:pPr>
        <w:widowControl/>
        <w:spacing w:line="360" w:lineRule="exact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）企业营业执照副本；</w:t>
      </w:r>
    </w:p>
    <w:p>
      <w:pPr>
        <w:widowControl/>
        <w:spacing w:line="360" w:lineRule="exact"/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（</w:t>
      </w: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）制造商厂家需通过环保主管部门验收并提供相应证明材料；</w:t>
      </w:r>
    </w:p>
    <w:p>
      <w:pPr>
        <w:widowControl/>
        <w:spacing w:line="360" w:lineRule="exact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）非推荐品牌</w:t>
      </w:r>
      <w:r>
        <w:rPr>
          <w:rFonts w:hint="eastAsia" w:ascii="宋体" w:hAnsi="宋体"/>
          <w:szCs w:val="21"/>
        </w:rPr>
        <w:t>须提供2015年1月1日（以合同签订时间为准）以来的一个及以上的全国范围区域内的星级酒店项目合同金额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0万元及以上的宴会类家具供货业绩证明材料，须提供供货合同（包括项目名称、合同金额、合同签定日期、用户单位名称、地址）；</w:t>
      </w:r>
    </w:p>
    <w:p>
      <w:pPr>
        <w:snapToGrid w:val="0"/>
        <w:spacing w:line="420" w:lineRule="exact"/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七、投标保证金</w:t>
      </w:r>
      <w:r>
        <w:rPr>
          <w:rFonts w:hint="eastAsia" w:ascii="宋体" w:hAnsi="宋体"/>
        </w:rPr>
        <w:t>：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投标保证金人民币</w:t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0000元。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投标人应于2018年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>9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  <w:u w:val="single"/>
        </w:rPr>
        <w:t>27</w:t>
      </w:r>
      <w:r>
        <w:rPr>
          <w:rFonts w:hint="eastAsia" w:ascii="宋体" w:hAnsi="宋体"/>
          <w:bCs/>
          <w:sz w:val="24"/>
        </w:rPr>
        <w:t>日17时00分（时间）前将投标保证金以银行转帐的方式从其单位账户交入下列账户内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户       名：浙江至诚工程咨询有限责任公司金华分公司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开 户 银 行：工行金华商城支行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账       号：1208017109200089130</w:t>
      </w:r>
    </w:p>
    <w:p>
      <w:pPr>
        <w:snapToGrid w:val="0"/>
        <w:spacing w:line="4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（汇款用途请注明：金义综保区景澜酒店开办物资宴会家具类招标投标保证金，字数过长可简写）</w:t>
      </w:r>
    </w:p>
    <w:p>
      <w:pPr>
        <w:snapToGrid w:val="0"/>
        <w:spacing w:line="420" w:lineRule="exact"/>
        <w:ind w:firstLine="422" w:firstLineChars="200"/>
        <w:jc w:val="left"/>
        <w:rPr>
          <w:rFonts w:ascii="宋体" w:hAnsi="宋体"/>
        </w:rPr>
      </w:pPr>
      <w:r>
        <w:rPr>
          <w:rFonts w:hint="eastAsia" w:ascii="宋体" w:hAnsi="宋体"/>
          <w:b/>
        </w:rPr>
        <w:t>八、投标截止时间和地点</w:t>
      </w:r>
      <w:r>
        <w:rPr>
          <w:rFonts w:hint="eastAsia" w:ascii="宋体" w:hAnsi="宋体"/>
        </w:rPr>
        <w:t>：</w:t>
      </w:r>
    </w:p>
    <w:p>
      <w:pPr>
        <w:snapToGrid w:val="0"/>
        <w:spacing w:line="420" w:lineRule="exact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投标人应于</w:t>
      </w:r>
      <w:r>
        <w:rPr>
          <w:rFonts w:ascii="宋体" w:hAnsi="宋体"/>
          <w:u w:val="single"/>
        </w:rPr>
        <w:t>20</w:t>
      </w:r>
      <w:r>
        <w:rPr>
          <w:rFonts w:hint="eastAsia" w:ascii="宋体" w:hAnsi="宋体"/>
          <w:u w:val="single"/>
        </w:rPr>
        <w:t>18</w:t>
      </w:r>
      <w:r>
        <w:rPr>
          <w:rFonts w:ascii="宋体" w:hAnsi="宋体"/>
          <w:u w:val="single"/>
        </w:rPr>
        <w:t>年9月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29</w:t>
      </w:r>
      <w:r>
        <w:rPr>
          <w:rFonts w:hint="eastAsia" w:ascii="宋体" w:hAnsi="宋体"/>
          <w:u w:val="single"/>
        </w:rPr>
        <w:t>日1</w:t>
      </w:r>
      <w:r>
        <w:rPr>
          <w:rFonts w:ascii="宋体" w:hAnsi="宋体"/>
          <w:u w:val="single"/>
        </w:rPr>
        <w:t>5</w:t>
      </w:r>
      <w:r>
        <w:rPr>
          <w:rFonts w:hint="eastAsia" w:ascii="宋体" w:hAnsi="宋体"/>
          <w:u w:val="single"/>
        </w:rPr>
        <w:t>：00</w:t>
      </w:r>
      <w:r>
        <w:rPr>
          <w:rFonts w:ascii="宋体" w:hAnsi="宋体"/>
          <w:u w:val="single"/>
        </w:rPr>
        <w:t>时</w:t>
      </w:r>
      <w:r>
        <w:rPr>
          <w:rFonts w:hint="eastAsia" w:ascii="宋体" w:hAnsi="宋体"/>
        </w:rPr>
        <w:t>（时间）前将投标文件密封送交到</w:t>
      </w:r>
      <w:r>
        <w:rPr>
          <w:rFonts w:hint="eastAsia" w:ascii="宋体" w:hAnsi="宋体" w:cs="宋体"/>
          <w:b/>
          <w:bCs/>
          <w:kern w:val="0"/>
          <w:szCs w:val="21"/>
        </w:rPr>
        <w:t>金华市金义都市新区公共资源交易中心（金华市金义都市新区管委会一楼）</w:t>
      </w:r>
      <w:r>
        <w:rPr>
          <w:rFonts w:hint="eastAsia" w:ascii="宋体" w:hAnsi="宋体"/>
        </w:rPr>
        <w:t>，逾期送达作无效标处理。</w:t>
      </w:r>
    </w:p>
    <w:p>
      <w:pPr>
        <w:snapToGrid w:val="0"/>
        <w:spacing w:line="420" w:lineRule="exact"/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九、开标时间及地点</w:t>
      </w:r>
      <w:r>
        <w:rPr>
          <w:rFonts w:hint="eastAsia" w:ascii="宋体" w:hAnsi="宋体"/>
        </w:rPr>
        <w:t>：</w:t>
      </w:r>
    </w:p>
    <w:p>
      <w:pPr>
        <w:snapToGrid w:val="0"/>
        <w:spacing w:line="4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本次招标将于</w:t>
      </w:r>
      <w:r>
        <w:rPr>
          <w:rFonts w:ascii="宋体" w:hAnsi="宋体"/>
          <w:u w:val="single"/>
        </w:rPr>
        <w:t>20</w:t>
      </w:r>
      <w:r>
        <w:rPr>
          <w:rFonts w:hint="eastAsia" w:ascii="宋体" w:hAnsi="宋体"/>
          <w:u w:val="single"/>
        </w:rPr>
        <w:t>18</w:t>
      </w:r>
      <w:r>
        <w:rPr>
          <w:rFonts w:ascii="宋体" w:hAnsi="宋体"/>
          <w:u w:val="single"/>
        </w:rPr>
        <w:t>年9月29</w:t>
      </w:r>
      <w:r>
        <w:rPr>
          <w:rFonts w:hint="eastAsia" w:ascii="宋体" w:hAnsi="宋体"/>
          <w:u w:val="single"/>
        </w:rPr>
        <w:t>日 1</w:t>
      </w:r>
      <w:r>
        <w:rPr>
          <w:rFonts w:ascii="宋体" w:hAnsi="宋体"/>
          <w:u w:val="single"/>
        </w:rPr>
        <w:t>5</w:t>
      </w:r>
      <w:r>
        <w:rPr>
          <w:rFonts w:hint="eastAsia" w:ascii="宋体" w:hAnsi="宋体"/>
          <w:u w:val="single"/>
        </w:rPr>
        <w:t>:00</w:t>
      </w:r>
      <w:r>
        <w:rPr>
          <w:rFonts w:ascii="宋体" w:hAnsi="宋体"/>
          <w:u w:val="single"/>
        </w:rPr>
        <w:t>时</w:t>
      </w:r>
      <w:r>
        <w:rPr>
          <w:rFonts w:hint="eastAsia" w:ascii="宋体" w:hAnsi="宋体"/>
        </w:rPr>
        <w:t>在</w:t>
      </w:r>
      <w:r>
        <w:rPr>
          <w:rFonts w:hint="eastAsia" w:ascii="宋体" w:hAnsi="宋体" w:cs="宋体"/>
          <w:b/>
          <w:bCs/>
          <w:kern w:val="0"/>
          <w:szCs w:val="21"/>
        </w:rPr>
        <w:t>金华市金义都市新区公共资源交易中心（金华市金义都市新区管委会一楼）</w:t>
      </w:r>
      <w:r>
        <w:rPr>
          <w:rFonts w:hint="eastAsia" w:ascii="宋体" w:hAnsi="宋体"/>
        </w:rPr>
        <w:t>开标，投标人应当派代表出席开标会议。</w:t>
      </w:r>
    </w:p>
    <w:p>
      <w:pPr>
        <w:snapToGrid w:val="0"/>
        <w:spacing w:line="420" w:lineRule="exact"/>
        <w:ind w:firstLine="420"/>
        <w:rPr>
          <w:rFonts w:ascii="宋体" w:hAnsi="宋体"/>
          <w:b/>
        </w:rPr>
      </w:pPr>
      <w:r>
        <w:rPr>
          <w:rFonts w:hint="eastAsia" w:ascii="宋体" w:hAnsi="宋体"/>
          <w:b/>
        </w:rPr>
        <w:t>十、业务咨询：</w:t>
      </w:r>
    </w:p>
    <w:p>
      <w:pPr>
        <w:spacing w:line="420" w:lineRule="exact"/>
        <w:ind w:firstLine="42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采购单位联系人：张工；联系电话：</w:t>
      </w:r>
      <w:r>
        <w:rPr>
          <w:rFonts w:ascii="宋体" w:hAnsi="宋体" w:cs="宋体"/>
          <w:kern w:val="0"/>
          <w:szCs w:val="21"/>
        </w:rPr>
        <w:t>0579-82982851</w:t>
      </w:r>
      <w:r>
        <w:rPr>
          <w:rFonts w:hint="eastAsia" w:ascii="宋体" w:hAnsi="宋体"/>
          <w:szCs w:val="21"/>
        </w:rPr>
        <w:t xml:space="preserve">      </w:t>
      </w:r>
    </w:p>
    <w:p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浙江至诚工程咨询有限责任公司；联系人：孙工</w:t>
      </w:r>
    </w:p>
    <w:p>
      <w:pPr>
        <w:spacing w:line="420" w:lineRule="exact"/>
        <w:ind w:firstLine="420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szCs w:val="21"/>
        </w:rPr>
        <w:t>联系电话：</w:t>
      </w:r>
      <w:r>
        <w:rPr>
          <w:rFonts w:hint="eastAsia" w:ascii="宋体" w:hAnsi="宋体"/>
          <w:szCs w:val="21"/>
        </w:rPr>
        <w:t>0579-82397199</w:t>
      </w:r>
      <w:r>
        <w:rPr>
          <w:rFonts w:hint="eastAsia" w:ascii="宋体" w:hAnsi="宋体" w:cs="Arial"/>
          <w:szCs w:val="21"/>
        </w:rPr>
        <w:t xml:space="preserve">  </w:t>
      </w:r>
    </w:p>
    <w:p>
      <w:pPr>
        <w:snapToGrid w:val="0"/>
        <w:spacing w:line="400" w:lineRule="exact"/>
        <w:ind w:right="840"/>
        <w:jc w:val="center"/>
        <w:rPr>
          <w:b/>
          <w:sz w:val="32"/>
        </w:rPr>
      </w:pPr>
    </w:p>
    <w:p>
      <w:pPr>
        <w:snapToGrid w:val="0"/>
        <w:spacing w:line="400" w:lineRule="exact"/>
        <w:ind w:right="840"/>
        <w:jc w:val="center"/>
        <w:rPr>
          <w:b/>
          <w:sz w:val="32"/>
        </w:rPr>
      </w:pPr>
    </w:p>
    <w:p>
      <w:pPr>
        <w:snapToGrid w:val="0"/>
        <w:spacing w:line="400" w:lineRule="exact"/>
        <w:ind w:right="840"/>
        <w:jc w:val="center"/>
        <w:rPr>
          <w:b/>
          <w:sz w:val="32"/>
        </w:rPr>
      </w:pPr>
    </w:p>
    <w:p>
      <w:pPr>
        <w:snapToGrid w:val="0"/>
        <w:spacing w:line="400" w:lineRule="exact"/>
        <w:ind w:right="840"/>
        <w:jc w:val="center"/>
        <w:rPr>
          <w:b/>
          <w:sz w:val="32"/>
        </w:rPr>
      </w:pPr>
    </w:p>
    <w:p>
      <w:pPr>
        <w:snapToGrid w:val="0"/>
        <w:spacing w:line="400" w:lineRule="exact"/>
        <w:ind w:right="840"/>
        <w:jc w:val="center"/>
        <w:rPr>
          <w:b/>
          <w:sz w:val="32"/>
        </w:rPr>
      </w:pPr>
    </w:p>
    <w:p>
      <w:pPr>
        <w:snapToGrid w:val="0"/>
        <w:spacing w:line="400" w:lineRule="exact"/>
        <w:ind w:right="-1" w:firstLine="122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金华金义综合保税区建设发展有限公司</w:t>
      </w:r>
    </w:p>
    <w:p>
      <w:pPr>
        <w:snapToGrid w:val="0"/>
        <w:spacing w:line="400" w:lineRule="exact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浙江至诚工程咨询有限责任公司</w:t>
      </w:r>
    </w:p>
    <w:p>
      <w:pPr>
        <w:snapToGrid w:val="0"/>
        <w:spacing w:line="400" w:lineRule="exact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二</w:t>
      </w:r>
      <w:r>
        <w:rPr>
          <w:rFonts w:hint="eastAsia" w:ascii="宋体" w:hAnsi="宋体"/>
          <w:szCs w:val="21"/>
        </w:rPr>
        <w:t>○</w:t>
      </w:r>
      <w:r>
        <w:rPr>
          <w:rFonts w:hint="eastAsia"/>
          <w:szCs w:val="21"/>
        </w:rPr>
        <w:t>一八年</w:t>
      </w:r>
      <w:r>
        <w:rPr>
          <w:rFonts w:hint="eastAsia"/>
          <w:szCs w:val="21"/>
          <w:lang w:eastAsia="zh-CN"/>
        </w:rPr>
        <w:t>九</w:t>
      </w:r>
      <w:r>
        <w:rPr>
          <w:rFonts w:hint="eastAsia"/>
          <w:szCs w:val="21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3261"/>
      </w:pPr>
      <w:rPr>
        <w:rFonts w:hint="eastAsia" w:cs="Times New Roman"/>
        <w:sz w:val="32"/>
        <w:szCs w:val="32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05"/>
      </w:pPr>
      <w:rPr>
        <w:rFonts w:hint="eastAsia" w:cs="Times New Roman"/>
      </w:rPr>
    </w:lvl>
    <w:lvl w:ilvl="2" w:tentative="0">
      <w:start w:val="1"/>
      <w:numFmt w:val="chineseCountingThousand"/>
      <w:lvlRestart w:val="0"/>
      <w:isLgl/>
      <w:suff w:val="nothing"/>
      <w:lvlText w:val="%3、"/>
      <w:lvlJc w:val="left"/>
      <w:rPr>
        <w:rFonts w:hint="default" w:ascii="宋体" w:hAnsi="宋体" w:eastAsia="宋体" w:cs="Arial"/>
      </w:rPr>
    </w:lvl>
    <w:lvl w:ilvl="3" w:tentative="0">
      <w:start w:val="1"/>
      <w:numFmt w:val="none"/>
      <w:suff w:val="nothing"/>
      <w:lvlText w:val="1、"/>
      <w:lvlJc w:val="left"/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1224"/>
    <w:rsid w:val="1F4C1224"/>
    <w:rsid w:val="4F8471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snapToGrid w:val="0"/>
      <w:spacing w:beforeLines="50" w:afterLines="50" w:line="400" w:lineRule="exact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360" w:lineRule="auto"/>
      <w:ind w:firstLine="480"/>
    </w:pPr>
    <w:rPr>
      <w:rFonts w:ascii="宋体" w:eastAsia="新宋体"/>
      <w:sz w:val="24"/>
      <w:szCs w:val="20"/>
    </w:rPr>
  </w:style>
  <w:style w:type="paragraph" w:customStyle="1" w:styleId="6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2018-09-14T08:38:00Z</dcterms:created>
  <dc:creator>Administrator</dc:creator>
  <cp:lastModifiedBy>Administrator</cp:lastModifiedBy>
  <dcterms:modified xsi:type="dcterms:W3CDTF">2018-09-14T09:00:58Z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