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7179E4">
      <w:pPr>
        <w:spacing w:line="720" w:lineRule="exact"/>
        <w:jc w:val="both"/>
        <w:rPr>
          <w:rFonts w:hint="eastAsia"/>
          <w:b/>
          <w:bCs/>
          <w:color w:val="auto"/>
          <w:sz w:val="44"/>
          <w:szCs w:val="44"/>
          <w:highlight w:val="none"/>
          <w:lang w:eastAsia="zh-CN"/>
        </w:rPr>
      </w:pPr>
    </w:p>
    <w:p w14:paraId="3D08D3F7">
      <w:pPr>
        <w:spacing w:line="720" w:lineRule="exact"/>
        <w:jc w:val="center"/>
        <w:rPr>
          <w:rFonts w:hint="eastAsia"/>
          <w:b/>
          <w:bCs/>
          <w:color w:val="auto"/>
          <w:sz w:val="52"/>
          <w:szCs w:val="52"/>
          <w:highlight w:val="none"/>
          <w:lang w:eastAsia="zh-CN"/>
        </w:rPr>
      </w:pPr>
    </w:p>
    <w:p w14:paraId="4AC7FEC5">
      <w:pPr>
        <w:spacing w:line="720" w:lineRule="exact"/>
        <w:jc w:val="center"/>
        <w:rPr>
          <w:rFonts w:ascii="宋体" w:hAnsi="宋体"/>
          <w:color w:val="auto"/>
          <w:sz w:val="48"/>
          <w:szCs w:val="48"/>
          <w:highlight w:val="none"/>
        </w:rPr>
      </w:pPr>
      <w:r>
        <w:rPr>
          <w:rFonts w:hint="eastAsia"/>
          <w:b/>
          <w:bCs/>
          <w:color w:val="auto"/>
          <w:sz w:val="96"/>
          <w:szCs w:val="96"/>
          <w:highlight w:val="none"/>
          <w:lang w:eastAsia="zh-CN"/>
        </w:rPr>
        <w:t xml:space="preserve"> </w:t>
      </w:r>
      <w:r>
        <w:rPr>
          <w:rFonts w:hint="eastAsia"/>
          <w:b/>
          <w:bCs/>
          <w:color w:val="auto"/>
          <w:sz w:val="52"/>
          <w:szCs w:val="52"/>
          <w:highlight w:val="none"/>
          <w:lang w:eastAsia="zh-CN"/>
        </w:rPr>
        <w:t>广播电视微波综合铁塔健康智能监测系统升级项目</w:t>
      </w:r>
    </w:p>
    <w:p w14:paraId="00D8441B">
      <w:pPr>
        <w:pStyle w:val="54"/>
        <w:rPr>
          <w:rFonts w:hint="eastAsia"/>
          <w:color w:val="auto"/>
          <w:highlight w:val="none"/>
          <w:lang w:val="en-US" w:eastAsia="zh-CN"/>
        </w:rPr>
      </w:pPr>
    </w:p>
    <w:p w14:paraId="4E7B58C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 w:val="48"/>
          <w:szCs w:val="48"/>
          <w:highlight w:val="none"/>
        </w:rPr>
      </w:pPr>
    </w:p>
    <w:p w14:paraId="60A4C438">
      <w:pPr>
        <w:pStyle w:val="12"/>
        <w:rPr>
          <w:rFonts w:hint="eastAsia"/>
          <w:color w:val="auto"/>
          <w:highlight w:val="none"/>
        </w:rPr>
      </w:pPr>
    </w:p>
    <w:p w14:paraId="7484329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color w:val="auto"/>
          <w:sz w:val="32"/>
          <w:szCs w:val="32"/>
          <w:highlight w:val="none"/>
          <w:lang w:val="en-US" w:eastAsia="zh-CN"/>
        </w:rPr>
      </w:pPr>
      <w:r>
        <w:rPr>
          <w:rFonts w:hint="eastAsia" w:ascii="宋体" w:hAnsi="宋体"/>
          <w:b/>
          <w:color w:val="auto"/>
          <w:sz w:val="84"/>
          <w:szCs w:val="84"/>
          <w:highlight w:val="none"/>
        </w:rPr>
        <w:t>竞争性谈判文件</w:t>
      </w:r>
      <w:r>
        <w:rPr>
          <w:rFonts w:hint="eastAsia" w:ascii="宋体" w:hAnsi="宋体"/>
          <w:b/>
          <w:color w:val="auto"/>
          <w:sz w:val="84"/>
          <w:szCs w:val="84"/>
          <w:highlight w:val="none"/>
        </w:rPr>
        <w:cr/>
      </w:r>
      <w:r>
        <w:rPr>
          <w:rFonts w:hint="eastAsia" w:ascii="宋体" w:hAnsi="宋体" w:cs="宋体"/>
          <w:b/>
          <w:bCs/>
          <w:color w:val="auto"/>
          <w:sz w:val="28"/>
          <w:szCs w:val="28"/>
          <w:highlight w:val="none"/>
        </w:rPr>
        <w:t>招标编号：</w:t>
      </w:r>
      <w:r>
        <w:rPr>
          <w:rFonts w:hint="eastAsia" w:ascii="宋体" w:hAnsi="宋体" w:cs="宋体"/>
          <w:b/>
          <w:bCs/>
          <w:color w:val="auto"/>
          <w:sz w:val="28"/>
          <w:szCs w:val="28"/>
          <w:highlight w:val="none"/>
          <w:lang w:eastAsia="zh-CN"/>
        </w:rPr>
        <w:t xml:space="preserve">采购计划-[2025]-00095号-2025ZC070101  </w:t>
      </w:r>
    </w:p>
    <w:p w14:paraId="4D4763CC">
      <w:pPr>
        <w:jc w:val="center"/>
        <w:rPr>
          <w:rFonts w:ascii="宋体" w:hAnsi="宋体" w:cs="宋体"/>
          <w:b/>
          <w:bCs/>
          <w:color w:val="auto"/>
          <w:sz w:val="32"/>
          <w:szCs w:val="32"/>
          <w:highlight w:val="none"/>
        </w:rPr>
      </w:pPr>
    </w:p>
    <w:p w14:paraId="68C3FDE8">
      <w:pPr>
        <w:spacing w:line="1000" w:lineRule="exact"/>
        <w:jc w:val="center"/>
        <w:rPr>
          <w:rFonts w:hint="eastAsia" w:ascii="宋体" w:hAnsi="宋体"/>
          <w:b/>
          <w:color w:val="auto"/>
          <w:sz w:val="84"/>
          <w:szCs w:val="84"/>
          <w:highlight w:val="none"/>
        </w:rPr>
      </w:pPr>
      <w:r>
        <w:rPr>
          <w:rFonts w:hint="eastAsia" w:ascii="宋体" w:hAnsi="宋体"/>
          <w:b/>
          <w:color w:val="auto"/>
          <w:sz w:val="84"/>
          <w:szCs w:val="84"/>
          <w:highlight w:val="none"/>
        </w:rPr>
        <w:cr/>
      </w:r>
    </w:p>
    <w:p w14:paraId="42926261">
      <w:pPr>
        <w:snapToGrid w:val="0"/>
        <w:spacing w:line="720" w:lineRule="auto"/>
        <w:ind w:firstLine="964" w:firstLineChars="300"/>
        <w:jc w:val="left"/>
        <w:rPr>
          <w:rFonts w:hint="eastAsia" w:ascii="宋体" w:hAnsi="宋体" w:cs="宋体"/>
          <w:b/>
          <w:bCs/>
          <w:color w:val="auto"/>
          <w:sz w:val="32"/>
          <w:szCs w:val="32"/>
          <w:highlight w:val="none"/>
          <w:u w:val="single"/>
        </w:rPr>
      </w:pPr>
      <w:r>
        <w:rPr>
          <w:rFonts w:hint="eastAsia" w:ascii="宋体" w:hAnsi="宋体" w:cs="宋体"/>
          <w:b/>
          <w:bCs/>
          <w:color w:val="auto"/>
          <w:sz w:val="32"/>
          <w:szCs w:val="32"/>
          <w:highlight w:val="none"/>
          <w:lang w:eastAsia="zh-CN"/>
        </w:rPr>
        <w:t>采   购   人</w:t>
      </w:r>
      <w:r>
        <w:rPr>
          <w:rFonts w:hint="eastAsia" w:ascii="宋体" w:hAnsi="宋体" w:cs="宋体"/>
          <w:b/>
          <w:bCs/>
          <w:color w:val="auto"/>
          <w:sz w:val="32"/>
          <w:szCs w:val="32"/>
          <w:highlight w:val="none"/>
        </w:rPr>
        <w:t>：</w:t>
      </w:r>
      <w:r>
        <w:rPr>
          <w:rFonts w:hint="eastAsia" w:ascii="宋体" w:hAnsi="宋体" w:cs="宋体"/>
          <w:b/>
          <w:bCs/>
          <w:color w:val="auto"/>
          <w:spacing w:val="0"/>
          <w:sz w:val="30"/>
          <w:szCs w:val="30"/>
          <w:highlight w:val="none"/>
          <w:u w:val="single"/>
          <w:lang w:eastAsia="zh-CN"/>
        </w:rPr>
        <w:t>敦化市融媒体中心（敦化广播电视台）</w:t>
      </w:r>
      <w:r>
        <w:rPr>
          <w:rFonts w:hint="eastAsia" w:ascii="宋体" w:hAnsi="宋体" w:cs="宋体"/>
          <w:b/>
          <w:bCs/>
          <w:color w:val="auto"/>
          <w:sz w:val="32"/>
          <w:szCs w:val="32"/>
          <w:highlight w:val="none"/>
          <w:lang w:val="zh-CN"/>
        </w:rPr>
        <w:t>（盖章）</w:t>
      </w:r>
    </w:p>
    <w:p w14:paraId="0B6411F4">
      <w:pPr>
        <w:snapToGrid w:val="0"/>
        <w:spacing w:line="720" w:lineRule="auto"/>
        <w:ind w:firstLine="964" w:firstLineChars="300"/>
        <w:rPr>
          <w:rFonts w:hint="eastAsia" w:ascii="宋体" w:hAnsi="宋体" w:cs="宋体"/>
          <w:b/>
          <w:bCs/>
          <w:color w:val="auto"/>
          <w:sz w:val="32"/>
          <w:szCs w:val="32"/>
          <w:highlight w:val="none"/>
          <w:u w:val="single"/>
        </w:rPr>
      </w:pPr>
      <w:r>
        <w:rPr>
          <w:rFonts w:hint="eastAsia" w:ascii="宋体" w:hAnsi="宋体" w:cs="宋体"/>
          <w:b/>
          <w:bCs/>
          <w:color w:val="auto"/>
          <w:sz w:val="32"/>
          <w:szCs w:val="32"/>
          <w:highlight w:val="none"/>
          <w:lang w:eastAsia="zh-CN"/>
        </w:rPr>
        <w:t>采购代理机构</w:t>
      </w:r>
      <w:r>
        <w:rPr>
          <w:rFonts w:hint="eastAsia" w:ascii="宋体" w:hAnsi="宋体" w:cs="宋体"/>
          <w:b/>
          <w:bCs/>
          <w:color w:val="auto"/>
          <w:sz w:val="32"/>
          <w:szCs w:val="32"/>
          <w:highlight w:val="none"/>
        </w:rPr>
        <w:t>：</w:t>
      </w:r>
      <w:r>
        <w:rPr>
          <w:rFonts w:hint="eastAsia" w:ascii="宋体" w:hAnsi="宋体" w:cs="宋体"/>
          <w:b/>
          <w:bCs/>
          <w:color w:val="auto"/>
          <w:sz w:val="32"/>
          <w:szCs w:val="32"/>
          <w:highlight w:val="none"/>
          <w:u w:val="single"/>
          <w:lang w:eastAsia="zh-CN"/>
        </w:rPr>
        <w:t>敦化市宏远建设项目管理有限责任公司</w:t>
      </w:r>
      <w:r>
        <w:rPr>
          <w:rFonts w:hint="eastAsia" w:ascii="宋体" w:hAnsi="宋体" w:cs="宋体"/>
          <w:b/>
          <w:bCs/>
          <w:color w:val="auto"/>
          <w:sz w:val="32"/>
          <w:szCs w:val="32"/>
          <w:highlight w:val="none"/>
        </w:rPr>
        <w:t>（盖章）</w:t>
      </w:r>
    </w:p>
    <w:p w14:paraId="729AAAD8">
      <w:pPr>
        <w:spacing w:line="720" w:lineRule="auto"/>
        <w:ind w:firstLine="964" w:firstLineChars="300"/>
        <w:jc w:val="left"/>
        <w:rPr>
          <w:rFonts w:hint="eastAsia" w:ascii="宋体" w:hAnsi="宋体" w:cs="宋体"/>
          <w:b/>
          <w:color w:val="auto"/>
          <w:sz w:val="32"/>
          <w:szCs w:val="32"/>
          <w:highlight w:val="none"/>
        </w:rPr>
      </w:pPr>
      <w:r>
        <w:rPr>
          <w:rFonts w:hint="eastAsia" w:ascii="宋体" w:hAnsi="宋体" w:cs="宋体"/>
          <w:b/>
          <w:color w:val="auto"/>
          <w:sz w:val="32"/>
          <w:szCs w:val="32"/>
          <w:highlight w:val="none"/>
        </w:rPr>
        <w:t>日        期：二〇二</w:t>
      </w:r>
      <w:r>
        <w:rPr>
          <w:rFonts w:hint="eastAsia" w:ascii="宋体" w:hAnsi="宋体" w:cs="宋体"/>
          <w:b/>
          <w:color w:val="auto"/>
          <w:sz w:val="32"/>
          <w:szCs w:val="32"/>
          <w:highlight w:val="none"/>
          <w:lang w:val="en-US" w:eastAsia="zh-CN"/>
        </w:rPr>
        <w:t>五</w:t>
      </w:r>
      <w:r>
        <w:rPr>
          <w:rFonts w:hint="eastAsia" w:ascii="宋体" w:hAnsi="宋体" w:cs="宋体"/>
          <w:b/>
          <w:color w:val="auto"/>
          <w:sz w:val="32"/>
          <w:szCs w:val="32"/>
          <w:highlight w:val="none"/>
        </w:rPr>
        <w:t>年</w:t>
      </w:r>
      <w:r>
        <w:rPr>
          <w:rFonts w:hint="eastAsia" w:ascii="宋体" w:hAnsi="宋体" w:cs="宋体"/>
          <w:b/>
          <w:color w:val="auto"/>
          <w:sz w:val="32"/>
          <w:szCs w:val="32"/>
          <w:highlight w:val="none"/>
          <w:lang w:val="en-US" w:eastAsia="zh-CN"/>
        </w:rPr>
        <w:t>七</w:t>
      </w:r>
      <w:r>
        <w:rPr>
          <w:rFonts w:hint="eastAsia" w:ascii="宋体" w:hAnsi="宋体" w:cs="宋体"/>
          <w:b/>
          <w:color w:val="auto"/>
          <w:sz w:val="32"/>
          <w:szCs w:val="32"/>
          <w:highlight w:val="none"/>
        </w:rPr>
        <w:t>月</w:t>
      </w:r>
    </w:p>
    <w:p w14:paraId="1EC7AA7D">
      <w:pPr>
        <w:pStyle w:val="12"/>
        <w:rPr>
          <w:rFonts w:hint="eastAsia" w:ascii="宋体" w:hAnsi="宋体" w:cs="宋体"/>
          <w:b/>
          <w:color w:val="auto"/>
          <w:sz w:val="30"/>
          <w:szCs w:val="30"/>
          <w:highlight w:val="none"/>
        </w:rPr>
      </w:pPr>
    </w:p>
    <w:p w14:paraId="0E86F73B">
      <w:pPr>
        <w:pStyle w:val="32"/>
        <w:rPr>
          <w:rFonts w:hint="eastAsia"/>
          <w:color w:val="auto"/>
          <w:highlight w:val="none"/>
        </w:rPr>
      </w:pPr>
    </w:p>
    <w:p w14:paraId="1C603C46">
      <w:pPr>
        <w:jc w:val="center"/>
        <w:rPr>
          <w:rFonts w:hint="eastAsia"/>
          <w:b/>
          <w:bCs/>
          <w:color w:val="auto"/>
          <w:sz w:val="36"/>
          <w:szCs w:val="36"/>
          <w:highlight w:val="none"/>
        </w:rPr>
        <w:sectPr>
          <w:headerReference r:id="rId3" w:type="default"/>
          <w:footerReference r:id="rId4" w:type="default"/>
          <w:pgSz w:w="11906" w:h="16838"/>
          <w:pgMar w:top="1134" w:right="992"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14:paraId="5912032E">
      <w:pPr>
        <w:jc w:val="center"/>
        <w:rPr>
          <w:rFonts w:hint="eastAsia"/>
          <w:b/>
          <w:bCs/>
          <w:color w:val="auto"/>
          <w:sz w:val="44"/>
          <w:szCs w:val="44"/>
          <w:highlight w:val="none"/>
        </w:rPr>
      </w:pPr>
      <w:r>
        <w:rPr>
          <w:rFonts w:hint="eastAsia"/>
          <w:b/>
          <w:bCs/>
          <w:color w:val="auto"/>
          <w:sz w:val="44"/>
          <w:szCs w:val="44"/>
          <w:highlight w:val="none"/>
        </w:rPr>
        <w:t>目   录</w:t>
      </w:r>
    </w:p>
    <w:p w14:paraId="6017CA91">
      <w:pPr>
        <w:rPr>
          <w:rFonts w:hint="eastAsia"/>
          <w:color w:val="auto"/>
          <w:sz w:val="36"/>
          <w:szCs w:val="36"/>
          <w:highlight w:val="none"/>
        </w:rPr>
      </w:pPr>
    </w:p>
    <w:p w14:paraId="5528AFE4">
      <w:pPr>
        <w:pStyle w:val="22"/>
        <w:tabs>
          <w:tab w:val="right" w:leader="dot" w:pos="9770"/>
        </w:tabs>
        <w:spacing w:line="480" w:lineRule="auto"/>
        <w:rPr>
          <w:rFonts w:cs="Times New Roman"/>
          <w:b w:val="0"/>
          <w:bCs w:val="0"/>
          <w:caps w:val="0"/>
          <w:color w:val="auto"/>
          <w:sz w:val="28"/>
          <w:szCs w:val="28"/>
          <w:highlight w:val="none"/>
          <w:lang w:val="en-US" w:eastAsia="zh-CN"/>
        </w:rPr>
      </w:pPr>
      <w:r>
        <w:rPr>
          <w:rFonts w:hint="eastAsia"/>
          <w:b w:val="0"/>
          <w:bCs w:val="0"/>
          <w:color w:val="auto"/>
          <w:sz w:val="28"/>
          <w:szCs w:val="28"/>
          <w:highlight w:val="none"/>
          <w:lang w:val="en-US" w:eastAsia="zh-CN"/>
        </w:rPr>
        <w:t>第一章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竞争性谈判公告</w:t>
      </w:r>
      <w:r>
        <w:rPr>
          <w:b w:val="0"/>
          <w:bCs w:val="0"/>
          <w:color w:val="auto"/>
          <w:sz w:val="28"/>
          <w:szCs w:val="28"/>
          <w:highlight w:val="none"/>
          <w:lang w:val="en-US" w:eastAsia="zh-CN"/>
        </w:rPr>
        <w:tab/>
      </w:r>
      <w:r>
        <w:rPr>
          <w:rFonts w:hint="eastAsia"/>
          <w:b w:val="0"/>
          <w:bCs w:val="0"/>
          <w:color w:val="auto"/>
          <w:sz w:val="28"/>
          <w:szCs w:val="28"/>
          <w:highlight w:val="none"/>
          <w:lang w:val="en-US" w:eastAsia="zh-CN"/>
        </w:rPr>
        <w:t>1</w:t>
      </w:r>
    </w:p>
    <w:p w14:paraId="6522AC82">
      <w:pPr>
        <w:pStyle w:val="22"/>
        <w:tabs>
          <w:tab w:val="right" w:leader="dot" w:pos="9770"/>
        </w:tabs>
        <w:spacing w:line="480" w:lineRule="auto"/>
        <w:rPr>
          <w:rFonts w:cs="Times New Roman"/>
          <w:b w:val="0"/>
          <w:bCs w:val="0"/>
          <w:caps w:val="0"/>
          <w:color w:val="auto"/>
          <w:sz w:val="28"/>
          <w:szCs w:val="28"/>
          <w:highlight w:val="none"/>
          <w:lang w:val="en-US" w:eastAsia="zh-CN"/>
        </w:rPr>
      </w:pPr>
      <w:r>
        <w:rPr>
          <w:rFonts w:hint="eastAsia"/>
          <w:b w:val="0"/>
          <w:bCs w:val="0"/>
          <w:color w:val="auto"/>
          <w:sz w:val="28"/>
          <w:szCs w:val="28"/>
          <w:highlight w:val="none"/>
          <w:lang w:val="en-US" w:eastAsia="zh-CN"/>
        </w:rPr>
        <w:t>第二章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供应商须知</w:t>
      </w:r>
      <w:r>
        <w:rPr>
          <w:b w:val="0"/>
          <w:bCs w:val="0"/>
          <w:color w:val="auto"/>
          <w:sz w:val="28"/>
          <w:szCs w:val="28"/>
          <w:highlight w:val="none"/>
          <w:lang w:val="en-US" w:eastAsia="zh-CN"/>
        </w:rPr>
        <w:tab/>
      </w:r>
      <w:r>
        <w:rPr>
          <w:rFonts w:hint="eastAsia"/>
          <w:b w:val="0"/>
          <w:bCs w:val="0"/>
          <w:color w:val="auto"/>
          <w:sz w:val="28"/>
          <w:szCs w:val="28"/>
          <w:highlight w:val="none"/>
          <w:lang w:val="en-US" w:eastAsia="zh-CN"/>
        </w:rPr>
        <w:t>4</w:t>
      </w:r>
    </w:p>
    <w:p w14:paraId="1B13BD12">
      <w:pPr>
        <w:pStyle w:val="22"/>
        <w:tabs>
          <w:tab w:val="right" w:leader="dot" w:pos="9770"/>
        </w:tabs>
        <w:spacing w:line="480" w:lineRule="auto"/>
        <w:rPr>
          <w:rFonts w:cs="Times New Roman"/>
          <w:b w:val="0"/>
          <w:bCs w:val="0"/>
          <w:caps w:val="0"/>
          <w:color w:val="auto"/>
          <w:sz w:val="28"/>
          <w:szCs w:val="28"/>
          <w:highlight w:val="none"/>
          <w:lang w:val="en-US" w:eastAsia="zh-CN"/>
        </w:rPr>
      </w:pPr>
      <w:r>
        <w:rPr>
          <w:rFonts w:hint="eastAsia"/>
          <w:b w:val="0"/>
          <w:bCs w:val="0"/>
          <w:color w:val="auto"/>
          <w:sz w:val="28"/>
          <w:szCs w:val="28"/>
          <w:highlight w:val="none"/>
          <w:lang w:val="en-US" w:eastAsia="zh-CN"/>
        </w:rPr>
        <w:t>第三章</w:t>
      </w:r>
      <w:r>
        <w:rPr>
          <w:b w:val="0"/>
          <w:bCs w:val="0"/>
          <w:color w:val="auto"/>
          <w:sz w:val="28"/>
          <w:szCs w:val="28"/>
          <w:highlight w:val="none"/>
          <w:lang w:val="en-US" w:eastAsia="zh-CN"/>
        </w:rPr>
        <w:t xml:space="preserve">  </w:t>
      </w:r>
      <w:r>
        <w:rPr>
          <w:rFonts w:hint="eastAsia"/>
          <w:b w:val="0"/>
          <w:bCs w:val="0"/>
          <w:color w:val="auto"/>
          <w:sz w:val="28"/>
          <w:szCs w:val="28"/>
          <w:highlight w:val="none"/>
        </w:rPr>
        <w:t>项目</w:t>
      </w:r>
      <w:r>
        <w:rPr>
          <w:rFonts w:hint="eastAsia"/>
          <w:b w:val="0"/>
          <w:bCs w:val="0"/>
          <w:color w:val="auto"/>
          <w:sz w:val="28"/>
          <w:szCs w:val="28"/>
          <w:highlight w:val="none"/>
          <w:lang w:val="en-US" w:eastAsia="zh-CN"/>
        </w:rPr>
        <w:t>采购需求</w:t>
      </w:r>
      <w:r>
        <w:rPr>
          <w:b w:val="0"/>
          <w:bCs w:val="0"/>
          <w:color w:val="auto"/>
          <w:sz w:val="28"/>
          <w:szCs w:val="28"/>
          <w:highlight w:val="none"/>
          <w:lang w:val="en-US" w:eastAsia="zh-CN"/>
        </w:rPr>
        <w:tab/>
      </w:r>
      <w:r>
        <w:rPr>
          <w:rFonts w:hint="eastAsia"/>
          <w:b w:val="0"/>
          <w:bCs w:val="0"/>
          <w:color w:val="auto"/>
          <w:sz w:val="28"/>
          <w:szCs w:val="28"/>
          <w:highlight w:val="none"/>
          <w:lang w:val="en-US" w:eastAsia="zh-CN"/>
        </w:rPr>
        <w:t>19</w:t>
      </w:r>
    </w:p>
    <w:p w14:paraId="75DA6E5A">
      <w:pPr>
        <w:pStyle w:val="22"/>
        <w:tabs>
          <w:tab w:val="right" w:leader="dot" w:pos="9770"/>
        </w:tabs>
        <w:spacing w:line="480" w:lineRule="auto"/>
        <w:rPr>
          <w:rFonts w:cs="Times New Roman"/>
          <w:b w:val="0"/>
          <w:bCs w:val="0"/>
          <w:caps w:val="0"/>
          <w:color w:val="auto"/>
          <w:sz w:val="28"/>
          <w:szCs w:val="28"/>
          <w:highlight w:val="none"/>
          <w:lang w:val="en-US" w:eastAsia="zh-CN"/>
        </w:rPr>
      </w:pPr>
      <w:r>
        <w:rPr>
          <w:rFonts w:hint="eastAsia"/>
          <w:b w:val="0"/>
          <w:bCs w:val="0"/>
          <w:color w:val="auto"/>
          <w:sz w:val="28"/>
          <w:szCs w:val="28"/>
          <w:highlight w:val="none"/>
          <w:lang w:val="en-US" w:eastAsia="zh-CN"/>
        </w:rPr>
        <w:t>第四章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评审方法</w:t>
      </w:r>
      <w:r>
        <w:rPr>
          <w:b w:val="0"/>
          <w:bCs w:val="0"/>
          <w:color w:val="auto"/>
          <w:sz w:val="28"/>
          <w:szCs w:val="28"/>
          <w:highlight w:val="none"/>
          <w:lang w:val="en-US" w:eastAsia="zh-CN"/>
        </w:rPr>
        <w:tab/>
      </w:r>
      <w:r>
        <w:rPr>
          <w:rFonts w:hint="eastAsia"/>
          <w:b w:val="0"/>
          <w:bCs w:val="0"/>
          <w:color w:val="auto"/>
          <w:sz w:val="28"/>
          <w:szCs w:val="28"/>
          <w:highlight w:val="none"/>
          <w:lang w:val="en-US" w:eastAsia="zh-CN"/>
        </w:rPr>
        <w:t>26</w:t>
      </w:r>
    </w:p>
    <w:p w14:paraId="0C8DDAC8">
      <w:pPr>
        <w:pStyle w:val="22"/>
        <w:tabs>
          <w:tab w:val="right" w:leader="dot" w:pos="9770"/>
        </w:tabs>
        <w:spacing w:line="480" w:lineRule="auto"/>
        <w:rPr>
          <w:rFonts w:hint="default" w:cs="Times New Roman"/>
          <w:b w:val="0"/>
          <w:bCs w:val="0"/>
          <w:caps w:val="0"/>
          <w:color w:val="auto"/>
          <w:sz w:val="28"/>
          <w:szCs w:val="28"/>
          <w:highlight w:val="none"/>
          <w:lang w:val="en-US" w:eastAsia="zh-CN"/>
        </w:rPr>
      </w:pPr>
      <w:r>
        <w:rPr>
          <w:rFonts w:hint="eastAsia"/>
          <w:b w:val="0"/>
          <w:bCs w:val="0"/>
          <w:color w:val="auto"/>
          <w:sz w:val="28"/>
          <w:szCs w:val="28"/>
          <w:highlight w:val="none"/>
          <w:lang w:val="en-US" w:eastAsia="zh-CN"/>
        </w:rPr>
        <w:t>第五章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合同主要条款及格式</w:t>
      </w:r>
      <w:r>
        <w:rPr>
          <w:b w:val="0"/>
          <w:bCs w:val="0"/>
          <w:color w:val="auto"/>
          <w:sz w:val="28"/>
          <w:szCs w:val="28"/>
          <w:highlight w:val="none"/>
          <w:lang w:val="en-US" w:eastAsia="zh-CN"/>
        </w:rPr>
        <w:tab/>
      </w:r>
      <w:r>
        <w:rPr>
          <w:rFonts w:hint="eastAsia"/>
          <w:b w:val="0"/>
          <w:bCs w:val="0"/>
          <w:color w:val="auto"/>
          <w:sz w:val="28"/>
          <w:szCs w:val="28"/>
          <w:highlight w:val="none"/>
          <w:lang w:val="en-US" w:eastAsia="zh-CN"/>
        </w:rPr>
        <w:t>30</w:t>
      </w:r>
    </w:p>
    <w:p w14:paraId="6C245733">
      <w:pPr>
        <w:pStyle w:val="22"/>
        <w:tabs>
          <w:tab w:val="right" w:leader="dot" w:pos="9770"/>
        </w:tabs>
        <w:spacing w:line="480" w:lineRule="auto"/>
        <w:rPr>
          <w:rFonts w:hint="default" w:cs="Times New Roman"/>
          <w:b w:val="0"/>
          <w:bCs w:val="0"/>
          <w:caps w:val="0"/>
          <w:color w:val="auto"/>
          <w:sz w:val="30"/>
          <w:szCs w:val="30"/>
          <w:highlight w:val="none"/>
          <w:lang w:val="en-US" w:eastAsia="zh-CN"/>
        </w:rPr>
      </w:pPr>
      <w:r>
        <w:rPr>
          <w:rFonts w:hint="eastAsia"/>
          <w:b w:val="0"/>
          <w:bCs w:val="0"/>
          <w:color w:val="auto"/>
          <w:sz w:val="28"/>
          <w:szCs w:val="28"/>
          <w:highlight w:val="none"/>
          <w:lang w:val="en-US" w:eastAsia="zh-CN"/>
        </w:rPr>
        <w:t>第六章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响应文件格式</w:t>
      </w:r>
      <w:r>
        <w:rPr>
          <w:b w:val="0"/>
          <w:bCs w:val="0"/>
          <w:color w:val="auto"/>
          <w:sz w:val="28"/>
          <w:szCs w:val="28"/>
          <w:highlight w:val="none"/>
          <w:lang w:val="en-US" w:eastAsia="zh-CN"/>
        </w:rPr>
        <w:tab/>
      </w:r>
      <w:r>
        <w:rPr>
          <w:rFonts w:hint="eastAsia"/>
          <w:b w:val="0"/>
          <w:bCs w:val="0"/>
          <w:color w:val="auto"/>
          <w:sz w:val="28"/>
          <w:szCs w:val="28"/>
          <w:highlight w:val="none"/>
          <w:lang w:val="en-US" w:eastAsia="zh-CN"/>
        </w:rPr>
        <w:t>35</w:t>
      </w:r>
    </w:p>
    <w:p w14:paraId="786191BA">
      <w:pPr>
        <w:jc w:val="center"/>
        <w:rPr>
          <w:rFonts w:hint="eastAsia"/>
          <w:b/>
          <w:color w:val="auto"/>
          <w:sz w:val="32"/>
          <w:szCs w:val="32"/>
          <w:highlight w:val="none"/>
        </w:rPr>
      </w:pPr>
      <w:bookmarkStart w:id="0" w:name="_Toc455565641"/>
      <w:bookmarkStart w:id="1" w:name="_Toc432277437"/>
      <w:bookmarkStart w:id="2" w:name="_Toc432264365"/>
    </w:p>
    <w:p w14:paraId="297C0CF2">
      <w:pPr>
        <w:pStyle w:val="12"/>
        <w:rPr>
          <w:rFonts w:hint="eastAsia"/>
          <w:b/>
          <w:color w:val="auto"/>
          <w:sz w:val="32"/>
          <w:szCs w:val="32"/>
          <w:highlight w:val="none"/>
        </w:rPr>
      </w:pPr>
    </w:p>
    <w:p w14:paraId="40B4BAEC">
      <w:pPr>
        <w:pStyle w:val="32"/>
        <w:rPr>
          <w:rFonts w:hint="eastAsia"/>
          <w:b/>
          <w:color w:val="auto"/>
          <w:sz w:val="32"/>
          <w:szCs w:val="32"/>
          <w:highlight w:val="none"/>
        </w:rPr>
      </w:pPr>
    </w:p>
    <w:p w14:paraId="0B64C3DA">
      <w:pPr>
        <w:pStyle w:val="32"/>
        <w:rPr>
          <w:rFonts w:hint="eastAsia"/>
          <w:b/>
          <w:color w:val="auto"/>
          <w:sz w:val="32"/>
          <w:szCs w:val="32"/>
          <w:highlight w:val="none"/>
        </w:rPr>
      </w:pPr>
    </w:p>
    <w:p w14:paraId="76506C3A">
      <w:pPr>
        <w:pStyle w:val="32"/>
        <w:rPr>
          <w:rFonts w:hint="eastAsia"/>
          <w:b/>
          <w:color w:val="auto"/>
          <w:sz w:val="32"/>
          <w:szCs w:val="32"/>
          <w:highlight w:val="none"/>
        </w:rPr>
      </w:pPr>
    </w:p>
    <w:p w14:paraId="0CFA0CC9">
      <w:pPr>
        <w:pStyle w:val="32"/>
        <w:rPr>
          <w:rFonts w:hint="eastAsia"/>
          <w:b/>
          <w:color w:val="auto"/>
          <w:sz w:val="32"/>
          <w:szCs w:val="32"/>
          <w:highlight w:val="none"/>
        </w:rPr>
      </w:pPr>
    </w:p>
    <w:p w14:paraId="70087128">
      <w:pPr>
        <w:pStyle w:val="32"/>
        <w:rPr>
          <w:rFonts w:hint="eastAsia"/>
          <w:b/>
          <w:color w:val="auto"/>
          <w:sz w:val="32"/>
          <w:szCs w:val="32"/>
          <w:highlight w:val="none"/>
        </w:rPr>
      </w:pPr>
    </w:p>
    <w:p w14:paraId="7FC08E01">
      <w:pPr>
        <w:pStyle w:val="32"/>
        <w:rPr>
          <w:rFonts w:hint="eastAsia"/>
          <w:b/>
          <w:color w:val="auto"/>
          <w:sz w:val="32"/>
          <w:szCs w:val="32"/>
          <w:highlight w:val="none"/>
        </w:rPr>
      </w:pPr>
    </w:p>
    <w:p w14:paraId="46CAED33">
      <w:pPr>
        <w:pStyle w:val="32"/>
        <w:rPr>
          <w:rFonts w:hint="eastAsia"/>
          <w:b/>
          <w:color w:val="auto"/>
          <w:sz w:val="32"/>
          <w:szCs w:val="32"/>
          <w:highlight w:val="none"/>
        </w:rPr>
      </w:pPr>
    </w:p>
    <w:p w14:paraId="2045E4CB">
      <w:pPr>
        <w:pStyle w:val="32"/>
        <w:rPr>
          <w:rFonts w:hint="eastAsia"/>
          <w:b/>
          <w:color w:val="auto"/>
          <w:sz w:val="32"/>
          <w:szCs w:val="32"/>
          <w:highlight w:val="none"/>
        </w:rPr>
      </w:pPr>
    </w:p>
    <w:p w14:paraId="7B858F2A">
      <w:pPr>
        <w:pStyle w:val="32"/>
        <w:rPr>
          <w:rFonts w:hint="eastAsia"/>
          <w:b/>
          <w:color w:val="auto"/>
          <w:sz w:val="32"/>
          <w:szCs w:val="32"/>
          <w:highlight w:val="none"/>
        </w:rPr>
      </w:pPr>
    </w:p>
    <w:p w14:paraId="2F5C295A">
      <w:pPr>
        <w:pStyle w:val="32"/>
        <w:rPr>
          <w:rFonts w:hint="eastAsia"/>
          <w:b/>
          <w:color w:val="auto"/>
          <w:sz w:val="32"/>
          <w:szCs w:val="32"/>
          <w:highlight w:val="none"/>
        </w:rPr>
      </w:pPr>
    </w:p>
    <w:p w14:paraId="184D1D3A">
      <w:pPr>
        <w:pStyle w:val="32"/>
        <w:rPr>
          <w:rFonts w:hint="eastAsia"/>
          <w:b/>
          <w:color w:val="auto"/>
          <w:sz w:val="32"/>
          <w:szCs w:val="32"/>
          <w:highlight w:val="none"/>
        </w:rPr>
      </w:pPr>
    </w:p>
    <w:p w14:paraId="37927C27">
      <w:pPr>
        <w:pStyle w:val="32"/>
        <w:rPr>
          <w:rFonts w:hint="eastAsia"/>
          <w:b/>
          <w:color w:val="auto"/>
          <w:sz w:val="32"/>
          <w:szCs w:val="32"/>
          <w:highlight w:val="none"/>
        </w:rPr>
      </w:pPr>
    </w:p>
    <w:p w14:paraId="7EF44B3A">
      <w:pPr>
        <w:pStyle w:val="32"/>
        <w:rPr>
          <w:rFonts w:hint="eastAsia"/>
          <w:b/>
          <w:color w:val="auto"/>
          <w:sz w:val="32"/>
          <w:szCs w:val="32"/>
          <w:highlight w:val="none"/>
        </w:rPr>
      </w:pPr>
    </w:p>
    <w:p w14:paraId="08DC5A66">
      <w:pPr>
        <w:pStyle w:val="32"/>
        <w:rPr>
          <w:rFonts w:hint="eastAsia"/>
          <w:b/>
          <w:color w:val="auto"/>
          <w:sz w:val="32"/>
          <w:szCs w:val="32"/>
          <w:highlight w:val="none"/>
        </w:rPr>
      </w:pPr>
    </w:p>
    <w:p w14:paraId="344149D8">
      <w:pPr>
        <w:jc w:val="center"/>
        <w:rPr>
          <w:rFonts w:hint="eastAsia"/>
          <w:b/>
          <w:color w:val="auto"/>
          <w:sz w:val="32"/>
          <w:szCs w:val="32"/>
          <w:highlight w:val="none"/>
        </w:rPr>
        <w:sectPr>
          <w:footerReference r:id="rId5" w:type="default"/>
          <w:pgSz w:w="11906" w:h="16838"/>
          <w:pgMar w:top="1134" w:right="992"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14:paraId="1ECD0F80">
      <w:pPr>
        <w:spacing w:line="360" w:lineRule="auto"/>
        <w:jc w:val="center"/>
        <w:rPr>
          <w:rFonts w:hint="eastAsia"/>
          <w:b/>
          <w:color w:val="auto"/>
          <w:sz w:val="28"/>
          <w:szCs w:val="28"/>
          <w:highlight w:val="none"/>
        </w:rPr>
      </w:pPr>
      <w:r>
        <w:rPr>
          <w:rFonts w:hint="eastAsia"/>
          <w:b/>
          <w:color w:val="auto"/>
          <w:sz w:val="32"/>
          <w:szCs w:val="32"/>
          <w:highlight w:val="none"/>
        </w:rPr>
        <w:t>第一章  竞争性谈判</w:t>
      </w:r>
      <w:bookmarkEnd w:id="0"/>
      <w:bookmarkEnd w:id="1"/>
      <w:bookmarkEnd w:id="2"/>
      <w:r>
        <w:rPr>
          <w:rFonts w:hint="eastAsia"/>
          <w:b/>
          <w:color w:val="auto"/>
          <w:sz w:val="32"/>
          <w:szCs w:val="32"/>
          <w:highlight w:val="none"/>
        </w:rPr>
        <w:t>公告</w:t>
      </w:r>
    </w:p>
    <w:p w14:paraId="5C963B70">
      <w:pPr>
        <w:pBdr>
          <w:top w:val="single" w:color="auto" w:sz="4" w:space="1"/>
          <w:left w:val="single" w:color="auto" w:sz="4" w:space="4"/>
          <w:bottom w:val="single" w:color="auto" w:sz="4" w:space="1"/>
          <w:right w:val="single" w:color="auto" w:sz="4" w:space="4"/>
        </w:pBdr>
        <w:spacing w:line="360" w:lineRule="auto"/>
        <w:rPr>
          <w:rFonts w:ascii="Times New Roman" w:hAnsi="Times New Roman"/>
          <w:bCs/>
          <w:color w:val="auto"/>
          <w:sz w:val="22"/>
          <w:highlight w:val="none"/>
        </w:rPr>
      </w:pPr>
      <w:r>
        <w:rPr>
          <w:rFonts w:ascii="Times New Roman" w:hAnsi="Times New Roman"/>
          <w:bCs/>
          <w:color w:val="auto"/>
          <w:sz w:val="22"/>
          <w:highlight w:val="none"/>
        </w:rPr>
        <w:t>项目概况</w:t>
      </w:r>
    </w:p>
    <w:p w14:paraId="2CD5C1EC">
      <w:pPr>
        <w:pBdr>
          <w:top w:val="single" w:color="auto" w:sz="4" w:space="1"/>
          <w:left w:val="single" w:color="auto" w:sz="4" w:space="4"/>
          <w:bottom w:val="single" w:color="auto" w:sz="4" w:space="1"/>
          <w:right w:val="single" w:color="auto" w:sz="4" w:space="4"/>
        </w:pBdr>
        <w:spacing w:line="360" w:lineRule="auto"/>
        <w:ind w:firstLine="440" w:firstLineChars="200"/>
        <w:rPr>
          <w:rFonts w:ascii="Times New Roman" w:hAnsi="Times New Roman"/>
          <w:bCs/>
          <w:color w:val="auto"/>
          <w:sz w:val="22"/>
          <w:highlight w:val="none"/>
        </w:rPr>
      </w:pPr>
      <w:r>
        <w:rPr>
          <w:rFonts w:hint="eastAsia"/>
          <w:bCs/>
          <w:color w:val="auto"/>
          <w:sz w:val="22"/>
          <w:highlight w:val="none"/>
          <w:u w:val="single"/>
          <w:lang w:val="en-US" w:eastAsia="zh-CN"/>
        </w:rPr>
        <w:t>广播电视微波综合铁塔健康智能监测系统升级项目</w:t>
      </w:r>
      <w:r>
        <w:rPr>
          <w:rFonts w:ascii="Times New Roman" w:hAnsi="Times New Roman"/>
          <w:bCs/>
          <w:color w:val="auto"/>
          <w:sz w:val="22"/>
          <w:highlight w:val="none"/>
        </w:rPr>
        <w:t>的潜在供应商应</w:t>
      </w:r>
      <w:r>
        <w:rPr>
          <w:rFonts w:ascii="Times New Roman" w:hAnsi="Times New Roman"/>
          <w:bCs/>
          <w:color w:val="auto"/>
          <w:sz w:val="22"/>
          <w:highlight w:val="none"/>
          <w:u w:val="single"/>
        </w:rPr>
        <w:t>在</w:t>
      </w:r>
      <w:bookmarkStart w:id="3" w:name="blank7"/>
      <w:r>
        <w:rPr>
          <w:rFonts w:hint="eastAsia" w:ascii="Times New Roman" w:hAnsi="Times New Roman"/>
          <w:bCs/>
          <w:color w:val="auto"/>
          <w:sz w:val="22"/>
          <w:highlight w:val="none"/>
          <w:u w:val="single"/>
        </w:rPr>
        <w:t>“政采云”平台（http：//www.zcygov.cn）</w:t>
      </w:r>
      <w:r>
        <w:rPr>
          <w:rFonts w:hint="eastAsia" w:ascii="Times New Roman" w:hAnsi="Times New Roman"/>
          <w:bCs/>
          <w:color w:val="auto"/>
          <w:sz w:val="22"/>
          <w:highlight w:val="none"/>
          <w:u w:val="none"/>
        </w:rPr>
        <w:t>获</w:t>
      </w:r>
      <w:r>
        <w:rPr>
          <w:rFonts w:hint="eastAsia" w:ascii="Times New Roman" w:hAnsi="Times New Roman"/>
          <w:bCs/>
          <w:color w:val="auto"/>
          <w:sz w:val="22"/>
          <w:highlight w:val="none"/>
        </w:rPr>
        <w:t>取采购文件</w:t>
      </w:r>
      <w:bookmarkEnd w:id="3"/>
      <w:r>
        <w:rPr>
          <w:rFonts w:hint="eastAsia" w:ascii="Times New Roman" w:hAnsi="Times New Roman"/>
          <w:bCs/>
          <w:color w:val="auto"/>
          <w:sz w:val="22"/>
          <w:highlight w:val="none"/>
        </w:rPr>
        <w:t>，并于</w:t>
      </w:r>
      <w:r>
        <w:rPr>
          <w:rFonts w:hint="eastAsia" w:ascii="宋体" w:hAnsi="宋体" w:cs="宋体"/>
          <w:bCs/>
          <w:snapToGrid w:val="0"/>
          <w:color w:val="auto"/>
          <w:szCs w:val="21"/>
          <w:highlight w:val="none"/>
          <w:lang w:eastAsia="zh-CN"/>
        </w:rPr>
        <w:t>2025年07月07日08点30分</w:t>
      </w:r>
      <w:r>
        <w:rPr>
          <w:rFonts w:hint="eastAsia" w:ascii="Times New Roman" w:hAnsi="Times New Roman"/>
          <w:bCs/>
          <w:color w:val="auto"/>
          <w:sz w:val="22"/>
          <w:highlight w:val="none"/>
        </w:rPr>
        <w:t>（北京时间）前提交投标文件。</w:t>
      </w:r>
    </w:p>
    <w:p w14:paraId="122C7735">
      <w:pPr>
        <w:pageBreakBefore w:val="0"/>
        <w:widowControl/>
        <w:kinsoku/>
        <w:wordWrap/>
        <w:overflowPunct/>
        <w:topLinePunct w:val="0"/>
        <w:autoSpaceDE/>
        <w:autoSpaceDN/>
        <w:bidi w:val="0"/>
        <w:snapToGrid/>
        <w:spacing w:line="360" w:lineRule="auto"/>
        <w:textAlignment w:val="auto"/>
        <w:rPr>
          <w:rFonts w:hint="eastAsia" w:ascii="宋体" w:hAnsi="宋体" w:cs="黑体"/>
          <w:b/>
          <w:color w:val="auto"/>
          <w:kern w:val="0"/>
          <w:szCs w:val="21"/>
          <w:highlight w:val="none"/>
        </w:rPr>
      </w:pPr>
      <w:r>
        <w:rPr>
          <w:rFonts w:hint="eastAsia" w:ascii="宋体" w:hAnsi="宋体" w:cs="黑体"/>
          <w:b/>
          <w:color w:val="auto"/>
          <w:kern w:val="0"/>
          <w:szCs w:val="21"/>
          <w:highlight w:val="none"/>
        </w:rPr>
        <w:t>一、项目基本情况</w:t>
      </w:r>
      <w:r>
        <w:rPr>
          <w:rFonts w:hint="eastAsia" w:cs="黑体"/>
          <w:b/>
          <w:color w:val="auto"/>
          <w:kern w:val="0"/>
          <w:szCs w:val="21"/>
          <w:highlight w:val="none"/>
        </w:rPr>
        <w:t>：</w:t>
      </w:r>
    </w:p>
    <w:p w14:paraId="502709CA">
      <w:pPr>
        <w:pageBreakBefore w:val="0"/>
        <w:kinsoku/>
        <w:wordWrap/>
        <w:overflowPunct/>
        <w:topLinePunct w:val="0"/>
        <w:autoSpaceDE/>
        <w:autoSpaceDN/>
        <w:bidi w:val="0"/>
        <w:snapToGrid/>
        <w:spacing w:line="360" w:lineRule="auto"/>
        <w:ind w:firstLine="420" w:firstLineChars="200"/>
        <w:textAlignment w:val="auto"/>
        <w:rPr>
          <w:rFonts w:hint="default" w:ascii="宋体" w:hAnsi="宋体" w:cs="黑体"/>
          <w:b w:val="0"/>
          <w:color w:val="auto"/>
          <w:kern w:val="0"/>
          <w:sz w:val="21"/>
          <w:szCs w:val="21"/>
          <w:highlight w:val="none"/>
          <w:lang w:val="en-US" w:eastAsia="zh-CN"/>
        </w:rPr>
      </w:pPr>
      <w:r>
        <w:rPr>
          <w:rFonts w:hint="eastAsia" w:ascii="宋体" w:hAnsi="宋体" w:cs="黑体"/>
          <w:b w:val="0"/>
          <w:color w:val="auto"/>
          <w:kern w:val="0"/>
          <w:sz w:val="21"/>
          <w:szCs w:val="21"/>
          <w:highlight w:val="none"/>
          <w:lang w:val="en-US" w:eastAsia="zh-CN"/>
        </w:rPr>
        <w:t xml:space="preserve">招标编号：采购计划-[2025]-00095号-HYZB2025ZC070101  </w:t>
      </w:r>
    </w:p>
    <w:p w14:paraId="35863F58">
      <w:pPr>
        <w:pageBreakBefore w:val="0"/>
        <w:kinsoku/>
        <w:wordWrap/>
        <w:overflowPunct/>
        <w:topLinePunct w:val="0"/>
        <w:autoSpaceDE/>
        <w:autoSpaceDN/>
        <w:bidi w:val="0"/>
        <w:snapToGrid/>
        <w:spacing w:line="360" w:lineRule="auto"/>
        <w:ind w:firstLine="420" w:firstLineChars="200"/>
        <w:textAlignment w:val="auto"/>
        <w:rPr>
          <w:rFonts w:hint="eastAsia" w:ascii="宋体" w:hAnsi="宋体" w:eastAsia="宋体" w:cs="黑体"/>
          <w:bCs/>
          <w:color w:val="auto"/>
          <w:kern w:val="0"/>
          <w:szCs w:val="21"/>
          <w:highlight w:val="none"/>
          <w:lang w:eastAsia="zh-CN"/>
        </w:rPr>
      </w:pPr>
      <w:r>
        <w:rPr>
          <w:rFonts w:ascii="宋体" w:hAnsi="宋体" w:cs="黑体"/>
          <w:bCs/>
          <w:color w:val="auto"/>
          <w:kern w:val="0"/>
          <w:szCs w:val="21"/>
          <w:highlight w:val="none"/>
        </w:rPr>
        <w:t>项目名称：</w:t>
      </w:r>
      <w:r>
        <w:rPr>
          <w:rFonts w:hint="eastAsia" w:ascii="宋体" w:hAnsi="宋体" w:cs="黑体"/>
          <w:bCs/>
          <w:color w:val="auto"/>
          <w:kern w:val="0"/>
          <w:szCs w:val="21"/>
          <w:highlight w:val="none"/>
          <w:lang w:eastAsia="zh-CN"/>
        </w:rPr>
        <w:t>广播电视微波综合铁塔健康智能监测系统升级项目</w:t>
      </w:r>
    </w:p>
    <w:p w14:paraId="6B423141">
      <w:pPr>
        <w:pageBreakBefore w:val="0"/>
        <w:kinsoku/>
        <w:wordWrap/>
        <w:overflowPunct/>
        <w:topLinePunct w:val="0"/>
        <w:autoSpaceDE/>
        <w:autoSpaceDN/>
        <w:bidi w:val="0"/>
        <w:snapToGrid/>
        <w:spacing w:line="360" w:lineRule="auto"/>
        <w:ind w:firstLine="420" w:firstLineChars="200"/>
        <w:textAlignment w:val="auto"/>
        <w:rPr>
          <w:rFonts w:ascii="宋体" w:hAnsi="宋体" w:cs="黑体"/>
          <w:bCs/>
          <w:color w:val="auto"/>
          <w:kern w:val="0"/>
          <w:szCs w:val="21"/>
          <w:highlight w:val="none"/>
        </w:rPr>
      </w:pPr>
      <w:r>
        <w:rPr>
          <w:rFonts w:ascii="宋体" w:hAnsi="宋体" w:cs="黑体"/>
          <w:bCs/>
          <w:color w:val="auto"/>
          <w:kern w:val="0"/>
          <w:szCs w:val="21"/>
          <w:highlight w:val="none"/>
        </w:rPr>
        <w:t>采购方式：竞争性谈判</w:t>
      </w:r>
    </w:p>
    <w:p w14:paraId="7998AEB2">
      <w:pPr>
        <w:pageBreakBefore w:val="0"/>
        <w:kinsoku/>
        <w:wordWrap/>
        <w:overflowPunct/>
        <w:topLinePunct w:val="0"/>
        <w:autoSpaceDE/>
        <w:autoSpaceDN/>
        <w:bidi w:val="0"/>
        <w:snapToGrid/>
        <w:spacing w:line="360" w:lineRule="auto"/>
        <w:ind w:firstLine="420" w:firstLineChars="200"/>
        <w:textAlignment w:val="auto"/>
        <w:rPr>
          <w:rFonts w:hint="default" w:ascii="宋体" w:hAnsi="宋体" w:cs="宋体"/>
          <w:bCs/>
          <w:color w:val="auto"/>
          <w:kern w:val="0"/>
          <w:szCs w:val="21"/>
          <w:highlight w:val="none"/>
          <w:lang w:val="en-US" w:eastAsia="zh-CN"/>
        </w:rPr>
      </w:pPr>
      <w:r>
        <w:rPr>
          <w:rFonts w:ascii="宋体" w:hAnsi="宋体" w:cs="黑体"/>
          <w:bCs/>
          <w:color w:val="auto"/>
          <w:kern w:val="0"/>
          <w:szCs w:val="21"/>
          <w:highlight w:val="none"/>
        </w:rPr>
        <w:t>预算金额：</w:t>
      </w:r>
      <w:r>
        <w:rPr>
          <w:rFonts w:hint="eastAsia" w:ascii="宋体" w:hAnsi="宋体" w:cs="黑体"/>
          <w:bCs/>
          <w:color w:val="auto"/>
          <w:kern w:val="0"/>
          <w:szCs w:val="21"/>
          <w:highlight w:val="none"/>
          <w:lang w:val="en-US" w:eastAsia="zh-CN"/>
        </w:rPr>
        <w:t>630000元</w:t>
      </w:r>
    </w:p>
    <w:p w14:paraId="4C83FAF7">
      <w:pPr>
        <w:pageBreakBefore w:val="0"/>
        <w:kinsoku/>
        <w:wordWrap/>
        <w:overflowPunct/>
        <w:topLinePunct w:val="0"/>
        <w:autoSpaceDE/>
        <w:autoSpaceDN/>
        <w:bidi w:val="0"/>
        <w:snapToGrid/>
        <w:spacing w:line="360" w:lineRule="auto"/>
        <w:ind w:firstLine="420" w:firstLineChars="200"/>
        <w:textAlignment w:val="auto"/>
        <w:rPr>
          <w:rFonts w:ascii="宋体" w:hAnsi="宋体" w:cs="黑体"/>
          <w:bCs/>
          <w:color w:val="auto"/>
          <w:kern w:val="0"/>
          <w:szCs w:val="21"/>
          <w:highlight w:val="none"/>
        </w:rPr>
      </w:pPr>
      <w:r>
        <w:rPr>
          <w:rFonts w:hint="eastAsia" w:ascii="宋体" w:hAnsi="宋体" w:cs="宋体"/>
          <w:b w:val="0"/>
          <w:color w:val="auto"/>
          <w:sz w:val="21"/>
          <w:szCs w:val="21"/>
          <w:highlight w:val="none"/>
          <w:lang w:eastAsia="zh-CN"/>
        </w:rPr>
        <w:t>采购</w:t>
      </w:r>
      <w:r>
        <w:rPr>
          <w:rFonts w:hint="eastAsia" w:ascii="宋体" w:hAnsi="宋体" w:eastAsia="宋体" w:cs="宋体"/>
          <w:b w:val="0"/>
          <w:color w:val="auto"/>
          <w:sz w:val="21"/>
          <w:szCs w:val="21"/>
          <w:highlight w:val="none"/>
          <w:lang w:val="en-US" w:eastAsia="zh-CN"/>
        </w:rPr>
        <w:t>需求</w:t>
      </w:r>
      <w:r>
        <w:rPr>
          <w:rFonts w:hint="eastAsia" w:ascii="宋体" w:hAnsi="宋体" w:eastAsia="宋体" w:cs="宋体"/>
          <w:b w:val="0"/>
          <w:color w:val="auto"/>
          <w:sz w:val="21"/>
          <w:szCs w:val="21"/>
          <w:highlight w:val="none"/>
        </w:rPr>
        <w:t>：</w:t>
      </w:r>
      <w:r>
        <w:rPr>
          <w:rFonts w:hint="eastAsia" w:ascii="宋体" w:hAnsi="宋体" w:cs="黑体"/>
          <w:bCs/>
          <w:color w:val="auto"/>
          <w:kern w:val="0"/>
          <w:szCs w:val="21"/>
          <w:highlight w:val="none"/>
          <w:lang w:eastAsia="zh-CN"/>
        </w:rPr>
        <w:t>广播电视微波综合铁塔健康智能监测系统升级项目（</w:t>
      </w:r>
      <w:r>
        <w:rPr>
          <w:rFonts w:hint="eastAsia" w:ascii="宋体" w:hAnsi="宋体" w:cs="黑体"/>
          <w:bCs/>
          <w:color w:val="auto"/>
          <w:kern w:val="0"/>
          <w:szCs w:val="21"/>
          <w:highlight w:val="none"/>
          <w:lang w:val="en-US" w:eastAsia="zh-CN"/>
        </w:rPr>
        <w:t>详见采购文件</w:t>
      </w:r>
      <w:r>
        <w:rPr>
          <w:rFonts w:hint="eastAsia" w:ascii="宋体" w:hAnsi="宋体" w:cs="黑体"/>
          <w:bCs/>
          <w:color w:val="auto"/>
          <w:kern w:val="0"/>
          <w:szCs w:val="21"/>
          <w:highlight w:val="none"/>
          <w:lang w:eastAsia="zh-CN"/>
        </w:rPr>
        <w:t>）</w:t>
      </w:r>
    </w:p>
    <w:p w14:paraId="18C57201">
      <w:pPr>
        <w:pageBreakBefore w:val="0"/>
        <w:kinsoku/>
        <w:wordWrap/>
        <w:overflowPunct/>
        <w:topLinePunct w:val="0"/>
        <w:autoSpaceDE/>
        <w:autoSpaceDN/>
        <w:bidi w:val="0"/>
        <w:snapToGrid/>
        <w:spacing w:line="360" w:lineRule="auto"/>
        <w:ind w:firstLine="420" w:firstLineChars="200"/>
        <w:textAlignment w:val="auto"/>
        <w:rPr>
          <w:rFonts w:hint="default" w:ascii="宋体" w:hAnsi="宋体" w:eastAsia="宋体" w:cs="宋体"/>
          <w:b w:val="0"/>
          <w:color w:val="auto"/>
          <w:sz w:val="21"/>
          <w:szCs w:val="21"/>
          <w:highlight w:val="red"/>
          <w:lang w:val="en-US" w:eastAsia="zh-CN"/>
        </w:rPr>
      </w:pPr>
      <w:r>
        <w:rPr>
          <w:rFonts w:hint="eastAsia" w:ascii="宋体" w:hAnsi="宋体" w:cs="宋体"/>
          <w:b w:val="0"/>
          <w:color w:val="auto"/>
          <w:sz w:val="21"/>
          <w:szCs w:val="21"/>
          <w:highlight w:val="none"/>
          <w:lang w:val="en-US" w:eastAsia="zh-CN"/>
        </w:rPr>
        <w:t>合同履行</w:t>
      </w:r>
      <w:r>
        <w:rPr>
          <w:rFonts w:hint="eastAsia" w:ascii="宋体" w:hAnsi="宋体" w:eastAsia="宋体" w:cs="宋体"/>
          <w:b w:val="0"/>
          <w:color w:val="auto"/>
          <w:sz w:val="21"/>
          <w:szCs w:val="21"/>
          <w:highlight w:val="none"/>
        </w:rPr>
        <w:t>期限：</w:t>
      </w:r>
      <w:r>
        <w:rPr>
          <w:rFonts w:hint="eastAsia" w:ascii="宋体" w:hAnsi="宋体" w:cs="宋体"/>
          <w:b w:val="0"/>
          <w:color w:val="auto"/>
          <w:sz w:val="21"/>
          <w:szCs w:val="21"/>
          <w:highlight w:val="none"/>
          <w:lang w:eastAsia="zh-CN"/>
        </w:rPr>
        <w:t>签订合同后</w:t>
      </w:r>
      <w:r>
        <w:rPr>
          <w:rFonts w:hint="eastAsia" w:ascii="宋体" w:hAnsi="宋体" w:cs="宋体"/>
          <w:b w:val="0"/>
          <w:color w:val="auto"/>
          <w:sz w:val="21"/>
          <w:szCs w:val="21"/>
          <w:highlight w:val="none"/>
          <w:lang w:val="en-US" w:eastAsia="zh-CN"/>
        </w:rPr>
        <w:t>30</w:t>
      </w:r>
      <w:r>
        <w:rPr>
          <w:rFonts w:hint="eastAsia" w:ascii="宋体" w:hAnsi="宋体" w:cs="宋体"/>
          <w:b w:val="0"/>
          <w:color w:val="auto"/>
          <w:sz w:val="21"/>
          <w:szCs w:val="21"/>
          <w:highlight w:val="none"/>
          <w:lang w:eastAsia="zh-CN"/>
        </w:rPr>
        <w:t>个工作日内完成交货</w:t>
      </w:r>
      <w:r>
        <w:rPr>
          <w:rFonts w:hint="eastAsia" w:ascii="宋体" w:hAnsi="宋体" w:cs="宋体"/>
          <w:b w:val="0"/>
          <w:color w:val="auto"/>
          <w:sz w:val="21"/>
          <w:szCs w:val="21"/>
          <w:highlight w:val="none"/>
          <w:lang w:val="en-US" w:eastAsia="zh-CN"/>
        </w:rPr>
        <w:t>。</w:t>
      </w:r>
    </w:p>
    <w:p w14:paraId="46FFEC69">
      <w:pPr>
        <w:pStyle w:val="12"/>
        <w:ind w:firstLine="420" w:firstLineChars="200"/>
        <w:rPr>
          <w:rFonts w:hint="eastAsia"/>
          <w:color w:val="auto"/>
          <w:highlight w:val="none"/>
          <w:lang w:eastAsia="zh-CN"/>
        </w:rPr>
      </w:pPr>
      <w:r>
        <w:rPr>
          <w:rFonts w:hint="eastAsia"/>
          <w:color w:val="auto"/>
          <w:highlight w:val="none"/>
          <w:lang w:eastAsia="zh-CN"/>
        </w:rPr>
        <w:t>质保期：供应商必须严格履行所承诺的服务条款及合同内规定的要求。质保期</w:t>
      </w:r>
      <w:r>
        <w:rPr>
          <w:rFonts w:hint="eastAsia"/>
          <w:color w:val="auto"/>
          <w:highlight w:val="none"/>
          <w:lang w:val="en-US" w:eastAsia="zh-CN"/>
        </w:rPr>
        <w:t>按照</w:t>
      </w:r>
      <w:r>
        <w:rPr>
          <w:rFonts w:hint="eastAsia"/>
          <w:color w:val="auto"/>
          <w:highlight w:val="none"/>
          <w:lang w:eastAsia="zh-CN"/>
        </w:rPr>
        <w:t>使用年限</w:t>
      </w:r>
      <w:r>
        <w:rPr>
          <w:rFonts w:hint="eastAsia"/>
          <w:color w:val="auto"/>
          <w:highlight w:val="none"/>
          <w:lang w:val="en-US" w:eastAsia="zh-CN"/>
        </w:rPr>
        <w:t>5</w:t>
      </w:r>
      <w:r>
        <w:rPr>
          <w:rFonts w:hint="eastAsia"/>
          <w:color w:val="auto"/>
          <w:highlight w:val="none"/>
          <w:lang w:eastAsia="zh-CN"/>
        </w:rPr>
        <w:t>年的时间计算。</w:t>
      </w:r>
    </w:p>
    <w:p w14:paraId="3D4BE380">
      <w:pPr>
        <w:pStyle w:val="3"/>
        <w:pageBreakBefore w:val="0"/>
        <w:widowControl/>
        <w:kinsoku/>
        <w:wordWrap/>
        <w:overflowPunct/>
        <w:topLinePunct w:val="0"/>
        <w:autoSpaceDE/>
        <w:autoSpaceDN/>
        <w:bidi w:val="0"/>
        <w:snapToGrid/>
        <w:spacing w:before="0" w:after="0" w:line="360" w:lineRule="auto"/>
        <w:ind w:firstLine="420" w:firstLineChars="200"/>
        <w:jc w:val="left"/>
        <w:textAlignment w:val="auto"/>
        <w:rPr>
          <w:rFonts w:ascii="宋体" w:hAnsi="宋体" w:cs="黑体"/>
          <w:b w:val="0"/>
          <w:color w:val="auto"/>
          <w:kern w:val="0"/>
          <w:sz w:val="21"/>
          <w:szCs w:val="21"/>
          <w:highlight w:val="none"/>
          <w:lang w:val="en-US" w:eastAsia="zh-CN"/>
        </w:rPr>
      </w:pPr>
      <w:r>
        <w:rPr>
          <w:rFonts w:ascii="宋体" w:hAnsi="宋体" w:cs="黑体"/>
          <w:b w:val="0"/>
          <w:color w:val="auto"/>
          <w:kern w:val="0"/>
          <w:sz w:val="21"/>
          <w:szCs w:val="21"/>
          <w:highlight w:val="none"/>
          <w:lang w:val="en-US" w:eastAsia="zh-CN"/>
        </w:rPr>
        <w:t>本项目</w:t>
      </w:r>
      <w:r>
        <w:rPr>
          <w:rFonts w:hint="eastAsia" w:ascii="宋体" w:hAnsi="宋体" w:cs="黑体"/>
          <w:b w:val="0"/>
          <w:color w:val="auto"/>
          <w:kern w:val="0"/>
          <w:sz w:val="21"/>
          <w:szCs w:val="21"/>
          <w:highlight w:val="none"/>
          <w:lang w:val="en-US" w:eastAsia="zh-CN"/>
        </w:rPr>
        <w:t>不</w:t>
      </w:r>
      <w:r>
        <w:rPr>
          <w:rFonts w:ascii="宋体" w:hAnsi="宋体" w:cs="黑体"/>
          <w:b w:val="0"/>
          <w:color w:val="auto"/>
          <w:kern w:val="0"/>
          <w:sz w:val="21"/>
          <w:szCs w:val="21"/>
          <w:highlight w:val="none"/>
          <w:lang w:val="en-US" w:eastAsia="zh-CN"/>
        </w:rPr>
        <w:t>接受联合体投标</w:t>
      </w:r>
      <w:r>
        <w:rPr>
          <w:rFonts w:hint="eastAsia" w:ascii="宋体" w:hAnsi="宋体" w:cs="黑体"/>
          <w:b w:val="0"/>
          <w:color w:val="auto"/>
          <w:kern w:val="0"/>
          <w:sz w:val="21"/>
          <w:szCs w:val="21"/>
          <w:highlight w:val="none"/>
          <w:lang w:val="en-US" w:eastAsia="zh-CN"/>
        </w:rPr>
        <w:t>。</w:t>
      </w:r>
    </w:p>
    <w:p w14:paraId="788F985A">
      <w:pPr>
        <w:pageBreakBefore w:val="0"/>
        <w:kinsoku/>
        <w:wordWrap/>
        <w:overflowPunct/>
        <w:topLinePunct w:val="0"/>
        <w:autoSpaceDE/>
        <w:autoSpaceDN/>
        <w:bidi w:val="0"/>
        <w:snapToGrid/>
        <w:spacing w:line="360" w:lineRule="auto"/>
        <w:textAlignment w:val="auto"/>
        <w:rPr>
          <w:b/>
          <w:color w:val="auto"/>
          <w:highlight w:val="none"/>
        </w:rPr>
      </w:pPr>
      <w:r>
        <w:rPr>
          <w:rFonts w:hint="eastAsia" w:cs="黑体"/>
          <w:b/>
          <w:color w:val="auto"/>
          <w:kern w:val="0"/>
          <w:szCs w:val="21"/>
          <w:highlight w:val="none"/>
        </w:rPr>
        <w:t>二、申请人的资格要求：</w:t>
      </w:r>
    </w:p>
    <w:p w14:paraId="19A86CB5">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bookmarkStart w:id="4" w:name="_bookmark3"/>
      <w:bookmarkEnd w:id="4"/>
      <w:r>
        <w:rPr>
          <w:rFonts w:hint="eastAsia" w:ascii="宋体" w:hAnsi="宋体" w:eastAsia="宋体" w:cs="宋体"/>
          <w:bCs/>
          <w:snapToGrid w:val="0"/>
          <w:color w:val="auto"/>
          <w:szCs w:val="21"/>
          <w:highlight w:val="none"/>
        </w:rPr>
        <w:t>1.满足《中华人民共和国政府采购法》第二十二条规定；</w:t>
      </w:r>
    </w:p>
    <w:p w14:paraId="420071E4">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（1）具有独立承担民事责任的能力；</w:t>
      </w:r>
    </w:p>
    <w:p w14:paraId="7FA41DC5">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（2）具有良好的商业信誉和健全的财务会计制度；</w:t>
      </w:r>
    </w:p>
    <w:p w14:paraId="2BEC1A41">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（3）具有履行合同所必需的设备和专业技术能力；</w:t>
      </w:r>
    </w:p>
    <w:p w14:paraId="3C66991D">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（4）有依法缴纳税收和社会保障资金的良好记录；</w:t>
      </w:r>
    </w:p>
    <w:p w14:paraId="7DAE2395">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（5）参加政府采购活动前三年内，在经营活动中没有重大违法记录；</w:t>
      </w:r>
    </w:p>
    <w:p w14:paraId="63B975AC">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（6）法律、行政法规规定的其他条件。</w:t>
      </w:r>
    </w:p>
    <w:p w14:paraId="22B6A722">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2.需要落实的政府采购政策：</w:t>
      </w:r>
      <w:r>
        <w:rPr>
          <w:rFonts w:hint="eastAsia" w:ascii="宋体" w:hAnsi="宋体" w:cs="宋体"/>
          <w:bCs/>
          <w:snapToGrid w:val="0"/>
          <w:color w:val="auto"/>
          <w:szCs w:val="21"/>
          <w:highlight w:val="none"/>
          <w:lang w:val="en-US" w:eastAsia="zh-CN"/>
        </w:rPr>
        <w:t>本项目专门面向中小企业采购；</w:t>
      </w:r>
    </w:p>
    <w:p w14:paraId="1EF3071A">
      <w:pPr>
        <w:pageBreakBefore w:val="0"/>
        <w:widowControl/>
        <w:kinsoku/>
        <w:wordWrap/>
        <w:overflowPunct/>
        <w:topLinePunct w:val="0"/>
        <w:autoSpaceDE/>
        <w:autoSpaceDN/>
        <w:bidi w:val="0"/>
        <w:snapToGrid/>
        <w:spacing w:line="360" w:lineRule="auto"/>
        <w:ind w:firstLine="465"/>
        <w:textAlignment w:val="auto"/>
        <w:rPr>
          <w:rFonts w:hint="eastAsia" w:ascii="宋体" w:hAnsi="宋体" w:cs="宋体"/>
          <w:bCs/>
          <w:snapToGrid w:val="0"/>
          <w:color w:val="auto"/>
          <w:szCs w:val="21"/>
          <w:highlight w:val="none"/>
        </w:rPr>
      </w:pPr>
      <w:r>
        <w:rPr>
          <w:rFonts w:hint="eastAsia" w:ascii="宋体" w:hAnsi="宋体" w:cs="宋体"/>
          <w:bCs/>
          <w:snapToGrid w:val="0"/>
          <w:color w:val="auto"/>
          <w:szCs w:val="21"/>
          <w:highlight w:val="none"/>
        </w:rPr>
        <w:t>3.本项目的特定资格要求：</w:t>
      </w:r>
    </w:p>
    <w:p w14:paraId="1B03C167">
      <w:pPr>
        <w:pStyle w:val="12"/>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bCs/>
          <w:snapToGrid w:val="0"/>
          <w:color w:val="auto"/>
          <w:kern w:val="2"/>
          <w:sz w:val="21"/>
          <w:szCs w:val="21"/>
          <w:highlight w:val="none"/>
          <w:lang w:val="en-US" w:eastAsia="zh-CN" w:bidi="ar-SA"/>
        </w:rPr>
      </w:pPr>
      <w:r>
        <w:rPr>
          <w:rFonts w:hint="eastAsia" w:ascii="宋体" w:hAnsi="宋体" w:eastAsia="宋体" w:cs="宋体"/>
          <w:bCs/>
          <w:snapToGrid w:val="0"/>
          <w:color w:val="auto"/>
          <w:szCs w:val="21"/>
          <w:highlight w:val="none"/>
        </w:rPr>
        <w:t>（1）具有有效的营业执照</w:t>
      </w:r>
      <w:r>
        <w:rPr>
          <w:rFonts w:hint="eastAsia" w:ascii="宋体" w:hAnsi="宋体" w:cs="宋体"/>
          <w:bCs/>
          <w:snapToGrid w:val="0"/>
          <w:color w:val="auto"/>
          <w:szCs w:val="21"/>
          <w:highlight w:val="none"/>
          <w:lang w:eastAsia="zh-CN"/>
        </w:rPr>
        <w:t>。</w:t>
      </w:r>
    </w:p>
    <w:p w14:paraId="6E351FF4">
      <w:pPr>
        <w:pStyle w:val="12"/>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cs="宋体"/>
          <w:bCs/>
          <w:snapToGrid w:val="0"/>
          <w:color w:val="auto"/>
          <w:szCs w:val="21"/>
          <w:highlight w:val="none"/>
        </w:rPr>
      </w:pPr>
      <w:r>
        <w:rPr>
          <w:rFonts w:hint="eastAsia" w:ascii="宋体" w:hAnsi="宋体" w:eastAsia="宋体" w:cs="宋体"/>
          <w:bCs/>
          <w:snapToGrid w:val="0"/>
          <w:color w:val="auto"/>
          <w:szCs w:val="21"/>
          <w:highlight w:val="none"/>
          <w:lang w:eastAsia="zh-CN"/>
        </w:rPr>
        <w:t>（</w:t>
      </w:r>
      <w:r>
        <w:rPr>
          <w:rFonts w:hint="eastAsia" w:ascii="宋体" w:hAnsi="宋体" w:eastAsia="宋体" w:cs="宋体"/>
          <w:bCs/>
          <w:snapToGrid w:val="0"/>
          <w:color w:val="auto"/>
          <w:szCs w:val="21"/>
          <w:highlight w:val="none"/>
          <w:lang w:val="en-US" w:eastAsia="zh-CN"/>
        </w:rPr>
        <w:t>2</w:t>
      </w:r>
      <w:r>
        <w:rPr>
          <w:rFonts w:hint="eastAsia" w:ascii="宋体" w:hAnsi="宋体" w:eastAsia="宋体" w:cs="宋体"/>
          <w:bCs/>
          <w:snapToGrid w:val="0"/>
          <w:color w:val="auto"/>
          <w:szCs w:val="21"/>
          <w:highlight w:val="none"/>
          <w:lang w:eastAsia="zh-CN"/>
        </w:rPr>
        <w:t>）</w:t>
      </w:r>
      <w:r>
        <w:rPr>
          <w:rFonts w:hint="eastAsia" w:ascii="宋体" w:hAnsi="宋体" w:cs="宋体"/>
          <w:bCs/>
          <w:snapToGrid w:val="0"/>
          <w:color w:val="auto"/>
          <w:szCs w:val="21"/>
          <w:highlight w:val="none"/>
          <w:lang w:val="zh-CN"/>
        </w:rPr>
        <w:t>拒绝列入政府不良行为记录期间的企业或个人投标</w:t>
      </w:r>
      <w:r>
        <w:rPr>
          <w:rFonts w:hint="eastAsia" w:cs="宋体"/>
          <w:bCs/>
          <w:snapToGrid w:val="0"/>
          <w:color w:val="auto"/>
          <w:szCs w:val="21"/>
          <w:highlight w:val="none"/>
          <w:lang w:val="zh-CN"/>
        </w:rPr>
        <w:t>。</w:t>
      </w:r>
      <w:r>
        <w:rPr>
          <w:rFonts w:hint="eastAsia" w:ascii="宋体" w:hAnsi="宋体" w:cs="宋体"/>
          <w:bCs/>
          <w:snapToGrid w:val="0"/>
          <w:color w:val="auto"/>
          <w:szCs w:val="21"/>
          <w:highlight w:val="none"/>
          <w:lang w:val="zh-CN"/>
        </w:rPr>
        <w:t>投标人未被列入失信被执行人、重大税收违法案件当事人名单、政府采购严重违法失信行为记录名单、严重失信主体名单等，在“信用中国”网站（www.creditchina.gov.cn）、全国企业信用信息公示系统、中国政府采购网（www.ccgp.gov.cn）上进行查询失信记录；投标人不得存在行贿犯罪记录，在中国裁判文书网（http://wenshu.court.gov.cn/）进行查询投标人、法人行贿犯罪记录</w:t>
      </w:r>
      <w:r>
        <w:rPr>
          <w:rFonts w:hint="eastAsia" w:ascii="宋体" w:hAnsi="宋体" w:cs="宋体"/>
          <w:bCs/>
          <w:snapToGrid w:val="0"/>
          <w:color w:val="auto"/>
          <w:szCs w:val="21"/>
          <w:highlight w:val="none"/>
        </w:rPr>
        <w:t>(</w:t>
      </w:r>
      <w:r>
        <w:rPr>
          <w:rFonts w:hint="eastAsia" w:ascii="宋体" w:hAnsi="宋体" w:cs="宋体"/>
          <w:bCs/>
          <w:snapToGrid w:val="0"/>
          <w:color w:val="auto"/>
          <w:szCs w:val="21"/>
          <w:highlight w:val="none"/>
          <w:lang w:val="zh-CN"/>
        </w:rPr>
        <w:t>信用信息截止时点为投标截止时间前</w:t>
      </w:r>
      <w:r>
        <w:rPr>
          <w:rFonts w:hint="eastAsia" w:ascii="宋体" w:hAnsi="宋体" w:cs="宋体"/>
          <w:bCs/>
          <w:snapToGrid w:val="0"/>
          <w:color w:val="auto"/>
          <w:szCs w:val="21"/>
          <w:highlight w:val="none"/>
        </w:rPr>
        <w:t>)。</w:t>
      </w:r>
      <w:bookmarkStart w:id="5" w:name="_bookmark6"/>
      <w:bookmarkEnd w:id="5"/>
      <w:bookmarkStart w:id="6" w:name="_bookmark5"/>
      <w:bookmarkEnd w:id="6"/>
    </w:p>
    <w:p w14:paraId="24FC11AA">
      <w:pPr>
        <w:keepNext w:val="0"/>
        <w:keepLines w:val="0"/>
        <w:pageBreakBefore w:val="0"/>
        <w:tabs>
          <w:tab w:val="left" w:pos="1313"/>
        </w:tabs>
        <w:kinsoku/>
        <w:wordWrap/>
        <w:overflowPunct/>
        <w:topLinePunct w:val="0"/>
        <w:autoSpaceDE/>
        <w:autoSpaceDN/>
        <w:bidi w:val="0"/>
        <w:adjustRightInd/>
        <w:snapToGrid/>
        <w:spacing w:line="360" w:lineRule="auto"/>
        <w:ind w:firstLine="518" w:firstLineChars="247"/>
        <w:jc w:val="left"/>
        <w:textAlignment w:val="auto"/>
        <w:rPr>
          <w:rFonts w:hint="eastAsia" w:ascii="宋体" w:hAnsi="宋体" w:eastAsia="宋体" w:cs="宋体"/>
          <w:bCs/>
          <w:snapToGrid w:val="0"/>
          <w:color w:val="auto"/>
          <w:kern w:val="2"/>
          <w:sz w:val="21"/>
          <w:szCs w:val="21"/>
          <w:highlight w:val="none"/>
          <w:lang w:val="en-US" w:eastAsia="zh-CN" w:bidi="ar-SA"/>
        </w:rPr>
      </w:pPr>
      <w:r>
        <w:rPr>
          <w:rFonts w:hint="eastAsia" w:ascii="宋体" w:hAnsi="宋体" w:eastAsia="宋体" w:cs="宋体"/>
          <w:bCs/>
          <w:snapToGrid w:val="0"/>
          <w:color w:val="auto"/>
          <w:kern w:val="2"/>
          <w:sz w:val="21"/>
          <w:szCs w:val="21"/>
          <w:highlight w:val="none"/>
          <w:lang w:val="en-US" w:eastAsia="zh-CN" w:bidi="ar-SA"/>
        </w:rPr>
        <w:t>（</w:t>
      </w:r>
      <w:r>
        <w:rPr>
          <w:rFonts w:hint="eastAsia" w:ascii="宋体" w:hAnsi="宋体" w:cs="宋体"/>
          <w:bCs/>
          <w:snapToGrid w:val="0"/>
          <w:color w:val="auto"/>
          <w:kern w:val="2"/>
          <w:sz w:val="21"/>
          <w:szCs w:val="21"/>
          <w:highlight w:val="none"/>
          <w:lang w:val="en-US" w:eastAsia="zh-CN" w:bidi="ar-SA"/>
        </w:rPr>
        <w:t>3</w:t>
      </w:r>
      <w:r>
        <w:rPr>
          <w:rFonts w:hint="eastAsia" w:ascii="宋体" w:hAnsi="宋体" w:eastAsia="宋体" w:cs="宋体"/>
          <w:bCs/>
          <w:snapToGrid w:val="0"/>
          <w:color w:val="auto"/>
          <w:kern w:val="2"/>
          <w:sz w:val="21"/>
          <w:szCs w:val="21"/>
          <w:highlight w:val="none"/>
          <w:lang w:val="en-US" w:eastAsia="zh-CN" w:bidi="ar-SA"/>
        </w:rPr>
        <w:t>）企业名称不同但法定代表人为同一个自然人的两个或者两个以上的供应商不得参加同一项目的投标；单位负责人为同一人或者存在控股、管理关系的不同单位，不得参加同一标段投标或者未划分标段的同一招标项目投标；与招标人存在利害关系可能影响招标公正性的法人、其他组织或者个人，不得参加投标。</w:t>
      </w:r>
    </w:p>
    <w:p w14:paraId="4FF3E30D">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kern w:val="2"/>
          <w:sz w:val="21"/>
          <w:szCs w:val="21"/>
          <w:highlight w:val="none"/>
          <w:lang w:val="en-US" w:eastAsia="zh-CN" w:bidi="ar-SA"/>
        </w:rPr>
      </w:pPr>
      <w:r>
        <w:rPr>
          <w:rFonts w:hint="eastAsia" w:ascii="宋体" w:hAnsi="宋体" w:eastAsia="宋体" w:cs="宋体"/>
          <w:bCs/>
          <w:snapToGrid w:val="0"/>
          <w:color w:val="auto"/>
          <w:kern w:val="2"/>
          <w:sz w:val="21"/>
          <w:szCs w:val="21"/>
          <w:highlight w:val="none"/>
          <w:lang w:val="en-US" w:eastAsia="zh-CN" w:bidi="ar-SA"/>
        </w:rPr>
        <w:t>（</w:t>
      </w:r>
      <w:r>
        <w:rPr>
          <w:rFonts w:hint="eastAsia" w:ascii="宋体" w:hAnsi="宋体" w:cs="宋体"/>
          <w:bCs/>
          <w:snapToGrid w:val="0"/>
          <w:color w:val="auto"/>
          <w:kern w:val="2"/>
          <w:sz w:val="21"/>
          <w:szCs w:val="21"/>
          <w:highlight w:val="none"/>
          <w:lang w:val="en-US" w:eastAsia="zh-CN" w:bidi="ar-SA"/>
        </w:rPr>
        <w:t>4</w:t>
      </w:r>
      <w:r>
        <w:rPr>
          <w:rFonts w:hint="eastAsia" w:ascii="宋体" w:hAnsi="宋体" w:eastAsia="宋体" w:cs="宋体"/>
          <w:bCs/>
          <w:snapToGrid w:val="0"/>
          <w:color w:val="auto"/>
          <w:kern w:val="2"/>
          <w:sz w:val="21"/>
          <w:szCs w:val="21"/>
          <w:highlight w:val="none"/>
          <w:lang w:val="en-US" w:eastAsia="zh-CN" w:bidi="ar-SA"/>
        </w:rPr>
        <w:t>）招投标过程中，供应商所提供的所有证件均需在有效期内且注册单位名称与供应商的名称一致，如企业名称发生变更，需提供主管部门出具的变更证明材料，否则不接受其供应商参与本次招标项目的投标。</w:t>
      </w:r>
    </w:p>
    <w:p w14:paraId="67DEC291">
      <w:pPr>
        <w:pageBreakBefore w:val="0"/>
        <w:widowControl/>
        <w:kinsoku/>
        <w:wordWrap/>
        <w:overflowPunct/>
        <w:topLinePunct w:val="0"/>
        <w:autoSpaceDE/>
        <w:autoSpaceDN/>
        <w:bidi w:val="0"/>
        <w:snapToGrid/>
        <w:spacing w:line="360" w:lineRule="auto"/>
        <w:textAlignment w:val="auto"/>
        <w:rPr>
          <w:rFonts w:hint="eastAsia" w:ascii="宋体" w:hAnsi="宋体" w:eastAsia="宋体" w:cs="宋体"/>
          <w:bCs/>
          <w:color w:val="auto"/>
          <w:szCs w:val="21"/>
          <w:highlight w:val="none"/>
          <w:lang w:val="en-US" w:eastAsia="zh-CN"/>
        </w:rPr>
      </w:pPr>
      <w:r>
        <w:rPr>
          <w:rFonts w:hint="eastAsia" w:cs="宋体"/>
          <w:b/>
          <w:bCs w:val="0"/>
          <w:color w:val="auto"/>
          <w:szCs w:val="21"/>
          <w:highlight w:val="none"/>
        </w:rPr>
        <w:t>三、获取</w:t>
      </w:r>
      <w:r>
        <w:rPr>
          <w:rFonts w:hint="eastAsia" w:cs="宋体"/>
          <w:b/>
          <w:bCs w:val="0"/>
          <w:color w:val="auto"/>
          <w:szCs w:val="21"/>
          <w:highlight w:val="none"/>
          <w:lang w:val="en-US" w:eastAsia="zh-CN"/>
        </w:rPr>
        <w:t>谈判</w:t>
      </w:r>
      <w:r>
        <w:rPr>
          <w:rFonts w:hint="eastAsia" w:cs="宋体"/>
          <w:b/>
          <w:bCs w:val="0"/>
          <w:color w:val="auto"/>
          <w:szCs w:val="21"/>
          <w:highlight w:val="none"/>
        </w:rPr>
        <w:t>文件</w:t>
      </w:r>
      <w:r>
        <w:rPr>
          <w:rFonts w:hint="eastAsia" w:cs="宋体"/>
          <w:b/>
          <w:bCs w:val="0"/>
          <w:color w:val="auto"/>
          <w:szCs w:val="21"/>
          <w:highlight w:val="none"/>
          <w:lang w:val="en-US" w:eastAsia="zh-CN"/>
        </w:rPr>
        <w:t>:</w:t>
      </w:r>
    </w:p>
    <w:p w14:paraId="42DC1F3F">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cs="宋体"/>
          <w:bCs/>
          <w:snapToGrid w:val="0"/>
          <w:color w:val="auto"/>
          <w:szCs w:val="21"/>
          <w:highlight w:val="none"/>
          <w:lang w:val="zh-CN"/>
        </w:rPr>
      </w:pPr>
      <w:r>
        <w:rPr>
          <w:rFonts w:hint="eastAsia" w:ascii="宋体" w:hAnsi="宋体" w:cs="宋体"/>
          <w:bCs/>
          <w:snapToGrid w:val="0"/>
          <w:color w:val="auto"/>
          <w:szCs w:val="21"/>
          <w:highlight w:val="none"/>
          <w:lang w:val="en-US" w:eastAsia="zh-CN"/>
        </w:rPr>
        <w:t>1.</w:t>
      </w:r>
      <w:r>
        <w:rPr>
          <w:rFonts w:hint="eastAsia" w:ascii="宋体" w:hAnsi="宋体" w:cs="宋体"/>
          <w:bCs/>
          <w:snapToGrid w:val="0"/>
          <w:color w:val="auto"/>
          <w:szCs w:val="21"/>
          <w:highlight w:val="none"/>
          <w:lang w:val="zh-CN"/>
        </w:rPr>
        <w:t>时间：2025年07月02日至2025年07月04日，每天上午8:00时至下午16:00时。</w:t>
      </w:r>
    </w:p>
    <w:p w14:paraId="2EB822C4">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cs="宋体"/>
          <w:bCs/>
          <w:snapToGrid w:val="0"/>
          <w:color w:val="auto"/>
          <w:szCs w:val="21"/>
          <w:highlight w:val="none"/>
          <w:lang w:val="zh-CN"/>
        </w:rPr>
      </w:pPr>
      <w:r>
        <w:rPr>
          <w:rFonts w:hint="eastAsia" w:ascii="宋体" w:hAnsi="宋体" w:cs="宋体"/>
          <w:bCs/>
          <w:snapToGrid w:val="0"/>
          <w:color w:val="auto"/>
          <w:szCs w:val="21"/>
          <w:highlight w:val="none"/>
          <w:lang w:val="en-US" w:eastAsia="zh-CN"/>
        </w:rPr>
        <w:t>2.获取</w:t>
      </w:r>
      <w:r>
        <w:rPr>
          <w:rFonts w:hint="eastAsia" w:ascii="宋体" w:hAnsi="宋体" w:cs="宋体"/>
          <w:bCs/>
          <w:snapToGrid w:val="0"/>
          <w:color w:val="auto"/>
          <w:szCs w:val="21"/>
          <w:highlight w:val="none"/>
          <w:lang w:val="zh-CN"/>
        </w:rPr>
        <w:t>方式：本项目不发放纸质版采购文件。供应商可自行在“政采云”平台（http：//www.zcygov.cn）下载采购文件（操作路径：登录“政采云”平台-项目采购-获取采购文件-找到本项目-点击“申请获取采购文件”），电子投标文件制作需要基于“政采云”平台获取的采购文件编制。具体注册及下载文件方法请访问“政采云”平台查询相关信息。</w:t>
      </w:r>
    </w:p>
    <w:p w14:paraId="30B2688D">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cs="宋体"/>
          <w:bCs/>
          <w:snapToGrid w:val="0"/>
          <w:color w:val="auto"/>
          <w:szCs w:val="21"/>
          <w:highlight w:val="none"/>
          <w:lang w:val="en-US" w:eastAsia="zh-CN"/>
        </w:rPr>
      </w:pPr>
      <w:r>
        <w:rPr>
          <w:rFonts w:hint="eastAsia" w:ascii="宋体" w:hAnsi="宋体" w:cs="宋体"/>
          <w:bCs/>
          <w:snapToGrid w:val="0"/>
          <w:color w:val="auto"/>
          <w:szCs w:val="21"/>
          <w:highlight w:val="none"/>
          <w:lang w:val="en-US" w:eastAsia="zh-CN"/>
        </w:rPr>
        <w:t>3.未进行网上注册的供应商将无法参与本次采购活动。</w:t>
      </w:r>
    </w:p>
    <w:p w14:paraId="3A294535">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cs="宋体"/>
          <w:bCs/>
          <w:snapToGrid w:val="0"/>
          <w:color w:val="auto"/>
          <w:szCs w:val="21"/>
          <w:highlight w:val="none"/>
          <w:lang w:val="en-US" w:eastAsia="zh-CN"/>
        </w:rPr>
        <w:t>4.有效供应商不足三家时，采购人另行组织采购。</w:t>
      </w:r>
    </w:p>
    <w:p w14:paraId="0145CD60">
      <w:pPr>
        <w:pageBreakBefore w:val="0"/>
        <w:widowControl/>
        <w:numPr>
          <w:ilvl w:val="0"/>
          <w:numId w:val="0"/>
        </w:numPr>
        <w:kinsoku/>
        <w:wordWrap/>
        <w:overflowPunct/>
        <w:topLinePunct w:val="0"/>
        <w:autoSpaceDE/>
        <w:autoSpaceDN/>
        <w:bidi w:val="0"/>
        <w:snapToGrid/>
        <w:spacing w:line="360" w:lineRule="auto"/>
        <w:textAlignment w:val="auto"/>
        <w:rPr>
          <w:rFonts w:hint="eastAsia" w:cs="宋体"/>
          <w:b/>
          <w:bCs/>
          <w:color w:val="auto"/>
          <w:szCs w:val="21"/>
          <w:highlight w:val="none"/>
        </w:rPr>
      </w:pPr>
      <w:r>
        <w:rPr>
          <w:rFonts w:hint="eastAsia" w:cs="宋体"/>
          <w:b/>
          <w:bCs/>
          <w:color w:val="auto"/>
          <w:szCs w:val="21"/>
          <w:highlight w:val="none"/>
          <w:lang w:val="en-US" w:eastAsia="zh-CN"/>
        </w:rPr>
        <w:t>四、</w:t>
      </w:r>
      <w:r>
        <w:rPr>
          <w:rFonts w:hint="eastAsia" w:cs="宋体"/>
          <w:b/>
          <w:bCs/>
          <w:color w:val="auto"/>
          <w:szCs w:val="21"/>
          <w:highlight w:val="none"/>
        </w:rPr>
        <w:t>提交响应文件截止时间、开标时间和地点</w:t>
      </w:r>
      <w:r>
        <w:rPr>
          <w:rFonts w:hint="eastAsia" w:cs="宋体"/>
          <w:b/>
          <w:bCs/>
          <w:color w:val="auto"/>
          <w:szCs w:val="21"/>
          <w:highlight w:val="none"/>
          <w:lang w:val="en-US" w:eastAsia="zh-CN"/>
        </w:rPr>
        <w:t>:</w:t>
      </w:r>
    </w:p>
    <w:p w14:paraId="38B58320">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eastAsia="宋体" w:cs="宋体"/>
          <w:bCs/>
          <w:snapToGrid w:val="0"/>
          <w:color w:val="auto"/>
          <w:szCs w:val="21"/>
          <w:highlight w:val="none"/>
          <w:lang w:eastAsia="zh-CN"/>
        </w:rPr>
      </w:pPr>
      <w:r>
        <w:rPr>
          <w:rFonts w:hint="eastAsia" w:ascii="宋体" w:hAnsi="宋体" w:cs="宋体"/>
          <w:bCs/>
          <w:snapToGrid w:val="0"/>
          <w:color w:val="auto"/>
          <w:szCs w:val="21"/>
          <w:highlight w:val="none"/>
          <w:lang w:val="en-US" w:eastAsia="zh-CN"/>
        </w:rPr>
        <w:t>1.</w:t>
      </w:r>
      <w:r>
        <w:rPr>
          <w:rFonts w:hint="eastAsia" w:ascii="宋体" w:hAnsi="宋体" w:cs="宋体"/>
          <w:bCs/>
          <w:snapToGrid w:val="0"/>
          <w:color w:val="auto"/>
          <w:szCs w:val="21"/>
          <w:highlight w:val="none"/>
        </w:rPr>
        <w:t>投标截止时间及开标时间：</w:t>
      </w:r>
      <w:r>
        <w:rPr>
          <w:rFonts w:hint="eastAsia" w:ascii="宋体" w:hAnsi="宋体" w:cs="宋体"/>
          <w:bCs/>
          <w:snapToGrid w:val="0"/>
          <w:color w:val="auto"/>
          <w:szCs w:val="21"/>
          <w:highlight w:val="none"/>
          <w:lang w:eastAsia="zh-CN"/>
        </w:rPr>
        <w:t>2025年07月07日08点30分</w:t>
      </w:r>
      <w:r>
        <w:rPr>
          <w:rFonts w:hint="eastAsia" w:ascii="宋体" w:hAnsi="宋体" w:cs="宋体"/>
          <w:bCs/>
          <w:snapToGrid w:val="0"/>
          <w:color w:val="auto"/>
          <w:szCs w:val="21"/>
          <w:highlight w:val="none"/>
        </w:rPr>
        <w:t>（北京时间）</w:t>
      </w:r>
      <w:r>
        <w:rPr>
          <w:rFonts w:hint="eastAsia" w:ascii="宋体" w:hAnsi="宋体" w:cs="宋体"/>
          <w:bCs/>
          <w:snapToGrid w:val="0"/>
          <w:color w:val="auto"/>
          <w:szCs w:val="21"/>
          <w:highlight w:val="none"/>
          <w:lang w:eastAsia="zh-CN"/>
        </w:rPr>
        <w:t>。</w:t>
      </w:r>
    </w:p>
    <w:p w14:paraId="03FD30AF">
      <w:pPr>
        <w:pStyle w:val="52"/>
        <w:ind w:left="0" w:leftChars="0" w:firstLine="420" w:firstLineChars="200"/>
        <w:rPr>
          <w:rFonts w:hint="eastAsia"/>
          <w:color w:val="auto"/>
          <w:highlight w:val="none"/>
          <w:lang w:eastAsia="zh-CN"/>
        </w:rPr>
      </w:pPr>
      <w:r>
        <w:rPr>
          <w:rFonts w:hint="eastAsia"/>
          <w:color w:val="auto"/>
          <w:highlight w:val="none"/>
          <w:lang w:eastAsia="zh-CN"/>
        </w:rPr>
        <w:t>2</w:t>
      </w:r>
      <w:r>
        <w:rPr>
          <w:rFonts w:hint="eastAsia"/>
          <w:color w:val="auto"/>
          <w:highlight w:val="none"/>
          <w:lang w:val="en-US" w:eastAsia="zh-CN"/>
        </w:rPr>
        <w:t>.</w:t>
      </w:r>
      <w:r>
        <w:rPr>
          <w:rFonts w:hint="eastAsia"/>
          <w:color w:val="auto"/>
          <w:highlight w:val="none"/>
          <w:lang w:eastAsia="zh-CN"/>
        </w:rPr>
        <w:t>响应文件提交方式：本项目为全流程电子化项目，通过“政采云”平台（http：//www.zcygov.cn）实行在线电子投标，供应商应先安装“政采云投标客户端”（请自行前往“政采云 ”平台进行下载），并按照本项目征集文件和“政采云 ”平台的要求编制、加密后在投标截止时间前通过网络上传至“政采云”平台，供应商在“政采云”平台提交电子版响应文件时，请填写参加开标活动经办人联系方式。</w:t>
      </w:r>
    </w:p>
    <w:p w14:paraId="64565427">
      <w:pPr>
        <w:pStyle w:val="52"/>
        <w:ind w:left="0" w:leftChars="0" w:firstLine="420" w:firstLineChars="200"/>
        <w:rPr>
          <w:rFonts w:hint="eastAsia"/>
          <w:color w:val="auto"/>
          <w:highlight w:val="none"/>
          <w:lang w:eastAsia="zh-CN"/>
        </w:rPr>
      </w:pPr>
      <w:r>
        <w:rPr>
          <w:rFonts w:hint="eastAsia"/>
          <w:color w:val="auto"/>
          <w:highlight w:val="none"/>
          <w:lang w:eastAsia="zh-CN"/>
        </w:rPr>
        <w:t>3</w:t>
      </w:r>
      <w:r>
        <w:rPr>
          <w:rFonts w:hint="eastAsia"/>
          <w:color w:val="auto"/>
          <w:highlight w:val="none"/>
          <w:lang w:val="en-US" w:eastAsia="zh-CN"/>
        </w:rPr>
        <w:t>.</w:t>
      </w:r>
      <w:r>
        <w:rPr>
          <w:rFonts w:hint="eastAsia"/>
          <w:color w:val="auto"/>
          <w:highlight w:val="none"/>
          <w:lang w:eastAsia="zh-CN"/>
        </w:rPr>
        <w:t>响应文件开启（解密）时间：2025年07月07日08点30分（北京时间）；</w:t>
      </w:r>
    </w:p>
    <w:p w14:paraId="12F476D3">
      <w:pPr>
        <w:pStyle w:val="52"/>
        <w:ind w:left="0" w:leftChars="0" w:firstLine="420" w:firstLineChars="200"/>
        <w:rPr>
          <w:rFonts w:hint="eastAsia"/>
          <w:color w:val="auto"/>
          <w:highlight w:val="none"/>
          <w:lang w:eastAsia="zh-CN"/>
        </w:rPr>
      </w:pPr>
      <w:r>
        <w:rPr>
          <w:rFonts w:hint="eastAsia"/>
          <w:color w:val="auto"/>
          <w:highlight w:val="none"/>
          <w:lang w:eastAsia="zh-CN"/>
        </w:rPr>
        <w:t>电子响应文件解密期限及方式：本项目采用全流程电子化采购，需通过政府采购云平台（http：//www.zcygov.cn）递交电子版响应文件，开启时间后30分钟内完成解密。</w:t>
      </w:r>
    </w:p>
    <w:p w14:paraId="0BDD1570">
      <w:pPr>
        <w:pStyle w:val="52"/>
        <w:ind w:left="0" w:leftChars="0" w:firstLine="420" w:firstLineChars="200"/>
        <w:rPr>
          <w:rFonts w:hint="eastAsia"/>
          <w:color w:val="auto"/>
          <w:highlight w:val="none"/>
          <w:lang w:eastAsia="zh-CN"/>
        </w:rPr>
      </w:pPr>
      <w:r>
        <w:rPr>
          <w:rFonts w:hint="eastAsia"/>
          <w:color w:val="auto"/>
          <w:highlight w:val="none"/>
          <w:lang w:eastAsia="zh-CN"/>
        </w:rPr>
        <w:t>4.响应文件开启（解密）方式：响应文件解密截止时间后，“政采云”平台手动公布响应报价信息，供应商登录“政采云 ”平台在线查询响应报价信息。</w:t>
      </w:r>
    </w:p>
    <w:p w14:paraId="040981D6">
      <w:pPr>
        <w:pStyle w:val="52"/>
        <w:ind w:left="0" w:leftChars="0" w:firstLine="420" w:firstLineChars="200"/>
        <w:rPr>
          <w:rFonts w:hint="eastAsia"/>
          <w:color w:val="auto"/>
          <w:highlight w:val="none"/>
          <w:lang w:eastAsia="zh-CN"/>
        </w:rPr>
      </w:pPr>
      <w:r>
        <w:rPr>
          <w:rFonts w:hint="eastAsia"/>
          <w:color w:val="auto"/>
          <w:highlight w:val="none"/>
          <w:lang w:val="en-US" w:eastAsia="zh-CN"/>
        </w:rPr>
        <w:t>5</w:t>
      </w:r>
      <w:r>
        <w:rPr>
          <w:rFonts w:hint="eastAsia"/>
          <w:color w:val="auto"/>
          <w:highlight w:val="none"/>
          <w:lang w:eastAsia="zh-CN"/>
        </w:rPr>
        <w:t>.响应文件开启地点：政采云平台开标大厅（投标供应商无需到达开标现场）。</w:t>
      </w:r>
    </w:p>
    <w:p w14:paraId="3507CBE7">
      <w:pPr>
        <w:pageBreakBefore w:val="0"/>
        <w:tabs>
          <w:tab w:val="left" w:pos="0"/>
        </w:tabs>
        <w:kinsoku/>
        <w:wordWrap/>
        <w:overflowPunct/>
        <w:topLinePunct w:val="0"/>
        <w:autoSpaceDE/>
        <w:autoSpaceDN/>
        <w:bidi w:val="0"/>
        <w:snapToGrid/>
        <w:spacing w:line="360" w:lineRule="auto"/>
        <w:textAlignment w:val="auto"/>
        <w:rPr>
          <w:rFonts w:hint="eastAsia" w:ascii="宋体" w:hAnsi="宋体" w:eastAsia="宋体" w:cs="宋体"/>
          <w:b/>
          <w:snapToGrid w:val="0"/>
          <w:color w:val="auto"/>
          <w:szCs w:val="21"/>
          <w:highlight w:val="none"/>
          <w:lang w:val="en-US" w:eastAsia="zh-CN"/>
        </w:rPr>
      </w:pPr>
      <w:r>
        <w:rPr>
          <w:rFonts w:hint="eastAsia" w:ascii="宋体" w:hAnsi="宋体" w:cs="宋体"/>
          <w:b/>
          <w:snapToGrid w:val="0"/>
          <w:color w:val="auto"/>
          <w:szCs w:val="21"/>
          <w:highlight w:val="none"/>
        </w:rPr>
        <w:t>五、公告期限</w:t>
      </w:r>
      <w:r>
        <w:rPr>
          <w:rFonts w:hint="eastAsia" w:ascii="宋体" w:hAnsi="宋体" w:cs="宋体"/>
          <w:b/>
          <w:snapToGrid w:val="0"/>
          <w:color w:val="auto"/>
          <w:szCs w:val="21"/>
          <w:highlight w:val="none"/>
          <w:lang w:val="en-US" w:eastAsia="zh-CN"/>
        </w:rPr>
        <w:t>:</w:t>
      </w:r>
    </w:p>
    <w:p w14:paraId="36A2E811">
      <w:pPr>
        <w:pageBreakBefore w:val="0"/>
        <w:tabs>
          <w:tab w:val="left" w:pos="0"/>
        </w:tabs>
        <w:kinsoku/>
        <w:wordWrap/>
        <w:overflowPunct/>
        <w:topLinePunct w:val="0"/>
        <w:autoSpaceDE/>
        <w:autoSpaceDN/>
        <w:bidi w:val="0"/>
        <w:snapToGrid/>
        <w:spacing w:line="360" w:lineRule="auto"/>
        <w:ind w:firstLine="421"/>
        <w:textAlignment w:val="auto"/>
        <w:rPr>
          <w:rFonts w:hint="eastAsia" w:ascii="宋体" w:hAnsi="宋体" w:eastAsia="宋体" w:cs="宋体"/>
          <w:bCs/>
          <w:snapToGrid w:val="0"/>
          <w:color w:val="auto"/>
          <w:szCs w:val="21"/>
          <w:highlight w:val="none"/>
          <w:lang w:eastAsia="zh-CN"/>
        </w:rPr>
      </w:pPr>
      <w:r>
        <w:rPr>
          <w:rFonts w:hint="eastAsia" w:ascii="宋体" w:hAnsi="宋体" w:cs="宋体"/>
          <w:bCs/>
          <w:snapToGrid w:val="0"/>
          <w:color w:val="auto"/>
          <w:szCs w:val="21"/>
          <w:highlight w:val="none"/>
        </w:rPr>
        <w:t>自本公告发布之日起3个工作日</w:t>
      </w:r>
      <w:r>
        <w:rPr>
          <w:rFonts w:hint="eastAsia" w:ascii="宋体" w:hAnsi="宋体" w:cs="宋体"/>
          <w:bCs/>
          <w:snapToGrid w:val="0"/>
          <w:color w:val="auto"/>
          <w:szCs w:val="21"/>
          <w:highlight w:val="none"/>
          <w:lang w:eastAsia="zh-CN"/>
        </w:rPr>
        <w:t>。</w:t>
      </w:r>
    </w:p>
    <w:p w14:paraId="3744A4B7">
      <w:pPr>
        <w:pageBreakBefore w:val="0"/>
        <w:tabs>
          <w:tab w:val="left" w:pos="0"/>
        </w:tabs>
        <w:kinsoku/>
        <w:wordWrap/>
        <w:overflowPunct/>
        <w:topLinePunct w:val="0"/>
        <w:autoSpaceDE/>
        <w:autoSpaceDN/>
        <w:bidi w:val="0"/>
        <w:snapToGrid/>
        <w:spacing w:line="360" w:lineRule="auto"/>
        <w:textAlignment w:val="auto"/>
        <w:rPr>
          <w:rFonts w:hint="eastAsia" w:ascii="宋体" w:hAnsi="宋体" w:eastAsia="宋体" w:cs="宋体"/>
          <w:b/>
          <w:snapToGrid w:val="0"/>
          <w:color w:val="auto"/>
          <w:szCs w:val="21"/>
          <w:highlight w:val="none"/>
          <w:lang w:val="en-US" w:eastAsia="zh-CN"/>
        </w:rPr>
      </w:pPr>
      <w:r>
        <w:rPr>
          <w:rFonts w:hint="eastAsia" w:cs="宋体"/>
          <w:b/>
          <w:snapToGrid w:val="0"/>
          <w:color w:val="auto"/>
          <w:szCs w:val="21"/>
          <w:highlight w:val="none"/>
        </w:rPr>
        <w:t>六、</w:t>
      </w:r>
      <w:r>
        <w:rPr>
          <w:rFonts w:hint="eastAsia" w:ascii="宋体" w:hAnsi="宋体" w:cs="宋体"/>
          <w:b/>
          <w:snapToGrid w:val="0"/>
          <w:color w:val="auto"/>
          <w:szCs w:val="21"/>
          <w:highlight w:val="none"/>
        </w:rPr>
        <w:t>其他补充事宜</w:t>
      </w:r>
      <w:r>
        <w:rPr>
          <w:rFonts w:hint="eastAsia" w:ascii="宋体" w:hAnsi="宋体" w:cs="宋体"/>
          <w:b/>
          <w:snapToGrid w:val="0"/>
          <w:color w:val="auto"/>
          <w:szCs w:val="21"/>
          <w:highlight w:val="none"/>
          <w:lang w:val="en-US" w:eastAsia="zh-CN"/>
        </w:rPr>
        <w:t>:</w:t>
      </w:r>
    </w:p>
    <w:p w14:paraId="2FCD5660">
      <w:pPr>
        <w:pageBreakBefore w:val="0"/>
        <w:widowControl/>
        <w:kinsoku/>
        <w:wordWrap/>
        <w:overflowPunct/>
        <w:topLinePunct w:val="0"/>
        <w:autoSpaceDE/>
        <w:autoSpaceDN/>
        <w:bidi w:val="0"/>
        <w:snapToGrid/>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公告发布媒体：“政采云”平台（http:// www.zcygov.cn），同步推送到吉林省政府采购网（http://www.ccgp-jilin.gov.cn/），并同时在中国</w:t>
      </w:r>
      <w:r>
        <w:rPr>
          <w:rFonts w:hint="eastAsia" w:ascii="宋体" w:hAnsi="宋体" w:cs="宋体"/>
          <w:color w:val="auto"/>
          <w:szCs w:val="21"/>
          <w:highlight w:val="none"/>
          <w:lang w:val="en-US" w:eastAsia="zh-CN"/>
        </w:rPr>
        <w:t>政府采购网</w:t>
      </w:r>
      <w:r>
        <w:rPr>
          <w:rFonts w:hint="eastAsia" w:ascii="宋体" w:hAnsi="宋体" w:cs="宋体"/>
          <w:color w:val="auto"/>
          <w:szCs w:val="21"/>
          <w:highlight w:val="none"/>
        </w:rPr>
        <w:t>上发布。</w:t>
      </w:r>
    </w:p>
    <w:p w14:paraId="0FD1A723">
      <w:pPr>
        <w:pageBreakBefore w:val="0"/>
        <w:widowControl/>
        <w:kinsoku/>
        <w:wordWrap/>
        <w:overflowPunct/>
        <w:topLinePunct w:val="0"/>
        <w:autoSpaceDE/>
        <w:autoSpaceDN/>
        <w:bidi w:val="0"/>
        <w:snapToGrid/>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 xml:space="preserve">若对项目采购电子交易系统操作有疑问，可登录“政采云”平台（https://www.zcygov.cn/）点击右侧咨询小采，获取采小蜜智能服务管家帮助，或拨打政采云服务热线95763获取热线服务帮助。 </w:t>
      </w:r>
    </w:p>
    <w:p w14:paraId="45E8C93F">
      <w:pPr>
        <w:pageBreakBefore w:val="0"/>
        <w:numPr>
          <w:ilvl w:val="0"/>
          <w:numId w:val="0"/>
        </w:numPr>
        <w:kinsoku/>
        <w:wordWrap/>
        <w:overflowPunct/>
        <w:topLinePunct w:val="0"/>
        <w:autoSpaceDE/>
        <w:autoSpaceDN/>
        <w:bidi w:val="0"/>
        <w:snapToGrid/>
        <w:spacing w:line="360" w:lineRule="auto"/>
        <w:textAlignment w:val="auto"/>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七、</w:t>
      </w:r>
      <w:r>
        <w:rPr>
          <w:rFonts w:hint="eastAsia" w:ascii="宋体" w:hAnsi="宋体" w:cs="宋体"/>
          <w:b/>
          <w:color w:val="auto"/>
          <w:szCs w:val="21"/>
          <w:highlight w:val="none"/>
        </w:rPr>
        <w:t>对本次招标提出询问，请按以下方式联系：</w:t>
      </w:r>
    </w:p>
    <w:p w14:paraId="04C9B2BD">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1.采购人信息</w:t>
      </w:r>
    </w:p>
    <w:p w14:paraId="048709A3">
      <w:pPr>
        <w:pageBreakBefore w:val="0"/>
        <w:kinsoku/>
        <w:wordWrap/>
        <w:overflowPunct/>
        <w:topLinePunct w:val="0"/>
        <w:autoSpaceDE/>
        <w:autoSpaceDN/>
        <w:bidi w:val="0"/>
        <w:snapToGrid/>
        <w:spacing w:line="360" w:lineRule="auto"/>
        <w:ind w:firstLine="437"/>
        <w:textAlignment w:val="auto"/>
        <w:rPr>
          <w:rFonts w:hint="eastAsia" w:ascii="宋体" w:hAnsi="宋体" w:cs="宋体"/>
          <w:color w:val="auto"/>
          <w:szCs w:val="21"/>
          <w:highlight w:val="none"/>
        </w:rPr>
      </w:pPr>
      <w:r>
        <w:rPr>
          <w:rFonts w:hint="eastAsia" w:ascii="宋体" w:hAnsi="宋体" w:cs="宋体"/>
          <w:color w:val="auto"/>
          <w:szCs w:val="21"/>
          <w:highlight w:val="none"/>
        </w:rPr>
        <w:t>采购人：</w:t>
      </w:r>
      <w:r>
        <w:rPr>
          <w:rFonts w:hint="eastAsia" w:ascii="宋体" w:hAnsi="宋体" w:cs="宋体"/>
          <w:color w:val="auto"/>
          <w:szCs w:val="21"/>
          <w:highlight w:val="none"/>
          <w:lang w:val="en-US" w:eastAsia="zh-CN"/>
        </w:rPr>
        <w:t xml:space="preserve">敦化市融媒体中心（敦化广播电视台） </w:t>
      </w:r>
    </w:p>
    <w:p w14:paraId="163B7830">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地址：</w:t>
      </w:r>
      <w:r>
        <w:rPr>
          <w:rFonts w:hint="eastAsia" w:ascii="宋体" w:hAnsi="宋体" w:cs="宋体"/>
          <w:color w:val="auto"/>
          <w:szCs w:val="21"/>
          <w:highlight w:val="none"/>
          <w:lang w:val="en-US" w:eastAsia="zh-CN"/>
        </w:rPr>
        <w:t>敦化市</w:t>
      </w:r>
    </w:p>
    <w:p w14:paraId="76F9C35E">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highlight w:val="none"/>
          <w:lang w:eastAsia="zh-CN"/>
        </w:rPr>
      </w:pPr>
      <w:r>
        <w:rPr>
          <w:rFonts w:hint="eastAsia" w:ascii="宋体" w:hAnsi="宋体" w:cs="宋体"/>
          <w:color w:val="auto"/>
          <w:highlight w:val="none"/>
        </w:rPr>
        <w:t>联系</w:t>
      </w:r>
      <w:r>
        <w:rPr>
          <w:rFonts w:hint="eastAsia" w:ascii="宋体" w:hAnsi="宋体" w:cs="宋体"/>
          <w:color w:val="auto"/>
          <w:highlight w:val="none"/>
          <w:lang w:eastAsia="zh-CN"/>
        </w:rPr>
        <w:t>方式</w:t>
      </w:r>
      <w:r>
        <w:rPr>
          <w:rFonts w:hint="eastAsia" w:ascii="宋体" w:hAnsi="宋体" w:cs="宋体"/>
          <w:color w:val="auto"/>
          <w:highlight w:val="none"/>
        </w:rPr>
        <w:t>：</w:t>
      </w:r>
      <w:r>
        <w:rPr>
          <w:rFonts w:hint="eastAsia" w:ascii="宋体" w:hAnsi="宋体" w:cs="宋体"/>
          <w:color w:val="auto"/>
          <w:highlight w:val="none"/>
          <w:lang w:val="en-US" w:eastAsia="zh-CN"/>
        </w:rPr>
        <w:t>费</w:t>
      </w:r>
      <w:r>
        <w:rPr>
          <w:rFonts w:hint="eastAsia" w:ascii="宋体" w:hAnsi="宋体" w:cs="宋体"/>
          <w:color w:val="auto"/>
          <w:highlight w:val="none"/>
          <w:lang w:eastAsia="zh-CN"/>
        </w:rPr>
        <w:t>先生0433-6755988</w:t>
      </w:r>
    </w:p>
    <w:p w14:paraId="14B514DB">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2.代理机构联系方式</w:t>
      </w:r>
    </w:p>
    <w:p w14:paraId="55DDC368">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代理机构：</w:t>
      </w:r>
      <w:r>
        <w:rPr>
          <w:rFonts w:hint="eastAsia" w:ascii="宋体" w:hAnsi="宋体" w:cs="宋体"/>
          <w:color w:val="auto"/>
          <w:szCs w:val="21"/>
          <w:highlight w:val="none"/>
          <w:lang w:eastAsia="zh-CN"/>
        </w:rPr>
        <w:t>敦化市宏远建设项目管理有限责任公司</w:t>
      </w:r>
      <w:r>
        <w:rPr>
          <w:rFonts w:hint="eastAsia" w:ascii="宋体" w:hAnsi="宋体" w:cs="宋体"/>
          <w:color w:val="auto"/>
          <w:szCs w:val="21"/>
          <w:highlight w:val="none"/>
        </w:rPr>
        <w:t xml:space="preserve"> </w:t>
      </w:r>
    </w:p>
    <w:p w14:paraId="7186F67D">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lang w:eastAsia="zh-CN"/>
        </w:rPr>
        <w:t>敦化市工农路118号</w:t>
      </w:r>
      <w:r>
        <w:rPr>
          <w:rFonts w:hint="eastAsia" w:ascii="宋体" w:hAnsi="宋体" w:cs="宋体"/>
          <w:color w:val="auto"/>
          <w:szCs w:val="21"/>
          <w:highlight w:val="none"/>
        </w:rPr>
        <w:t xml:space="preserve">  </w:t>
      </w:r>
    </w:p>
    <w:p w14:paraId="235801E6">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联 系 人：</w:t>
      </w:r>
      <w:r>
        <w:rPr>
          <w:rFonts w:hint="eastAsia" w:ascii="宋体" w:hAnsi="宋体" w:cs="宋体"/>
          <w:color w:val="auto"/>
          <w:szCs w:val="21"/>
          <w:highlight w:val="none"/>
          <w:lang w:val="en-US" w:eastAsia="zh-CN"/>
        </w:rPr>
        <w:t>韦琦</w:t>
      </w:r>
    </w:p>
    <w:p w14:paraId="3F5B7B7C">
      <w:pPr>
        <w:pageBreakBefore w:val="0"/>
        <w:widowControl/>
        <w:kinsoku/>
        <w:wordWrap/>
        <w:overflowPunct/>
        <w:topLinePunct w:val="0"/>
        <w:autoSpaceDE/>
        <w:autoSpaceDN/>
        <w:bidi w:val="0"/>
        <w:snapToGrid/>
        <w:spacing w:line="360" w:lineRule="auto"/>
        <w:ind w:firstLine="420" w:firstLineChars="200"/>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rPr>
        <w:t>电  话：</w:t>
      </w:r>
      <w:r>
        <w:rPr>
          <w:rFonts w:hint="eastAsia" w:ascii="宋体" w:hAnsi="宋体" w:cs="宋体"/>
          <w:color w:val="auto"/>
          <w:szCs w:val="21"/>
          <w:highlight w:val="none"/>
          <w:lang w:val="en-US" w:eastAsia="zh-CN"/>
        </w:rPr>
        <w:t>0433-6269200</w:t>
      </w:r>
    </w:p>
    <w:p w14:paraId="3DB81417">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3.项目联系方式</w:t>
      </w:r>
    </w:p>
    <w:p w14:paraId="4E38A104">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联系人：</w:t>
      </w:r>
      <w:r>
        <w:rPr>
          <w:rFonts w:hint="eastAsia" w:ascii="宋体" w:hAnsi="宋体" w:cs="宋体"/>
          <w:color w:val="auto"/>
          <w:szCs w:val="21"/>
          <w:highlight w:val="none"/>
          <w:lang w:val="en-US" w:eastAsia="zh-CN"/>
        </w:rPr>
        <w:t>韦琦</w:t>
      </w:r>
    </w:p>
    <w:p w14:paraId="5BF7F5F1">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联系方式：</w:t>
      </w:r>
      <w:r>
        <w:rPr>
          <w:rFonts w:hint="eastAsia" w:ascii="宋体" w:hAnsi="宋体" w:cs="宋体"/>
          <w:color w:val="auto"/>
          <w:szCs w:val="21"/>
          <w:highlight w:val="none"/>
          <w:lang w:val="en-US" w:eastAsia="zh-CN"/>
        </w:rPr>
        <w:t>0433-6269200</w:t>
      </w:r>
    </w:p>
    <w:p w14:paraId="1700F865">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4.监督部门：</w:t>
      </w:r>
      <w:r>
        <w:rPr>
          <w:rFonts w:hint="eastAsia" w:ascii="宋体" w:hAnsi="宋体" w:cs="宋体"/>
          <w:color w:val="auto"/>
          <w:szCs w:val="21"/>
          <w:highlight w:val="none"/>
          <w:lang w:eastAsia="zh-CN"/>
        </w:rPr>
        <w:t>敦化市财政局政府采购管理办公室</w:t>
      </w:r>
    </w:p>
    <w:p w14:paraId="550B6182">
      <w:pPr>
        <w:pStyle w:val="2"/>
        <w:spacing w:before="0" w:after="0" w:line="360" w:lineRule="auto"/>
        <w:jc w:val="center"/>
        <w:rPr>
          <w:rFonts w:hint="eastAsia"/>
          <w:color w:val="auto"/>
          <w:sz w:val="28"/>
          <w:szCs w:val="28"/>
          <w:highlight w:val="none"/>
        </w:rPr>
      </w:pPr>
      <w:bookmarkStart w:id="7" w:name="_Toc432264366"/>
      <w:bookmarkStart w:id="8" w:name="_Toc432277438"/>
      <w:bookmarkStart w:id="9" w:name="_Toc455565642"/>
      <w:r>
        <w:rPr>
          <w:rFonts w:hint="eastAsia"/>
          <w:color w:val="auto"/>
          <w:sz w:val="28"/>
          <w:szCs w:val="28"/>
          <w:highlight w:val="none"/>
        </w:rPr>
        <w:br w:type="page"/>
      </w:r>
      <w:r>
        <w:rPr>
          <w:rFonts w:hint="eastAsia"/>
          <w:color w:val="auto"/>
          <w:sz w:val="28"/>
          <w:szCs w:val="28"/>
          <w:highlight w:val="none"/>
        </w:rPr>
        <w:t xml:space="preserve">第二章  </w:t>
      </w:r>
      <w:r>
        <w:rPr>
          <w:rFonts w:hint="eastAsia"/>
          <w:color w:val="auto"/>
          <w:sz w:val="28"/>
          <w:szCs w:val="28"/>
          <w:highlight w:val="none"/>
          <w:lang w:eastAsia="zh-CN"/>
        </w:rPr>
        <w:t>供应商</w:t>
      </w:r>
      <w:r>
        <w:rPr>
          <w:rFonts w:hint="eastAsia"/>
          <w:color w:val="auto"/>
          <w:sz w:val="28"/>
          <w:szCs w:val="28"/>
          <w:highlight w:val="none"/>
        </w:rPr>
        <w:t>须知</w:t>
      </w:r>
      <w:bookmarkEnd w:id="7"/>
      <w:bookmarkEnd w:id="8"/>
      <w:bookmarkEnd w:id="9"/>
    </w:p>
    <w:p w14:paraId="5DEF816D">
      <w:pPr>
        <w:tabs>
          <w:tab w:val="left" w:pos="1065"/>
          <w:tab w:val="center" w:pos="4411"/>
        </w:tabs>
        <w:spacing w:line="360" w:lineRule="auto"/>
        <w:jc w:val="center"/>
        <w:rPr>
          <w:b/>
          <w:color w:val="auto"/>
          <w:sz w:val="24"/>
          <w:highlight w:val="none"/>
        </w:rPr>
      </w:pPr>
      <w:r>
        <w:rPr>
          <w:rFonts w:hint="eastAsia"/>
          <w:b/>
          <w:color w:val="auto"/>
          <w:sz w:val="24"/>
          <w:highlight w:val="none"/>
        </w:rPr>
        <w:t>供 应 商 须 知 前 附 表</w:t>
      </w:r>
    </w:p>
    <w:tbl>
      <w:tblPr>
        <w:tblStyle w:val="34"/>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992"/>
        <w:gridCol w:w="1901"/>
        <w:gridCol w:w="6462"/>
      </w:tblGrid>
      <w:tr w14:paraId="1A516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534" w:type="dxa"/>
            <w:vAlign w:val="center"/>
          </w:tcPr>
          <w:p w14:paraId="06DDAAA2">
            <w:pPr>
              <w:spacing w:line="360" w:lineRule="exact"/>
              <w:jc w:val="center"/>
              <w:rPr>
                <w:rFonts w:ascii="宋体" w:hAnsi="宋体"/>
                <w:color w:val="auto"/>
                <w:szCs w:val="21"/>
                <w:highlight w:val="none"/>
              </w:rPr>
            </w:pPr>
            <w:r>
              <w:rPr>
                <w:rFonts w:hint="eastAsia" w:ascii="宋体" w:hAnsi="宋体"/>
                <w:color w:val="auto"/>
                <w:szCs w:val="21"/>
                <w:highlight w:val="none"/>
              </w:rPr>
              <w:t>序号</w:t>
            </w:r>
          </w:p>
        </w:tc>
        <w:tc>
          <w:tcPr>
            <w:tcW w:w="992" w:type="dxa"/>
            <w:vAlign w:val="center"/>
          </w:tcPr>
          <w:p w14:paraId="2655E359">
            <w:pPr>
              <w:spacing w:line="360" w:lineRule="exact"/>
              <w:jc w:val="center"/>
              <w:rPr>
                <w:rFonts w:ascii="宋体" w:hAnsi="宋体"/>
                <w:color w:val="auto"/>
                <w:szCs w:val="21"/>
                <w:highlight w:val="none"/>
              </w:rPr>
            </w:pPr>
            <w:r>
              <w:rPr>
                <w:rFonts w:hint="eastAsia" w:ascii="宋体" w:hAnsi="宋体"/>
                <w:color w:val="auto"/>
                <w:szCs w:val="21"/>
                <w:highlight w:val="none"/>
              </w:rPr>
              <w:t>条款号</w:t>
            </w:r>
          </w:p>
        </w:tc>
        <w:tc>
          <w:tcPr>
            <w:tcW w:w="1901" w:type="dxa"/>
            <w:vAlign w:val="center"/>
          </w:tcPr>
          <w:p w14:paraId="11D1A778">
            <w:pPr>
              <w:spacing w:line="360" w:lineRule="exact"/>
              <w:jc w:val="center"/>
              <w:rPr>
                <w:rFonts w:ascii="宋体" w:hAnsi="宋体"/>
                <w:color w:val="auto"/>
                <w:szCs w:val="21"/>
                <w:highlight w:val="none"/>
              </w:rPr>
            </w:pPr>
            <w:r>
              <w:rPr>
                <w:rFonts w:hint="eastAsia" w:ascii="宋体" w:hAnsi="宋体"/>
                <w:color w:val="auto"/>
                <w:szCs w:val="21"/>
                <w:highlight w:val="none"/>
              </w:rPr>
              <w:t>条款名称</w:t>
            </w:r>
          </w:p>
        </w:tc>
        <w:tc>
          <w:tcPr>
            <w:tcW w:w="6462" w:type="dxa"/>
            <w:vAlign w:val="center"/>
          </w:tcPr>
          <w:p w14:paraId="26F699E1">
            <w:pPr>
              <w:spacing w:line="360" w:lineRule="exact"/>
              <w:jc w:val="center"/>
              <w:rPr>
                <w:rFonts w:ascii="宋体" w:hAnsi="宋体"/>
                <w:color w:val="auto"/>
                <w:szCs w:val="21"/>
                <w:highlight w:val="none"/>
              </w:rPr>
            </w:pPr>
            <w:r>
              <w:rPr>
                <w:rFonts w:hint="eastAsia" w:ascii="宋体" w:hAnsi="宋体"/>
                <w:color w:val="auto"/>
                <w:szCs w:val="21"/>
                <w:highlight w:val="none"/>
              </w:rPr>
              <w:t>内容、要求</w:t>
            </w:r>
          </w:p>
        </w:tc>
      </w:tr>
      <w:tr w14:paraId="79A76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534" w:type="dxa"/>
            <w:vAlign w:val="center"/>
          </w:tcPr>
          <w:p w14:paraId="2EB52468">
            <w:pPr>
              <w:spacing w:line="360" w:lineRule="exact"/>
              <w:jc w:val="center"/>
              <w:rPr>
                <w:rFonts w:ascii="宋体" w:hAnsi="宋体"/>
                <w:color w:val="auto"/>
                <w:szCs w:val="21"/>
                <w:highlight w:val="none"/>
              </w:rPr>
            </w:pPr>
            <w:r>
              <w:rPr>
                <w:rFonts w:hint="eastAsia" w:ascii="宋体" w:hAnsi="宋体"/>
                <w:color w:val="auto"/>
                <w:szCs w:val="21"/>
                <w:highlight w:val="none"/>
              </w:rPr>
              <w:t>1</w:t>
            </w:r>
          </w:p>
        </w:tc>
        <w:tc>
          <w:tcPr>
            <w:tcW w:w="992" w:type="dxa"/>
            <w:vAlign w:val="center"/>
          </w:tcPr>
          <w:p w14:paraId="659CCE3B">
            <w:pPr>
              <w:spacing w:line="360" w:lineRule="exact"/>
              <w:jc w:val="center"/>
              <w:rPr>
                <w:rFonts w:ascii="宋体" w:hAnsi="宋体"/>
                <w:color w:val="auto"/>
                <w:szCs w:val="21"/>
                <w:highlight w:val="none"/>
              </w:rPr>
            </w:pPr>
            <w:r>
              <w:rPr>
                <w:rFonts w:hint="eastAsia" w:ascii="宋体" w:hAnsi="宋体"/>
                <w:color w:val="auto"/>
                <w:szCs w:val="21"/>
                <w:highlight w:val="none"/>
              </w:rPr>
              <w:t>1.1</w:t>
            </w:r>
          </w:p>
        </w:tc>
        <w:tc>
          <w:tcPr>
            <w:tcW w:w="1901" w:type="dxa"/>
            <w:vAlign w:val="center"/>
          </w:tcPr>
          <w:p w14:paraId="05226855">
            <w:pPr>
              <w:spacing w:line="360" w:lineRule="exact"/>
              <w:jc w:val="center"/>
              <w:rPr>
                <w:rFonts w:ascii="宋体" w:hAnsi="宋体"/>
                <w:color w:val="auto"/>
                <w:szCs w:val="21"/>
                <w:highlight w:val="none"/>
              </w:rPr>
            </w:pPr>
            <w:r>
              <w:rPr>
                <w:rFonts w:hint="eastAsia" w:ascii="宋体" w:hAnsi="宋体"/>
                <w:color w:val="auto"/>
                <w:szCs w:val="21"/>
                <w:highlight w:val="none"/>
              </w:rPr>
              <w:t>项目名称及项目编号</w:t>
            </w:r>
          </w:p>
        </w:tc>
        <w:tc>
          <w:tcPr>
            <w:tcW w:w="6462" w:type="dxa"/>
            <w:vAlign w:val="center"/>
          </w:tcPr>
          <w:p w14:paraId="139328D7">
            <w:pPr>
              <w:spacing w:line="360" w:lineRule="exact"/>
              <w:rPr>
                <w:rFonts w:hint="eastAsia" w:ascii="宋体" w:hAnsi="宋体" w:eastAsia="宋体" w:cs="黑体"/>
                <w:bCs/>
                <w:color w:val="auto"/>
                <w:kern w:val="0"/>
                <w:szCs w:val="21"/>
                <w:highlight w:val="none"/>
                <w:lang w:eastAsia="zh-CN"/>
              </w:rPr>
            </w:pPr>
            <w:r>
              <w:rPr>
                <w:rFonts w:hint="eastAsia" w:ascii="宋体" w:hAnsi="宋体"/>
                <w:color w:val="auto"/>
                <w:szCs w:val="21"/>
                <w:highlight w:val="none"/>
              </w:rPr>
              <w:t>项目名称：</w:t>
            </w:r>
            <w:r>
              <w:rPr>
                <w:rFonts w:hint="eastAsia" w:ascii="宋体" w:hAnsi="宋体" w:cs="黑体"/>
                <w:bCs/>
                <w:color w:val="auto"/>
                <w:kern w:val="0"/>
                <w:szCs w:val="21"/>
                <w:highlight w:val="none"/>
                <w:lang w:eastAsia="zh-CN"/>
              </w:rPr>
              <w:t>广播电视微波综合铁塔健康智能监测系统升级项目</w:t>
            </w:r>
          </w:p>
          <w:p w14:paraId="12D6C24A">
            <w:pPr>
              <w:spacing w:line="360" w:lineRule="exact"/>
              <w:rPr>
                <w:rFonts w:hint="default" w:ascii="宋体" w:hAnsi="宋体" w:eastAsia="宋体"/>
                <w:color w:val="auto"/>
                <w:szCs w:val="21"/>
                <w:highlight w:val="none"/>
                <w:lang w:val="en-US" w:eastAsia="zh-CN"/>
              </w:rPr>
            </w:pPr>
            <w:r>
              <w:rPr>
                <w:rFonts w:hint="eastAsia" w:ascii="宋体" w:hAnsi="宋体"/>
                <w:color w:val="auto"/>
                <w:szCs w:val="21"/>
                <w:highlight w:val="none"/>
              </w:rPr>
              <w:t>项目编号：</w:t>
            </w:r>
            <w:r>
              <w:rPr>
                <w:rFonts w:hint="eastAsia" w:ascii="宋体" w:hAnsi="宋体"/>
                <w:color w:val="auto"/>
                <w:szCs w:val="21"/>
                <w:highlight w:val="none"/>
                <w:lang w:eastAsia="zh-CN"/>
              </w:rPr>
              <w:t xml:space="preserve">采购计划-[2025]-00095号-2025ZC070101  </w:t>
            </w:r>
          </w:p>
        </w:tc>
      </w:tr>
      <w:tr w14:paraId="23942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7" w:hRule="atLeast"/>
        </w:trPr>
        <w:tc>
          <w:tcPr>
            <w:tcW w:w="534" w:type="dxa"/>
            <w:vAlign w:val="center"/>
          </w:tcPr>
          <w:p w14:paraId="04F1F13B">
            <w:pPr>
              <w:spacing w:line="360" w:lineRule="exact"/>
              <w:jc w:val="center"/>
              <w:rPr>
                <w:rFonts w:ascii="宋体" w:hAnsi="宋体"/>
                <w:color w:val="auto"/>
                <w:szCs w:val="21"/>
                <w:highlight w:val="none"/>
              </w:rPr>
            </w:pPr>
            <w:r>
              <w:rPr>
                <w:rFonts w:hint="eastAsia" w:ascii="宋体" w:hAnsi="宋体"/>
                <w:color w:val="auto"/>
                <w:szCs w:val="21"/>
                <w:highlight w:val="none"/>
              </w:rPr>
              <w:t>2</w:t>
            </w:r>
          </w:p>
        </w:tc>
        <w:tc>
          <w:tcPr>
            <w:tcW w:w="992" w:type="dxa"/>
            <w:vAlign w:val="center"/>
          </w:tcPr>
          <w:p w14:paraId="3053EE33">
            <w:pPr>
              <w:spacing w:line="360" w:lineRule="exact"/>
              <w:jc w:val="center"/>
              <w:rPr>
                <w:rFonts w:ascii="宋体" w:hAnsi="宋体"/>
                <w:color w:val="auto"/>
                <w:szCs w:val="21"/>
                <w:highlight w:val="none"/>
              </w:rPr>
            </w:pPr>
            <w:r>
              <w:rPr>
                <w:rFonts w:hint="eastAsia" w:ascii="宋体" w:hAnsi="宋体"/>
                <w:color w:val="auto"/>
                <w:szCs w:val="21"/>
                <w:highlight w:val="none"/>
              </w:rPr>
              <w:t>3</w:t>
            </w:r>
          </w:p>
        </w:tc>
        <w:tc>
          <w:tcPr>
            <w:tcW w:w="1901" w:type="dxa"/>
            <w:vAlign w:val="center"/>
          </w:tcPr>
          <w:p w14:paraId="124D040D">
            <w:pPr>
              <w:spacing w:line="360" w:lineRule="exact"/>
              <w:jc w:val="center"/>
              <w:rPr>
                <w:rFonts w:ascii="宋体" w:hAnsi="宋体"/>
                <w:color w:val="auto"/>
                <w:szCs w:val="21"/>
                <w:highlight w:val="none"/>
              </w:rPr>
            </w:pPr>
            <w:r>
              <w:rPr>
                <w:rFonts w:hint="eastAsia" w:ascii="宋体" w:hAnsi="宋体"/>
                <w:color w:val="auto"/>
                <w:szCs w:val="21"/>
                <w:highlight w:val="none"/>
              </w:rPr>
              <w:t>供应商资格</w:t>
            </w:r>
          </w:p>
        </w:tc>
        <w:tc>
          <w:tcPr>
            <w:tcW w:w="6462" w:type="dxa"/>
            <w:vAlign w:val="center"/>
          </w:tcPr>
          <w:p w14:paraId="16ED9994">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1.满足《中华人民共和国政府采购法》第二十二条规定；</w:t>
            </w:r>
          </w:p>
          <w:p w14:paraId="4A5E974D">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（1）具有独立承担民事责任的能力；</w:t>
            </w:r>
          </w:p>
          <w:p w14:paraId="732D255A">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（2）具有良好的商业信誉和健全的财务会计制度；</w:t>
            </w:r>
          </w:p>
          <w:p w14:paraId="32BDD814">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（3）具有履行合同所必需的设备和专业技术能力；</w:t>
            </w:r>
          </w:p>
          <w:p w14:paraId="64BC964A">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（4）有依法缴纳税收和社会保障资金的良好记录；</w:t>
            </w:r>
          </w:p>
          <w:p w14:paraId="1F81B9A7">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（5）参加政府采购活动前三年内，在经营活动中没有重大违法记录；</w:t>
            </w:r>
          </w:p>
          <w:p w14:paraId="7888CCEF">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（6）法律、行政法规规定的其他条件。</w:t>
            </w:r>
          </w:p>
          <w:p w14:paraId="691CC658">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default" w:ascii="宋体" w:hAnsi="宋体" w:eastAsia="宋体" w:cs="宋体"/>
                <w:bCs/>
                <w:snapToGrid w:val="0"/>
                <w:color w:val="auto"/>
                <w:szCs w:val="21"/>
                <w:highlight w:val="none"/>
                <w:lang w:val="en-US" w:eastAsia="zh-CN"/>
              </w:rPr>
            </w:pPr>
            <w:r>
              <w:rPr>
                <w:rFonts w:hint="eastAsia" w:ascii="宋体" w:hAnsi="宋体" w:eastAsia="宋体" w:cs="宋体"/>
                <w:bCs/>
                <w:snapToGrid w:val="0"/>
                <w:color w:val="auto"/>
                <w:szCs w:val="21"/>
                <w:highlight w:val="none"/>
              </w:rPr>
              <w:t>2.需要落实的政府采购政策：</w:t>
            </w:r>
            <w:r>
              <w:rPr>
                <w:rFonts w:hint="eastAsia" w:ascii="宋体" w:hAnsi="宋体" w:eastAsia="宋体" w:cs="宋体"/>
                <w:bCs/>
                <w:snapToGrid w:val="0"/>
                <w:color w:val="auto"/>
                <w:szCs w:val="21"/>
                <w:highlight w:val="none"/>
                <w:lang w:val="en-US" w:eastAsia="zh-CN"/>
              </w:rPr>
              <w:t>本项目专门面向中小企业采购；</w:t>
            </w:r>
            <w:r>
              <w:rPr>
                <w:rFonts w:hint="eastAsia" w:ascii="宋体" w:hAnsi="宋体" w:eastAsia="宋体" w:cs="宋体"/>
                <w:bCs/>
                <w:snapToGrid w:val="0"/>
                <w:color w:val="auto"/>
                <w:szCs w:val="21"/>
                <w:highlight w:val="none"/>
                <w:lang w:eastAsia="zh-CN"/>
              </w:rPr>
              <w:t>强制、优先采购节能产品、环境标志产品</w:t>
            </w:r>
            <w:r>
              <w:rPr>
                <w:rFonts w:hint="eastAsia" w:ascii="宋体" w:hAnsi="宋体" w:eastAsia="宋体" w:cs="宋体"/>
                <w:bCs/>
                <w:snapToGrid w:val="0"/>
                <w:color w:val="auto"/>
                <w:szCs w:val="21"/>
                <w:highlight w:val="none"/>
                <w:lang w:val="en-US" w:eastAsia="zh-CN"/>
              </w:rPr>
              <w:t>除外。</w:t>
            </w:r>
            <w:bookmarkStart w:id="57" w:name="_GoBack"/>
            <w:bookmarkEnd w:id="57"/>
          </w:p>
          <w:p w14:paraId="1765C1CE">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lang w:eastAsia="zh-CN"/>
              </w:rPr>
            </w:pPr>
            <w:r>
              <w:rPr>
                <w:rFonts w:hint="eastAsia" w:ascii="宋体" w:hAnsi="宋体" w:eastAsia="宋体" w:cs="宋体"/>
                <w:bCs/>
                <w:snapToGrid w:val="0"/>
                <w:color w:val="auto"/>
                <w:szCs w:val="21"/>
                <w:highlight w:val="none"/>
                <w:lang w:eastAsia="zh-CN"/>
              </w:rPr>
              <w:t>强制、优先采购节能产品、环境标志产品政策</w:t>
            </w:r>
          </w:p>
          <w:p w14:paraId="546FD85C">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lang w:val="en-US" w:eastAsia="zh-CN"/>
              </w:rPr>
            </w:pPr>
            <w:r>
              <w:rPr>
                <w:rFonts w:hint="eastAsia" w:ascii="宋体" w:hAnsi="宋体" w:eastAsia="宋体" w:cs="宋体"/>
                <w:bCs/>
                <w:snapToGrid w:val="0"/>
                <w:color w:val="auto"/>
                <w:szCs w:val="21"/>
                <w:highlight w:val="none"/>
                <w:lang w:val="en-US" w:eastAsia="zh-CN"/>
              </w:rPr>
              <w:t>（一）政策依据</w:t>
            </w:r>
          </w:p>
          <w:p w14:paraId="1A4CAA12">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lang w:val="en-US" w:eastAsia="zh-CN"/>
              </w:rPr>
            </w:pPr>
            <w:r>
              <w:rPr>
                <w:rFonts w:hint="eastAsia" w:ascii="宋体" w:hAnsi="宋体" w:eastAsia="宋体" w:cs="宋体"/>
                <w:bCs/>
                <w:snapToGrid w:val="0"/>
                <w:color w:val="auto"/>
                <w:szCs w:val="21"/>
                <w:highlight w:val="none"/>
                <w:lang w:val="en-US" w:eastAsia="zh-CN"/>
              </w:rPr>
              <w:t>1、财政部 发展改革委 生态环境部 市场监管总局《关于调整优化节能产品、环境标志产品政府采购执行机制的通知》（财库〔2019〕9号）。</w:t>
            </w:r>
          </w:p>
          <w:p w14:paraId="231BEACF">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lang w:val="en-US" w:eastAsia="zh-CN"/>
              </w:rPr>
            </w:pPr>
            <w:r>
              <w:rPr>
                <w:rFonts w:hint="eastAsia" w:ascii="宋体" w:hAnsi="宋体" w:eastAsia="宋体" w:cs="宋体"/>
                <w:bCs/>
                <w:snapToGrid w:val="0"/>
                <w:color w:val="auto"/>
                <w:szCs w:val="21"/>
                <w:highlight w:val="none"/>
                <w:lang w:val="en-US" w:eastAsia="zh-CN"/>
              </w:rPr>
              <w:t>2、财政部 生态环境部《关于印发环境标志产品政府采购品目清单的通知》（财库〔2019〕18号）。</w:t>
            </w:r>
          </w:p>
          <w:p w14:paraId="59D20C7F">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lang w:eastAsia="zh-CN"/>
              </w:rPr>
            </w:pPr>
            <w:r>
              <w:rPr>
                <w:rFonts w:hint="eastAsia" w:ascii="宋体" w:hAnsi="宋体" w:eastAsia="宋体" w:cs="宋体"/>
                <w:bCs/>
                <w:snapToGrid w:val="0"/>
                <w:color w:val="auto"/>
                <w:szCs w:val="21"/>
                <w:highlight w:val="none"/>
                <w:lang w:val="en-US" w:eastAsia="zh-CN"/>
              </w:rPr>
              <w:t>3、财政部 发展改革委《关于印发节能产品政府采购品目清单的通知》（财库〔2019〕19号）</w:t>
            </w:r>
          </w:p>
          <w:p w14:paraId="02642615">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3.本项目的特定资格要求：</w:t>
            </w:r>
          </w:p>
          <w:p w14:paraId="40B2DBEA">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lang w:val="en-US" w:eastAsia="zh-CN"/>
              </w:rPr>
            </w:pPr>
            <w:r>
              <w:rPr>
                <w:rFonts w:hint="eastAsia" w:ascii="宋体" w:hAnsi="宋体" w:eastAsia="宋体" w:cs="宋体"/>
                <w:bCs/>
                <w:snapToGrid w:val="0"/>
                <w:color w:val="auto"/>
                <w:szCs w:val="21"/>
                <w:highlight w:val="none"/>
              </w:rPr>
              <w:t>（1）具有有效的营业执照</w:t>
            </w:r>
            <w:r>
              <w:rPr>
                <w:rFonts w:hint="eastAsia" w:ascii="宋体" w:hAnsi="宋体" w:eastAsia="宋体" w:cs="宋体"/>
                <w:bCs/>
                <w:snapToGrid w:val="0"/>
                <w:color w:val="auto"/>
                <w:szCs w:val="21"/>
                <w:highlight w:val="none"/>
                <w:lang w:eastAsia="zh-CN"/>
              </w:rPr>
              <w:t>。</w:t>
            </w:r>
          </w:p>
          <w:p w14:paraId="60C9E447">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lang w:eastAsia="zh-CN"/>
              </w:rPr>
              <w:t>（</w:t>
            </w:r>
            <w:r>
              <w:rPr>
                <w:rFonts w:hint="eastAsia" w:ascii="宋体" w:hAnsi="宋体" w:eastAsia="宋体" w:cs="宋体"/>
                <w:bCs/>
                <w:snapToGrid w:val="0"/>
                <w:color w:val="auto"/>
                <w:szCs w:val="21"/>
                <w:highlight w:val="none"/>
                <w:lang w:val="en-US" w:eastAsia="zh-CN"/>
              </w:rPr>
              <w:t>2</w:t>
            </w:r>
            <w:r>
              <w:rPr>
                <w:rFonts w:hint="eastAsia" w:ascii="宋体" w:hAnsi="宋体" w:eastAsia="宋体" w:cs="宋体"/>
                <w:bCs/>
                <w:snapToGrid w:val="0"/>
                <w:color w:val="auto"/>
                <w:szCs w:val="21"/>
                <w:highlight w:val="none"/>
                <w:lang w:eastAsia="zh-CN"/>
              </w:rPr>
              <w:t>）</w:t>
            </w:r>
            <w:r>
              <w:rPr>
                <w:rFonts w:hint="eastAsia" w:ascii="宋体" w:hAnsi="宋体" w:eastAsia="宋体" w:cs="宋体"/>
                <w:bCs/>
                <w:snapToGrid w:val="0"/>
                <w:color w:val="auto"/>
                <w:szCs w:val="21"/>
                <w:highlight w:val="none"/>
                <w:lang w:val="zh-CN"/>
              </w:rPr>
              <w:t>拒绝列入政府不良行为记录期间的企业或个人投标。投标人未被列入失信被执行人、重大税收违法案件当事人名单、政府采购严重违法失信行为记录名单、严重失信主体名单等，在“信用中国”网站（www.creditchina.gov.cn）、全国企业信用信息公示系统、中国政府采购网（www.ccgp.gov.cn）上进行查询失信记录；投标人不得存在行贿犯罪记录，在中国裁判文书网（http://wenshu.court.gov.cn/）进行查询投标人、法人行贿犯罪记录</w:t>
            </w:r>
            <w:r>
              <w:rPr>
                <w:rFonts w:hint="eastAsia" w:ascii="宋体" w:hAnsi="宋体" w:eastAsia="宋体" w:cs="宋体"/>
                <w:bCs/>
                <w:snapToGrid w:val="0"/>
                <w:color w:val="auto"/>
                <w:szCs w:val="21"/>
                <w:highlight w:val="none"/>
              </w:rPr>
              <w:t>(</w:t>
            </w:r>
            <w:r>
              <w:rPr>
                <w:rFonts w:hint="eastAsia" w:ascii="宋体" w:hAnsi="宋体" w:eastAsia="宋体" w:cs="宋体"/>
                <w:bCs/>
                <w:snapToGrid w:val="0"/>
                <w:color w:val="auto"/>
                <w:szCs w:val="21"/>
                <w:highlight w:val="none"/>
                <w:lang w:val="zh-CN"/>
              </w:rPr>
              <w:t>信用信息截止时点为投标截止时间前</w:t>
            </w:r>
            <w:r>
              <w:rPr>
                <w:rFonts w:hint="eastAsia" w:ascii="宋体" w:hAnsi="宋体" w:eastAsia="宋体" w:cs="宋体"/>
                <w:bCs/>
                <w:snapToGrid w:val="0"/>
                <w:color w:val="auto"/>
                <w:szCs w:val="21"/>
                <w:highlight w:val="none"/>
              </w:rPr>
              <w:t>)。</w:t>
            </w:r>
          </w:p>
          <w:p w14:paraId="7843A56E">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lang w:val="en-US" w:eastAsia="zh-CN"/>
              </w:rPr>
            </w:pPr>
            <w:r>
              <w:rPr>
                <w:rFonts w:hint="eastAsia" w:ascii="宋体" w:hAnsi="宋体" w:eastAsia="宋体" w:cs="宋体"/>
                <w:bCs/>
                <w:snapToGrid w:val="0"/>
                <w:color w:val="auto"/>
                <w:szCs w:val="21"/>
                <w:highlight w:val="none"/>
                <w:lang w:eastAsia="zh-CN"/>
              </w:rPr>
              <w:t>（</w:t>
            </w:r>
            <w:r>
              <w:rPr>
                <w:rFonts w:hint="eastAsia" w:ascii="宋体" w:hAnsi="宋体" w:eastAsia="宋体" w:cs="宋体"/>
                <w:bCs/>
                <w:snapToGrid w:val="0"/>
                <w:color w:val="auto"/>
                <w:szCs w:val="21"/>
                <w:highlight w:val="none"/>
                <w:lang w:val="en-US" w:eastAsia="zh-CN"/>
              </w:rPr>
              <w:t>3</w:t>
            </w:r>
            <w:r>
              <w:rPr>
                <w:rFonts w:hint="eastAsia" w:ascii="宋体" w:hAnsi="宋体" w:eastAsia="宋体" w:cs="宋体"/>
                <w:bCs/>
                <w:snapToGrid w:val="0"/>
                <w:color w:val="auto"/>
                <w:szCs w:val="21"/>
                <w:highlight w:val="none"/>
                <w:lang w:eastAsia="zh-CN"/>
              </w:rPr>
              <w:t>）</w:t>
            </w:r>
            <w:r>
              <w:rPr>
                <w:rFonts w:hint="eastAsia" w:ascii="宋体" w:hAnsi="宋体" w:eastAsia="宋体" w:cs="宋体"/>
                <w:bCs/>
                <w:snapToGrid w:val="0"/>
                <w:color w:val="auto"/>
                <w:szCs w:val="21"/>
                <w:highlight w:val="none"/>
                <w:lang w:val="en-US" w:eastAsia="zh-CN"/>
              </w:rPr>
              <w:t>企业名称不同但法定代表人为同一个自然人的两个或者两个以上的供应商不得参加同一项目的投标；单位负责人为同一人或者存在控股、管理关系的不同单位，不得参加同一标段投标或者未划分标段的同一招标项目投标；与招标人存在利害关系可能影响招标公正性的法人、其他组织或者个人，不得参加投标。</w:t>
            </w:r>
          </w:p>
          <w:p w14:paraId="44D5341B">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lang w:val="en-US" w:eastAsia="zh-CN"/>
              </w:rPr>
              <w:t>（4）招投标过程中，供应商所提供的所有证件均需在有效期内且注册单位名称与供应商的名称一致，如企业名称发生变更，需提供主管部门出具的变更证明材料，否则不接受其供应商参与本次招标项目的投标。</w:t>
            </w:r>
          </w:p>
        </w:tc>
      </w:tr>
      <w:tr w14:paraId="083BB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534" w:type="dxa"/>
            <w:vAlign w:val="center"/>
          </w:tcPr>
          <w:p w14:paraId="75172284">
            <w:pPr>
              <w:spacing w:line="360" w:lineRule="exact"/>
              <w:jc w:val="center"/>
              <w:rPr>
                <w:rFonts w:ascii="宋体" w:hAnsi="宋体"/>
                <w:color w:val="auto"/>
                <w:szCs w:val="21"/>
                <w:highlight w:val="none"/>
              </w:rPr>
            </w:pPr>
            <w:r>
              <w:rPr>
                <w:rFonts w:hint="eastAsia" w:ascii="宋体" w:hAnsi="宋体"/>
                <w:color w:val="auto"/>
                <w:szCs w:val="21"/>
                <w:highlight w:val="none"/>
              </w:rPr>
              <w:t>3</w:t>
            </w:r>
          </w:p>
        </w:tc>
        <w:tc>
          <w:tcPr>
            <w:tcW w:w="992" w:type="dxa"/>
            <w:vAlign w:val="center"/>
          </w:tcPr>
          <w:p w14:paraId="2FDD5576">
            <w:pPr>
              <w:spacing w:line="360" w:lineRule="exact"/>
              <w:jc w:val="center"/>
              <w:rPr>
                <w:rFonts w:ascii="宋体" w:hAnsi="宋体"/>
                <w:color w:val="auto"/>
                <w:szCs w:val="21"/>
                <w:highlight w:val="none"/>
              </w:rPr>
            </w:pPr>
            <w:r>
              <w:rPr>
                <w:rFonts w:hint="eastAsia" w:ascii="宋体" w:hAnsi="宋体"/>
                <w:color w:val="auto"/>
                <w:szCs w:val="21"/>
                <w:highlight w:val="none"/>
              </w:rPr>
              <w:t>4</w:t>
            </w:r>
          </w:p>
        </w:tc>
        <w:tc>
          <w:tcPr>
            <w:tcW w:w="1901" w:type="dxa"/>
            <w:vAlign w:val="center"/>
          </w:tcPr>
          <w:p w14:paraId="567D9A3C">
            <w:pPr>
              <w:spacing w:line="360" w:lineRule="exact"/>
              <w:jc w:val="center"/>
              <w:rPr>
                <w:rFonts w:ascii="宋体" w:hAnsi="宋体"/>
                <w:color w:val="auto"/>
                <w:szCs w:val="21"/>
                <w:highlight w:val="none"/>
              </w:rPr>
            </w:pPr>
            <w:r>
              <w:rPr>
                <w:rFonts w:hint="eastAsia" w:ascii="宋体" w:hAnsi="宋体"/>
                <w:color w:val="auto"/>
                <w:szCs w:val="21"/>
                <w:highlight w:val="none"/>
              </w:rPr>
              <w:t>谈判费用</w:t>
            </w:r>
          </w:p>
        </w:tc>
        <w:tc>
          <w:tcPr>
            <w:tcW w:w="6462" w:type="dxa"/>
            <w:vAlign w:val="center"/>
          </w:tcPr>
          <w:p w14:paraId="2F5B7ABA">
            <w:pPr>
              <w:spacing w:line="360" w:lineRule="exact"/>
              <w:rPr>
                <w:rFonts w:ascii="宋体" w:hAnsi="宋体"/>
                <w:color w:val="auto"/>
                <w:szCs w:val="21"/>
                <w:highlight w:val="none"/>
              </w:rPr>
            </w:pPr>
            <w:r>
              <w:rPr>
                <w:rFonts w:hint="eastAsia" w:ascii="宋体" w:hAnsi="宋体"/>
                <w:color w:val="auto"/>
                <w:szCs w:val="21"/>
                <w:highlight w:val="none"/>
              </w:rPr>
              <w:t>不论</w:t>
            </w:r>
            <w:r>
              <w:rPr>
                <w:rFonts w:hint="eastAsia" w:ascii="宋体" w:hAnsi="宋体" w:cs="宋体"/>
                <w:color w:val="auto"/>
                <w:szCs w:val="21"/>
                <w:highlight w:val="none"/>
              </w:rPr>
              <w:t>谈判</w:t>
            </w:r>
            <w:r>
              <w:rPr>
                <w:rFonts w:hint="eastAsia" w:ascii="宋体" w:hAnsi="宋体"/>
                <w:color w:val="auto"/>
                <w:szCs w:val="21"/>
                <w:highlight w:val="none"/>
              </w:rPr>
              <w:t>结果如何，供应商均应自行承担所有与</w:t>
            </w:r>
            <w:r>
              <w:rPr>
                <w:rFonts w:hint="eastAsia" w:ascii="宋体" w:hAnsi="宋体" w:cs="宋体"/>
                <w:color w:val="auto"/>
                <w:szCs w:val="21"/>
                <w:highlight w:val="none"/>
              </w:rPr>
              <w:t>谈判</w:t>
            </w:r>
            <w:r>
              <w:rPr>
                <w:rFonts w:hint="eastAsia" w:ascii="宋体" w:hAnsi="宋体"/>
                <w:color w:val="auto"/>
                <w:szCs w:val="21"/>
                <w:highlight w:val="none"/>
              </w:rPr>
              <w:t>有关的全部费用。</w:t>
            </w:r>
          </w:p>
        </w:tc>
      </w:tr>
      <w:tr w14:paraId="42395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534" w:type="dxa"/>
            <w:vAlign w:val="center"/>
          </w:tcPr>
          <w:p w14:paraId="51655AD9">
            <w:pPr>
              <w:spacing w:line="360" w:lineRule="exact"/>
              <w:jc w:val="center"/>
              <w:rPr>
                <w:rFonts w:hint="eastAsia" w:ascii="宋体" w:hAnsi="宋体"/>
                <w:color w:val="auto"/>
                <w:szCs w:val="21"/>
                <w:highlight w:val="none"/>
              </w:rPr>
            </w:pPr>
            <w:r>
              <w:rPr>
                <w:rFonts w:hint="eastAsia" w:ascii="宋体" w:hAnsi="宋体"/>
                <w:color w:val="auto"/>
                <w:szCs w:val="21"/>
                <w:highlight w:val="none"/>
              </w:rPr>
              <w:t>4</w:t>
            </w:r>
          </w:p>
        </w:tc>
        <w:tc>
          <w:tcPr>
            <w:tcW w:w="992" w:type="dxa"/>
            <w:vAlign w:val="center"/>
          </w:tcPr>
          <w:p w14:paraId="009D7E6E">
            <w:pPr>
              <w:spacing w:line="360" w:lineRule="exact"/>
              <w:jc w:val="center"/>
              <w:rPr>
                <w:rFonts w:hint="eastAsia" w:ascii="宋体" w:hAnsi="宋体"/>
                <w:color w:val="auto"/>
                <w:szCs w:val="21"/>
                <w:highlight w:val="none"/>
              </w:rPr>
            </w:pPr>
            <w:r>
              <w:rPr>
                <w:rFonts w:hint="eastAsia" w:ascii="宋体" w:hAnsi="宋体"/>
                <w:color w:val="auto"/>
                <w:szCs w:val="21"/>
                <w:highlight w:val="none"/>
              </w:rPr>
              <w:t>11.4</w:t>
            </w:r>
          </w:p>
        </w:tc>
        <w:tc>
          <w:tcPr>
            <w:tcW w:w="1901" w:type="dxa"/>
            <w:vAlign w:val="center"/>
          </w:tcPr>
          <w:p w14:paraId="5A3155E6">
            <w:pPr>
              <w:spacing w:line="320" w:lineRule="exact"/>
              <w:jc w:val="center"/>
              <w:rPr>
                <w:rFonts w:ascii="宋体" w:hAnsi="宋体"/>
                <w:color w:val="auto"/>
                <w:szCs w:val="21"/>
                <w:highlight w:val="none"/>
              </w:rPr>
            </w:pPr>
            <w:r>
              <w:rPr>
                <w:rFonts w:hint="eastAsia" w:ascii="宋体" w:hAnsi="宋体"/>
                <w:color w:val="auto"/>
                <w:szCs w:val="21"/>
                <w:highlight w:val="none"/>
              </w:rPr>
              <w:t>响应文件电子版</w:t>
            </w:r>
          </w:p>
        </w:tc>
        <w:tc>
          <w:tcPr>
            <w:tcW w:w="6462" w:type="dxa"/>
            <w:vAlign w:val="center"/>
          </w:tcPr>
          <w:p w14:paraId="15FB524E">
            <w:pPr>
              <w:snapToGrid w:val="0"/>
              <w:spacing w:line="360" w:lineRule="exact"/>
              <w:jc w:val="left"/>
              <w:rPr>
                <w:rFonts w:hint="eastAsia" w:ascii="宋体" w:hAnsi="宋体" w:eastAsia="宋体" w:cs="Courier New"/>
                <w:color w:val="auto"/>
                <w:szCs w:val="21"/>
                <w:highlight w:val="none"/>
                <w:lang w:eastAsia="zh-CN"/>
              </w:rPr>
            </w:pPr>
            <w:r>
              <w:rPr>
                <w:rFonts w:hint="eastAsia" w:ascii="宋体" w:hAnsi="宋体" w:cs="Courier New"/>
                <w:color w:val="auto"/>
                <w:szCs w:val="21"/>
                <w:highlight w:val="none"/>
              </w:rPr>
              <w:t>供应商在递交响应文件时，同时递交响应文件电子版一份</w:t>
            </w:r>
            <w:r>
              <w:rPr>
                <w:rFonts w:hint="eastAsia" w:ascii="宋体" w:hAnsi="宋体" w:cs="Courier New"/>
                <w:color w:val="auto"/>
                <w:szCs w:val="21"/>
                <w:highlight w:val="none"/>
                <w:lang w:eastAsia="zh-CN"/>
              </w:rPr>
              <w:t>。</w:t>
            </w:r>
            <w:r>
              <w:rPr>
                <w:rFonts w:hint="eastAsia" w:ascii="宋体" w:hAnsi="宋体"/>
                <w:color w:val="auto"/>
                <w:szCs w:val="21"/>
                <w:highlight w:val="none"/>
                <w:lang w:val="en-US" w:eastAsia="zh-CN"/>
              </w:rPr>
              <w:t>中标供应商提供。</w:t>
            </w:r>
          </w:p>
          <w:p w14:paraId="6A8C1F44">
            <w:pPr>
              <w:numPr>
                <w:ilvl w:val="0"/>
                <w:numId w:val="2"/>
              </w:numPr>
              <w:snapToGrid w:val="0"/>
              <w:spacing w:line="360" w:lineRule="exact"/>
              <w:jc w:val="left"/>
              <w:rPr>
                <w:rFonts w:hint="eastAsia"/>
                <w:color w:val="auto"/>
                <w:highlight w:val="none"/>
              </w:rPr>
            </w:pPr>
            <w:r>
              <w:rPr>
                <w:rFonts w:hint="eastAsia" w:ascii="宋体" w:hAnsi="宋体" w:cs="Courier New"/>
                <w:color w:val="auto"/>
                <w:szCs w:val="21"/>
                <w:highlight w:val="none"/>
              </w:rPr>
              <w:t>响应文件电子版内容：与纸质响应文件一致。</w:t>
            </w:r>
          </w:p>
          <w:p w14:paraId="331E7A7C">
            <w:pPr>
              <w:snapToGrid w:val="0"/>
              <w:spacing w:line="360" w:lineRule="exact"/>
              <w:jc w:val="left"/>
              <w:rPr>
                <w:rFonts w:hint="eastAsia" w:ascii="宋体" w:hAnsi="宋体" w:cs="Courier New"/>
                <w:color w:val="auto"/>
                <w:szCs w:val="21"/>
                <w:highlight w:val="none"/>
              </w:rPr>
            </w:pPr>
            <w:r>
              <w:rPr>
                <w:rFonts w:hint="eastAsia" w:ascii="宋体" w:hAnsi="宋体" w:cs="Courier New"/>
                <w:color w:val="auto"/>
                <w:szCs w:val="21"/>
                <w:highlight w:val="none"/>
              </w:rPr>
              <w:t>（2）响应文件电子版份数：</w:t>
            </w:r>
            <w:r>
              <w:rPr>
                <w:rFonts w:hint="eastAsia" w:ascii="宋体" w:hAnsi="宋体" w:cs="Courier New"/>
                <w:color w:val="auto"/>
                <w:szCs w:val="21"/>
                <w:highlight w:val="none"/>
                <w:lang w:val="en-US" w:eastAsia="zh-CN"/>
              </w:rPr>
              <w:t>1</w:t>
            </w:r>
            <w:r>
              <w:rPr>
                <w:rFonts w:hint="eastAsia" w:ascii="宋体" w:hAnsi="宋体" w:cs="Courier New"/>
                <w:color w:val="auto"/>
                <w:szCs w:val="21"/>
                <w:highlight w:val="none"/>
              </w:rPr>
              <w:t>份。</w:t>
            </w:r>
          </w:p>
          <w:p w14:paraId="77AC1132">
            <w:pPr>
              <w:snapToGrid w:val="0"/>
              <w:spacing w:line="360" w:lineRule="exact"/>
              <w:jc w:val="left"/>
              <w:rPr>
                <w:rFonts w:hAnsi="宋体"/>
                <w:color w:val="auto"/>
                <w:szCs w:val="21"/>
                <w:highlight w:val="none"/>
              </w:rPr>
            </w:pPr>
            <w:r>
              <w:rPr>
                <w:rFonts w:hint="eastAsia" w:ascii="宋体" w:hAnsi="宋体" w:cs="Courier New"/>
                <w:color w:val="auto"/>
                <w:szCs w:val="21"/>
                <w:highlight w:val="none"/>
              </w:rPr>
              <w:t>（3）响应文件电子版形式：可编辑的word文档</w:t>
            </w:r>
            <w:r>
              <w:rPr>
                <w:rFonts w:hint="eastAsia" w:ascii="宋体" w:hAnsi="宋体" w:cs="Courier New"/>
                <w:color w:val="auto"/>
                <w:szCs w:val="21"/>
                <w:highlight w:val="none"/>
                <w:lang w:val="en-US" w:eastAsia="zh-CN"/>
              </w:rPr>
              <w:t>和PDF版</w:t>
            </w:r>
            <w:r>
              <w:rPr>
                <w:rFonts w:hint="eastAsia" w:ascii="宋体" w:hAnsi="宋体" w:cs="Courier New"/>
                <w:color w:val="auto"/>
                <w:szCs w:val="21"/>
                <w:highlight w:val="none"/>
              </w:rPr>
              <w:t>。</w:t>
            </w:r>
          </w:p>
        </w:tc>
      </w:tr>
      <w:tr w14:paraId="18512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534" w:type="dxa"/>
            <w:vAlign w:val="center"/>
          </w:tcPr>
          <w:p w14:paraId="4B5E3C4F">
            <w:pPr>
              <w:spacing w:line="360" w:lineRule="exact"/>
              <w:jc w:val="center"/>
              <w:rPr>
                <w:rFonts w:ascii="宋体" w:hAnsi="宋体"/>
                <w:color w:val="auto"/>
                <w:szCs w:val="21"/>
                <w:highlight w:val="none"/>
              </w:rPr>
            </w:pPr>
            <w:r>
              <w:rPr>
                <w:rFonts w:hint="eastAsia" w:ascii="宋体" w:hAnsi="宋体"/>
                <w:color w:val="auto"/>
                <w:szCs w:val="21"/>
                <w:highlight w:val="none"/>
              </w:rPr>
              <w:t>5</w:t>
            </w:r>
          </w:p>
        </w:tc>
        <w:tc>
          <w:tcPr>
            <w:tcW w:w="992" w:type="dxa"/>
            <w:vAlign w:val="center"/>
          </w:tcPr>
          <w:p w14:paraId="03C87420">
            <w:pPr>
              <w:spacing w:line="360" w:lineRule="exact"/>
              <w:jc w:val="center"/>
              <w:rPr>
                <w:rFonts w:ascii="宋体" w:hAnsi="宋体"/>
                <w:color w:val="auto"/>
                <w:szCs w:val="21"/>
                <w:highlight w:val="none"/>
              </w:rPr>
            </w:pPr>
            <w:r>
              <w:rPr>
                <w:rFonts w:hint="eastAsia" w:ascii="宋体" w:hAnsi="宋体"/>
                <w:color w:val="auto"/>
                <w:szCs w:val="21"/>
                <w:highlight w:val="none"/>
              </w:rPr>
              <w:t>13</w:t>
            </w:r>
          </w:p>
        </w:tc>
        <w:tc>
          <w:tcPr>
            <w:tcW w:w="1901" w:type="dxa"/>
            <w:vAlign w:val="center"/>
          </w:tcPr>
          <w:p w14:paraId="5DFEB90E">
            <w:pPr>
              <w:spacing w:line="360" w:lineRule="exact"/>
              <w:jc w:val="center"/>
              <w:rPr>
                <w:rFonts w:ascii="宋体" w:hAnsi="宋体"/>
                <w:color w:val="auto"/>
                <w:szCs w:val="21"/>
                <w:highlight w:val="none"/>
              </w:rPr>
            </w:pPr>
            <w:r>
              <w:rPr>
                <w:rFonts w:hint="eastAsia" w:ascii="宋体" w:hAnsi="宋体"/>
                <w:color w:val="auto"/>
                <w:szCs w:val="21"/>
                <w:highlight w:val="none"/>
              </w:rPr>
              <w:t>谈判报价及</w:t>
            </w:r>
            <w:r>
              <w:rPr>
                <w:rFonts w:hint="eastAsia" w:ascii="宋体" w:hAnsi="宋体"/>
                <w:color w:val="auto"/>
                <w:position w:val="-2"/>
                <w:szCs w:val="21"/>
                <w:highlight w:val="none"/>
              </w:rPr>
              <w:t>采购预算总金额</w:t>
            </w:r>
          </w:p>
        </w:tc>
        <w:tc>
          <w:tcPr>
            <w:tcW w:w="6462" w:type="dxa"/>
            <w:vAlign w:val="center"/>
          </w:tcPr>
          <w:p w14:paraId="37A4D3D2">
            <w:pPr>
              <w:spacing w:line="360" w:lineRule="exact"/>
              <w:rPr>
                <w:rFonts w:ascii="宋体" w:hAnsi="宋体"/>
                <w:color w:val="auto"/>
                <w:szCs w:val="21"/>
                <w:highlight w:val="none"/>
              </w:rPr>
            </w:pPr>
            <w:r>
              <w:rPr>
                <w:rFonts w:hint="eastAsia" w:ascii="宋体" w:hAnsi="宋体"/>
                <w:color w:val="auto"/>
                <w:szCs w:val="21"/>
                <w:highlight w:val="none"/>
              </w:rPr>
              <w:t>13.2 供应商必须就“采购需求”中公布的采购内容作完整唯一报价，否则，其响应文件无效。响应文件只允许有一个报价，有选择的或有条件的报价将不予接受。</w:t>
            </w:r>
          </w:p>
          <w:p w14:paraId="27BE9D04">
            <w:pPr>
              <w:spacing w:line="360" w:lineRule="exact"/>
              <w:rPr>
                <w:rFonts w:ascii="宋体" w:hAnsi="宋体"/>
                <w:color w:val="auto"/>
                <w:kern w:val="0"/>
                <w:szCs w:val="21"/>
                <w:highlight w:val="none"/>
              </w:rPr>
            </w:pPr>
            <w:r>
              <w:rPr>
                <w:rFonts w:hint="eastAsia" w:ascii="宋体" w:hAnsi="宋体"/>
                <w:color w:val="auto"/>
                <w:szCs w:val="21"/>
                <w:highlight w:val="none"/>
              </w:rPr>
              <w:t>13.5</w:t>
            </w:r>
            <w:r>
              <w:rPr>
                <w:rFonts w:hint="eastAsia" w:ascii="宋体" w:hAnsi="宋体"/>
                <w:color w:val="auto"/>
                <w:kern w:val="0"/>
                <w:szCs w:val="21"/>
                <w:highlight w:val="none"/>
              </w:rPr>
              <w:t>未退出谈判的</w:t>
            </w:r>
            <w:r>
              <w:rPr>
                <w:rFonts w:ascii="宋体" w:hAnsi="宋体"/>
                <w:color w:val="auto"/>
                <w:kern w:val="0"/>
                <w:szCs w:val="21"/>
                <w:highlight w:val="none"/>
              </w:rPr>
              <w:t>供应商在规定时间内</w:t>
            </w:r>
            <w:r>
              <w:rPr>
                <w:rFonts w:hint="eastAsia" w:ascii="宋体" w:hAnsi="宋体"/>
                <w:color w:val="auto"/>
                <w:kern w:val="0"/>
                <w:szCs w:val="21"/>
                <w:highlight w:val="none"/>
                <w:lang w:val="en-US" w:eastAsia="zh-CN"/>
              </w:rPr>
              <w:t>单独线上进行</w:t>
            </w:r>
            <w:r>
              <w:rPr>
                <w:rFonts w:hint="eastAsia" w:ascii="宋体" w:hAnsi="宋体"/>
                <w:color w:val="auto"/>
                <w:kern w:val="0"/>
                <w:szCs w:val="21"/>
                <w:highlight w:val="none"/>
              </w:rPr>
              <w:t>二次</w:t>
            </w:r>
            <w:r>
              <w:rPr>
                <w:rFonts w:ascii="宋体" w:hAnsi="宋体"/>
                <w:color w:val="auto"/>
                <w:kern w:val="0"/>
                <w:szCs w:val="21"/>
                <w:highlight w:val="none"/>
              </w:rPr>
              <w:t>报价</w:t>
            </w:r>
            <w:r>
              <w:rPr>
                <w:rFonts w:hint="eastAsia" w:ascii="宋体" w:hAnsi="宋体"/>
                <w:color w:val="auto"/>
                <w:kern w:val="0"/>
                <w:szCs w:val="21"/>
                <w:highlight w:val="none"/>
              </w:rPr>
              <w:t>，其二次报价超出采购预算导致已通过评审的响应文件无效的，按供应商在提交响应文件截止时间后撤回响应文件处理。</w:t>
            </w:r>
          </w:p>
          <w:p w14:paraId="1DB44B06">
            <w:pPr>
              <w:spacing w:line="360" w:lineRule="exact"/>
              <w:rPr>
                <w:rFonts w:ascii="宋体" w:hAnsi="宋体"/>
                <w:color w:val="auto"/>
                <w:szCs w:val="21"/>
                <w:highlight w:val="none"/>
              </w:rPr>
            </w:pPr>
            <w:r>
              <w:rPr>
                <w:rFonts w:hint="eastAsia" w:ascii="宋体" w:hAnsi="宋体"/>
                <w:color w:val="auto"/>
                <w:szCs w:val="21"/>
                <w:highlight w:val="none"/>
              </w:rPr>
              <w:t>13.6本项目政府采购预算金额（人民币）：</w:t>
            </w:r>
            <w:r>
              <w:rPr>
                <w:rFonts w:hint="eastAsia" w:ascii="宋体" w:hAnsi="宋体"/>
                <w:color w:val="auto"/>
                <w:szCs w:val="21"/>
                <w:highlight w:val="none"/>
                <w:lang w:val="en-US" w:eastAsia="zh-CN"/>
              </w:rPr>
              <w:t>630000元</w:t>
            </w:r>
            <w:r>
              <w:rPr>
                <w:rFonts w:hint="eastAsia" w:ascii="宋体" w:hAnsi="宋体"/>
                <w:color w:val="auto"/>
                <w:szCs w:val="21"/>
                <w:highlight w:val="none"/>
              </w:rPr>
              <w:t>，超出采购预算金额响应文件作无效处理。</w:t>
            </w:r>
          </w:p>
        </w:tc>
      </w:tr>
      <w:tr w14:paraId="59625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534" w:type="dxa"/>
            <w:vAlign w:val="center"/>
          </w:tcPr>
          <w:p w14:paraId="3FF9A570">
            <w:pPr>
              <w:spacing w:line="360" w:lineRule="exact"/>
              <w:jc w:val="center"/>
              <w:rPr>
                <w:rFonts w:ascii="宋体" w:hAnsi="宋体"/>
                <w:color w:val="auto"/>
                <w:szCs w:val="21"/>
                <w:highlight w:val="none"/>
              </w:rPr>
            </w:pPr>
            <w:r>
              <w:rPr>
                <w:rFonts w:hint="eastAsia" w:ascii="宋体" w:hAnsi="宋体"/>
                <w:color w:val="auto"/>
                <w:szCs w:val="21"/>
                <w:highlight w:val="none"/>
              </w:rPr>
              <w:t>6</w:t>
            </w:r>
          </w:p>
        </w:tc>
        <w:tc>
          <w:tcPr>
            <w:tcW w:w="992" w:type="dxa"/>
            <w:vAlign w:val="center"/>
          </w:tcPr>
          <w:p w14:paraId="0F2864AE">
            <w:pPr>
              <w:spacing w:line="360" w:lineRule="exact"/>
              <w:jc w:val="center"/>
              <w:rPr>
                <w:rFonts w:ascii="宋体" w:hAnsi="宋体"/>
                <w:color w:val="auto"/>
                <w:szCs w:val="21"/>
                <w:highlight w:val="none"/>
              </w:rPr>
            </w:pPr>
            <w:r>
              <w:rPr>
                <w:rFonts w:hint="eastAsia" w:ascii="宋体" w:hAnsi="宋体"/>
                <w:color w:val="auto"/>
                <w:szCs w:val="21"/>
                <w:highlight w:val="none"/>
              </w:rPr>
              <w:t>14.1</w:t>
            </w:r>
          </w:p>
        </w:tc>
        <w:tc>
          <w:tcPr>
            <w:tcW w:w="1901" w:type="dxa"/>
            <w:vAlign w:val="center"/>
          </w:tcPr>
          <w:p w14:paraId="5C5D94D1">
            <w:pPr>
              <w:spacing w:line="360" w:lineRule="exact"/>
              <w:jc w:val="center"/>
              <w:rPr>
                <w:rFonts w:ascii="宋体" w:hAnsi="宋体"/>
                <w:color w:val="auto"/>
                <w:position w:val="-2"/>
                <w:szCs w:val="21"/>
                <w:highlight w:val="none"/>
              </w:rPr>
            </w:pPr>
            <w:r>
              <w:rPr>
                <w:rFonts w:hint="eastAsia" w:ascii="宋体" w:hAnsi="宋体"/>
                <w:color w:val="auto"/>
                <w:position w:val="-2"/>
                <w:szCs w:val="21"/>
                <w:highlight w:val="none"/>
              </w:rPr>
              <w:t>响应文件有效期</w:t>
            </w:r>
          </w:p>
        </w:tc>
        <w:tc>
          <w:tcPr>
            <w:tcW w:w="6462" w:type="dxa"/>
            <w:vAlign w:val="center"/>
          </w:tcPr>
          <w:p w14:paraId="390D9B0D">
            <w:pPr>
              <w:spacing w:line="360" w:lineRule="exact"/>
              <w:rPr>
                <w:rFonts w:ascii="宋体" w:hAnsi="宋体"/>
                <w:color w:val="auto"/>
                <w:szCs w:val="21"/>
                <w:highlight w:val="none"/>
              </w:rPr>
            </w:pPr>
            <w:r>
              <w:rPr>
                <w:rFonts w:hint="eastAsia" w:ascii="宋体" w:hAnsi="宋体"/>
                <w:color w:val="auto"/>
                <w:szCs w:val="21"/>
                <w:highlight w:val="none"/>
              </w:rPr>
              <w:t>响应文件递交截止时间之日起90天，有效期不足的响应文件将被拒绝。</w:t>
            </w:r>
          </w:p>
        </w:tc>
      </w:tr>
      <w:tr w14:paraId="56811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534" w:type="dxa"/>
            <w:vAlign w:val="center"/>
          </w:tcPr>
          <w:p w14:paraId="6626547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olor w:val="auto"/>
                <w:szCs w:val="21"/>
                <w:highlight w:val="none"/>
              </w:rPr>
            </w:pPr>
          </w:p>
          <w:p w14:paraId="1F8F7D8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olor w:val="auto"/>
                <w:szCs w:val="21"/>
                <w:highlight w:val="none"/>
              </w:rPr>
            </w:pPr>
            <w:r>
              <w:rPr>
                <w:rFonts w:hint="eastAsia" w:ascii="宋体" w:hAnsi="宋体"/>
                <w:color w:val="auto"/>
                <w:szCs w:val="21"/>
                <w:highlight w:val="none"/>
              </w:rPr>
              <w:t>7</w:t>
            </w:r>
          </w:p>
          <w:p w14:paraId="1056D16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olor w:val="auto"/>
                <w:szCs w:val="21"/>
                <w:highlight w:val="none"/>
              </w:rPr>
            </w:pPr>
          </w:p>
        </w:tc>
        <w:tc>
          <w:tcPr>
            <w:tcW w:w="992" w:type="dxa"/>
            <w:vAlign w:val="center"/>
          </w:tcPr>
          <w:p w14:paraId="5255A0F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olor w:val="auto"/>
                <w:szCs w:val="21"/>
                <w:highlight w:val="none"/>
              </w:rPr>
            </w:pPr>
            <w:r>
              <w:rPr>
                <w:rFonts w:hint="eastAsia" w:ascii="宋体" w:hAnsi="宋体"/>
                <w:color w:val="auto"/>
                <w:szCs w:val="21"/>
                <w:highlight w:val="none"/>
              </w:rPr>
              <w:t>15</w:t>
            </w:r>
          </w:p>
        </w:tc>
        <w:tc>
          <w:tcPr>
            <w:tcW w:w="1901" w:type="dxa"/>
            <w:vAlign w:val="center"/>
          </w:tcPr>
          <w:p w14:paraId="5936A46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olor w:val="auto"/>
                <w:szCs w:val="21"/>
                <w:highlight w:val="none"/>
              </w:rPr>
            </w:pPr>
            <w:r>
              <w:rPr>
                <w:rFonts w:hint="eastAsia" w:ascii="宋体" w:hAnsi="宋体"/>
                <w:color w:val="auto"/>
                <w:szCs w:val="21"/>
                <w:highlight w:val="none"/>
              </w:rPr>
              <w:t>谈判保证金</w:t>
            </w:r>
          </w:p>
        </w:tc>
        <w:tc>
          <w:tcPr>
            <w:tcW w:w="6462" w:type="dxa"/>
            <w:vAlign w:val="top"/>
          </w:tcPr>
          <w:p w14:paraId="09BF8487">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□不要求递交保证金</w:t>
            </w:r>
          </w:p>
          <w:p w14:paraId="2CFB1F18">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eq \o\ac(</w:instrText>
            </w:r>
            <w:r>
              <w:rPr>
                <w:rFonts w:hint="eastAsia" w:asciiTheme="minorEastAsia" w:hAnsiTheme="minorEastAsia" w:eastAsiaTheme="minorEastAsia" w:cstheme="minorEastAsia"/>
                <w:color w:val="auto"/>
                <w:position w:val="-4"/>
                <w:sz w:val="31"/>
                <w:szCs w:val="21"/>
                <w:highlight w:val="none"/>
              </w:rPr>
              <w:instrText xml:space="preserve">□</w:instrText>
            </w:r>
            <w:r>
              <w:rPr>
                <w:rFonts w:hint="eastAsia" w:asciiTheme="minorEastAsia" w:hAnsiTheme="minorEastAsia" w:eastAsiaTheme="minorEastAsia" w:cstheme="minorEastAsia"/>
                <w:color w:val="auto"/>
                <w:position w:val="0"/>
                <w:sz w:val="21"/>
                <w:szCs w:val="21"/>
                <w:highlight w:val="none"/>
              </w:rPr>
              <w:instrText xml:space="preserve">,√)</w:instrText>
            </w:r>
            <w:r>
              <w:rPr>
                <w:rFonts w:hint="eastAsia" w:asciiTheme="minorEastAsia" w:hAnsiTheme="minorEastAsia" w:eastAsiaTheme="minorEastAsia" w:cstheme="minorEastAsia"/>
                <w:color w:val="auto"/>
                <w:sz w:val="21"/>
                <w:szCs w:val="21"/>
                <w:highlight w:val="none"/>
              </w:rPr>
              <w:fldChar w:fldCharType="end"/>
            </w:r>
            <w:r>
              <w:rPr>
                <w:rFonts w:hint="eastAsia" w:asciiTheme="minorEastAsia" w:hAnsiTheme="minorEastAsia" w:eastAsiaTheme="minorEastAsia" w:cstheme="minorEastAsia"/>
                <w:color w:val="auto"/>
                <w:sz w:val="21"/>
                <w:szCs w:val="21"/>
                <w:highlight w:val="none"/>
              </w:rPr>
              <w:t>要求递交保证金</w:t>
            </w:r>
          </w:p>
          <w:p w14:paraId="493B8EA0">
            <w:pPr>
              <w:pStyle w:val="33"/>
              <w:spacing w:line="240" w:lineRule="auto"/>
              <w:ind w:left="0" w:leftChars="0" w:firstLine="0" w:firstLine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保证金的金额：</w:t>
            </w:r>
            <w:r>
              <w:rPr>
                <w:rFonts w:hint="eastAsia" w:asciiTheme="minorEastAsia" w:hAnsiTheme="minorEastAsia" w:eastAsiaTheme="minorEastAsia" w:cstheme="minorEastAsia"/>
                <w:color w:val="auto"/>
                <w:sz w:val="21"/>
                <w:szCs w:val="21"/>
                <w:highlight w:val="none"/>
                <w:lang w:val="en-US" w:eastAsia="zh-CN"/>
              </w:rPr>
              <w:t>6000</w:t>
            </w:r>
            <w:r>
              <w:rPr>
                <w:rFonts w:hint="eastAsia" w:asciiTheme="minorEastAsia" w:hAnsiTheme="minorEastAsia" w:eastAsiaTheme="minorEastAsia" w:cstheme="minorEastAsia"/>
                <w:color w:val="auto"/>
                <w:sz w:val="21"/>
                <w:szCs w:val="21"/>
                <w:highlight w:val="none"/>
              </w:rPr>
              <w:t>元整。</w:t>
            </w:r>
          </w:p>
          <w:p w14:paraId="2183B672">
            <w:pPr>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递交方式：投标人须在投标截止时间前（北京时间，以实际到账时间为准）将投标保证金存入招标代理机构指定账户，银行对账单或电汇凭证等凭证上应明确用途（投标保证金）、项目编号（见公告）、投标人名称，以便核对查实。</w:t>
            </w:r>
          </w:p>
          <w:p w14:paraId="38F109C1">
            <w:pPr>
              <w:adjustRightInd w:val="0"/>
              <w:snapToGrid w:val="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收 款 人：</w:t>
            </w:r>
            <w:r>
              <w:rPr>
                <w:rFonts w:hint="eastAsia" w:asciiTheme="minorEastAsia" w:hAnsiTheme="minorEastAsia" w:eastAsiaTheme="minorEastAsia" w:cstheme="minorEastAsia"/>
                <w:color w:val="auto"/>
                <w:sz w:val="21"/>
                <w:szCs w:val="21"/>
                <w:highlight w:val="none"/>
                <w:lang w:eastAsia="zh-CN"/>
              </w:rPr>
              <w:t>敦化市宏远建设项目管理有限责任公司</w:t>
            </w:r>
          </w:p>
          <w:p w14:paraId="2E17228E">
            <w:pPr>
              <w:adjustRightInd w:val="0"/>
              <w:snapToGrid w:val="0"/>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开户银行：</w:t>
            </w:r>
            <w:r>
              <w:rPr>
                <w:rFonts w:hint="eastAsia" w:asciiTheme="minorEastAsia" w:hAnsiTheme="minorEastAsia" w:eastAsiaTheme="minorEastAsia" w:cstheme="minorEastAsia"/>
                <w:color w:val="auto"/>
                <w:sz w:val="21"/>
                <w:szCs w:val="21"/>
                <w:highlight w:val="none"/>
                <w:lang w:eastAsia="zh-CN"/>
              </w:rPr>
              <w:t>中国建设银行敦化市支行</w:t>
            </w:r>
          </w:p>
          <w:p w14:paraId="0C810BD0">
            <w:pPr>
              <w:adjustRightInd w:val="0"/>
              <w:snapToGrid w:val="0"/>
              <w:jc w:val="left"/>
              <w:rPr>
                <w:rFonts w:hint="eastAsia" w:ascii="宋体" w:hAnsi="宋体"/>
                <w:color w:val="auto"/>
                <w:sz w:val="21"/>
                <w:szCs w:val="21"/>
                <w:highlight w:val="none"/>
              </w:rPr>
            </w:pPr>
            <w:r>
              <w:rPr>
                <w:rFonts w:hint="eastAsia" w:asciiTheme="minorEastAsia" w:hAnsiTheme="minorEastAsia" w:eastAsiaTheme="minorEastAsia" w:cstheme="minorEastAsia"/>
                <w:color w:val="auto"/>
                <w:sz w:val="21"/>
                <w:szCs w:val="21"/>
                <w:highlight w:val="none"/>
              </w:rPr>
              <w:t>账    号：</w:t>
            </w:r>
            <w:r>
              <w:rPr>
                <w:rFonts w:hint="eastAsia"/>
                <w:lang w:eastAsia="zh-CN"/>
              </w:rPr>
              <w:t>22001686338059658888</w:t>
            </w:r>
          </w:p>
        </w:tc>
      </w:tr>
      <w:tr w14:paraId="3529E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4" w:type="dxa"/>
            <w:vAlign w:val="center"/>
          </w:tcPr>
          <w:p w14:paraId="2CFA94D5">
            <w:pPr>
              <w:spacing w:line="360" w:lineRule="exact"/>
              <w:jc w:val="center"/>
              <w:rPr>
                <w:rFonts w:ascii="宋体" w:hAnsi="宋体"/>
                <w:color w:val="auto"/>
                <w:szCs w:val="21"/>
                <w:highlight w:val="none"/>
              </w:rPr>
            </w:pPr>
            <w:r>
              <w:rPr>
                <w:rFonts w:hint="eastAsia" w:ascii="宋体" w:hAnsi="宋体"/>
                <w:color w:val="auto"/>
                <w:szCs w:val="21"/>
                <w:highlight w:val="none"/>
              </w:rPr>
              <w:t>8</w:t>
            </w:r>
          </w:p>
        </w:tc>
        <w:tc>
          <w:tcPr>
            <w:tcW w:w="992" w:type="dxa"/>
            <w:vAlign w:val="center"/>
          </w:tcPr>
          <w:p w14:paraId="3D270F53">
            <w:pPr>
              <w:spacing w:line="360" w:lineRule="exact"/>
              <w:jc w:val="center"/>
              <w:rPr>
                <w:rFonts w:ascii="宋体" w:hAnsi="宋体"/>
                <w:color w:val="auto"/>
                <w:szCs w:val="21"/>
                <w:highlight w:val="none"/>
              </w:rPr>
            </w:pPr>
            <w:r>
              <w:rPr>
                <w:rFonts w:hint="eastAsia" w:ascii="宋体" w:hAnsi="宋体"/>
                <w:color w:val="auto"/>
                <w:szCs w:val="21"/>
                <w:highlight w:val="none"/>
              </w:rPr>
              <w:t>16</w:t>
            </w:r>
          </w:p>
        </w:tc>
        <w:tc>
          <w:tcPr>
            <w:tcW w:w="1901" w:type="dxa"/>
            <w:vAlign w:val="center"/>
          </w:tcPr>
          <w:p w14:paraId="0BE2CB45">
            <w:pPr>
              <w:spacing w:line="360" w:lineRule="exact"/>
              <w:jc w:val="center"/>
              <w:rPr>
                <w:rFonts w:ascii="宋体" w:hAnsi="宋体"/>
                <w:color w:val="auto"/>
                <w:szCs w:val="21"/>
                <w:highlight w:val="none"/>
              </w:rPr>
            </w:pPr>
            <w:r>
              <w:rPr>
                <w:rFonts w:hint="eastAsia" w:ascii="宋体" w:hAnsi="宋体"/>
                <w:color w:val="auto"/>
                <w:szCs w:val="21"/>
                <w:highlight w:val="none"/>
              </w:rPr>
              <w:t>响应文件份数</w:t>
            </w:r>
          </w:p>
        </w:tc>
        <w:tc>
          <w:tcPr>
            <w:tcW w:w="6462" w:type="dxa"/>
            <w:vAlign w:val="center"/>
          </w:tcPr>
          <w:p w14:paraId="36E40B61">
            <w:pPr>
              <w:spacing w:line="360" w:lineRule="exact"/>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不适用</w:t>
            </w:r>
          </w:p>
        </w:tc>
      </w:tr>
      <w:tr w14:paraId="3BEBB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534" w:type="dxa"/>
            <w:vAlign w:val="center"/>
          </w:tcPr>
          <w:p w14:paraId="04E8B0C0">
            <w:pPr>
              <w:spacing w:line="360" w:lineRule="exact"/>
              <w:jc w:val="center"/>
              <w:rPr>
                <w:rFonts w:ascii="宋体" w:hAnsi="宋体"/>
                <w:color w:val="auto"/>
                <w:szCs w:val="21"/>
                <w:highlight w:val="none"/>
              </w:rPr>
            </w:pPr>
            <w:r>
              <w:rPr>
                <w:rFonts w:hint="eastAsia" w:ascii="宋体" w:hAnsi="宋体"/>
                <w:color w:val="auto"/>
                <w:szCs w:val="21"/>
                <w:highlight w:val="none"/>
              </w:rPr>
              <w:t>9</w:t>
            </w:r>
          </w:p>
        </w:tc>
        <w:tc>
          <w:tcPr>
            <w:tcW w:w="992" w:type="dxa"/>
            <w:vAlign w:val="center"/>
          </w:tcPr>
          <w:p w14:paraId="06F78ABB">
            <w:pPr>
              <w:spacing w:line="360" w:lineRule="exact"/>
              <w:jc w:val="center"/>
              <w:rPr>
                <w:rFonts w:ascii="宋体" w:hAnsi="宋体"/>
                <w:color w:val="auto"/>
                <w:szCs w:val="21"/>
                <w:highlight w:val="none"/>
              </w:rPr>
            </w:pPr>
            <w:r>
              <w:rPr>
                <w:rFonts w:hint="eastAsia" w:ascii="宋体" w:hAnsi="宋体"/>
                <w:color w:val="auto"/>
                <w:szCs w:val="21"/>
                <w:highlight w:val="none"/>
              </w:rPr>
              <w:t>16.2</w:t>
            </w:r>
          </w:p>
        </w:tc>
        <w:tc>
          <w:tcPr>
            <w:tcW w:w="1901" w:type="dxa"/>
            <w:vAlign w:val="center"/>
          </w:tcPr>
          <w:p w14:paraId="60EF685C">
            <w:pPr>
              <w:spacing w:line="360" w:lineRule="exact"/>
              <w:jc w:val="center"/>
              <w:rPr>
                <w:rFonts w:ascii="宋体" w:hAnsi="宋体"/>
                <w:color w:val="auto"/>
                <w:szCs w:val="21"/>
                <w:highlight w:val="none"/>
              </w:rPr>
            </w:pPr>
            <w:r>
              <w:rPr>
                <w:rFonts w:hint="eastAsia" w:ascii="宋体" w:hAnsi="宋体"/>
                <w:color w:val="auto"/>
                <w:szCs w:val="21"/>
                <w:highlight w:val="none"/>
              </w:rPr>
              <w:t>响应文件要求</w:t>
            </w:r>
          </w:p>
        </w:tc>
        <w:tc>
          <w:tcPr>
            <w:tcW w:w="6462" w:type="dxa"/>
          </w:tcPr>
          <w:p w14:paraId="162BFAA4">
            <w:pPr>
              <w:spacing w:line="360" w:lineRule="exact"/>
              <w:rPr>
                <w:rFonts w:ascii="宋体" w:hAnsi="宋体"/>
                <w:color w:val="auto"/>
                <w:szCs w:val="21"/>
                <w:highlight w:val="none"/>
              </w:rPr>
            </w:pPr>
            <w:r>
              <w:rPr>
                <w:rFonts w:hint="eastAsia" w:ascii="宋体" w:hAnsi="宋体"/>
                <w:color w:val="auto"/>
                <w:szCs w:val="21"/>
                <w:highlight w:val="none"/>
              </w:rPr>
              <w:t>供应商应按供应商须知第11.1条“响应文件组成”规定的顺序自编目录及页码，响应文件的“正本”、“副本”应当单独装订成册并标注页码，装订应牢固，不易拆散和换页。封面应注明“正本”、“副本”字样，封面上写明项目名称、项目编号、</w:t>
            </w:r>
            <w:r>
              <w:rPr>
                <w:rFonts w:hint="eastAsia" w:ascii="宋体" w:hAnsi="宋体"/>
                <w:color w:val="auto"/>
                <w:szCs w:val="21"/>
                <w:highlight w:val="none"/>
                <w:lang w:val="en-US" w:eastAsia="zh-CN"/>
              </w:rPr>
              <w:t>采购人</w:t>
            </w:r>
            <w:r>
              <w:rPr>
                <w:rFonts w:hint="eastAsia" w:ascii="宋体" w:hAnsi="宋体"/>
                <w:color w:val="auto"/>
                <w:szCs w:val="21"/>
                <w:highlight w:val="none"/>
              </w:rPr>
              <w:t>、供应商单位名称</w:t>
            </w:r>
            <w:r>
              <w:rPr>
                <w:rFonts w:hint="eastAsia" w:ascii="宋体" w:hAnsi="宋体"/>
                <w:color w:val="auto"/>
                <w:szCs w:val="21"/>
                <w:highlight w:val="none"/>
                <w:lang w:eastAsia="zh-CN"/>
              </w:rPr>
              <w:t>、</w:t>
            </w:r>
            <w:r>
              <w:rPr>
                <w:rFonts w:hint="eastAsia" w:ascii="宋体" w:hAnsi="宋体"/>
                <w:color w:val="auto"/>
                <w:szCs w:val="21"/>
                <w:highlight w:val="none"/>
              </w:rPr>
              <w:t>供应商</w:t>
            </w:r>
            <w:r>
              <w:rPr>
                <w:rFonts w:hint="eastAsia" w:ascii="宋体" w:hAnsi="宋体"/>
                <w:color w:val="auto"/>
                <w:szCs w:val="21"/>
                <w:highlight w:val="none"/>
                <w:lang w:eastAsia="zh-CN"/>
              </w:rPr>
              <w:t>地址、法定代表人签字盖章、</w:t>
            </w:r>
            <w:r>
              <w:rPr>
                <w:rFonts w:hint="eastAsia" w:ascii="宋体" w:hAnsi="宋体"/>
                <w:color w:val="auto"/>
                <w:szCs w:val="21"/>
                <w:highlight w:val="none"/>
                <w:lang w:val="en-US" w:eastAsia="zh-CN"/>
              </w:rPr>
              <w:t>日期</w:t>
            </w:r>
            <w:r>
              <w:rPr>
                <w:rFonts w:hint="eastAsia" w:ascii="宋体" w:hAnsi="宋体"/>
                <w:color w:val="auto"/>
                <w:szCs w:val="21"/>
                <w:highlight w:val="none"/>
                <w:lang w:eastAsia="zh-CN"/>
              </w:rPr>
              <w:t>等内容组成。</w:t>
            </w:r>
          </w:p>
        </w:tc>
      </w:tr>
      <w:tr w14:paraId="2D73A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14:paraId="24B3BB5F">
            <w:pPr>
              <w:spacing w:line="360" w:lineRule="exact"/>
              <w:jc w:val="center"/>
              <w:rPr>
                <w:rFonts w:ascii="宋体" w:hAnsi="宋体"/>
                <w:color w:val="auto"/>
                <w:szCs w:val="21"/>
                <w:highlight w:val="none"/>
              </w:rPr>
            </w:pPr>
            <w:r>
              <w:rPr>
                <w:rFonts w:hint="eastAsia" w:ascii="宋体" w:hAnsi="宋体"/>
                <w:color w:val="auto"/>
                <w:szCs w:val="21"/>
                <w:highlight w:val="none"/>
              </w:rPr>
              <w:t>10</w:t>
            </w:r>
          </w:p>
        </w:tc>
        <w:tc>
          <w:tcPr>
            <w:tcW w:w="992" w:type="dxa"/>
            <w:vAlign w:val="center"/>
          </w:tcPr>
          <w:p w14:paraId="53531A79">
            <w:pPr>
              <w:spacing w:line="360" w:lineRule="exact"/>
              <w:jc w:val="center"/>
              <w:rPr>
                <w:rFonts w:ascii="宋体" w:hAnsi="宋体"/>
                <w:color w:val="auto"/>
                <w:szCs w:val="21"/>
                <w:highlight w:val="none"/>
              </w:rPr>
            </w:pPr>
            <w:r>
              <w:rPr>
                <w:rFonts w:hint="eastAsia" w:ascii="宋体" w:hAnsi="宋体"/>
                <w:color w:val="auto"/>
                <w:szCs w:val="21"/>
                <w:highlight w:val="none"/>
              </w:rPr>
              <w:t>16.6</w:t>
            </w:r>
          </w:p>
        </w:tc>
        <w:tc>
          <w:tcPr>
            <w:tcW w:w="1901" w:type="dxa"/>
            <w:vAlign w:val="center"/>
          </w:tcPr>
          <w:p w14:paraId="0BD40413">
            <w:pPr>
              <w:spacing w:line="360" w:lineRule="exact"/>
              <w:jc w:val="center"/>
              <w:rPr>
                <w:rFonts w:ascii="宋体" w:hAnsi="宋体"/>
                <w:color w:val="auto"/>
                <w:szCs w:val="21"/>
                <w:highlight w:val="none"/>
              </w:rPr>
            </w:pPr>
            <w:r>
              <w:rPr>
                <w:rFonts w:hint="eastAsia" w:ascii="宋体" w:hAnsi="宋体"/>
                <w:color w:val="auto"/>
                <w:szCs w:val="21"/>
                <w:highlight w:val="none"/>
              </w:rPr>
              <w:t>响应文件包装标记</w:t>
            </w:r>
          </w:p>
        </w:tc>
        <w:tc>
          <w:tcPr>
            <w:tcW w:w="6462" w:type="dxa"/>
            <w:vAlign w:val="center"/>
          </w:tcPr>
          <w:p w14:paraId="5CBA4E2E">
            <w:pPr>
              <w:spacing w:line="360" w:lineRule="exact"/>
              <w:rPr>
                <w:rFonts w:hint="default" w:ascii="宋体" w:hAnsi="宋体" w:eastAsia="宋体"/>
                <w:color w:val="auto"/>
                <w:spacing w:val="-4"/>
                <w:szCs w:val="21"/>
                <w:highlight w:val="none"/>
                <w:lang w:val="en-US" w:eastAsia="zh-CN"/>
              </w:rPr>
            </w:pPr>
            <w:r>
              <w:rPr>
                <w:rFonts w:hint="eastAsia" w:ascii="宋体" w:hAnsi="宋体"/>
                <w:color w:val="auto"/>
                <w:spacing w:val="-4"/>
                <w:szCs w:val="21"/>
                <w:highlight w:val="none"/>
                <w:lang w:val="en-US" w:eastAsia="zh-CN"/>
              </w:rPr>
              <w:t>无</w:t>
            </w:r>
          </w:p>
        </w:tc>
      </w:tr>
      <w:tr w14:paraId="4C510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534" w:type="dxa"/>
            <w:vAlign w:val="center"/>
          </w:tcPr>
          <w:p w14:paraId="007ACFC3">
            <w:pPr>
              <w:spacing w:line="360" w:lineRule="exact"/>
              <w:jc w:val="center"/>
              <w:rPr>
                <w:rFonts w:ascii="宋体" w:hAnsi="宋体"/>
                <w:color w:val="auto"/>
                <w:szCs w:val="21"/>
                <w:highlight w:val="none"/>
              </w:rPr>
            </w:pPr>
            <w:r>
              <w:rPr>
                <w:rFonts w:hint="eastAsia" w:ascii="宋体" w:hAnsi="宋体"/>
                <w:color w:val="auto"/>
                <w:szCs w:val="21"/>
                <w:highlight w:val="none"/>
              </w:rPr>
              <w:t>11</w:t>
            </w:r>
          </w:p>
        </w:tc>
        <w:tc>
          <w:tcPr>
            <w:tcW w:w="992" w:type="dxa"/>
            <w:vAlign w:val="center"/>
          </w:tcPr>
          <w:p w14:paraId="66350E05">
            <w:pPr>
              <w:spacing w:line="360" w:lineRule="exact"/>
              <w:jc w:val="center"/>
              <w:rPr>
                <w:rFonts w:ascii="宋体" w:hAnsi="宋体"/>
                <w:color w:val="auto"/>
                <w:szCs w:val="21"/>
                <w:highlight w:val="none"/>
              </w:rPr>
            </w:pPr>
            <w:r>
              <w:rPr>
                <w:rFonts w:hint="eastAsia" w:ascii="宋体" w:hAnsi="宋体"/>
                <w:color w:val="auto"/>
                <w:szCs w:val="21"/>
                <w:highlight w:val="none"/>
              </w:rPr>
              <w:t>16.7</w:t>
            </w:r>
          </w:p>
        </w:tc>
        <w:tc>
          <w:tcPr>
            <w:tcW w:w="1901" w:type="dxa"/>
            <w:vAlign w:val="center"/>
          </w:tcPr>
          <w:p w14:paraId="7E5F5C80">
            <w:pPr>
              <w:spacing w:line="360" w:lineRule="exact"/>
              <w:jc w:val="center"/>
              <w:rPr>
                <w:rFonts w:ascii="宋体" w:hAnsi="宋体"/>
                <w:color w:val="auto"/>
                <w:szCs w:val="21"/>
                <w:highlight w:val="none"/>
              </w:rPr>
            </w:pPr>
            <w:r>
              <w:rPr>
                <w:rFonts w:hint="eastAsia" w:ascii="宋体" w:hAnsi="宋体"/>
                <w:color w:val="auto"/>
                <w:szCs w:val="21"/>
                <w:highlight w:val="none"/>
              </w:rPr>
              <w:t>供应商公章</w:t>
            </w:r>
          </w:p>
        </w:tc>
        <w:tc>
          <w:tcPr>
            <w:tcW w:w="6462" w:type="dxa"/>
            <w:vAlign w:val="center"/>
          </w:tcPr>
          <w:p w14:paraId="10405CF4">
            <w:pPr>
              <w:spacing w:line="360" w:lineRule="exact"/>
              <w:rPr>
                <w:rFonts w:ascii="宋体" w:hAnsi="宋体"/>
                <w:color w:val="auto"/>
                <w:szCs w:val="21"/>
                <w:highlight w:val="none"/>
              </w:rPr>
            </w:pPr>
            <w:r>
              <w:rPr>
                <w:rFonts w:ascii="宋体" w:hAnsi="宋体" w:cs="宋体"/>
                <w:color w:val="auto"/>
                <w:szCs w:val="21"/>
                <w:highlight w:val="none"/>
              </w:rPr>
              <w:t>本</w:t>
            </w:r>
            <w:r>
              <w:rPr>
                <w:rFonts w:hint="eastAsia" w:ascii="宋体" w:hAnsi="宋体" w:cs="宋体"/>
                <w:color w:val="auto"/>
                <w:szCs w:val="21"/>
                <w:highlight w:val="none"/>
              </w:rPr>
              <w:t>竞争性谈判文件</w:t>
            </w:r>
            <w:r>
              <w:rPr>
                <w:rFonts w:ascii="宋体" w:hAnsi="宋体" w:cs="宋体"/>
                <w:color w:val="auto"/>
                <w:szCs w:val="21"/>
                <w:highlight w:val="none"/>
              </w:rPr>
              <w:t>中描述</w:t>
            </w:r>
            <w:r>
              <w:rPr>
                <w:rFonts w:hint="eastAsia" w:ascii="宋体" w:hAnsi="宋体" w:cs="宋体"/>
                <w:color w:val="auto"/>
                <w:szCs w:val="21"/>
                <w:highlight w:val="none"/>
              </w:rPr>
              <w:t>供应商</w:t>
            </w:r>
            <w:r>
              <w:rPr>
                <w:rFonts w:ascii="宋体" w:hAnsi="宋体" w:cs="宋体"/>
                <w:color w:val="auto"/>
                <w:szCs w:val="21"/>
                <w:highlight w:val="none"/>
              </w:rPr>
              <w:t>的“公章”是指根据我国对公章的管理规定，用</w:t>
            </w:r>
            <w:r>
              <w:rPr>
                <w:rFonts w:hint="eastAsia" w:ascii="宋体" w:hAnsi="宋体" w:cs="宋体"/>
                <w:color w:val="auto"/>
                <w:szCs w:val="21"/>
                <w:highlight w:val="none"/>
              </w:rPr>
              <w:t>供应商</w:t>
            </w:r>
            <w:r>
              <w:rPr>
                <w:rFonts w:ascii="宋体" w:hAnsi="宋体" w:cs="宋体"/>
                <w:color w:val="auto"/>
                <w:szCs w:val="21"/>
                <w:highlight w:val="none"/>
              </w:rPr>
              <w:t>法定主体行为名称制作的印章，除本文件有特殊规定外，</w:t>
            </w:r>
            <w:r>
              <w:rPr>
                <w:rFonts w:hint="eastAsia" w:ascii="宋体" w:hAnsi="宋体" w:cs="宋体"/>
                <w:color w:val="auto"/>
                <w:szCs w:val="21"/>
                <w:highlight w:val="none"/>
              </w:rPr>
              <w:t>供应商</w:t>
            </w:r>
            <w:r>
              <w:rPr>
                <w:rFonts w:ascii="宋体" w:hAnsi="宋体" w:cs="宋体"/>
                <w:color w:val="auto"/>
                <w:szCs w:val="21"/>
                <w:highlight w:val="none"/>
              </w:rPr>
              <w:t>的财务章、部门章、分公司章、工会章、合同章、</w:t>
            </w:r>
            <w:r>
              <w:rPr>
                <w:rFonts w:hint="eastAsia" w:ascii="宋体" w:hAnsi="宋体" w:cs="宋体"/>
                <w:color w:val="auto"/>
                <w:szCs w:val="21"/>
                <w:highlight w:val="none"/>
              </w:rPr>
              <w:t>谈判</w:t>
            </w:r>
            <w:r>
              <w:rPr>
                <w:rFonts w:ascii="宋体" w:hAnsi="宋体" w:cs="宋体"/>
                <w:color w:val="auto"/>
                <w:szCs w:val="21"/>
                <w:highlight w:val="none"/>
              </w:rPr>
              <w:t>专用章、业务专用章及银行的转账章、现金收讫章、现金付讫章</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其他形式非正规公章</w:t>
            </w:r>
            <w:r>
              <w:rPr>
                <w:rFonts w:ascii="宋体" w:hAnsi="宋体" w:cs="宋体"/>
                <w:color w:val="auto"/>
                <w:szCs w:val="21"/>
                <w:highlight w:val="none"/>
              </w:rPr>
              <w:t>等其它形式印章均不能代替公章</w:t>
            </w:r>
            <w:r>
              <w:rPr>
                <w:rFonts w:hint="eastAsia" w:ascii="宋体" w:hAnsi="宋体" w:cs="宋体"/>
                <w:color w:val="auto"/>
                <w:szCs w:val="21"/>
                <w:highlight w:val="none"/>
              </w:rPr>
              <w:t>。</w:t>
            </w:r>
          </w:p>
        </w:tc>
      </w:tr>
      <w:tr w14:paraId="72E18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534" w:type="dxa"/>
            <w:vAlign w:val="center"/>
          </w:tcPr>
          <w:p w14:paraId="75AEADC6">
            <w:pPr>
              <w:spacing w:line="360" w:lineRule="exact"/>
              <w:jc w:val="center"/>
              <w:rPr>
                <w:rFonts w:ascii="宋体" w:hAnsi="宋体"/>
                <w:color w:val="auto"/>
                <w:szCs w:val="21"/>
                <w:highlight w:val="none"/>
              </w:rPr>
            </w:pPr>
            <w:r>
              <w:rPr>
                <w:rFonts w:hint="eastAsia" w:ascii="宋体" w:hAnsi="宋体"/>
                <w:color w:val="auto"/>
                <w:szCs w:val="21"/>
                <w:highlight w:val="none"/>
              </w:rPr>
              <w:t>12</w:t>
            </w:r>
          </w:p>
        </w:tc>
        <w:tc>
          <w:tcPr>
            <w:tcW w:w="992" w:type="dxa"/>
            <w:vAlign w:val="center"/>
          </w:tcPr>
          <w:p w14:paraId="5275CD0F">
            <w:pPr>
              <w:spacing w:line="360" w:lineRule="exact"/>
              <w:jc w:val="center"/>
              <w:rPr>
                <w:rFonts w:ascii="宋体" w:hAnsi="宋体"/>
                <w:color w:val="auto"/>
                <w:szCs w:val="21"/>
                <w:highlight w:val="none"/>
              </w:rPr>
            </w:pPr>
            <w:r>
              <w:rPr>
                <w:rFonts w:hint="eastAsia" w:ascii="宋体" w:hAnsi="宋体"/>
                <w:color w:val="auto"/>
                <w:szCs w:val="21"/>
                <w:highlight w:val="none"/>
              </w:rPr>
              <w:t>18.1</w:t>
            </w:r>
          </w:p>
        </w:tc>
        <w:tc>
          <w:tcPr>
            <w:tcW w:w="1901" w:type="dxa"/>
            <w:vAlign w:val="center"/>
          </w:tcPr>
          <w:p w14:paraId="28B8526E">
            <w:pPr>
              <w:spacing w:line="360" w:lineRule="exact"/>
              <w:jc w:val="center"/>
              <w:rPr>
                <w:rFonts w:ascii="宋体" w:hAnsi="宋体"/>
                <w:color w:val="auto"/>
                <w:szCs w:val="21"/>
                <w:highlight w:val="none"/>
              </w:rPr>
            </w:pPr>
            <w:r>
              <w:rPr>
                <w:rFonts w:hint="eastAsia" w:ascii="宋体" w:hAnsi="宋体"/>
                <w:color w:val="auto"/>
                <w:szCs w:val="21"/>
                <w:highlight w:val="none"/>
              </w:rPr>
              <w:t>响应文件递交截止时间</w:t>
            </w:r>
          </w:p>
        </w:tc>
        <w:tc>
          <w:tcPr>
            <w:tcW w:w="6462" w:type="dxa"/>
            <w:vAlign w:val="center"/>
          </w:tcPr>
          <w:p w14:paraId="70032DA3">
            <w:pPr>
              <w:spacing w:line="360" w:lineRule="exact"/>
              <w:rPr>
                <w:rFonts w:hint="default" w:ascii="宋体" w:hAnsi="宋体"/>
                <w:b/>
                <w:i w:val="0"/>
                <w:iCs w:val="0"/>
                <w:color w:val="auto"/>
                <w:szCs w:val="21"/>
                <w:highlight w:val="none"/>
                <w:lang w:val="en-US"/>
              </w:rPr>
            </w:pPr>
            <w:r>
              <w:rPr>
                <w:rFonts w:hint="eastAsia" w:ascii="宋体" w:hAnsi="宋体"/>
                <w:i w:val="0"/>
                <w:iCs w:val="0"/>
                <w:color w:val="auto"/>
                <w:szCs w:val="21"/>
                <w:highlight w:val="none"/>
              </w:rPr>
              <w:t>响应文件递交截止时间：</w:t>
            </w:r>
            <w:r>
              <w:rPr>
                <w:rFonts w:hint="eastAsia" w:ascii="宋体" w:hAnsi="宋体" w:cs="黑体"/>
                <w:b w:val="0"/>
                <w:color w:val="auto"/>
                <w:kern w:val="0"/>
                <w:sz w:val="21"/>
                <w:szCs w:val="21"/>
                <w:highlight w:val="none"/>
                <w:lang w:val="en-US" w:eastAsia="zh-CN"/>
              </w:rPr>
              <w:t>2025年07月07日08点30分。</w:t>
            </w:r>
          </w:p>
        </w:tc>
      </w:tr>
      <w:tr w14:paraId="1A44D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534" w:type="dxa"/>
            <w:vAlign w:val="center"/>
          </w:tcPr>
          <w:p w14:paraId="41C114EB">
            <w:pPr>
              <w:spacing w:line="360" w:lineRule="exact"/>
              <w:jc w:val="center"/>
              <w:rPr>
                <w:rFonts w:ascii="宋体" w:hAnsi="宋体"/>
                <w:color w:val="auto"/>
                <w:szCs w:val="21"/>
                <w:highlight w:val="none"/>
              </w:rPr>
            </w:pPr>
            <w:r>
              <w:rPr>
                <w:rFonts w:hint="eastAsia" w:ascii="宋体" w:hAnsi="宋体"/>
                <w:color w:val="auto"/>
                <w:szCs w:val="21"/>
                <w:highlight w:val="none"/>
              </w:rPr>
              <w:t>13</w:t>
            </w:r>
          </w:p>
        </w:tc>
        <w:tc>
          <w:tcPr>
            <w:tcW w:w="992" w:type="dxa"/>
            <w:vAlign w:val="center"/>
          </w:tcPr>
          <w:p w14:paraId="77AA52B3">
            <w:pPr>
              <w:spacing w:line="360" w:lineRule="exact"/>
              <w:jc w:val="center"/>
              <w:rPr>
                <w:rFonts w:ascii="宋体" w:hAnsi="宋体"/>
                <w:color w:val="auto"/>
                <w:position w:val="10"/>
                <w:szCs w:val="21"/>
                <w:highlight w:val="none"/>
              </w:rPr>
            </w:pPr>
            <w:r>
              <w:rPr>
                <w:rFonts w:hint="eastAsia" w:ascii="宋体" w:hAnsi="宋体"/>
                <w:color w:val="auto"/>
                <w:position w:val="10"/>
                <w:szCs w:val="21"/>
                <w:highlight w:val="none"/>
              </w:rPr>
              <w:t>18.2</w:t>
            </w:r>
          </w:p>
        </w:tc>
        <w:tc>
          <w:tcPr>
            <w:tcW w:w="1901" w:type="dxa"/>
            <w:vAlign w:val="center"/>
          </w:tcPr>
          <w:p w14:paraId="1875F0F7">
            <w:pPr>
              <w:spacing w:line="360" w:lineRule="exact"/>
              <w:jc w:val="center"/>
              <w:rPr>
                <w:rFonts w:ascii="宋体" w:hAnsi="宋体"/>
                <w:color w:val="auto"/>
                <w:position w:val="10"/>
                <w:szCs w:val="21"/>
                <w:highlight w:val="none"/>
              </w:rPr>
            </w:pPr>
            <w:r>
              <w:rPr>
                <w:rFonts w:hint="eastAsia" w:ascii="宋体" w:hAnsi="宋体"/>
                <w:color w:val="auto"/>
                <w:position w:val="-2"/>
                <w:szCs w:val="21"/>
                <w:highlight w:val="none"/>
                <w:lang w:val="en-US" w:eastAsia="zh-CN"/>
              </w:rPr>
              <w:t>纸质</w:t>
            </w:r>
            <w:r>
              <w:rPr>
                <w:rFonts w:hint="eastAsia" w:ascii="宋体" w:hAnsi="宋体"/>
                <w:color w:val="auto"/>
                <w:position w:val="-2"/>
                <w:szCs w:val="21"/>
                <w:highlight w:val="none"/>
              </w:rPr>
              <w:t>响应文件递交地点</w:t>
            </w:r>
          </w:p>
        </w:tc>
        <w:tc>
          <w:tcPr>
            <w:tcW w:w="6462" w:type="dxa"/>
            <w:vAlign w:val="center"/>
          </w:tcPr>
          <w:p w14:paraId="59B5770D">
            <w:pPr>
              <w:spacing w:line="360" w:lineRule="exact"/>
              <w:rPr>
                <w:rFonts w:hint="default" w:ascii="宋体" w:hAnsi="宋体"/>
                <w:i w:val="0"/>
                <w:iCs w:val="0"/>
                <w:color w:val="auto"/>
                <w:spacing w:val="-2"/>
                <w:szCs w:val="21"/>
                <w:highlight w:val="none"/>
                <w:lang w:val="en-US" w:eastAsia="zh-CN"/>
              </w:rPr>
            </w:pPr>
            <w:r>
              <w:rPr>
                <w:rFonts w:hint="eastAsia" w:ascii="宋体" w:hAnsi="宋体"/>
                <w:i w:val="0"/>
                <w:iCs w:val="0"/>
                <w:color w:val="auto"/>
                <w:spacing w:val="-2"/>
                <w:szCs w:val="21"/>
                <w:highlight w:val="none"/>
                <w:lang w:val="en-US" w:eastAsia="zh-CN"/>
              </w:rPr>
              <w:t>不适用</w:t>
            </w:r>
          </w:p>
        </w:tc>
      </w:tr>
      <w:tr w14:paraId="6FFFE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534" w:type="dxa"/>
            <w:vAlign w:val="center"/>
          </w:tcPr>
          <w:p w14:paraId="7C890E30">
            <w:pPr>
              <w:spacing w:line="360" w:lineRule="exact"/>
              <w:jc w:val="center"/>
              <w:rPr>
                <w:rFonts w:ascii="宋体" w:hAnsi="宋体"/>
                <w:color w:val="auto"/>
                <w:szCs w:val="21"/>
                <w:highlight w:val="none"/>
              </w:rPr>
            </w:pPr>
            <w:r>
              <w:rPr>
                <w:rFonts w:hint="eastAsia" w:ascii="宋体" w:hAnsi="宋体"/>
                <w:color w:val="auto"/>
                <w:szCs w:val="21"/>
                <w:highlight w:val="none"/>
              </w:rPr>
              <w:t>14</w:t>
            </w:r>
          </w:p>
        </w:tc>
        <w:tc>
          <w:tcPr>
            <w:tcW w:w="992" w:type="dxa"/>
            <w:vAlign w:val="center"/>
          </w:tcPr>
          <w:p w14:paraId="66F02AC1">
            <w:pPr>
              <w:spacing w:line="360" w:lineRule="exact"/>
              <w:jc w:val="center"/>
              <w:rPr>
                <w:rFonts w:ascii="宋体" w:hAnsi="宋体"/>
                <w:color w:val="auto"/>
                <w:szCs w:val="21"/>
                <w:highlight w:val="none"/>
              </w:rPr>
            </w:pPr>
            <w:r>
              <w:rPr>
                <w:rFonts w:hint="eastAsia" w:ascii="宋体" w:hAnsi="宋体"/>
                <w:color w:val="auto"/>
                <w:szCs w:val="21"/>
                <w:highlight w:val="none"/>
              </w:rPr>
              <w:t>19.1</w:t>
            </w:r>
          </w:p>
        </w:tc>
        <w:tc>
          <w:tcPr>
            <w:tcW w:w="1901" w:type="dxa"/>
            <w:vAlign w:val="center"/>
          </w:tcPr>
          <w:p w14:paraId="07AE38CB">
            <w:pPr>
              <w:spacing w:line="360" w:lineRule="exact"/>
              <w:jc w:val="center"/>
              <w:rPr>
                <w:rFonts w:ascii="宋体" w:hAnsi="宋体"/>
                <w:color w:val="auto"/>
                <w:szCs w:val="21"/>
                <w:highlight w:val="none"/>
              </w:rPr>
            </w:pPr>
            <w:r>
              <w:rPr>
                <w:rFonts w:hint="eastAsia" w:ascii="宋体" w:hAnsi="宋体"/>
                <w:color w:val="auto"/>
                <w:szCs w:val="21"/>
                <w:highlight w:val="none"/>
              </w:rPr>
              <w:t>谈判小组组成</w:t>
            </w:r>
          </w:p>
        </w:tc>
        <w:tc>
          <w:tcPr>
            <w:tcW w:w="6462" w:type="dxa"/>
            <w:vAlign w:val="center"/>
          </w:tcPr>
          <w:p w14:paraId="2F64C7A1">
            <w:pPr>
              <w:spacing w:line="360" w:lineRule="exact"/>
              <w:rPr>
                <w:rFonts w:hint="eastAsia" w:ascii="宋体" w:hAnsi="宋体"/>
                <w:i w:val="0"/>
                <w:iCs w:val="0"/>
                <w:color w:val="auto"/>
                <w:szCs w:val="21"/>
                <w:highlight w:val="none"/>
              </w:rPr>
            </w:pPr>
            <w:r>
              <w:rPr>
                <w:rFonts w:hint="eastAsia" w:ascii="宋体" w:hAnsi="宋体"/>
                <w:i w:val="0"/>
                <w:iCs w:val="0"/>
                <w:color w:val="auto"/>
                <w:szCs w:val="21"/>
                <w:highlight w:val="none"/>
              </w:rPr>
              <w:t>谈判及评审工作由采购代理机构负责组织，具体谈判、评审工作由依法组建的谈判小组负责，谈判小组由采购人代表和有关方面的专家组成。</w:t>
            </w:r>
          </w:p>
          <w:p w14:paraId="6E89BFFC">
            <w:pPr>
              <w:spacing w:line="360" w:lineRule="exact"/>
              <w:rPr>
                <w:rFonts w:ascii="宋体" w:hAnsi="宋体"/>
                <w:i w:val="0"/>
                <w:iCs w:val="0"/>
                <w:color w:val="auto"/>
                <w:szCs w:val="21"/>
                <w:highlight w:val="none"/>
              </w:rPr>
            </w:pPr>
            <w:r>
              <w:rPr>
                <w:rFonts w:hint="eastAsia" w:ascii="宋体" w:hAnsi="宋体"/>
                <w:i w:val="0"/>
                <w:iCs w:val="0"/>
                <w:color w:val="auto"/>
                <w:szCs w:val="21"/>
                <w:highlight w:val="none"/>
              </w:rPr>
              <w:t>谈判小组的构成：</w:t>
            </w:r>
            <w:r>
              <w:rPr>
                <w:rFonts w:hint="eastAsia" w:ascii="宋体" w:hAnsi="宋体"/>
                <w:i w:val="0"/>
                <w:iCs w:val="0"/>
                <w:color w:val="auto"/>
                <w:szCs w:val="21"/>
                <w:highlight w:val="none"/>
                <w:u w:val="single"/>
              </w:rPr>
              <w:t>3</w:t>
            </w:r>
            <w:r>
              <w:rPr>
                <w:rFonts w:hint="eastAsia" w:ascii="宋体" w:hAnsi="宋体"/>
                <w:i w:val="0"/>
                <w:iCs w:val="0"/>
                <w:color w:val="auto"/>
                <w:szCs w:val="21"/>
                <w:highlight w:val="none"/>
              </w:rPr>
              <w:t>人，其中采购人代表</w:t>
            </w:r>
            <w:r>
              <w:rPr>
                <w:rFonts w:hint="eastAsia" w:ascii="宋体" w:hAnsi="宋体"/>
                <w:i w:val="0"/>
                <w:iCs w:val="0"/>
                <w:color w:val="auto"/>
                <w:szCs w:val="21"/>
                <w:highlight w:val="none"/>
                <w:u w:val="single"/>
                <w:lang w:val="en-US" w:eastAsia="zh-CN"/>
              </w:rPr>
              <w:t>0</w:t>
            </w:r>
            <w:r>
              <w:rPr>
                <w:rFonts w:hint="eastAsia" w:ascii="宋体" w:hAnsi="宋体"/>
                <w:i w:val="0"/>
                <w:iCs w:val="0"/>
                <w:color w:val="auto"/>
                <w:szCs w:val="21"/>
                <w:highlight w:val="none"/>
              </w:rPr>
              <w:t>人， 专家</w:t>
            </w:r>
            <w:r>
              <w:rPr>
                <w:rFonts w:hint="eastAsia" w:ascii="宋体" w:hAnsi="宋体"/>
                <w:i w:val="0"/>
                <w:iCs w:val="0"/>
                <w:color w:val="auto"/>
                <w:szCs w:val="21"/>
                <w:highlight w:val="none"/>
                <w:u w:val="single"/>
                <w:lang w:val="en-US" w:eastAsia="zh-CN"/>
              </w:rPr>
              <w:t>3</w:t>
            </w:r>
            <w:r>
              <w:rPr>
                <w:rFonts w:hint="eastAsia" w:ascii="宋体" w:hAnsi="宋体"/>
                <w:i w:val="0"/>
                <w:iCs w:val="0"/>
                <w:color w:val="auto"/>
                <w:szCs w:val="21"/>
                <w:highlight w:val="none"/>
              </w:rPr>
              <w:t>人。专家确定</w:t>
            </w:r>
            <w:r>
              <w:rPr>
                <w:rFonts w:hint="eastAsia" w:ascii="宋体" w:hAnsi="宋体"/>
                <w:i w:val="0"/>
                <w:iCs w:val="0"/>
                <w:color w:val="auto"/>
                <w:szCs w:val="21"/>
                <w:highlight w:val="none"/>
                <w:u w:val="none"/>
              </w:rPr>
              <w:t>方式：</w:t>
            </w:r>
            <w:r>
              <w:rPr>
                <w:rFonts w:hint="eastAsia" w:ascii="宋体" w:hAnsi="宋体"/>
                <w:i w:val="0"/>
                <w:iCs w:val="0"/>
                <w:color w:val="auto"/>
                <w:szCs w:val="21"/>
                <w:highlight w:val="none"/>
                <w:u w:val="none"/>
                <w:lang w:val="zh-CN"/>
              </w:rPr>
              <w:t>从</w:t>
            </w:r>
            <w:r>
              <w:rPr>
                <w:rFonts w:hint="eastAsia" w:ascii="宋体" w:hAnsi="宋体"/>
                <w:i w:val="0"/>
                <w:iCs w:val="0"/>
                <w:color w:val="auto"/>
                <w:szCs w:val="21"/>
                <w:highlight w:val="none"/>
                <w:u w:val="none"/>
                <w:lang w:val="zh-CN" w:eastAsia="zh-CN"/>
              </w:rPr>
              <w:t>吉林省</w:t>
            </w:r>
            <w:r>
              <w:rPr>
                <w:rFonts w:hint="eastAsia" w:ascii="宋体" w:hAnsi="宋体"/>
                <w:i w:val="0"/>
                <w:iCs w:val="0"/>
                <w:color w:val="auto"/>
                <w:szCs w:val="21"/>
                <w:highlight w:val="none"/>
                <w:u w:val="none"/>
                <w:lang w:val="en-US" w:eastAsia="zh-CN"/>
              </w:rPr>
              <w:t>政府采购云平台</w:t>
            </w:r>
            <w:r>
              <w:rPr>
                <w:rFonts w:hint="eastAsia" w:ascii="宋体" w:hAnsi="宋体"/>
                <w:i w:val="0"/>
                <w:iCs w:val="0"/>
                <w:color w:val="auto"/>
                <w:szCs w:val="21"/>
                <w:highlight w:val="none"/>
                <w:u w:val="none"/>
                <w:lang w:val="zh-CN"/>
              </w:rPr>
              <w:t>专家库中随机抽取</w:t>
            </w:r>
            <w:r>
              <w:rPr>
                <w:rFonts w:hint="eastAsia" w:ascii="宋体" w:hAnsi="宋体"/>
                <w:i w:val="0"/>
                <w:iCs w:val="0"/>
                <w:color w:val="auto"/>
                <w:szCs w:val="21"/>
                <w:highlight w:val="none"/>
                <w:u w:val="none"/>
              </w:rPr>
              <w:t xml:space="preserve"> 。</w:t>
            </w:r>
          </w:p>
        </w:tc>
      </w:tr>
      <w:tr w14:paraId="19F87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534" w:type="dxa"/>
            <w:vAlign w:val="center"/>
          </w:tcPr>
          <w:p w14:paraId="61E6E4FD">
            <w:pPr>
              <w:spacing w:line="360" w:lineRule="exact"/>
              <w:jc w:val="center"/>
              <w:rPr>
                <w:rFonts w:ascii="宋体" w:hAnsi="宋体"/>
                <w:color w:val="auto"/>
                <w:szCs w:val="21"/>
                <w:highlight w:val="none"/>
              </w:rPr>
            </w:pPr>
            <w:r>
              <w:rPr>
                <w:rFonts w:hint="eastAsia" w:ascii="宋体" w:hAnsi="宋体"/>
                <w:color w:val="auto"/>
                <w:szCs w:val="21"/>
                <w:highlight w:val="none"/>
              </w:rPr>
              <w:t>15</w:t>
            </w:r>
          </w:p>
        </w:tc>
        <w:tc>
          <w:tcPr>
            <w:tcW w:w="992" w:type="dxa"/>
            <w:vAlign w:val="center"/>
          </w:tcPr>
          <w:p w14:paraId="16AC2173">
            <w:pPr>
              <w:spacing w:line="360" w:lineRule="exact"/>
              <w:jc w:val="center"/>
              <w:rPr>
                <w:rFonts w:ascii="宋体" w:hAnsi="宋体"/>
                <w:color w:val="auto"/>
                <w:spacing w:val="-6"/>
                <w:szCs w:val="21"/>
                <w:highlight w:val="none"/>
              </w:rPr>
            </w:pPr>
            <w:r>
              <w:rPr>
                <w:rFonts w:hint="eastAsia" w:ascii="宋体" w:hAnsi="宋体"/>
                <w:color w:val="auto"/>
                <w:spacing w:val="-6"/>
                <w:szCs w:val="21"/>
                <w:highlight w:val="none"/>
              </w:rPr>
              <w:t>19.2</w:t>
            </w:r>
          </w:p>
        </w:tc>
        <w:tc>
          <w:tcPr>
            <w:tcW w:w="1901" w:type="dxa"/>
            <w:vAlign w:val="center"/>
          </w:tcPr>
          <w:p w14:paraId="6B4EBAEC">
            <w:pPr>
              <w:spacing w:line="360" w:lineRule="exact"/>
              <w:jc w:val="center"/>
              <w:rPr>
                <w:rFonts w:ascii="宋体" w:hAnsi="宋体"/>
                <w:color w:val="auto"/>
                <w:spacing w:val="-6"/>
                <w:szCs w:val="21"/>
                <w:highlight w:val="none"/>
              </w:rPr>
            </w:pPr>
            <w:r>
              <w:rPr>
                <w:rFonts w:hint="eastAsia" w:ascii="宋体" w:hAnsi="宋体"/>
                <w:color w:val="auto"/>
                <w:szCs w:val="21"/>
                <w:highlight w:val="none"/>
              </w:rPr>
              <w:t>谈判时间、地点、人员</w:t>
            </w:r>
          </w:p>
        </w:tc>
        <w:tc>
          <w:tcPr>
            <w:tcW w:w="6462" w:type="dxa"/>
            <w:vAlign w:val="center"/>
          </w:tcPr>
          <w:p w14:paraId="7892AD79">
            <w:pPr>
              <w:spacing w:line="360" w:lineRule="exact"/>
              <w:rPr>
                <w:rFonts w:ascii="宋体" w:hAnsi="宋体"/>
                <w:i w:val="0"/>
                <w:iCs w:val="0"/>
                <w:color w:val="auto"/>
                <w:szCs w:val="21"/>
                <w:highlight w:val="none"/>
              </w:rPr>
            </w:pPr>
            <w:r>
              <w:rPr>
                <w:rFonts w:hint="eastAsia" w:ascii="宋体" w:hAnsi="宋体"/>
                <w:i w:val="0"/>
                <w:iCs w:val="0"/>
                <w:color w:val="auto"/>
                <w:szCs w:val="21"/>
                <w:highlight w:val="none"/>
              </w:rPr>
              <w:t>19.2.1谈判时间：响应文件递交截止时间后。</w:t>
            </w:r>
          </w:p>
          <w:p w14:paraId="294560FD">
            <w:pPr>
              <w:spacing w:line="360" w:lineRule="exact"/>
              <w:rPr>
                <w:rFonts w:hint="eastAsia" w:ascii="宋体" w:hAnsi="宋体" w:eastAsia="宋体" w:cs="宋体"/>
                <w:bCs/>
                <w:i w:val="0"/>
                <w:iCs w:val="0"/>
                <w:snapToGrid w:val="0"/>
                <w:color w:val="auto"/>
                <w:szCs w:val="21"/>
                <w:highlight w:val="none"/>
                <w:lang w:val="en-US" w:eastAsia="zh-CN"/>
              </w:rPr>
            </w:pPr>
            <w:r>
              <w:rPr>
                <w:rFonts w:hint="eastAsia" w:ascii="宋体" w:hAnsi="宋体"/>
                <w:i w:val="0"/>
                <w:iCs w:val="0"/>
                <w:color w:val="auto"/>
                <w:szCs w:val="21"/>
                <w:highlight w:val="none"/>
              </w:rPr>
              <w:t>19.2.2谈判地点：</w:t>
            </w:r>
            <w:r>
              <w:rPr>
                <w:rFonts w:hint="eastAsia" w:ascii="宋体" w:hAnsi="宋体"/>
                <w:i w:val="0"/>
                <w:iCs w:val="0"/>
                <w:color w:val="auto"/>
                <w:szCs w:val="21"/>
                <w:highlight w:val="none"/>
                <w:lang w:val="en-US" w:eastAsia="zh-CN"/>
              </w:rPr>
              <w:t>政采云</w:t>
            </w:r>
            <w:r>
              <w:rPr>
                <w:rFonts w:hint="eastAsia" w:ascii="宋体" w:hAnsi="宋体" w:cs="宋体"/>
                <w:bCs/>
                <w:i w:val="0"/>
                <w:iCs w:val="0"/>
                <w:snapToGrid w:val="0"/>
                <w:color w:val="auto"/>
                <w:szCs w:val="21"/>
                <w:highlight w:val="none"/>
                <w:lang w:val="en-US" w:eastAsia="zh-CN"/>
              </w:rPr>
              <w:t>。</w:t>
            </w:r>
          </w:p>
          <w:p w14:paraId="48FC9E8A">
            <w:pPr>
              <w:spacing w:line="360" w:lineRule="exact"/>
              <w:rPr>
                <w:rFonts w:ascii="宋体" w:hAnsi="宋体"/>
                <w:i w:val="0"/>
                <w:iCs w:val="0"/>
                <w:color w:val="auto"/>
                <w:szCs w:val="21"/>
                <w:highlight w:val="none"/>
              </w:rPr>
            </w:pPr>
            <w:r>
              <w:rPr>
                <w:rFonts w:hint="eastAsia" w:ascii="宋体" w:hAnsi="宋体"/>
                <w:i w:val="0"/>
                <w:iCs w:val="0"/>
                <w:color w:val="auto"/>
                <w:szCs w:val="21"/>
                <w:highlight w:val="none"/>
              </w:rPr>
              <w:t>19.2.</w:t>
            </w:r>
            <w:r>
              <w:rPr>
                <w:rFonts w:hint="eastAsia" w:ascii="宋体" w:hAnsi="宋体"/>
                <w:i w:val="0"/>
                <w:iCs w:val="0"/>
                <w:color w:val="auto"/>
                <w:szCs w:val="21"/>
                <w:highlight w:val="none"/>
                <w:lang w:val="en-US" w:eastAsia="zh-CN"/>
              </w:rPr>
              <w:t>3</w:t>
            </w:r>
            <w:r>
              <w:rPr>
                <w:rFonts w:hint="eastAsia" w:ascii="宋体" w:hAnsi="宋体"/>
                <w:i w:val="0"/>
                <w:iCs w:val="0"/>
                <w:color w:val="auto"/>
                <w:szCs w:val="21"/>
                <w:highlight w:val="none"/>
              </w:rPr>
              <w:t>响应文件递交截止时间后，由谈判小组在评标室内开启响应文件。</w:t>
            </w:r>
          </w:p>
        </w:tc>
      </w:tr>
      <w:tr w14:paraId="1EBF8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534" w:type="dxa"/>
            <w:vAlign w:val="center"/>
          </w:tcPr>
          <w:p w14:paraId="2E1A5420">
            <w:pPr>
              <w:spacing w:line="360" w:lineRule="exact"/>
              <w:jc w:val="center"/>
              <w:rPr>
                <w:rFonts w:ascii="宋体" w:hAnsi="宋体"/>
                <w:color w:val="auto"/>
                <w:szCs w:val="21"/>
                <w:highlight w:val="none"/>
              </w:rPr>
            </w:pPr>
            <w:r>
              <w:rPr>
                <w:rFonts w:hint="eastAsia" w:ascii="宋体" w:hAnsi="宋体"/>
                <w:color w:val="auto"/>
                <w:szCs w:val="21"/>
                <w:highlight w:val="none"/>
              </w:rPr>
              <w:t>16</w:t>
            </w:r>
          </w:p>
        </w:tc>
        <w:tc>
          <w:tcPr>
            <w:tcW w:w="992" w:type="dxa"/>
            <w:vAlign w:val="center"/>
          </w:tcPr>
          <w:p w14:paraId="758853BB">
            <w:pPr>
              <w:spacing w:line="360" w:lineRule="exact"/>
              <w:jc w:val="center"/>
              <w:rPr>
                <w:rFonts w:ascii="宋体" w:hAnsi="宋体"/>
                <w:color w:val="auto"/>
                <w:szCs w:val="21"/>
                <w:highlight w:val="none"/>
              </w:rPr>
            </w:pPr>
            <w:r>
              <w:rPr>
                <w:rFonts w:hint="eastAsia" w:ascii="宋体" w:hAnsi="宋体"/>
                <w:color w:val="auto"/>
                <w:szCs w:val="21"/>
                <w:highlight w:val="none"/>
              </w:rPr>
              <w:t>20.2</w:t>
            </w:r>
          </w:p>
        </w:tc>
        <w:tc>
          <w:tcPr>
            <w:tcW w:w="1901" w:type="dxa"/>
            <w:vAlign w:val="center"/>
          </w:tcPr>
          <w:p w14:paraId="1C77C1D6">
            <w:pPr>
              <w:spacing w:line="360" w:lineRule="exact"/>
              <w:jc w:val="center"/>
              <w:rPr>
                <w:rFonts w:ascii="宋体" w:hAnsi="宋体"/>
                <w:color w:val="auto"/>
                <w:szCs w:val="21"/>
                <w:highlight w:val="none"/>
              </w:rPr>
            </w:pPr>
            <w:r>
              <w:rPr>
                <w:rFonts w:hint="eastAsia" w:ascii="宋体" w:hAnsi="宋体" w:cs="Arial"/>
                <w:color w:val="auto"/>
                <w:kern w:val="0"/>
                <w:szCs w:val="21"/>
                <w:highlight w:val="none"/>
              </w:rPr>
              <w:t>评审办法</w:t>
            </w:r>
          </w:p>
        </w:tc>
        <w:tc>
          <w:tcPr>
            <w:tcW w:w="6462" w:type="dxa"/>
            <w:vAlign w:val="center"/>
          </w:tcPr>
          <w:p w14:paraId="50193E20">
            <w:pPr>
              <w:spacing w:line="360" w:lineRule="exact"/>
              <w:rPr>
                <w:rFonts w:ascii="宋体" w:hAnsi="宋体"/>
                <w:color w:val="auto"/>
                <w:szCs w:val="21"/>
                <w:highlight w:val="none"/>
              </w:rPr>
            </w:pPr>
            <w:r>
              <w:rPr>
                <w:rFonts w:hint="eastAsia" w:ascii="宋体" w:hAnsi="宋体"/>
                <w:color w:val="auto"/>
                <w:szCs w:val="21"/>
                <w:highlight w:val="none"/>
              </w:rPr>
              <w:t>具体详见第四章评审办法。</w:t>
            </w:r>
          </w:p>
        </w:tc>
      </w:tr>
      <w:tr w14:paraId="202B3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534" w:type="dxa"/>
            <w:vAlign w:val="center"/>
          </w:tcPr>
          <w:p w14:paraId="2A0F7B26">
            <w:pPr>
              <w:spacing w:line="360" w:lineRule="exact"/>
              <w:jc w:val="center"/>
              <w:rPr>
                <w:rFonts w:hint="eastAsia" w:ascii="宋体" w:hAnsi="宋体"/>
                <w:color w:val="auto"/>
                <w:szCs w:val="21"/>
                <w:highlight w:val="none"/>
              </w:rPr>
            </w:pPr>
            <w:r>
              <w:rPr>
                <w:rFonts w:hint="eastAsia" w:ascii="宋体" w:hAnsi="宋体"/>
                <w:color w:val="auto"/>
                <w:szCs w:val="21"/>
                <w:highlight w:val="none"/>
              </w:rPr>
              <w:t>17</w:t>
            </w:r>
          </w:p>
        </w:tc>
        <w:tc>
          <w:tcPr>
            <w:tcW w:w="992" w:type="dxa"/>
            <w:vAlign w:val="center"/>
          </w:tcPr>
          <w:p w14:paraId="6B79F757">
            <w:pPr>
              <w:spacing w:line="360" w:lineRule="exact"/>
              <w:jc w:val="center"/>
              <w:rPr>
                <w:rFonts w:hint="eastAsia" w:ascii="宋体" w:hAnsi="宋体"/>
                <w:color w:val="auto"/>
                <w:szCs w:val="21"/>
                <w:highlight w:val="none"/>
              </w:rPr>
            </w:pPr>
            <w:r>
              <w:rPr>
                <w:rFonts w:hint="eastAsia" w:ascii="宋体" w:hAnsi="宋体"/>
                <w:color w:val="auto"/>
                <w:szCs w:val="21"/>
                <w:highlight w:val="none"/>
              </w:rPr>
              <w:t>22.4</w:t>
            </w:r>
          </w:p>
        </w:tc>
        <w:tc>
          <w:tcPr>
            <w:tcW w:w="1901" w:type="dxa"/>
            <w:vAlign w:val="center"/>
          </w:tcPr>
          <w:p w14:paraId="2A8B6ECB">
            <w:pPr>
              <w:autoSpaceDE w:val="0"/>
              <w:autoSpaceDN w:val="0"/>
              <w:snapToGrid w:val="0"/>
              <w:spacing w:line="360" w:lineRule="exact"/>
              <w:jc w:val="center"/>
              <w:textAlignment w:val="bottom"/>
              <w:rPr>
                <w:rFonts w:hint="eastAsia" w:ascii="宋体" w:hAnsi="宋体"/>
                <w:color w:val="auto"/>
                <w:highlight w:val="none"/>
              </w:rPr>
            </w:pPr>
            <w:r>
              <w:rPr>
                <w:rFonts w:hint="eastAsia" w:ascii="宋体" w:hAnsi="宋体"/>
                <w:color w:val="auto"/>
                <w:highlight w:val="none"/>
              </w:rPr>
              <w:t>成交人信用信息查询</w:t>
            </w:r>
          </w:p>
          <w:p w14:paraId="30C7E09F">
            <w:pPr>
              <w:spacing w:line="360" w:lineRule="exact"/>
              <w:jc w:val="center"/>
              <w:rPr>
                <w:rFonts w:hint="eastAsia" w:ascii="宋体" w:hAnsi="宋体" w:cs="Arial"/>
                <w:color w:val="auto"/>
                <w:kern w:val="0"/>
                <w:szCs w:val="21"/>
                <w:highlight w:val="none"/>
              </w:rPr>
            </w:pPr>
          </w:p>
        </w:tc>
        <w:tc>
          <w:tcPr>
            <w:tcW w:w="6462" w:type="dxa"/>
            <w:vAlign w:val="center"/>
          </w:tcPr>
          <w:p w14:paraId="10373400">
            <w:pPr>
              <w:autoSpaceDE w:val="0"/>
              <w:autoSpaceDN w:val="0"/>
              <w:snapToGrid w:val="0"/>
              <w:spacing w:line="360" w:lineRule="exact"/>
              <w:textAlignment w:val="bottom"/>
              <w:rPr>
                <w:rFonts w:hint="eastAsia" w:ascii="宋体" w:hAnsi="宋体"/>
                <w:color w:val="auto"/>
                <w:highlight w:val="none"/>
              </w:rPr>
            </w:pPr>
            <w:r>
              <w:rPr>
                <w:rFonts w:hint="eastAsia" w:ascii="宋体" w:hAnsi="宋体"/>
                <w:color w:val="auto"/>
                <w:highlight w:val="none"/>
              </w:rPr>
              <w:t>根据《关于做好政府采购有关信用主体标识码登记及在政府采购活动中查询使用信用记录有关问题的通知》财</w:t>
            </w:r>
            <w:r>
              <w:rPr>
                <w:rFonts w:hint="eastAsia" w:ascii="宋体" w:hAnsi="宋体"/>
                <w:color w:val="auto"/>
                <w:highlight w:val="none"/>
                <w:lang w:eastAsia="zh-CN"/>
              </w:rPr>
              <w:t>库</w:t>
            </w:r>
            <w:r>
              <w:rPr>
                <w:rFonts w:hint="eastAsia" w:ascii="宋体" w:hAnsi="宋体"/>
                <w:color w:val="auto"/>
                <w:highlight w:val="none"/>
              </w:rPr>
              <w:t>〔2016〕</w:t>
            </w:r>
            <w:r>
              <w:rPr>
                <w:rFonts w:hint="eastAsia" w:ascii="宋体" w:hAnsi="宋体"/>
                <w:color w:val="auto"/>
                <w:highlight w:val="none"/>
                <w:lang w:val="en-US" w:eastAsia="zh-CN"/>
              </w:rPr>
              <w:t>125</w:t>
            </w:r>
            <w:r>
              <w:rPr>
                <w:rFonts w:hint="eastAsia" w:ascii="宋体" w:hAnsi="宋体"/>
                <w:color w:val="auto"/>
                <w:highlight w:val="none"/>
              </w:rPr>
              <w:t>号的通知，采购代理机构在对成交人的成交资格进行信用查询：</w:t>
            </w:r>
          </w:p>
          <w:p w14:paraId="6B735A5A">
            <w:pPr>
              <w:autoSpaceDE w:val="0"/>
              <w:autoSpaceDN w:val="0"/>
              <w:snapToGrid w:val="0"/>
              <w:spacing w:line="360" w:lineRule="exact"/>
              <w:jc w:val="left"/>
              <w:textAlignment w:val="bottom"/>
              <w:rPr>
                <w:rFonts w:hint="eastAsia" w:ascii="宋体" w:hAnsi="宋体"/>
                <w:color w:val="auto"/>
                <w:highlight w:val="none"/>
              </w:rPr>
            </w:pPr>
            <w:r>
              <w:rPr>
                <w:rFonts w:hint="eastAsia" w:ascii="宋体" w:hAnsi="宋体"/>
                <w:color w:val="auto"/>
                <w:highlight w:val="none"/>
              </w:rPr>
              <w:t>（1）查询渠道：“信用中国”网站(www.creditchina.gov.cn)、中国政府采购网(www.ccgp.gov.cn)等；</w:t>
            </w:r>
          </w:p>
          <w:p w14:paraId="038E7E3E">
            <w:pPr>
              <w:autoSpaceDE w:val="0"/>
              <w:autoSpaceDN w:val="0"/>
              <w:snapToGrid w:val="0"/>
              <w:spacing w:line="360" w:lineRule="exact"/>
              <w:jc w:val="left"/>
              <w:textAlignment w:val="bottom"/>
              <w:rPr>
                <w:rFonts w:hint="eastAsia" w:ascii="宋体" w:hAnsi="宋体"/>
                <w:color w:val="auto"/>
                <w:highlight w:val="none"/>
              </w:rPr>
            </w:pPr>
            <w:r>
              <w:rPr>
                <w:rFonts w:hint="eastAsia" w:ascii="宋体" w:hAnsi="宋体"/>
                <w:color w:val="auto"/>
                <w:highlight w:val="none"/>
              </w:rPr>
              <w:t>（2）查询截止时点：成交通知书发出前；</w:t>
            </w:r>
          </w:p>
          <w:p w14:paraId="7D86B68D">
            <w:pPr>
              <w:autoSpaceDE w:val="0"/>
              <w:autoSpaceDN w:val="0"/>
              <w:snapToGrid w:val="0"/>
              <w:spacing w:line="360" w:lineRule="exact"/>
              <w:jc w:val="left"/>
              <w:textAlignment w:val="bottom"/>
              <w:rPr>
                <w:rFonts w:hint="eastAsia" w:ascii="宋体" w:hAnsi="宋体"/>
                <w:color w:val="auto"/>
                <w:highlight w:val="none"/>
              </w:rPr>
            </w:pPr>
            <w:r>
              <w:rPr>
                <w:rFonts w:hint="eastAsia" w:ascii="宋体" w:hAnsi="宋体"/>
                <w:color w:val="auto"/>
                <w:highlight w:val="none"/>
              </w:rPr>
              <w:t>（3）信用信息查询记录和证据留存方式：在查询网站中直接打印查询记录，打印材料作为采购活动资料保存。</w:t>
            </w:r>
          </w:p>
          <w:p w14:paraId="2C33917F">
            <w:pPr>
              <w:pStyle w:val="87"/>
              <w:spacing w:line="360" w:lineRule="exact"/>
              <w:jc w:val="left"/>
              <w:rPr>
                <w:rFonts w:hint="eastAsia" w:hAnsi="宋体"/>
                <w:color w:val="auto"/>
                <w:highlight w:val="none"/>
              </w:rPr>
            </w:pPr>
            <w:r>
              <w:rPr>
                <w:rFonts w:hint="eastAsia" w:hAnsi="宋体"/>
                <w:color w:val="auto"/>
                <w:highlight w:val="none"/>
              </w:rPr>
              <w:t>（4）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审报告中谈判小组推荐成交候选人排序表确定排名第二的成交候选人为成交供应商或者重新组织采购。</w:t>
            </w:r>
          </w:p>
          <w:p w14:paraId="0E7B5614">
            <w:pPr>
              <w:pStyle w:val="87"/>
              <w:spacing w:line="360" w:lineRule="exact"/>
              <w:rPr>
                <w:rFonts w:hint="eastAsia"/>
                <w:color w:val="auto"/>
                <w:highlight w:val="none"/>
              </w:rPr>
            </w:pPr>
            <w:r>
              <w:rPr>
                <w:rFonts w:hint="eastAsia" w:hAnsi="宋体"/>
                <w:color w:val="auto"/>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6399B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534" w:type="dxa"/>
            <w:vAlign w:val="center"/>
          </w:tcPr>
          <w:p w14:paraId="365304CD">
            <w:pPr>
              <w:spacing w:line="360" w:lineRule="exact"/>
              <w:jc w:val="center"/>
              <w:rPr>
                <w:rFonts w:ascii="宋体" w:hAnsi="宋体"/>
                <w:color w:val="auto"/>
                <w:szCs w:val="21"/>
                <w:highlight w:val="none"/>
              </w:rPr>
            </w:pPr>
            <w:r>
              <w:rPr>
                <w:rFonts w:hint="eastAsia" w:ascii="宋体" w:hAnsi="宋体"/>
                <w:color w:val="auto"/>
                <w:szCs w:val="21"/>
                <w:highlight w:val="none"/>
              </w:rPr>
              <w:t>18</w:t>
            </w:r>
          </w:p>
        </w:tc>
        <w:tc>
          <w:tcPr>
            <w:tcW w:w="992" w:type="dxa"/>
            <w:vAlign w:val="center"/>
          </w:tcPr>
          <w:p w14:paraId="5425C515">
            <w:pPr>
              <w:spacing w:line="360" w:lineRule="exact"/>
              <w:jc w:val="center"/>
              <w:rPr>
                <w:rFonts w:ascii="宋体" w:hAnsi="宋体"/>
                <w:color w:val="auto"/>
                <w:position w:val="-2"/>
                <w:szCs w:val="21"/>
                <w:highlight w:val="none"/>
              </w:rPr>
            </w:pPr>
            <w:r>
              <w:rPr>
                <w:rFonts w:hint="eastAsia" w:ascii="宋体" w:hAnsi="宋体"/>
                <w:color w:val="auto"/>
                <w:position w:val="-2"/>
                <w:szCs w:val="21"/>
                <w:highlight w:val="none"/>
              </w:rPr>
              <w:t>27</w:t>
            </w:r>
          </w:p>
        </w:tc>
        <w:tc>
          <w:tcPr>
            <w:tcW w:w="1901" w:type="dxa"/>
            <w:vAlign w:val="center"/>
          </w:tcPr>
          <w:p w14:paraId="78B88AE7">
            <w:pPr>
              <w:spacing w:line="360" w:lineRule="exact"/>
              <w:jc w:val="center"/>
              <w:rPr>
                <w:rFonts w:ascii="宋体" w:hAnsi="宋体"/>
                <w:color w:val="auto"/>
                <w:szCs w:val="21"/>
                <w:highlight w:val="none"/>
              </w:rPr>
            </w:pPr>
            <w:r>
              <w:rPr>
                <w:rFonts w:hint="eastAsia" w:ascii="宋体" w:hAnsi="宋体"/>
                <w:color w:val="auto"/>
                <w:szCs w:val="21"/>
                <w:highlight w:val="none"/>
              </w:rPr>
              <w:t>成交结果公告</w:t>
            </w:r>
          </w:p>
          <w:p w14:paraId="427EC971">
            <w:pPr>
              <w:spacing w:line="360" w:lineRule="exact"/>
              <w:jc w:val="center"/>
              <w:rPr>
                <w:rFonts w:ascii="宋体" w:hAnsi="宋体"/>
                <w:color w:val="auto"/>
                <w:position w:val="-2"/>
                <w:szCs w:val="21"/>
                <w:highlight w:val="none"/>
              </w:rPr>
            </w:pPr>
            <w:r>
              <w:rPr>
                <w:rFonts w:hint="eastAsia" w:ascii="宋体" w:hAnsi="宋体"/>
                <w:color w:val="auto"/>
                <w:szCs w:val="21"/>
                <w:highlight w:val="none"/>
              </w:rPr>
              <w:t>及成交通知书</w:t>
            </w:r>
          </w:p>
        </w:tc>
        <w:tc>
          <w:tcPr>
            <w:tcW w:w="6462" w:type="dxa"/>
            <w:vAlign w:val="center"/>
          </w:tcPr>
          <w:p w14:paraId="7E5B4607">
            <w:pPr>
              <w:spacing w:line="360" w:lineRule="exact"/>
              <w:rPr>
                <w:rFonts w:ascii="宋体" w:hAnsi="宋体"/>
                <w:color w:val="auto"/>
                <w:szCs w:val="21"/>
                <w:highlight w:val="none"/>
              </w:rPr>
            </w:pPr>
            <w:r>
              <w:rPr>
                <w:rFonts w:hint="eastAsia" w:ascii="宋体" w:hAnsi="宋体"/>
                <w:color w:val="auto"/>
                <w:szCs w:val="21"/>
                <w:highlight w:val="none"/>
              </w:rPr>
              <w:t>1、采购代理机构于评审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结果信息。</w:t>
            </w:r>
          </w:p>
          <w:p w14:paraId="08E3DA8F">
            <w:pPr>
              <w:spacing w:line="360" w:lineRule="exact"/>
              <w:jc w:val="left"/>
              <w:rPr>
                <w:rFonts w:ascii="宋体" w:hAnsi="宋体"/>
                <w:color w:val="auto"/>
                <w:szCs w:val="21"/>
                <w:highlight w:val="none"/>
              </w:rPr>
            </w:pPr>
            <w:r>
              <w:rPr>
                <w:rFonts w:hint="eastAsia" w:ascii="宋体" w:hAnsi="宋体"/>
                <w:color w:val="auto"/>
                <w:szCs w:val="21"/>
                <w:highlight w:val="none"/>
              </w:rPr>
              <w:t>2、在发布成交结果公告的同时，采购代理机构向成交供应商发出成交通知书。</w:t>
            </w:r>
          </w:p>
        </w:tc>
      </w:tr>
      <w:tr w14:paraId="0213A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34" w:type="dxa"/>
            <w:vAlign w:val="center"/>
          </w:tcPr>
          <w:p w14:paraId="0329E550">
            <w:pPr>
              <w:spacing w:line="360" w:lineRule="exact"/>
              <w:jc w:val="center"/>
              <w:rPr>
                <w:rFonts w:ascii="宋体" w:hAnsi="宋体"/>
                <w:color w:val="auto"/>
                <w:szCs w:val="21"/>
                <w:highlight w:val="none"/>
              </w:rPr>
            </w:pPr>
            <w:r>
              <w:rPr>
                <w:rFonts w:hint="eastAsia" w:ascii="宋体" w:hAnsi="宋体"/>
                <w:color w:val="auto"/>
                <w:szCs w:val="21"/>
                <w:highlight w:val="none"/>
              </w:rPr>
              <w:t>19</w:t>
            </w:r>
          </w:p>
        </w:tc>
        <w:tc>
          <w:tcPr>
            <w:tcW w:w="992" w:type="dxa"/>
            <w:vAlign w:val="center"/>
          </w:tcPr>
          <w:p w14:paraId="19D564C8">
            <w:pPr>
              <w:spacing w:line="360" w:lineRule="exact"/>
              <w:jc w:val="center"/>
              <w:rPr>
                <w:rFonts w:ascii="宋体" w:hAnsi="宋体"/>
                <w:color w:val="auto"/>
                <w:szCs w:val="21"/>
                <w:highlight w:val="none"/>
              </w:rPr>
            </w:pPr>
            <w:r>
              <w:rPr>
                <w:rFonts w:hint="eastAsia" w:ascii="宋体" w:hAnsi="宋体"/>
                <w:color w:val="auto"/>
                <w:szCs w:val="21"/>
                <w:highlight w:val="none"/>
              </w:rPr>
              <w:t>28.1</w:t>
            </w:r>
          </w:p>
        </w:tc>
        <w:tc>
          <w:tcPr>
            <w:tcW w:w="1901" w:type="dxa"/>
            <w:vAlign w:val="center"/>
          </w:tcPr>
          <w:p w14:paraId="6BDBF02C">
            <w:pPr>
              <w:spacing w:line="360" w:lineRule="exact"/>
              <w:jc w:val="center"/>
              <w:rPr>
                <w:rFonts w:ascii="宋体" w:hAnsi="宋体"/>
                <w:color w:val="auto"/>
                <w:szCs w:val="21"/>
                <w:highlight w:val="none"/>
              </w:rPr>
            </w:pPr>
            <w:r>
              <w:rPr>
                <w:rFonts w:hint="eastAsia" w:ascii="宋体" w:hAnsi="宋体"/>
                <w:color w:val="auto"/>
                <w:szCs w:val="21"/>
                <w:highlight w:val="none"/>
              </w:rPr>
              <w:t>履约保证金</w:t>
            </w:r>
          </w:p>
        </w:tc>
        <w:tc>
          <w:tcPr>
            <w:tcW w:w="6462" w:type="dxa"/>
          </w:tcPr>
          <w:p w14:paraId="13A8D53A">
            <w:pPr>
              <w:spacing w:line="360" w:lineRule="exac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按照实际与采购人签订的合同要求为准。（以实际签订合同为准）</w:t>
            </w:r>
          </w:p>
        </w:tc>
      </w:tr>
      <w:tr w14:paraId="29C3F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34" w:type="dxa"/>
            <w:vAlign w:val="center"/>
          </w:tcPr>
          <w:p w14:paraId="3A0A9007">
            <w:pPr>
              <w:spacing w:line="36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20</w:t>
            </w:r>
          </w:p>
        </w:tc>
        <w:tc>
          <w:tcPr>
            <w:tcW w:w="992" w:type="dxa"/>
            <w:vAlign w:val="center"/>
          </w:tcPr>
          <w:p w14:paraId="4F3A48CB">
            <w:pPr>
              <w:spacing w:line="36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28.2</w:t>
            </w:r>
          </w:p>
        </w:tc>
        <w:tc>
          <w:tcPr>
            <w:tcW w:w="1901" w:type="dxa"/>
            <w:vAlign w:val="center"/>
          </w:tcPr>
          <w:p w14:paraId="6173D201">
            <w:pPr>
              <w:spacing w:line="36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近年发生诉讼及仲裁情况</w:t>
            </w:r>
          </w:p>
        </w:tc>
        <w:tc>
          <w:tcPr>
            <w:tcW w:w="6462" w:type="dxa"/>
            <w:vAlign w:val="center"/>
          </w:tcPr>
          <w:p w14:paraId="28666B44">
            <w:pPr>
              <w:spacing w:line="360" w:lineRule="exact"/>
              <w:jc w:val="both"/>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指2022年01月01日至今</w:t>
            </w:r>
          </w:p>
        </w:tc>
      </w:tr>
      <w:tr w14:paraId="47524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34" w:type="dxa"/>
            <w:vAlign w:val="center"/>
          </w:tcPr>
          <w:p w14:paraId="4ABF55B4">
            <w:pPr>
              <w:spacing w:line="36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rPr>
              <w:t>2</w:t>
            </w:r>
            <w:r>
              <w:rPr>
                <w:rFonts w:hint="eastAsia" w:ascii="宋体" w:hAnsi="宋体"/>
                <w:color w:val="auto"/>
                <w:szCs w:val="21"/>
                <w:highlight w:val="none"/>
                <w:lang w:val="en-US" w:eastAsia="zh-CN"/>
              </w:rPr>
              <w:t>1</w:t>
            </w:r>
          </w:p>
        </w:tc>
        <w:tc>
          <w:tcPr>
            <w:tcW w:w="992" w:type="dxa"/>
            <w:vAlign w:val="center"/>
          </w:tcPr>
          <w:p w14:paraId="29913A05">
            <w:pPr>
              <w:spacing w:line="360" w:lineRule="exact"/>
              <w:jc w:val="center"/>
              <w:rPr>
                <w:rFonts w:ascii="宋体" w:hAnsi="宋体"/>
                <w:color w:val="auto"/>
                <w:szCs w:val="21"/>
                <w:highlight w:val="none"/>
              </w:rPr>
            </w:pPr>
            <w:r>
              <w:rPr>
                <w:rFonts w:hint="eastAsia" w:ascii="宋体" w:hAnsi="宋体"/>
                <w:color w:val="auto"/>
                <w:szCs w:val="21"/>
                <w:highlight w:val="none"/>
              </w:rPr>
              <w:t>29.1</w:t>
            </w:r>
          </w:p>
        </w:tc>
        <w:tc>
          <w:tcPr>
            <w:tcW w:w="1901" w:type="dxa"/>
            <w:vAlign w:val="center"/>
          </w:tcPr>
          <w:p w14:paraId="5D4FB669">
            <w:pPr>
              <w:spacing w:line="360" w:lineRule="exact"/>
              <w:jc w:val="center"/>
              <w:rPr>
                <w:rFonts w:ascii="宋体" w:hAnsi="宋体"/>
                <w:color w:val="auto"/>
                <w:szCs w:val="21"/>
                <w:highlight w:val="none"/>
              </w:rPr>
            </w:pPr>
            <w:r>
              <w:rPr>
                <w:rFonts w:hint="eastAsia" w:ascii="宋体" w:hAnsi="宋体"/>
                <w:color w:val="auto"/>
                <w:szCs w:val="21"/>
                <w:highlight w:val="none"/>
              </w:rPr>
              <w:t>签订合同时间</w:t>
            </w:r>
          </w:p>
        </w:tc>
        <w:tc>
          <w:tcPr>
            <w:tcW w:w="6462" w:type="dxa"/>
            <w:vAlign w:val="center"/>
          </w:tcPr>
          <w:p w14:paraId="1026BACF">
            <w:pPr>
              <w:spacing w:line="360" w:lineRule="exact"/>
              <w:rPr>
                <w:rFonts w:ascii="宋体" w:hAnsi="宋体"/>
                <w:color w:val="auto"/>
                <w:szCs w:val="21"/>
                <w:highlight w:val="none"/>
              </w:rPr>
            </w:pPr>
            <w:r>
              <w:rPr>
                <w:rFonts w:hint="eastAsia" w:ascii="宋体" w:hAnsi="宋体"/>
                <w:color w:val="auto"/>
                <w:szCs w:val="21"/>
                <w:highlight w:val="none"/>
              </w:rPr>
              <w:t>成交通知书发出之日起三十日内。</w:t>
            </w:r>
          </w:p>
        </w:tc>
      </w:tr>
      <w:tr w14:paraId="6E21F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534" w:type="dxa"/>
            <w:vAlign w:val="center"/>
          </w:tcPr>
          <w:p w14:paraId="69D6D784">
            <w:pPr>
              <w:spacing w:line="36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22</w:t>
            </w:r>
          </w:p>
        </w:tc>
        <w:tc>
          <w:tcPr>
            <w:tcW w:w="992" w:type="dxa"/>
            <w:vAlign w:val="center"/>
          </w:tcPr>
          <w:p w14:paraId="7EE6D30E">
            <w:pPr>
              <w:spacing w:line="360" w:lineRule="exact"/>
              <w:jc w:val="center"/>
              <w:rPr>
                <w:rFonts w:ascii="宋体" w:hAnsi="宋体"/>
                <w:color w:val="auto"/>
                <w:szCs w:val="21"/>
                <w:highlight w:val="none"/>
              </w:rPr>
            </w:pPr>
            <w:r>
              <w:rPr>
                <w:rFonts w:hint="eastAsia" w:ascii="宋体" w:hAnsi="宋体"/>
                <w:color w:val="auto"/>
                <w:szCs w:val="21"/>
                <w:highlight w:val="none"/>
              </w:rPr>
              <w:t>29.3</w:t>
            </w:r>
          </w:p>
        </w:tc>
        <w:tc>
          <w:tcPr>
            <w:tcW w:w="1901" w:type="dxa"/>
            <w:vAlign w:val="center"/>
          </w:tcPr>
          <w:p w14:paraId="16619EAD">
            <w:pPr>
              <w:spacing w:line="360" w:lineRule="exact"/>
              <w:jc w:val="center"/>
              <w:rPr>
                <w:rFonts w:ascii="宋体" w:hAnsi="宋体"/>
                <w:color w:val="auto"/>
                <w:szCs w:val="21"/>
                <w:highlight w:val="none"/>
              </w:rPr>
            </w:pPr>
            <w:r>
              <w:rPr>
                <w:rFonts w:hint="eastAsia" w:ascii="宋体" w:hAnsi="宋体"/>
                <w:color w:val="auto"/>
                <w:szCs w:val="21"/>
                <w:highlight w:val="none"/>
              </w:rPr>
              <w:t>合同备案存档</w:t>
            </w:r>
          </w:p>
        </w:tc>
        <w:tc>
          <w:tcPr>
            <w:tcW w:w="6462" w:type="dxa"/>
            <w:vAlign w:val="center"/>
          </w:tcPr>
          <w:p w14:paraId="11A8FA82">
            <w:pPr>
              <w:spacing w:line="360" w:lineRule="exact"/>
              <w:rPr>
                <w:rFonts w:ascii="宋体" w:hAnsi="宋体"/>
                <w:color w:val="auto"/>
                <w:szCs w:val="21"/>
                <w:highlight w:val="none"/>
              </w:rPr>
            </w:pPr>
            <w:r>
              <w:rPr>
                <w:rFonts w:hint="eastAsia" w:ascii="宋体" w:hAnsi="宋体"/>
                <w:color w:val="auto"/>
                <w:szCs w:val="21"/>
                <w:highlight w:val="none"/>
              </w:rPr>
              <w:t>政府采购合同双方自签订之日起1个工作日内将合同</w:t>
            </w:r>
            <w:r>
              <w:rPr>
                <w:rFonts w:hint="eastAsia" w:ascii="宋体" w:hAnsi="宋体"/>
                <w:color w:val="auto"/>
                <w:szCs w:val="21"/>
                <w:highlight w:val="none"/>
                <w:lang w:val="en-US" w:eastAsia="zh-CN"/>
              </w:rPr>
              <w:t>扫描件</w:t>
            </w:r>
            <w:r>
              <w:rPr>
                <w:rFonts w:hint="eastAsia" w:ascii="宋体" w:hAnsi="宋体"/>
                <w:color w:val="auto"/>
                <w:szCs w:val="21"/>
                <w:highlight w:val="none"/>
              </w:rPr>
              <w:t>一份交采购代理机构。</w:t>
            </w:r>
          </w:p>
        </w:tc>
      </w:tr>
      <w:tr w14:paraId="6E056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34" w:type="dxa"/>
            <w:vAlign w:val="center"/>
          </w:tcPr>
          <w:p w14:paraId="24DA313E">
            <w:pPr>
              <w:spacing w:line="36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23</w:t>
            </w:r>
          </w:p>
        </w:tc>
        <w:tc>
          <w:tcPr>
            <w:tcW w:w="992" w:type="dxa"/>
            <w:vAlign w:val="center"/>
          </w:tcPr>
          <w:p w14:paraId="44770227">
            <w:pPr>
              <w:spacing w:line="360" w:lineRule="exact"/>
              <w:jc w:val="center"/>
              <w:rPr>
                <w:rFonts w:ascii="宋体" w:hAnsi="宋体"/>
                <w:color w:val="auto"/>
                <w:szCs w:val="21"/>
                <w:highlight w:val="none"/>
              </w:rPr>
            </w:pPr>
            <w:r>
              <w:rPr>
                <w:rFonts w:hint="eastAsia" w:ascii="宋体" w:hAnsi="宋体"/>
                <w:color w:val="auto"/>
                <w:szCs w:val="21"/>
                <w:highlight w:val="none"/>
              </w:rPr>
              <w:t>30</w:t>
            </w:r>
          </w:p>
        </w:tc>
        <w:tc>
          <w:tcPr>
            <w:tcW w:w="1901" w:type="dxa"/>
            <w:vAlign w:val="center"/>
          </w:tcPr>
          <w:p w14:paraId="003FE92E">
            <w:pPr>
              <w:spacing w:line="360" w:lineRule="exact"/>
              <w:jc w:val="center"/>
              <w:rPr>
                <w:rFonts w:ascii="宋体" w:hAnsi="宋体"/>
                <w:color w:val="auto"/>
                <w:szCs w:val="21"/>
                <w:highlight w:val="none"/>
              </w:rPr>
            </w:pPr>
            <w:r>
              <w:rPr>
                <w:rFonts w:hint="eastAsia" w:ascii="宋体" w:hAnsi="宋体"/>
                <w:color w:val="auto"/>
                <w:szCs w:val="21"/>
                <w:highlight w:val="none"/>
              </w:rPr>
              <w:t>采购代理服务费</w:t>
            </w:r>
          </w:p>
        </w:tc>
        <w:tc>
          <w:tcPr>
            <w:tcW w:w="6462" w:type="dxa"/>
            <w:vAlign w:val="center"/>
          </w:tcPr>
          <w:p w14:paraId="5B0EEDB4">
            <w:pPr>
              <w:pStyle w:val="16"/>
              <w:spacing w:line="400" w:lineRule="exact"/>
              <w:rPr>
                <w:rFonts w:hint="eastAsia" w:ascii="宋体" w:hAnsi="宋体" w:eastAsia="宋体" w:cs="宋体"/>
                <w:color w:val="auto"/>
                <w:szCs w:val="21"/>
                <w:highlight w:val="none"/>
                <w:lang w:val="zh-CN"/>
              </w:rPr>
            </w:pPr>
            <w:r>
              <w:rPr>
                <w:rFonts w:hint="eastAsia" w:ascii="宋体" w:hAnsi="宋体" w:eastAsia="宋体" w:cs="宋体"/>
                <w:bCs/>
                <w:color w:val="auto"/>
                <w:kern w:val="0"/>
                <w:szCs w:val="21"/>
                <w:highlight w:val="none"/>
              </w:rPr>
              <w:t>参考执行国家发展计划委员会计价格〔2015〕299号文件的取费标准</w:t>
            </w:r>
            <w:r>
              <w:rPr>
                <w:rFonts w:hint="eastAsia" w:ascii="宋体" w:hAnsi="宋体" w:eastAsia="宋体" w:cs="宋体"/>
                <w:color w:val="auto"/>
                <w:szCs w:val="21"/>
                <w:highlight w:val="none"/>
                <w:lang w:val="zh-CN"/>
              </w:rPr>
              <w:t>进行计算。</w:t>
            </w:r>
          </w:p>
          <w:p w14:paraId="3EDA4E09">
            <w:pPr>
              <w:pStyle w:val="16"/>
              <w:spacing w:line="400" w:lineRule="exact"/>
              <w:rPr>
                <w:rFonts w:hint="default" w:ascii="宋体" w:hAnsi="宋体" w:eastAsia="宋体" w:cs="宋体"/>
                <w:b/>
                <w:bCs/>
                <w:color w:val="auto"/>
                <w:szCs w:val="21"/>
                <w:highlight w:val="none"/>
                <w:lang w:val="en-US" w:eastAsia="zh-CN"/>
              </w:rPr>
            </w:pPr>
            <w:r>
              <w:rPr>
                <w:rFonts w:hint="default" w:ascii="宋体" w:hAnsi="宋体" w:eastAsia="宋体" w:cs="宋体"/>
                <w:b/>
                <w:bCs/>
                <w:color w:val="auto"/>
                <w:szCs w:val="21"/>
                <w:highlight w:val="none"/>
                <w:lang w:val="en-US" w:eastAsia="zh-CN"/>
              </w:rPr>
              <w:t>代理服务收费账户信息：</w:t>
            </w:r>
          </w:p>
          <w:p w14:paraId="4D65B812">
            <w:pPr>
              <w:pStyle w:val="16"/>
              <w:spacing w:line="400" w:lineRule="exact"/>
              <w:rPr>
                <w:rFonts w:hint="eastAsia" w:hAnsi="宋体" w:cs="宋体"/>
                <w:color w:val="auto"/>
                <w:szCs w:val="21"/>
                <w:highlight w:val="none"/>
                <w:lang w:val="en-US" w:eastAsia="zh-CN"/>
              </w:rPr>
            </w:pPr>
            <w:r>
              <w:rPr>
                <w:rFonts w:hint="default" w:ascii="宋体" w:hAnsi="宋体" w:eastAsia="宋体" w:cs="宋体"/>
                <w:color w:val="auto"/>
                <w:szCs w:val="21"/>
                <w:highlight w:val="none"/>
                <w:lang w:val="en-US" w:eastAsia="zh-CN"/>
              </w:rPr>
              <w:t>名称：</w:t>
            </w:r>
            <w:r>
              <w:rPr>
                <w:rFonts w:hint="eastAsia" w:hAnsi="宋体" w:cs="宋体"/>
                <w:color w:val="auto"/>
                <w:szCs w:val="21"/>
                <w:highlight w:val="none"/>
                <w:lang w:val="en-US" w:eastAsia="zh-CN"/>
              </w:rPr>
              <w:t>敦化市宏远建设项目管理有限责任公司</w:t>
            </w:r>
          </w:p>
          <w:p w14:paraId="7A24E0D9">
            <w:pPr>
              <w:pStyle w:val="16"/>
              <w:spacing w:line="400" w:lineRule="exact"/>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开户行：</w:t>
            </w:r>
            <w:r>
              <w:rPr>
                <w:rFonts w:hint="eastAsia" w:asciiTheme="minorEastAsia" w:hAnsiTheme="minorEastAsia" w:eastAsiaTheme="minorEastAsia" w:cstheme="minorEastAsia"/>
                <w:color w:val="auto"/>
                <w:sz w:val="21"/>
                <w:szCs w:val="21"/>
                <w:highlight w:val="none"/>
                <w:lang w:eastAsia="zh-CN"/>
              </w:rPr>
              <w:t>中国建设银行敦化市支行</w:t>
            </w:r>
          </w:p>
          <w:p w14:paraId="73DAC803">
            <w:pPr>
              <w:pStyle w:val="16"/>
              <w:spacing w:line="400" w:lineRule="exact"/>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账号：</w:t>
            </w:r>
            <w:r>
              <w:rPr>
                <w:rFonts w:hint="eastAsia"/>
                <w:lang w:eastAsia="zh-CN"/>
              </w:rPr>
              <w:t>22001686338059658888</w:t>
            </w:r>
          </w:p>
        </w:tc>
      </w:tr>
      <w:tr w14:paraId="79EB2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534" w:type="dxa"/>
            <w:vAlign w:val="center"/>
          </w:tcPr>
          <w:p w14:paraId="3D0FB306">
            <w:pPr>
              <w:spacing w:line="36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24</w:t>
            </w:r>
          </w:p>
        </w:tc>
        <w:tc>
          <w:tcPr>
            <w:tcW w:w="992" w:type="dxa"/>
            <w:vAlign w:val="center"/>
          </w:tcPr>
          <w:p w14:paraId="477D905C">
            <w:pPr>
              <w:spacing w:line="360" w:lineRule="exact"/>
              <w:jc w:val="center"/>
              <w:rPr>
                <w:rFonts w:ascii="宋体" w:hAnsi="宋体"/>
                <w:color w:val="auto"/>
                <w:szCs w:val="21"/>
                <w:highlight w:val="none"/>
              </w:rPr>
            </w:pPr>
            <w:r>
              <w:rPr>
                <w:rFonts w:hint="eastAsia" w:ascii="宋体" w:hAnsi="宋体"/>
                <w:color w:val="auto"/>
                <w:szCs w:val="21"/>
                <w:highlight w:val="none"/>
              </w:rPr>
              <w:t>31</w:t>
            </w:r>
          </w:p>
        </w:tc>
        <w:tc>
          <w:tcPr>
            <w:tcW w:w="1901" w:type="dxa"/>
            <w:vAlign w:val="center"/>
          </w:tcPr>
          <w:p w14:paraId="54FAE144">
            <w:pPr>
              <w:spacing w:line="360" w:lineRule="exact"/>
              <w:jc w:val="center"/>
              <w:rPr>
                <w:rFonts w:ascii="宋体" w:hAnsi="宋体"/>
                <w:color w:val="auto"/>
                <w:szCs w:val="21"/>
                <w:highlight w:val="none"/>
              </w:rPr>
            </w:pPr>
            <w:r>
              <w:rPr>
                <w:rFonts w:hint="eastAsia" w:ascii="宋体" w:hAnsi="宋体"/>
                <w:color w:val="auto"/>
                <w:szCs w:val="21"/>
                <w:highlight w:val="none"/>
              </w:rPr>
              <w:t>解释权</w:t>
            </w:r>
          </w:p>
        </w:tc>
        <w:tc>
          <w:tcPr>
            <w:tcW w:w="6462" w:type="dxa"/>
            <w:vAlign w:val="center"/>
          </w:tcPr>
          <w:p w14:paraId="72DB4062">
            <w:pPr>
              <w:spacing w:line="360" w:lineRule="exact"/>
              <w:rPr>
                <w:rFonts w:ascii="宋体" w:hAnsi="宋体"/>
                <w:color w:val="auto"/>
                <w:szCs w:val="21"/>
                <w:highlight w:val="none"/>
              </w:rPr>
            </w:pPr>
            <w:r>
              <w:rPr>
                <w:rFonts w:hint="eastAsia" w:ascii="宋体" w:hAnsi="宋体"/>
                <w:color w:val="auto"/>
                <w:szCs w:val="21"/>
                <w:highlight w:val="none"/>
              </w:rPr>
              <w:t>本竞争性谈判文件是根据《中华人民共和国政府采购法》、《中华人民共和国政府采购法实施条例》、《政府采购非招标采购方式管理办法》和政府采购管理有关规定编制，本竞争性谈判文件的解释权属于采购代理机构。</w:t>
            </w:r>
          </w:p>
        </w:tc>
      </w:tr>
      <w:tr w14:paraId="15461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534" w:type="dxa"/>
            <w:vAlign w:val="center"/>
          </w:tcPr>
          <w:p w14:paraId="13927327">
            <w:pPr>
              <w:spacing w:line="36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rPr>
              <w:t>2</w:t>
            </w:r>
            <w:r>
              <w:rPr>
                <w:rFonts w:hint="eastAsia" w:ascii="宋体" w:hAnsi="宋体"/>
                <w:color w:val="auto"/>
                <w:szCs w:val="21"/>
                <w:highlight w:val="none"/>
                <w:lang w:val="en-US" w:eastAsia="zh-CN"/>
              </w:rPr>
              <w:t>5</w:t>
            </w:r>
          </w:p>
        </w:tc>
        <w:tc>
          <w:tcPr>
            <w:tcW w:w="992" w:type="dxa"/>
            <w:vAlign w:val="center"/>
          </w:tcPr>
          <w:p w14:paraId="5E411472">
            <w:pPr>
              <w:spacing w:line="360" w:lineRule="exact"/>
              <w:jc w:val="center"/>
              <w:rPr>
                <w:rFonts w:ascii="宋体" w:hAnsi="宋体"/>
                <w:color w:val="auto"/>
                <w:szCs w:val="21"/>
                <w:highlight w:val="none"/>
              </w:rPr>
            </w:pPr>
            <w:r>
              <w:rPr>
                <w:rFonts w:hint="eastAsia" w:ascii="宋体" w:hAnsi="宋体"/>
                <w:color w:val="auto"/>
                <w:szCs w:val="21"/>
                <w:highlight w:val="none"/>
              </w:rPr>
              <w:t>33</w:t>
            </w:r>
          </w:p>
        </w:tc>
        <w:tc>
          <w:tcPr>
            <w:tcW w:w="1901" w:type="dxa"/>
            <w:vAlign w:val="center"/>
          </w:tcPr>
          <w:p w14:paraId="0CC2CBC6">
            <w:pPr>
              <w:spacing w:line="360" w:lineRule="exact"/>
              <w:jc w:val="center"/>
              <w:rPr>
                <w:rFonts w:ascii="宋体" w:hAnsi="宋体"/>
                <w:color w:val="auto"/>
                <w:szCs w:val="21"/>
                <w:highlight w:val="none"/>
              </w:rPr>
            </w:pPr>
            <w:r>
              <w:rPr>
                <w:rFonts w:hint="eastAsia" w:ascii="宋体" w:hAnsi="宋体"/>
                <w:color w:val="auto"/>
                <w:szCs w:val="21"/>
                <w:highlight w:val="none"/>
              </w:rPr>
              <w:t>采购代理机构</w:t>
            </w:r>
          </w:p>
        </w:tc>
        <w:tc>
          <w:tcPr>
            <w:tcW w:w="6462" w:type="dxa"/>
            <w:vAlign w:val="center"/>
          </w:tcPr>
          <w:p w14:paraId="335BC997">
            <w:pPr>
              <w:spacing w:line="340" w:lineRule="exact"/>
              <w:rPr>
                <w:rFonts w:hint="eastAsia" w:ascii="宋体" w:hAnsi="宋体" w:eastAsia="宋体"/>
                <w:color w:val="auto"/>
                <w:szCs w:val="21"/>
                <w:highlight w:val="none"/>
                <w:lang w:eastAsia="zh-CN"/>
              </w:rPr>
            </w:pPr>
            <w:r>
              <w:rPr>
                <w:rFonts w:hint="eastAsia" w:ascii="宋体" w:hAnsi="宋体"/>
                <w:color w:val="auto"/>
                <w:szCs w:val="21"/>
                <w:highlight w:val="none"/>
              </w:rPr>
              <w:t>采购代理机构：</w:t>
            </w:r>
            <w:r>
              <w:rPr>
                <w:rFonts w:hint="eastAsia" w:ascii="宋体" w:hAnsi="宋体"/>
                <w:color w:val="auto"/>
                <w:szCs w:val="21"/>
                <w:highlight w:val="none"/>
                <w:lang w:eastAsia="zh-CN"/>
              </w:rPr>
              <w:t>敦化市宏远建设项目管理有限责任公司</w:t>
            </w:r>
          </w:p>
          <w:p w14:paraId="6862A898">
            <w:pPr>
              <w:spacing w:line="340" w:lineRule="exact"/>
              <w:rPr>
                <w:rFonts w:hint="eastAsia" w:ascii="宋体" w:hAnsi="宋体" w:eastAsia="宋体"/>
                <w:color w:val="auto"/>
                <w:szCs w:val="21"/>
                <w:highlight w:val="none"/>
                <w:lang w:eastAsia="zh-CN"/>
              </w:rPr>
            </w:pPr>
            <w:r>
              <w:rPr>
                <w:rFonts w:hint="eastAsia" w:ascii="宋体" w:hAnsi="宋体"/>
                <w:color w:val="auto"/>
                <w:szCs w:val="21"/>
                <w:highlight w:val="none"/>
              </w:rPr>
              <w:t>地  址</w:t>
            </w:r>
            <w:r>
              <w:rPr>
                <w:rFonts w:ascii="宋体" w:hAnsi="宋体"/>
                <w:color w:val="auto"/>
                <w:szCs w:val="21"/>
                <w:highlight w:val="none"/>
              </w:rPr>
              <w:t>:</w:t>
            </w:r>
            <w:r>
              <w:rPr>
                <w:rFonts w:hint="eastAsia" w:ascii="宋体" w:hAnsi="宋体"/>
                <w:color w:val="auto"/>
                <w:szCs w:val="21"/>
                <w:highlight w:val="none"/>
              </w:rPr>
              <w:t xml:space="preserve"> </w:t>
            </w:r>
            <w:r>
              <w:rPr>
                <w:rFonts w:hint="eastAsia" w:ascii="宋体" w:hAnsi="宋体"/>
                <w:color w:val="auto"/>
                <w:szCs w:val="21"/>
                <w:highlight w:val="none"/>
                <w:lang w:eastAsia="zh-CN"/>
              </w:rPr>
              <w:t>敦化市工农路118号</w:t>
            </w:r>
          </w:p>
          <w:p w14:paraId="3D71F0DB">
            <w:pPr>
              <w:spacing w:line="340" w:lineRule="exact"/>
              <w:rPr>
                <w:rFonts w:ascii="宋体" w:hAnsi="宋体"/>
                <w:color w:val="auto"/>
                <w:szCs w:val="21"/>
                <w:highlight w:val="none"/>
              </w:rPr>
            </w:pPr>
            <w:r>
              <w:rPr>
                <w:rFonts w:hint="eastAsia" w:ascii="宋体" w:hAnsi="宋体"/>
                <w:color w:val="auto"/>
                <w:szCs w:val="21"/>
                <w:highlight w:val="none"/>
              </w:rPr>
              <w:t>项目联系人：</w:t>
            </w:r>
            <w:r>
              <w:rPr>
                <w:rFonts w:hint="eastAsia" w:cs="宋体"/>
                <w:color w:val="auto"/>
                <w:kern w:val="0"/>
                <w:sz w:val="21"/>
                <w:szCs w:val="21"/>
                <w:highlight w:val="none"/>
                <w:lang w:val="en-US" w:eastAsia="zh-CN" w:bidi="ar-SA"/>
              </w:rPr>
              <w:t>韦琦</w:t>
            </w:r>
            <w:r>
              <w:rPr>
                <w:rFonts w:ascii="宋体" w:hAnsi="宋体"/>
                <w:color w:val="auto"/>
                <w:szCs w:val="21"/>
                <w:highlight w:val="none"/>
              </w:rPr>
              <w:t xml:space="preserve">   </w:t>
            </w:r>
            <w:r>
              <w:rPr>
                <w:rFonts w:hint="eastAsia" w:ascii="宋体" w:hAnsi="宋体"/>
                <w:color w:val="auto"/>
                <w:szCs w:val="21"/>
                <w:highlight w:val="none"/>
              </w:rPr>
              <w:t xml:space="preserve">   联系电话：</w:t>
            </w:r>
            <w:r>
              <w:rPr>
                <w:rFonts w:hint="eastAsia" w:ascii="宋体" w:hAnsi="宋体"/>
                <w:color w:val="auto"/>
                <w:szCs w:val="21"/>
                <w:highlight w:val="none"/>
                <w:lang w:val="en-US" w:eastAsia="zh-CN"/>
              </w:rPr>
              <w:t>0433-6269200</w:t>
            </w:r>
            <w:r>
              <w:rPr>
                <w:rFonts w:hint="eastAsia" w:ascii="宋体" w:hAnsi="宋体" w:cs="宋体"/>
                <w:color w:val="auto"/>
                <w:szCs w:val="21"/>
                <w:highlight w:val="none"/>
              </w:rPr>
              <w:t xml:space="preserve"> </w:t>
            </w:r>
          </w:p>
        </w:tc>
      </w:tr>
      <w:tr w14:paraId="36DE8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534" w:type="dxa"/>
            <w:vAlign w:val="center"/>
          </w:tcPr>
          <w:p w14:paraId="7EF7FA82">
            <w:pPr>
              <w:spacing w:line="36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26</w:t>
            </w:r>
          </w:p>
        </w:tc>
        <w:tc>
          <w:tcPr>
            <w:tcW w:w="992" w:type="dxa"/>
            <w:vAlign w:val="center"/>
          </w:tcPr>
          <w:p w14:paraId="65740812">
            <w:pPr>
              <w:spacing w:line="36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34</w:t>
            </w:r>
          </w:p>
        </w:tc>
        <w:tc>
          <w:tcPr>
            <w:tcW w:w="1901" w:type="dxa"/>
            <w:vAlign w:val="center"/>
          </w:tcPr>
          <w:p w14:paraId="35BA1D57">
            <w:pPr>
              <w:adjustRightInd w:val="0"/>
              <w:snapToGrid w:val="0"/>
              <w:jc w:val="center"/>
              <w:rPr>
                <w:rFonts w:hint="eastAsia" w:ascii="宋体" w:hAnsi="宋体"/>
                <w:color w:val="auto"/>
                <w:szCs w:val="21"/>
                <w:highlight w:val="none"/>
              </w:rPr>
            </w:pPr>
            <w:r>
              <w:rPr>
                <w:rFonts w:hint="eastAsia" w:ascii="宋体" w:hAnsi="宋体" w:eastAsia="宋体" w:cs="宋体"/>
                <w:szCs w:val="21"/>
                <w:lang w:val="zh-CN"/>
              </w:rPr>
              <w:t>踏勘现场</w:t>
            </w:r>
          </w:p>
        </w:tc>
        <w:tc>
          <w:tcPr>
            <w:tcW w:w="6462" w:type="dxa"/>
            <w:vAlign w:val="center"/>
          </w:tcPr>
          <w:p w14:paraId="43808CB5">
            <w:pPr>
              <w:tabs>
                <w:tab w:val="left" w:pos="7665"/>
              </w:tabs>
              <w:adjustRightInd w:val="0"/>
              <w:snapToGrid w:val="0"/>
              <w:rPr>
                <w:rFonts w:hint="eastAsia" w:ascii="宋体" w:hAnsi="宋体" w:eastAsia="宋体" w:cs="宋体"/>
                <w:szCs w:val="21"/>
              </w:rPr>
            </w:pPr>
            <w:r>
              <w:rPr>
                <w:rFonts w:hint="eastAsia" w:ascii="宋体" w:hAnsi="宋体" w:eastAsia="宋体" w:cs="宋体"/>
                <w:szCs w:val="21"/>
                <w:lang w:eastAsia="zh-CN"/>
              </w:rPr>
              <w:t>☑</w:t>
            </w:r>
            <w:r>
              <w:rPr>
                <w:rFonts w:hint="eastAsia" w:ascii="宋体" w:hAnsi="宋体" w:eastAsia="宋体" w:cs="宋体"/>
                <w:szCs w:val="21"/>
              </w:rPr>
              <w:t xml:space="preserve"> 是</w:t>
            </w:r>
          </w:p>
          <w:p w14:paraId="25D968E5">
            <w:pPr>
              <w:tabs>
                <w:tab w:val="left" w:pos="7665"/>
              </w:tabs>
              <w:adjustRightInd w:val="0"/>
              <w:snapToGrid w:val="0"/>
              <w:rPr>
                <w:rFonts w:hint="eastAsia" w:ascii="宋体" w:hAnsi="宋体" w:eastAsia="宋体" w:cs="宋体"/>
                <w:szCs w:val="21"/>
                <w:lang w:val="en-US" w:eastAsia="zh-CN"/>
              </w:rPr>
            </w:pPr>
            <w:r>
              <w:rPr>
                <w:rFonts w:hint="eastAsia" w:ascii="宋体" w:hAnsi="宋体" w:eastAsia="宋体" w:cs="宋体"/>
                <w:szCs w:val="21"/>
              </w:rPr>
              <w:t xml:space="preserve">时间： </w:t>
            </w:r>
            <w:r>
              <w:rPr>
                <w:rFonts w:hint="eastAsia" w:ascii="宋体" w:hAnsi="宋体" w:eastAsia="宋体" w:cs="宋体"/>
                <w:szCs w:val="21"/>
                <w:lang w:val="en-US" w:eastAsia="zh-CN"/>
              </w:rPr>
              <w:t>2025年07月05日</w:t>
            </w:r>
            <w:r>
              <w:rPr>
                <w:rFonts w:hint="eastAsia" w:ascii="宋体" w:hAnsi="宋体" w:eastAsia="宋体" w:cs="宋体"/>
                <w:szCs w:val="21"/>
              </w:rPr>
              <w:t xml:space="preserve">  地点：</w:t>
            </w:r>
            <w:r>
              <w:rPr>
                <w:rFonts w:hint="eastAsia" w:ascii="宋体" w:hAnsi="宋体" w:eastAsia="宋体" w:cs="宋体"/>
                <w:szCs w:val="21"/>
                <w:lang w:val="en-US" w:eastAsia="zh-CN"/>
              </w:rPr>
              <w:t>敦化市敦化市翰章大街989号</w:t>
            </w:r>
          </w:p>
          <w:p w14:paraId="5C120278">
            <w:pPr>
              <w:tabs>
                <w:tab w:val="left" w:pos="7665"/>
              </w:tabs>
              <w:adjustRightInd w:val="0"/>
              <w:snapToGrid w:val="0"/>
              <w:rPr>
                <w:rFonts w:hint="eastAsia" w:ascii="宋体" w:hAnsi="宋体" w:eastAsia="宋体" w:cs="宋体"/>
                <w:szCs w:val="21"/>
              </w:rPr>
            </w:pPr>
            <w:r>
              <w:rPr>
                <w:rFonts w:hint="eastAsia" w:ascii="宋体" w:hAnsi="宋体" w:eastAsia="宋体" w:cs="宋体"/>
                <w:szCs w:val="21"/>
                <w:lang w:val="en-US" w:eastAsia="zh-CN"/>
              </w:rPr>
              <w:t>联系人：费先生联系电话：15943340688</w:t>
            </w:r>
            <w:r>
              <w:rPr>
                <w:rFonts w:hint="eastAsia" w:ascii="宋体" w:hAnsi="宋体" w:eastAsia="宋体" w:cs="宋体"/>
                <w:szCs w:val="21"/>
              </w:rPr>
              <w:t xml:space="preserve">            </w:t>
            </w:r>
          </w:p>
          <w:p w14:paraId="63E90792">
            <w:pPr>
              <w:adjustRightInd w:val="0"/>
              <w:snapToGrid w:val="0"/>
              <w:rPr>
                <w:rFonts w:hint="eastAsia" w:ascii="宋体" w:hAnsi="宋体"/>
                <w:color w:val="auto"/>
                <w:szCs w:val="21"/>
                <w:highlight w:val="none"/>
              </w:rPr>
            </w:pPr>
            <w:r>
              <w:rPr>
                <w:rFonts w:hint="eastAsia" w:ascii="宋体" w:hAnsi="宋体" w:eastAsia="宋体" w:cs="宋体"/>
                <w:szCs w:val="21"/>
                <w:lang w:eastAsia="zh-CN"/>
              </w:rPr>
              <w:t>□</w:t>
            </w:r>
            <w:r>
              <w:rPr>
                <w:rFonts w:hint="eastAsia" w:ascii="宋体" w:hAnsi="宋体" w:eastAsia="宋体" w:cs="宋体"/>
                <w:szCs w:val="21"/>
              </w:rPr>
              <w:t xml:space="preserve"> 否</w:t>
            </w:r>
          </w:p>
        </w:tc>
      </w:tr>
    </w:tbl>
    <w:p w14:paraId="7642A26E">
      <w:pPr>
        <w:rPr>
          <w:rFonts w:hint="eastAsia" w:ascii="宋体" w:hAnsi="宋体"/>
          <w:b/>
          <w:color w:val="auto"/>
          <w:szCs w:val="21"/>
          <w:highlight w:val="none"/>
        </w:rPr>
      </w:pPr>
      <w:r>
        <w:rPr>
          <w:rFonts w:hint="eastAsia" w:ascii="宋体" w:hAnsi="宋体"/>
          <w:b/>
          <w:color w:val="auto"/>
          <w:szCs w:val="21"/>
          <w:highlight w:val="none"/>
        </w:rPr>
        <w:br w:type="page"/>
      </w:r>
    </w:p>
    <w:p w14:paraId="7444D307">
      <w:pPr>
        <w:keepNext w:val="0"/>
        <w:keepLines w:val="0"/>
        <w:pageBreakBefore w:val="0"/>
        <w:widowControl w:val="0"/>
        <w:kinsoku/>
        <w:wordWrap/>
        <w:overflowPunct/>
        <w:topLinePunct w:val="0"/>
        <w:autoSpaceDE/>
        <w:autoSpaceDN/>
        <w:bidi w:val="0"/>
        <w:adjustRightInd/>
        <w:snapToGrid/>
        <w:spacing w:line="400" w:lineRule="exact"/>
        <w:ind w:firstLine="211" w:firstLineChars="100"/>
        <w:textAlignment w:val="auto"/>
        <w:rPr>
          <w:rFonts w:ascii="宋体" w:hAnsi="宋体"/>
          <w:color w:val="auto"/>
          <w:highlight w:val="none"/>
        </w:rPr>
      </w:pPr>
      <w:r>
        <w:rPr>
          <w:rFonts w:hint="eastAsia" w:ascii="宋体" w:hAnsi="宋体"/>
          <w:b/>
          <w:color w:val="auto"/>
          <w:szCs w:val="21"/>
          <w:highlight w:val="none"/>
        </w:rPr>
        <w:t>1、适应范围</w:t>
      </w:r>
    </w:p>
    <w:p w14:paraId="76147D29">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color w:val="auto"/>
          <w:szCs w:val="21"/>
          <w:highlight w:val="none"/>
        </w:rPr>
      </w:pPr>
      <w:r>
        <w:rPr>
          <w:rFonts w:hint="eastAsia" w:ascii="宋体" w:hAnsi="宋体"/>
          <w:color w:val="auto"/>
          <w:szCs w:val="21"/>
          <w:highlight w:val="none"/>
        </w:rPr>
        <w:t>1.1 项目名称</w:t>
      </w:r>
    </w:p>
    <w:p w14:paraId="2D69B7B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olor w:val="auto"/>
          <w:highlight w:val="none"/>
          <w:lang w:eastAsia="zh-CN"/>
        </w:rPr>
      </w:pPr>
      <w:r>
        <w:rPr>
          <w:rFonts w:hint="eastAsia" w:ascii="宋体" w:hAnsi="宋体"/>
          <w:color w:val="auto"/>
          <w:szCs w:val="21"/>
          <w:highlight w:val="none"/>
        </w:rPr>
        <w:t>项目名称：</w:t>
      </w:r>
      <w:r>
        <w:rPr>
          <w:rFonts w:hint="eastAsia" w:ascii="宋体" w:hAnsi="宋体" w:cs="黑体"/>
          <w:bCs/>
          <w:color w:val="auto"/>
          <w:kern w:val="0"/>
          <w:szCs w:val="21"/>
          <w:highlight w:val="none"/>
          <w:lang w:eastAsia="zh-CN"/>
        </w:rPr>
        <w:t>广播电视微波综合铁塔健康智能监测系统升级项目</w:t>
      </w:r>
    </w:p>
    <w:p w14:paraId="004D24AD">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color w:val="auto"/>
          <w:szCs w:val="21"/>
          <w:highlight w:val="none"/>
        </w:rPr>
      </w:pPr>
      <w:r>
        <w:rPr>
          <w:rFonts w:hint="eastAsia" w:ascii="宋体" w:hAnsi="宋体"/>
          <w:color w:val="auto"/>
          <w:szCs w:val="21"/>
          <w:highlight w:val="none"/>
        </w:rPr>
        <w:t>1.2本竞争性谈判文件（以下简称谈判文件）适用于本谈判项目的谈判、评标、合同履约、验收、付款等行为（法律、法规另有规定的，从其规定）。</w:t>
      </w:r>
    </w:p>
    <w:p w14:paraId="585806D4">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hint="eastAsia" w:ascii="宋体" w:hAnsi="宋体" w:eastAsia="宋体"/>
          <w:b/>
          <w:color w:val="auto"/>
          <w:szCs w:val="21"/>
          <w:highlight w:val="none"/>
          <w:lang w:val="en-US" w:eastAsia="zh-CN"/>
        </w:rPr>
      </w:pPr>
      <w:r>
        <w:rPr>
          <w:rFonts w:hint="eastAsia" w:ascii="宋体" w:hAnsi="宋体"/>
          <w:b/>
          <w:color w:val="auto"/>
          <w:szCs w:val="21"/>
          <w:highlight w:val="none"/>
        </w:rPr>
        <w:t>2、定义</w:t>
      </w:r>
      <w:r>
        <w:rPr>
          <w:rFonts w:hint="eastAsia" w:ascii="宋体" w:hAnsi="宋体"/>
          <w:b/>
          <w:color w:val="auto"/>
          <w:szCs w:val="21"/>
          <w:highlight w:val="none"/>
          <w:lang w:val="en-US" w:eastAsia="zh-CN"/>
        </w:rPr>
        <w:t xml:space="preserve"> </w:t>
      </w:r>
    </w:p>
    <w:p w14:paraId="591BC3AC">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color w:val="auto"/>
          <w:szCs w:val="21"/>
          <w:highlight w:val="none"/>
        </w:rPr>
      </w:pPr>
      <w:r>
        <w:rPr>
          <w:rFonts w:hint="eastAsia" w:ascii="宋体" w:hAnsi="宋体"/>
          <w:color w:val="auto"/>
          <w:szCs w:val="21"/>
          <w:highlight w:val="none"/>
        </w:rPr>
        <w:t>2.1、“供应商”是指符合本次采购项目的供应商资格并提交响应文件、参加谈判的供应商。如果该供应商在本次谈判中成交，即成为“成交供应商”。</w:t>
      </w:r>
    </w:p>
    <w:p w14:paraId="721A0617">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color w:val="auto"/>
          <w:szCs w:val="21"/>
          <w:highlight w:val="none"/>
        </w:rPr>
      </w:pPr>
      <w:r>
        <w:rPr>
          <w:rFonts w:hint="eastAsia" w:ascii="宋体" w:hAnsi="宋体"/>
          <w:color w:val="auto"/>
          <w:szCs w:val="21"/>
          <w:highlight w:val="none"/>
        </w:rPr>
        <w:t>2.2、“货物”系指按谈判文件规定，供应商须向采购人提供的一切设备、保险、税金、备品备件、工具、手册及其它有关技术资料和材料。</w:t>
      </w:r>
    </w:p>
    <w:p w14:paraId="1E598B73">
      <w:pPr>
        <w:spacing w:line="400" w:lineRule="exact"/>
        <w:ind w:firstLine="435"/>
        <w:rPr>
          <w:rFonts w:hint="eastAsia" w:ascii="宋体" w:hAnsi="宋体" w:eastAsia="宋体"/>
          <w:color w:val="auto"/>
          <w:szCs w:val="21"/>
          <w:highlight w:val="none"/>
          <w:lang w:eastAsia="zh-CN"/>
        </w:rPr>
      </w:pPr>
      <w:r>
        <w:rPr>
          <w:rFonts w:hint="eastAsia" w:ascii="宋体" w:hAnsi="宋体"/>
          <w:color w:val="auto"/>
          <w:szCs w:val="21"/>
          <w:highlight w:val="none"/>
        </w:rPr>
        <w:t>2.3、“服务”系指按谈判文件规定，供应商须承担的安装、调试、技术协助、校准、培训、技术指导以及其他类似的义务。</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如有</w:t>
      </w:r>
      <w:r>
        <w:rPr>
          <w:rFonts w:hint="eastAsia" w:ascii="宋体" w:hAnsi="宋体"/>
          <w:color w:val="auto"/>
          <w:szCs w:val="21"/>
          <w:highlight w:val="none"/>
          <w:lang w:eastAsia="zh-CN"/>
        </w:rPr>
        <w:t>）</w:t>
      </w:r>
    </w:p>
    <w:p w14:paraId="4AAED15D">
      <w:pPr>
        <w:spacing w:line="400" w:lineRule="exact"/>
        <w:ind w:firstLine="435"/>
        <w:rPr>
          <w:rFonts w:ascii="宋体" w:hAnsi="宋体"/>
          <w:color w:val="auto"/>
          <w:szCs w:val="21"/>
          <w:highlight w:val="none"/>
        </w:rPr>
      </w:pPr>
      <w:r>
        <w:rPr>
          <w:rFonts w:hint="eastAsia" w:ascii="宋体" w:hAnsi="宋体"/>
          <w:color w:val="auto"/>
          <w:szCs w:val="21"/>
          <w:highlight w:val="none"/>
        </w:rPr>
        <w:t>2.4、“项目”系指供应商按谈判文件规定向采购人提供的货物和服务。</w:t>
      </w:r>
    </w:p>
    <w:p w14:paraId="5D75E6CD">
      <w:pPr>
        <w:spacing w:line="400" w:lineRule="exact"/>
        <w:ind w:firstLine="435"/>
        <w:rPr>
          <w:rFonts w:hint="eastAsia" w:ascii="宋体" w:hAnsi="宋体"/>
          <w:color w:val="auto"/>
          <w:szCs w:val="21"/>
          <w:highlight w:val="none"/>
        </w:rPr>
      </w:pPr>
      <w:r>
        <w:rPr>
          <w:rFonts w:hint="eastAsia" w:ascii="宋体" w:hAnsi="宋体"/>
          <w:color w:val="auto"/>
          <w:szCs w:val="21"/>
          <w:highlight w:val="none"/>
        </w:rPr>
        <w:t>2.5、“书面形式”包括信函、传真、电报等。</w:t>
      </w:r>
    </w:p>
    <w:p w14:paraId="0F8CDE7E">
      <w:pPr>
        <w:spacing w:line="400" w:lineRule="exact"/>
        <w:ind w:firstLine="435"/>
        <w:rPr>
          <w:rFonts w:ascii="宋体" w:hAnsi="宋体"/>
          <w:bCs/>
          <w:color w:val="auto"/>
          <w:szCs w:val="21"/>
          <w:highlight w:val="none"/>
        </w:rPr>
      </w:pPr>
      <w:r>
        <w:rPr>
          <w:rFonts w:hint="eastAsia" w:ascii="宋体" w:hAnsi="宋体"/>
          <w:bCs/>
          <w:color w:val="auto"/>
          <w:szCs w:val="21"/>
          <w:highlight w:val="none"/>
        </w:rPr>
        <w:t>2.6、 采购需求表中所有条款均为实质性条款。</w:t>
      </w:r>
    </w:p>
    <w:p w14:paraId="1AF23DF8">
      <w:pPr>
        <w:spacing w:line="400" w:lineRule="exact"/>
        <w:ind w:firstLine="435"/>
        <w:rPr>
          <w:rFonts w:ascii="宋体" w:hAnsi="宋体"/>
          <w:b/>
          <w:color w:val="auto"/>
          <w:szCs w:val="21"/>
          <w:highlight w:val="none"/>
        </w:rPr>
      </w:pPr>
      <w:r>
        <w:rPr>
          <w:rFonts w:hint="eastAsia" w:ascii="宋体" w:hAnsi="宋体"/>
          <w:b/>
          <w:color w:val="auto"/>
          <w:szCs w:val="21"/>
          <w:highlight w:val="none"/>
        </w:rPr>
        <w:t>3、供应商资格</w:t>
      </w:r>
    </w:p>
    <w:p w14:paraId="7B01C7D0">
      <w:pPr>
        <w:spacing w:line="400" w:lineRule="exact"/>
        <w:ind w:firstLine="435"/>
        <w:rPr>
          <w:rFonts w:ascii="宋体" w:hAnsi="宋体"/>
          <w:color w:val="auto"/>
          <w:szCs w:val="21"/>
          <w:highlight w:val="none"/>
        </w:rPr>
      </w:pPr>
      <w:r>
        <w:rPr>
          <w:rFonts w:hint="eastAsia" w:ascii="宋体" w:hAnsi="宋体"/>
          <w:color w:val="auto"/>
          <w:szCs w:val="21"/>
          <w:highlight w:val="none"/>
        </w:rPr>
        <w:t>见供应商须知前附表。</w:t>
      </w:r>
    </w:p>
    <w:p w14:paraId="4F422BAE">
      <w:pPr>
        <w:spacing w:line="400" w:lineRule="exact"/>
        <w:ind w:firstLine="435"/>
        <w:rPr>
          <w:rFonts w:ascii="宋体" w:hAnsi="宋体"/>
          <w:b/>
          <w:color w:val="auto"/>
          <w:szCs w:val="21"/>
          <w:highlight w:val="none"/>
        </w:rPr>
      </w:pPr>
      <w:r>
        <w:rPr>
          <w:rFonts w:hint="eastAsia" w:ascii="宋体" w:hAnsi="宋体"/>
          <w:b/>
          <w:color w:val="auto"/>
          <w:szCs w:val="21"/>
          <w:highlight w:val="none"/>
        </w:rPr>
        <w:t>4、谈判费用</w:t>
      </w:r>
    </w:p>
    <w:p w14:paraId="5AC118BD">
      <w:pPr>
        <w:spacing w:line="400" w:lineRule="exact"/>
        <w:ind w:firstLine="435"/>
        <w:rPr>
          <w:rFonts w:ascii="宋体" w:hAnsi="宋体"/>
          <w:color w:val="auto"/>
          <w:szCs w:val="21"/>
          <w:highlight w:val="none"/>
        </w:rPr>
      </w:pPr>
      <w:r>
        <w:rPr>
          <w:rFonts w:hint="eastAsia" w:ascii="宋体" w:hAnsi="宋体"/>
          <w:color w:val="auto"/>
          <w:szCs w:val="21"/>
          <w:highlight w:val="none"/>
        </w:rPr>
        <w:t>见供应商须知前附表。</w:t>
      </w:r>
    </w:p>
    <w:p w14:paraId="7D339322">
      <w:pPr>
        <w:tabs>
          <w:tab w:val="left" w:pos="1635"/>
        </w:tabs>
        <w:spacing w:line="400" w:lineRule="exact"/>
        <w:ind w:firstLine="435"/>
        <w:rPr>
          <w:rFonts w:hint="eastAsia" w:ascii="宋体" w:hAnsi="宋体"/>
          <w:b/>
          <w:color w:val="auto"/>
          <w:szCs w:val="21"/>
          <w:highlight w:val="none"/>
        </w:rPr>
      </w:pPr>
      <w:r>
        <w:rPr>
          <w:rFonts w:hint="eastAsia" w:ascii="宋体" w:hAnsi="宋体"/>
          <w:b/>
          <w:color w:val="auto"/>
          <w:szCs w:val="21"/>
          <w:highlight w:val="none"/>
        </w:rPr>
        <w:t>5、联合体谈判要求</w:t>
      </w:r>
    </w:p>
    <w:p w14:paraId="71BBF90D">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本项目不接受联合体参与谈判。</w:t>
      </w:r>
    </w:p>
    <w:p w14:paraId="16DE341C">
      <w:pPr>
        <w:tabs>
          <w:tab w:val="left" w:pos="2190"/>
        </w:tabs>
        <w:spacing w:line="400" w:lineRule="exact"/>
        <w:ind w:firstLine="413" w:firstLineChars="196"/>
        <w:rPr>
          <w:rFonts w:ascii="宋体" w:hAnsi="宋体"/>
          <w:b/>
          <w:color w:val="auto"/>
          <w:szCs w:val="21"/>
          <w:highlight w:val="none"/>
        </w:rPr>
      </w:pPr>
      <w:r>
        <w:rPr>
          <w:rFonts w:hint="eastAsia" w:ascii="宋体" w:hAnsi="宋体"/>
          <w:b/>
          <w:color w:val="auto"/>
          <w:szCs w:val="21"/>
          <w:highlight w:val="none"/>
        </w:rPr>
        <w:t>6、质疑和投诉</w:t>
      </w:r>
      <w:r>
        <w:rPr>
          <w:rFonts w:ascii="宋体" w:hAnsi="宋体"/>
          <w:b/>
          <w:color w:val="auto"/>
          <w:szCs w:val="21"/>
          <w:highlight w:val="none"/>
        </w:rPr>
        <w:tab/>
      </w:r>
    </w:p>
    <w:p w14:paraId="36A62C85">
      <w:pPr>
        <w:tabs>
          <w:tab w:val="left" w:pos="2190"/>
        </w:tabs>
        <w:spacing w:line="400" w:lineRule="exact"/>
        <w:ind w:firstLine="435"/>
        <w:rPr>
          <w:rFonts w:hint="eastAsia" w:ascii="宋体" w:hAnsi="宋体"/>
          <w:color w:val="auto"/>
          <w:szCs w:val="21"/>
          <w:highlight w:val="none"/>
        </w:rPr>
      </w:pPr>
      <w:r>
        <w:rPr>
          <w:rFonts w:hint="eastAsia" w:ascii="宋体" w:hAnsi="宋体"/>
          <w:color w:val="auto"/>
          <w:szCs w:val="21"/>
          <w:highlight w:val="none"/>
        </w:rPr>
        <w:t>6.1、</w:t>
      </w:r>
      <w:r>
        <w:rPr>
          <w:rFonts w:hint="eastAsia"/>
          <w:color w:val="auto"/>
          <w:highlight w:val="none"/>
        </w:rPr>
        <w:t>供应对政府采购活动事项有疑问的，可以向采购人、采购代理机构提出询问。</w:t>
      </w:r>
    </w:p>
    <w:p w14:paraId="03416508">
      <w:pPr>
        <w:tabs>
          <w:tab w:val="left" w:pos="2190"/>
        </w:tabs>
        <w:spacing w:line="400" w:lineRule="exact"/>
        <w:ind w:firstLine="435"/>
        <w:rPr>
          <w:color w:val="auto"/>
          <w:szCs w:val="21"/>
          <w:highlight w:val="none"/>
        </w:rPr>
      </w:pPr>
      <w:r>
        <w:rPr>
          <w:rFonts w:hint="eastAsia" w:ascii="宋体" w:hAnsi="宋体"/>
          <w:color w:val="auto"/>
          <w:szCs w:val="21"/>
          <w:highlight w:val="none"/>
        </w:rPr>
        <w:t>6.2、供应商认为谈判文件使自己的合法权益受到损害的，应当在为购买谈判文件之日起七个工作日内，以书面形式</w:t>
      </w:r>
      <w:r>
        <w:rPr>
          <w:rFonts w:hint="eastAsia"/>
          <w:color w:val="auto"/>
          <w:szCs w:val="21"/>
          <w:highlight w:val="none"/>
        </w:rPr>
        <w:t>向采购代理机构提出质疑。采购代理机构应认真做好质疑处理工作。</w:t>
      </w:r>
    </w:p>
    <w:p w14:paraId="29D893FF">
      <w:pPr>
        <w:tabs>
          <w:tab w:val="left" w:pos="2190"/>
        </w:tabs>
        <w:spacing w:line="400" w:lineRule="exact"/>
        <w:ind w:firstLine="435"/>
        <w:rPr>
          <w:color w:val="auto"/>
          <w:szCs w:val="21"/>
          <w:highlight w:val="none"/>
        </w:rPr>
      </w:pPr>
      <w:r>
        <w:rPr>
          <w:rFonts w:hint="eastAsia" w:ascii="宋体" w:hAnsi="宋体"/>
          <w:color w:val="auto"/>
          <w:szCs w:val="21"/>
          <w:highlight w:val="none"/>
        </w:rPr>
        <w:t>6.3、供应商认为采购过程使自己的合法权益受到损害的，应当在为各采购程序环节结束之日起七个工作日内，</w:t>
      </w:r>
      <w:r>
        <w:rPr>
          <w:rFonts w:hint="eastAsia"/>
          <w:color w:val="auto"/>
          <w:szCs w:val="21"/>
          <w:highlight w:val="none"/>
        </w:rPr>
        <w:t>以书面形式向采购代理机构提出质疑。采购代理机构应认真做好质疑处理工作。</w:t>
      </w:r>
    </w:p>
    <w:p w14:paraId="47723A5D">
      <w:pPr>
        <w:tabs>
          <w:tab w:val="left" w:pos="2190"/>
        </w:tabs>
        <w:spacing w:line="400" w:lineRule="exact"/>
        <w:ind w:firstLine="420" w:firstLineChars="200"/>
        <w:rPr>
          <w:color w:val="auto"/>
          <w:szCs w:val="21"/>
          <w:highlight w:val="none"/>
        </w:rPr>
      </w:pPr>
      <w:r>
        <w:rPr>
          <w:rFonts w:hint="eastAsia" w:ascii="宋体" w:hAnsi="宋体"/>
          <w:color w:val="auto"/>
          <w:szCs w:val="21"/>
          <w:highlight w:val="none"/>
        </w:rPr>
        <w:t>6.4、供应商</w:t>
      </w:r>
      <w:r>
        <w:rPr>
          <w:rFonts w:hint="eastAsia"/>
          <w:color w:val="auto"/>
          <w:szCs w:val="21"/>
          <w:highlight w:val="none"/>
        </w:rPr>
        <w:t>认为成交结果使自己的合法权益受到损害的，应当在成交公告期限届满之日起七个工作日内，以书面形式向采购代理机构提出质疑。采购代理机构应认真做好质疑处理工作。</w:t>
      </w:r>
    </w:p>
    <w:p w14:paraId="56792E7B">
      <w:pPr>
        <w:tabs>
          <w:tab w:val="left" w:pos="2190"/>
        </w:tabs>
        <w:spacing w:line="400" w:lineRule="exact"/>
        <w:ind w:firstLine="435"/>
        <w:rPr>
          <w:rFonts w:ascii="宋体" w:hAnsi="宋体"/>
          <w:color w:val="auto"/>
          <w:szCs w:val="21"/>
          <w:highlight w:val="none"/>
        </w:rPr>
      </w:pPr>
      <w:r>
        <w:rPr>
          <w:rFonts w:hint="eastAsia" w:ascii="宋体" w:hAnsi="宋体"/>
          <w:color w:val="auto"/>
          <w:szCs w:val="21"/>
          <w:highlight w:val="none"/>
        </w:rPr>
        <w:t>6.5、供应商对采购代理机构的质疑答复不满意或者采购代理机构未在规定的时间内作出答复的，可以在答复期满后十五个工作日内向</w:t>
      </w:r>
      <w:r>
        <w:rPr>
          <w:rFonts w:hint="eastAsia" w:ascii="宋体" w:hAnsi="宋体" w:cs="宋体"/>
          <w:color w:val="auto"/>
          <w:szCs w:val="21"/>
          <w:highlight w:val="none"/>
          <w:lang w:eastAsia="zh-CN"/>
        </w:rPr>
        <w:t>敦化市财政局政府采购管理办公室</w:t>
      </w:r>
      <w:r>
        <w:rPr>
          <w:rFonts w:hint="eastAsia" w:ascii="宋体" w:hAnsi="宋体"/>
          <w:color w:val="auto"/>
          <w:szCs w:val="21"/>
          <w:highlight w:val="none"/>
        </w:rPr>
        <w:t>投诉。</w:t>
      </w:r>
    </w:p>
    <w:p w14:paraId="097F58EF">
      <w:pPr>
        <w:tabs>
          <w:tab w:val="left" w:pos="2190"/>
        </w:tabs>
        <w:spacing w:line="380" w:lineRule="exact"/>
        <w:ind w:firstLine="435"/>
        <w:rPr>
          <w:rFonts w:hint="eastAsia" w:ascii="宋体" w:hAnsi="宋体"/>
          <w:color w:val="auto"/>
          <w:szCs w:val="21"/>
          <w:highlight w:val="none"/>
        </w:rPr>
      </w:pPr>
      <w:r>
        <w:rPr>
          <w:rFonts w:hint="eastAsia" w:ascii="宋体" w:hAnsi="宋体"/>
          <w:color w:val="auto"/>
          <w:szCs w:val="21"/>
          <w:highlight w:val="none"/>
        </w:rPr>
        <w:t>6.6、质疑、投诉应当采用书面形式，质疑书、投诉书实行实名制，均应明确阐述谈判文件、采购过程或成交结果中使自己合法权益受到损害的实质性内容，提供相关事实、明确的请求，并提供必要的证明材料。质疑函格式详见附件。</w:t>
      </w:r>
    </w:p>
    <w:p w14:paraId="7A0966C2">
      <w:pPr>
        <w:tabs>
          <w:tab w:val="left" w:pos="2190"/>
        </w:tabs>
        <w:spacing w:line="400" w:lineRule="exact"/>
        <w:rPr>
          <w:rFonts w:ascii="宋体" w:hAnsi="宋体"/>
          <w:color w:val="auto"/>
          <w:szCs w:val="21"/>
          <w:highlight w:val="none"/>
        </w:rPr>
      </w:pPr>
      <w:r>
        <w:rPr>
          <w:rFonts w:hint="eastAsia" w:ascii="宋体" w:hAnsi="宋体"/>
          <w:color w:val="auto"/>
          <w:szCs w:val="21"/>
          <w:highlight w:val="none"/>
        </w:rPr>
        <w:t xml:space="preserve">   7、转包与分包</w:t>
      </w:r>
    </w:p>
    <w:p w14:paraId="7CEEF0EA">
      <w:pPr>
        <w:tabs>
          <w:tab w:val="left" w:pos="2190"/>
        </w:tabs>
        <w:spacing w:line="400" w:lineRule="exact"/>
        <w:ind w:firstLine="435"/>
        <w:rPr>
          <w:rFonts w:ascii="宋体" w:hAnsi="宋体"/>
          <w:color w:val="auto"/>
          <w:szCs w:val="21"/>
          <w:highlight w:val="none"/>
        </w:rPr>
      </w:pPr>
      <w:r>
        <w:rPr>
          <w:rFonts w:hint="eastAsia" w:ascii="宋体" w:hAnsi="宋体"/>
          <w:color w:val="auto"/>
          <w:szCs w:val="21"/>
          <w:highlight w:val="none"/>
        </w:rPr>
        <w:t>7.1、本项目不允许转包。</w:t>
      </w:r>
    </w:p>
    <w:p w14:paraId="6C788E81">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color w:val="auto"/>
          <w:szCs w:val="21"/>
          <w:highlight w:val="none"/>
        </w:rPr>
      </w:pPr>
      <w:r>
        <w:rPr>
          <w:rFonts w:hint="eastAsia" w:ascii="宋体" w:hAnsi="宋体"/>
          <w:color w:val="auto"/>
          <w:szCs w:val="21"/>
          <w:highlight w:val="none"/>
        </w:rPr>
        <w:t>7.2、本项目不可以分包。</w:t>
      </w:r>
    </w:p>
    <w:p w14:paraId="15C9BED3">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color w:val="auto"/>
          <w:szCs w:val="21"/>
          <w:highlight w:val="none"/>
        </w:rPr>
      </w:pPr>
      <w:r>
        <w:rPr>
          <w:rFonts w:hint="eastAsia" w:ascii="宋体" w:hAnsi="宋体"/>
          <w:color w:val="auto"/>
          <w:szCs w:val="21"/>
          <w:highlight w:val="none"/>
        </w:rPr>
        <w:t>8、特别说明</w:t>
      </w:r>
    </w:p>
    <w:p w14:paraId="0FC6FDB2">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color w:val="auto"/>
          <w:szCs w:val="21"/>
          <w:highlight w:val="none"/>
        </w:rPr>
      </w:pPr>
      <w:r>
        <w:rPr>
          <w:rFonts w:hint="eastAsia" w:ascii="宋体" w:hAnsi="宋体"/>
          <w:color w:val="auto"/>
          <w:szCs w:val="21"/>
          <w:highlight w:val="none"/>
        </w:rPr>
        <w:t>8.1单位负责人为同一人或者存在直接控股、管理关系的，不得参加同一合同项下</w:t>
      </w:r>
      <w:r>
        <w:rPr>
          <w:rFonts w:hint="eastAsia"/>
          <w:color w:val="auto"/>
          <w:szCs w:val="21"/>
          <w:highlight w:val="none"/>
        </w:rPr>
        <w:t>分标</w:t>
      </w:r>
      <w:r>
        <w:rPr>
          <w:rFonts w:hint="eastAsia" w:ascii="宋体" w:hAnsi="宋体"/>
          <w:color w:val="auto"/>
          <w:szCs w:val="21"/>
          <w:highlight w:val="none"/>
        </w:rPr>
        <w:t>谈判或未划分标</w:t>
      </w:r>
      <w:r>
        <w:rPr>
          <w:rFonts w:hint="eastAsia" w:ascii="宋体" w:hAnsi="宋体"/>
          <w:color w:val="auto"/>
          <w:szCs w:val="21"/>
          <w:highlight w:val="none"/>
          <w:lang w:val="en-US" w:eastAsia="zh-CN"/>
        </w:rPr>
        <w:t>段</w:t>
      </w:r>
      <w:r>
        <w:rPr>
          <w:rFonts w:hint="eastAsia" w:ascii="宋体" w:hAnsi="宋体"/>
          <w:color w:val="auto"/>
          <w:szCs w:val="21"/>
          <w:highlight w:val="none"/>
        </w:rPr>
        <w:t>的同一</w:t>
      </w:r>
      <w:r>
        <w:rPr>
          <w:rFonts w:hint="eastAsia"/>
          <w:color w:val="auto"/>
          <w:szCs w:val="21"/>
          <w:highlight w:val="none"/>
        </w:rPr>
        <w:t>合同项下</w:t>
      </w:r>
      <w:r>
        <w:rPr>
          <w:rFonts w:hint="eastAsia" w:ascii="宋体" w:hAnsi="宋体"/>
          <w:color w:val="auto"/>
          <w:szCs w:val="21"/>
          <w:highlight w:val="none"/>
        </w:rPr>
        <w:t>的谈判，否则，响应文件无效。</w:t>
      </w:r>
    </w:p>
    <w:p w14:paraId="7CD40917">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color w:val="auto"/>
          <w:szCs w:val="21"/>
          <w:highlight w:val="none"/>
        </w:rPr>
      </w:pPr>
      <w:r>
        <w:rPr>
          <w:rFonts w:hint="eastAsia" w:ascii="宋体" w:hAnsi="宋体"/>
          <w:color w:val="auto"/>
          <w:szCs w:val="21"/>
          <w:highlight w:val="none"/>
        </w:rPr>
        <w:t>除单一来源采购项目外，为采购项目提供整体设计、规范编制或者项目管理、监理、检测等服务的供应商，不得再参加该采购项目的其他采购活动，否则响应文件无效。</w:t>
      </w:r>
    </w:p>
    <w:p w14:paraId="3F4F4CEB">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color w:val="auto"/>
          <w:highlight w:val="none"/>
        </w:rPr>
      </w:pPr>
      <w:r>
        <w:rPr>
          <w:rFonts w:hint="eastAsia" w:ascii="宋体" w:hAnsi="宋体"/>
          <w:color w:val="auto"/>
          <w:highlight w:val="none"/>
        </w:rPr>
        <w:t>8.2供应商竞标所使用的资格、信誉、荣誉、业绩与企业认证必须为本法人（负责人、自然人）所拥有。供应商竞标所使用的采购项目实施人员必须为本法人（负责人）员工（或必须为本法人或控股公司正式员工）。</w:t>
      </w:r>
    </w:p>
    <w:p w14:paraId="317CA60A">
      <w:pPr>
        <w:pStyle w:val="13"/>
        <w:keepNext w:val="0"/>
        <w:keepLines w:val="0"/>
        <w:pageBreakBefore w:val="0"/>
        <w:kinsoku/>
        <w:wordWrap/>
        <w:overflowPunct/>
        <w:topLinePunct w:val="0"/>
        <w:autoSpaceDE/>
        <w:autoSpaceDN/>
        <w:bidi w:val="0"/>
        <w:adjustRightInd/>
        <w:snapToGrid w:val="0"/>
        <w:spacing w:after="0" w:line="380" w:lineRule="exact"/>
        <w:ind w:left="2" w:leftChars="1" w:firstLine="420" w:firstLineChars="200"/>
        <w:textAlignment w:val="auto"/>
        <w:rPr>
          <w:rFonts w:hint="eastAsia" w:ascii="宋体" w:hAnsi="宋体"/>
          <w:color w:val="auto"/>
          <w:highlight w:val="none"/>
        </w:rPr>
      </w:pPr>
      <w:r>
        <w:rPr>
          <w:rFonts w:hint="eastAsia" w:ascii="宋体" w:hAnsi="宋体"/>
          <w:color w:val="auto"/>
          <w:highlight w:val="none"/>
        </w:rPr>
        <w:t>8.</w:t>
      </w:r>
      <w:r>
        <w:rPr>
          <w:rFonts w:hint="eastAsia" w:ascii="宋体" w:hAnsi="宋体"/>
          <w:color w:val="auto"/>
          <w:highlight w:val="none"/>
          <w:lang w:val="en-US" w:eastAsia="zh-CN"/>
        </w:rPr>
        <w:t>3</w:t>
      </w:r>
      <w:r>
        <w:rPr>
          <w:rFonts w:hint="eastAsia" w:ascii="宋体" w:hAnsi="宋体"/>
          <w:color w:val="auto"/>
          <w:highlight w:val="none"/>
        </w:rPr>
        <w:t>供应商应仔细阅读竞争性谈判文件的所有内容，按照竞争性谈判文件的要求提交响应文件，并对所提供的全部资料的真实性承担法律责任。</w:t>
      </w:r>
    </w:p>
    <w:p w14:paraId="61B3D964">
      <w:pPr>
        <w:pStyle w:val="13"/>
        <w:keepNext w:val="0"/>
        <w:keepLines w:val="0"/>
        <w:pageBreakBefore w:val="0"/>
        <w:kinsoku/>
        <w:wordWrap/>
        <w:overflowPunct/>
        <w:topLinePunct w:val="0"/>
        <w:autoSpaceDE/>
        <w:autoSpaceDN/>
        <w:bidi w:val="0"/>
        <w:adjustRightInd/>
        <w:snapToGrid w:val="0"/>
        <w:spacing w:after="0" w:line="380" w:lineRule="exact"/>
        <w:ind w:left="2" w:leftChars="1" w:firstLine="420" w:firstLineChars="200"/>
        <w:textAlignment w:val="auto"/>
        <w:rPr>
          <w:rFonts w:hint="eastAsia" w:ascii="宋体" w:hAnsi="宋体"/>
          <w:color w:val="auto"/>
          <w:highlight w:val="none"/>
        </w:rPr>
      </w:pPr>
      <w:r>
        <w:rPr>
          <w:rFonts w:hint="eastAsia" w:ascii="宋体" w:hAnsi="宋体"/>
          <w:color w:val="auto"/>
          <w:highlight w:val="none"/>
        </w:rPr>
        <w:t>8.</w:t>
      </w:r>
      <w:r>
        <w:rPr>
          <w:rFonts w:hint="eastAsia" w:ascii="宋体" w:hAnsi="宋体"/>
          <w:color w:val="auto"/>
          <w:highlight w:val="none"/>
          <w:lang w:val="en-US" w:eastAsia="zh-CN"/>
        </w:rPr>
        <w:t>4</w:t>
      </w:r>
      <w:r>
        <w:rPr>
          <w:rFonts w:hint="eastAsia" w:ascii="宋体" w:hAnsi="宋体"/>
          <w:color w:val="auto"/>
          <w:highlight w:val="none"/>
          <w:lang w:eastAsia="zh-CN"/>
        </w:rPr>
        <w:t xml:space="preserve"> </w:t>
      </w:r>
      <w:r>
        <w:rPr>
          <w:rFonts w:hint="eastAsia" w:ascii="宋体" w:hAnsi="宋体"/>
          <w:color w:val="auto"/>
          <w:highlight w:val="none"/>
        </w:rPr>
        <w:t>供应商在谈判活动中提供任何虚假材料，其响应文件无效，并报监管部门查处；成交后发现的，成交人须依照《中华人民共和国消费者权益保护法》第49条之规定双倍赔偿采购人，且民事赔偿并不免除违法供应商的行政与刑事责任。</w:t>
      </w:r>
    </w:p>
    <w:p w14:paraId="3EB2D890">
      <w:pPr>
        <w:pStyle w:val="13"/>
        <w:keepNext w:val="0"/>
        <w:keepLines w:val="0"/>
        <w:pageBreakBefore w:val="0"/>
        <w:kinsoku/>
        <w:wordWrap/>
        <w:overflowPunct/>
        <w:topLinePunct w:val="0"/>
        <w:autoSpaceDE/>
        <w:autoSpaceDN/>
        <w:bidi w:val="0"/>
        <w:adjustRightInd/>
        <w:snapToGrid w:val="0"/>
        <w:spacing w:after="0" w:line="380" w:lineRule="exact"/>
        <w:ind w:left="2" w:leftChars="1" w:firstLine="420" w:firstLineChars="200"/>
        <w:textAlignment w:val="auto"/>
        <w:rPr>
          <w:rFonts w:hint="default" w:ascii="宋体" w:hAnsi="宋体" w:eastAsia="宋体"/>
          <w:color w:val="auto"/>
          <w:highlight w:val="none"/>
          <w:lang w:val="en-US" w:eastAsia="zh-CN"/>
        </w:rPr>
      </w:pPr>
      <w:r>
        <w:rPr>
          <w:rFonts w:hint="eastAsia" w:ascii="宋体" w:hAnsi="宋体"/>
          <w:color w:val="auto"/>
          <w:highlight w:val="none"/>
          <w:lang w:val="en-US" w:eastAsia="zh-CN"/>
        </w:rPr>
        <w:t>8.5根据</w:t>
      </w:r>
      <w:r>
        <w:rPr>
          <w:rFonts w:hint="eastAsia" w:ascii="宋体" w:hAnsi="宋体"/>
          <w:color w:val="auto"/>
          <w:highlight w:val="none"/>
        </w:rPr>
        <w:t>《</w:t>
      </w:r>
      <w:r>
        <w:rPr>
          <w:rFonts w:hint="eastAsia" w:ascii="宋体" w:hAnsi="宋体"/>
          <w:color w:val="auto"/>
          <w:highlight w:val="none"/>
          <w:lang w:eastAsia="zh-CN"/>
        </w:rPr>
        <w:t>政府采购促进中小企业发展管理办法</w:t>
      </w:r>
      <w:r>
        <w:rPr>
          <w:rFonts w:hint="eastAsia" w:ascii="宋体" w:hAnsi="宋体"/>
          <w:color w:val="auto"/>
          <w:highlight w:val="none"/>
        </w:rPr>
        <w:t>》</w:t>
      </w:r>
      <w:r>
        <w:rPr>
          <w:rFonts w:hint="eastAsia" w:ascii="宋体" w:hAnsi="宋体"/>
          <w:color w:val="auto"/>
          <w:highlight w:val="none"/>
          <w:lang w:eastAsia="zh-CN"/>
        </w:rPr>
        <w:t>（财库</w:t>
      </w:r>
      <w:r>
        <w:rPr>
          <w:rFonts w:hint="eastAsia" w:ascii="宋体" w:hAnsi="宋体"/>
          <w:color w:val="auto"/>
          <w:highlight w:val="none"/>
          <w:lang w:val="en-US" w:eastAsia="zh-CN"/>
        </w:rPr>
        <w:t>[2020]46号规定</w:t>
      </w:r>
      <w:r>
        <w:rPr>
          <w:rFonts w:hint="eastAsia" w:ascii="宋体" w:hAnsi="宋体"/>
          <w:color w:val="auto"/>
          <w:highlight w:val="none"/>
          <w:lang w:eastAsia="zh-CN"/>
        </w:rPr>
        <w:t>），</w:t>
      </w:r>
      <w:r>
        <w:rPr>
          <w:rFonts w:hint="eastAsia" w:ascii="宋体" w:hAnsi="宋体"/>
          <w:color w:val="auto"/>
          <w:highlight w:val="none"/>
        </w:rPr>
        <w:t>《</w:t>
      </w:r>
      <w:r>
        <w:rPr>
          <w:rFonts w:hint="eastAsia" w:ascii="宋体" w:hAnsi="宋体"/>
          <w:color w:val="auto"/>
          <w:highlight w:val="none"/>
          <w:lang w:eastAsia="zh-CN"/>
        </w:rPr>
        <w:t>吉林省政府采购促进中小企业发展实施方案</w:t>
      </w:r>
      <w:r>
        <w:rPr>
          <w:rFonts w:hint="eastAsia" w:ascii="宋体" w:hAnsi="宋体"/>
          <w:color w:val="auto"/>
          <w:highlight w:val="none"/>
        </w:rPr>
        <w:t>》</w:t>
      </w:r>
      <w:r>
        <w:rPr>
          <w:rFonts w:hint="eastAsia" w:ascii="宋体" w:hAnsi="宋体"/>
          <w:color w:val="auto"/>
          <w:highlight w:val="none"/>
          <w:lang w:eastAsia="zh-CN"/>
        </w:rPr>
        <w:t>的通知【</w:t>
      </w:r>
      <w:r>
        <w:rPr>
          <w:rFonts w:hint="eastAsia" w:ascii="宋体" w:hAnsi="宋体"/>
          <w:color w:val="auto"/>
          <w:highlight w:val="none"/>
          <w:lang w:val="en-US" w:eastAsia="zh-CN"/>
        </w:rPr>
        <w:t>2021</w:t>
      </w:r>
      <w:r>
        <w:rPr>
          <w:rFonts w:hint="eastAsia" w:ascii="宋体" w:hAnsi="宋体"/>
          <w:color w:val="auto"/>
          <w:highlight w:val="none"/>
          <w:lang w:eastAsia="zh-CN"/>
        </w:rPr>
        <w:t>】</w:t>
      </w:r>
      <w:r>
        <w:rPr>
          <w:rFonts w:hint="eastAsia" w:ascii="宋体" w:hAnsi="宋体"/>
          <w:color w:val="auto"/>
          <w:highlight w:val="none"/>
          <w:lang w:val="en-US" w:eastAsia="zh-CN"/>
        </w:rPr>
        <w:t>50号文件。</w:t>
      </w:r>
    </w:p>
    <w:p w14:paraId="23196EFA">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bCs/>
          <w:color w:val="auto"/>
          <w:szCs w:val="21"/>
          <w:highlight w:val="none"/>
        </w:rPr>
      </w:pPr>
      <w:r>
        <w:rPr>
          <w:rFonts w:hint="eastAsia" w:ascii="宋体" w:hAnsi="宋体"/>
          <w:bCs/>
          <w:color w:val="auto"/>
          <w:szCs w:val="21"/>
          <w:highlight w:val="none"/>
        </w:rPr>
        <w:t>8.5</w:t>
      </w:r>
      <w:r>
        <w:rPr>
          <w:rFonts w:hint="eastAsia" w:ascii="宋体" w:hAnsi="宋体"/>
          <w:bCs/>
          <w:color w:val="auto"/>
          <w:szCs w:val="21"/>
          <w:highlight w:val="none"/>
          <w:lang w:val="en-US" w:eastAsia="zh-CN"/>
        </w:rPr>
        <w:t>.1</w:t>
      </w:r>
      <w:r>
        <w:rPr>
          <w:rFonts w:hint="eastAsia" w:ascii="宋体" w:hAnsi="宋体"/>
          <w:bCs/>
          <w:color w:val="auto"/>
          <w:szCs w:val="21"/>
          <w:highlight w:val="none"/>
        </w:rPr>
        <w:t>大中型企业和其他自然人、法人或者其他组织与小型、微型企业组成联合体投标，联合体协议中约定小型、微型企业的协议合同金额占到联合体协议合同总金额30%以上的，联合体投标价给予</w:t>
      </w:r>
      <w:r>
        <w:rPr>
          <w:rFonts w:hint="eastAsia" w:ascii="宋体" w:hAnsi="宋体"/>
          <w:bCs/>
          <w:color w:val="auto"/>
          <w:szCs w:val="21"/>
          <w:highlight w:val="none"/>
          <w:lang w:val="en-US" w:eastAsia="zh-CN"/>
        </w:rPr>
        <w:t>4</w:t>
      </w:r>
      <w:r>
        <w:rPr>
          <w:rFonts w:hint="eastAsia" w:ascii="宋体" w:hAnsi="宋体"/>
          <w:bCs/>
          <w:color w:val="auto"/>
          <w:szCs w:val="21"/>
          <w:highlight w:val="none"/>
        </w:rPr>
        <w:t>%的扣除，扣除后的价格为评标价；联合体各方均为小型、微型企业的，联合体视同为小型、微型企业享受本办法第四条、第五条规定的扶持政策（计算方式见“评标办法”）。组成联合体的大中型企业和其他自然人、法人或者其他组织，与小型、微型企业之间不得存在投资关系。（是否接受联合体具体见第一章“竞争性谈判公告”）</w:t>
      </w:r>
    </w:p>
    <w:p w14:paraId="5EDB56EC">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bCs/>
          <w:color w:val="auto"/>
          <w:szCs w:val="21"/>
          <w:highlight w:val="none"/>
        </w:rPr>
      </w:pPr>
      <w:r>
        <w:rPr>
          <w:rFonts w:hint="eastAsia" w:ascii="宋体" w:hAnsi="宋体"/>
          <w:bCs/>
          <w:color w:val="auto"/>
          <w:szCs w:val="21"/>
          <w:highlight w:val="none"/>
        </w:rPr>
        <w:t>8.5.</w:t>
      </w:r>
      <w:r>
        <w:rPr>
          <w:rFonts w:hint="eastAsia" w:ascii="宋体" w:hAnsi="宋体"/>
          <w:bCs/>
          <w:color w:val="auto"/>
          <w:szCs w:val="21"/>
          <w:highlight w:val="none"/>
          <w:lang w:val="en-US" w:eastAsia="zh-CN"/>
        </w:rPr>
        <w:t>2</w:t>
      </w:r>
      <w:r>
        <w:rPr>
          <w:rFonts w:hint="eastAsia" w:ascii="宋体" w:hAnsi="宋体"/>
          <w:bCs/>
          <w:color w:val="auto"/>
          <w:szCs w:val="21"/>
          <w:highlight w:val="none"/>
        </w:rPr>
        <w:t>成交产品为小型和微型企业产品的，成交结果将同时公告产品企业《中小企业声明函》，接受社会监督。</w:t>
      </w:r>
    </w:p>
    <w:p w14:paraId="61408891">
      <w:pPr>
        <w:keepNext w:val="0"/>
        <w:keepLines w:val="0"/>
        <w:pageBreakBefore w:val="0"/>
        <w:kinsoku/>
        <w:wordWrap/>
        <w:overflowPunct/>
        <w:topLinePunct w:val="0"/>
        <w:autoSpaceDE w:val="0"/>
        <w:autoSpaceDN w:val="0"/>
        <w:bidi w:val="0"/>
        <w:adjustRightInd w:val="0"/>
        <w:snapToGrid/>
        <w:spacing w:line="380" w:lineRule="exact"/>
        <w:ind w:firstLine="420" w:firstLineChars="200"/>
        <w:jc w:val="left"/>
        <w:textAlignment w:val="auto"/>
        <w:rPr>
          <w:rFonts w:hint="eastAsia" w:ascii="宋体" w:hAnsi="宋体" w:cs="宋体"/>
          <w:bCs/>
          <w:color w:val="auto"/>
          <w:szCs w:val="18"/>
          <w:highlight w:val="none"/>
          <w:lang w:val="zh-CN"/>
        </w:rPr>
      </w:pPr>
      <w:r>
        <w:rPr>
          <w:rFonts w:hint="eastAsia" w:ascii="宋体" w:hAnsi="宋体" w:cs="宋体"/>
          <w:bCs/>
          <w:color w:val="auto"/>
          <w:szCs w:val="18"/>
          <w:highlight w:val="none"/>
          <w:lang w:val="en-US" w:eastAsia="zh-CN"/>
        </w:rPr>
        <w:t>8.5.3</w:t>
      </w:r>
      <w:r>
        <w:rPr>
          <w:rFonts w:hint="eastAsia" w:ascii="宋体" w:hAnsi="宋体" w:cs="宋体"/>
          <w:bCs/>
          <w:color w:val="auto"/>
          <w:szCs w:val="18"/>
          <w:highlight w:val="none"/>
          <w:lang w:val="zh-CN"/>
        </w:rPr>
        <w:t>投标人不得存在下列情形之一：（响应文件内按评审要求列出以下条款内容）</w:t>
      </w:r>
    </w:p>
    <w:p w14:paraId="17AF6DD2">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bCs/>
          <w:color w:val="auto"/>
          <w:szCs w:val="18"/>
          <w:highlight w:val="none"/>
          <w:lang w:val="zh-CN"/>
        </w:rPr>
        <w:t xml:space="preserve">     </w:t>
      </w:r>
      <w:r>
        <w:rPr>
          <w:rFonts w:hint="eastAsia" w:ascii="宋体" w:hAnsi="宋体" w:cs="宋体"/>
          <w:color w:val="auto"/>
          <w:szCs w:val="21"/>
          <w:highlight w:val="none"/>
        </w:rPr>
        <w:t>（1）为招标人不具有独立法人资格的附属机构（单位）；</w:t>
      </w:r>
    </w:p>
    <w:p w14:paraId="103BC037">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（2）与招标人存在利害关系且可能影响招标公正性；</w:t>
      </w:r>
    </w:p>
    <w:p w14:paraId="2E4478D7">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（3）与本招标项目的其他投标人为同一个单位负责人；</w:t>
      </w:r>
    </w:p>
    <w:p w14:paraId="4E96A1B6">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（4）与本招标项目的其他投标人存在控股、管理关系；</w:t>
      </w:r>
    </w:p>
    <w:p w14:paraId="15A9275C">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（5）为本招标项目的代建人；</w:t>
      </w:r>
    </w:p>
    <w:p w14:paraId="38928069">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（6）为本招标项目的</w:t>
      </w:r>
      <w:r>
        <w:rPr>
          <w:rFonts w:hint="eastAsia" w:ascii="宋体" w:hAnsi="宋体" w:cs="宋体"/>
          <w:color w:val="auto"/>
          <w:szCs w:val="21"/>
          <w:highlight w:val="none"/>
          <w:lang w:eastAsia="zh-CN"/>
        </w:rPr>
        <w:t>采购代理机构</w:t>
      </w:r>
      <w:r>
        <w:rPr>
          <w:rFonts w:hint="eastAsia" w:ascii="宋体" w:hAnsi="宋体" w:cs="宋体"/>
          <w:color w:val="auto"/>
          <w:szCs w:val="21"/>
          <w:highlight w:val="none"/>
        </w:rPr>
        <w:t>；</w:t>
      </w:r>
    </w:p>
    <w:p w14:paraId="499A5DC9">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（7）与本招标项目的代建人或</w:t>
      </w:r>
      <w:r>
        <w:rPr>
          <w:rFonts w:hint="eastAsia" w:ascii="宋体" w:hAnsi="宋体" w:cs="宋体"/>
          <w:color w:val="auto"/>
          <w:szCs w:val="21"/>
          <w:highlight w:val="none"/>
          <w:lang w:eastAsia="zh-CN"/>
        </w:rPr>
        <w:t>采购代理机构</w:t>
      </w:r>
      <w:r>
        <w:rPr>
          <w:rFonts w:hint="eastAsia" w:ascii="宋体" w:hAnsi="宋体" w:cs="宋体"/>
          <w:color w:val="auto"/>
          <w:szCs w:val="21"/>
          <w:highlight w:val="none"/>
        </w:rPr>
        <w:t>同为一个法定代表人；</w:t>
      </w:r>
    </w:p>
    <w:p w14:paraId="56459932">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（8）与本招标项目的代建人或</w:t>
      </w:r>
      <w:r>
        <w:rPr>
          <w:rFonts w:hint="eastAsia" w:ascii="宋体" w:hAnsi="宋体" w:cs="宋体"/>
          <w:color w:val="auto"/>
          <w:szCs w:val="21"/>
          <w:highlight w:val="none"/>
          <w:lang w:eastAsia="zh-CN"/>
        </w:rPr>
        <w:t>采购代理机构</w:t>
      </w:r>
      <w:r>
        <w:rPr>
          <w:rFonts w:hint="eastAsia" w:ascii="宋体" w:hAnsi="宋体" w:cs="宋体"/>
          <w:color w:val="auto"/>
          <w:szCs w:val="21"/>
          <w:highlight w:val="none"/>
        </w:rPr>
        <w:t>存在控股或参股关系；</w:t>
      </w:r>
    </w:p>
    <w:p w14:paraId="1CD26BA3">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（9）与本招标项目的施工承包人以及建筑材料、建筑构配件和设备</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有隶属关系或者其他利害关系；</w:t>
      </w:r>
    </w:p>
    <w:p w14:paraId="634F7589">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（10）被依法暂停或者取消投标资格；</w:t>
      </w:r>
    </w:p>
    <w:p w14:paraId="31F2D4B2">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（11）被责令停产停业、暂扣或者吊销许可证、暂扣或者吊销执照；</w:t>
      </w:r>
    </w:p>
    <w:p w14:paraId="70E0CEA5">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（12）进入清算程序，或被宣告破产，或其他丧失履约能力的情形；</w:t>
      </w:r>
    </w:p>
    <w:p w14:paraId="4AF9D8EB">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（13）在最近三年内发生重大施工质量问题（以相关行业主管部门的行政处罚决定或司法机关出具的有关法律文书为准）；</w:t>
      </w:r>
    </w:p>
    <w:p w14:paraId="3632A6EB">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（14）被工商行政管理机关在全国企业信用信息公示系统中列入严重违法失信企业名单；</w:t>
      </w:r>
    </w:p>
    <w:p w14:paraId="050FD7A9">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（15）被最高人民法院在“信用中国”网站（www.creditchina.gov.cn）列入失信被执行人名单及</w:t>
      </w:r>
      <w:r>
        <w:rPr>
          <w:rFonts w:hint="eastAsia" w:ascii="宋体" w:hAnsi="宋体" w:cs="宋体"/>
          <w:color w:val="auto"/>
          <w:kern w:val="0"/>
          <w:szCs w:val="21"/>
          <w:highlight w:val="none"/>
        </w:rPr>
        <w:t>重大税收违法案件当事人名单</w:t>
      </w:r>
      <w:r>
        <w:rPr>
          <w:rFonts w:hint="eastAsia" w:ascii="宋体" w:hAnsi="宋体" w:cs="宋体"/>
          <w:color w:val="auto"/>
          <w:szCs w:val="21"/>
          <w:highlight w:val="none"/>
        </w:rPr>
        <w:t>；</w:t>
      </w:r>
    </w:p>
    <w:p w14:paraId="14EC0E29">
      <w:pPr>
        <w:keepNext w:val="0"/>
        <w:keepLines w:val="0"/>
        <w:pageBreakBefore w:val="0"/>
        <w:kinsoku/>
        <w:wordWrap/>
        <w:overflowPunct/>
        <w:topLinePunct w:val="0"/>
        <w:bidi w:val="0"/>
        <w:snapToGrid/>
        <w:spacing w:line="380" w:lineRule="exact"/>
        <w:textAlignment w:val="auto"/>
        <w:rPr>
          <w:rFonts w:hint="eastAsia"/>
          <w:color w:val="auto"/>
          <w:highlight w:val="none"/>
        </w:rPr>
      </w:pPr>
      <w:r>
        <w:rPr>
          <w:rFonts w:hint="eastAsia" w:ascii="宋体" w:hAnsi="宋体" w:cs="宋体"/>
          <w:color w:val="auto"/>
          <w:szCs w:val="21"/>
          <w:highlight w:val="none"/>
        </w:rPr>
        <w:t xml:space="preserve">     （1</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）法律法规或投标人须知前附表规定的其他情形。</w:t>
      </w:r>
    </w:p>
    <w:p w14:paraId="3F522D2B">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color w:val="auto"/>
          <w:szCs w:val="21"/>
          <w:highlight w:val="none"/>
        </w:rPr>
      </w:pPr>
      <w:r>
        <w:rPr>
          <w:rFonts w:hint="eastAsia" w:ascii="宋体" w:hAnsi="宋体"/>
          <w:bCs/>
          <w:color w:val="auto"/>
          <w:szCs w:val="21"/>
          <w:highlight w:val="none"/>
        </w:rPr>
        <w:t>8.6根据财库〔2017〕141号《三部门联合发布关于促进残疾人就业政府采购政策的通知》第三条规定，在政府采购活动中，残疾人福利性单位视同小型、微型企业，享受预留份额、评审中</w:t>
      </w:r>
      <w:r>
        <w:rPr>
          <w:rFonts w:hint="eastAsia" w:ascii="宋体" w:hAnsi="宋体"/>
          <w:color w:val="auto"/>
          <w:szCs w:val="21"/>
          <w:highlight w:val="none"/>
        </w:rPr>
        <w:t>价格扣除等促进中小企业发展的政府采购政策。向残疾人福利性单位采购的金额，计入面向中小企业采购的统计数据。残疾人福利性单位属于小型、微型企业的，不重复享受政策。</w:t>
      </w:r>
    </w:p>
    <w:p w14:paraId="77397F79">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8.6.1符合条件的残疾人福利性单位在参加政府采购活动时，应当提供本通知规定的《残疾人福利性单位声明函》（见本竞争性谈判文件第六章附件），并对声明的真实性负责。</w:t>
      </w:r>
    </w:p>
    <w:p w14:paraId="6AC5AE25">
      <w:pPr>
        <w:widowControl/>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中标、成交供应商为残疾人福利性单位的，采购人或者其委托的采购代理机构应当随中标、成交结果同时公告其《残疾人福利性单位声明函》，接受社会监督。</w:t>
      </w:r>
    </w:p>
    <w:p w14:paraId="6DB0BEE7">
      <w:pPr>
        <w:widowControl/>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8.6.2供应商提供的《残疾人福利性单位声明函》与事实不符的，依照《政府采购法》第七十七条第一款的规定追究法律责任。</w:t>
      </w:r>
    </w:p>
    <w:p w14:paraId="59A844C8">
      <w:pPr>
        <w:widowControl/>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8.6.3享受政府采购支持政策的残疾人福利性单位应当同时满足以下条件：</w:t>
      </w:r>
    </w:p>
    <w:p w14:paraId="56A1731C">
      <w:pPr>
        <w:widowControl/>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（1）安置的残疾人占本单位在职职工人数的比例不低于25%（含25%），并且安置的残疾人人数不少于10人（含10人）；</w:t>
      </w:r>
    </w:p>
    <w:p w14:paraId="7B8E51E3">
      <w:pPr>
        <w:widowControl/>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（2）依法与安置的每位残疾人签订了一年以上（含一年）的劳动合同或服务协议；</w:t>
      </w:r>
    </w:p>
    <w:p w14:paraId="21D18921">
      <w:pPr>
        <w:widowControl/>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（3）为安置的每位残疾人按月足额缴纳了基本养老保险、基本医疗保险、失业保险、工伤保险和生育保险等社会保险费；</w:t>
      </w:r>
    </w:p>
    <w:p w14:paraId="1DA1FFEB">
      <w:pPr>
        <w:widowControl/>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（4）通过银行等金融机构向安置的每位残疾人，按月支付了不低于单位所在区县适用的经省级人民政府批准的月最低工资标准的工资；</w:t>
      </w:r>
    </w:p>
    <w:p w14:paraId="5E9A638D">
      <w:pPr>
        <w:keepNext w:val="0"/>
        <w:keepLines w:val="0"/>
        <w:pageBreakBefore w:val="0"/>
        <w:widowControl/>
        <w:kinsoku/>
        <w:wordWrap/>
        <w:overflowPunct/>
        <w:topLinePunct w:val="0"/>
        <w:bidi w:val="0"/>
        <w:snapToGrid/>
        <w:spacing w:line="380" w:lineRule="exact"/>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（5）提供本单位制造的货物、承担的工程或者服务（以下简称产品），或者提供其他残疾人福利性单位制造的货物（不包括使用非残疾人福利性单位注册商标的货物）。</w:t>
      </w:r>
    </w:p>
    <w:p w14:paraId="10F83DBC">
      <w:pPr>
        <w:keepNext w:val="0"/>
        <w:keepLines w:val="0"/>
        <w:pageBreakBefore w:val="0"/>
        <w:widowControl/>
        <w:kinsoku/>
        <w:wordWrap/>
        <w:overflowPunct/>
        <w:topLinePunct w:val="0"/>
        <w:bidi w:val="0"/>
        <w:snapToGrid/>
        <w:spacing w:line="380" w:lineRule="exact"/>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本文件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C109408">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line="380" w:lineRule="exact"/>
        <w:ind w:firstLine="630" w:firstLineChars="300"/>
        <w:jc w:val="left"/>
        <w:textAlignment w:val="auto"/>
        <w:rPr>
          <w:rFonts w:ascii="宋体" w:hAnsi="宋体"/>
          <w:color w:val="auto"/>
          <w:szCs w:val="21"/>
          <w:highlight w:val="none"/>
          <w:lang w:val="zh-CN"/>
        </w:rPr>
      </w:pPr>
      <w:r>
        <w:rPr>
          <w:rFonts w:hint="eastAsia" w:ascii="宋体" w:hAnsi="宋体"/>
          <w:color w:val="auto"/>
          <w:szCs w:val="21"/>
          <w:highlight w:val="none"/>
          <w:lang w:val="en-US" w:eastAsia="zh-CN"/>
        </w:rPr>
        <w:t>8.7</w:t>
      </w:r>
      <w:r>
        <w:rPr>
          <w:rFonts w:hint="eastAsia" w:ascii="宋体" w:hAnsi="宋体"/>
          <w:color w:val="auto"/>
          <w:szCs w:val="21"/>
          <w:highlight w:val="none"/>
          <w:lang w:val="zh-CN"/>
        </w:rPr>
        <w:t>对于列入财政部、国家环保总局发布的《环境标志产品政府采购清单》的产品，对其投标价格给予3%的价格扣除，并按照扣除后的价格参加排序。采购项目或者分包中既包含环境标志产品也包含非环境标志产品的，只对列入《环境标志产品政府采购清单》的产品按其在总报价中所占的比例给予价格扣除。</w:t>
      </w:r>
    </w:p>
    <w:p w14:paraId="2FA00012">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line="380" w:lineRule="exact"/>
        <w:ind w:firstLine="420" w:firstLineChars="200"/>
        <w:jc w:val="left"/>
        <w:textAlignment w:val="auto"/>
        <w:rPr>
          <w:rFonts w:ascii="宋体" w:hAnsi="宋体"/>
          <w:color w:val="auto"/>
          <w:szCs w:val="21"/>
          <w:highlight w:val="none"/>
          <w:lang w:val="zh-CN"/>
        </w:rPr>
      </w:pPr>
      <w:r>
        <w:rPr>
          <w:rFonts w:hint="eastAsia" w:ascii="宋体" w:hAnsi="宋体"/>
          <w:color w:val="auto"/>
          <w:szCs w:val="21"/>
          <w:highlight w:val="none"/>
          <w:lang w:val="zh-CN"/>
        </w:rPr>
        <w:t>注：本次采购优先采购《环境标志产品政府采购清单》最新一期内容中的产品，查询网站为：</w:t>
      </w:r>
    </w:p>
    <w:p w14:paraId="1FBBEFAF">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中华人民共和国财政部网站（http：//www.mof.gov.cn ）；</w:t>
      </w:r>
    </w:p>
    <w:p w14:paraId="40BB58E4">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中国政府采购网（http：//www.ccgp.gov.cn）；</w:t>
      </w:r>
    </w:p>
    <w:p w14:paraId="5B66381B">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中华人民共和国环境保护部网站（http：//www.zhb.gov.cn ）；</w:t>
      </w:r>
    </w:p>
    <w:p w14:paraId="5303E728">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中国绿色采购网（http：//www.cgpn.org）。</w:t>
      </w:r>
    </w:p>
    <w:p w14:paraId="065863E8">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2）对于列入财政部、国家发改委发布的《节能产品政府采购清单》但不属于国家强制采购的产品，对其投标价格给予3%的价格扣除，并按照扣除后的价格参加排序。采购项目或者分包中既包含节能产品也包含非节能产品的，只对列入《节能产品政府采购清单》但不属于国家强制采购的产品按其在总报价中所占的比例给予价格扣除。</w:t>
      </w:r>
    </w:p>
    <w:p w14:paraId="02A00225">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注：采购货物中含《节能产品政府采购清单》最新一期附件规定的强制性采购产品的，必须采购清单指定产品，否则投标无效。其它货物优先采购《节能产品政府采购清单》最新一期内容中的产品。查询网站为：</w:t>
      </w:r>
    </w:p>
    <w:p w14:paraId="49DAEE43">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中华人民共和国财政部网站（http：//www.mof.gov.cn ）；</w:t>
      </w:r>
    </w:p>
    <w:p w14:paraId="6CBAE801">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中国政府采购网（http：//www.ccgp.gov.cn ）；</w:t>
      </w:r>
    </w:p>
    <w:p w14:paraId="0D3666B2">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国家发展改革委网站（http：//www.ndrc.gov.cn ）；</w:t>
      </w:r>
    </w:p>
    <w:p w14:paraId="0A6AF2D6">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中国质量认证中心网站（http：//www.cqc.com.cn ）。</w:t>
      </w:r>
    </w:p>
    <w:p w14:paraId="393C62FF">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hint="eastAsia" w:ascii="宋体" w:hAnsi="宋体"/>
          <w:color w:val="auto"/>
          <w:szCs w:val="21"/>
          <w:highlight w:val="none"/>
          <w:lang w:val="zh-CN"/>
        </w:rPr>
      </w:pPr>
      <w:r>
        <w:rPr>
          <w:rFonts w:hint="eastAsia" w:ascii="宋体" w:hAnsi="宋体"/>
          <w:color w:val="auto"/>
          <w:szCs w:val="21"/>
          <w:highlight w:val="none"/>
          <w:lang w:val="zh-CN"/>
        </w:rPr>
        <w:t>（3）对于列入财政部、国家发改委、信息产业部发布的《无线局域网认证产品政府采购清单》的产品，对其投标价格给予3%的价格扣除，并按扣除后的价格参加排序。采购项目或者分包中既包含清单中产品也包含非清单中产品的，只对列入清单的产品按其在总报价中所占的比例给予价格扣除。</w:t>
      </w:r>
    </w:p>
    <w:p w14:paraId="59A4407E">
      <w:pPr>
        <w:tabs>
          <w:tab w:val="left" w:pos="2190"/>
        </w:tabs>
        <w:spacing w:line="380" w:lineRule="exact"/>
        <w:ind w:firstLine="435"/>
        <w:jc w:val="center"/>
        <w:rPr>
          <w:rFonts w:ascii="宋体" w:hAnsi="宋体"/>
          <w:b/>
          <w:color w:val="auto"/>
          <w:sz w:val="28"/>
          <w:szCs w:val="28"/>
          <w:highlight w:val="none"/>
        </w:rPr>
      </w:pPr>
      <w:r>
        <w:rPr>
          <w:rFonts w:hint="eastAsia" w:ascii="宋体" w:hAnsi="宋体"/>
          <w:b/>
          <w:color w:val="auto"/>
          <w:sz w:val="28"/>
          <w:szCs w:val="28"/>
          <w:highlight w:val="none"/>
        </w:rPr>
        <w:t>二、谈判文件</w:t>
      </w:r>
    </w:p>
    <w:p w14:paraId="4F3A87A4">
      <w:pPr>
        <w:tabs>
          <w:tab w:val="left" w:pos="2190"/>
        </w:tabs>
        <w:spacing w:line="400" w:lineRule="exact"/>
        <w:ind w:firstLine="437"/>
        <w:rPr>
          <w:rFonts w:ascii="宋体" w:hAnsi="宋体"/>
          <w:b/>
          <w:color w:val="auto"/>
          <w:szCs w:val="21"/>
          <w:highlight w:val="none"/>
        </w:rPr>
      </w:pPr>
      <w:r>
        <w:rPr>
          <w:rFonts w:hint="eastAsia" w:ascii="宋体" w:hAnsi="宋体"/>
          <w:b/>
          <w:color w:val="auto"/>
          <w:szCs w:val="21"/>
          <w:highlight w:val="none"/>
        </w:rPr>
        <w:t>9、谈判文件的构成</w:t>
      </w:r>
    </w:p>
    <w:p w14:paraId="0727E035">
      <w:pPr>
        <w:tabs>
          <w:tab w:val="left" w:pos="2190"/>
        </w:tabs>
        <w:spacing w:line="400" w:lineRule="exact"/>
        <w:ind w:firstLine="437"/>
        <w:rPr>
          <w:rFonts w:ascii="宋体" w:hAnsi="宋体"/>
          <w:color w:val="auto"/>
          <w:szCs w:val="21"/>
          <w:highlight w:val="none"/>
        </w:rPr>
      </w:pPr>
      <w:r>
        <w:rPr>
          <w:rFonts w:hint="eastAsia" w:ascii="宋体" w:hAnsi="宋体"/>
          <w:color w:val="auto"/>
          <w:szCs w:val="21"/>
          <w:highlight w:val="none"/>
        </w:rPr>
        <w:t>（1）竞争性谈判公告；</w:t>
      </w:r>
    </w:p>
    <w:p w14:paraId="58F5A297">
      <w:pPr>
        <w:tabs>
          <w:tab w:val="left" w:pos="2190"/>
        </w:tabs>
        <w:spacing w:line="400" w:lineRule="exact"/>
        <w:ind w:firstLine="437"/>
        <w:rPr>
          <w:rFonts w:ascii="宋体" w:hAnsi="宋体"/>
          <w:color w:val="auto"/>
          <w:szCs w:val="21"/>
          <w:highlight w:val="none"/>
        </w:rPr>
      </w:pPr>
      <w:r>
        <w:rPr>
          <w:rFonts w:hint="eastAsia" w:ascii="宋体" w:hAnsi="宋体"/>
          <w:color w:val="auto"/>
          <w:szCs w:val="21"/>
          <w:highlight w:val="none"/>
        </w:rPr>
        <w:t>（2）供应商须知；</w:t>
      </w:r>
    </w:p>
    <w:p w14:paraId="62EE8A5F">
      <w:pPr>
        <w:tabs>
          <w:tab w:val="left" w:pos="2190"/>
        </w:tabs>
        <w:spacing w:line="400" w:lineRule="exact"/>
        <w:ind w:firstLine="437"/>
        <w:rPr>
          <w:rFonts w:ascii="宋体" w:hAnsi="宋体"/>
          <w:color w:val="auto"/>
          <w:szCs w:val="21"/>
          <w:highlight w:val="none"/>
        </w:rPr>
      </w:pPr>
      <w:r>
        <w:rPr>
          <w:rFonts w:hint="eastAsia" w:ascii="宋体" w:hAnsi="宋体"/>
          <w:color w:val="auto"/>
          <w:szCs w:val="21"/>
          <w:highlight w:val="none"/>
        </w:rPr>
        <w:t>（3）采购需求</w:t>
      </w:r>
      <w:r>
        <w:rPr>
          <w:rFonts w:hint="eastAsia" w:ascii="宋体" w:hAnsi="宋体"/>
          <w:b/>
          <w:color w:val="auto"/>
          <w:szCs w:val="21"/>
          <w:highlight w:val="none"/>
        </w:rPr>
        <w:t>（“采购需求”中的所有条款要求均为实质性要求）；</w:t>
      </w:r>
    </w:p>
    <w:p w14:paraId="4A814E28">
      <w:pPr>
        <w:tabs>
          <w:tab w:val="left" w:pos="2190"/>
        </w:tabs>
        <w:spacing w:line="400" w:lineRule="exact"/>
        <w:ind w:firstLine="437"/>
        <w:rPr>
          <w:rFonts w:ascii="宋体" w:hAnsi="宋体"/>
          <w:color w:val="auto"/>
          <w:szCs w:val="21"/>
          <w:highlight w:val="none"/>
        </w:rPr>
      </w:pPr>
      <w:r>
        <w:rPr>
          <w:rFonts w:hint="eastAsia" w:ascii="宋体" w:hAnsi="宋体"/>
          <w:color w:val="auto"/>
          <w:szCs w:val="21"/>
          <w:highlight w:val="none"/>
        </w:rPr>
        <w:t>（4）评审方法；</w:t>
      </w:r>
    </w:p>
    <w:p w14:paraId="52E02A9B">
      <w:pPr>
        <w:tabs>
          <w:tab w:val="left" w:pos="2190"/>
        </w:tabs>
        <w:spacing w:line="400" w:lineRule="exact"/>
        <w:ind w:firstLine="437"/>
        <w:rPr>
          <w:rFonts w:ascii="宋体" w:hAnsi="宋体"/>
          <w:color w:val="auto"/>
          <w:szCs w:val="21"/>
          <w:highlight w:val="none"/>
        </w:rPr>
      </w:pPr>
      <w:r>
        <w:rPr>
          <w:rFonts w:hint="eastAsia" w:ascii="宋体" w:hAnsi="宋体"/>
          <w:color w:val="auto"/>
          <w:szCs w:val="21"/>
          <w:highlight w:val="none"/>
        </w:rPr>
        <w:t>（5）采购合同（合同主要条款及格式）；</w:t>
      </w:r>
    </w:p>
    <w:p w14:paraId="5A549DAC">
      <w:pPr>
        <w:tabs>
          <w:tab w:val="left" w:pos="2190"/>
        </w:tabs>
        <w:spacing w:line="400" w:lineRule="exact"/>
        <w:ind w:firstLine="437"/>
        <w:rPr>
          <w:rFonts w:ascii="宋体" w:hAnsi="宋体"/>
          <w:color w:val="auto"/>
          <w:szCs w:val="21"/>
          <w:highlight w:val="none"/>
        </w:rPr>
      </w:pPr>
      <w:r>
        <w:rPr>
          <w:rFonts w:hint="eastAsia" w:ascii="宋体" w:hAnsi="宋体"/>
          <w:color w:val="auto"/>
          <w:szCs w:val="21"/>
          <w:highlight w:val="none"/>
        </w:rPr>
        <w:t>（6）响应文件格式。</w:t>
      </w:r>
    </w:p>
    <w:p w14:paraId="0CA2E325">
      <w:pPr>
        <w:tabs>
          <w:tab w:val="left" w:pos="2190"/>
        </w:tabs>
        <w:spacing w:line="400" w:lineRule="exact"/>
        <w:ind w:firstLine="437"/>
        <w:rPr>
          <w:rFonts w:ascii="宋体" w:hAnsi="宋体"/>
          <w:b/>
          <w:color w:val="auto"/>
          <w:szCs w:val="21"/>
          <w:highlight w:val="none"/>
        </w:rPr>
      </w:pPr>
      <w:r>
        <w:rPr>
          <w:rFonts w:hint="eastAsia" w:ascii="宋体" w:hAnsi="宋体"/>
          <w:b/>
          <w:color w:val="auto"/>
          <w:szCs w:val="21"/>
          <w:highlight w:val="none"/>
        </w:rPr>
        <w:t>10、谈判文件的澄清与修改</w:t>
      </w:r>
    </w:p>
    <w:p w14:paraId="74B7E818">
      <w:pPr>
        <w:tabs>
          <w:tab w:val="left" w:pos="2190"/>
        </w:tabs>
        <w:spacing w:line="400" w:lineRule="exact"/>
        <w:ind w:firstLine="437"/>
        <w:rPr>
          <w:rFonts w:ascii="宋体" w:hAnsi="宋体"/>
          <w:color w:val="auto"/>
          <w:szCs w:val="21"/>
          <w:highlight w:val="none"/>
        </w:rPr>
      </w:pPr>
      <w:r>
        <w:rPr>
          <w:rFonts w:hint="eastAsia" w:ascii="宋体" w:hAnsi="宋体"/>
          <w:color w:val="auto"/>
          <w:szCs w:val="21"/>
          <w:highlight w:val="none"/>
        </w:rPr>
        <w:t>10.1、供应商应认真阅读谈判文件，发现其中有误或有不合理要求的，应在谈判截止日期二日前以书面形式要求采购代理机构澄清。</w:t>
      </w:r>
    </w:p>
    <w:p w14:paraId="43C6DC5C">
      <w:pPr>
        <w:tabs>
          <w:tab w:val="left" w:pos="2190"/>
        </w:tabs>
        <w:spacing w:line="400" w:lineRule="exact"/>
        <w:ind w:firstLine="437"/>
        <w:rPr>
          <w:rFonts w:hint="eastAsia" w:ascii="宋体" w:hAnsi="宋体"/>
          <w:color w:val="auto"/>
          <w:szCs w:val="21"/>
          <w:highlight w:val="none"/>
        </w:rPr>
      </w:pPr>
      <w:r>
        <w:rPr>
          <w:rFonts w:hint="eastAsia" w:ascii="宋体" w:hAnsi="宋体"/>
          <w:color w:val="auto"/>
          <w:szCs w:val="21"/>
          <w:highlight w:val="none"/>
        </w:rPr>
        <w:t>10.2、提交首次响应文件截止之日前，采购代理机构可以对已发出的谈判文件进行必要澄清或者修改，澄清或者修改的内容可能影响响应文件编制的，采购代理机构应当在提交首次响应文件递交截止时间三个工作日前在本项目竞争性谈判公告发布的同一媒体上发布更正公告，不足三个工作日的，应当顺延首次响应文件递交截止时间。</w:t>
      </w:r>
    </w:p>
    <w:p w14:paraId="164522C3">
      <w:pPr>
        <w:tabs>
          <w:tab w:val="left" w:pos="2190"/>
        </w:tabs>
        <w:spacing w:line="400" w:lineRule="exact"/>
        <w:ind w:firstLine="437"/>
        <w:rPr>
          <w:rFonts w:ascii="宋体" w:hAnsi="宋体"/>
          <w:color w:val="auto"/>
          <w:szCs w:val="21"/>
          <w:highlight w:val="none"/>
        </w:rPr>
      </w:pPr>
      <w:r>
        <w:rPr>
          <w:rFonts w:hint="eastAsia" w:ascii="宋体" w:hAnsi="宋体"/>
          <w:color w:val="auto"/>
          <w:szCs w:val="21"/>
          <w:highlight w:val="none"/>
        </w:rPr>
        <w:t>10.3采购代理机构在竞争性谈判公告发布的相关网站发布更正公告的同时，视同供应商已知晓竞争性谈判文件的澄清或者修改，供应商应将澄清或者修改的内容考虑在响应文件中，供应商在响应文件递交截止前未登录竞争性谈判公告发布的相关网站查看澄清或者修改的，造成供应商的响应文件不符合竞争性谈判文件要求或废标的，由供应商自行承担责任。</w:t>
      </w:r>
    </w:p>
    <w:p w14:paraId="1AF73622">
      <w:pPr>
        <w:tabs>
          <w:tab w:val="left" w:pos="2190"/>
        </w:tabs>
        <w:spacing w:line="400" w:lineRule="exact"/>
        <w:ind w:firstLine="437"/>
        <w:rPr>
          <w:rFonts w:ascii="宋体" w:hAnsi="宋体"/>
          <w:color w:val="auto"/>
          <w:szCs w:val="21"/>
          <w:highlight w:val="none"/>
        </w:rPr>
      </w:pPr>
      <w:r>
        <w:rPr>
          <w:rFonts w:hint="eastAsia" w:ascii="宋体" w:hAnsi="宋体"/>
          <w:color w:val="auto"/>
          <w:szCs w:val="21"/>
          <w:highlight w:val="none"/>
        </w:rPr>
        <w:t>10.3、澄清、答复、修改、补充的内容为谈判文件的组成部分。当澄清、答复、修改、补充通知就同一内容的表述不一致时，以最后发出的文件为准。</w:t>
      </w:r>
    </w:p>
    <w:p w14:paraId="0E99171D">
      <w:pPr>
        <w:keepNext w:val="0"/>
        <w:keepLines w:val="0"/>
        <w:pageBreakBefore w:val="0"/>
        <w:widowControl w:val="0"/>
        <w:tabs>
          <w:tab w:val="left" w:pos="2190"/>
        </w:tabs>
        <w:kinsoku/>
        <w:wordWrap/>
        <w:overflowPunct/>
        <w:topLinePunct w:val="0"/>
        <w:autoSpaceDE/>
        <w:autoSpaceDN/>
        <w:bidi w:val="0"/>
        <w:adjustRightInd/>
        <w:snapToGrid/>
        <w:spacing w:line="400" w:lineRule="exact"/>
        <w:ind w:firstLine="437"/>
        <w:textAlignment w:val="auto"/>
        <w:rPr>
          <w:rFonts w:ascii="宋体" w:hAnsi="宋体"/>
          <w:color w:val="auto"/>
          <w:szCs w:val="21"/>
          <w:highlight w:val="none"/>
        </w:rPr>
      </w:pPr>
      <w:r>
        <w:rPr>
          <w:rFonts w:hint="eastAsia" w:ascii="宋体" w:hAnsi="宋体"/>
          <w:color w:val="auto"/>
          <w:szCs w:val="21"/>
          <w:highlight w:val="none"/>
        </w:rPr>
        <w:t>10.4、谈判文件的澄清、答复、修改或补充都应该通过本项目采购代理机构以法定形式发布，采购人非通过本机构，不得擅自澄清、答复、修改或补充谈判文件。</w:t>
      </w:r>
    </w:p>
    <w:p w14:paraId="6D82E768">
      <w:pPr>
        <w:rPr>
          <w:rFonts w:hint="eastAsia" w:ascii="宋体" w:hAnsi="宋体"/>
          <w:b/>
          <w:color w:val="auto"/>
          <w:sz w:val="28"/>
          <w:szCs w:val="28"/>
          <w:highlight w:val="none"/>
        </w:rPr>
      </w:pPr>
      <w:r>
        <w:rPr>
          <w:rFonts w:hint="eastAsia" w:ascii="宋体" w:hAnsi="宋体"/>
          <w:b/>
          <w:color w:val="auto"/>
          <w:sz w:val="28"/>
          <w:szCs w:val="28"/>
          <w:highlight w:val="none"/>
        </w:rPr>
        <w:br w:type="page"/>
      </w:r>
    </w:p>
    <w:p w14:paraId="4D2AE93E">
      <w:pPr>
        <w:keepNext w:val="0"/>
        <w:keepLines w:val="0"/>
        <w:pageBreakBefore w:val="0"/>
        <w:widowControl w:val="0"/>
        <w:tabs>
          <w:tab w:val="left" w:pos="2190"/>
        </w:tabs>
        <w:kinsoku/>
        <w:wordWrap/>
        <w:overflowPunct/>
        <w:topLinePunct w:val="0"/>
        <w:autoSpaceDE/>
        <w:autoSpaceDN/>
        <w:bidi w:val="0"/>
        <w:adjustRightInd/>
        <w:snapToGrid/>
        <w:spacing w:line="400" w:lineRule="exact"/>
        <w:ind w:firstLine="435"/>
        <w:jc w:val="center"/>
        <w:textAlignment w:val="auto"/>
        <w:rPr>
          <w:rFonts w:ascii="宋体" w:hAnsi="宋体"/>
          <w:b/>
          <w:color w:val="auto"/>
          <w:sz w:val="28"/>
          <w:szCs w:val="28"/>
          <w:highlight w:val="none"/>
        </w:rPr>
      </w:pPr>
      <w:r>
        <w:rPr>
          <w:rFonts w:hint="eastAsia" w:ascii="宋体" w:hAnsi="宋体"/>
          <w:b/>
          <w:color w:val="auto"/>
          <w:sz w:val="28"/>
          <w:szCs w:val="28"/>
          <w:highlight w:val="none"/>
        </w:rPr>
        <w:t>三、竞争性谈判响应文件的编制</w:t>
      </w:r>
    </w:p>
    <w:p w14:paraId="0330DD2F">
      <w:pPr>
        <w:keepNext w:val="0"/>
        <w:keepLines w:val="0"/>
        <w:pageBreakBefore w:val="0"/>
        <w:widowControl w:val="0"/>
        <w:tabs>
          <w:tab w:val="left" w:pos="2190"/>
        </w:tabs>
        <w:kinsoku/>
        <w:wordWrap/>
        <w:overflowPunct/>
        <w:topLinePunct w:val="0"/>
        <w:autoSpaceDE/>
        <w:autoSpaceDN/>
        <w:bidi w:val="0"/>
        <w:adjustRightInd/>
        <w:snapToGrid/>
        <w:spacing w:line="400" w:lineRule="exact"/>
        <w:ind w:firstLine="435"/>
        <w:textAlignment w:val="auto"/>
        <w:rPr>
          <w:rFonts w:ascii="宋体" w:hAnsi="宋体"/>
          <w:bCs/>
          <w:color w:val="auto"/>
          <w:szCs w:val="21"/>
          <w:highlight w:val="none"/>
        </w:rPr>
      </w:pPr>
      <w:r>
        <w:rPr>
          <w:rFonts w:hint="eastAsia" w:ascii="宋体" w:hAnsi="宋体"/>
          <w:bCs/>
          <w:color w:val="auto"/>
          <w:szCs w:val="21"/>
          <w:highlight w:val="none"/>
        </w:rPr>
        <w:t>11、竞争性谈判响应文件（以下简称响应文件）的组成及要求</w:t>
      </w:r>
    </w:p>
    <w:p w14:paraId="47129FD2">
      <w:pPr>
        <w:tabs>
          <w:tab w:val="left" w:pos="1305"/>
        </w:tabs>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11.1、响应文件组成（格式见第六章响应文件格式</w:t>
      </w:r>
      <w:r>
        <w:rPr>
          <w:rFonts w:hint="eastAsia" w:ascii="宋体" w:hAnsi="宋体"/>
          <w:bCs/>
          <w:color w:val="auto"/>
          <w:szCs w:val="21"/>
          <w:highlight w:val="none"/>
          <w:lang w:val="en-US" w:eastAsia="zh-CN"/>
        </w:rPr>
        <w:t>及以下内容要求</w:t>
      </w:r>
      <w:r>
        <w:rPr>
          <w:rFonts w:hint="eastAsia" w:ascii="宋体" w:hAnsi="宋体"/>
          <w:bCs/>
          <w:color w:val="auto"/>
          <w:szCs w:val="21"/>
          <w:highlight w:val="none"/>
        </w:rPr>
        <w:t>）</w:t>
      </w:r>
    </w:p>
    <w:p w14:paraId="33DF2470">
      <w:pPr>
        <w:tabs>
          <w:tab w:val="left" w:pos="1305"/>
        </w:tabs>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（1）响应函（格式见附件）（必须提供）；</w:t>
      </w:r>
    </w:p>
    <w:p w14:paraId="1EDD739B">
      <w:pPr>
        <w:tabs>
          <w:tab w:val="left" w:pos="1305"/>
        </w:tabs>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（2）供应商的法定代表人或负责人或自然人身份证正反两面复印件（必须提供）；</w:t>
      </w:r>
    </w:p>
    <w:p w14:paraId="6D12DE31">
      <w:pPr>
        <w:tabs>
          <w:tab w:val="left" w:pos="1305"/>
        </w:tabs>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（3）供应商的授权委托书原件、委托代理人身份证正反面复印件（委托代理时必须提供）；</w:t>
      </w:r>
    </w:p>
    <w:p w14:paraId="233B1FD7">
      <w:pPr>
        <w:tabs>
          <w:tab w:val="left" w:pos="1305"/>
        </w:tabs>
        <w:spacing w:line="40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（4）供应商参加政府采购活动前3年内在经营活动中没有重大违法记录的书面声明（格式见附件，必须提供）；</w:t>
      </w:r>
    </w:p>
    <w:p w14:paraId="2EEA5EF6">
      <w:pPr>
        <w:tabs>
          <w:tab w:val="left" w:pos="1305"/>
        </w:tabs>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（5）关于政府采购活动中信用信息记录的书面声明（格式见附件，必须提供查询网站中直接打印查询记录</w:t>
      </w:r>
      <w:r>
        <w:rPr>
          <w:rFonts w:hint="eastAsia" w:ascii="宋体" w:hAnsi="宋体"/>
          <w:bCs/>
          <w:color w:val="auto"/>
          <w:szCs w:val="21"/>
          <w:highlight w:val="none"/>
          <w:lang w:val="en-US" w:eastAsia="zh-CN"/>
        </w:rPr>
        <w:t>结果的附件</w:t>
      </w:r>
      <w:r>
        <w:rPr>
          <w:rFonts w:hint="eastAsia" w:ascii="宋体" w:hAnsi="宋体"/>
          <w:bCs/>
          <w:color w:val="auto"/>
          <w:szCs w:val="21"/>
          <w:highlight w:val="none"/>
        </w:rPr>
        <w:t>）；</w:t>
      </w:r>
    </w:p>
    <w:p w14:paraId="38BC2CFD">
      <w:pPr>
        <w:tabs>
          <w:tab w:val="left" w:pos="1305"/>
        </w:tabs>
        <w:spacing w:line="380" w:lineRule="exact"/>
        <w:ind w:firstLine="420" w:firstLineChars="200"/>
        <w:rPr>
          <w:rFonts w:ascii="宋体" w:hAnsi="宋体"/>
          <w:bCs/>
          <w:color w:val="auto"/>
          <w:highlight w:val="none"/>
        </w:rPr>
      </w:pPr>
      <w:r>
        <w:rPr>
          <w:rFonts w:hint="eastAsia" w:ascii="宋体" w:hAnsi="宋体"/>
          <w:bCs/>
          <w:color w:val="auto"/>
          <w:highlight w:val="none"/>
        </w:rPr>
        <w:t>（6）供应商前期服务情况声明函（</w:t>
      </w:r>
      <w:r>
        <w:rPr>
          <w:rFonts w:hint="eastAsia" w:ascii="宋体" w:hAnsi="宋体" w:cs="宋体"/>
          <w:bCs/>
          <w:color w:val="auto"/>
          <w:highlight w:val="none"/>
        </w:rPr>
        <w:t>格式见附件，</w:t>
      </w:r>
      <w:r>
        <w:rPr>
          <w:rFonts w:hint="eastAsia" w:ascii="宋体" w:hAnsi="宋体"/>
          <w:bCs/>
          <w:color w:val="auto"/>
          <w:highlight w:val="none"/>
        </w:rPr>
        <w:t>必须提供）；</w:t>
      </w:r>
    </w:p>
    <w:p w14:paraId="65B3A77E">
      <w:pPr>
        <w:tabs>
          <w:tab w:val="left" w:pos="1305"/>
        </w:tabs>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（7）供应商的法人或者其他组织营业执照等证明文件复印件（必须提供，自然人除外）；</w:t>
      </w:r>
    </w:p>
    <w:p w14:paraId="6E28DAEF">
      <w:pPr>
        <w:tabs>
          <w:tab w:val="left" w:pos="1305"/>
        </w:tabs>
        <w:spacing w:line="40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供应商为事业单位，应提供有效的“事业单位法人证书”；供应商为非企业专业服务机构的，应提供执业许可证等证明文件；供应商为个体工商户，应提供有效的“个体工商户营业执照”。</w:t>
      </w:r>
    </w:p>
    <w:p w14:paraId="4B3722B1">
      <w:pPr>
        <w:tabs>
          <w:tab w:val="left" w:pos="1305"/>
        </w:tabs>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（8）谈判报价表</w:t>
      </w:r>
      <w:r>
        <w:rPr>
          <w:rFonts w:hint="eastAsia" w:ascii="宋体" w:hAnsi="宋体"/>
          <w:color w:val="auto"/>
          <w:szCs w:val="21"/>
          <w:highlight w:val="none"/>
          <w:lang w:eastAsia="zh-CN"/>
        </w:rPr>
        <w:t>及附件</w:t>
      </w:r>
      <w:r>
        <w:rPr>
          <w:rFonts w:hint="eastAsia" w:ascii="宋体" w:hAnsi="宋体"/>
          <w:color w:val="auto"/>
          <w:szCs w:val="21"/>
          <w:highlight w:val="none"/>
        </w:rPr>
        <w:t>（格式见附件）（必须提供）；</w:t>
      </w:r>
    </w:p>
    <w:p w14:paraId="3AA10E12">
      <w:pPr>
        <w:tabs>
          <w:tab w:val="left" w:pos="1305"/>
        </w:tabs>
        <w:spacing w:line="400" w:lineRule="exact"/>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（9）供应商的财务状况</w:t>
      </w:r>
      <w:r>
        <w:rPr>
          <w:rFonts w:hint="eastAsia" w:ascii="宋体" w:hAnsi="宋体"/>
          <w:color w:val="auto"/>
          <w:szCs w:val="21"/>
          <w:highlight w:val="none"/>
          <w:lang w:eastAsia="zh-CN"/>
        </w:rPr>
        <w:t>、</w:t>
      </w:r>
      <w:r>
        <w:rPr>
          <w:rFonts w:hint="eastAsia" w:ascii="宋体" w:hAnsi="宋体" w:cs="宋体"/>
          <w:bCs/>
          <w:snapToGrid w:val="0"/>
          <w:color w:val="auto"/>
          <w:szCs w:val="21"/>
          <w:highlight w:val="none"/>
        </w:rPr>
        <w:t>依法缴纳税收和社会保障金的资格条件承诺函</w:t>
      </w:r>
      <w:r>
        <w:rPr>
          <w:rFonts w:hint="eastAsia" w:ascii="宋体" w:hAnsi="宋体"/>
          <w:color w:val="auto"/>
          <w:szCs w:val="21"/>
          <w:highlight w:val="none"/>
        </w:rPr>
        <w:t>（必须提供）</w:t>
      </w:r>
      <w:r>
        <w:rPr>
          <w:rFonts w:hint="eastAsia" w:ascii="宋体" w:hAnsi="宋体"/>
          <w:color w:val="auto"/>
          <w:szCs w:val="21"/>
          <w:highlight w:val="none"/>
          <w:lang w:eastAsia="zh-CN"/>
        </w:rPr>
        <w:t>；</w:t>
      </w:r>
    </w:p>
    <w:p w14:paraId="109DCEEA">
      <w:pPr>
        <w:tabs>
          <w:tab w:val="left" w:pos="1305"/>
        </w:tabs>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10</w:t>
      </w:r>
      <w:r>
        <w:rPr>
          <w:rFonts w:hint="eastAsia" w:ascii="宋体" w:hAnsi="宋体"/>
          <w:color w:val="auto"/>
          <w:szCs w:val="21"/>
          <w:highlight w:val="none"/>
        </w:rPr>
        <w:t>）供应商的服务承诺书（必须提供）；</w:t>
      </w:r>
    </w:p>
    <w:p w14:paraId="79767F15">
      <w:pPr>
        <w:tabs>
          <w:tab w:val="left" w:pos="1305"/>
        </w:tabs>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1</w:t>
      </w:r>
      <w:r>
        <w:rPr>
          <w:rFonts w:hint="eastAsia" w:ascii="宋体" w:hAnsi="宋体"/>
          <w:color w:val="auto"/>
          <w:szCs w:val="21"/>
          <w:highlight w:val="none"/>
        </w:rPr>
        <w:t>）项目实施人员一览表（必须提供）；</w:t>
      </w:r>
    </w:p>
    <w:p w14:paraId="20B24A22">
      <w:pPr>
        <w:tabs>
          <w:tab w:val="left" w:pos="1305"/>
        </w:tabs>
        <w:spacing w:line="400" w:lineRule="exact"/>
        <w:ind w:firstLine="420" w:firstLineChars="200"/>
        <w:rPr>
          <w:rFonts w:hint="eastAsia" w:ascii="宋体" w:hAnsi="宋体"/>
          <w:bCs/>
          <w:color w:val="auto"/>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pacing w:val="0"/>
          <w:sz w:val="21"/>
          <w:highlight w:val="none"/>
        </w:rPr>
        <w:t>供应商</w:t>
      </w:r>
      <w:r>
        <w:rPr>
          <w:rFonts w:hint="eastAsia" w:ascii="宋体" w:hAnsi="宋体"/>
          <w:color w:val="auto"/>
          <w:spacing w:val="0"/>
          <w:sz w:val="21"/>
          <w:highlight w:val="none"/>
          <w:u w:val="none"/>
        </w:rPr>
        <w:t>20</w:t>
      </w:r>
      <w:r>
        <w:rPr>
          <w:rFonts w:hint="eastAsia" w:ascii="宋体" w:hAnsi="宋体"/>
          <w:color w:val="auto"/>
          <w:spacing w:val="0"/>
          <w:sz w:val="21"/>
          <w:highlight w:val="none"/>
          <w:u w:val="none"/>
          <w:lang w:val="en-US" w:eastAsia="zh-CN"/>
        </w:rPr>
        <w:t>22</w:t>
      </w:r>
      <w:r>
        <w:rPr>
          <w:rFonts w:hint="eastAsia" w:ascii="宋体" w:hAnsi="宋体"/>
          <w:color w:val="auto"/>
          <w:spacing w:val="0"/>
          <w:sz w:val="21"/>
          <w:highlight w:val="none"/>
        </w:rPr>
        <w:t>年</w:t>
      </w:r>
      <w:r>
        <w:rPr>
          <w:rFonts w:hint="eastAsia" w:ascii="宋体" w:hAnsi="宋体"/>
          <w:color w:val="auto"/>
          <w:spacing w:val="0"/>
          <w:sz w:val="21"/>
          <w:highlight w:val="none"/>
          <w:lang w:val="en-US" w:eastAsia="zh-CN"/>
        </w:rPr>
        <w:t>至今须具备与本项目类似</w:t>
      </w:r>
      <w:r>
        <w:rPr>
          <w:rFonts w:hint="eastAsia" w:ascii="宋体" w:hAnsi="宋体"/>
          <w:color w:val="auto"/>
          <w:spacing w:val="0"/>
          <w:sz w:val="21"/>
          <w:highlight w:val="none"/>
        </w:rPr>
        <w:t>业绩的相关证明材料</w:t>
      </w:r>
      <w:r>
        <w:rPr>
          <w:rFonts w:hint="eastAsia" w:ascii="宋体" w:hAnsi="宋体"/>
          <w:color w:val="auto"/>
          <w:spacing w:val="0"/>
          <w:sz w:val="21"/>
          <w:szCs w:val="21"/>
          <w:highlight w:val="none"/>
        </w:rPr>
        <w:t>（无不良记录，以中标、成交通知书或签订的</w:t>
      </w:r>
      <w:r>
        <w:rPr>
          <w:rFonts w:hint="eastAsia" w:ascii="宋体" w:hAnsi="宋体"/>
          <w:color w:val="auto"/>
          <w:spacing w:val="0"/>
          <w:sz w:val="21"/>
          <w:szCs w:val="21"/>
          <w:highlight w:val="none"/>
          <w:lang w:eastAsia="zh-CN"/>
        </w:rPr>
        <w:t>服务</w:t>
      </w:r>
      <w:r>
        <w:rPr>
          <w:rFonts w:hint="eastAsia" w:ascii="宋体" w:hAnsi="宋体"/>
          <w:color w:val="auto"/>
          <w:spacing w:val="0"/>
          <w:sz w:val="21"/>
          <w:szCs w:val="21"/>
          <w:highlight w:val="none"/>
        </w:rPr>
        <w:t>合同为准</w:t>
      </w:r>
      <w:r>
        <w:rPr>
          <w:rFonts w:hint="eastAsia" w:ascii="宋体" w:hAnsi="宋体"/>
          <w:b/>
          <w:color w:val="auto"/>
          <w:spacing w:val="0"/>
          <w:sz w:val="21"/>
          <w:highlight w:val="none"/>
        </w:rPr>
        <w:t>）</w:t>
      </w:r>
      <w:r>
        <w:rPr>
          <w:rFonts w:hint="eastAsia" w:ascii="宋体" w:hAnsi="宋体"/>
          <w:bCs/>
          <w:color w:val="auto"/>
          <w:highlight w:val="none"/>
        </w:rPr>
        <w:t>（</w:t>
      </w:r>
      <w:r>
        <w:rPr>
          <w:rFonts w:hint="eastAsia" w:ascii="宋体" w:hAnsi="宋体"/>
          <w:bCs/>
          <w:color w:val="auto"/>
          <w:highlight w:val="none"/>
          <w:lang w:val="en-US" w:eastAsia="zh-CN"/>
        </w:rPr>
        <w:t>必须</w:t>
      </w:r>
      <w:r>
        <w:rPr>
          <w:rFonts w:hint="eastAsia" w:ascii="宋体" w:hAnsi="宋体"/>
          <w:bCs/>
          <w:color w:val="auto"/>
          <w:highlight w:val="none"/>
          <w:lang w:eastAsia="zh-CN"/>
        </w:rPr>
        <w:t>提供</w:t>
      </w:r>
      <w:r>
        <w:rPr>
          <w:rFonts w:hint="eastAsia" w:ascii="宋体" w:hAnsi="宋体"/>
          <w:bCs/>
          <w:color w:val="auto"/>
          <w:highlight w:val="none"/>
        </w:rPr>
        <w:t>）；</w:t>
      </w:r>
    </w:p>
    <w:p w14:paraId="0F9DC5A5">
      <w:pPr>
        <w:tabs>
          <w:tab w:val="left" w:pos="1305"/>
        </w:tabs>
        <w:spacing w:line="400" w:lineRule="exact"/>
        <w:ind w:firstLine="420" w:firstLineChars="200"/>
        <w:rPr>
          <w:rFonts w:hint="eastAsia" w:ascii="宋体" w:hAnsi="宋体" w:eastAsia="宋体"/>
          <w:color w:val="auto"/>
          <w:szCs w:val="21"/>
          <w:highlight w:val="none"/>
          <w:lang w:eastAsia="zh-CN"/>
        </w:rPr>
      </w:pPr>
      <w:r>
        <w:rPr>
          <w:rFonts w:hint="eastAsia" w:ascii="宋体" w:hAnsi="宋体"/>
          <w:color w:val="auto"/>
          <w:highlight w:val="none"/>
          <w:lang w:eastAsia="zh-CN"/>
        </w:rPr>
        <w:t>（</w:t>
      </w:r>
      <w:r>
        <w:rPr>
          <w:rFonts w:hint="eastAsia" w:ascii="宋体" w:hAnsi="宋体"/>
          <w:color w:val="auto"/>
          <w:highlight w:val="none"/>
          <w:lang w:val="en-US" w:eastAsia="zh-CN"/>
        </w:rPr>
        <w:t>13</w:t>
      </w:r>
      <w:r>
        <w:rPr>
          <w:rFonts w:hint="eastAsia" w:ascii="宋体" w:hAnsi="宋体"/>
          <w:color w:val="auto"/>
          <w:highlight w:val="none"/>
          <w:lang w:eastAsia="zh-CN"/>
        </w:rPr>
        <w:t>）供应商的服务</w:t>
      </w:r>
      <w:r>
        <w:rPr>
          <w:rFonts w:hint="eastAsia" w:ascii="宋体" w:hAnsi="宋体"/>
          <w:color w:val="auto"/>
          <w:highlight w:val="none"/>
          <w:lang w:val="en-US" w:eastAsia="zh-CN"/>
        </w:rPr>
        <w:t>方案</w:t>
      </w:r>
      <w:r>
        <w:rPr>
          <w:rFonts w:hint="eastAsia" w:ascii="宋体" w:hAnsi="宋体"/>
          <w:color w:val="auto"/>
          <w:szCs w:val="21"/>
          <w:highlight w:val="none"/>
        </w:rPr>
        <w:t>（</w:t>
      </w:r>
      <w:r>
        <w:rPr>
          <w:rFonts w:hint="eastAsia" w:ascii="宋体" w:hAnsi="宋体"/>
          <w:color w:val="auto"/>
          <w:szCs w:val="21"/>
          <w:highlight w:val="none"/>
          <w:lang w:val="en-US" w:eastAsia="zh-CN"/>
        </w:rPr>
        <w:t>必须</w:t>
      </w:r>
      <w:r>
        <w:rPr>
          <w:rFonts w:hint="eastAsia" w:ascii="宋体" w:hAnsi="宋体"/>
          <w:color w:val="auto"/>
          <w:szCs w:val="21"/>
          <w:highlight w:val="none"/>
        </w:rPr>
        <w:t>提供）</w:t>
      </w:r>
      <w:r>
        <w:rPr>
          <w:rFonts w:hint="eastAsia" w:ascii="宋体" w:hAnsi="宋体"/>
          <w:color w:val="auto"/>
          <w:szCs w:val="21"/>
          <w:highlight w:val="none"/>
          <w:lang w:eastAsia="zh-CN"/>
        </w:rPr>
        <w:t>；</w:t>
      </w:r>
    </w:p>
    <w:p w14:paraId="6D43590A">
      <w:pPr>
        <w:tabs>
          <w:tab w:val="left" w:pos="1305"/>
        </w:tabs>
        <w:spacing w:line="400" w:lineRule="exact"/>
        <w:ind w:left="0" w:leftChars="0" w:firstLine="499" w:firstLineChars="238"/>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w:t>
      </w:r>
      <w:r>
        <w:rPr>
          <w:rFonts w:hint="eastAsia" w:ascii="宋体" w:hAnsi="宋体"/>
          <w:color w:val="auto"/>
          <w:highlight w:val="none"/>
        </w:rPr>
        <w:t>中小企业声明函（供应商应按照工信部联企业（2011）300号文的划分标准进行如实申明，如提供虚假申明应依法承担相应法律责任。格式见附件）（</w:t>
      </w:r>
      <w:r>
        <w:rPr>
          <w:rFonts w:hint="eastAsia" w:ascii="宋体" w:hAnsi="宋体"/>
          <w:color w:val="auto"/>
          <w:highlight w:val="none"/>
          <w:lang w:eastAsia="zh-CN"/>
        </w:rPr>
        <w:t>必须</w:t>
      </w:r>
      <w:r>
        <w:rPr>
          <w:rFonts w:hint="eastAsia" w:ascii="宋体" w:hAnsi="宋体"/>
          <w:color w:val="auto"/>
          <w:highlight w:val="none"/>
        </w:rPr>
        <w:t>提供）；</w:t>
      </w:r>
    </w:p>
    <w:p w14:paraId="60B1B6B7">
      <w:pPr>
        <w:snapToGrid w:val="0"/>
        <w:spacing w:line="360" w:lineRule="exact"/>
        <w:ind w:firstLine="420" w:firstLineChars="200"/>
        <w:jc w:val="left"/>
        <w:rPr>
          <w:rFonts w:hint="eastAsia" w:ascii="宋体" w:hAnsi="宋体"/>
          <w:color w:val="auto"/>
          <w:highlight w:val="none"/>
        </w:rPr>
      </w:pPr>
      <w:r>
        <w:rPr>
          <w:rFonts w:hint="eastAsia" w:ascii="宋体" w:hAnsi="宋体"/>
          <w:color w:val="auto"/>
          <w:highlight w:val="none"/>
        </w:rPr>
        <w:t>(1</w:t>
      </w:r>
      <w:r>
        <w:rPr>
          <w:rFonts w:hint="eastAsia" w:ascii="宋体" w:hAnsi="宋体"/>
          <w:color w:val="auto"/>
          <w:highlight w:val="none"/>
          <w:lang w:val="en-US" w:eastAsia="zh-CN"/>
        </w:rPr>
        <w:t>5</w:t>
      </w:r>
      <w:r>
        <w:rPr>
          <w:rFonts w:hint="eastAsia" w:ascii="宋体" w:hAnsi="宋体"/>
          <w:color w:val="auto"/>
          <w:highlight w:val="none"/>
        </w:rPr>
        <w:t>）监狱企业的证明文件[竞标产品如为监狱企业的，应当提供由省级以上监狱管理局、戒毒管理局（含新疆生产建设兵团）出具的属于监狱企业的证明文件, 否则不予享受优惠政策] （如有，请提供）；</w:t>
      </w:r>
    </w:p>
    <w:p w14:paraId="4217F92A">
      <w:pPr>
        <w:snapToGrid w:val="0"/>
        <w:spacing w:line="360" w:lineRule="exact"/>
        <w:ind w:firstLine="420" w:firstLineChars="200"/>
        <w:jc w:val="left"/>
        <w:rPr>
          <w:rFonts w:hint="eastAsia" w:ascii="宋体" w:hAnsi="宋体" w:eastAsia="宋体" w:cs="Times New Roman"/>
          <w:color w:val="auto"/>
          <w:highlight w:val="none"/>
        </w:rPr>
      </w:pPr>
      <w:r>
        <w:rPr>
          <w:rFonts w:hint="eastAsia" w:ascii="宋体" w:hAnsi="宋体" w:eastAsia="宋体" w:cs="Times New Roman"/>
          <w:color w:val="auto"/>
          <w:highlight w:val="none"/>
        </w:rPr>
        <w:t>(1</w:t>
      </w:r>
      <w:r>
        <w:rPr>
          <w:rFonts w:hint="eastAsia" w:ascii="宋体" w:hAnsi="宋体" w:eastAsia="宋体" w:cs="Times New Roman"/>
          <w:color w:val="auto"/>
          <w:highlight w:val="none"/>
          <w:lang w:val="en-US" w:eastAsia="zh-CN"/>
        </w:rPr>
        <w:t>6</w:t>
      </w:r>
      <w:r>
        <w:rPr>
          <w:rFonts w:hint="eastAsia" w:ascii="宋体" w:hAnsi="宋体" w:eastAsia="宋体" w:cs="Times New Roman"/>
          <w:color w:val="auto"/>
          <w:highlight w:val="none"/>
        </w:rPr>
        <w:t>）残疾人福利性单位声明函（供应商如为残疾人福利性单位的，否则不予享受优惠政策，格式见附件）（必须提供）；</w:t>
      </w:r>
    </w:p>
    <w:p w14:paraId="2C32DB5E">
      <w:pPr>
        <w:snapToGrid w:val="0"/>
        <w:spacing w:line="360" w:lineRule="exact"/>
        <w:ind w:firstLine="420" w:firstLineChars="200"/>
        <w:jc w:val="left"/>
        <w:rPr>
          <w:rFonts w:hint="eastAsia" w:ascii="宋体" w:hAnsi="宋体" w:eastAsia="宋体" w:cs="Times New Roman"/>
          <w:color w:val="auto"/>
          <w:highlight w:val="none"/>
        </w:rPr>
      </w:pPr>
      <w:r>
        <w:rPr>
          <w:rFonts w:hint="eastAsia" w:ascii="宋体" w:hAnsi="宋体" w:eastAsia="宋体" w:cs="Times New Roman"/>
          <w:color w:val="auto"/>
          <w:highlight w:val="none"/>
        </w:rPr>
        <w:t>(1</w:t>
      </w:r>
      <w:r>
        <w:rPr>
          <w:rFonts w:hint="eastAsia" w:ascii="宋体" w:hAnsi="宋体" w:eastAsia="宋体" w:cs="Times New Roman"/>
          <w:color w:val="auto"/>
          <w:highlight w:val="none"/>
          <w:lang w:val="en-US" w:eastAsia="zh-CN"/>
        </w:rPr>
        <w:t>7</w:t>
      </w:r>
      <w:r>
        <w:rPr>
          <w:rFonts w:hint="eastAsia" w:ascii="宋体" w:hAnsi="宋体" w:eastAsia="宋体" w:cs="Times New Roman"/>
          <w:color w:val="auto"/>
          <w:highlight w:val="none"/>
        </w:rPr>
        <w:t>)供应商可结合本项目自身情况自行提交其它相关证明材料（如有，请提供）。</w:t>
      </w:r>
    </w:p>
    <w:p w14:paraId="663DDB21">
      <w:pPr>
        <w:snapToGrid w:val="0"/>
        <w:spacing w:line="360" w:lineRule="exact"/>
        <w:ind w:firstLine="420" w:firstLineChars="200"/>
        <w:jc w:val="left"/>
        <w:rPr>
          <w:rFonts w:hint="eastAsia" w:ascii="宋体" w:hAnsi="宋体" w:eastAsia="宋体" w:cs="Times New Roman"/>
          <w:color w:val="auto"/>
          <w:highlight w:val="none"/>
          <w:lang w:eastAsia="zh-CN"/>
        </w:rPr>
      </w:pPr>
      <w:r>
        <w:rPr>
          <w:rFonts w:hint="eastAsia" w:ascii="宋体" w:hAnsi="宋体" w:eastAsia="宋体" w:cs="Times New Roman"/>
          <w:color w:val="auto"/>
          <w:highlight w:val="none"/>
        </w:rPr>
        <w:t>(1</w:t>
      </w:r>
      <w:r>
        <w:rPr>
          <w:rFonts w:hint="eastAsia" w:ascii="宋体" w:hAnsi="宋体" w:eastAsia="宋体" w:cs="Times New Roman"/>
          <w:color w:val="auto"/>
          <w:highlight w:val="none"/>
          <w:lang w:val="en-US" w:eastAsia="zh-CN"/>
        </w:rPr>
        <w:t>8</w:t>
      </w:r>
      <w:r>
        <w:rPr>
          <w:rFonts w:hint="eastAsia" w:ascii="宋体" w:hAnsi="宋体" w:eastAsia="宋体" w:cs="Times New Roman"/>
          <w:color w:val="auto"/>
          <w:highlight w:val="none"/>
        </w:rPr>
        <w:t>)“近年发生的诉讼及仲裁情况”</w:t>
      </w:r>
      <w:r>
        <w:rPr>
          <w:rFonts w:hint="eastAsia" w:ascii="宋体" w:hAnsi="宋体" w:cs="Times New Roman"/>
          <w:color w:val="auto"/>
          <w:highlight w:val="none"/>
          <w:lang w:val="en-US" w:eastAsia="zh-CN"/>
        </w:rPr>
        <w:t>按照供应商须知</w:t>
      </w:r>
      <w:r>
        <w:rPr>
          <w:rFonts w:hint="eastAsia" w:ascii="宋体" w:hAnsi="宋体" w:eastAsia="宋体" w:cs="Times New Roman"/>
          <w:color w:val="auto"/>
          <w:highlight w:val="none"/>
        </w:rPr>
        <w:t>具体年份要求应</w:t>
      </w:r>
      <w:r>
        <w:rPr>
          <w:rFonts w:hint="eastAsia" w:ascii="宋体" w:hAnsi="宋体" w:cs="Times New Roman"/>
          <w:color w:val="auto"/>
          <w:highlight w:val="none"/>
          <w:lang w:val="en-US" w:eastAsia="zh-CN"/>
        </w:rPr>
        <w:t>写明</w:t>
      </w:r>
      <w:r>
        <w:rPr>
          <w:rFonts w:hint="eastAsia" w:ascii="宋体" w:hAnsi="宋体" w:eastAsia="宋体" w:cs="Times New Roman"/>
          <w:color w:val="auto"/>
          <w:highlight w:val="none"/>
        </w:rPr>
        <w:t>相关情况</w:t>
      </w:r>
      <w:r>
        <w:rPr>
          <w:rFonts w:hint="eastAsia" w:ascii="宋体" w:hAnsi="宋体" w:cs="Times New Roman"/>
          <w:color w:val="auto"/>
          <w:highlight w:val="none"/>
          <w:lang w:val="en-US" w:eastAsia="zh-CN"/>
        </w:rPr>
        <w:t>承诺书</w:t>
      </w:r>
      <w:r>
        <w:rPr>
          <w:rFonts w:hint="eastAsia" w:ascii="宋体" w:hAnsi="宋体" w:eastAsia="宋体" w:cs="Times New Roman"/>
          <w:color w:val="auto"/>
          <w:highlight w:val="none"/>
        </w:rPr>
        <w:t>，</w:t>
      </w:r>
      <w:r>
        <w:rPr>
          <w:rFonts w:hint="eastAsia" w:ascii="宋体" w:hAnsi="宋体" w:eastAsia="宋体" w:cs="Times New Roman"/>
          <w:color w:val="auto"/>
          <w:highlight w:val="none"/>
          <w:lang w:val="en-US" w:eastAsia="zh-CN"/>
        </w:rPr>
        <w:t>如有，</w:t>
      </w:r>
      <w:r>
        <w:rPr>
          <w:rFonts w:hint="eastAsia" w:ascii="宋体" w:hAnsi="宋体" w:eastAsia="宋体" w:cs="Times New Roman"/>
          <w:color w:val="auto"/>
          <w:highlight w:val="none"/>
        </w:rPr>
        <w:t>附法院或仲裁机构作出的判决、裁决等有关法律文书复印件</w:t>
      </w:r>
      <w:r>
        <w:rPr>
          <w:rFonts w:hint="eastAsia" w:ascii="宋体" w:hAnsi="宋体" w:eastAsia="宋体" w:cs="Times New Roman"/>
          <w:color w:val="auto"/>
          <w:highlight w:val="none"/>
          <w:lang w:eastAsia="zh-CN"/>
        </w:rPr>
        <w:t>，</w:t>
      </w:r>
      <w:r>
        <w:rPr>
          <w:rFonts w:hint="eastAsia" w:ascii="宋体" w:hAnsi="宋体" w:eastAsia="宋体" w:cs="Times New Roman"/>
          <w:color w:val="auto"/>
          <w:highlight w:val="none"/>
          <w:lang w:val="en-US" w:eastAsia="zh-CN"/>
        </w:rPr>
        <w:t>若无，</w:t>
      </w:r>
      <w:r>
        <w:rPr>
          <w:rFonts w:hint="eastAsia" w:ascii="宋体" w:hAnsi="宋体" w:cs="Times New Roman"/>
          <w:color w:val="auto"/>
          <w:highlight w:val="none"/>
          <w:lang w:val="en-US" w:eastAsia="zh-CN"/>
        </w:rPr>
        <w:t>还</w:t>
      </w:r>
      <w:r>
        <w:rPr>
          <w:rFonts w:hint="eastAsia" w:ascii="宋体" w:hAnsi="宋体" w:eastAsia="宋体" w:cs="Times New Roman"/>
          <w:color w:val="auto"/>
          <w:highlight w:val="none"/>
          <w:lang w:val="en-US" w:eastAsia="zh-CN"/>
        </w:rPr>
        <w:t>需提供信用良好承诺书。</w:t>
      </w:r>
      <w:r>
        <w:rPr>
          <w:rFonts w:hint="eastAsia" w:ascii="宋体" w:hAnsi="宋体" w:eastAsia="宋体" w:cs="Times New Roman"/>
          <w:color w:val="auto"/>
          <w:highlight w:val="none"/>
        </w:rPr>
        <w:t>（</w:t>
      </w:r>
      <w:r>
        <w:rPr>
          <w:rFonts w:hint="eastAsia" w:ascii="宋体" w:hAnsi="宋体" w:eastAsia="宋体" w:cs="Times New Roman"/>
          <w:color w:val="auto"/>
          <w:highlight w:val="none"/>
          <w:lang w:eastAsia="zh-CN"/>
        </w:rPr>
        <w:t>格式自拟，</w:t>
      </w:r>
      <w:r>
        <w:rPr>
          <w:rFonts w:hint="eastAsia" w:ascii="宋体" w:hAnsi="宋体" w:eastAsia="宋体" w:cs="Times New Roman"/>
          <w:color w:val="auto"/>
          <w:highlight w:val="none"/>
        </w:rPr>
        <w:t>必须提供）</w:t>
      </w:r>
      <w:r>
        <w:rPr>
          <w:rFonts w:hint="eastAsia" w:ascii="宋体" w:hAnsi="宋体" w:cs="Times New Roman"/>
          <w:color w:val="auto"/>
          <w:highlight w:val="none"/>
          <w:lang w:eastAsia="zh-CN"/>
        </w:rPr>
        <w:t>。</w:t>
      </w:r>
    </w:p>
    <w:p w14:paraId="7F65409B">
      <w:pPr>
        <w:tabs>
          <w:tab w:val="left" w:pos="1305"/>
        </w:tabs>
        <w:spacing w:line="380" w:lineRule="exact"/>
        <w:ind w:firstLine="420" w:firstLineChars="200"/>
        <w:rPr>
          <w:rFonts w:ascii="宋体" w:hAnsi="宋体"/>
          <w:color w:val="auto"/>
          <w:highlight w:val="none"/>
        </w:rPr>
      </w:pPr>
      <w:r>
        <w:rPr>
          <w:rFonts w:hint="eastAsia" w:ascii="宋体" w:hAnsi="宋体"/>
          <w:color w:val="auto"/>
          <w:highlight w:val="none"/>
        </w:rPr>
        <w:t>11.2、以上有关材料应真实有效，属于“必须提供”的文件必须于本项目截标前与响应文件同时提交，并加盖供应商公章（扫描公章无效，自然人除外）；其余由供应商视自身情况自行提交。</w:t>
      </w:r>
    </w:p>
    <w:p w14:paraId="337F798B">
      <w:pPr>
        <w:pStyle w:val="16"/>
        <w:spacing w:line="400" w:lineRule="exact"/>
        <w:ind w:firstLine="420" w:firstLineChars="200"/>
        <w:rPr>
          <w:rFonts w:hint="eastAsia"/>
          <w:color w:val="auto"/>
          <w:highlight w:val="none"/>
        </w:rPr>
      </w:pPr>
      <w:r>
        <w:rPr>
          <w:rFonts w:hint="eastAsia"/>
          <w:color w:val="auto"/>
          <w:highlight w:val="none"/>
        </w:rPr>
        <w:t>11.3、供应商应按竞争性谈判文件第六章“响应文件格式”编制响应文件。</w:t>
      </w:r>
    </w:p>
    <w:p w14:paraId="6CF018DE">
      <w:pPr>
        <w:pStyle w:val="16"/>
        <w:spacing w:line="400" w:lineRule="exact"/>
        <w:ind w:firstLine="420" w:firstLineChars="200"/>
        <w:rPr>
          <w:rFonts w:hint="eastAsia" w:hAnsi="宋体"/>
          <w:color w:val="auto"/>
          <w:szCs w:val="21"/>
          <w:highlight w:val="none"/>
        </w:rPr>
      </w:pPr>
      <w:r>
        <w:rPr>
          <w:rFonts w:hint="eastAsia"/>
          <w:color w:val="auto"/>
          <w:highlight w:val="none"/>
        </w:rPr>
        <w:t>11.4</w:t>
      </w:r>
      <w:r>
        <w:rPr>
          <w:rFonts w:hint="eastAsia" w:hAnsi="宋体"/>
          <w:color w:val="auto"/>
          <w:highlight w:val="none"/>
        </w:rPr>
        <w:t xml:space="preserve"> </w:t>
      </w:r>
      <w:r>
        <w:rPr>
          <w:rFonts w:hint="eastAsia" w:hAnsi="宋体"/>
          <w:color w:val="auto"/>
          <w:szCs w:val="21"/>
          <w:highlight w:val="none"/>
        </w:rPr>
        <w:t>响应文件电子版</w:t>
      </w:r>
    </w:p>
    <w:p w14:paraId="1B30A09B">
      <w:pPr>
        <w:pStyle w:val="16"/>
        <w:spacing w:line="400" w:lineRule="exact"/>
        <w:ind w:firstLine="420" w:firstLineChars="200"/>
        <w:rPr>
          <w:rFonts w:hint="eastAsia" w:hAnsi="宋体" w:eastAsia="宋体"/>
          <w:color w:val="auto"/>
          <w:highlight w:val="none"/>
          <w:lang w:eastAsia="zh-CN"/>
        </w:rPr>
      </w:pPr>
      <w:r>
        <w:rPr>
          <w:rFonts w:hint="eastAsia" w:hAnsi="宋体"/>
          <w:color w:val="auto"/>
          <w:highlight w:val="none"/>
        </w:rPr>
        <w:t>供应商在递交响应文件时，同时递交响应文件电子版一份</w:t>
      </w:r>
      <w:r>
        <w:rPr>
          <w:rFonts w:hint="eastAsia" w:hAnsi="宋体"/>
          <w:color w:val="auto"/>
          <w:highlight w:val="none"/>
          <w:lang w:eastAsia="zh-CN"/>
        </w:rPr>
        <w:t>。</w:t>
      </w:r>
    </w:p>
    <w:p w14:paraId="72E02B0E">
      <w:pPr>
        <w:snapToGrid w:val="0"/>
        <w:spacing w:line="360" w:lineRule="exact"/>
        <w:jc w:val="left"/>
        <w:rPr>
          <w:rFonts w:hint="eastAsia" w:ascii="宋体" w:hAnsi="宋体" w:cs="Courier New"/>
          <w:color w:val="auto"/>
          <w:szCs w:val="21"/>
          <w:highlight w:val="none"/>
        </w:rPr>
      </w:pPr>
      <w:r>
        <w:rPr>
          <w:rFonts w:hint="eastAsia" w:ascii="宋体" w:hAnsi="宋体" w:cs="Courier New"/>
          <w:color w:val="auto"/>
          <w:szCs w:val="21"/>
          <w:highlight w:val="none"/>
        </w:rPr>
        <w:t>（1）响应文件电子版内容：与纸质响应文件一致。</w:t>
      </w:r>
    </w:p>
    <w:p w14:paraId="019CF09C">
      <w:pPr>
        <w:snapToGrid w:val="0"/>
        <w:spacing w:line="360" w:lineRule="exact"/>
        <w:jc w:val="left"/>
        <w:rPr>
          <w:rFonts w:hint="eastAsia" w:ascii="宋体" w:hAnsi="宋体" w:cs="Courier New"/>
          <w:color w:val="auto"/>
          <w:szCs w:val="21"/>
          <w:highlight w:val="none"/>
        </w:rPr>
      </w:pPr>
      <w:r>
        <w:rPr>
          <w:rFonts w:hint="eastAsia" w:ascii="宋体" w:hAnsi="宋体" w:cs="Courier New"/>
          <w:color w:val="auto"/>
          <w:szCs w:val="21"/>
          <w:highlight w:val="none"/>
        </w:rPr>
        <w:t>（2）响应文件电子版份数：</w:t>
      </w:r>
      <w:r>
        <w:rPr>
          <w:rFonts w:hint="eastAsia" w:ascii="宋体" w:hAnsi="宋体" w:cs="Courier New"/>
          <w:color w:val="auto"/>
          <w:szCs w:val="21"/>
          <w:highlight w:val="none"/>
          <w:lang w:val="en-US" w:eastAsia="zh-CN"/>
        </w:rPr>
        <w:t>1</w:t>
      </w:r>
      <w:r>
        <w:rPr>
          <w:rFonts w:hint="eastAsia" w:ascii="宋体" w:hAnsi="宋体" w:cs="Courier New"/>
          <w:color w:val="auto"/>
          <w:szCs w:val="21"/>
          <w:highlight w:val="none"/>
        </w:rPr>
        <w:t>份。</w:t>
      </w:r>
    </w:p>
    <w:p w14:paraId="78B79189">
      <w:pPr>
        <w:snapToGrid w:val="0"/>
        <w:spacing w:line="360" w:lineRule="exact"/>
        <w:jc w:val="left"/>
        <w:rPr>
          <w:rFonts w:hint="eastAsia" w:ascii="宋体" w:hAnsi="宋体" w:cs="Courier New"/>
          <w:color w:val="auto"/>
          <w:szCs w:val="21"/>
          <w:highlight w:val="none"/>
        </w:rPr>
      </w:pPr>
      <w:r>
        <w:rPr>
          <w:rFonts w:hint="eastAsia" w:ascii="宋体" w:hAnsi="宋体" w:cs="Courier New"/>
          <w:color w:val="auto"/>
          <w:szCs w:val="21"/>
          <w:highlight w:val="none"/>
        </w:rPr>
        <w:t>（3）响应文件电子版形式：PDF及Word两种格式，PDF格式包含所有投标文件签字及盖章内容。</w:t>
      </w:r>
    </w:p>
    <w:p w14:paraId="75B010AC">
      <w:pPr>
        <w:pStyle w:val="16"/>
        <w:spacing w:line="400" w:lineRule="exact"/>
        <w:rPr>
          <w:rFonts w:hint="eastAsia" w:hAnsi="宋体" w:cs="Courier New"/>
          <w:color w:val="auto"/>
          <w:szCs w:val="21"/>
          <w:highlight w:val="none"/>
        </w:rPr>
      </w:pPr>
      <w:r>
        <w:rPr>
          <w:rFonts w:hint="eastAsia" w:hAnsi="宋体" w:cs="Courier New"/>
          <w:color w:val="auto"/>
          <w:szCs w:val="21"/>
          <w:highlight w:val="none"/>
        </w:rPr>
        <w:t>（4）响应文件电子版方式：响应文件电子版U盘</w:t>
      </w:r>
      <w:r>
        <w:rPr>
          <w:rFonts w:hint="eastAsia" w:hAnsi="宋体" w:cs="Courier New"/>
          <w:color w:val="auto"/>
          <w:szCs w:val="21"/>
          <w:highlight w:val="none"/>
          <w:lang w:eastAsia="zh-CN"/>
        </w:rPr>
        <w:t>同</w:t>
      </w:r>
      <w:r>
        <w:rPr>
          <w:rFonts w:hint="eastAsia" w:hAnsi="宋体" w:cs="Courier New"/>
          <w:color w:val="auto"/>
          <w:szCs w:val="21"/>
          <w:highlight w:val="none"/>
        </w:rPr>
        <w:t>纸质版响应文件一并</w:t>
      </w:r>
      <w:r>
        <w:rPr>
          <w:rFonts w:hint="eastAsia" w:hAnsi="宋体" w:cs="Courier New"/>
          <w:color w:val="auto"/>
          <w:szCs w:val="21"/>
          <w:highlight w:val="none"/>
          <w:lang w:val="en-US" w:eastAsia="zh-CN"/>
        </w:rPr>
        <w:t>送到采购代理机构公司</w:t>
      </w:r>
      <w:r>
        <w:rPr>
          <w:rFonts w:hint="eastAsia" w:hAnsi="宋体" w:cs="Courier New"/>
          <w:color w:val="auto"/>
          <w:szCs w:val="21"/>
          <w:highlight w:val="none"/>
        </w:rPr>
        <w:t>。</w:t>
      </w:r>
    </w:p>
    <w:p w14:paraId="10AD1608">
      <w:pPr>
        <w:pStyle w:val="16"/>
        <w:spacing w:line="400" w:lineRule="exact"/>
        <w:ind w:firstLine="422" w:firstLineChars="200"/>
        <w:rPr>
          <w:rFonts w:hAnsi="宋体"/>
          <w:b/>
          <w:color w:val="auto"/>
          <w:szCs w:val="21"/>
          <w:highlight w:val="none"/>
        </w:rPr>
      </w:pPr>
      <w:r>
        <w:rPr>
          <w:rFonts w:hint="eastAsia" w:hAnsi="宋体"/>
          <w:b/>
          <w:color w:val="auto"/>
          <w:szCs w:val="21"/>
          <w:highlight w:val="none"/>
        </w:rPr>
        <w:t>12、</w:t>
      </w:r>
      <w:r>
        <w:rPr>
          <w:rFonts w:hint="eastAsia"/>
          <w:b/>
          <w:color w:val="auto"/>
          <w:highlight w:val="none"/>
        </w:rPr>
        <w:t>响应</w:t>
      </w:r>
      <w:r>
        <w:rPr>
          <w:rFonts w:hint="eastAsia" w:hAnsi="宋体"/>
          <w:b/>
          <w:color w:val="auto"/>
          <w:szCs w:val="21"/>
          <w:highlight w:val="none"/>
        </w:rPr>
        <w:t>文件的语言及计量</w:t>
      </w:r>
    </w:p>
    <w:p w14:paraId="720D5A3D">
      <w:pPr>
        <w:tabs>
          <w:tab w:val="left" w:pos="1305"/>
        </w:tabs>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12.1、</w:t>
      </w:r>
      <w:r>
        <w:rPr>
          <w:rFonts w:hint="eastAsia"/>
          <w:color w:val="auto"/>
          <w:highlight w:val="none"/>
        </w:rPr>
        <w:t>响应</w:t>
      </w:r>
      <w:r>
        <w:rPr>
          <w:rFonts w:hint="eastAsia" w:ascii="宋体" w:hAnsi="宋体"/>
          <w:color w:val="auto"/>
          <w:szCs w:val="21"/>
          <w:highlight w:val="none"/>
        </w:rPr>
        <w:t>文件以及供应商与采购代理机构就有关谈判事宜的所有来往函电，均应以中文汉语书写。供应商提交的支持文件和印刷的文献可以使用别的语言，但其相应内容必须附有中文翻译文本，在解释</w:t>
      </w:r>
      <w:r>
        <w:rPr>
          <w:rFonts w:hint="eastAsia"/>
          <w:color w:val="auto"/>
          <w:highlight w:val="none"/>
        </w:rPr>
        <w:t>响应</w:t>
      </w:r>
      <w:r>
        <w:rPr>
          <w:rFonts w:hint="eastAsia" w:ascii="宋体" w:hAnsi="宋体"/>
          <w:color w:val="auto"/>
          <w:szCs w:val="21"/>
          <w:highlight w:val="none"/>
        </w:rPr>
        <w:t>文件时以中文翻译文本为准。</w:t>
      </w:r>
    </w:p>
    <w:p w14:paraId="57911792">
      <w:pPr>
        <w:tabs>
          <w:tab w:val="left" w:pos="1305"/>
        </w:tabs>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12.2、谈判计量单位，谈判文件已有明确规定的，使用谈判文件规定的计量单位；谈判文件没有规定的，应采用中华人民共和国法定计量单位（货币单位：人民币元），否则视同未响应。</w:t>
      </w:r>
    </w:p>
    <w:p w14:paraId="43708F11">
      <w:pPr>
        <w:tabs>
          <w:tab w:val="left" w:pos="1305"/>
        </w:tabs>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13、谈判报价</w:t>
      </w:r>
    </w:p>
    <w:p w14:paraId="5751E310">
      <w:pPr>
        <w:tabs>
          <w:tab w:val="left" w:pos="1305"/>
        </w:tabs>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13.1、谈判报价应按谈判文件中相关附表格式填写。最后报价</w:t>
      </w:r>
      <w:r>
        <w:rPr>
          <w:rFonts w:hint="eastAsia" w:ascii="宋体" w:hAnsi="宋体"/>
          <w:color w:val="auto"/>
          <w:kern w:val="0"/>
          <w:szCs w:val="21"/>
          <w:highlight w:val="none"/>
        </w:rPr>
        <w:t>超过所竞项目采购预算总金额的，响应文件作相应无效处理。</w:t>
      </w:r>
    </w:p>
    <w:p w14:paraId="4884D104">
      <w:pPr>
        <w:tabs>
          <w:tab w:val="left" w:pos="1305"/>
        </w:tabs>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13.2、供应商必须就“采购需求”中所有货物内容作完整唯一报价，否则，其响应文件无效。响应文件只允许有一个报价，有选择的或有条件的报价将不予接受。</w:t>
      </w:r>
    </w:p>
    <w:p w14:paraId="0D2E8421">
      <w:pPr>
        <w:tabs>
          <w:tab w:val="left" w:pos="1305"/>
        </w:tabs>
        <w:spacing w:line="38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13.</w:t>
      </w:r>
      <w:r>
        <w:rPr>
          <w:rFonts w:hint="eastAsia" w:ascii="宋体" w:hAnsi="宋体"/>
          <w:color w:val="auto"/>
          <w:kern w:val="0"/>
          <w:szCs w:val="21"/>
          <w:highlight w:val="none"/>
          <w:lang w:val="en-US" w:eastAsia="zh-CN"/>
        </w:rPr>
        <w:t>3</w:t>
      </w:r>
      <w:r>
        <w:rPr>
          <w:rFonts w:hint="eastAsia" w:ascii="宋体" w:hAnsi="宋体"/>
          <w:color w:val="auto"/>
          <w:kern w:val="0"/>
          <w:szCs w:val="21"/>
          <w:highlight w:val="none"/>
        </w:rPr>
        <w:t>未书面退出谈判的</w:t>
      </w:r>
      <w:r>
        <w:rPr>
          <w:rFonts w:ascii="宋体" w:hAnsi="宋体"/>
          <w:color w:val="auto"/>
          <w:kern w:val="0"/>
          <w:szCs w:val="21"/>
          <w:highlight w:val="none"/>
        </w:rPr>
        <w:t>供应商在规定时间内</w:t>
      </w:r>
      <w:r>
        <w:rPr>
          <w:rFonts w:hint="eastAsia" w:ascii="宋体" w:hAnsi="宋体"/>
          <w:color w:val="auto"/>
          <w:kern w:val="0"/>
          <w:szCs w:val="21"/>
          <w:highlight w:val="none"/>
          <w:lang w:val="en-US" w:eastAsia="zh-CN"/>
        </w:rPr>
        <w:t>线上</w:t>
      </w:r>
      <w:r>
        <w:rPr>
          <w:rFonts w:ascii="宋体" w:hAnsi="宋体"/>
          <w:color w:val="auto"/>
          <w:kern w:val="0"/>
          <w:szCs w:val="21"/>
          <w:highlight w:val="none"/>
        </w:rPr>
        <w:t>提交最后报价</w:t>
      </w:r>
      <w:r>
        <w:rPr>
          <w:rFonts w:hint="eastAsia" w:ascii="宋体" w:hAnsi="宋体"/>
          <w:color w:val="auto"/>
          <w:kern w:val="0"/>
          <w:szCs w:val="21"/>
          <w:highlight w:val="none"/>
        </w:rPr>
        <w:t>，其最后报价超出采购预算导致已通过评审的响应文件无效的，按供应商在提交响应文件截止时间后撤回响应文件处理。</w:t>
      </w:r>
    </w:p>
    <w:p w14:paraId="0262D2BD">
      <w:pPr>
        <w:tabs>
          <w:tab w:val="left" w:pos="1305"/>
        </w:tabs>
        <w:spacing w:line="38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14. 响应文件有效期</w:t>
      </w:r>
    </w:p>
    <w:p w14:paraId="292C6743">
      <w:pPr>
        <w:tabs>
          <w:tab w:val="left" w:pos="1305"/>
        </w:tabs>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14.1 响应文件有效期：响应文件递交截止时间之日起90天，有效期不足的响应文件将被拒绝。</w:t>
      </w:r>
    </w:p>
    <w:p w14:paraId="4A708FFF">
      <w:pPr>
        <w:tabs>
          <w:tab w:val="left" w:pos="1305"/>
        </w:tabs>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14.2 出现特殊情况下，需要延长响应文件有效期的，采购代理机构以书面形式通知供应商延长响应文件有效期。供应商同意延长的，不能修改响应文件。供应商拒绝延长的，其响应文件无效。</w:t>
      </w:r>
    </w:p>
    <w:p w14:paraId="0957D370">
      <w:pPr>
        <w:numPr>
          <w:ilvl w:val="0"/>
          <w:numId w:val="3"/>
        </w:numPr>
        <w:tabs>
          <w:tab w:val="left" w:pos="1305"/>
        </w:tabs>
        <w:spacing w:line="380" w:lineRule="exact"/>
        <w:ind w:firstLine="422" w:firstLineChars="200"/>
        <w:rPr>
          <w:rFonts w:hint="eastAsia" w:ascii="宋体" w:hAnsi="宋体"/>
          <w:b w:val="0"/>
          <w:bCs/>
          <w:color w:val="auto"/>
          <w:szCs w:val="21"/>
          <w:highlight w:val="none"/>
        </w:rPr>
      </w:pPr>
      <w:r>
        <w:rPr>
          <w:rFonts w:hint="eastAsia" w:ascii="宋体" w:hAnsi="宋体"/>
          <w:b/>
          <w:color w:val="auto"/>
          <w:szCs w:val="21"/>
          <w:highlight w:val="none"/>
        </w:rPr>
        <w:t>谈判保证金：</w:t>
      </w:r>
      <w:r>
        <w:rPr>
          <w:rFonts w:hint="eastAsia" w:ascii="宋体" w:hAnsi="宋体"/>
          <w:b w:val="0"/>
          <w:bCs/>
          <w:color w:val="auto"/>
          <w:szCs w:val="21"/>
          <w:highlight w:val="none"/>
          <w:lang w:val="en-US" w:eastAsia="zh-CN"/>
        </w:rPr>
        <w:t>详见供应商须知前附表。</w:t>
      </w:r>
    </w:p>
    <w:p w14:paraId="701D41E8">
      <w:pPr>
        <w:tabs>
          <w:tab w:val="left" w:pos="1305"/>
        </w:tabs>
        <w:spacing w:line="380" w:lineRule="exact"/>
        <w:ind w:firstLine="422" w:firstLineChars="200"/>
        <w:rPr>
          <w:rFonts w:ascii="宋体" w:hAnsi="宋体"/>
          <w:b/>
          <w:color w:val="auto"/>
          <w:szCs w:val="21"/>
          <w:highlight w:val="none"/>
        </w:rPr>
      </w:pPr>
      <w:r>
        <w:rPr>
          <w:rFonts w:hint="eastAsia" w:ascii="宋体" w:hAnsi="宋体"/>
          <w:b/>
          <w:color w:val="auto"/>
          <w:szCs w:val="21"/>
          <w:highlight w:val="none"/>
        </w:rPr>
        <w:t>16. 响应文件的份数、装订、</w:t>
      </w:r>
      <w:r>
        <w:rPr>
          <w:rFonts w:hint="eastAsia" w:ascii="宋体" w:hAnsi="宋体" w:cs="Courier New"/>
          <w:b/>
          <w:color w:val="auto"/>
          <w:szCs w:val="21"/>
          <w:highlight w:val="none"/>
        </w:rPr>
        <w:t>签署</w:t>
      </w:r>
    </w:p>
    <w:p w14:paraId="7972D363">
      <w:pPr>
        <w:tabs>
          <w:tab w:val="left" w:pos="1305"/>
        </w:tabs>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16</w:t>
      </w:r>
      <w:r>
        <w:rPr>
          <w:rFonts w:ascii="宋体" w:hAnsi="宋体"/>
          <w:color w:val="auto"/>
          <w:szCs w:val="21"/>
          <w:highlight w:val="none"/>
        </w:rPr>
        <w:t>.1</w:t>
      </w:r>
      <w:r>
        <w:rPr>
          <w:rFonts w:hint="eastAsia" w:ascii="宋体" w:hAnsi="宋体"/>
          <w:color w:val="auto"/>
          <w:szCs w:val="21"/>
          <w:highlight w:val="none"/>
        </w:rPr>
        <w:t xml:space="preserve"> 响应文件份数：正本壹本，副本贰本，须完整提交（</w:t>
      </w:r>
      <w:r>
        <w:rPr>
          <w:rFonts w:ascii="宋体" w:hAnsi="宋体"/>
          <w:color w:val="auto"/>
          <w:szCs w:val="21"/>
          <w:highlight w:val="none"/>
        </w:rPr>
        <w:t>A4</w:t>
      </w:r>
      <w:r>
        <w:rPr>
          <w:rFonts w:hint="eastAsia" w:ascii="宋体" w:hAnsi="宋体"/>
          <w:color w:val="auto"/>
          <w:szCs w:val="21"/>
          <w:highlight w:val="none"/>
        </w:rPr>
        <w:t>纸装订）。</w:t>
      </w:r>
    </w:p>
    <w:p w14:paraId="14AE5788">
      <w:pPr>
        <w:tabs>
          <w:tab w:val="left" w:pos="1305"/>
        </w:tabs>
        <w:spacing w:line="380" w:lineRule="exact"/>
        <w:ind w:firstLine="420" w:firstLineChars="200"/>
        <w:rPr>
          <w:rFonts w:hint="eastAsia" w:ascii="宋体" w:hAnsi="宋体" w:eastAsia="宋体"/>
          <w:b/>
          <w:color w:val="auto"/>
          <w:szCs w:val="21"/>
          <w:highlight w:val="none"/>
          <w:lang w:eastAsia="zh-CN"/>
        </w:rPr>
      </w:pPr>
      <w:r>
        <w:rPr>
          <w:rFonts w:ascii="宋体" w:hAnsi="宋体"/>
          <w:color w:val="auto"/>
          <w:szCs w:val="21"/>
          <w:highlight w:val="none"/>
        </w:rPr>
        <w:t>1</w:t>
      </w:r>
      <w:r>
        <w:rPr>
          <w:rFonts w:hint="eastAsia" w:ascii="宋体" w:hAnsi="宋体"/>
          <w:color w:val="auto"/>
          <w:szCs w:val="21"/>
          <w:highlight w:val="none"/>
        </w:rPr>
        <w:t>6</w:t>
      </w:r>
      <w:r>
        <w:rPr>
          <w:rFonts w:ascii="宋体" w:hAnsi="宋体"/>
          <w:color w:val="auto"/>
          <w:szCs w:val="21"/>
          <w:highlight w:val="none"/>
        </w:rPr>
        <w:t>.2</w:t>
      </w:r>
      <w:r>
        <w:rPr>
          <w:rFonts w:hint="eastAsia" w:ascii="宋体" w:hAnsi="宋体"/>
          <w:color w:val="auto"/>
          <w:szCs w:val="21"/>
          <w:highlight w:val="none"/>
        </w:rPr>
        <w:t xml:space="preserve"> 响应文件装订要求：供应商应按供应商须知第11.1条“响应文件组成”规定的顺序自编目录及页码。响应文件的“正本”、“副本”应当单独装订成册并标注页码，装订应牢固，不易拆散和换页。封面</w:t>
      </w:r>
      <w:r>
        <w:rPr>
          <w:rFonts w:hint="eastAsia" w:ascii="宋体" w:hAnsi="宋体"/>
          <w:color w:val="auto"/>
          <w:szCs w:val="21"/>
          <w:highlight w:val="none"/>
          <w:lang w:val="en-US" w:eastAsia="zh-CN"/>
        </w:rPr>
        <w:t>右上角</w:t>
      </w:r>
      <w:r>
        <w:rPr>
          <w:rFonts w:hint="eastAsia" w:ascii="宋体" w:hAnsi="宋体"/>
          <w:color w:val="auto"/>
          <w:szCs w:val="21"/>
          <w:highlight w:val="none"/>
        </w:rPr>
        <w:t>应注明“正本”、“副本”字样，封面上写明项目名称、项目编号、</w:t>
      </w:r>
      <w:r>
        <w:rPr>
          <w:rFonts w:hint="eastAsia" w:ascii="宋体" w:hAnsi="宋体"/>
          <w:color w:val="auto"/>
          <w:szCs w:val="21"/>
          <w:highlight w:val="none"/>
          <w:lang w:val="en-US" w:eastAsia="zh-CN"/>
        </w:rPr>
        <w:t>采购人</w:t>
      </w:r>
      <w:r>
        <w:rPr>
          <w:rFonts w:hint="eastAsia" w:ascii="宋体" w:hAnsi="宋体"/>
          <w:color w:val="auto"/>
          <w:szCs w:val="21"/>
          <w:highlight w:val="none"/>
        </w:rPr>
        <w:t>、供应商单位名称</w:t>
      </w:r>
      <w:r>
        <w:rPr>
          <w:rFonts w:hint="eastAsia" w:ascii="宋体" w:hAnsi="宋体"/>
          <w:color w:val="auto"/>
          <w:szCs w:val="21"/>
          <w:highlight w:val="none"/>
          <w:lang w:eastAsia="zh-CN"/>
        </w:rPr>
        <w:t>、地址、法定代表人签字盖章、</w:t>
      </w:r>
      <w:r>
        <w:rPr>
          <w:rFonts w:hint="eastAsia" w:ascii="宋体" w:hAnsi="宋体"/>
          <w:color w:val="auto"/>
          <w:szCs w:val="21"/>
          <w:highlight w:val="none"/>
          <w:lang w:val="en-US" w:eastAsia="zh-CN"/>
        </w:rPr>
        <w:t>日期</w:t>
      </w:r>
      <w:r>
        <w:rPr>
          <w:rFonts w:hint="eastAsia" w:ascii="宋体" w:hAnsi="宋体"/>
          <w:color w:val="auto"/>
          <w:szCs w:val="21"/>
          <w:highlight w:val="none"/>
          <w:lang w:eastAsia="zh-CN"/>
        </w:rPr>
        <w:t>等内容组成。</w:t>
      </w:r>
    </w:p>
    <w:p w14:paraId="59B2DE54">
      <w:pPr>
        <w:tabs>
          <w:tab w:val="left" w:pos="1305"/>
        </w:tabs>
        <w:spacing w:line="380" w:lineRule="exact"/>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6</w:t>
      </w:r>
      <w:r>
        <w:rPr>
          <w:rFonts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响应文件须由供应商在</w:t>
      </w:r>
      <w:r>
        <w:rPr>
          <w:rFonts w:hint="eastAsia" w:ascii="宋体" w:hAnsi="宋体"/>
          <w:color w:val="auto"/>
          <w:szCs w:val="21"/>
          <w:highlight w:val="none"/>
          <w:lang w:val="en-US" w:eastAsia="zh-CN"/>
        </w:rPr>
        <w:t>谈判文件</w:t>
      </w:r>
      <w:r>
        <w:rPr>
          <w:rFonts w:hint="eastAsia" w:ascii="宋体" w:hAnsi="宋体"/>
          <w:color w:val="auto"/>
          <w:szCs w:val="21"/>
          <w:highlight w:val="none"/>
        </w:rPr>
        <w:t>规定</w:t>
      </w:r>
      <w:r>
        <w:rPr>
          <w:rFonts w:hint="eastAsia" w:ascii="宋体" w:hAnsi="宋体"/>
          <w:color w:val="auto"/>
          <w:szCs w:val="21"/>
          <w:highlight w:val="none"/>
          <w:lang w:val="en-US" w:eastAsia="zh-CN"/>
        </w:rPr>
        <w:t>的准确</w:t>
      </w:r>
      <w:r>
        <w:rPr>
          <w:rFonts w:hint="eastAsia" w:ascii="宋体" w:hAnsi="宋体"/>
          <w:color w:val="auto"/>
          <w:szCs w:val="21"/>
          <w:highlight w:val="none"/>
        </w:rPr>
        <w:t>位置加盖供应商公章（扫描公章</w:t>
      </w:r>
      <w:r>
        <w:rPr>
          <w:rFonts w:hint="eastAsia" w:ascii="宋体" w:hAnsi="宋体"/>
          <w:color w:val="auto"/>
          <w:szCs w:val="21"/>
          <w:highlight w:val="none"/>
          <w:lang w:eastAsia="zh-CN"/>
        </w:rPr>
        <w:t>、</w:t>
      </w:r>
      <w:r>
        <w:rPr>
          <w:rFonts w:ascii="宋体" w:hAnsi="宋体" w:cs="宋体"/>
          <w:color w:val="auto"/>
          <w:szCs w:val="21"/>
          <w:highlight w:val="none"/>
        </w:rPr>
        <w:t>财务章、部门章、分公司章、工会章、合同章、</w:t>
      </w:r>
      <w:r>
        <w:rPr>
          <w:rFonts w:hint="eastAsia" w:ascii="宋体" w:hAnsi="宋体" w:cs="宋体"/>
          <w:color w:val="auto"/>
          <w:szCs w:val="21"/>
          <w:highlight w:val="none"/>
        </w:rPr>
        <w:t>谈判</w:t>
      </w:r>
      <w:r>
        <w:rPr>
          <w:rFonts w:ascii="宋体" w:hAnsi="宋体" w:cs="宋体"/>
          <w:color w:val="auto"/>
          <w:szCs w:val="21"/>
          <w:highlight w:val="none"/>
        </w:rPr>
        <w:t>专用章、业务专用章及银行转账章、现金收讫章、现金付讫章</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其他形式非正规公章</w:t>
      </w:r>
      <w:r>
        <w:rPr>
          <w:rFonts w:ascii="宋体" w:hAnsi="宋体" w:cs="宋体"/>
          <w:color w:val="auto"/>
          <w:szCs w:val="21"/>
          <w:highlight w:val="none"/>
        </w:rPr>
        <w:t>等其它形式印章</w:t>
      </w:r>
      <w:r>
        <w:rPr>
          <w:rFonts w:hint="eastAsia" w:ascii="宋体" w:hAnsi="宋体" w:cs="宋体"/>
          <w:color w:val="auto"/>
          <w:szCs w:val="21"/>
          <w:highlight w:val="none"/>
          <w:lang w:val="en-US" w:eastAsia="zh-CN"/>
        </w:rPr>
        <w:t>均</w:t>
      </w:r>
      <w:r>
        <w:rPr>
          <w:rFonts w:hint="eastAsia" w:ascii="宋体" w:hAnsi="宋体"/>
          <w:color w:val="auto"/>
          <w:szCs w:val="21"/>
          <w:highlight w:val="none"/>
        </w:rPr>
        <w:t>无效，自然人除外）并由法定代表人或授权委托代理人</w:t>
      </w:r>
      <w:r>
        <w:rPr>
          <w:rFonts w:hint="eastAsia"/>
          <w:color w:val="auto"/>
          <w:highlight w:val="none"/>
          <w:lang w:val="en-US" w:eastAsia="zh-CN"/>
        </w:rPr>
        <w:t>签字或签章</w:t>
      </w:r>
      <w:r>
        <w:rPr>
          <w:rFonts w:hint="eastAsia" w:ascii="宋体" w:hAnsi="宋体"/>
          <w:color w:val="auto"/>
          <w:szCs w:val="21"/>
          <w:highlight w:val="none"/>
        </w:rPr>
        <w:t>，</w:t>
      </w:r>
      <w:r>
        <w:rPr>
          <w:rFonts w:hint="eastAsia" w:ascii="宋体" w:hAnsi="宋体"/>
          <w:color w:val="auto"/>
          <w:szCs w:val="21"/>
          <w:highlight w:val="none"/>
          <w:lang w:val="en-US" w:eastAsia="zh-CN"/>
        </w:rPr>
        <w:t>响应文件格式中相对应的位置不得随意签字或盖章，严格按照响应文件格式中要求的位置和签字（盖章）形式进行填写，</w:t>
      </w:r>
      <w:r>
        <w:rPr>
          <w:rFonts w:hint="eastAsia" w:ascii="宋体" w:hAnsi="宋体"/>
          <w:color w:val="auto"/>
          <w:szCs w:val="21"/>
          <w:highlight w:val="none"/>
        </w:rPr>
        <w:t>供应商应写全称，响应文件副本可以是加盖公章（自然人除外）的正本的复印件，当正本与副本不一致时，以正本为准。</w:t>
      </w:r>
    </w:p>
    <w:p w14:paraId="31F51A01">
      <w:pPr>
        <w:spacing w:line="360" w:lineRule="exact"/>
        <w:ind w:firstLine="420" w:firstLineChars="200"/>
        <w:rPr>
          <w:rFonts w:hint="eastAsia"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6</w:t>
      </w:r>
      <w:r>
        <w:rPr>
          <w:rFonts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 xml:space="preserve"> 响应文件不得涂改，若有修改错漏处，须加盖供应商公章（自然人除外）及法定代表人或负责人或自然人或相应的授权委托代理人</w:t>
      </w:r>
      <w:r>
        <w:rPr>
          <w:rFonts w:hint="eastAsia"/>
          <w:color w:val="auto"/>
          <w:highlight w:val="none"/>
          <w:lang w:val="en-US" w:eastAsia="zh-CN"/>
        </w:rPr>
        <w:t>签字或签章</w:t>
      </w:r>
      <w:r>
        <w:rPr>
          <w:rFonts w:hint="eastAsia" w:ascii="宋体" w:hAnsi="宋体"/>
          <w:color w:val="auto"/>
          <w:szCs w:val="21"/>
          <w:highlight w:val="none"/>
        </w:rPr>
        <w:t>。响应文件因字迹潦草或表达不清所引起的后果由供应商负责。</w:t>
      </w:r>
    </w:p>
    <w:p w14:paraId="27AC2BB3">
      <w:pPr>
        <w:tabs>
          <w:tab w:val="left" w:pos="1305"/>
        </w:tabs>
        <w:spacing w:line="38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17. 响应文件的修改和撤回</w:t>
      </w:r>
    </w:p>
    <w:p w14:paraId="27A77208">
      <w:pPr>
        <w:spacing w:line="380" w:lineRule="exact"/>
        <w:ind w:firstLine="435"/>
        <w:rPr>
          <w:rFonts w:hint="eastAsia" w:ascii="宋体" w:hAnsi="宋体"/>
          <w:color w:val="auto"/>
          <w:szCs w:val="21"/>
          <w:highlight w:val="none"/>
        </w:rPr>
      </w:pPr>
      <w:r>
        <w:rPr>
          <w:rFonts w:hint="eastAsia" w:ascii="宋体" w:hAnsi="宋体"/>
          <w:color w:val="auto"/>
          <w:szCs w:val="21"/>
          <w:highlight w:val="none"/>
        </w:rPr>
        <w:t>17.1 供应商在响应文件递交截止时间之前，可以对已递交的响应文件进行修改或撤回，并书面通知采购代理机构。</w:t>
      </w:r>
    </w:p>
    <w:p w14:paraId="0A7C90B5">
      <w:pPr>
        <w:tabs>
          <w:tab w:val="left" w:pos="1305"/>
        </w:tabs>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17.2 在响应文件递交截止时间后的响应文件有效期内，供应商不得撤回其响应文件。</w:t>
      </w:r>
    </w:p>
    <w:p w14:paraId="55E1B0D7">
      <w:pPr>
        <w:tabs>
          <w:tab w:val="left" w:pos="1305"/>
        </w:tabs>
        <w:spacing w:line="38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18. 响应文件的递交</w:t>
      </w:r>
    </w:p>
    <w:p w14:paraId="509F177A">
      <w:pPr>
        <w:tabs>
          <w:tab w:val="left" w:pos="1305"/>
        </w:tabs>
        <w:spacing w:line="360" w:lineRule="auto"/>
        <w:ind w:firstLine="420" w:firstLineChars="200"/>
        <w:rPr>
          <w:rFonts w:hint="eastAsia" w:ascii="宋体" w:hAnsi="宋体" w:eastAsia="宋体"/>
          <w:color w:val="auto"/>
          <w:szCs w:val="21"/>
          <w:highlight w:val="none"/>
          <w:lang w:val="en-US" w:eastAsia="zh-CN"/>
        </w:rPr>
      </w:pPr>
      <w:r>
        <w:rPr>
          <w:rFonts w:hint="eastAsia" w:ascii="宋体" w:hAnsi="宋体"/>
          <w:color w:val="auto"/>
          <w:szCs w:val="21"/>
          <w:highlight w:val="none"/>
        </w:rPr>
        <w:t>18.1响应文件递交截止时间及递交起止时间</w:t>
      </w:r>
      <w:r>
        <w:rPr>
          <w:rFonts w:hint="eastAsia" w:ascii="宋体" w:hAnsi="宋体"/>
          <w:color w:val="auto"/>
          <w:szCs w:val="21"/>
          <w:highlight w:val="none"/>
          <w:lang w:eastAsia="zh-CN"/>
        </w:rPr>
        <w:t>。</w:t>
      </w:r>
    </w:p>
    <w:p w14:paraId="435375BA">
      <w:pPr>
        <w:keepNext w:val="0"/>
        <w:keepLines w:val="0"/>
        <w:pageBreakBefore w:val="0"/>
        <w:widowControl w:val="0"/>
        <w:tabs>
          <w:tab w:val="left" w:pos="1305"/>
        </w:tabs>
        <w:kinsoku/>
        <w:wordWrap/>
        <w:overflowPunct/>
        <w:topLinePunct w:val="0"/>
        <w:autoSpaceDE/>
        <w:autoSpaceDN/>
        <w:bidi w:val="0"/>
        <w:adjustRightInd/>
        <w:snapToGrid/>
        <w:spacing w:line="360" w:lineRule="auto"/>
        <w:ind w:firstLine="420" w:firstLineChars="200"/>
        <w:textAlignment w:val="auto"/>
        <w:rPr>
          <w:rFonts w:hint="eastAsia" w:ascii="宋体" w:hAnsi="宋体"/>
          <w:b/>
          <w:color w:val="auto"/>
          <w:sz w:val="28"/>
          <w:szCs w:val="28"/>
          <w:highlight w:val="none"/>
        </w:rPr>
      </w:pPr>
      <w:r>
        <w:rPr>
          <w:rFonts w:hint="eastAsia" w:ascii="宋体" w:hAnsi="宋体"/>
          <w:color w:val="auto"/>
          <w:szCs w:val="21"/>
          <w:highlight w:val="none"/>
        </w:rPr>
        <w:t xml:space="preserve">18.2 </w:t>
      </w:r>
      <w:r>
        <w:rPr>
          <w:rFonts w:hint="eastAsia" w:ascii="宋体" w:hAnsi="宋体"/>
          <w:b/>
          <w:bCs/>
          <w:color w:val="auto"/>
          <w:szCs w:val="21"/>
          <w:highlight w:val="none"/>
        </w:rPr>
        <w:t>响应文件</w:t>
      </w:r>
      <w:r>
        <w:rPr>
          <w:rFonts w:hint="eastAsia" w:ascii="宋体" w:hAnsi="宋体"/>
          <w:b/>
          <w:bCs/>
          <w:color w:val="auto"/>
          <w:szCs w:val="21"/>
          <w:highlight w:val="none"/>
          <w:lang w:val="en-US" w:eastAsia="zh-CN"/>
        </w:rPr>
        <w:t>纸质版</w:t>
      </w:r>
      <w:r>
        <w:rPr>
          <w:rFonts w:hint="eastAsia" w:ascii="宋体" w:hAnsi="宋体"/>
          <w:b/>
          <w:bCs/>
          <w:color w:val="auto"/>
          <w:szCs w:val="21"/>
          <w:highlight w:val="none"/>
        </w:rPr>
        <w:t>递交地点：</w:t>
      </w:r>
      <w:r>
        <w:rPr>
          <w:rFonts w:hint="eastAsia" w:ascii="宋体" w:hAnsi="宋体"/>
          <w:b w:val="0"/>
          <w:bCs w:val="0"/>
          <w:color w:val="auto"/>
          <w:spacing w:val="-2"/>
          <w:szCs w:val="21"/>
          <w:highlight w:val="none"/>
          <w:lang w:val="en-US" w:eastAsia="zh-CN"/>
        </w:rPr>
        <w:t>详见</w:t>
      </w:r>
      <w:r>
        <w:rPr>
          <w:rFonts w:hint="eastAsia" w:ascii="宋体" w:hAnsi="宋体"/>
          <w:b w:val="0"/>
          <w:bCs/>
          <w:color w:val="auto"/>
          <w:szCs w:val="21"/>
          <w:highlight w:val="none"/>
          <w:lang w:val="en-US" w:eastAsia="zh-CN"/>
        </w:rPr>
        <w:t>供应商须知前附表</w:t>
      </w:r>
      <w:r>
        <w:rPr>
          <w:rFonts w:hint="eastAsia" w:ascii="宋体" w:hAnsi="宋体" w:cs="宋体"/>
          <w:b w:val="0"/>
          <w:bCs w:val="0"/>
          <w:color w:val="auto"/>
          <w:szCs w:val="21"/>
          <w:highlight w:val="none"/>
        </w:rPr>
        <w:t>。</w:t>
      </w:r>
    </w:p>
    <w:p w14:paraId="4E5E0C55">
      <w:pPr>
        <w:rPr>
          <w:rFonts w:hint="eastAsia" w:ascii="宋体" w:hAnsi="宋体"/>
          <w:b/>
          <w:color w:val="auto"/>
          <w:sz w:val="28"/>
          <w:szCs w:val="28"/>
          <w:highlight w:val="none"/>
        </w:rPr>
      </w:pPr>
      <w:r>
        <w:rPr>
          <w:rFonts w:hint="eastAsia" w:ascii="宋体" w:hAnsi="宋体"/>
          <w:b/>
          <w:color w:val="auto"/>
          <w:sz w:val="28"/>
          <w:szCs w:val="28"/>
          <w:highlight w:val="none"/>
        </w:rPr>
        <w:br w:type="page"/>
      </w:r>
    </w:p>
    <w:p w14:paraId="24B212F4">
      <w:pPr>
        <w:keepNext w:val="0"/>
        <w:keepLines w:val="0"/>
        <w:pageBreakBefore w:val="0"/>
        <w:widowControl w:val="0"/>
        <w:tabs>
          <w:tab w:val="left" w:pos="1305"/>
        </w:tabs>
        <w:kinsoku/>
        <w:wordWrap/>
        <w:overflowPunct/>
        <w:topLinePunct w:val="0"/>
        <w:autoSpaceDE/>
        <w:autoSpaceDN/>
        <w:bidi w:val="0"/>
        <w:adjustRightInd/>
        <w:snapToGrid/>
        <w:spacing w:line="360" w:lineRule="auto"/>
        <w:ind w:firstLine="562" w:firstLineChars="200"/>
        <w:jc w:val="center"/>
        <w:textAlignment w:val="auto"/>
        <w:rPr>
          <w:rFonts w:hint="eastAsia" w:ascii="宋体" w:hAnsi="宋体"/>
          <w:b/>
          <w:color w:val="auto"/>
          <w:sz w:val="28"/>
          <w:szCs w:val="28"/>
          <w:highlight w:val="none"/>
        </w:rPr>
      </w:pPr>
      <w:r>
        <w:rPr>
          <w:rFonts w:hint="eastAsia" w:ascii="宋体" w:hAnsi="宋体"/>
          <w:b/>
          <w:color w:val="auto"/>
          <w:sz w:val="28"/>
          <w:szCs w:val="28"/>
          <w:highlight w:val="none"/>
        </w:rPr>
        <w:t>四、竞争性谈判（简称谈判）与评审</w:t>
      </w:r>
    </w:p>
    <w:p w14:paraId="55822B40">
      <w:pPr>
        <w:keepNext w:val="0"/>
        <w:keepLines w:val="0"/>
        <w:pageBreakBefore w:val="0"/>
        <w:widowControl w:val="0"/>
        <w:tabs>
          <w:tab w:val="center" w:pos="4411"/>
          <w:tab w:val="left" w:pos="5475"/>
        </w:tabs>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b/>
          <w:color w:val="auto"/>
          <w:szCs w:val="21"/>
          <w:highlight w:val="none"/>
        </w:rPr>
      </w:pPr>
      <w:r>
        <w:rPr>
          <w:rFonts w:hint="eastAsia" w:ascii="宋体" w:hAnsi="宋体"/>
          <w:b/>
          <w:color w:val="auto"/>
          <w:szCs w:val="21"/>
          <w:highlight w:val="none"/>
        </w:rPr>
        <w:t>19. 谈判小组组成及谈判时间、地点、人员</w:t>
      </w:r>
    </w:p>
    <w:p w14:paraId="752FBA7D">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hint="eastAsia" w:ascii="宋体" w:hAnsi="宋体"/>
          <w:b/>
          <w:color w:val="auto"/>
          <w:szCs w:val="21"/>
          <w:highlight w:val="none"/>
        </w:rPr>
      </w:pPr>
      <w:r>
        <w:rPr>
          <w:rFonts w:hint="eastAsia" w:ascii="宋体" w:hAnsi="宋体"/>
          <w:b/>
          <w:color w:val="auto"/>
          <w:szCs w:val="21"/>
          <w:highlight w:val="none"/>
        </w:rPr>
        <w:t>19.1 谈判小组组成：</w:t>
      </w:r>
    </w:p>
    <w:p w14:paraId="0E53DE9B">
      <w:pPr>
        <w:spacing w:line="380" w:lineRule="exact"/>
        <w:ind w:firstLine="435"/>
        <w:rPr>
          <w:rFonts w:hint="eastAsia" w:ascii="宋体" w:hAnsi="宋体"/>
          <w:color w:val="auto"/>
          <w:szCs w:val="21"/>
          <w:highlight w:val="none"/>
          <w:u w:val="none"/>
        </w:rPr>
      </w:pPr>
      <w:r>
        <w:rPr>
          <w:rFonts w:hint="eastAsia" w:ascii="宋体" w:hAnsi="宋体"/>
          <w:color w:val="auto"/>
          <w:szCs w:val="21"/>
          <w:highlight w:val="none"/>
        </w:rPr>
        <w:t>谈判及评审工作由采购代理机构负责组织，具体谈判、评审工作由依法组建的谈判小组负责，谈判小组有关方面的专家组成。谈判小组的构成：</w:t>
      </w:r>
      <w:r>
        <w:rPr>
          <w:rFonts w:hint="eastAsia" w:ascii="宋体" w:hAnsi="宋体"/>
          <w:color w:val="auto"/>
          <w:szCs w:val="21"/>
          <w:highlight w:val="none"/>
          <w:u w:val="none"/>
        </w:rPr>
        <w:t>3人，其中采购人代表0人，专家3人。专家确定方式：</w:t>
      </w:r>
      <w:r>
        <w:rPr>
          <w:rFonts w:hint="eastAsia" w:ascii="宋体" w:hAnsi="宋体"/>
          <w:color w:val="auto"/>
          <w:szCs w:val="21"/>
          <w:highlight w:val="none"/>
          <w:u w:val="none"/>
          <w:lang w:val="zh-CN"/>
        </w:rPr>
        <w:t>从</w:t>
      </w:r>
      <w:r>
        <w:rPr>
          <w:rFonts w:hint="eastAsia" w:ascii="宋体" w:hAnsi="宋体"/>
          <w:color w:val="auto"/>
          <w:szCs w:val="21"/>
          <w:highlight w:val="none"/>
          <w:u w:val="none"/>
          <w:lang w:val="zh-CN" w:eastAsia="zh-CN"/>
        </w:rPr>
        <w:t>吉林省</w:t>
      </w:r>
      <w:r>
        <w:rPr>
          <w:rFonts w:hint="eastAsia" w:ascii="宋体" w:hAnsi="宋体"/>
          <w:color w:val="auto"/>
          <w:szCs w:val="21"/>
          <w:highlight w:val="none"/>
          <w:u w:val="none"/>
          <w:lang w:val="en-US" w:eastAsia="zh-CN"/>
        </w:rPr>
        <w:t>政府采购云平台</w:t>
      </w:r>
      <w:r>
        <w:rPr>
          <w:rFonts w:hint="eastAsia" w:ascii="宋体" w:hAnsi="宋体"/>
          <w:color w:val="auto"/>
          <w:szCs w:val="21"/>
          <w:highlight w:val="none"/>
          <w:u w:val="none"/>
          <w:lang w:val="zh-CN"/>
        </w:rPr>
        <w:t>专家库中随机抽取</w:t>
      </w:r>
      <w:r>
        <w:rPr>
          <w:rFonts w:hint="eastAsia" w:ascii="宋体" w:hAnsi="宋体"/>
          <w:color w:val="auto"/>
          <w:szCs w:val="21"/>
          <w:highlight w:val="none"/>
          <w:u w:val="none"/>
        </w:rPr>
        <w:t>。</w:t>
      </w:r>
    </w:p>
    <w:p w14:paraId="37718E1E">
      <w:pPr>
        <w:tabs>
          <w:tab w:val="left" w:pos="1140"/>
        </w:tabs>
        <w:spacing w:line="380" w:lineRule="exact"/>
        <w:ind w:left="420" w:leftChars="172" w:hanging="59" w:hangingChars="28"/>
        <w:rPr>
          <w:rFonts w:hint="eastAsia" w:ascii="宋体" w:hAnsi="宋体"/>
          <w:b/>
          <w:color w:val="auto"/>
          <w:szCs w:val="21"/>
          <w:highlight w:val="none"/>
        </w:rPr>
      </w:pPr>
      <w:r>
        <w:rPr>
          <w:rFonts w:hint="eastAsia" w:ascii="宋体" w:hAnsi="宋体"/>
          <w:b/>
          <w:color w:val="auto"/>
          <w:szCs w:val="21"/>
          <w:highlight w:val="none"/>
        </w:rPr>
        <w:t>19.2 谈判时间、地点、人员：</w:t>
      </w:r>
    </w:p>
    <w:p w14:paraId="38520394">
      <w:pPr>
        <w:spacing w:line="380" w:lineRule="exact"/>
        <w:ind w:left="315" w:leftChars="150" w:firstLine="105" w:firstLineChars="50"/>
        <w:rPr>
          <w:rFonts w:hint="eastAsia" w:ascii="宋体" w:hAnsi="宋体"/>
          <w:color w:val="auto"/>
          <w:szCs w:val="21"/>
          <w:highlight w:val="none"/>
        </w:rPr>
      </w:pPr>
      <w:r>
        <w:rPr>
          <w:rFonts w:hint="eastAsia" w:ascii="宋体" w:hAnsi="宋体"/>
          <w:color w:val="auto"/>
          <w:szCs w:val="21"/>
          <w:highlight w:val="none"/>
        </w:rPr>
        <w:t>19.2.1 谈判时间：</w:t>
      </w:r>
      <w:r>
        <w:rPr>
          <w:rFonts w:hint="eastAsia" w:ascii="宋体" w:hAnsi="宋体"/>
          <w:b w:val="0"/>
          <w:bCs w:val="0"/>
          <w:color w:val="auto"/>
          <w:spacing w:val="-2"/>
          <w:szCs w:val="21"/>
          <w:highlight w:val="none"/>
          <w:lang w:val="en-US" w:eastAsia="zh-CN"/>
        </w:rPr>
        <w:t>详见</w:t>
      </w:r>
      <w:r>
        <w:rPr>
          <w:rFonts w:hint="eastAsia" w:ascii="宋体" w:hAnsi="宋体"/>
          <w:b w:val="0"/>
          <w:bCs/>
          <w:color w:val="auto"/>
          <w:szCs w:val="21"/>
          <w:highlight w:val="none"/>
          <w:lang w:val="en-US" w:eastAsia="zh-CN"/>
        </w:rPr>
        <w:t>供应商须知前附表</w:t>
      </w:r>
      <w:r>
        <w:rPr>
          <w:rFonts w:hint="eastAsia" w:ascii="宋体" w:hAnsi="宋体"/>
          <w:color w:val="auto"/>
          <w:szCs w:val="21"/>
          <w:highlight w:val="none"/>
        </w:rPr>
        <w:t>。</w:t>
      </w:r>
    </w:p>
    <w:p w14:paraId="15E7077E">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19.2.2 谈判地点：</w:t>
      </w:r>
      <w:r>
        <w:rPr>
          <w:rFonts w:hint="eastAsia" w:ascii="宋体" w:hAnsi="宋体"/>
          <w:b w:val="0"/>
          <w:bCs w:val="0"/>
          <w:color w:val="auto"/>
          <w:spacing w:val="-2"/>
          <w:szCs w:val="21"/>
          <w:highlight w:val="none"/>
          <w:lang w:val="en-US" w:eastAsia="zh-CN"/>
        </w:rPr>
        <w:t>详见</w:t>
      </w:r>
      <w:r>
        <w:rPr>
          <w:rFonts w:hint="eastAsia" w:ascii="宋体" w:hAnsi="宋体"/>
          <w:b w:val="0"/>
          <w:bCs/>
          <w:color w:val="auto"/>
          <w:szCs w:val="21"/>
          <w:highlight w:val="none"/>
          <w:lang w:val="en-US" w:eastAsia="zh-CN"/>
        </w:rPr>
        <w:t>供应商须知前附表</w:t>
      </w:r>
      <w:r>
        <w:rPr>
          <w:rFonts w:hint="eastAsia" w:ascii="宋体" w:hAnsi="宋体" w:cs="宋体"/>
          <w:color w:val="auto"/>
          <w:szCs w:val="21"/>
          <w:highlight w:val="none"/>
        </w:rPr>
        <w:t>。</w:t>
      </w:r>
    </w:p>
    <w:p w14:paraId="3F3F14B4">
      <w:pPr>
        <w:tabs>
          <w:tab w:val="left" w:pos="1140"/>
        </w:tabs>
        <w:spacing w:line="380" w:lineRule="exact"/>
        <w:ind w:left="420" w:leftChars="200"/>
        <w:rPr>
          <w:rFonts w:hint="eastAsia" w:ascii="宋体" w:hAnsi="宋体"/>
          <w:color w:val="auto"/>
          <w:szCs w:val="21"/>
          <w:highlight w:val="none"/>
        </w:rPr>
      </w:pPr>
      <w:r>
        <w:rPr>
          <w:rFonts w:hint="eastAsia" w:ascii="宋体" w:hAnsi="宋体"/>
          <w:color w:val="auto"/>
          <w:szCs w:val="21"/>
          <w:highlight w:val="none"/>
        </w:rPr>
        <w:t>19.2.3 谈判参加人员：</w:t>
      </w:r>
      <w:r>
        <w:rPr>
          <w:rFonts w:hint="eastAsia" w:ascii="宋体" w:hAnsi="宋体"/>
          <w:color w:val="auto"/>
          <w:szCs w:val="21"/>
          <w:highlight w:val="none"/>
          <w:lang w:val="en-US" w:eastAsia="zh-CN"/>
        </w:rPr>
        <w:t>通过线上“政采云”</w:t>
      </w:r>
      <w:r>
        <w:rPr>
          <w:rFonts w:hint="eastAsia"/>
          <w:color w:val="auto"/>
          <w:highlight w:val="none"/>
          <w:lang w:eastAsia="zh-CN"/>
        </w:rPr>
        <w:t>（网址：http</w:t>
      </w:r>
      <w:r>
        <w:rPr>
          <w:rFonts w:hint="eastAsia" w:ascii="宋体" w:hAnsi="宋体" w:eastAsia="宋体" w:cs="Times New Roman"/>
          <w:color w:val="auto"/>
          <w:highlight w:val="none"/>
          <w:lang w:eastAsia="zh-CN"/>
        </w:rPr>
        <w:t xml:space="preserve">:// </w:t>
      </w:r>
      <w:r>
        <w:rPr>
          <w:rFonts w:hint="eastAsia" w:ascii="宋体" w:hAnsi="宋体" w:eastAsia="宋体" w:cs="Times New Roman"/>
          <w:color w:val="auto"/>
          <w:highlight w:val="none"/>
          <w:lang w:eastAsia="zh-CN"/>
        </w:rPr>
        <w:fldChar w:fldCharType="begin"/>
      </w:r>
      <w:r>
        <w:rPr>
          <w:rFonts w:hint="eastAsia" w:ascii="宋体" w:hAnsi="宋体" w:eastAsia="宋体" w:cs="Times New Roman"/>
          <w:color w:val="auto"/>
          <w:highlight w:val="none"/>
          <w:lang w:eastAsia="zh-CN"/>
        </w:rPr>
        <w:instrText xml:space="preserve"> HYPERLINK "http://www.zcygov.cn）递交电子版响应文件。" </w:instrText>
      </w:r>
      <w:r>
        <w:rPr>
          <w:rFonts w:hint="eastAsia" w:ascii="宋体" w:hAnsi="宋体" w:eastAsia="宋体" w:cs="Times New Roman"/>
          <w:color w:val="auto"/>
          <w:highlight w:val="none"/>
          <w:lang w:eastAsia="zh-CN"/>
        </w:rPr>
        <w:fldChar w:fldCharType="separate"/>
      </w:r>
      <w:r>
        <w:rPr>
          <w:rFonts w:hint="eastAsia" w:ascii="宋体" w:hAnsi="宋体" w:eastAsia="宋体" w:cs="Times New Roman"/>
          <w:color w:val="auto"/>
          <w:highlight w:val="none"/>
          <w:lang w:eastAsia="zh-CN"/>
        </w:rPr>
        <w:t>www.zcygov.cn）</w:t>
      </w:r>
      <w:r>
        <w:rPr>
          <w:rFonts w:hint="eastAsia" w:ascii="宋体" w:hAnsi="宋体" w:eastAsia="宋体" w:cs="Times New Roman"/>
          <w:color w:val="auto"/>
          <w:highlight w:val="none"/>
          <w:lang w:eastAsia="zh-CN"/>
        </w:rPr>
        <w:fldChar w:fldCharType="end"/>
      </w:r>
      <w:r>
        <w:rPr>
          <w:rFonts w:hint="eastAsia" w:ascii="宋体" w:hAnsi="宋体"/>
          <w:color w:val="auto"/>
          <w:szCs w:val="21"/>
          <w:highlight w:val="none"/>
          <w:lang w:val="en-US" w:eastAsia="zh-CN"/>
        </w:rPr>
        <w:t>平台进行参与开评标</w:t>
      </w:r>
      <w:r>
        <w:rPr>
          <w:rFonts w:hint="eastAsia" w:ascii="宋体" w:hAnsi="宋体"/>
          <w:color w:val="auto"/>
          <w:szCs w:val="21"/>
          <w:highlight w:val="none"/>
        </w:rPr>
        <w:t>。</w:t>
      </w:r>
    </w:p>
    <w:p w14:paraId="54F4A7FB">
      <w:pPr>
        <w:tabs>
          <w:tab w:val="left" w:pos="1140"/>
        </w:tabs>
        <w:spacing w:line="380" w:lineRule="exact"/>
        <w:ind w:left="420" w:left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19.2.4 </w:t>
      </w:r>
      <w:r>
        <w:rPr>
          <w:rFonts w:hint="eastAsia" w:ascii="宋体" w:hAnsi="宋体" w:eastAsia="宋体" w:cs="Times New Roman"/>
          <w:color w:val="auto"/>
          <w:szCs w:val="21"/>
          <w:highlight w:val="none"/>
          <w:lang w:val="en-US" w:eastAsia="zh-CN"/>
        </w:rPr>
        <w:t>本项目不再当场进行唱标</w:t>
      </w:r>
      <w:r>
        <w:rPr>
          <w:rFonts w:hint="eastAsia" w:ascii="宋体" w:hAnsi="宋体" w:eastAsia="宋体" w:cs="Times New Roman"/>
          <w:color w:val="auto"/>
          <w:szCs w:val="21"/>
          <w:highlight w:val="none"/>
        </w:rPr>
        <w:t xml:space="preserve">，由谈判小组在评标室内开启响应文件。  </w:t>
      </w:r>
    </w:p>
    <w:p w14:paraId="71F7123A">
      <w:pPr>
        <w:tabs>
          <w:tab w:val="left" w:pos="1140"/>
        </w:tabs>
        <w:spacing w:line="380" w:lineRule="exact"/>
        <w:ind w:left="420" w:leftChars="172" w:hanging="59" w:hangingChars="28"/>
        <w:rPr>
          <w:rFonts w:hint="eastAsia" w:ascii="宋体" w:hAnsi="宋体"/>
          <w:b/>
          <w:color w:val="auto"/>
          <w:szCs w:val="21"/>
          <w:highlight w:val="none"/>
        </w:rPr>
      </w:pPr>
      <w:r>
        <w:rPr>
          <w:rFonts w:hint="eastAsia" w:ascii="宋体" w:hAnsi="宋体"/>
          <w:b/>
          <w:color w:val="auto"/>
          <w:szCs w:val="21"/>
          <w:highlight w:val="none"/>
        </w:rPr>
        <w:t>20. 评审原则和评审办法</w:t>
      </w:r>
    </w:p>
    <w:p w14:paraId="1078AA4B">
      <w:pPr>
        <w:tabs>
          <w:tab w:val="left" w:pos="1140"/>
        </w:tabs>
        <w:spacing w:line="380" w:lineRule="exact"/>
        <w:ind w:firstLine="359" w:firstLineChars="171"/>
        <w:rPr>
          <w:rFonts w:hint="eastAsia" w:ascii="宋体" w:hAnsi="宋体"/>
          <w:color w:val="auto"/>
          <w:szCs w:val="21"/>
          <w:highlight w:val="none"/>
        </w:rPr>
      </w:pPr>
      <w:r>
        <w:rPr>
          <w:rFonts w:hint="eastAsia" w:ascii="宋体" w:hAnsi="宋体"/>
          <w:color w:val="auto"/>
          <w:szCs w:val="20"/>
          <w:highlight w:val="none"/>
        </w:rPr>
        <w:t xml:space="preserve">20.1 </w:t>
      </w:r>
      <w:r>
        <w:rPr>
          <w:rFonts w:hint="eastAsia" w:ascii="宋体" w:hAnsi="宋体"/>
          <w:color w:val="auto"/>
          <w:szCs w:val="21"/>
          <w:highlight w:val="none"/>
        </w:rPr>
        <w:t>谈判小组必须坚持公平、公正、科学和择优的原则。</w:t>
      </w:r>
    </w:p>
    <w:p w14:paraId="1E37ADD6">
      <w:pPr>
        <w:tabs>
          <w:tab w:val="left" w:pos="1140"/>
        </w:tabs>
        <w:spacing w:line="380" w:lineRule="exact"/>
        <w:ind w:firstLine="359" w:firstLineChars="171"/>
        <w:rPr>
          <w:rFonts w:hint="eastAsia" w:ascii="宋体" w:hAnsi="宋体"/>
          <w:color w:val="auto"/>
          <w:szCs w:val="21"/>
          <w:highlight w:val="none"/>
        </w:rPr>
      </w:pPr>
      <w:r>
        <w:rPr>
          <w:rFonts w:hint="eastAsia" w:ascii="宋体" w:hAnsi="宋体"/>
          <w:color w:val="auto"/>
          <w:szCs w:val="20"/>
          <w:highlight w:val="none"/>
        </w:rPr>
        <w:t xml:space="preserve">20.2 </w:t>
      </w:r>
      <w:r>
        <w:rPr>
          <w:rFonts w:hint="eastAsia" w:ascii="宋体" w:hAnsi="宋体"/>
          <w:color w:val="auto"/>
          <w:szCs w:val="21"/>
          <w:highlight w:val="none"/>
        </w:rPr>
        <w:t>评审办法：具体详见第四章评审办法。</w:t>
      </w:r>
    </w:p>
    <w:p w14:paraId="7F036C08">
      <w:pPr>
        <w:pStyle w:val="16"/>
        <w:spacing w:line="380" w:lineRule="exact"/>
        <w:ind w:firstLine="359" w:firstLineChars="171"/>
        <w:rPr>
          <w:rFonts w:hint="eastAsia" w:hAnsi="宋体"/>
          <w:color w:val="auto"/>
          <w:szCs w:val="21"/>
          <w:highlight w:val="none"/>
        </w:rPr>
      </w:pPr>
      <w:r>
        <w:rPr>
          <w:rFonts w:hint="eastAsia" w:hAnsi="宋体"/>
          <w:color w:val="auto"/>
          <w:szCs w:val="21"/>
          <w:highlight w:val="none"/>
        </w:rPr>
        <w:t>20.3 谈判小组应按谈判文件进行评审，不得擅自更改评审办法。</w:t>
      </w:r>
    </w:p>
    <w:p w14:paraId="1D9CAE35">
      <w:pPr>
        <w:pStyle w:val="16"/>
        <w:spacing w:line="380" w:lineRule="exact"/>
        <w:ind w:firstLine="359" w:firstLineChars="171"/>
        <w:rPr>
          <w:rFonts w:hint="eastAsia" w:hAnsi="宋体"/>
          <w:color w:val="auto"/>
          <w:szCs w:val="21"/>
          <w:highlight w:val="none"/>
        </w:rPr>
      </w:pPr>
      <w:r>
        <w:rPr>
          <w:rFonts w:hint="eastAsia" w:hAnsi="宋体"/>
          <w:color w:val="auto"/>
          <w:szCs w:val="21"/>
          <w:highlight w:val="none"/>
        </w:rPr>
        <w:t>20.4 在评审过程中，谈判小组任何人不得对某个供应商发表任何倾向性意见，不得向其他谈判小组成员明示或者暗示自己的评审意见。</w:t>
      </w:r>
    </w:p>
    <w:p w14:paraId="14786D15">
      <w:pPr>
        <w:tabs>
          <w:tab w:val="left" w:pos="1140"/>
        </w:tabs>
        <w:spacing w:line="380" w:lineRule="exact"/>
        <w:ind w:firstLine="359" w:firstLineChars="171"/>
        <w:rPr>
          <w:rFonts w:hint="eastAsia" w:ascii="宋体" w:hAnsi="宋体"/>
          <w:color w:val="auto"/>
          <w:szCs w:val="21"/>
          <w:highlight w:val="none"/>
        </w:rPr>
      </w:pPr>
      <w:r>
        <w:rPr>
          <w:rFonts w:hint="eastAsia" w:ascii="宋体" w:hAnsi="宋体"/>
          <w:color w:val="auto"/>
          <w:szCs w:val="21"/>
          <w:highlight w:val="none"/>
        </w:rPr>
        <w:t>20.5 谈判小组成员对需要共同认定的事项存在争议的，按照少数服从多数的原则作出结论。持不同意见的谈判小组成员应当在评审报告上签署不同意见并说明理由，否则视为同意。</w:t>
      </w:r>
    </w:p>
    <w:p w14:paraId="7B210BE0">
      <w:pPr>
        <w:tabs>
          <w:tab w:val="left" w:pos="1140"/>
        </w:tabs>
        <w:spacing w:line="380" w:lineRule="exact"/>
        <w:ind w:left="420" w:leftChars="172" w:hanging="59" w:hangingChars="28"/>
        <w:rPr>
          <w:rFonts w:hint="eastAsia" w:ascii="宋体" w:hAnsi="宋体"/>
          <w:b/>
          <w:color w:val="auto"/>
          <w:szCs w:val="21"/>
          <w:highlight w:val="none"/>
        </w:rPr>
      </w:pPr>
      <w:r>
        <w:rPr>
          <w:rFonts w:hint="eastAsia" w:ascii="宋体" w:hAnsi="宋体"/>
          <w:b/>
          <w:color w:val="auto"/>
          <w:szCs w:val="21"/>
          <w:highlight w:val="none"/>
        </w:rPr>
        <w:t>21. 评审程序及谈判要求</w:t>
      </w:r>
    </w:p>
    <w:p w14:paraId="7D881643">
      <w:pPr>
        <w:pStyle w:val="16"/>
        <w:spacing w:line="380" w:lineRule="exact"/>
        <w:ind w:firstLine="315" w:firstLineChars="150"/>
        <w:rPr>
          <w:rFonts w:hint="eastAsia" w:hAnsi="宋体"/>
          <w:color w:val="auto"/>
          <w:szCs w:val="21"/>
          <w:highlight w:val="none"/>
        </w:rPr>
      </w:pPr>
      <w:r>
        <w:rPr>
          <w:rFonts w:hint="eastAsia" w:hAnsi="宋体"/>
          <w:color w:val="auto"/>
          <w:szCs w:val="21"/>
          <w:highlight w:val="none"/>
        </w:rPr>
        <w:t>21.1 采购代理机构核实谈判小组成员身份，告知回避要求，宣布评审工作纪律和程序，统一保管通讯工具或相关电子设备，推选谈判小组组长。</w:t>
      </w:r>
    </w:p>
    <w:p w14:paraId="27BBA8AC">
      <w:pPr>
        <w:spacing w:line="380" w:lineRule="exact"/>
        <w:ind w:firstLine="315" w:firstLineChars="150"/>
        <w:rPr>
          <w:rFonts w:hint="eastAsia" w:ascii="宋体" w:hAnsi="宋体" w:cs="Arial"/>
          <w:color w:val="auto"/>
          <w:kern w:val="0"/>
          <w:szCs w:val="21"/>
          <w:highlight w:val="none"/>
        </w:rPr>
      </w:pPr>
      <w:r>
        <w:rPr>
          <w:rFonts w:hint="eastAsia" w:ascii="宋体" w:hAnsi="宋体"/>
          <w:color w:val="auto"/>
          <w:szCs w:val="21"/>
          <w:highlight w:val="none"/>
        </w:rPr>
        <w:t xml:space="preserve">21.2 </w:t>
      </w:r>
      <w:r>
        <w:rPr>
          <w:rFonts w:ascii="宋体" w:hAnsi="宋体"/>
          <w:color w:val="auto"/>
          <w:szCs w:val="21"/>
          <w:highlight w:val="none"/>
        </w:rPr>
        <w:t>谈判小组</w:t>
      </w:r>
      <w:r>
        <w:rPr>
          <w:rFonts w:hint="eastAsia" w:ascii="宋体" w:hAnsi="宋体"/>
          <w:color w:val="auto"/>
          <w:szCs w:val="21"/>
          <w:highlight w:val="none"/>
        </w:rPr>
        <w:t>应当对发布公告的竞争性谈判文件（简称谈判文件）进行确认，</w:t>
      </w:r>
      <w:r>
        <w:rPr>
          <w:rFonts w:ascii="宋体" w:hAnsi="宋体" w:cs="Arial"/>
          <w:color w:val="auto"/>
          <w:kern w:val="0"/>
          <w:szCs w:val="21"/>
          <w:highlight w:val="none"/>
        </w:rPr>
        <w:t>审查供应商的响应文件并作出评价；要求供应商解释或者澄清其响应文件；编写评审报告；告知采购人、采购代理机构在评审过程中发现的供应商的违法违规行为。</w:t>
      </w:r>
    </w:p>
    <w:p w14:paraId="33ED82DB">
      <w:pPr>
        <w:spacing w:line="380" w:lineRule="exact"/>
        <w:ind w:firstLine="315" w:firstLineChars="150"/>
        <w:rPr>
          <w:rFonts w:hint="eastAsia" w:ascii="宋体" w:hAnsi="宋体"/>
          <w:color w:val="auto"/>
          <w:szCs w:val="21"/>
          <w:highlight w:val="none"/>
        </w:rPr>
      </w:pPr>
      <w:r>
        <w:rPr>
          <w:rFonts w:hint="eastAsia" w:ascii="宋体" w:hAnsi="宋体"/>
          <w:color w:val="auto"/>
          <w:szCs w:val="21"/>
          <w:highlight w:val="none"/>
        </w:rPr>
        <w:t>21.3</w:t>
      </w:r>
      <w:r>
        <w:rPr>
          <w:rFonts w:ascii="宋体" w:hAnsi="宋体" w:cs="Arial"/>
          <w:color w:val="auto"/>
          <w:kern w:val="0"/>
          <w:szCs w:val="21"/>
          <w:highlight w:val="none"/>
        </w:rPr>
        <w:t>谈判小组</w:t>
      </w:r>
      <w:r>
        <w:rPr>
          <w:rFonts w:hint="eastAsia" w:ascii="宋体" w:hAnsi="宋体"/>
          <w:color w:val="auto"/>
          <w:szCs w:val="21"/>
          <w:highlight w:val="none"/>
        </w:rPr>
        <w:t>依据法律法规和竞争性谈判文件的规定，首先对响应文件中的资格证明等进行资格性审查，以确定供应商是否具备本项目供应商资格</w:t>
      </w:r>
      <w:r>
        <w:rPr>
          <w:rFonts w:hint="eastAsia" w:ascii="宋体" w:hAnsi="宋体"/>
          <w:color w:val="auto"/>
          <w:szCs w:val="21"/>
          <w:highlight w:val="none"/>
          <w:lang w:eastAsia="zh-CN"/>
        </w:rPr>
        <w:t>。</w:t>
      </w:r>
    </w:p>
    <w:p w14:paraId="4F3AA137">
      <w:pPr>
        <w:spacing w:line="360" w:lineRule="exact"/>
        <w:ind w:firstLine="315" w:firstLineChars="150"/>
        <w:rPr>
          <w:rFonts w:hint="eastAsia" w:ascii="宋体" w:hAnsi="宋体"/>
          <w:color w:val="auto"/>
          <w:szCs w:val="21"/>
          <w:highlight w:val="none"/>
        </w:rPr>
      </w:pPr>
      <w:r>
        <w:rPr>
          <w:rFonts w:hint="eastAsia" w:ascii="宋体" w:hAnsi="宋体"/>
          <w:color w:val="auto"/>
          <w:szCs w:val="21"/>
          <w:highlight w:val="none"/>
        </w:rPr>
        <w:t>再对通过资格性审查的供应商响应文件的有效性、完整性和对谈判文件的响应程度进行符合性审查，以确定是否对谈判文件的实质性要求做出响应。</w:t>
      </w:r>
    </w:p>
    <w:p w14:paraId="516B481D">
      <w:pPr>
        <w:spacing w:line="380" w:lineRule="exact"/>
        <w:ind w:firstLine="420" w:firstLineChars="200"/>
        <w:rPr>
          <w:rFonts w:hint="eastAsia" w:ascii="宋体" w:hAnsi="宋体" w:cs="宋体"/>
          <w:color w:val="auto"/>
          <w:szCs w:val="21"/>
          <w:highlight w:val="none"/>
        </w:rPr>
      </w:pPr>
      <w:r>
        <w:rPr>
          <w:rFonts w:hint="eastAsia" w:ascii="宋体" w:hAnsi="宋体" w:cs="Arial"/>
          <w:color w:val="auto"/>
          <w:kern w:val="0"/>
          <w:szCs w:val="21"/>
          <w:highlight w:val="none"/>
        </w:rPr>
        <w:t>21.4谈判小组在对响应文件的资格性和符合性进行审查时，如发现供应商提供的证明文件不齐全或不符合规定形式的，应一次性告之供应商。</w:t>
      </w:r>
    </w:p>
    <w:p w14:paraId="43E694F6">
      <w:pPr>
        <w:spacing w:line="360" w:lineRule="exact"/>
        <w:ind w:firstLine="420" w:firstLineChars="200"/>
        <w:rPr>
          <w:rFonts w:hint="eastAsia" w:ascii="宋体" w:hAnsi="宋体" w:cs="Arial"/>
          <w:color w:val="auto"/>
          <w:kern w:val="0"/>
          <w:szCs w:val="21"/>
          <w:highlight w:val="none"/>
        </w:rPr>
      </w:pPr>
      <w:r>
        <w:rPr>
          <w:rFonts w:hint="eastAsia" w:ascii="宋体" w:hAnsi="宋体" w:cs="Arial"/>
          <w:color w:val="auto"/>
          <w:kern w:val="0"/>
          <w:szCs w:val="21"/>
          <w:highlight w:val="none"/>
        </w:rPr>
        <w:t>21.5谈判小组</w:t>
      </w:r>
      <w:r>
        <w:rPr>
          <w:rFonts w:ascii="宋体" w:hAnsi="宋体" w:cs="Arial"/>
          <w:color w:val="auto"/>
          <w:kern w:val="0"/>
          <w:szCs w:val="21"/>
          <w:highlight w:val="none"/>
        </w:rPr>
        <w:t>在对响应文件的有效性、完整性和响应程度进行审查时，可以要求供应商对</w:t>
      </w:r>
      <w:r>
        <w:rPr>
          <w:rFonts w:hint="eastAsia" w:ascii="宋体" w:hAnsi="宋体"/>
          <w:color w:val="auto"/>
          <w:szCs w:val="21"/>
          <w:highlight w:val="none"/>
        </w:rPr>
        <w:t>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应</w:t>
      </w:r>
      <w:r>
        <w:rPr>
          <w:rFonts w:ascii="宋体" w:hAnsi="宋体"/>
          <w:color w:val="auto"/>
          <w:szCs w:val="21"/>
          <w:highlight w:val="none"/>
        </w:rPr>
        <w:t>由其法定代表人</w:t>
      </w:r>
      <w:r>
        <w:rPr>
          <w:rFonts w:hint="eastAsia" w:ascii="宋体" w:hAnsi="宋体"/>
          <w:color w:val="auto"/>
          <w:szCs w:val="21"/>
          <w:highlight w:val="none"/>
        </w:rPr>
        <w:t>或负责人或自然人</w:t>
      </w:r>
      <w:r>
        <w:rPr>
          <w:rFonts w:ascii="宋体" w:hAnsi="宋体"/>
          <w:color w:val="auto"/>
          <w:szCs w:val="21"/>
          <w:highlight w:val="none"/>
        </w:rPr>
        <w:t>或</w:t>
      </w:r>
      <w:r>
        <w:rPr>
          <w:rFonts w:hint="eastAsia" w:ascii="宋体" w:hAnsi="宋体"/>
          <w:color w:val="auto"/>
          <w:szCs w:val="21"/>
          <w:highlight w:val="none"/>
        </w:rPr>
        <w:t>相应的</w:t>
      </w:r>
      <w:r>
        <w:rPr>
          <w:rFonts w:ascii="宋体" w:hAnsi="宋体"/>
          <w:color w:val="auto"/>
          <w:szCs w:val="21"/>
          <w:highlight w:val="none"/>
        </w:rPr>
        <w:t>授权</w:t>
      </w:r>
      <w:r>
        <w:rPr>
          <w:rFonts w:hint="eastAsia" w:ascii="宋体" w:hAnsi="宋体"/>
          <w:color w:val="auto"/>
          <w:szCs w:val="21"/>
          <w:highlight w:val="none"/>
        </w:rPr>
        <w:t>委托</w:t>
      </w:r>
      <w:r>
        <w:rPr>
          <w:rFonts w:ascii="宋体" w:hAnsi="宋体"/>
          <w:color w:val="auto"/>
          <w:szCs w:val="21"/>
          <w:highlight w:val="none"/>
        </w:rPr>
        <w:t>代表签字或者加盖</w:t>
      </w:r>
      <w:r>
        <w:rPr>
          <w:rFonts w:hint="eastAsia" w:ascii="宋体" w:hAnsi="宋体"/>
          <w:color w:val="auto"/>
          <w:szCs w:val="21"/>
          <w:highlight w:val="none"/>
        </w:rPr>
        <w:t>供应商</w:t>
      </w:r>
      <w:r>
        <w:rPr>
          <w:rFonts w:ascii="宋体" w:hAnsi="宋体"/>
          <w:color w:val="auto"/>
          <w:szCs w:val="21"/>
          <w:highlight w:val="none"/>
        </w:rPr>
        <w:t>公章</w:t>
      </w:r>
      <w:r>
        <w:rPr>
          <w:rFonts w:hint="eastAsia" w:ascii="宋体" w:hAnsi="宋体"/>
          <w:color w:val="auto"/>
          <w:szCs w:val="21"/>
          <w:highlight w:val="none"/>
        </w:rPr>
        <w:t>（自然人除外）。</w:t>
      </w:r>
    </w:p>
    <w:p w14:paraId="464F27E6">
      <w:pPr>
        <w:spacing w:line="360" w:lineRule="exact"/>
        <w:ind w:firstLine="420" w:firstLineChars="200"/>
        <w:rPr>
          <w:rFonts w:hint="eastAsia" w:ascii="宋体" w:hAnsi="宋体"/>
          <w:color w:val="auto"/>
          <w:szCs w:val="21"/>
          <w:highlight w:val="none"/>
        </w:rPr>
      </w:pPr>
      <w:r>
        <w:rPr>
          <w:rFonts w:ascii="宋体" w:hAnsi="宋体"/>
          <w:color w:val="auto"/>
          <w:szCs w:val="21"/>
          <w:highlight w:val="none"/>
        </w:rPr>
        <w:t>根据谈判文件规定的程序、评定成交的标准等事</w:t>
      </w:r>
      <w:r>
        <w:rPr>
          <w:rFonts w:hint="eastAsia" w:ascii="宋体" w:hAnsi="宋体"/>
          <w:color w:val="auto"/>
          <w:szCs w:val="21"/>
          <w:highlight w:val="none"/>
        </w:rPr>
        <w:t>项</w:t>
      </w:r>
      <w:r>
        <w:rPr>
          <w:rFonts w:ascii="宋体" w:hAnsi="宋体"/>
          <w:color w:val="auto"/>
          <w:szCs w:val="21"/>
          <w:highlight w:val="none"/>
        </w:rPr>
        <w:t>与实质性响应</w:t>
      </w:r>
      <w:r>
        <w:rPr>
          <w:rFonts w:hint="eastAsia" w:ascii="宋体" w:hAnsi="宋体"/>
          <w:color w:val="auto"/>
          <w:szCs w:val="21"/>
          <w:highlight w:val="none"/>
        </w:rPr>
        <w:t>竞争性</w:t>
      </w:r>
      <w:r>
        <w:rPr>
          <w:rFonts w:ascii="宋体" w:hAnsi="宋体"/>
          <w:color w:val="auto"/>
          <w:szCs w:val="21"/>
          <w:highlight w:val="none"/>
        </w:rPr>
        <w:t>谈判文件要求的</w:t>
      </w:r>
      <w:r>
        <w:rPr>
          <w:rFonts w:hint="eastAsia" w:ascii="宋体" w:hAnsi="宋体"/>
          <w:color w:val="auto"/>
          <w:szCs w:val="21"/>
          <w:highlight w:val="none"/>
        </w:rPr>
        <w:t>供应商</w:t>
      </w:r>
      <w:r>
        <w:rPr>
          <w:rFonts w:ascii="宋体" w:hAnsi="宋体"/>
          <w:color w:val="auto"/>
          <w:szCs w:val="21"/>
          <w:highlight w:val="none"/>
        </w:rPr>
        <w:t>进行谈判。未实质性响应谈判文件的</w:t>
      </w:r>
      <w:r>
        <w:rPr>
          <w:rFonts w:hint="eastAsia" w:ascii="宋体" w:hAnsi="宋体"/>
          <w:color w:val="auto"/>
          <w:szCs w:val="21"/>
          <w:highlight w:val="none"/>
        </w:rPr>
        <w:t>响应文件</w:t>
      </w:r>
      <w:r>
        <w:rPr>
          <w:rFonts w:ascii="宋体" w:hAnsi="宋体"/>
          <w:color w:val="auto"/>
          <w:szCs w:val="21"/>
          <w:highlight w:val="none"/>
        </w:rPr>
        <w:t>按无效处理，谈判小组应当告知有关</w:t>
      </w:r>
      <w:r>
        <w:rPr>
          <w:rFonts w:hint="eastAsia" w:ascii="宋体" w:hAnsi="宋体"/>
          <w:color w:val="auto"/>
          <w:szCs w:val="21"/>
          <w:highlight w:val="none"/>
        </w:rPr>
        <w:t>供应商</w:t>
      </w:r>
      <w:r>
        <w:rPr>
          <w:rFonts w:ascii="宋体" w:hAnsi="宋体"/>
          <w:color w:val="auto"/>
          <w:szCs w:val="21"/>
          <w:highlight w:val="none"/>
        </w:rPr>
        <w:t>。</w:t>
      </w:r>
    </w:p>
    <w:p w14:paraId="5C860728">
      <w:pPr>
        <w:spacing w:line="360" w:lineRule="exact"/>
        <w:ind w:firstLine="420" w:firstLineChars="200"/>
        <w:rPr>
          <w:rFonts w:hint="eastAsia" w:ascii="宋体" w:hAnsi="宋体"/>
          <w:color w:val="auto"/>
          <w:szCs w:val="21"/>
          <w:highlight w:val="none"/>
        </w:rPr>
      </w:pPr>
      <w:r>
        <w:rPr>
          <w:rFonts w:hint="eastAsia" w:ascii="宋体" w:hAnsi="宋体" w:cs="宋体"/>
          <w:color w:val="auto"/>
          <w:kern w:val="0"/>
          <w:szCs w:val="21"/>
          <w:highlight w:val="none"/>
        </w:rPr>
        <w:t>谈判小组</w:t>
      </w:r>
      <w:r>
        <w:rPr>
          <w:rFonts w:ascii="宋体" w:hAnsi="宋体"/>
          <w:color w:val="auto"/>
          <w:szCs w:val="21"/>
          <w:highlight w:val="none"/>
        </w:rPr>
        <w:t>所有成员应当</w:t>
      </w:r>
      <w:r>
        <w:rPr>
          <w:rFonts w:hint="eastAsia" w:ascii="宋体" w:hAnsi="宋体" w:cs="宋体"/>
          <w:color w:val="auto"/>
          <w:kern w:val="0"/>
          <w:szCs w:val="21"/>
          <w:highlight w:val="none"/>
        </w:rPr>
        <w:t>按已确定的</w:t>
      </w:r>
      <w:r>
        <w:rPr>
          <w:rFonts w:hint="eastAsia" w:ascii="宋体" w:hAnsi="宋体"/>
          <w:color w:val="auto"/>
          <w:szCs w:val="21"/>
          <w:highlight w:val="none"/>
        </w:rPr>
        <w:t>谈判顺序集中</w:t>
      </w:r>
      <w:r>
        <w:rPr>
          <w:rFonts w:ascii="宋体" w:hAnsi="宋体"/>
          <w:color w:val="auto"/>
          <w:szCs w:val="21"/>
          <w:highlight w:val="none"/>
        </w:rPr>
        <w:t>与</w:t>
      </w:r>
      <w:r>
        <w:rPr>
          <w:rFonts w:hint="eastAsia" w:ascii="宋体" w:hAnsi="宋体"/>
          <w:color w:val="auto"/>
          <w:szCs w:val="21"/>
          <w:highlight w:val="none"/>
        </w:rPr>
        <w:t>供应商</w:t>
      </w:r>
      <w:r>
        <w:rPr>
          <w:rFonts w:ascii="宋体" w:hAnsi="宋体"/>
          <w:color w:val="auto"/>
          <w:szCs w:val="21"/>
          <w:highlight w:val="none"/>
        </w:rPr>
        <w:t>分别</w:t>
      </w:r>
      <w:r>
        <w:rPr>
          <w:rFonts w:hint="eastAsia" w:ascii="宋体" w:hAnsi="宋体"/>
          <w:color w:val="auto"/>
          <w:szCs w:val="21"/>
          <w:highlight w:val="none"/>
          <w:lang w:val="en-US" w:eastAsia="zh-CN"/>
        </w:rPr>
        <w:t>线上</w:t>
      </w:r>
      <w:r>
        <w:rPr>
          <w:rFonts w:ascii="宋体" w:hAnsi="宋体"/>
          <w:color w:val="auto"/>
          <w:szCs w:val="21"/>
          <w:highlight w:val="none"/>
        </w:rPr>
        <w:t>进行谈判，并给予所有实质性响应</w:t>
      </w:r>
      <w:r>
        <w:rPr>
          <w:rFonts w:hint="eastAsia" w:ascii="宋体" w:hAnsi="宋体"/>
          <w:color w:val="auto"/>
          <w:szCs w:val="21"/>
          <w:highlight w:val="none"/>
        </w:rPr>
        <w:t>竞争性</w:t>
      </w:r>
      <w:r>
        <w:rPr>
          <w:rFonts w:ascii="宋体" w:hAnsi="宋体"/>
          <w:color w:val="auto"/>
          <w:szCs w:val="21"/>
          <w:highlight w:val="none"/>
        </w:rPr>
        <w:t>谈判文件要求的</w:t>
      </w:r>
      <w:r>
        <w:rPr>
          <w:rFonts w:hint="eastAsia" w:ascii="宋体" w:hAnsi="宋体"/>
          <w:color w:val="auto"/>
          <w:szCs w:val="21"/>
          <w:highlight w:val="none"/>
        </w:rPr>
        <w:t>供应商</w:t>
      </w:r>
      <w:r>
        <w:rPr>
          <w:rFonts w:ascii="宋体" w:hAnsi="宋体"/>
          <w:color w:val="auto"/>
          <w:szCs w:val="21"/>
          <w:highlight w:val="none"/>
        </w:rPr>
        <w:t>平等的谈判机会。</w:t>
      </w:r>
    </w:p>
    <w:p w14:paraId="5AF1800F">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谈判</w:t>
      </w:r>
      <w:r>
        <w:rPr>
          <w:rFonts w:hint="eastAsia" w:ascii="宋体" w:hAnsi="宋体"/>
          <w:color w:val="auto"/>
          <w:szCs w:val="21"/>
          <w:highlight w:val="none"/>
          <w:lang w:val="en-US" w:eastAsia="zh-CN"/>
        </w:rPr>
        <w:t>过程中及评审结束</w:t>
      </w:r>
      <w:r>
        <w:rPr>
          <w:rFonts w:hint="eastAsia" w:ascii="宋体" w:hAnsi="宋体"/>
          <w:color w:val="auto"/>
          <w:szCs w:val="21"/>
          <w:highlight w:val="none"/>
        </w:rPr>
        <w:t>，谈判小组不得透露与谈判有关的其他供应商的技术资料、价格和其他信息。</w:t>
      </w:r>
    </w:p>
    <w:p w14:paraId="19E9E82F">
      <w:pPr>
        <w:widowControl/>
        <w:tabs>
          <w:tab w:val="left" w:pos="540"/>
        </w:tabs>
        <w:spacing w:line="36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rPr>
        <w:t>采购代理机构对谈判过程和重要谈判内容进行记录，</w:t>
      </w:r>
      <w:r>
        <w:rPr>
          <w:rFonts w:hint="eastAsia" w:ascii="宋体" w:hAnsi="宋体"/>
          <w:color w:val="auto"/>
          <w:szCs w:val="21"/>
          <w:highlight w:val="none"/>
          <w:lang w:val="en-US" w:eastAsia="zh-CN"/>
        </w:rPr>
        <w:t>供应商对</w:t>
      </w:r>
      <w:r>
        <w:rPr>
          <w:rFonts w:hint="eastAsia" w:ascii="宋体" w:hAnsi="宋体"/>
          <w:color w:val="auto"/>
          <w:szCs w:val="21"/>
          <w:highlight w:val="none"/>
        </w:rPr>
        <w:t>谈判</w:t>
      </w:r>
      <w:r>
        <w:rPr>
          <w:rFonts w:hint="eastAsia" w:ascii="宋体" w:hAnsi="宋体"/>
          <w:color w:val="auto"/>
          <w:szCs w:val="21"/>
          <w:highlight w:val="none"/>
          <w:lang w:val="en-US" w:eastAsia="zh-CN"/>
        </w:rPr>
        <w:t>内容进行</w:t>
      </w:r>
      <w:r>
        <w:rPr>
          <w:rFonts w:hint="eastAsia" w:ascii="宋体" w:hAnsi="宋体"/>
          <w:color w:val="auto"/>
          <w:szCs w:val="21"/>
          <w:highlight w:val="none"/>
        </w:rPr>
        <w:t>确认</w:t>
      </w:r>
      <w:r>
        <w:rPr>
          <w:rFonts w:hint="eastAsia" w:ascii="宋体" w:hAnsi="宋体"/>
          <w:color w:val="auto"/>
          <w:szCs w:val="21"/>
          <w:highlight w:val="none"/>
          <w:lang w:eastAsia="zh-CN"/>
        </w:rPr>
        <w:t>，</w:t>
      </w:r>
      <w:r>
        <w:rPr>
          <w:rFonts w:hint="eastAsia" w:ascii="宋体" w:hAnsi="宋体"/>
          <w:color w:val="auto"/>
          <w:szCs w:val="21"/>
          <w:highlight w:val="none"/>
        </w:rPr>
        <w:t>采购代理机构</w:t>
      </w:r>
      <w:r>
        <w:rPr>
          <w:rFonts w:hint="eastAsia" w:ascii="宋体" w:hAnsi="宋体"/>
          <w:color w:val="auto"/>
          <w:szCs w:val="21"/>
          <w:highlight w:val="none"/>
          <w:lang w:val="en-US" w:eastAsia="zh-CN"/>
        </w:rPr>
        <w:t>对谈判的实质性内容（包含</w:t>
      </w:r>
      <w:r>
        <w:rPr>
          <w:rFonts w:hint="eastAsia" w:ascii="宋体" w:hAnsi="宋体"/>
          <w:color w:val="auto"/>
          <w:szCs w:val="21"/>
          <w:highlight w:val="none"/>
        </w:rPr>
        <w:t>供应商的技术资料、</w:t>
      </w:r>
      <w:r>
        <w:rPr>
          <w:rFonts w:hint="eastAsia" w:ascii="宋体" w:hAnsi="宋体"/>
          <w:color w:val="auto"/>
          <w:szCs w:val="21"/>
          <w:highlight w:val="none"/>
          <w:lang w:val="en-US" w:eastAsia="zh-CN"/>
        </w:rPr>
        <w:t>优惠条件、最终</w:t>
      </w:r>
      <w:r>
        <w:rPr>
          <w:rFonts w:hint="eastAsia" w:ascii="宋体" w:hAnsi="宋体"/>
          <w:color w:val="auto"/>
          <w:szCs w:val="21"/>
          <w:highlight w:val="none"/>
        </w:rPr>
        <w:t>价格</w:t>
      </w:r>
      <w:r>
        <w:rPr>
          <w:rFonts w:hint="eastAsia" w:ascii="宋体" w:hAnsi="宋体"/>
          <w:color w:val="auto"/>
          <w:szCs w:val="21"/>
          <w:highlight w:val="none"/>
          <w:lang w:val="en-US" w:eastAsia="zh-CN"/>
        </w:rPr>
        <w:t>等）不得泄露。</w:t>
      </w:r>
    </w:p>
    <w:p w14:paraId="7A39A35E">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21.6</w:t>
      </w:r>
      <w:r>
        <w:rPr>
          <w:rFonts w:ascii="宋体" w:hAnsi="宋体"/>
          <w:color w:val="auto"/>
          <w:szCs w:val="21"/>
          <w:highlight w:val="none"/>
        </w:rPr>
        <w:t>在谈判过程中，谈判小组可以根据谈判文件和谈判情况实质性变动</w:t>
      </w:r>
      <w:r>
        <w:rPr>
          <w:rFonts w:hint="eastAsia" w:ascii="宋体" w:hAnsi="宋体"/>
          <w:color w:val="auto"/>
          <w:szCs w:val="21"/>
          <w:highlight w:val="none"/>
        </w:rPr>
        <w:t>项目</w:t>
      </w:r>
      <w:r>
        <w:rPr>
          <w:rFonts w:ascii="宋体" w:hAnsi="宋体"/>
          <w:color w:val="auto"/>
          <w:szCs w:val="21"/>
          <w:highlight w:val="none"/>
        </w:rPr>
        <w:t>需求中的技术、</w:t>
      </w:r>
      <w:r>
        <w:rPr>
          <w:rFonts w:hint="eastAsia" w:ascii="宋体" w:hAnsi="宋体"/>
          <w:color w:val="auto"/>
          <w:szCs w:val="21"/>
          <w:highlight w:val="none"/>
          <w:lang w:val="en-US" w:eastAsia="zh-CN"/>
        </w:rPr>
        <w:t>参数</w:t>
      </w:r>
      <w:r>
        <w:rPr>
          <w:rFonts w:ascii="宋体" w:hAnsi="宋体"/>
          <w:color w:val="auto"/>
          <w:szCs w:val="21"/>
          <w:highlight w:val="none"/>
        </w:rPr>
        <w:t>要求以及合同草案条款，但不得变动谈判文件中的其他内容。实质性变动的内容，须经采购人代表确认。</w:t>
      </w:r>
    </w:p>
    <w:p w14:paraId="1CD707D4">
      <w:pPr>
        <w:spacing w:line="360" w:lineRule="exact"/>
        <w:ind w:firstLine="420" w:firstLineChars="200"/>
        <w:rPr>
          <w:rFonts w:ascii="宋体" w:hAnsi="宋体"/>
          <w:color w:val="auto"/>
          <w:szCs w:val="21"/>
          <w:highlight w:val="none"/>
        </w:rPr>
      </w:pPr>
      <w:r>
        <w:rPr>
          <w:rFonts w:ascii="宋体" w:hAnsi="宋体"/>
          <w:color w:val="auto"/>
          <w:szCs w:val="21"/>
          <w:highlight w:val="none"/>
        </w:rPr>
        <w:t>对谈判文件作出的实质性变动是谈判文件的有效组成部分，谈判小组应当及时以书面形式同时通知所有参加谈判的</w:t>
      </w:r>
      <w:r>
        <w:rPr>
          <w:rFonts w:hint="eastAsia" w:ascii="宋体" w:hAnsi="宋体"/>
          <w:color w:val="auto"/>
          <w:szCs w:val="21"/>
          <w:highlight w:val="none"/>
        </w:rPr>
        <w:t>供应商</w:t>
      </w:r>
      <w:r>
        <w:rPr>
          <w:rFonts w:ascii="宋体" w:hAnsi="宋体"/>
          <w:color w:val="auto"/>
          <w:szCs w:val="21"/>
          <w:highlight w:val="none"/>
        </w:rPr>
        <w:t>。</w:t>
      </w:r>
    </w:p>
    <w:p w14:paraId="688F601E">
      <w:pPr>
        <w:widowControl/>
        <w:spacing w:line="360" w:lineRule="exact"/>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21.7</w:t>
      </w:r>
      <w:r>
        <w:rPr>
          <w:rFonts w:ascii="宋体" w:hAnsi="宋体"/>
          <w:color w:val="auto"/>
          <w:kern w:val="0"/>
          <w:szCs w:val="21"/>
          <w:highlight w:val="none"/>
        </w:rPr>
        <w:t>在采购过程中符合竞争要求的供应商或者报价未超过采购预算的供应商不足3家的</w:t>
      </w:r>
      <w:r>
        <w:rPr>
          <w:rFonts w:hint="eastAsia" w:ascii="宋体" w:hAnsi="宋体"/>
          <w:color w:val="auto"/>
          <w:kern w:val="0"/>
          <w:szCs w:val="21"/>
          <w:highlight w:val="none"/>
        </w:rPr>
        <w:t>，采购人或者采购代理机构应当终止竞争性谈判采购活动。</w:t>
      </w:r>
    </w:p>
    <w:p w14:paraId="2449390D">
      <w:pPr>
        <w:widowControl/>
        <w:spacing w:line="360" w:lineRule="exact"/>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21.8最后报价</w:t>
      </w:r>
    </w:p>
    <w:p w14:paraId="7B82ABD7">
      <w:pPr>
        <w:spacing w:line="36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21.8.1</w:t>
      </w:r>
      <w:r>
        <w:rPr>
          <w:rFonts w:ascii="宋体" w:hAnsi="宋体"/>
          <w:color w:val="auto"/>
          <w:kern w:val="0"/>
          <w:szCs w:val="21"/>
          <w:highlight w:val="none"/>
        </w:rPr>
        <w:t>谈判文件能够详细列明采购标的的技术、</w:t>
      </w:r>
      <w:r>
        <w:rPr>
          <w:rFonts w:hint="eastAsia" w:ascii="宋体" w:hAnsi="宋体"/>
          <w:color w:val="auto"/>
          <w:szCs w:val="21"/>
          <w:highlight w:val="none"/>
          <w:lang w:val="en-US" w:eastAsia="zh-CN"/>
        </w:rPr>
        <w:t>参数</w:t>
      </w:r>
      <w:r>
        <w:rPr>
          <w:rFonts w:ascii="宋体" w:hAnsi="宋体"/>
          <w:color w:val="auto"/>
          <w:kern w:val="0"/>
          <w:szCs w:val="21"/>
          <w:highlight w:val="none"/>
        </w:rPr>
        <w:t>要求的，谈判结束后，谈判小组应当要求所有继续参加谈判的供应商在规定时间内</w:t>
      </w:r>
      <w:r>
        <w:rPr>
          <w:rFonts w:hint="eastAsia" w:ascii="宋体" w:hAnsi="宋体"/>
          <w:color w:val="auto"/>
          <w:kern w:val="0"/>
          <w:szCs w:val="21"/>
          <w:highlight w:val="none"/>
          <w:lang w:val="en-US" w:eastAsia="zh-CN"/>
        </w:rPr>
        <w:t>线上</w:t>
      </w:r>
      <w:r>
        <w:rPr>
          <w:rFonts w:ascii="宋体" w:hAnsi="宋体"/>
          <w:color w:val="auto"/>
          <w:kern w:val="0"/>
          <w:szCs w:val="21"/>
          <w:highlight w:val="none"/>
        </w:rPr>
        <w:t>提交最后报价，提交最后报价的供应商不得少于3家。</w:t>
      </w:r>
    </w:p>
    <w:p w14:paraId="425571E4">
      <w:pPr>
        <w:spacing w:line="36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21.8.2</w:t>
      </w:r>
      <w:r>
        <w:rPr>
          <w:rFonts w:ascii="宋体" w:hAnsi="宋体"/>
          <w:color w:val="auto"/>
          <w:kern w:val="0"/>
          <w:szCs w:val="21"/>
          <w:highlight w:val="none"/>
        </w:rPr>
        <w:t>谈判文件不能详细列明采购标的的技术、</w:t>
      </w:r>
      <w:r>
        <w:rPr>
          <w:rFonts w:hint="eastAsia" w:ascii="宋体" w:hAnsi="宋体"/>
          <w:color w:val="auto"/>
          <w:szCs w:val="21"/>
          <w:highlight w:val="none"/>
          <w:lang w:val="en-US" w:eastAsia="zh-CN"/>
        </w:rPr>
        <w:t>参数</w:t>
      </w:r>
      <w:r>
        <w:rPr>
          <w:rFonts w:ascii="宋体" w:hAnsi="宋体"/>
          <w:color w:val="auto"/>
          <w:kern w:val="0"/>
          <w:szCs w:val="21"/>
          <w:highlight w:val="none"/>
        </w:rPr>
        <w:t>要求</w:t>
      </w:r>
      <w:r>
        <w:rPr>
          <w:rFonts w:hint="eastAsia" w:ascii="宋体" w:hAnsi="宋体"/>
          <w:color w:val="auto"/>
          <w:kern w:val="0"/>
          <w:szCs w:val="21"/>
          <w:highlight w:val="none"/>
        </w:rPr>
        <w:t>的</w:t>
      </w:r>
      <w:r>
        <w:rPr>
          <w:rFonts w:ascii="宋体" w:hAnsi="宋体"/>
          <w:color w:val="auto"/>
          <w:kern w:val="0"/>
          <w:szCs w:val="21"/>
          <w:highlight w:val="none"/>
        </w:rPr>
        <w:t>，需</w:t>
      </w:r>
      <w:r>
        <w:rPr>
          <w:rFonts w:hint="eastAsia" w:ascii="宋体" w:hAnsi="宋体"/>
          <w:color w:val="auto"/>
          <w:kern w:val="0"/>
          <w:szCs w:val="21"/>
          <w:highlight w:val="none"/>
        </w:rPr>
        <w:t>由</w:t>
      </w:r>
      <w:r>
        <w:rPr>
          <w:rFonts w:ascii="宋体" w:hAnsi="宋体"/>
          <w:color w:val="auto"/>
          <w:kern w:val="0"/>
          <w:szCs w:val="21"/>
          <w:highlight w:val="none"/>
        </w:rPr>
        <w:t>谈判供应商提供最终</w:t>
      </w:r>
      <w:r>
        <w:rPr>
          <w:rFonts w:hint="eastAsia" w:ascii="宋体" w:hAnsi="宋体"/>
          <w:color w:val="auto"/>
          <w:kern w:val="0"/>
          <w:szCs w:val="21"/>
          <w:highlight w:val="none"/>
          <w:lang w:val="en-US" w:eastAsia="zh-CN"/>
        </w:rPr>
        <w:t>报价</w:t>
      </w:r>
      <w:r>
        <w:rPr>
          <w:rFonts w:ascii="宋体" w:hAnsi="宋体"/>
          <w:color w:val="auto"/>
          <w:kern w:val="0"/>
          <w:szCs w:val="21"/>
          <w:highlight w:val="none"/>
        </w:rPr>
        <w:t>方案或解决方案的，谈判结束后，谈判小组应当按照少数服从多数的原则投票推荐3家以上</w:t>
      </w:r>
      <w:r>
        <w:rPr>
          <w:rFonts w:hint="eastAsia" w:ascii="宋体" w:hAnsi="宋体"/>
          <w:color w:val="auto"/>
          <w:kern w:val="0"/>
          <w:szCs w:val="21"/>
          <w:highlight w:val="none"/>
        </w:rPr>
        <w:t>（含3家）</w:t>
      </w:r>
      <w:r>
        <w:rPr>
          <w:rFonts w:ascii="宋体" w:hAnsi="宋体"/>
          <w:color w:val="auto"/>
          <w:kern w:val="0"/>
          <w:szCs w:val="21"/>
          <w:highlight w:val="none"/>
        </w:rPr>
        <w:t>供应商的</w:t>
      </w:r>
      <w:r>
        <w:rPr>
          <w:rFonts w:hint="eastAsia" w:ascii="宋体" w:hAnsi="宋体"/>
          <w:color w:val="auto"/>
          <w:kern w:val="0"/>
          <w:szCs w:val="21"/>
          <w:highlight w:val="none"/>
          <w:lang w:val="en-US" w:eastAsia="zh-CN"/>
        </w:rPr>
        <w:t>报价</w:t>
      </w:r>
      <w:r>
        <w:rPr>
          <w:rFonts w:ascii="宋体" w:hAnsi="宋体"/>
          <w:color w:val="auto"/>
          <w:kern w:val="0"/>
          <w:szCs w:val="21"/>
          <w:highlight w:val="none"/>
        </w:rPr>
        <w:t>方案或者解决方案，并要求其在规定时间内</w:t>
      </w:r>
      <w:r>
        <w:rPr>
          <w:rFonts w:hint="eastAsia" w:ascii="宋体" w:hAnsi="宋体"/>
          <w:color w:val="auto"/>
          <w:kern w:val="0"/>
          <w:szCs w:val="21"/>
          <w:highlight w:val="none"/>
          <w:lang w:val="en-US" w:eastAsia="zh-CN"/>
        </w:rPr>
        <w:t>线上</w:t>
      </w:r>
      <w:r>
        <w:rPr>
          <w:rFonts w:ascii="宋体" w:hAnsi="宋体"/>
          <w:color w:val="auto"/>
          <w:kern w:val="0"/>
          <w:szCs w:val="21"/>
          <w:highlight w:val="none"/>
        </w:rPr>
        <w:t>提交最后报价</w:t>
      </w:r>
      <w:r>
        <w:rPr>
          <w:rFonts w:hint="eastAsia" w:ascii="宋体" w:hAnsi="宋体"/>
          <w:color w:val="auto"/>
          <w:kern w:val="0"/>
          <w:szCs w:val="21"/>
          <w:highlight w:val="none"/>
        </w:rPr>
        <w:t>。</w:t>
      </w:r>
    </w:p>
    <w:p w14:paraId="2B0C2203">
      <w:pPr>
        <w:spacing w:line="36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21.8.3</w:t>
      </w:r>
      <w:r>
        <w:rPr>
          <w:rFonts w:ascii="宋体" w:hAnsi="宋体"/>
          <w:color w:val="auto"/>
          <w:kern w:val="0"/>
          <w:szCs w:val="21"/>
          <w:highlight w:val="none"/>
        </w:rPr>
        <w:t>最后报价是供应商</w:t>
      </w:r>
      <w:r>
        <w:rPr>
          <w:rFonts w:hint="eastAsia" w:ascii="宋体" w:hAnsi="宋体"/>
          <w:color w:val="auto"/>
          <w:kern w:val="0"/>
          <w:szCs w:val="21"/>
          <w:highlight w:val="none"/>
        </w:rPr>
        <w:t>响应文件</w:t>
      </w:r>
      <w:r>
        <w:rPr>
          <w:rFonts w:ascii="宋体" w:hAnsi="宋体"/>
          <w:color w:val="auto"/>
          <w:kern w:val="0"/>
          <w:szCs w:val="21"/>
          <w:highlight w:val="none"/>
        </w:rPr>
        <w:t>的有效组成部分。</w:t>
      </w:r>
    </w:p>
    <w:p w14:paraId="56BE77A5">
      <w:pPr>
        <w:tabs>
          <w:tab w:val="left" w:pos="1305"/>
        </w:tabs>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21.8.4最后报价中谈判报价的大写金额和小写金额不一致的，以大写金额为准；总价金额与按单价汇总金额不一致的，以单价金额计算结果为准；单价金额小数点明显错位的，应以总价为准，并修改单价；对不同文字文本响应文件的解释发生异议的，以中文文本为准。</w:t>
      </w:r>
    </w:p>
    <w:p w14:paraId="6DD48523">
      <w:pPr>
        <w:tabs>
          <w:tab w:val="left" w:pos="1305"/>
        </w:tabs>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按上述勘误修正原则及方法调整或修正响应文件的谈判报价，供应商需签字确认。</w:t>
      </w:r>
    </w:p>
    <w:p w14:paraId="1BB6CD3B">
      <w:pPr>
        <w:spacing w:line="36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21.9</w:t>
      </w:r>
      <w:r>
        <w:rPr>
          <w:rFonts w:ascii="宋体" w:hAnsi="宋体"/>
          <w:color w:val="auto"/>
          <w:kern w:val="0"/>
          <w:szCs w:val="21"/>
          <w:highlight w:val="none"/>
        </w:rPr>
        <w:t>已提交响应文件的供应商，在</w:t>
      </w:r>
      <w:r>
        <w:rPr>
          <w:rFonts w:hint="eastAsia" w:ascii="宋体" w:hAnsi="宋体"/>
          <w:color w:val="auto"/>
          <w:kern w:val="0"/>
          <w:szCs w:val="21"/>
          <w:highlight w:val="none"/>
          <w:lang w:val="en-US" w:eastAsia="zh-CN"/>
        </w:rPr>
        <w:t>线上</w:t>
      </w:r>
      <w:r>
        <w:rPr>
          <w:rFonts w:ascii="宋体" w:hAnsi="宋体"/>
          <w:color w:val="auto"/>
          <w:kern w:val="0"/>
          <w:szCs w:val="21"/>
          <w:highlight w:val="none"/>
        </w:rPr>
        <w:t>提交最后报价之前，可以根据谈判情况</w:t>
      </w:r>
      <w:r>
        <w:rPr>
          <w:rFonts w:hint="eastAsia" w:ascii="宋体" w:hAnsi="宋体"/>
          <w:color w:val="auto"/>
          <w:kern w:val="0"/>
          <w:szCs w:val="21"/>
          <w:highlight w:val="none"/>
        </w:rPr>
        <w:t>书面</w:t>
      </w:r>
      <w:r>
        <w:rPr>
          <w:rFonts w:ascii="宋体" w:hAnsi="宋体"/>
          <w:color w:val="auto"/>
          <w:kern w:val="0"/>
          <w:szCs w:val="21"/>
          <w:highlight w:val="none"/>
        </w:rPr>
        <w:t>退出谈判</w:t>
      </w:r>
      <w:r>
        <w:rPr>
          <w:rFonts w:hint="eastAsia" w:ascii="宋体" w:hAnsi="宋体"/>
          <w:color w:val="auto"/>
          <w:kern w:val="0"/>
          <w:szCs w:val="21"/>
          <w:highlight w:val="none"/>
        </w:rPr>
        <w:t>。</w:t>
      </w:r>
    </w:p>
    <w:p w14:paraId="135659C4">
      <w:pPr>
        <w:spacing w:line="36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未</w:t>
      </w:r>
      <w:r>
        <w:rPr>
          <w:rFonts w:hint="eastAsia" w:ascii="宋体" w:hAnsi="宋体"/>
          <w:color w:val="auto"/>
          <w:kern w:val="0"/>
          <w:szCs w:val="21"/>
          <w:highlight w:val="none"/>
          <w:lang w:val="en-US" w:eastAsia="zh-CN"/>
        </w:rPr>
        <w:t>线上</w:t>
      </w:r>
      <w:r>
        <w:rPr>
          <w:rFonts w:hint="eastAsia" w:ascii="宋体" w:hAnsi="宋体"/>
          <w:color w:val="auto"/>
          <w:kern w:val="0"/>
          <w:szCs w:val="21"/>
          <w:highlight w:val="none"/>
        </w:rPr>
        <w:t>退出谈判的</w:t>
      </w:r>
      <w:r>
        <w:rPr>
          <w:rFonts w:ascii="宋体" w:hAnsi="宋体"/>
          <w:color w:val="auto"/>
          <w:kern w:val="0"/>
          <w:szCs w:val="21"/>
          <w:highlight w:val="none"/>
        </w:rPr>
        <w:t>供应商在规定时间内提交最后报价</w:t>
      </w:r>
      <w:r>
        <w:rPr>
          <w:rFonts w:hint="eastAsia" w:ascii="宋体" w:hAnsi="宋体"/>
          <w:color w:val="auto"/>
          <w:kern w:val="0"/>
          <w:szCs w:val="21"/>
          <w:highlight w:val="none"/>
        </w:rPr>
        <w:t>，其最后报价超出采购预算导致已通过评审的响应文件无效的，按供应商在提交响应文件截止时间后撤回响应文件处理。</w:t>
      </w:r>
    </w:p>
    <w:p w14:paraId="1B8A2366">
      <w:pPr>
        <w:widowControl/>
        <w:tabs>
          <w:tab w:val="left" w:pos="540"/>
        </w:tabs>
        <w:spacing w:line="360" w:lineRule="exact"/>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21.10</w:t>
      </w:r>
      <w:r>
        <w:rPr>
          <w:rFonts w:ascii="宋体" w:hAnsi="宋体"/>
          <w:color w:val="auto"/>
          <w:kern w:val="0"/>
          <w:szCs w:val="21"/>
          <w:highlight w:val="none"/>
        </w:rPr>
        <w:t>评审报告</w:t>
      </w:r>
    </w:p>
    <w:p w14:paraId="463C5BBD">
      <w:pPr>
        <w:spacing w:line="360" w:lineRule="exact"/>
        <w:ind w:firstLine="420" w:firstLineChars="200"/>
        <w:rPr>
          <w:rFonts w:hint="eastAsia" w:ascii="宋体" w:hAnsi="宋体"/>
          <w:color w:val="auto"/>
          <w:kern w:val="0"/>
          <w:sz w:val="24"/>
          <w:highlight w:val="none"/>
        </w:rPr>
      </w:pPr>
      <w:r>
        <w:rPr>
          <w:rFonts w:ascii="宋体" w:hAnsi="宋体"/>
          <w:color w:val="auto"/>
          <w:kern w:val="0"/>
          <w:szCs w:val="21"/>
          <w:highlight w:val="none"/>
        </w:rPr>
        <w:t>谈判小组应当从质量和</w:t>
      </w:r>
      <w:r>
        <w:rPr>
          <w:rFonts w:hint="eastAsia" w:ascii="宋体" w:hAnsi="宋体"/>
          <w:color w:val="auto"/>
          <w:kern w:val="0"/>
          <w:szCs w:val="21"/>
          <w:highlight w:val="none"/>
          <w:lang w:val="en-US" w:eastAsia="zh-CN"/>
        </w:rPr>
        <w:t>参数</w:t>
      </w:r>
      <w:r>
        <w:rPr>
          <w:rFonts w:ascii="宋体" w:hAnsi="宋体"/>
          <w:color w:val="auto"/>
          <w:kern w:val="0"/>
          <w:szCs w:val="21"/>
          <w:highlight w:val="none"/>
        </w:rPr>
        <w:t>均能满足</w:t>
      </w:r>
      <w:r>
        <w:rPr>
          <w:rFonts w:hint="eastAsia" w:ascii="宋体" w:hAnsi="宋体"/>
          <w:color w:val="auto"/>
          <w:kern w:val="0"/>
          <w:szCs w:val="21"/>
          <w:highlight w:val="none"/>
        </w:rPr>
        <w:t>谈判</w:t>
      </w:r>
      <w:r>
        <w:rPr>
          <w:rFonts w:ascii="宋体" w:hAnsi="宋体"/>
          <w:color w:val="auto"/>
          <w:kern w:val="0"/>
          <w:szCs w:val="21"/>
          <w:highlight w:val="none"/>
        </w:rPr>
        <w:t>文件</w:t>
      </w:r>
      <w:r>
        <w:rPr>
          <w:rFonts w:hint="eastAsia" w:ascii="宋体" w:hAnsi="宋体"/>
          <w:color w:val="auto"/>
          <w:kern w:val="0"/>
          <w:szCs w:val="21"/>
          <w:highlight w:val="none"/>
        </w:rPr>
        <w:t>全部</w:t>
      </w:r>
      <w:r>
        <w:rPr>
          <w:rFonts w:ascii="宋体" w:hAnsi="宋体"/>
          <w:color w:val="auto"/>
          <w:kern w:val="0"/>
          <w:szCs w:val="21"/>
          <w:highlight w:val="none"/>
        </w:rPr>
        <w:t>实质性响应要求的供应商中，按</w:t>
      </w:r>
      <w:r>
        <w:rPr>
          <w:rFonts w:hint="eastAsia" w:ascii="宋体" w:hAnsi="宋体"/>
          <w:color w:val="auto"/>
          <w:kern w:val="0"/>
          <w:szCs w:val="21"/>
          <w:highlight w:val="none"/>
        </w:rPr>
        <w:t>照评审报价（最后报价及享受政府采购政策的优惠扣除）由低到高的顺序</w:t>
      </w:r>
      <w:r>
        <w:rPr>
          <w:rFonts w:ascii="宋体" w:hAnsi="宋体"/>
          <w:color w:val="auto"/>
          <w:kern w:val="0"/>
          <w:szCs w:val="21"/>
          <w:highlight w:val="none"/>
        </w:rPr>
        <w:t>提出3名以上</w:t>
      </w:r>
      <w:r>
        <w:rPr>
          <w:rFonts w:hint="eastAsia" w:ascii="宋体" w:hAnsi="宋体"/>
          <w:color w:val="auto"/>
          <w:kern w:val="0"/>
          <w:szCs w:val="21"/>
          <w:highlight w:val="none"/>
        </w:rPr>
        <w:t>（含3名）</w:t>
      </w:r>
      <w:r>
        <w:rPr>
          <w:rFonts w:ascii="宋体" w:hAnsi="宋体"/>
          <w:color w:val="auto"/>
          <w:kern w:val="0"/>
          <w:szCs w:val="21"/>
          <w:highlight w:val="none"/>
        </w:rPr>
        <w:t>成交候选人，并编写评审报告。</w:t>
      </w:r>
    </w:p>
    <w:p w14:paraId="4A6571E5">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21.11在评审过程中出现法律法规和谈判文件均没有明确规定的情形时，由谈判小组现场协商解决，协商不一致的，由全体谈判小组投票表决，以得票率二分之一以上专家的意见为准。</w:t>
      </w:r>
    </w:p>
    <w:p w14:paraId="7CB6FF44">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21.12采购代理机构发现谈判小组有明显的违规倾向或歧视现象，或不按评审办法进行，或其他不正常行为的，应当及时制止。如制止无效，应及时向</w:t>
      </w:r>
      <w:r>
        <w:rPr>
          <w:rFonts w:hint="eastAsia" w:ascii="宋体" w:hAnsi="宋体" w:cs="宋体"/>
          <w:color w:val="auto"/>
          <w:szCs w:val="21"/>
          <w:highlight w:val="none"/>
          <w:lang w:eastAsia="zh-CN"/>
        </w:rPr>
        <w:t>敦化市财政局政府采购管理办公室</w:t>
      </w:r>
      <w:r>
        <w:rPr>
          <w:rFonts w:hint="eastAsia" w:ascii="宋体" w:hAnsi="宋体"/>
          <w:color w:val="auto"/>
          <w:szCs w:val="21"/>
          <w:highlight w:val="none"/>
        </w:rPr>
        <w:t>报告。</w:t>
      </w:r>
    </w:p>
    <w:p w14:paraId="20DFB6BF">
      <w:pPr>
        <w:pStyle w:val="16"/>
        <w:spacing w:line="360" w:lineRule="exact"/>
        <w:ind w:firstLine="422" w:firstLineChars="200"/>
        <w:rPr>
          <w:rFonts w:hint="eastAsia" w:hAnsi="宋体"/>
          <w:b/>
          <w:bCs/>
          <w:color w:val="auto"/>
          <w:szCs w:val="21"/>
          <w:highlight w:val="none"/>
        </w:rPr>
      </w:pPr>
      <w:r>
        <w:rPr>
          <w:rFonts w:hint="eastAsia" w:hAnsi="宋体"/>
          <w:b/>
          <w:bCs/>
          <w:color w:val="auto"/>
          <w:szCs w:val="21"/>
          <w:highlight w:val="none"/>
        </w:rPr>
        <w:t>22. 确定成交供应商</w:t>
      </w:r>
    </w:p>
    <w:p w14:paraId="3D018465">
      <w:pPr>
        <w:pStyle w:val="16"/>
        <w:tabs>
          <w:tab w:val="left" w:pos="4214"/>
        </w:tabs>
        <w:spacing w:line="360" w:lineRule="exact"/>
        <w:ind w:firstLine="420" w:firstLineChars="200"/>
        <w:rPr>
          <w:rFonts w:hint="eastAsia" w:hAnsi="宋体"/>
          <w:color w:val="auto"/>
          <w:szCs w:val="21"/>
          <w:highlight w:val="none"/>
        </w:rPr>
      </w:pPr>
      <w:r>
        <w:rPr>
          <w:rFonts w:hint="eastAsia" w:hAnsi="宋体"/>
          <w:color w:val="auto"/>
          <w:szCs w:val="21"/>
          <w:highlight w:val="none"/>
        </w:rPr>
        <w:t>22.1采购单位应当确定谈判小组推荐排名第一的成交候选人为成交供应商。</w:t>
      </w:r>
    </w:p>
    <w:p w14:paraId="1B2F92B9">
      <w:pPr>
        <w:pStyle w:val="16"/>
        <w:spacing w:line="360" w:lineRule="exact"/>
        <w:ind w:firstLine="447" w:firstLineChars="213"/>
        <w:rPr>
          <w:rFonts w:hint="eastAsia" w:hAnsi="宋体"/>
          <w:color w:val="auto"/>
          <w:szCs w:val="21"/>
          <w:highlight w:val="none"/>
        </w:rPr>
      </w:pPr>
      <w:r>
        <w:rPr>
          <w:rFonts w:hint="eastAsia" w:hAnsi="宋体"/>
          <w:color w:val="auto"/>
          <w:szCs w:val="21"/>
          <w:highlight w:val="none"/>
        </w:rPr>
        <w:t>22.2排名第一的成交候选人放弃成交、因不可抗力提出不能履行合同，</w:t>
      </w:r>
      <w:r>
        <w:rPr>
          <w:rFonts w:hint="eastAsia" w:hAnsi="宋体" w:cs="宋体"/>
          <w:color w:val="auto"/>
          <w:kern w:val="0"/>
          <w:szCs w:val="21"/>
          <w:highlight w:val="none"/>
        </w:rPr>
        <w:t>或信用信息记录不符合相关规定的，</w:t>
      </w:r>
      <w:r>
        <w:rPr>
          <w:rFonts w:hint="eastAsia" w:hAnsi="宋体"/>
          <w:color w:val="auto"/>
          <w:szCs w:val="21"/>
          <w:highlight w:val="none"/>
        </w:rPr>
        <w:t>或者谈判文件规定应当提交履约保证金而在规定的期限内未能提交的，采购单位可以确定排名第二的成交候选人为成交供应商</w:t>
      </w:r>
      <w:r>
        <w:rPr>
          <w:rFonts w:hint="eastAsia" w:hAnsi="宋体"/>
          <w:color w:val="auto"/>
          <w:szCs w:val="21"/>
          <w:highlight w:val="none"/>
          <w:lang w:val="en-US" w:eastAsia="zh-CN"/>
        </w:rPr>
        <w:t>或者重新招标</w:t>
      </w:r>
      <w:r>
        <w:rPr>
          <w:rFonts w:hint="eastAsia" w:hAnsi="宋体"/>
          <w:color w:val="auto"/>
          <w:szCs w:val="21"/>
          <w:highlight w:val="none"/>
        </w:rPr>
        <w:t>。</w:t>
      </w:r>
    </w:p>
    <w:p w14:paraId="4FA3EB46">
      <w:pPr>
        <w:pStyle w:val="16"/>
        <w:spacing w:line="360" w:lineRule="exact"/>
        <w:ind w:firstLine="420" w:firstLineChars="200"/>
        <w:rPr>
          <w:rFonts w:hint="eastAsia" w:hAnsi="宋体"/>
          <w:color w:val="auto"/>
          <w:szCs w:val="21"/>
          <w:highlight w:val="none"/>
        </w:rPr>
      </w:pPr>
      <w:r>
        <w:rPr>
          <w:rFonts w:hint="eastAsia" w:hAnsi="宋体"/>
          <w:color w:val="auto"/>
          <w:szCs w:val="21"/>
          <w:highlight w:val="none"/>
        </w:rPr>
        <w:t>22.3排名第二的成交候选人因前款规定的同样原因不能签订合同的，采购单位可以确定排名第三的成交候选人为成交供应商。</w:t>
      </w:r>
    </w:p>
    <w:p w14:paraId="0B2A7135">
      <w:pPr>
        <w:pStyle w:val="16"/>
        <w:spacing w:line="360" w:lineRule="exact"/>
        <w:ind w:firstLine="420" w:firstLineChars="200"/>
        <w:rPr>
          <w:rFonts w:hint="eastAsia" w:hAnsi="宋体"/>
          <w:color w:val="auto"/>
          <w:szCs w:val="21"/>
          <w:highlight w:val="none"/>
        </w:rPr>
      </w:pPr>
      <w:r>
        <w:rPr>
          <w:rFonts w:hint="eastAsia" w:hAnsi="宋体"/>
          <w:color w:val="auto"/>
          <w:szCs w:val="21"/>
          <w:highlight w:val="none"/>
        </w:rPr>
        <w:t>22.4成交人信用信息查询：</w:t>
      </w:r>
    </w:p>
    <w:p w14:paraId="7839C3E7">
      <w:pPr>
        <w:pStyle w:val="16"/>
        <w:spacing w:line="360" w:lineRule="exact"/>
        <w:ind w:firstLine="420" w:firstLineChars="200"/>
        <w:rPr>
          <w:rFonts w:hint="eastAsia" w:hAnsi="宋体"/>
          <w:color w:val="auto"/>
          <w:szCs w:val="21"/>
          <w:highlight w:val="none"/>
        </w:rPr>
      </w:pPr>
      <w:r>
        <w:rPr>
          <w:rFonts w:hint="eastAsia" w:hAnsi="宋体"/>
          <w:color w:val="auto"/>
          <w:szCs w:val="21"/>
          <w:highlight w:val="none"/>
        </w:rPr>
        <w:t>根据《关于做好政府采购有关信用主体标识码登记及在政府采购活动中查询使用信用记录有关问题的通知》财</w:t>
      </w:r>
      <w:r>
        <w:rPr>
          <w:rFonts w:hint="eastAsia" w:hAnsi="宋体"/>
          <w:color w:val="auto"/>
          <w:szCs w:val="21"/>
          <w:highlight w:val="none"/>
          <w:lang w:val="en-US" w:eastAsia="zh-CN"/>
        </w:rPr>
        <w:t>库</w:t>
      </w:r>
      <w:r>
        <w:rPr>
          <w:rFonts w:hint="eastAsia" w:hAnsi="宋体"/>
          <w:color w:val="auto"/>
          <w:szCs w:val="21"/>
          <w:highlight w:val="none"/>
        </w:rPr>
        <w:t>〔2016〕</w:t>
      </w:r>
      <w:r>
        <w:rPr>
          <w:rFonts w:hint="eastAsia" w:hAnsi="宋体"/>
          <w:color w:val="auto"/>
          <w:szCs w:val="21"/>
          <w:highlight w:val="none"/>
          <w:lang w:val="en-US" w:eastAsia="zh-CN"/>
        </w:rPr>
        <w:t>125</w:t>
      </w:r>
      <w:r>
        <w:rPr>
          <w:rFonts w:hint="eastAsia" w:hAnsi="宋体"/>
          <w:color w:val="auto"/>
          <w:szCs w:val="21"/>
          <w:highlight w:val="none"/>
        </w:rPr>
        <w:t>号的通知，采购代理机构对成交人的成交资格进行信用查询：</w:t>
      </w:r>
    </w:p>
    <w:p w14:paraId="1A60C72F">
      <w:pPr>
        <w:pStyle w:val="16"/>
        <w:spacing w:line="360" w:lineRule="exact"/>
        <w:ind w:firstLine="420" w:firstLineChars="200"/>
        <w:rPr>
          <w:rFonts w:hint="eastAsia" w:hAnsi="宋体"/>
          <w:color w:val="auto"/>
          <w:szCs w:val="21"/>
          <w:highlight w:val="none"/>
        </w:rPr>
      </w:pPr>
      <w:r>
        <w:rPr>
          <w:rFonts w:hint="eastAsia" w:hAnsi="宋体"/>
          <w:color w:val="auto"/>
          <w:szCs w:val="21"/>
          <w:highlight w:val="none"/>
        </w:rPr>
        <w:t>①查询渠道：“信用中国”网站(www.creditchina.gov.cn)、中国政府采购网(www.ccgp.gov.cn)等；</w:t>
      </w:r>
    </w:p>
    <w:p w14:paraId="312A39FD">
      <w:pPr>
        <w:pStyle w:val="16"/>
        <w:spacing w:line="360" w:lineRule="exact"/>
        <w:ind w:firstLine="420" w:firstLineChars="200"/>
        <w:rPr>
          <w:rFonts w:hint="eastAsia" w:hAnsi="宋体"/>
          <w:color w:val="auto"/>
          <w:szCs w:val="21"/>
          <w:highlight w:val="none"/>
        </w:rPr>
      </w:pPr>
      <w:r>
        <w:rPr>
          <w:rFonts w:hint="eastAsia" w:hAnsi="宋体"/>
          <w:color w:val="auto"/>
          <w:szCs w:val="21"/>
          <w:highlight w:val="none"/>
        </w:rPr>
        <w:t>②查询截止时点：成交通知书发出前；</w:t>
      </w:r>
    </w:p>
    <w:p w14:paraId="4A3C1822">
      <w:pPr>
        <w:pStyle w:val="16"/>
        <w:spacing w:line="360" w:lineRule="exact"/>
        <w:ind w:firstLine="420" w:firstLineChars="200"/>
        <w:rPr>
          <w:rFonts w:hint="eastAsia" w:hAnsi="宋体"/>
          <w:color w:val="auto"/>
          <w:szCs w:val="21"/>
          <w:highlight w:val="none"/>
        </w:rPr>
      </w:pPr>
      <w:r>
        <w:rPr>
          <w:rFonts w:hint="eastAsia" w:hAnsi="宋体"/>
          <w:color w:val="auto"/>
          <w:szCs w:val="21"/>
          <w:highlight w:val="none"/>
        </w:rPr>
        <w:t>③信用信息查询记录和证据留存方式：在查询网站中直接打印查询记录，打印材料作为采购活动资料保存。</w:t>
      </w:r>
    </w:p>
    <w:p w14:paraId="0499D928">
      <w:pPr>
        <w:pStyle w:val="16"/>
        <w:spacing w:line="360" w:lineRule="exact"/>
        <w:ind w:firstLine="420" w:firstLineChars="200"/>
        <w:rPr>
          <w:rFonts w:hint="eastAsia" w:hAnsi="宋体"/>
          <w:color w:val="auto"/>
          <w:szCs w:val="21"/>
          <w:highlight w:val="none"/>
        </w:rPr>
      </w:pPr>
      <w:r>
        <w:rPr>
          <w:rFonts w:hint="eastAsia" w:hAnsi="宋体"/>
          <w:color w:val="auto"/>
          <w:szCs w:val="21"/>
          <w:highlight w:val="none"/>
        </w:rPr>
        <w:t>④信用信息使用规则：对在“信用中国”网站(www.creditchina.gov.cn)、</w:t>
      </w:r>
      <w:r>
        <w:rPr>
          <w:rFonts w:hint="eastAsia" w:ascii="宋体" w:hAnsi="宋体" w:cs="宋体"/>
          <w:bCs/>
          <w:snapToGrid w:val="0"/>
          <w:color w:val="auto"/>
          <w:szCs w:val="21"/>
          <w:highlight w:val="none"/>
          <w:lang w:val="zh-CN"/>
        </w:rPr>
        <w:t>全国企业信用信息公示系统、</w:t>
      </w:r>
      <w:r>
        <w:rPr>
          <w:rFonts w:hint="eastAsia" w:hAnsi="宋体"/>
          <w:color w:val="auto"/>
          <w:szCs w:val="21"/>
          <w:highlight w:val="none"/>
        </w:rPr>
        <w:t>中国政府采购网(www.ccgp.gov.cn)等渠道列入失信被执行人、重大税收违法案件当事人名单、政府采购严重违法失信行为记录名单</w:t>
      </w:r>
      <w:r>
        <w:rPr>
          <w:rFonts w:hint="eastAsia" w:hAnsi="宋体"/>
          <w:color w:val="auto"/>
          <w:szCs w:val="21"/>
          <w:highlight w:val="none"/>
          <w:lang w:eastAsia="zh-CN"/>
        </w:rPr>
        <w:t>、</w:t>
      </w:r>
      <w:r>
        <w:rPr>
          <w:rFonts w:hint="eastAsia" w:ascii="宋体" w:hAnsi="宋体" w:cs="宋体"/>
          <w:bCs/>
          <w:snapToGrid w:val="0"/>
          <w:color w:val="auto"/>
          <w:szCs w:val="21"/>
          <w:highlight w:val="none"/>
          <w:lang w:val="zh-CN"/>
        </w:rPr>
        <w:t>严重失信主体名单</w:t>
      </w:r>
      <w:r>
        <w:rPr>
          <w:rFonts w:hint="eastAsia" w:hAnsi="宋体"/>
          <w:color w:val="auto"/>
          <w:szCs w:val="21"/>
          <w:highlight w:val="none"/>
          <w:lang w:eastAsia="zh-CN"/>
        </w:rPr>
        <w:t>等</w:t>
      </w:r>
      <w:r>
        <w:rPr>
          <w:rFonts w:hint="eastAsia" w:hAnsi="宋体"/>
          <w:color w:val="auto"/>
          <w:szCs w:val="21"/>
          <w:highlight w:val="none"/>
        </w:rPr>
        <w:t>及其他不符合《中华人民共和国政府采购法》第二十二条规定条件的供应商，不得参与政府采购活动，取消其成交候选人资格。采购人依法按照评审报告中谈判小组推荐成交候选人排序表确定排名第二的成交候选人为成交供应商或者重新组织采购。</w:t>
      </w:r>
    </w:p>
    <w:p w14:paraId="006F8454">
      <w:pPr>
        <w:pStyle w:val="16"/>
        <w:spacing w:line="360" w:lineRule="exact"/>
        <w:ind w:firstLine="420" w:firstLineChars="200"/>
        <w:rPr>
          <w:rFonts w:hint="eastAsia" w:hAnsi="宋体"/>
          <w:color w:val="auto"/>
          <w:szCs w:val="21"/>
          <w:highlight w:val="none"/>
        </w:rPr>
      </w:pPr>
      <w:r>
        <w:rPr>
          <w:rFonts w:hint="eastAsia" w:hAnsi="宋体"/>
          <w:color w:val="auto"/>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E1423AE">
      <w:pPr>
        <w:widowControl/>
        <w:shd w:val="clear" w:color="auto"/>
        <w:spacing w:line="360" w:lineRule="exact"/>
        <w:ind w:firstLine="480"/>
        <w:jc w:val="left"/>
        <w:rPr>
          <w:rFonts w:hint="eastAsia" w:ascii="宋体" w:hAnsi="宋体"/>
          <w:b/>
          <w:color w:val="auto"/>
          <w:szCs w:val="21"/>
          <w:highlight w:val="none"/>
        </w:rPr>
      </w:pPr>
      <w:r>
        <w:rPr>
          <w:rFonts w:hint="eastAsia" w:ascii="宋体" w:hAnsi="宋体"/>
          <w:b/>
          <w:bCs/>
          <w:color w:val="auto"/>
          <w:szCs w:val="21"/>
          <w:highlight w:val="none"/>
        </w:rPr>
        <w:t xml:space="preserve">23. </w:t>
      </w:r>
      <w:r>
        <w:rPr>
          <w:rFonts w:hint="eastAsia" w:ascii="宋体" w:hAnsi="宋体"/>
          <w:b/>
          <w:color w:val="auto"/>
          <w:szCs w:val="21"/>
          <w:highlight w:val="none"/>
        </w:rPr>
        <w:t>属于下列情况之一者，响应文件无效：</w:t>
      </w:r>
    </w:p>
    <w:p w14:paraId="58E051CB">
      <w:pPr>
        <w:snapToGrid w:val="0"/>
        <w:spacing w:line="360" w:lineRule="exact"/>
        <w:ind w:firstLine="411" w:firstLineChars="196"/>
        <w:outlineLvl w:val="4"/>
        <w:rPr>
          <w:rFonts w:hint="eastAsia" w:ascii="宋体" w:hAnsi="宋体"/>
          <w:color w:val="auto"/>
          <w:szCs w:val="21"/>
          <w:highlight w:val="none"/>
        </w:rPr>
      </w:pPr>
      <w:r>
        <w:rPr>
          <w:rFonts w:hint="eastAsia" w:ascii="宋体" w:hAnsi="宋体"/>
          <w:color w:val="auto"/>
          <w:szCs w:val="21"/>
          <w:highlight w:val="none"/>
        </w:rPr>
        <w:t>（1）未按谈判文件第11项、第16项规定完整编制、提交响应文件和未按规定要求签字、盖章的；</w:t>
      </w:r>
    </w:p>
    <w:p w14:paraId="22AC6497">
      <w:pPr>
        <w:snapToGrid w:val="0"/>
        <w:spacing w:line="360" w:lineRule="exact"/>
        <w:ind w:firstLine="420" w:firstLineChars="200"/>
        <w:outlineLvl w:val="4"/>
        <w:rPr>
          <w:rFonts w:hint="eastAsia" w:ascii="宋体" w:hAnsi="宋体"/>
          <w:color w:val="auto"/>
          <w:szCs w:val="21"/>
          <w:highlight w:val="none"/>
        </w:rPr>
      </w:pPr>
      <w:r>
        <w:rPr>
          <w:rFonts w:hint="eastAsia" w:ascii="宋体" w:hAnsi="宋体"/>
          <w:color w:val="auto"/>
          <w:szCs w:val="21"/>
          <w:highlight w:val="none"/>
        </w:rPr>
        <w:t>（2）不具备谈判文件规定的资格要求的</w:t>
      </w:r>
      <w:r>
        <w:rPr>
          <w:rFonts w:hint="eastAsia" w:ascii="宋体" w:hAnsi="宋体"/>
          <w:color w:val="auto"/>
          <w:highlight w:val="none"/>
        </w:rPr>
        <w:t>；</w:t>
      </w:r>
    </w:p>
    <w:p w14:paraId="7E25B7D5">
      <w:pPr>
        <w:snapToGrid w:val="0"/>
        <w:spacing w:line="360" w:lineRule="exact"/>
        <w:ind w:firstLine="411" w:firstLineChars="196"/>
        <w:outlineLvl w:val="4"/>
        <w:rPr>
          <w:rFonts w:hint="eastAsia" w:ascii="宋体" w:hAnsi="宋体"/>
          <w:color w:val="auto"/>
          <w:szCs w:val="21"/>
          <w:highlight w:val="none"/>
        </w:rPr>
      </w:pPr>
      <w:r>
        <w:rPr>
          <w:rFonts w:hint="eastAsia" w:ascii="宋体" w:hAnsi="宋体"/>
          <w:color w:val="auto"/>
          <w:szCs w:val="21"/>
          <w:highlight w:val="none"/>
        </w:rPr>
        <w:t>（3）响应文件未按谈判文件的内容和要求编制，或提供虚假材料的；</w:t>
      </w:r>
    </w:p>
    <w:p w14:paraId="1D21E9CE">
      <w:pPr>
        <w:snapToGrid w:val="0"/>
        <w:spacing w:line="360" w:lineRule="exact"/>
        <w:ind w:firstLine="411" w:firstLineChars="196"/>
        <w:outlineLvl w:val="4"/>
        <w:rPr>
          <w:rFonts w:hint="eastAsia" w:ascii="宋体" w:hAnsi="宋体"/>
          <w:color w:val="auto"/>
          <w:szCs w:val="21"/>
          <w:highlight w:val="none"/>
        </w:rPr>
      </w:pPr>
      <w:r>
        <w:rPr>
          <w:rFonts w:hint="eastAsia" w:ascii="宋体" w:hAnsi="宋体"/>
          <w:color w:val="auto"/>
          <w:szCs w:val="21"/>
          <w:highlight w:val="none"/>
        </w:rPr>
        <w:t>（4）响应文件</w:t>
      </w:r>
      <w:r>
        <w:rPr>
          <w:rFonts w:hint="eastAsia" w:ascii="宋体" w:hAnsi="宋体"/>
          <w:color w:val="auto"/>
          <w:szCs w:val="21"/>
          <w:highlight w:val="none"/>
          <w:lang w:val="en-US" w:eastAsia="zh-CN"/>
        </w:rPr>
        <w:t>投标</w:t>
      </w:r>
      <w:r>
        <w:rPr>
          <w:rFonts w:hint="eastAsia" w:ascii="宋体" w:hAnsi="宋体"/>
          <w:color w:val="auto"/>
          <w:szCs w:val="21"/>
          <w:highlight w:val="none"/>
        </w:rPr>
        <w:t>有效期、</w:t>
      </w:r>
      <w:r>
        <w:rPr>
          <w:rFonts w:hint="eastAsia" w:ascii="宋体" w:hAnsi="宋体"/>
          <w:color w:val="auto"/>
          <w:szCs w:val="21"/>
          <w:highlight w:val="none"/>
          <w:lang w:val="en-US" w:eastAsia="zh-CN"/>
        </w:rPr>
        <w:t>合同履行期限</w:t>
      </w:r>
      <w:r>
        <w:rPr>
          <w:rFonts w:hint="eastAsia" w:ascii="宋体" w:hAnsi="宋体"/>
          <w:color w:val="auto"/>
          <w:szCs w:val="21"/>
          <w:highlight w:val="none"/>
        </w:rPr>
        <w:t>、</w:t>
      </w:r>
      <w:r>
        <w:rPr>
          <w:rFonts w:hint="eastAsia" w:ascii="宋体" w:hAnsi="宋体"/>
          <w:color w:val="auto"/>
          <w:szCs w:val="21"/>
          <w:highlight w:val="none"/>
          <w:lang w:val="en-US" w:eastAsia="zh-CN"/>
        </w:rPr>
        <w:t>技术要求</w:t>
      </w:r>
      <w:r>
        <w:rPr>
          <w:rFonts w:hint="eastAsia" w:ascii="宋体" w:hAnsi="宋体"/>
          <w:color w:val="auto"/>
          <w:szCs w:val="21"/>
          <w:highlight w:val="none"/>
        </w:rPr>
        <w:t>、</w:t>
      </w:r>
      <w:r>
        <w:rPr>
          <w:rFonts w:hint="eastAsia" w:ascii="宋体" w:hAnsi="宋体"/>
          <w:color w:val="auto"/>
          <w:szCs w:val="21"/>
          <w:highlight w:val="none"/>
          <w:lang w:val="en-US" w:eastAsia="zh-CN"/>
        </w:rPr>
        <w:t>服务方案、</w:t>
      </w:r>
      <w:r>
        <w:rPr>
          <w:rFonts w:hint="eastAsia" w:ascii="宋体" w:hAnsi="宋体"/>
          <w:color w:val="auto"/>
          <w:szCs w:val="21"/>
          <w:highlight w:val="none"/>
        </w:rPr>
        <w:t>售后服务不能满足谈判文件要求</w:t>
      </w:r>
      <w:r>
        <w:rPr>
          <w:rFonts w:hint="eastAsia" w:ascii="宋体" w:hAnsi="宋体"/>
          <w:color w:val="auto"/>
          <w:szCs w:val="21"/>
          <w:highlight w:val="none"/>
          <w:lang w:val="en-US" w:eastAsia="zh-CN"/>
        </w:rPr>
        <w:t>或未响应</w:t>
      </w:r>
      <w:r>
        <w:rPr>
          <w:rFonts w:hint="eastAsia" w:ascii="宋体" w:hAnsi="宋体"/>
          <w:color w:val="auto"/>
          <w:szCs w:val="21"/>
          <w:highlight w:val="none"/>
        </w:rPr>
        <w:t>的；</w:t>
      </w:r>
    </w:p>
    <w:p w14:paraId="0442E6D8">
      <w:pPr>
        <w:snapToGrid w:val="0"/>
        <w:spacing w:line="360" w:lineRule="exact"/>
        <w:ind w:firstLine="420" w:firstLineChars="200"/>
        <w:outlineLvl w:val="4"/>
        <w:rPr>
          <w:rFonts w:hint="default" w:ascii="宋体" w:hAnsi="宋体" w:eastAsia="宋体"/>
          <w:color w:val="auto"/>
          <w:szCs w:val="21"/>
          <w:highlight w:val="none"/>
          <w:lang w:val="en-US" w:eastAsia="zh-CN"/>
        </w:rPr>
      </w:pPr>
      <w:r>
        <w:rPr>
          <w:rFonts w:hint="eastAsia" w:ascii="宋体" w:hAnsi="宋体"/>
          <w:color w:val="auto"/>
          <w:szCs w:val="21"/>
          <w:highlight w:val="none"/>
        </w:rPr>
        <w:t>（5）</w:t>
      </w:r>
      <w:r>
        <w:rPr>
          <w:rFonts w:hint="eastAsia" w:ascii="宋体" w:hAnsi="宋体"/>
          <w:color w:val="auto"/>
          <w:highlight w:val="none"/>
        </w:rPr>
        <w:t>供应商</w:t>
      </w:r>
      <w:r>
        <w:rPr>
          <w:rFonts w:hint="eastAsia" w:ascii="宋体" w:hAnsi="宋体"/>
          <w:color w:val="auto"/>
          <w:szCs w:val="21"/>
          <w:highlight w:val="none"/>
        </w:rPr>
        <w:t>未就“采购需求</w:t>
      </w:r>
      <w:r>
        <w:rPr>
          <w:rFonts w:hint="eastAsia" w:ascii="宋体" w:hAnsi="宋体"/>
          <w:color w:val="auto"/>
          <w:szCs w:val="21"/>
          <w:highlight w:val="none"/>
          <w:lang w:val="en-US" w:eastAsia="zh-CN"/>
        </w:rPr>
        <w:t>表</w:t>
      </w:r>
      <w:r>
        <w:rPr>
          <w:rFonts w:hint="eastAsia" w:ascii="宋体" w:hAnsi="宋体"/>
          <w:color w:val="auto"/>
          <w:szCs w:val="21"/>
          <w:highlight w:val="none"/>
        </w:rPr>
        <w:t>”中所竞所有货物</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服务</w:t>
      </w:r>
      <w:r>
        <w:rPr>
          <w:rFonts w:hint="eastAsia" w:ascii="宋体" w:hAnsi="宋体"/>
          <w:color w:val="auto"/>
          <w:szCs w:val="21"/>
          <w:highlight w:val="none"/>
          <w:lang w:eastAsia="zh-CN"/>
        </w:rPr>
        <w:t>）</w:t>
      </w:r>
      <w:r>
        <w:rPr>
          <w:rFonts w:hint="eastAsia" w:ascii="宋体" w:hAnsi="宋体"/>
          <w:color w:val="auto"/>
          <w:szCs w:val="21"/>
          <w:highlight w:val="none"/>
        </w:rPr>
        <w:t>内容分别作完整唯一报价的</w:t>
      </w:r>
      <w:r>
        <w:rPr>
          <w:rFonts w:hint="eastAsia" w:ascii="宋体" w:hAnsi="宋体"/>
          <w:color w:val="auto"/>
          <w:highlight w:val="none"/>
        </w:rPr>
        <w:t>，或报价超出采购预算总金额的；</w:t>
      </w:r>
      <w:r>
        <w:rPr>
          <w:rFonts w:hint="eastAsia" w:ascii="宋体" w:hAnsi="宋体"/>
          <w:color w:val="auto"/>
          <w:highlight w:val="none"/>
          <w:lang w:val="en-US" w:eastAsia="zh-CN"/>
        </w:rPr>
        <w:t>或未按招要求提供相关资料的。</w:t>
      </w:r>
    </w:p>
    <w:p w14:paraId="76B6F13B">
      <w:pPr>
        <w:snapToGrid w:val="0"/>
        <w:spacing w:line="360" w:lineRule="exact"/>
        <w:ind w:firstLine="411" w:firstLineChars="196"/>
        <w:outlineLvl w:val="4"/>
        <w:rPr>
          <w:rFonts w:hint="eastAsia" w:ascii="宋体" w:hAnsi="宋体"/>
          <w:color w:val="auto"/>
          <w:szCs w:val="21"/>
          <w:highlight w:val="none"/>
        </w:rPr>
      </w:pPr>
      <w:r>
        <w:rPr>
          <w:rFonts w:hint="eastAsia" w:ascii="宋体" w:hAnsi="宋体"/>
          <w:color w:val="auto"/>
          <w:szCs w:val="21"/>
          <w:highlight w:val="none"/>
        </w:rPr>
        <w:t>（6）</w:t>
      </w:r>
      <w:r>
        <w:rPr>
          <w:color w:val="auto"/>
          <w:highlight w:val="none"/>
        </w:rPr>
        <w:t>未在谈判小组规定的时间内</w:t>
      </w:r>
      <w:r>
        <w:rPr>
          <w:rFonts w:hint="eastAsia"/>
          <w:color w:val="auto"/>
          <w:highlight w:val="none"/>
        </w:rPr>
        <w:t>重新提交响应文件</w:t>
      </w:r>
      <w:r>
        <w:rPr>
          <w:color w:val="auto"/>
          <w:highlight w:val="none"/>
        </w:rPr>
        <w:t>的</w:t>
      </w:r>
      <w:r>
        <w:rPr>
          <w:rFonts w:hint="eastAsia"/>
          <w:color w:val="auto"/>
          <w:highlight w:val="none"/>
        </w:rPr>
        <w:t>；</w:t>
      </w:r>
    </w:p>
    <w:p w14:paraId="0D9BBAE2">
      <w:pPr>
        <w:snapToGrid w:val="0"/>
        <w:spacing w:line="360" w:lineRule="exact"/>
        <w:ind w:firstLine="411" w:firstLineChars="196"/>
        <w:outlineLvl w:val="4"/>
        <w:rPr>
          <w:rFonts w:hint="eastAsia" w:ascii="宋体" w:hAnsi="宋体"/>
          <w:color w:val="auto"/>
          <w:highlight w:val="none"/>
        </w:rPr>
      </w:pPr>
      <w:r>
        <w:rPr>
          <w:rFonts w:hint="eastAsia" w:ascii="宋体" w:hAnsi="宋体"/>
          <w:color w:val="auto"/>
          <w:szCs w:val="21"/>
          <w:highlight w:val="none"/>
        </w:rPr>
        <w:t>（</w:t>
      </w:r>
      <w:r>
        <w:rPr>
          <w:rFonts w:hint="eastAsia" w:ascii="宋体" w:hAnsi="宋体"/>
          <w:color w:val="auto"/>
          <w:highlight w:val="none"/>
        </w:rPr>
        <w:t>7）</w:t>
      </w:r>
      <w:r>
        <w:rPr>
          <w:rFonts w:hint="eastAsia" w:hAnsi="宋体"/>
          <w:color w:val="auto"/>
          <w:szCs w:val="21"/>
          <w:highlight w:val="none"/>
        </w:rPr>
        <w:t>单位负责人为同一人或者存在直接控股、管理关系的不同供应商参加同一合同项下</w:t>
      </w:r>
      <w:r>
        <w:rPr>
          <w:rFonts w:hint="eastAsia"/>
          <w:color w:val="auto"/>
          <w:szCs w:val="21"/>
          <w:highlight w:val="none"/>
        </w:rPr>
        <w:t>分标</w:t>
      </w:r>
      <w:r>
        <w:rPr>
          <w:rFonts w:hint="eastAsia" w:hAnsi="宋体"/>
          <w:color w:val="auto"/>
          <w:szCs w:val="21"/>
          <w:highlight w:val="none"/>
        </w:rPr>
        <w:t>或未划分分标的同一</w:t>
      </w:r>
      <w:r>
        <w:rPr>
          <w:rFonts w:hint="eastAsia"/>
          <w:color w:val="auto"/>
          <w:szCs w:val="21"/>
          <w:highlight w:val="none"/>
        </w:rPr>
        <w:t>合同项下</w:t>
      </w:r>
      <w:r>
        <w:rPr>
          <w:rFonts w:hint="eastAsia" w:hAnsi="宋体"/>
          <w:color w:val="auto"/>
          <w:szCs w:val="21"/>
          <w:highlight w:val="none"/>
        </w:rPr>
        <w:t>的政府采购活动；</w:t>
      </w:r>
    </w:p>
    <w:p w14:paraId="1D399D47">
      <w:pPr>
        <w:pStyle w:val="16"/>
        <w:spacing w:line="360" w:lineRule="exact"/>
        <w:ind w:firstLine="420" w:firstLineChars="200"/>
        <w:rPr>
          <w:rFonts w:hint="eastAsia" w:hAnsi="宋体"/>
          <w:color w:val="auto"/>
          <w:szCs w:val="24"/>
          <w:highlight w:val="none"/>
        </w:rPr>
      </w:pPr>
      <w:r>
        <w:rPr>
          <w:rFonts w:hint="eastAsia" w:hAnsi="宋体"/>
          <w:color w:val="auto"/>
          <w:szCs w:val="24"/>
          <w:highlight w:val="none"/>
        </w:rPr>
        <w:t>（8）未满足谈判文件全部实质性要求的或者响应文件有采购人不能接受的附加条件的；</w:t>
      </w:r>
    </w:p>
    <w:p w14:paraId="7D66B6E4">
      <w:pPr>
        <w:pStyle w:val="16"/>
        <w:spacing w:line="360" w:lineRule="exact"/>
        <w:ind w:firstLine="420" w:firstLineChars="200"/>
        <w:rPr>
          <w:rFonts w:hint="eastAsia" w:hAnsi="宋体"/>
          <w:color w:val="auto"/>
          <w:szCs w:val="24"/>
          <w:highlight w:val="none"/>
        </w:rPr>
      </w:pPr>
      <w:r>
        <w:rPr>
          <w:rFonts w:hint="eastAsia" w:hAnsi="宋体"/>
          <w:color w:val="auto"/>
          <w:szCs w:val="24"/>
          <w:highlight w:val="none"/>
        </w:rPr>
        <w:t>（9）</w:t>
      </w:r>
      <w:r>
        <w:rPr>
          <w:rFonts w:hint="eastAsia" w:hAnsi="宋体"/>
          <w:color w:val="auto"/>
          <w:szCs w:val="21"/>
          <w:highlight w:val="none"/>
        </w:rPr>
        <w:t>不符合法律、法规和谈判文件规定的其他实质性要求和条件的。</w:t>
      </w:r>
    </w:p>
    <w:p w14:paraId="745C189F">
      <w:pPr>
        <w:snapToGrid w:val="0"/>
        <w:spacing w:line="36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24.有下列情形之一的视为供应商相互串通谈判，响应文件将被视为无效：</w:t>
      </w:r>
    </w:p>
    <w:p w14:paraId="16DC3731">
      <w:pPr>
        <w:snapToGrid w:val="0"/>
        <w:spacing w:line="360" w:lineRule="exact"/>
        <w:ind w:firstLine="411" w:firstLineChars="196"/>
        <w:rPr>
          <w:rFonts w:hint="eastAsia" w:ascii="宋体" w:hAnsi="宋体"/>
          <w:color w:val="auto"/>
          <w:szCs w:val="21"/>
          <w:highlight w:val="none"/>
        </w:rPr>
      </w:pPr>
      <w:r>
        <w:rPr>
          <w:rFonts w:hint="eastAsia" w:ascii="宋体" w:hAnsi="宋体"/>
          <w:color w:val="auto"/>
          <w:szCs w:val="21"/>
          <w:highlight w:val="none"/>
        </w:rPr>
        <w:t>（1）不同供应商的响应文件由同一单位或者个人编制；或不同供应商报名的IP地址一致的；</w:t>
      </w:r>
    </w:p>
    <w:p w14:paraId="3120327C">
      <w:pPr>
        <w:snapToGrid w:val="0"/>
        <w:spacing w:line="360" w:lineRule="exact"/>
        <w:ind w:firstLine="411" w:firstLineChars="196"/>
        <w:rPr>
          <w:rFonts w:hint="eastAsia" w:ascii="宋体" w:hAnsi="宋体"/>
          <w:color w:val="auto"/>
          <w:szCs w:val="21"/>
          <w:highlight w:val="none"/>
        </w:rPr>
      </w:pPr>
      <w:r>
        <w:rPr>
          <w:rFonts w:hint="eastAsia" w:ascii="宋体" w:hAnsi="宋体"/>
          <w:color w:val="auto"/>
          <w:szCs w:val="21"/>
          <w:highlight w:val="none"/>
        </w:rPr>
        <w:t>（2）不同供应商委托同一单位或者个人办理谈判事宜；</w:t>
      </w:r>
    </w:p>
    <w:p w14:paraId="2A82813E">
      <w:pPr>
        <w:snapToGrid w:val="0"/>
        <w:spacing w:line="360" w:lineRule="exact"/>
        <w:ind w:firstLine="411" w:firstLineChars="196"/>
        <w:rPr>
          <w:rFonts w:hint="eastAsia" w:ascii="宋体" w:hAnsi="宋体"/>
          <w:color w:val="auto"/>
          <w:szCs w:val="21"/>
          <w:highlight w:val="none"/>
        </w:rPr>
      </w:pPr>
      <w:r>
        <w:rPr>
          <w:rFonts w:hint="eastAsia" w:ascii="宋体" w:hAnsi="宋体"/>
          <w:color w:val="auto"/>
          <w:szCs w:val="21"/>
          <w:highlight w:val="none"/>
        </w:rPr>
        <w:t>（3）不同的供应商的响应文件载明的项目管理员为同一个人；</w:t>
      </w:r>
    </w:p>
    <w:p w14:paraId="581BA664">
      <w:pPr>
        <w:snapToGrid w:val="0"/>
        <w:spacing w:line="360" w:lineRule="exact"/>
        <w:ind w:firstLine="411" w:firstLineChars="196"/>
        <w:rPr>
          <w:rFonts w:hint="eastAsia" w:ascii="宋体" w:hAnsi="宋体"/>
          <w:color w:val="auto"/>
          <w:szCs w:val="21"/>
          <w:highlight w:val="none"/>
        </w:rPr>
      </w:pPr>
      <w:r>
        <w:rPr>
          <w:rFonts w:hint="eastAsia" w:ascii="宋体" w:hAnsi="宋体"/>
          <w:color w:val="auto"/>
          <w:szCs w:val="21"/>
          <w:highlight w:val="none"/>
        </w:rPr>
        <w:t>（4）不同供应商的响应文件异常一致或竞标报价呈规律性差异；</w:t>
      </w:r>
    </w:p>
    <w:p w14:paraId="4356F717">
      <w:pPr>
        <w:snapToGrid w:val="0"/>
        <w:spacing w:line="360" w:lineRule="exact"/>
        <w:ind w:firstLine="411" w:firstLineChars="196"/>
        <w:rPr>
          <w:rFonts w:hint="eastAsia" w:ascii="宋体" w:hAnsi="宋体"/>
          <w:color w:val="auto"/>
          <w:szCs w:val="21"/>
          <w:highlight w:val="none"/>
        </w:rPr>
      </w:pPr>
      <w:r>
        <w:rPr>
          <w:rFonts w:hint="eastAsia" w:ascii="宋体" w:hAnsi="宋体"/>
          <w:color w:val="auto"/>
          <w:szCs w:val="21"/>
          <w:highlight w:val="none"/>
        </w:rPr>
        <w:t>（5）不同供应商的响应文件相互混装；</w:t>
      </w:r>
    </w:p>
    <w:p w14:paraId="352F4CC0">
      <w:pPr>
        <w:snapToGrid w:val="0"/>
        <w:spacing w:line="360" w:lineRule="exact"/>
        <w:ind w:firstLine="411" w:firstLineChars="196"/>
        <w:rPr>
          <w:rFonts w:hint="eastAsia" w:ascii="宋体" w:hAnsi="宋体"/>
          <w:color w:val="auto"/>
          <w:highlight w:val="none"/>
        </w:rPr>
      </w:pPr>
      <w:r>
        <w:rPr>
          <w:rFonts w:hint="eastAsia" w:ascii="宋体" w:hAnsi="宋体"/>
          <w:color w:val="auto"/>
          <w:szCs w:val="21"/>
          <w:highlight w:val="none"/>
        </w:rPr>
        <w:t>（6）响应文件实质性要求未做变动，供应商最后报价高于第一次报价的。</w:t>
      </w:r>
    </w:p>
    <w:p w14:paraId="6B50AFA8">
      <w:pPr>
        <w:snapToGrid w:val="0"/>
        <w:spacing w:line="360" w:lineRule="exact"/>
        <w:ind w:firstLine="411" w:firstLineChars="196"/>
        <w:outlineLvl w:val="4"/>
        <w:rPr>
          <w:rFonts w:hint="eastAsia" w:ascii="宋体" w:hAnsi="宋体"/>
          <w:bCs/>
          <w:color w:val="auto"/>
          <w:szCs w:val="21"/>
          <w:highlight w:val="none"/>
        </w:rPr>
      </w:pPr>
      <w:r>
        <w:rPr>
          <w:rFonts w:hint="eastAsia" w:ascii="宋体" w:hAnsi="宋体"/>
          <w:bCs/>
          <w:color w:val="auto"/>
          <w:szCs w:val="21"/>
          <w:highlight w:val="none"/>
        </w:rPr>
        <w:t xml:space="preserve">25. </w:t>
      </w:r>
      <w:r>
        <w:rPr>
          <w:rFonts w:ascii="宋体" w:hAnsi="宋体"/>
          <w:bCs/>
          <w:color w:val="auto"/>
          <w:szCs w:val="21"/>
          <w:highlight w:val="none"/>
        </w:rPr>
        <w:t>出现下列情形之一的，采购人或者采购代理机构应当终止竞争性谈判采购活动，发布项目终止公告并说明原因，重新开展采购活动：</w:t>
      </w:r>
    </w:p>
    <w:p w14:paraId="3F2E04EC">
      <w:pPr>
        <w:snapToGrid w:val="0"/>
        <w:spacing w:line="360" w:lineRule="exact"/>
        <w:ind w:firstLine="411" w:firstLineChars="196"/>
        <w:outlineLvl w:val="4"/>
        <w:rPr>
          <w:rFonts w:hint="eastAsia"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因情况变化，不再符合规定的竞争性谈判采购方式适用情形的；</w:t>
      </w:r>
    </w:p>
    <w:p w14:paraId="4227DF9C">
      <w:pPr>
        <w:snapToGrid w:val="0"/>
        <w:spacing w:line="360" w:lineRule="exact"/>
        <w:ind w:firstLine="411" w:firstLineChars="196"/>
        <w:outlineLvl w:val="4"/>
        <w:rPr>
          <w:rFonts w:hint="eastAsia"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出现影响采购公正的违法、违规行为的；</w:t>
      </w:r>
      <w:r>
        <w:rPr>
          <w:rFonts w:hint="eastAsia" w:ascii="宋体" w:hAnsi="宋体"/>
          <w:color w:val="auto"/>
          <w:szCs w:val="21"/>
          <w:highlight w:val="none"/>
        </w:rPr>
        <w:t xml:space="preserve"> </w:t>
      </w:r>
    </w:p>
    <w:p w14:paraId="44589C77">
      <w:pPr>
        <w:snapToGrid w:val="0"/>
        <w:spacing w:line="360" w:lineRule="exact"/>
        <w:ind w:firstLine="411" w:firstLineChars="196"/>
        <w:outlineLvl w:val="4"/>
        <w:rPr>
          <w:rFonts w:hint="eastAsia"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在采购过程中符合竞争要求的供应商或者报价未超过采购预算的供应商不足3家的</w:t>
      </w:r>
      <w:r>
        <w:rPr>
          <w:rFonts w:hint="eastAsia" w:ascii="宋体" w:hAnsi="宋体"/>
          <w:color w:val="auto"/>
          <w:szCs w:val="21"/>
          <w:highlight w:val="none"/>
        </w:rPr>
        <w:t xml:space="preserve">。 </w:t>
      </w:r>
    </w:p>
    <w:p w14:paraId="56A6895E">
      <w:pPr>
        <w:snapToGrid w:val="0"/>
        <w:spacing w:line="360" w:lineRule="exact"/>
        <w:ind w:firstLine="422" w:firstLineChars="200"/>
        <w:outlineLvl w:val="4"/>
        <w:rPr>
          <w:rFonts w:hint="eastAsia" w:ascii="宋体" w:hAnsi="宋体"/>
          <w:b/>
          <w:color w:val="auto"/>
          <w:highlight w:val="none"/>
        </w:rPr>
      </w:pPr>
      <w:r>
        <w:rPr>
          <w:rFonts w:hint="eastAsia" w:ascii="宋体" w:hAnsi="宋体"/>
          <w:b/>
          <w:color w:val="auto"/>
          <w:highlight w:val="none"/>
        </w:rPr>
        <w:t>26. 谈判过程的监控</w:t>
      </w:r>
    </w:p>
    <w:p w14:paraId="7BCA55A5">
      <w:pPr>
        <w:pStyle w:val="16"/>
        <w:spacing w:line="360" w:lineRule="exact"/>
        <w:ind w:firstLine="411" w:firstLineChars="196"/>
        <w:rPr>
          <w:rFonts w:hint="eastAsia" w:hAnsi="宋体"/>
          <w:color w:val="auto"/>
          <w:highlight w:val="none"/>
        </w:rPr>
      </w:pPr>
      <w:r>
        <w:rPr>
          <w:rFonts w:hint="eastAsia" w:hAnsi="宋体"/>
          <w:color w:val="auto"/>
          <w:highlight w:val="none"/>
        </w:rPr>
        <w:t>本项目谈判过程实行全程录音、录像监控，供应商在谈判过程中所进行的试图影响谈判结果的不公正活动，可能导致其谈判被拒绝。</w:t>
      </w:r>
    </w:p>
    <w:p w14:paraId="3B024224">
      <w:pPr>
        <w:pStyle w:val="16"/>
        <w:spacing w:line="360" w:lineRule="exact"/>
        <w:ind w:firstLine="413" w:firstLineChars="196"/>
        <w:rPr>
          <w:rFonts w:hint="eastAsia" w:hAnsi="宋体"/>
          <w:b/>
          <w:color w:val="auto"/>
          <w:highlight w:val="none"/>
        </w:rPr>
      </w:pPr>
      <w:r>
        <w:rPr>
          <w:rFonts w:hint="eastAsia" w:hAnsi="宋体"/>
          <w:b/>
          <w:color w:val="auto"/>
          <w:highlight w:val="none"/>
        </w:rPr>
        <w:t>27</w:t>
      </w:r>
      <w:r>
        <w:rPr>
          <w:rFonts w:hint="eastAsia" w:hAnsi="宋体"/>
          <w:b/>
          <w:color w:val="auto"/>
          <w:szCs w:val="21"/>
          <w:highlight w:val="none"/>
        </w:rPr>
        <w:t xml:space="preserve">. </w:t>
      </w:r>
      <w:r>
        <w:rPr>
          <w:rFonts w:hint="eastAsia" w:hAnsi="宋体"/>
          <w:b/>
          <w:color w:val="auto"/>
          <w:szCs w:val="24"/>
          <w:highlight w:val="none"/>
        </w:rPr>
        <w:t>成交结果公告及成交通知书</w:t>
      </w:r>
    </w:p>
    <w:p w14:paraId="54512D6C">
      <w:pPr>
        <w:spacing w:line="360" w:lineRule="exact"/>
        <w:ind w:firstLine="420" w:firstLineChars="200"/>
        <w:rPr>
          <w:rFonts w:hint="eastAsia" w:ascii="宋体" w:hAnsi="宋体"/>
          <w:color w:val="auto"/>
          <w:szCs w:val="21"/>
          <w:highlight w:val="none"/>
        </w:rPr>
      </w:pPr>
      <w:r>
        <w:rPr>
          <w:rFonts w:hint="eastAsia" w:ascii="宋体" w:hAnsi="宋体"/>
          <w:color w:val="auto"/>
          <w:highlight w:val="none"/>
        </w:rPr>
        <w:t xml:space="preserve">27.1 </w:t>
      </w:r>
      <w:r>
        <w:rPr>
          <w:rFonts w:hint="eastAsia" w:ascii="宋体" w:hAnsi="宋体"/>
          <w:color w:val="auto"/>
          <w:szCs w:val="21"/>
          <w:highlight w:val="none"/>
        </w:rPr>
        <w:t>采购代理机构于谈判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1627F9F7">
      <w:pPr>
        <w:snapToGrid w:val="0"/>
        <w:spacing w:line="360" w:lineRule="exact"/>
        <w:ind w:firstLine="411" w:firstLineChars="196"/>
        <w:outlineLvl w:val="4"/>
        <w:rPr>
          <w:rFonts w:hint="eastAsia" w:ascii="宋体" w:hAnsi="宋体"/>
          <w:color w:val="auto"/>
          <w:szCs w:val="21"/>
          <w:highlight w:val="none"/>
        </w:rPr>
      </w:pPr>
      <w:r>
        <w:rPr>
          <w:rFonts w:hint="eastAsia" w:ascii="宋体" w:hAnsi="宋体"/>
          <w:color w:val="auto"/>
          <w:szCs w:val="21"/>
          <w:highlight w:val="none"/>
        </w:rPr>
        <w:t>27.2 在发布成交结果公告的同时，采购代理机构向成交供应商发出成交通知书。</w:t>
      </w:r>
    </w:p>
    <w:p w14:paraId="13DFDC9F">
      <w:pPr>
        <w:spacing w:line="360" w:lineRule="exact"/>
        <w:ind w:left="420" w:leftChars="200" w:firstLine="0" w:firstLineChars="0"/>
        <w:rPr>
          <w:rFonts w:hint="eastAsia" w:ascii="宋体" w:hAnsi="宋体" w:cs="Times New Roman"/>
          <w:color w:val="auto"/>
          <w:szCs w:val="21"/>
          <w:highlight w:val="none"/>
        </w:rPr>
      </w:pPr>
      <w:r>
        <w:rPr>
          <w:rFonts w:hint="eastAsia" w:ascii="宋体" w:hAnsi="宋体" w:cs="Times New Roman"/>
          <w:color w:val="auto"/>
          <w:szCs w:val="21"/>
          <w:highlight w:val="none"/>
          <w:lang w:val="en-US" w:eastAsia="zh-CN"/>
        </w:rPr>
        <w:t>27.3</w:t>
      </w:r>
      <w:r>
        <w:rPr>
          <w:rFonts w:hint="eastAsia" w:ascii="宋体" w:hAnsi="宋体" w:cs="Times New Roman"/>
          <w:color w:val="auto"/>
          <w:szCs w:val="21"/>
          <w:highlight w:val="none"/>
        </w:rPr>
        <w:t>成交人在领取成交通知书前必须按照</w:t>
      </w:r>
      <w:r>
        <w:rPr>
          <w:rFonts w:hint="eastAsia" w:ascii="宋体" w:hAnsi="宋体" w:cs="Times New Roman"/>
          <w:color w:val="auto"/>
          <w:szCs w:val="21"/>
          <w:highlight w:val="none"/>
          <w:lang w:eastAsia="zh-CN"/>
        </w:rPr>
        <w:t>采购</w:t>
      </w:r>
      <w:r>
        <w:rPr>
          <w:rFonts w:hint="eastAsia" w:ascii="宋体" w:hAnsi="宋体" w:cs="Times New Roman"/>
          <w:color w:val="auto"/>
          <w:szCs w:val="21"/>
          <w:highlight w:val="none"/>
        </w:rPr>
        <w:t>文件规定</w:t>
      </w:r>
      <w:r>
        <w:rPr>
          <w:rFonts w:hint="eastAsia" w:ascii="宋体" w:hAnsi="宋体" w:cs="Times New Roman"/>
          <w:color w:val="auto"/>
          <w:szCs w:val="21"/>
          <w:highlight w:val="none"/>
          <w:lang w:eastAsia="zh-CN"/>
        </w:rPr>
        <w:t>一次性向采购代理机构</w:t>
      </w:r>
      <w:r>
        <w:rPr>
          <w:rFonts w:hint="eastAsia" w:ascii="宋体" w:hAnsi="宋体" w:cs="Times New Roman"/>
          <w:color w:val="auto"/>
          <w:szCs w:val="21"/>
          <w:highlight w:val="none"/>
        </w:rPr>
        <w:t>递交招标代理服务费</w:t>
      </w:r>
      <w:r>
        <w:rPr>
          <w:rFonts w:hint="eastAsia" w:ascii="宋体" w:hAnsi="宋体" w:cs="Times New Roman"/>
          <w:color w:val="auto"/>
          <w:szCs w:val="21"/>
          <w:highlight w:val="none"/>
          <w:lang w:val="en-US" w:eastAsia="zh-CN"/>
        </w:rPr>
        <w:t>。</w:t>
      </w:r>
      <w:r>
        <w:rPr>
          <w:rFonts w:hint="eastAsia" w:ascii="宋体" w:hAnsi="宋体" w:cs="Times New Roman"/>
          <w:color w:val="auto"/>
          <w:szCs w:val="21"/>
          <w:highlight w:val="none"/>
        </w:rPr>
        <w:t>27.</w:t>
      </w:r>
      <w:r>
        <w:rPr>
          <w:rFonts w:hint="eastAsia" w:ascii="宋体" w:hAnsi="宋体" w:cs="Times New Roman"/>
          <w:color w:val="auto"/>
          <w:szCs w:val="21"/>
          <w:highlight w:val="none"/>
          <w:lang w:val="en-US" w:eastAsia="zh-CN"/>
        </w:rPr>
        <w:t>4</w:t>
      </w:r>
      <w:r>
        <w:rPr>
          <w:rFonts w:hint="eastAsia" w:ascii="宋体" w:hAnsi="宋体" w:cs="Times New Roman"/>
          <w:color w:val="auto"/>
          <w:szCs w:val="21"/>
          <w:highlight w:val="none"/>
        </w:rPr>
        <w:t>采购代理机构无义务向未成交的供应商解释未成交原因和退还响应文件。</w:t>
      </w:r>
    </w:p>
    <w:p w14:paraId="42B27486">
      <w:pPr>
        <w:tabs>
          <w:tab w:val="left" w:pos="1140"/>
        </w:tabs>
        <w:spacing w:line="360" w:lineRule="exact"/>
        <w:jc w:val="center"/>
        <w:rPr>
          <w:rFonts w:hint="eastAsia" w:ascii="宋体" w:hAnsi="宋体"/>
          <w:b/>
          <w:color w:val="auto"/>
          <w:sz w:val="28"/>
          <w:szCs w:val="28"/>
          <w:highlight w:val="none"/>
        </w:rPr>
      </w:pPr>
    </w:p>
    <w:p w14:paraId="5508980D">
      <w:pPr>
        <w:tabs>
          <w:tab w:val="left" w:pos="1140"/>
        </w:tabs>
        <w:spacing w:line="360" w:lineRule="exact"/>
        <w:jc w:val="center"/>
        <w:rPr>
          <w:rFonts w:hint="eastAsia" w:ascii="宋体" w:hAnsi="宋体"/>
          <w:b/>
          <w:color w:val="auto"/>
          <w:sz w:val="28"/>
          <w:szCs w:val="28"/>
          <w:highlight w:val="none"/>
        </w:rPr>
      </w:pPr>
      <w:r>
        <w:rPr>
          <w:rFonts w:hint="eastAsia" w:ascii="宋体" w:hAnsi="宋体"/>
          <w:b/>
          <w:color w:val="auto"/>
          <w:sz w:val="28"/>
          <w:szCs w:val="28"/>
          <w:highlight w:val="none"/>
        </w:rPr>
        <w:t>五、签订合同</w:t>
      </w:r>
    </w:p>
    <w:p w14:paraId="0BDFE931">
      <w:pPr>
        <w:spacing w:line="360" w:lineRule="exact"/>
        <w:ind w:firstLine="413" w:firstLineChars="196"/>
        <w:rPr>
          <w:rFonts w:hint="eastAsia" w:ascii="宋体" w:hAnsi="宋体"/>
          <w:b/>
          <w:color w:val="auto"/>
          <w:highlight w:val="none"/>
        </w:rPr>
      </w:pPr>
      <w:r>
        <w:rPr>
          <w:rFonts w:hint="eastAsia" w:ascii="宋体" w:hAnsi="宋体"/>
          <w:b/>
          <w:color w:val="auto"/>
          <w:highlight w:val="none"/>
        </w:rPr>
        <w:t>28</w:t>
      </w:r>
      <w:r>
        <w:rPr>
          <w:rFonts w:hint="eastAsia" w:ascii="宋体" w:hAnsi="宋体"/>
          <w:b/>
          <w:color w:val="auto"/>
          <w:szCs w:val="21"/>
          <w:highlight w:val="none"/>
        </w:rPr>
        <w:t xml:space="preserve">. </w:t>
      </w:r>
      <w:r>
        <w:rPr>
          <w:rFonts w:hint="eastAsia" w:ascii="宋体" w:hAnsi="宋体"/>
          <w:b/>
          <w:color w:val="auto"/>
          <w:highlight w:val="none"/>
        </w:rPr>
        <w:t>履约保证金</w:t>
      </w:r>
    </w:p>
    <w:p w14:paraId="1E86C4FC">
      <w:pPr>
        <w:spacing w:line="360" w:lineRule="exact"/>
        <w:rPr>
          <w:rFonts w:hint="default" w:ascii="宋体" w:hAnsi="宋体" w:eastAsia="宋体"/>
          <w:b/>
          <w:color w:val="auto"/>
          <w:szCs w:val="21"/>
          <w:highlight w:val="none"/>
          <w:lang w:val="en-US" w:eastAsia="zh-CN"/>
        </w:rPr>
      </w:pPr>
      <w:r>
        <w:rPr>
          <w:rFonts w:hint="eastAsia" w:hAnsi="宋体"/>
          <w:b/>
          <w:color w:val="auto"/>
          <w:szCs w:val="21"/>
          <w:highlight w:val="none"/>
        </w:rPr>
        <w:t xml:space="preserve">   </w:t>
      </w:r>
      <w:r>
        <w:rPr>
          <w:rFonts w:hint="eastAsia" w:ascii="宋体" w:hAnsi="宋体"/>
          <w:b/>
          <w:color w:val="auto"/>
          <w:szCs w:val="21"/>
          <w:highlight w:val="none"/>
        </w:rPr>
        <w:t xml:space="preserve"> 28.1 </w:t>
      </w:r>
      <w:r>
        <w:rPr>
          <w:rFonts w:hint="eastAsia" w:ascii="宋体" w:hAnsi="宋体"/>
          <w:b/>
          <w:color w:val="auto"/>
          <w:szCs w:val="21"/>
          <w:highlight w:val="none"/>
          <w:lang w:val="en-US" w:eastAsia="zh-CN"/>
        </w:rPr>
        <w:t>中标金额的</w:t>
      </w:r>
      <w:r>
        <w:rPr>
          <w:rFonts w:hint="eastAsia" w:ascii="宋体" w:hAnsi="宋体"/>
          <w:b/>
          <w:color w:val="auto"/>
          <w:szCs w:val="21"/>
          <w:highlight w:val="none"/>
        </w:rPr>
        <w:t>5%</w:t>
      </w:r>
      <w:r>
        <w:rPr>
          <w:rFonts w:hint="eastAsia" w:ascii="宋体" w:hAnsi="宋体"/>
          <w:b/>
          <w:color w:val="auto"/>
          <w:szCs w:val="21"/>
          <w:highlight w:val="none"/>
          <w:lang w:val="en-US" w:eastAsia="zh-CN"/>
        </w:rPr>
        <w:t>。</w:t>
      </w:r>
    </w:p>
    <w:p w14:paraId="00F41045">
      <w:pPr>
        <w:pStyle w:val="16"/>
        <w:spacing w:line="360" w:lineRule="exact"/>
        <w:ind w:left="6" w:leftChars="3" w:firstLine="422" w:firstLineChars="200"/>
        <w:rPr>
          <w:rFonts w:hint="eastAsia" w:hAnsi="宋体"/>
          <w:b/>
          <w:color w:val="auto"/>
          <w:szCs w:val="21"/>
          <w:highlight w:val="none"/>
        </w:rPr>
      </w:pPr>
      <w:r>
        <w:rPr>
          <w:rFonts w:hint="eastAsia" w:hAnsi="宋体"/>
          <w:b/>
          <w:color w:val="auto"/>
          <w:szCs w:val="21"/>
          <w:highlight w:val="none"/>
        </w:rPr>
        <w:t>29. 签订合同</w:t>
      </w:r>
    </w:p>
    <w:p w14:paraId="7C7E8B4F">
      <w:pPr>
        <w:tabs>
          <w:tab w:val="left" w:pos="1140"/>
        </w:tabs>
        <w:spacing w:line="360" w:lineRule="exact"/>
        <w:ind w:firstLine="420" w:firstLineChars="200"/>
        <w:rPr>
          <w:rFonts w:hint="eastAsia" w:ascii="宋体" w:hAnsi="宋体"/>
          <w:color w:val="auto"/>
          <w:highlight w:val="none"/>
        </w:rPr>
      </w:pPr>
      <w:r>
        <w:rPr>
          <w:rFonts w:hint="eastAsia" w:ascii="宋体" w:hAnsi="宋体"/>
          <w:color w:val="auto"/>
          <w:highlight w:val="none"/>
        </w:rPr>
        <w:t>29.1 签订合同时间：成交通知书发出之日起30日内。</w:t>
      </w:r>
    </w:p>
    <w:p w14:paraId="52C14798">
      <w:pPr>
        <w:spacing w:line="360" w:lineRule="exact"/>
        <w:ind w:firstLine="420" w:firstLineChars="200"/>
        <w:rPr>
          <w:rFonts w:ascii="宋体" w:hAnsi="宋体"/>
          <w:color w:val="auto"/>
          <w:highlight w:val="none"/>
        </w:rPr>
      </w:pPr>
      <w:r>
        <w:rPr>
          <w:rFonts w:hint="eastAsia" w:ascii="宋体" w:hAnsi="宋体"/>
          <w:color w:val="auto"/>
          <w:highlight w:val="none"/>
        </w:rPr>
        <w:t>29.2如成交供应商有下列情形之一的，情节严重的，由财政部门将其列入不良行为记录名单，在一至三年内禁止参加政府采购活动，并予以通报。采购代理机构可从谈判小组推荐的成交候选人中按顺序重新确定成交供应商或重新组织采购。拒绝签订政府采购合同的成交供应商不得参加对该项目重新开展的采购活</w:t>
      </w:r>
      <w:r>
        <w:rPr>
          <w:rFonts w:hint="eastAsia" w:ascii="宋体" w:hAnsi="宋体"/>
          <w:color w:val="auto"/>
          <w:szCs w:val="21"/>
          <w:highlight w:val="none"/>
        </w:rPr>
        <w:t>动。</w:t>
      </w:r>
    </w:p>
    <w:p w14:paraId="70FFA9A1">
      <w:pPr>
        <w:widowControl/>
        <w:spacing w:line="360" w:lineRule="exact"/>
        <w:jc w:val="left"/>
        <w:rPr>
          <w:rFonts w:ascii="宋体" w:hAnsi="宋体"/>
          <w:color w:val="auto"/>
          <w:highlight w:val="none"/>
        </w:rPr>
      </w:pPr>
      <w:r>
        <w:rPr>
          <w:rFonts w:hint="eastAsia" w:ascii="宋体" w:hAnsi="宋体"/>
          <w:color w:val="auto"/>
          <w:highlight w:val="none"/>
        </w:rPr>
        <w:t>　　（1）成交后不与采购人签订合同的（不可抗力除外）；</w:t>
      </w:r>
    </w:p>
    <w:p w14:paraId="1EC8F991">
      <w:pPr>
        <w:widowControl/>
        <w:spacing w:line="360" w:lineRule="exact"/>
        <w:jc w:val="left"/>
        <w:rPr>
          <w:rFonts w:ascii="宋体" w:hAnsi="宋体"/>
          <w:color w:val="auto"/>
          <w:highlight w:val="none"/>
        </w:rPr>
      </w:pPr>
      <w:r>
        <w:rPr>
          <w:rFonts w:hint="eastAsia" w:ascii="宋体" w:hAnsi="宋体"/>
          <w:color w:val="auto"/>
          <w:highlight w:val="none"/>
        </w:rPr>
        <w:t xml:space="preserve">    （2）将成交项目转让给他人，或者在响应文件中未说明，且未经采购人同意，将成交项目分包给他人的；</w:t>
      </w:r>
    </w:p>
    <w:p w14:paraId="3AA674C1">
      <w:pPr>
        <w:widowControl/>
        <w:spacing w:line="360" w:lineRule="exact"/>
        <w:ind w:firstLine="420"/>
        <w:jc w:val="left"/>
        <w:rPr>
          <w:rFonts w:hint="eastAsia" w:ascii="宋体" w:hAnsi="宋体"/>
          <w:color w:val="auto"/>
          <w:highlight w:val="none"/>
        </w:rPr>
      </w:pPr>
      <w:r>
        <w:rPr>
          <w:rFonts w:hint="eastAsia" w:ascii="宋体" w:hAnsi="宋体"/>
          <w:color w:val="auto"/>
          <w:highlight w:val="none"/>
        </w:rPr>
        <w:t>（3）拒绝履行合同义务的。</w:t>
      </w:r>
    </w:p>
    <w:p w14:paraId="4A8452E0">
      <w:pPr>
        <w:spacing w:line="360" w:lineRule="exact"/>
        <w:ind w:firstLine="420" w:firstLineChars="200"/>
        <w:rPr>
          <w:rFonts w:hint="eastAsia" w:ascii="宋体" w:hAnsi="宋体"/>
          <w:color w:val="auto"/>
          <w:highlight w:val="none"/>
        </w:rPr>
      </w:pPr>
      <w:r>
        <w:rPr>
          <w:rFonts w:hint="eastAsia" w:ascii="宋体" w:hAnsi="宋体"/>
          <w:color w:val="auto"/>
          <w:highlight w:val="none"/>
        </w:rPr>
        <w:t>29.3 合同备案存档：政府采购合同双方自签订之日起</w:t>
      </w:r>
      <w:r>
        <w:rPr>
          <w:rFonts w:hint="eastAsia" w:ascii="宋体" w:hAnsi="宋体"/>
          <w:color w:val="auto"/>
          <w:highlight w:val="none"/>
          <w:lang w:val="en-US" w:eastAsia="zh-CN"/>
        </w:rPr>
        <w:t>1</w:t>
      </w:r>
      <w:r>
        <w:rPr>
          <w:rFonts w:hint="eastAsia" w:ascii="宋体" w:hAnsi="宋体"/>
          <w:color w:val="auto"/>
          <w:highlight w:val="none"/>
        </w:rPr>
        <w:t>个工作日内将合同原件一份交采购代理机构。</w:t>
      </w:r>
    </w:p>
    <w:p w14:paraId="6635D8F7">
      <w:pPr>
        <w:pStyle w:val="16"/>
        <w:spacing w:line="380" w:lineRule="exact"/>
        <w:ind w:left="3"/>
        <w:jc w:val="center"/>
        <w:rPr>
          <w:rFonts w:hint="eastAsia" w:hAnsi="宋体"/>
          <w:b/>
          <w:color w:val="auto"/>
          <w:sz w:val="28"/>
          <w:szCs w:val="28"/>
          <w:highlight w:val="none"/>
        </w:rPr>
      </w:pPr>
    </w:p>
    <w:p w14:paraId="1567A3D6">
      <w:pPr>
        <w:pStyle w:val="16"/>
        <w:spacing w:line="380" w:lineRule="exact"/>
        <w:ind w:left="3"/>
        <w:jc w:val="center"/>
        <w:rPr>
          <w:rFonts w:hint="eastAsia" w:hAnsi="宋体"/>
          <w:b/>
          <w:color w:val="auto"/>
          <w:sz w:val="28"/>
          <w:szCs w:val="28"/>
          <w:highlight w:val="none"/>
        </w:rPr>
      </w:pPr>
      <w:r>
        <w:rPr>
          <w:rFonts w:hint="eastAsia" w:hAnsi="宋体"/>
          <w:b/>
          <w:color w:val="auto"/>
          <w:sz w:val="28"/>
          <w:szCs w:val="28"/>
          <w:highlight w:val="none"/>
        </w:rPr>
        <w:t>六、其他事项</w:t>
      </w:r>
    </w:p>
    <w:p w14:paraId="426E98F2">
      <w:pPr>
        <w:spacing w:line="380" w:lineRule="exact"/>
        <w:ind w:firstLine="517" w:firstLineChars="245"/>
        <w:rPr>
          <w:rFonts w:hint="eastAsia" w:ascii="宋体" w:hAnsi="宋体"/>
          <w:b/>
          <w:color w:val="auto"/>
          <w:highlight w:val="none"/>
        </w:rPr>
      </w:pPr>
      <w:r>
        <w:rPr>
          <w:rFonts w:hint="eastAsia" w:ascii="宋体" w:hAnsi="宋体"/>
          <w:b/>
          <w:color w:val="auto"/>
          <w:highlight w:val="none"/>
        </w:rPr>
        <w:t>30</w:t>
      </w:r>
      <w:r>
        <w:rPr>
          <w:rFonts w:hint="eastAsia" w:ascii="宋体" w:hAnsi="宋体"/>
          <w:b/>
          <w:color w:val="auto"/>
          <w:szCs w:val="21"/>
          <w:highlight w:val="none"/>
        </w:rPr>
        <w:t xml:space="preserve">. </w:t>
      </w:r>
      <w:r>
        <w:rPr>
          <w:rFonts w:hint="eastAsia" w:ascii="宋体" w:hAnsi="宋体"/>
          <w:b/>
          <w:color w:val="auto"/>
          <w:highlight w:val="none"/>
        </w:rPr>
        <w:t>采购代理服务费</w:t>
      </w:r>
    </w:p>
    <w:p w14:paraId="12D05D94">
      <w:pPr>
        <w:spacing w:line="380" w:lineRule="exact"/>
        <w:jc w:val="left"/>
        <w:rPr>
          <w:rFonts w:hint="default" w:ascii="宋体" w:hAnsi="宋体" w:eastAsia="宋体"/>
          <w:color w:val="auto"/>
          <w:szCs w:val="21"/>
          <w:highlight w:val="none"/>
          <w:lang w:val="en-US" w:eastAsia="zh-CN"/>
        </w:rPr>
      </w:pPr>
      <w:r>
        <w:rPr>
          <w:rFonts w:hint="eastAsia" w:ascii="宋体" w:hAnsi="宋体"/>
          <w:color w:val="auto"/>
          <w:highlight w:val="none"/>
        </w:rPr>
        <w:t xml:space="preserve">  </w:t>
      </w:r>
      <w:r>
        <w:rPr>
          <w:rFonts w:hint="eastAsia" w:ascii="宋体" w:hAnsi="宋体"/>
          <w:color w:val="auto"/>
          <w:highlight w:val="none"/>
          <w:lang w:val="en-US" w:eastAsia="zh-CN"/>
        </w:rPr>
        <w:t xml:space="preserve">      执行《国家发展改革委关于进一步放开建设项目专业服务价格的通知》（发改价格〔2015〕299号），号文件的标准进行计算</w:t>
      </w:r>
      <w:r>
        <w:rPr>
          <w:rFonts w:hint="eastAsia" w:hAnsi="宋体" w:cs="宋体"/>
          <w:bCs/>
          <w:color w:val="auto"/>
          <w:szCs w:val="21"/>
          <w:highlight w:val="none"/>
          <w:lang w:val="en-US" w:eastAsia="zh-CN"/>
        </w:rPr>
        <w:t>。</w:t>
      </w:r>
    </w:p>
    <w:p w14:paraId="0E64BD02">
      <w:pPr>
        <w:pStyle w:val="3"/>
        <w:keepNext w:val="0"/>
        <w:keepLines w:val="0"/>
        <w:pageBreakBefore w:val="0"/>
        <w:widowControl w:val="0"/>
        <w:kinsoku/>
        <w:wordWrap/>
        <w:overflowPunct/>
        <w:topLinePunct w:val="0"/>
        <w:autoSpaceDE/>
        <w:autoSpaceDN/>
        <w:bidi w:val="0"/>
        <w:adjustRightInd/>
        <w:snapToGrid/>
        <w:spacing w:line="416" w:lineRule="auto"/>
        <w:textAlignment w:val="auto"/>
        <w:rPr>
          <w:rFonts w:hint="eastAsia"/>
          <w:color w:val="auto"/>
          <w:highlight w:val="none"/>
        </w:rPr>
      </w:pPr>
    </w:p>
    <w:p w14:paraId="0330856F">
      <w:pPr>
        <w:spacing w:line="380" w:lineRule="exact"/>
        <w:rPr>
          <w:rFonts w:hint="eastAsia"/>
          <w:b/>
          <w:color w:val="auto"/>
          <w:sz w:val="32"/>
          <w:szCs w:val="32"/>
          <w:highlight w:val="none"/>
        </w:rPr>
        <w:sectPr>
          <w:footerReference r:id="rId6" w:type="default"/>
          <w:pgSz w:w="11906" w:h="16838"/>
          <w:pgMar w:top="1134" w:right="992"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bookmarkStart w:id="10" w:name="_Toc455565643"/>
      <w:bookmarkStart w:id="11" w:name="_Toc432264367"/>
      <w:bookmarkStart w:id="12" w:name="_Toc432277439"/>
    </w:p>
    <w:bookmarkEnd w:id="10"/>
    <w:bookmarkEnd w:id="11"/>
    <w:bookmarkEnd w:id="12"/>
    <w:p w14:paraId="342A402D">
      <w:pPr>
        <w:keepNext w:val="0"/>
        <w:keepLines w:val="0"/>
        <w:pageBreakBefore w:val="0"/>
        <w:widowControl w:val="0"/>
        <w:numPr>
          <w:ilvl w:val="0"/>
          <w:numId w:val="4"/>
        </w:numPr>
        <w:kinsoku/>
        <w:wordWrap/>
        <w:overflowPunct/>
        <w:topLinePunct w:val="0"/>
        <w:autoSpaceDE/>
        <w:autoSpaceDN/>
        <w:bidi w:val="0"/>
        <w:adjustRightInd/>
        <w:snapToGrid/>
        <w:spacing w:line="480" w:lineRule="auto"/>
        <w:ind w:left="0" w:leftChars="0" w:firstLine="0" w:firstLineChars="0"/>
        <w:jc w:val="center"/>
        <w:textAlignment w:val="auto"/>
        <w:rPr>
          <w:rFonts w:hint="eastAsia"/>
          <w:b/>
          <w:color w:val="auto"/>
          <w:sz w:val="36"/>
          <w:szCs w:val="36"/>
          <w:highlight w:val="none"/>
          <w:lang w:val="zh-CN"/>
        </w:rPr>
      </w:pPr>
      <w:r>
        <w:rPr>
          <w:rFonts w:hint="eastAsia"/>
          <w:b/>
          <w:color w:val="auto"/>
          <w:sz w:val="36"/>
          <w:szCs w:val="36"/>
          <w:highlight w:val="none"/>
          <w:lang w:val="zh-CN"/>
        </w:rPr>
        <w:t>采购需求</w:t>
      </w:r>
      <w:bookmarkStart w:id="13" w:name="_Toc432264368"/>
      <w:bookmarkStart w:id="14" w:name="_Toc455565644"/>
      <w:bookmarkStart w:id="15" w:name="_Toc432277440"/>
      <w:bookmarkStart w:id="16" w:name="_Toc10263"/>
    </w:p>
    <w:p w14:paraId="1ADE6EA9">
      <w:pPr>
        <w:pStyle w:val="2"/>
        <w:numPr>
          <w:ilvl w:val="0"/>
          <w:numId w:val="0"/>
        </w:numPr>
        <w:bidi w:val="0"/>
        <w:ind w:leftChars="0"/>
        <w:jc w:val="center"/>
        <w:rPr>
          <w:rFonts w:hint="eastAsia" w:eastAsia="宋体"/>
          <w:sz w:val="44"/>
          <w:szCs w:val="44"/>
          <w:lang w:eastAsia="zh-CN"/>
        </w:rPr>
      </w:pPr>
      <w:r>
        <w:rPr>
          <w:rFonts w:hint="eastAsia"/>
          <w:sz w:val="44"/>
          <w:szCs w:val="44"/>
        </w:rPr>
        <w:t>广播电视微波综合铁塔健康智能监测系统升级</w:t>
      </w:r>
      <w:r>
        <w:rPr>
          <w:rFonts w:hint="eastAsia"/>
          <w:sz w:val="44"/>
          <w:szCs w:val="44"/>
          <w:lang w:eastAsia="zh-CN"/>
        </w:rPr>
        <w:t>项目招标方案</w:t>
      </w:r>
    </w:p>
    <w:p w14:paraId="357CBE0F">
      <w:pPr>
        <w:pStyle w:val="2"/>
        <w:numPr>
          <w:ilvl w:val="0"/>
          <w:numId w:val="0"/>
        </w:numPr>
        <w:bidi w:val="0"/>
        <w:ind w:leftChars="0"/>
        <w:rPr>
          <w:rFonts w:hint="eastAsia"/>
          <w:lang w:val="en-US" w:eastAsia="zh-CN"/>
        </w:rPr>
      </w:pPr>
      <w:r>
        <w:rPr>
          <w:rFonts w:hint="eastAsia"/>
          <w:lang w:val="en-US" w:eastAsia="zh-CN"/>
        </w:rPr>
        <w:t>一、项目概述</w:t>
      </w:r>
    </w:p>
    <w:p w14:paraId="1EBE6BF4">
      <w:pPr>
        <w:pStyle w:val="6"/>
        <w:keepNext w:val="0"/>
        <w:keepLines w:val="0"/>
        <w:pageBreakBefore w:val="0"/>
        <w:widowControl w:val="0"/>
        <w:kinsoku/>
        <w:wordWrap/>
        <w:overflowPunct/>
        <w:topLinePunct w:val="0"/>
        <w:autoSpaceDE/>
        <w:autoSpaceDN/>
        <w:bidi w:val="0"/>
        <w:adjustRightInd/>
        <w:snapToGrid w:val="0"/>
        <w:spacing w:line="360" w:lineRule="auto"/>
        <w:ind w:left="0"/>
        <w:textAlignment w:val="auto"/>
        <w:rPr>
          <w:rFonts w:hint="eastAsia" w:ascii="宋体" w:hAnsi="宋体" w:eastAsia="宋体" w:cs="宋体"/>
          <w:sz w:val="24"/>
          <w:szCs w:val="24"/>
        </w:rPr>
      </w:pPr>
      <w:r>
        <w:rPr>
          <w:rFonts w:hint="eastAsia" w:ascii="宋体" w:hAnsi="宋体" w:cs="宋体"/>
          <w:sz w:val="24"/>
          <w:szCs w:val="24"/>
          <w:lang w:val="en-US" w:eastAsia="zh-CN"/>
        </w:rPr>
        <w:t>敦化市融媒体中心（敦化广播电视台）下属的南山电视转播站，肩负着中央数字电视节目、省数字电视节目、本地数字电视节目以及广播节目的播出覆盖，以及省州数字微波双向传输等工作任务，为保证台站的安全播出，</w:t>
      </w:r>
      <w:r>
        <w:rPr>
          <w:rFonts w:hint="eastAsia" w:ascii="宋体" w:hAnsi="宋体" w:cs="宋体"/>
          <w:sz w:val="24"/>
          <w:szCs w:val="24"/>
          <w:lang w:eastAsia="zh-CN"/>
        </w:rPr>
        <w:t>确保南山电视转播站广播电视微波综合铁塔</w:t>
      </w:r>
      <w:r>
        <w:rPr>
          <w:rFonts w:hint="eastAsia" w:ascii="宋体" w:hAnsi="宋体" w:eastAsia="宋体" w:cs="宋体"/>
          <w:sz w:val="24"/>
          <w:szCs w:val="24"/>
        </w:rPr>
        <w:t>塔体结构的安全性、完整性、适用性与耐久性，计划</w:t>
      </w:r>
      <w:r>
        <w:rPr>
          <w:rFonts w:hint="eastAsia" w:ascii="宋体" w:hAnsi="宋体" w:cs="宋体"/>
          <w:sz w:val="24"/>
          <w:szCs w:val="24"/>
          <w:lang w:eastAsia="zh-CN"/>
        </w:rPr>
        <w:t>进行</w:t>
      </w:r>
      <w:r>
        <w:rPr>
          <w:rFonts w:hint="eastAsia" w:ascii="宋体" w:hAnsi="宋体" w:eastAsia="宋体" w:cs="宋体"/>
          <w:sz w:val="24"/>
          <w:szCs w:val="24"/>
        </w:rPr>
        <w:t>广播电视微波综合铁塔健康智能监测系统升级。通过实时监测结构运行阶段结构关键构件应力、结构整体变形等参量，结合定期检测数据及结构荷载监测数据，评估结构的安全水平并进行提前预警。</w:t>
      </w:r>
    </w:p>
    <w:p w14:paraId="19ECA69E">
      <w:pPr>
        <w:pStyle w:val="2"/>
        <w:numPr>
          <w:ilvl w:val="0"/>
          <w:numId w:val="0"/>
        </w:numPr>
        <w:bidi w:val="0"/>
        <w:ind w:left="432" w:leftChars="0" w:hanging="432" w:firstLineChars="0"/>
        <w:rPr>
          <w:rFonts w:hint="eastAsia"/>
          <w:lang w:val="en-US" w:eastAsia="zh-CN"/>
        </w:rPr>
      </w:pPr>
      <w:bookmarkStart w:id="17" w:name="_Toc352709742"/>
      <w:r>
        <w:rPr>
          <w:rFonts w:hint="eastAsia" w:cs="宋体"/>
          <w:b/>
          <w:kern w:val="44"/>
          <w:sz w:val="32"/>
          <w:szCs w:val="21"/>
          <w:lang w:val="en-US" w:eastAsia="zh-CN" w:bidi="ar-SA"/>
        </w:rPr>
        <w:t>二</w:t>
      </w:r>
      <w:r>
        <w:rPr>
          <w:rFonts w:hint="eastAsia" w:ascii="宋体" w:hAnsi="宋体" w:eastAsia="宋体" w:cs="宋体"/>
          <w:b/>
          <w:kern w:val="44"/>
          <w:sz w:val="32"/>
          <w:szCs w:val="21"/>
          <w:lang w:val="en-US" w:eastAsia="zh-CN" w:bidi="ar-SA"/>
        </w:rPr>
        <w:t>、</w:t>
      </w:r>
      <w:r>
        <w:rPr>
          <w:rFonts w:hint="eastAsia"/>
          <w:lang w:val="en-US" w:eastAsia="zh-CN"/>
        </w:rPr>
        <w:t>设计</w:t>
      </w:r>
      <w:bookmarkEnd w:id="17"/>
      <w:r>
        <w:rPr>
          <w:rFonts w:hint="eastAsia"/>
          <w:lang w:val="en-US" w:eastAsia="zh-CN"/>
        </w:rPr>
        <w:t>目标</w:t>
      </w:r>
    </w:p>
    <w:p w14:paraId="6C09189E">
      <w:pPr>
        <w:pStyle w:val="6"/>
        <w:keepNext w:val="0"/>
        <w:keepLines w:val="0"/>
        <w:pageBreakBefore w:val="0"/>
        <w:widowControl w:val="0"/>
        <w:kinsoku/>
        <w:wordWrap/>
        <w:overflowPunct/>
        <w:topLinePunct w:val="0"/>
        <w:autoSpaceDE/>
        <w:autoSpaceDN/>
        <w:bidi w:val="0"/>
        <w:adjustRightInd/>
        <w:snapToGrid w:val="0"/>
        <w:spacing w:line="360" w:lineRule="auto"/>
        <w:ind w:left="0"/>
        <w:textAlignment w:val="auto"/>
        <w:rPr>
          <w:rFonts w:hint="eastAsia" w:ascii="宋体" w:hAnsi="宋体" w:cs="宋体"/>
          <w:sz w:val="24"/>
          <w:szCs w:val="24"/>
          <w:lang w:val="en-US" w:eastAsia="zh-CN"/>
        </w:rPr>
      </w:pPr>
      <w:bookmarkStart w:id="18" w:name="_Toc352709744"/>
      <w:r>
        <w:rPr>
          <w:rFonts w:hint="eastAsia" w:ascii="宋体" w:hAnsi="宋体" w:eastAsia="宋体" w:cs="宋体"/>
          <w:sz w:val="24"/>
          <w:szCs w:val="24"/>
        </w:rPr>
        <w:t>由于电视塔钢结构在运营期间会受到气候、氧化、腐蚀或老化等因素的影响，及长期在天气及风力的作用下遭受损坏，其强度和刚度会随时间的增加而降低，这不仅影响了安全性，更会使发射塔结构的使用寿命缩短。</w:t>
      </w:r>
      <w:r>
        <w:rPr>
          <w:rFonts w:hint="eastAsia" w:ascii="宋体" w:hAnsi="宋体" w:cs="宋体"/>
          <w:sz w:val="24"/>
          <w:szCs w:val="24"/>
          <w:lang w:val="en-US" w:eastAsia="zh-CN"/>
        </w:rPr>
        <w:t>本次项目是在原有基础版铁塔监测系统的基础上进行完善升级，建立一套更为全面、精准的健康监测系统。该系统不仅要能实时监测铁塔结构的应力状态、变形情况等关键参数，还需具备强大的数据分析与预警功能，能够及时发现潜在的安全隐患，为管理人员提供决策支持。同时，考虑到系统的长期运行与维护，设计时应注重系统的稳定性、可靠性和易用性，确保系统能够长期稳定运行，为台站的安全生产、安全播出提供坚实保障。</w:t>
      </w:r>
    </w:p>
    <w:bookmarkEnd w:id="18"/>
    <w:p w14:paraId="22D0E7DA">
      <w:pPr>
        <w:pStyle w:val="2"/>
        <w:numPr>
          <w:ilvl w:val="0"/>
          <w:numId w:val="0"/>
        </w:numPr>
        <w:bidi w:val="0"/>
        <w:ind w:left="432" w:leftChars="0" w:hanging="432" w:firstLineChars="0"/>
        <w:rPr>
          <w:rFonts w:hint="eastAsia"/>
          <w:lang w:val="en-US" w:eastAsia="zh-CN"/>
        </w:rPr>
      </w:pPr>
      <w:bookmarkStart w:id="19" w:name="_Toc352709745"/>
      <w:r>
        <w:rPr>
          <w:rFonts w:hint="eastAsia" w:cs="宋体"/>
          <w:b/>
          <w:kern w:val="44"/>
          <w:sz w:val="32"/>
          <w:szCs w:val="21"/>
          <w:lang w:val="en-US" w:eastAsia="zh-CN" w:bidi="ar-SA"/>
        </w:rPr>
        <w:t>三</w:t>
      </w:r>
      <w:r>
        <w:rPr>
          <w:rFonts w:hint="eastAsia" w:ascii="宋体" w:hAnsi="宋体" w:eastAsia="宋体" w:cs="宋体"/>
          <w:b/>
          <w:kern w:val="44"/>
          <w:sz w:val="32"/>
          <w:szCs w:val="21"/>
          <w:lang w:val="en-US" w:eastAsia="zh-CN" w:bidi="ar-SA"/>
        </w:rPr>
        <w:t>、</w:t>
      </w:r>
      <w:r>
        <w:rPr>
          <w:rFonts w:hint="eastAsia"/>
          <w:lang w:val="en-US" w:eastAsia="zh-CN"/>
        </w:rPr>
        <w:t>建设内容</w:t>
      </w:r>
    </w:p>
    <w:p w14:paraId="43D913A0">
      <w:pPr>
        <w:pStyle w:val="3"/>
        <w:numPr>
          <w:ilvl w:val="0"/>
          <w:numId w:val="0"/>
        </w:numPr>
        <w:bidi w:val="0"/>
        <w:ind w:left="575" w:leftChars="0" w:hanging="575" w:firstLineChars="0"/>
        <w:rPr>
          <w:rFonts w:hint="default"/>
          <w:lang w:val="en-US" w:eastAsia="zh-CN"/>
        </w:rPr>
      </w:pPr>
      <w:r>
        <w:rPr>
          <w:rFonts w:hint="eastAsia" w:cs="宋体"/>
          <w:b/>
          <w:kern w:val="2"/>
          <w:sz w:val="30"/>
          <w:szCs w:val="21"/>
          <w:lang w:val="en-US" w:eastAsia="zh-CN" w:bidi="ar-SA"/>
        </w:rPr>
        <w:t>3</w:t>
      </w:r>
      <w:r>
        <w:rPr>
          <w:rFonts w:hint="eastAsia" w:ascii="宋体" w:hAnsi="宋体" w:eastAsia="宋体" w:cs="宋体"/>
          <w:b/>
          <w:kern w:val="2"/>
          <w:sz w:val="30"/>
          <w:szCs w:val="21"/>
          <w:lang w:val="en-US" w:eastAsia="zh-CN" w:bidi="ar-SA"/>
        </w:rPr>
        <w:t>.1、</w:t>
      </w:r>
      <w:r>
        <w:rPr>
          <w:rFonts w:hint="eastAsia"/>
          <w:lang w:val="en-US" w:eastAsia="zh-CN"/>
        </w:rPr>
        <w:t>铁塔健康监测技术内容</w:t>
      </w:r>
    </w:p>
    <w:p w14:paraId="022CC009">
      <w:pPr>
        <w:pStyle w:val="105"/>
        <w:keepNext w:val="0"/>
        <w:keepLines w:val="0"/>
        <w:pageBreakBefore w:val="0"/>
        <w:widowControl w:val="0"/>
        <w:kinsoku/>
        <w:wordWrap/>
        <w:overflowPunct/>
        <w:topLinePunct w:val="0"/>
        <w:autoSpaceDE/>
        <w:autoSpaceDN/>
        <w:bidi w:val="0"/>
        <w:adjustRightInd/>
        <w:spacing w:line="360" w:lineRule="auto"/>
        <w:ind w:left="0" w:firstLineChars="0"/>
        <w:textAlignment w:val="auto"/>
        <w:rPr>
          <w:rFonts w:hint="default" w:ascii="宋体" w:hAnsi="宋体" w:cs="宋体"/>
          <w:sz w:val="24"/>
          <w:szCs w:val="24"/>
          <w:lang w:val="en-US" w:eastAsia="zh-CN"/>
        </w:rPr>
      </w:pPr>
      <w:r>
        <w:rPr>
          <w:rFonts w:hint="eastAsia" w:ascii="宋体" w:hAnsi="宋体" w:cs="宋体"/>
          <w:sz w:val="24"/>
          <w:szCs w:val="24"/>
          <w:lang w:val="en-US" w:eastAsia="zh-CN"/>
        </w:rPr>
        <w:t>本项目要求充分利用原有的系统平台，在原有的系统平台进行升级。需要有和原有系统良好对接或者升级改造的方案。</w:t>
      </w:r>
    </w:p>
    <w:p w14:paraId="0351694D">
      <w:pPr>
        <w:pStyle w:val="105"/>
        <w:keepNext w:val="0"/>
        <w:keepLines w:val="0"/>
        <w:pageBreakBefore w:val="0"/>
        <w:widowControl w:val="0"/>
        <w:kinsoku/>
        <w:wordWrap/>
        <w:overflowPunct/>
        <w:topLinePunct w:val="0"/>
        <w:autoSpaceDE/>
        <w:autoSpaceDN/>
        <w:bidi w:val="0"/>
        <w:adjustRightInd/>
        <w:spacing w:line="360" w:lineRule="auto"/>
        <w:ind w:left="0" w:firstLineChars="0"/>
        <w:textAlignment w:val="auto"/>
        <w:rPr>
          <w:rFonts w:hint="eastAsia" w:ascii="宋体" w:hAnsi="宋体" w:eastAsia="宋体" w:cs="宋体"/>
          <w:sz w:val="24"/>
          <w:szCs w:val="24"/>
        </w:rPr>
      </w:pPr>
      <w:r>
        <w:rPr>
          <w:rFonts w:hint="eastAsia" w:ascii="宋体" w:hAnsi="宋体" w:eastAsia="宋体" w:cs="宋体"/>
          <w:sz w:val="24"/>
          <w:szCs w:val="24"/>
        </w:rPr>
        <w:t>电视发射塔使用环境长期工作在风吹、日晒、雨淋等各种恶劣环境中,为了保障其结构的耐久性,适用性和安全性,除了在设计和施工的时候采用理论分析的方法,比如结构的可靠度等理论之外,还通过对结构或者构件采用健康监测的方法,对结构内部损伤的位置和损伤的程度进行检查,从而判断结构的健康状态，本次提出的铁塔监测系统,可以在铁塔日常使用过程中进行质量监控以及后续的健康状态维护,全面监测铁塔的各项数据,确保铁塔的长期稳定可靠的运行。本次的铁塔健康监测</w:t>
      </w:r>
      <w:r>
        <w:rPr>
          <w:rFonts w:hint="eastAsia" w:ascii="宋体" w:hAnsi="宋体" w:cs="宋体"/>
          <w:sz w:val="24"/>
          <w:szCs w:val="24"/>
          <w:lang w:eastAsia="zh-CN"/>
        </w:rPr>
        <w:t>要能够充分实时实现</w:t>
      </w:r>
      <w:r>
        <w:rPr>
          <w:rFonts w:hint="eastAsia" w:ascii="宋体" w:hAnsi="宋体" w:eastAsia="宋体" w:cs="宋体"/>
          <w:sz w:val="24"/>
          <w:szCs w:val="24"/>
        </w:rPr>
        <w:t>以下几点</w:t>
      </w:r>
      <w:r>
        <w:rPr>
          <w:rFonts w:hint="eastAsia" w:ascii="宋体" w:hAnsi="宋体" w:cs="宋体"/>
          <w:sz w:val="24"/>
          <w:szCs w:val="24"/>
          <w:lang w:eastAsia="zh-CN"/>
        </w:rPr>
        <w:t>技术要求</w:t>
      </w:r>
      <w:r>
        <w:rPr>
          <w:rFonts w:hint="eastAsia" w:ascii="宋体" w:hAnsi="宋体" w:eastAsia="宋体" w:cs="宋体"/>
          <w:sz w:val="24"/>
          <w:szCs w:val="24"/>
        </w:rPr>
        <w:t>：</w:t>
      </w:r>
    </w:p>
    <w:p w14:paraId="2938D14C">
      <w:pPr>
        <w:pStyle w:val="105"/>
        <w:keepNext w:val="0"/>
        <w:keepLines w:val="0"/>
        <w:pageBreakBefore w:val="0"/>
        <w:widowControl w:val="0"/>
        <w:numPr>
          <w:ilvl w:val="0"/>
          <w:numId w:val="5"/>
        </w:numPr>
        <w:kinsoku/>
        <w:wordWrap/>
        <w:overflowPunct/>
        <w:topLinePunct w:val="0"/>
        <w:autoSpaceDE/>
        <w:autoSpaceDN/>
        <w:bidi w:val="0"/>
        <w:adjustRightInd/>
        <w:spacing w:line="360" w:lineRule="auto"/>
        <w:ind w:firstLineChars="0"/>
        <w:textAlignment w:val="auto"/>
        <w:rPr>
          <w:rFonts w:hint="eastAsia" w:ascii="宋体" w:hAnsi="宋体" w:eastAsia="宋体" w:cs="宋体"/>
          <w:sz w:val="24"/>
          <w:szCs w:val="24"/>
        </w:rPr>
      </w:pPr>
      <w:r>
        <w:rPr>
          <w:rFonts w:hint="eastAsia" w:ascii="宋体" w:hAnsi="宋体" w:eastAsia="宋体" w:cs="宋体"/>
          <w:sz w:val="24"/>
          <w:szCs w:val="24"/>
        </w:rPr>
        <w:t>发射塔塔体倾斜变化监测；</w:t>
      </w:r>
    </w:p>
    <w:p w14:paraId="49EC1F90">
      <w:pPr>
        <w:pStyle w:val="105"/>
        <w:keepNext w:val="0"/>
        <w:keepLines w:val="0"/>
        <w:pageBreakBefore w:val="0"/>
        <w:widowControl w:val="0"/>
        <w:numPr>
          <w:ilvl w:val="0"/>
          <w:numId w:val="5"/>
        </w:numPr>
        <w:kinsoku/>
        <w:wordWrap/>
        <w:overflowPunct/>
        <w:topLinePunct w:val="0"/>
        <w:autoSpaceDE/>
        <w:autoSpaceDN/>
        <w:bidi w:val="0"/>
        <w:adjustRightInd/>
        <w:spacing w:line="360" w:lineRule="auto"/>
        <w:ind w:firstLineChars="0"/>
        <w:textAlignment w:val="auto"/>
        <w:rPr>
          <w:rFonts w:hint="eastAsia" w:ascii="宋体" w:hAnsi="宋体" w:eastAsia="宋体" w:cs="宋体"/>
          <w:sz w:val="24"/>
          <w:szCs w:val="24"/>
        </w:rPr>
      </w:pPr>
      <w:r>
        <w:rPr>
          <w:rFonts w:hint="eastAsia" w:ascii="宋体" w:hAnsi="宋体" w:eastAsia="宋体" w:cs="宋体"/>
          <w:sz w:val="24"/>
          <w:szCs w:val="24"/>
        </w:rPr>
        <w:t>发射塔振动周期变化监测；</w:t>
      </w:r>
    </w:p>
    <w:p w14:paraId="569A7AF1">
      <w:pPr>
        <w:pStyle w:val="105"/>
        <w:keepNext w:val="0"/>
        <w:keepLines w:val="0"/>
        <w:pageBreakBefore w:val="0"/>
        <w:widowControl w:val="0"/>
        <w:numPr>
          <w:ilvl w:val="0"/>
          <w:numId w:val="5"/>
        </w:numPr>
        <w:kinsoku/>
        <w:wordWrap/>
        <w:overflowPunct/>
        <w:topLinePunct w:val="0"/>
        <w:autoSpaceDE/>
        <w:autoSpaceDN/>
        <w:bidi w:val="0"/>
        <w:adjustRightInd/>
        <w:spacing w:line="360" w:lineRule="auto"/>
        <w:ind w:firstLineChars="0"/>
        <w:textAlignment w:val="auto"/>
        <w:rPr>
          <w:rFonts w:hint="eastAsia" w:ascii="宋体" w:hAnsi="宋体" w:eastAsia="宋体" w:cs="宋体"/>
          <w:sz w:val="24"/>
          <w:szCs w:val="24"/>
        </w:rPr>
      </w:pPr>
      <w:r>
        <w:rPr>
          <w:rFonts w:hint="eastAsia" w:ascii="宋体" w:hAnsi="宋体" w:eastAsia="宋体" w:cs="宋体"/>
          <w:sz w:val="24"/>
          <w:szCs w:val="24"/>
        </w:rPr>
        <w:t>发射塔最大受力段塔柱受力变化监测；</w:t>
      </w:r>
    </w:p>
    <w:p w14:paraId="4121E5FF">
      <w:pPr>
        <w:pStyle w:val="105"/>
        <w:keepNext w:val="0"/>
        <w:keepLines w:val="0"/>
        <w:pageBreakBefore w:val="0"/>
        <w:widowControl w:val="0"/>
        <w:numPr>
          <w:ilvl w:val="0"/>
          <w:numId w:val="5"/>
        </w:numPr>
        <w:kinsoku/>
        <w:wordWrap/>
        <w:overflowPunct/>
        <w:topLinePunct w:val="0"/>
        <w:autoSpaceDE/>
        <w:autoSpaceDN/>
        <w:bidi w:val="0"/>
        <w:adjustRightInd/>
        <w:spacing w:line="360" w:lineRule="auto"/>
        <w:ind w:firstLineChars="0"/>
        <w:textAlignment w:val="auto"/>
        <w:rPr>
          <w:rFonts w:hint="eastAsia" w:ascii="宋体" w:hAnsi="宋体" w:eastAsia="宋体" w:cs="宋体"/>
          <w:sz w:val="24"/>
          <w:szCs w:val="24"/>
        </w:rPr>
      </w:pPr>
      <w:r>
        <w:rPr>
          <w:rFonts w:hint="eastAsia" w:ascii="宋体" w:hAnsi="宋体" w:eastAsia="宋体" w:cs="宋体"/>
          <w:sz w:val="24"/>
          <w:szCs w:val="24"/>
        </w:rPr>
        <w:t>发射塔附近风速风向、温湿度监测</w:t>
      </w:r>
      <w:r>
        <w:rPr>
          <w:rFonts w:hint="eastAsia" w:ascii="宋体" w:hAnsi="宋体" w:cs="宋体"/>
          <w:sz w:val="24"/>
          <w:szCs w:val="24"/>
          <w:lang w:eastAsia="zh-CN"/>
        </w:rPr>
        <w:t>；</w:t>
      </w:r>
    </w:p>
    <w:p w14:paraId="6AEC28EC">
      <w:pPr>
        <w:pStyle w:val="105"/>
        <w:keepNext w:val="0"/>
        <w:keepLines w:val="0"/>
        <w:pageBreakBefore w:val="0"/>
        <w:widowControl w:val="0"/>
        <w:numPr>
          <w:ilvl w:val="0"/>
          <w:numId w:val="5"/>
        </w:numPr>
        <w:kinsoku/>
        <w:wordWrap/>
        <w:overflowPunct/>
        <w:topLinePunct w:val="0"/>
        <w:autoSpaceDE/>
        <w:autoSpaceDN/>
        <w:bidi w:val="0"/>
        <w:adjustRightInd/>
        <w:spacing w:line="360" w:lineRule="auto"/>
        <w:ind w:firstLineChars="0"/>
        <w:textAlignment w:val="auto"/>
        <w:rPr>
          <w:rFonts w:hint="eastAsia" w:ascii="宋体" w:hAnsi="宋体" w:eastAsia="宋体" w:cs="宋体"/>
          <w:sz w:val="24"/>
          <w:szCs w:val="24"/>
        </w:rPr>
      </w:pPr>
      <w:r>
        <w:rPr>
          <w:rFonts w:hint="eastAsia" w:ascii="宋体" w:hAnsi="宋体" w:eastAsia="宋体" w:cs="宋体"/>
          <w:sz w:val="24"/>
          <w:szCs w:val="24"/>
        </w:rPr>
        <w:t>发射塔基础沉降监测；</w:t>
      </w:r>
    </w:p>
    <w:p w14:paraId="72347702">
      <w:pPr>
        <w:pStyle w:val="105"/>
        <w:keepNext w:val="0"/>
        <w:keepLines w:val="0"/>
        <w:pageBreakBefore w:val="0"/>
        <w:widowControl w:val="0"/>
        <w:numPr>
          <w:ilvl w:val="0"/>
          <w:numId w:val="5"/>
        </w:numPr>
        <w:kinsoku/>
        <w:wordWrap/>
        <w:overflowPunct/>
        <w:topLinePunct w:val="0"/>
        <w:autoSpaceDE/>
        <w:autoSpaceDN/>
        <w:bidi w:val="0"/>
        <w:adjustRightInd/>
        <w:spacing w:line="360" w:lineRule="auto"/>
        <w:ind w:firstLineChars="0"/>
        <w:textAlignment w:val="auto"/>
        <w:rPr>
          <w:rFonts w:hint="eastAsia" w:ascii="宋体" w:hAnsi="宋体" w:eastAsia="宋体" w:cs="宋体"/>
          <w:sz w:val="24"/>
          <w:szCs w:val="24"/>
        </w:rPr>
      </w:pPr>
      <w:r>
        <w:rPr>
          <w:rFonts w:hint="eastAsia" w:ascii="宋体" w:hAnsi="宋体" w:eastAsia="宋体" w:cs="宋体"/>
          <w:sz w:val="24"/>
          <w:szCs w:val="24"/>
        </w:rPr>
        <w:t>发射塔摄像头监测；</w:t>
      </w:r>
    </w:p>
    <w:p w14:paraId="762A9DCD">
      <w:pPr>
        <w:pStyle w:val="105"/>
        <w:keepNext w:val="0"/>
        <w:keepLines w:val="0"/>
        <w:pageBreakBefore w:val="0"/>
        <w:widowControl w:val="0"/>
        <w:numPr>
          <w:ilvl w:val="0"/>
          <w:numId w:val="5"/>
        </w:numPr>
        <w:kinsoku/>
        <w:wordWrap/>
        <w:overflowPunct/>
        <w:topLinePunct w:val="0"/>
        <w:autoSpaceDE/>
        <w:autoSpaceDN/>
        <w:bidi w:val="0"/>
        <w:adjustRightInd/>
        <w:spacing w:line="360" w:lineRule="auto"/>
        <w:ind w:firstLineChars="0"/>
        <w:textAlignment w:val="auto"/>
        <w:rPr>
          <w:rFonts w:hint="eastAsia" w:ascii="宋体" w:hAnsi="宋体" w:eastAsia="宋体" w:cs="宋体"/>
          <w:sz w:val="24"/>
          <w:szCs w:val="24"/>
        </w:rPr>
      </w:pPr>
      <w:r>
        <w:rPr>
          <w:rFonts w:hint="eastAsia" w:ascii="宋体" w:hAnsi="宋体" w:eastAsia="宋体" w:cs="宋体"/>
          <w:sz w:val="24"/>
          <w:szCs w:val="24"/>
        </w:rPr>
        <w:t>监测数据集中显示到监测平台；</w:t>
      </w:r>
    </w:p>
    <w:bookmarkEnd w:id="19"/>
    <w:p w14:paraId="22CC6B38">
      <w:pPr>
        <w:pStyle w:val="2"/>
        <w:numPr>
          <w:ilvl w:val="0"/>
          <w:numId w:val="0"/>
        </w:numPr>
        <w:bidi w:val="0"/>
        <w:ind w:left="432" w:leftChars="0" w:hanging="432" w:firstLineChars="0"/>
        <w:rPr>
          <w:rFonts w:hint="default"/>
          <w:lang w:val="en-US" w:eastAsia="zh-CN"/>
        </w:rPr>
      </w:pPr>
      <w:r>
        <w:rPr>
          <w:rFonts w:hint="eastAsia" w:cs="宋体"/>
          <w:b/>
          <w:kern w:val="44"/>
          <w:sz w:val="32"/>
          <w:szCs w:val="21"/>
          <w:lang w:val="en-US" w:eastAsia="zh-CN" w:bidi="ar-SA"/>
        </w:rPr>
        <w:t>3.2</w:t>
      </w:r>
      <w:r>
        <w:rPr>
          <w:rFonts w:hint="eastAsia" w:ascii="宋体" w:hAnsi="宋体" w:eastAsia="宋体" w:cs="宋体"/>
          <w:b/>
          <w:kern w:val="44"/>
          <w:sz w:val="32"/>
          <w:szCs w:val="21"/>
          <w:lang w:val="en-US" w:eastAsia="zh-CN" w:bidi="ar-SA"/>
        </w:rPr>
        <w:t>、</w:t>
      </w:r>
      <w:r>
        <w:rPr>
          <w:rFonts w:hint="eastAsia"/>
          <w:lang w:val="en-US" w:eastAsia="zh-CN"/>
        </w:rPr>
        <w:t>技术要求</w:t>
      </w:r>
    </w:p>
    <w:tbl>
      <w:tblPr>
        <w:tblStyle w:val="3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3101"/>
        <w:gridCol w:w="5236"/>
      </w:tblGrid>
      <w:tr w14:paraId="0F1E4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450" w:type="pct"/>
            <w:noWrap/>
            <w:vAlign w:val="center"/>
          </w:tcPr>
          <w:p w14:paraId="51C5813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序号</w:t>
            </w:r>
          </w:p>
        </w:tc>
        <w:tc>
          <w:tcPr>
            <w:tcW w:w="1692" w:type="pct"/>
            <w:noWrap/>
            <w:vAlign w:val="center"/>
          </w:tcPr>
          <w:p w14:paraId="67D168C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货物名称</w:t>
            </w:r>
          </w:p>
        </w:tc>
        <w:tc>
          <w:tcPr>
            <w:tcW w:w="2857" w:type="pct"/>
            <w:noWrap/>
            <w:vAlign w:val="center"/>
          </w:tcPr>
          <w:p w14:paraId="28A5B13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技术要求</w:t>
            </w:r>
          </w:p>
        </w:tc>
      </w:tr>
      <w:tr w14:paraId="56390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450" w:type="pct"/>
            <w:noWrap/>
            <w:vAlign w:val="center"/>
          </w:tcPr>
          <w:p w14:paraId="3DBE04D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1</w:t>
            </w:r>
          </w:p>
        </w:tc>
        <w:tc>
          <w:tcPr>
            <w:tcW w:w="1692" w:type="pct"/>
            <w:noWrap/>
            <w:vAlign w:val="center"/>
          </w:tcPr>
          <w:p w14:paraId="775EC38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塔体倾斜监测</w:t>
            </w:r>
          </w:p>
        </w:tc>
        <w:tc>
          <w:tcPr>
            <w:tcW w:w="2857" w:type="pct"/>
            <w:noWrap w:val="0"/>
            <w:vAlign w:val="center"/>
          </w:tcPr>
          <w:p w14:paraId="4775FAC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要求测量范围大于等于±30°</w:t>
            </w:r>
            <w:r>
              <w:rPr>
                <w:rFonts w:hint="eastAsia"/>
                <w:lang w:val="en-US" w:eastAsia="zh-CN"/>
              </w:rPr>
              <w:br w:type="textWrapping"/>
            </w:r>
            <w:r>
              <w:rPr>
                <w:rFonts w:hint="eastAsia"/>
                <w:lang w:val="en-US" w:eastAsia="zh-CN"/>
              </w:rPr>
              <w:t>分辨率0.01°</w:t>
            </w:r>
            <w:r>
              <w:rPr>
                <w:rFonts w:hint="eastAsia"/>
                <w:lang w:val="en-US" w:eastAsia="zh-CN"/>
              </w:rPr>
              <w:br w:type="textWrapping"/>
            </w:r>
            <w:r>
              <w:rPr>
                <w:rFonts w:hint="eastAsia"/>
                <w:lang w:val="en-US" w:eastAsia="zh-CN"/>
              </w:rPr>
              <w:t>使用温度-40℃～+80℃</w:t>
            </w:r>
            <w:r>
              <w:rPr>
                <w:rFonts w:hint="eastAsia"/>
                <w:lang w:val="en-US" w:eastAsia="zh-CN"/>
              </w:rPr>
              <w:br w:type="textWrapping"/>
            </w:r>
            <w:r>
              <w:rPr>
                <w:rFonts w:hint="eastAsia"/>
                <w:lang w:val="en-US" w:eastAsia="zh-CN"/>
              </w:rPr>
              <w:t>采样频率大于等于10Hz。</w:t>
            </w:r>
          </w:p>
        </w:tc>
      </w:tr>
      <w:tr w14:paraId="4C7C1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450" w:type="pct"/>
            <w:noWrap/>
            <w:vAlign w:val="center"/>
          </w:tcPr>
          <w:p w14:paraId="6B908D3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2</w:t>
            </w:r>
          </w:p>
        </w:tc>
        <w:tc>
          <w:tcPr>
            <w:tcW w:w="1692" w:type="pct"/>
            <w:noWrap/>
            <w:vAlign w:val="center"/>
          </w:tcPr>
          <w:p w14:paraId="0DC0304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塔体震动周期监测</w:t>
            </w:r>
          </w:p>
        </w:tc>
        <w:tc>
          <w:tcPr>
            <w:tcW w:w="2857" w:type="pct"/>
            <w:noWrap w:val="0"/>
            <w:vAlign w:val="center"/>
          </w:tcPr>
          <w:p w14:paraId="4B219BB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要求测量范围0-2.5g</w:t>
            </w:r>
            <w:r>
              <w:rPr>
                <w:rFonts w:hint="eastAsia"/>
                <w:lang w:val="en-US" w:eastAsia="zh-CN"/>
              </w:rPr>
              <w:br w:type="textWrapping"/>
            </w:r>
            <w:r>
              <w:rPr>
                <w:rFonts w:hint="eastAsia"/>
                <w:lang w:val="en-US" w:eastAsia="zh-CN"/>
              </w:rPr>
              <w:t>分辨率0.01g</w:t>
            </w:r>
            <w:r>
              <w:rPr>
                <w:rFonts w:hint="eastAsia"/>
                <w:lang w:val="en-US" w:eastAsia="zh-CN"/>
              </w:rPr>
              <w:br w:type="textWrapping"/>
            </w:r>
            <w:r>
              <w:rPr>
                <w:rFonts w:hint="eastAsia"/>
                <w:lang w:val="en-US" w:eastAsia="zh-CN"/>
              </w:rPr>
              <w:t>使用温度-40℃～+80℃</w:t>
            </w:r>
            <w:r>
              <w:rPr>
                <w:rFonts w:hint="eastAsia"/>
                <w:lang w:val="en-US" w:eastAsia="zh-CN"/>
              </w:rPr>
              <w:br w:type="textWrapping"/>
            </w:r>
            <w:r>
              <w:rPr>
                <w:rFonts w:hint="eastAsia"/>
                <w:lang w:val="en-US" w:eastAsia="zh-CN"/>
              </w:rPr>
              <w:t>采样频率大于等于10Hz。</w:t>
            </w:r>
          </w:p>
        </w:tc>
      </w:tr>
      <w:tr w14:paraId="2B911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450" w:type="pct"/>
            <w:noWrap/>
            <w:vAlign w:val="center"/>
          </w:tcPr>
          <w:p w14:paraId="5FF6A54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3</w:t>
            </w:r>
          </w:p>
        </w:tc>
        <w:tc>
          <w:tcPr>
            <w:tcW w:w="1692" w:type="pct"/>
            <w:noWrap/>
            <w:vAlign w:val="center"/>
          </w:tcPr>
          <w:p w14:paraId="154C60D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杆件应力监测</w:t>
            </w:r>
          </w:p>
        </w:tc>
        <w:tc>
          <w:tcPr>
            <w:tcW w:w="2857" w:type="pct"/>
            <w:noWrap w:val="0"/>
            <w:vAlign w:val="center"/>
          </w:tcPr>
          <w:p w14:paraId="36AE195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要求测量范围0-100000KN</w:t>
            </w:r>
            <w:r>
              <w:rPr>
                <w:rFonts w:hint="eastAsia"/>
                <w:lang w:val="en-US" w:eastAsia="zh-CN"/>
              </w:rPr>
              <w:br w:type="textWrapping"/>
            </w:r>
            <w:r>
              <w:rPr>
                <w:rFonts w:hint="eastAsia"/>
                <w:lang w:val="en-US" w:eastAsia="zh-CN"/>
              </w:rPr>
              <w:t>测量精度0.01KN</w:t>
            </w:r>
            <w:r>
              <w:rPr>
                <w:rFonts w:hint="eastAsia"/>
                <w:lang w:val="en-US" w:eastAsia="zh-CN"/>
              </w:rPr>
              <w:br w:type="textWrapping"/>
            </w:r>
            <w:r>
              <w:rPr>
                <w:rFonts w:hint="eastAsia"/>
                <w:lang w:val="en-US" w:eastAsia="zh-CN"/>
              </w:rPr>
              <w:t>使用温度-40℃～+80℃</w:t>
            </w:r>
            <w:r>
              <w:rPr>
                <w:rFonts w:hint="eastAsia"/>
                <w:lang w:val="en-US" w:eastAsia="zh-CN"/>
              </w:rPr>
              <w:br w:type="textWrapping"/>
            </w:r>
            <w:r>
              <w:rPr>
                <w:rFonts w:hint="eastAsia"/>
                <w:lang w:val="en-US" w:eastAsia="zh-CN"/>
              </w:rPr>
              <w:t>采样频率大于等于1Hz。</w:t>
            </w:r>
          </w:p>
        </w:tc>
      </w:tr>
      <w:tr w14:paraId="1F280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0" w:type="pct"/>
            <w:noWrap/>
            <w:vAlign w:val="center"/>
          </w:tcPr>
          <w:p w14:paraId="7CC306F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4</w:t>
            </w:r>
          </w:p>
        </w:tc>
        <w:tc>
          <w:tcPr>
            <w:tcW w:w="1692" w:type="pct"/>
            <w:noWrap/>
            <w:vAlign w:val="center"/>
          </w:tcPr>
          <w:p w14:paraId="7938C5D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室外环境监测</w:t>
            </w:r>
          </w:p>
        </w:tc>
        <w:tc>
          <w:tcPr>
            <w:tcW w:w="2857" w:type="pct"/>
            <w:noWrap w:val="0"/>
            <w:vAlign w:val="center"/>
          </w:tcPr>
          <w:p w14:paraId="4C7FCCA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系统采用四要素气象站对铁塔周围环境风速、风向、温度、湿度进行监测</w:t>
            </w:r>
            <w:r>
              <w:rPr>
                <w:rFonts w:hint="eastAsia"/>
                <w:lang w:val="en-US" w:eastAsia="zh-CN"/>
              </w:rPr>
              <w:br w:type="textWrapping"/>
            </w:r>
            <w:r>
              <w:rPr>
                <w:rFonts w:hint="eastAsia"/>
                <w:lang w:val="en-US" w:eastAsia="zh-CN"/>
              </w:rPr>
              <w:t>要求测量范围0-70m/s</w:t>
            </w:r>
            <w:r>
              <w:rPr>
                <w:rFonts w:hint="eastAsia"/>
                <w:lang w:val="en-US" w:eastAsia="zh-CN"/>
              </w:rPr>
              <w:br w:type="textWrapping"/>
            </w:r>
            <w:r>
              <w:rPr>
                <w:rFonts w:hint="eastAsia"/>
                <w:lang w:val="en-US" w:eastAsia="zh-CN"/>
              </w:rPr>
              <w:t>精度0.1m/s</w:t>
            </w:r>
            <w:r>
              <w:rPr>
                <w:rFonts w:hint="eastAsia"/>
                <w:lang w:val="en-US" w:eastAsia="zh-CN"/>
              </w:rPr>
              <w:br w:type="textWrapping"/>
            </w:r>
            <w:r>
              <w:rPr>
                <w:rFonts w:hint="eastAsia"/>
                <w:lang w:val="en-US" w:eastAsia="zh-CN"/>
              </w:rPr>
              <w:t>风向精度0.1°</w:t>
            </w:r>
            <w:r>
              <w:rPr>
                <w:rFonts w:hint="eastAsia"/>
                <w:lang w:val="en-US" w:eastAsia="zh-CN"/>
              </w:rPr>
              <w:br w:type="textWrapping"/>
            </w:r>
            <w:r>
              <w:rPr>
                <w:rFonts w:hint="eastAsia"/>
                <w:lang w:val="en-US" w:eastAsia="zh-CN"/>
              </w:rPr>
              <w:t>使用温度-40℃～+80℃</w:t>
            </w:r>
            <w:r>
              <w:rPr>
                <w:rFonts w:hint="eastAsia"/>
                <w:lang w:val="en-US" w:eastAsia="zh-CN"/>
              </w:rPr>
              <w:br w:type="textWrapping"/>
            </w:r>
            <w:r>
              <w:rPr>
                <w:rFonts w:hint="eastAsia"/>
                <w:lang w:val="en-US" w:eastAsia="zh-CN"/>
              </w:rPr>
              <w:t>采样频率大于等于1Hz</w:t>
            </w:r>
          </w:p>
        </w:tc>
      </w:tr>
      <w:tr w14:paraId="4C506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450" w:type="pct"/>
            <w:noWrap/>
            <w:vAlign w:val="center"/>
          </w:tcPr>
          <w:p w14:paraId="17FFDB2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5</w:t>
            </w:r>
          </w:p>
        </w:tc>
        <w:tc>
          <w:tcPr>
            <w:tcW w:w="1692" w:type="pct"/>
            <w:noWrap/>
            <w:vAlign w:val="center"/>
          </w:tcPr>
          <w:p w14:paraId="1453736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基础沉降监测</w:t>
            </w:r>
          </w:p>
        </w:tc>
        <w:tc>
          <w:tcPr>
            <w:tcW w:w="2857" w:type="pct"/>
            <w:noWrap w:val="0"/>
            <w:vAlign w:val="center"/>
          </w:tcPr>
          <w:p w14:paraId="7F22136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要求量程大于1000mm</w:t>
            </w:r>
            <w:r>
              <w:rPr>
                <w:rFonts w:hint="eastAsia"/>
                <w:lang w:val="en-US" w:eastAsia="zh-CN"/>
              </w:rPr>
              <w:br w:type="textWrapping"/>
            </w:r>
            <w:r>
              <w:rPr>
                <w:rFonts w:hint="eastAsia"/>
                <w:lang w:val="en-US" w:eastAsia="zh-CN"/>
              </w:rPr>
              <w:t>测量精度0.1mm</w:t>
            </w:r>
            <w:r>
              <w:rPr>
                <w:rFonts w:hint="eastAsia"/>
                <w:lang w:val="en-US" w:eastAsia="zh-CN"/>
              </w:rPr>
              <w:br w:type="textWrapping"/>
            </w:r>
            <w:r>
              <w:rPr>
                <w:rFonts w:hint="eastAsia"/>
                <w:lang w:val="en-US" w:eastAsia="zh-CN"/>
              </w:rPr>
              <w:t>使用温度-40℃～+80℃</w:t>
            </w:r>
            <w:r>
              <w:rPr>
                <w:rFonts w:hint="eastAsia"/>
                <w:lang w:val="en-US" w:eastAsia="zh-CN"/>
              </w:rPr>
              <w:br w:type="textWrapping"/>
            </w:r>
            <w:r>
              <w:rPr>
                <w:rFonts w:hint="eastAsia"/>
                <w:lang w:val="en-US" w:eastAsia="zh-CN"/>
              </w:rPr>
              <w:t>采样频率大于等于1Hz。</w:t>
            </w:r>
          </w:p>
        </w:tc>
      </w:tr>
      <w:tr w14:paraId="26059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7" w:hRule="atLeast"/>
        </w:trPr>
        <w:tc>
          <w:tcPr>
            <w:tcW w:w="450" w:type="pct"/>
            <w:noWrap/>
            <w:vAlign w:val="center"/>
          </w:tcPr>
          <w:p w14:paraId="158A27E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6</w:t>
            </w:r>
          </w:p>
        </w:tc>
        <w:tc>
          <w:tcPr>
            <w:tcW w:w="1692" w:type="pct"/>
            <w:noWrap/>
            <w:vAlign w:val="center"/>
          </w:tcPr>
          <w:p w14:paraId="1F5DFE2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室外铁塔视频监测</w:t>
            </w:r>
          </w:p>
        </w:tc>
        <w:tc>
          <w:tcPr>
            <w:tcW w:w="2857" w:type="pct"/>
            <w:noWrap w:val="0"/>
            <w:vAlign w:val="center"/>
          </w:tcPr>
          <w:p w14:paraId="01C8DDB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400万高清摄像头</w:t>
            </w:r>
            <w:r>
              <w:rPr>
                <w:rFonts w:hint="eastAsia"/>
                <w:lang w:val="en-US" w:eastAsia="zh-CN"/>
              </w:rPr>
              <w:br w:type="textWrapping"/>
            </w:r>
            <w:r>
              <w:rPr>
                <w:rFonts w:hint="eastAsia"/>
                <w:lang w:val="en-US" w:eastAsia="zh-CN"/>
              </w:rPr>
              <w:t>最高分辨率可达2560×1440@25fps,在该分辨率下可输出实时图像</w:t>
            </w:r>
            <w:r>
              <w:rPr>
                <w:rFonts w:hint="eastAsia"/>
                <w:lang w:val="en-US" w:eastAsia="zh-CN"/>
              </w:rPr>
              <w:br w:type="textWrapping"/>
            </w:r>
            <w:r>
              <w:rPr>
                <w:rFonts w:hint="eastAsia"/>
                <w:lang w:val="en-US" w:eastAsia="zh-CN"/>
              </w:rPr>
              <w:t>码流平滑设置,适应不同场景下对图像质量,流畅性的不同要求</w:t>
            </w:r>
            <w:r>
              <w:rPr>
                <w:rFonts w:hint="eastAsia"/>
                <w:lang w:val="en-US" w:eastAsia="zh-CN"/>
              </w:rPr>
              <w:br w:type="textWrapping"/>
            </w:r>
            <w:r>
              <w:rPr>
                <w:rFonts w:hint="eastAsia"/>
                <w:lang w:val="en-US" w:eastAsia="zh-CN"/>
              </w:rPr>
              <w:t>支持GBK字库，支持更多汉字及生僻字叠加</w:t>
            </w:r>
            <w:r>
              <w:rPr>
                <w:rFonts w:hint="eastAsia"/>
                <w:lang w:val="en-US" w:eastAsia="zh-CN"/>
              </w:rPr>
              <w:br w:type="textWrapping"/>
            </w:r>
            <w:r>
              <w:rPr>
                <w:rFonts w:hint="eastAsia"/>
                <w:lang w:val="en-US" w:eastAsia="zh-CN"/>
              </w:rPr>
              <w:t>支持OSD颜色自选</w:t>
            </w:r>
            <w:r>
              <w:rPr>
                <w:rFonts w:hint="eastAsia"/>
                <w:lang w:val="en-US" w:eastAsia="zh-CN"/>
              </w:rPr>
              <w:br w:type="textWrapping"/>
            </w:r>
            <w:r>
              <w:rPr>
                <w:rFonts w:hint="eastAsia"/>
                <w:lang w:val="en-US" w:eastAsia="zh-CN"/>
              </w:rPr>
              <w:t>支持3D数字降噪,支持120dB宽动态</w:t>
            </w:r>
            <w:r>
              <w:rPr>
                <w:rFonts w:hint="eastAsia"/>
                <w:lang w:val="en-US" w:eastAsia="zh-CN"/>
              </w:rPr>
              <w:br w:type="textWrapping"/>
            </w:r>
            <w:r>
              <w:rPr>
                <w:rFonts w:hint="eastAsia"/>
                <w:lang w:val="en-US" w:eastAsia="zh-CN"/>
              </w:rPr>
              <w:t>支持背光补偿,适应不同监控环境</w:t>
            </w:r>
            <w:r>
              <w:rPr>
                <w:rFonts w:hint="eastAsia"/>
                <w:lang w:val="en-US" w:eastAsia="zh-CN"/>
              </w:rPr>
              <w:br w:type="textWrapping"/>
            </w:r>
            <w:r>
              <w:rPr>
                <w:rFonts w:hint="eastAsia"/>
                <w:lang w:val="en-US" w:eastAsia="zh-CN"/>
              </w:rPr>
              <w:t>支持日夜两套参数独立配置</w:t>
            </w:r>
            <w:r>
              <w:rPr>
                <w:rFonts w:hint="eastAsia"/>
                <w:lang w:val="en-US" w:eastAsia="zh-CN"/>
              </w:rPr>
              <w:br w:type="textWrapping"/>
            </w:r>
            <w:r>
              <w:rPr>
                <w:rFonts w:hint="eastAsia"/>
                <w:lang w:val="en-US" w:eastAsia="zh-CN"/>
              </w:rPr>
              <w:t>红外功能</w:t>
            </w:r>
            <w:r>
              <w:rPr>
                <w:rFonts w:hint="eastAsia"/>
                <w:lang w:val="en-US" w:eastAsia="zh-CN"/>
              </w:rPr>
              <w:br w:type="textWrapping"/>
            </w:r>
            <w:r>
              <w:rPr>
                <w:rFonts w:hint="eastAsia"/>
                <w:lang w:val="en-US" w:eastAsia="zh-CN"/>
              </w:rPr>
              <w:t>高效阵列红外灯,使用寿命长,照射距离最远可达10米</w:t>
            </w:r>
            <w:r>
              <w:rPr>
                <w:rFonts w:hint="eastAsia"/>
                <w:lang w:val="en-US" w:eastAsia="zh-CN"/>
              </w:rPr>
              <w:br w:type="textWrapping"/>
            </w:r>
            <w:r>
              <w:rPr>
                <w:rFonts w:hint="eastAsia"/>
                <w:lang w:val="en-US" w:eastAsia="zh-CN"/>
              </w:rPr>
              <w:t>支持SmartIR,防止夜间红外过曝</w:t>
            </w:r>
            <w:r>
              <w:rPr>
                <w:rFonts w:hint="eastAsia"/>
                <w:lang w:val="en-US" w:eastAsia="zh-CN"/>
              </w:rPr>
              <w:br w:type="textWrapping"/>
            </w:r>
            <w:r>
              <w:rPr>
                <w:rFonts w:hint="eastAsia"/>
                <w:lang w:val="en-US" w:eastAsia="zh-CN"/>
              </w:rPr>
              <w:t>ICR红外滤片式自动切换,实现真正的日夜监控</w:t>
            </w:r>
            <w:r>
              <w:rPr>
                <w:rFonts w:hint="eastAsia"/>
                <w:lang w:val="en-US" w:eastAsia="zh-CN"/>
              </w:rPr>
              <w:br w:type="textWrapping"/>
            </w:r>
            <w:r>
              <w:rPr>
                <w:rFonts w:hint="eastAsia"/>
                <w:lang w:val="en-US" w:eastAsia="zh-CN"/>
              </w:rPr>
              <w:t>Smart功能</w:t>
            </w:r>
            <w:r>
              <w:rPr>
                <w:rFonts w:hint="eastAsia"/>
                <w:lang w:val="en-US" w:eastAsia="zh-CN"/>
              </w:rPr>
              <w:br w:type="textWrapping"/>
            </w:r>
            <w:r>
              <w:rPr>
                <w:rFonts w:hint="eastAsia"/>
                <w:lang w:val="en-US" w:eastAsia="zh-CN"/>
              </w:rPr>
              <w:t>Smart侦测:6项行为分析,1项异常侦测,1项识别检测</w:t>
            </w:r>
            <w:r>
              <w:rPr>
                <w:rFonts w:hint="eastAsia"/>
                <w:lang w:val="en-US" w:eastAsia="zh-CN"/>
              </w:rPr>
              <w:br w:type="textWrapping"/>
            </w:r>
            <w:r>
              <w:rPr>
                <w:rFonts w:hint="eastAsia"/>
                <w:lang w:val="en-US" w:eastAsia="zh-CN"/>
              </w:rPr>
              <w:t>Smart编码:支持低码率,低延时,ROI感兴趣区域增强编码,SVC自适应编码技术,支持Smart265编码,可根据场景情况自适应调整码率分配,有效节省存储成本</w:t>
            </w:r>
            <w:r>
              <w:rPr>
                <w:rFonts w:hint="eastAsia"/>
                <w:lang w:val="en-US" w:eastAsia="zh-CN"/>
              </w:rPr>
              <w:br w:type="textWrapping"/>
            </w:r>
            <w:r>
              <w:rPr>
                <w:rFonts w:hint="eastAsia"/>
                <w:lang w:val="en-US" w:eastAsia="zh-CN"/>
              </w:rPr>
              <w:t>系统功能</w:t>
            </w:r>
            <w:r>
              <w:rPr>
                <w:rFonts w:hint="eastAsia"/>
                <w:lang w:val="en-US" w:eastAsia="zh-CN"/>
              </w:rPr>
              <w:br w:type="textWrapping"/>
            </w:r>
            <w:r>
              <w:rPr>
                <w:rFonts w:hint="eastAsia"/>
                <w:lang w:val="en-US" w:eastAsia="zh-CN"/>
              </w:rPr>
              <w:t>支持ONVIF(PROFILES),ISAPI,GB28181,Ehome接入,支持萤石云平台接入</w:t>
            </w:r>
            <w:r>
              <w:rPr>
                <w:rFonts w:hint="eastAsia"/>
                <w:lang w:val="en-US" w:eastAsia="zh-CN"/>
              </w:rPr>
              <w:br w:type="textWrapping"/>
            </w:r>
            <w:r>
              <w:rPr>
                <w:rFonts w:hint="eastAsia"/>
                <w:lang w:val="en-US" w:eastAsia="zh-CN"/>
              </w:rPr>
              <w:t>支持心跳,镜像等功能</w:t>
            </w:r>
            <w:r>
              <w:rPr>
                <w:rFonts w:hint="eastAsia"/>
                <w:lang w:val="en-US" w:eastAsia="zh-CN"/>
              </w:rPr>
              <w:br w:type="textWrapping"/>
            </w:r>
            <w:r>
              <w:rPr>
                <w:rFonts w:hint="eastAsia"/>
                <w:lang w:val="en-US" w:eastAsia="zh-CN"/>
              </w:rPr>
              <w:t>支持IP67级防尘防水,可靠性高</w:t>
            </w:r>
            <w:r>
              <w:rPr>
                <w:rFonts w:hint="eastAsia"/>
                <w:lang w:val="en-US" w:eastAsia="zh-CN"/>
              </w:rPr>
              <w:br w:type="textWrapping"/>
            </w:r>
            <w:r>
              <w:rPr>
                <w:rFonts w:hint="eastAsia"/>
                <w:lang w:val="en-US" w:eastAsia="zh-CN"/>
              </w:rPr>
              <w:t>安全服务</w:t>
            </w:r>
            <w:r>
              <w:rPr>
                <w:rFonts w:hint="eastAsia"/>
                <w:lang w:val="en-US" w:eastAsia="zh-CN"/>
              </w:rPr>
              <w:br w:type="textWrapping"/>
            </w:r>
            <w:r>
              <w:rPr>
                <w:rFonts w:hint="eastAsia"/>
                <w:lang w:val="en-US" w:eastAsia="zh-CN"/>
              </w:rPr>
              <w:t>支持三级用户权限管理,支持授权的用户和密码,支持IP地址过滤</w:t>
            </w:r>
            <w:r>
              <w:rPr>
                <w:rFonts w:hint="eastAsia"/>
                <w:lang w:val="en-US" w:eastAsia="zh-CN"/>
              </w:rPr>
              <w:br w:type="textWrapping"/>
            </w:r>
            <w:r>
              <w:rPr>
                <w:rFonts w:hint="eastAsia"/>
                <w:lang w:val="en-US" w:eastAsia="zh-CN"/>
              </w:rPr>
              <w:t>支持HTTPS等安全认证,支持创建证书</w:t>
            </w:r>
            <w:r>
              <w:rPr>
                <w:rFonts w:hint="eastAsia"/>
                <w:lang w:val="en-US" w:eastAsia="zh-CN"/>
              </w:rPr>
              <w:br w:type="textWrapping"/>
            </w:r>
            <w:r>
              <w:rPr>
                <w:rFonts w:hint="eastAsia"/>
                <w:lang w:val="en-US" w:eastAsia="zh-CN"/>
              </w:rPr>
              <w:t>设备初次使用需设置密码,保障密码安全</w:t>
            </w:r>
            <w:r>
              <w:rPr>
                <w:rFonts w:hint="eastAsia"/>
                <w:lang w:val="en-US" w:eastAsia="zh-CN"/>
              </w:rPr>
              <w:br w:type="textWrapping"/>
            </w:r>
            <w:r>
              <w:rPr>
                <w:rFonts w:hint="eastAsia"/>
                <w:lang w:val="en-US" w:eastAsia="zh-CN"/>
              </w:rPr>
              <w:t>支持用户登录锁定机制</w:t>
            </w:r>
          </w:p>
        </w:tc>
      </w:tr>
      <w:tr w14:paraId="62FD8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450" w:type="pct"/>
            <w:noWrap/>
            <w:vAlign w:val="center"/>
          </w:tcPr>
          <w:p w14:paraId="4DE36B7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7</w:t>
            </w:r>
          </w:p>
        </w:tc>
        <w:tc>
          <w:tcPr>
            <w:tcW w:w="1692" w:type="pct"/>
            <w:noWrap/>
            <w:vAlign w:val="center"/>
          </w:tcPr>
          <w:p w14:paraId="517A21E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塔脚螺栓松动监测</w:t>
            </w:r>
          </w:p>
        </w:tc>
        <w:tc>
          <w:tcPr>
            <w:tcW w:w="2857" w:type="pct"/>
            <w:noWrap w:val="0"/>
            <w:vAlign w:val="center"/>
          </w:tcPr>
          <w:p w14:paraId="3219B45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精度(25℃)：0.1°(MAX)</w:t>
            </w:r>
            <w:r>
              <w:rPr>
                <w:rFonts w:hint="eastAsia"/>
                <w:lang w:val="en-US" w:eastAsia="zh-CN"/>
              </w:rPr>
              <w:br w:type="textWrapping"/>
            </w:r>
            <w:r>
              <w:rPr>
                <w:rFonts w:hint="eastAsia"/>
                <w:lang w:val="en-US" w:eastAsia="zh-CN"/>
              </w:rPr>
              <w:t>输出刷新周期：&lt;10ms(被动模式下可选)</w:t>
            </w:r>
            <w:r>
              <w:rPr>
                <w:rFonts w:hint="eastAsia"/>
                <w:lang w:val="en-US" w:eastAsia="zh-CN"/>
              </w:rPr>
              <w:br w:type="textWrapping"/>
            </w:r>
            <w:r>
              <w:rPr>
                <w:rFonts w:hint="eastAsia"/>
                <w:lang w:val="en-US" w:eastAsia="zh-CN"/>
              </w:rPr>
              <w:t>输出负载能力：≤4009，标准工作200-2509</w:t>
            </w:r>
            <w:r>
              <w:rPr>
                <w:rFonts w:hint="eastAsia"/>
                <w:lang w:val="en-US" w:eastAsia="zh-CN"/>
              </w:rPr>
              <w:br w:type="textWrapping"/>
            </w:r>
            <w:r>
              <w:rPr>
                <w:rFonts w:hint="eastAsia"/>
                <w:lang w:val="en-US" w:eastAsia="zh-CN"/>
              </w:rPr>
              <w:t>允许螺栓转速：100r/min</w:t>
            </w:r>
            <w:r>
              <w:rPr>
                <w:rFonts w:hint="eastAsia"/>
                <w:lang w:val="en-US" w:eastAsia="zh-CN"/>
              </w:rPr>
              <w:br w:type="textWrapping"/>
            </w:r>
            <w:r>
              <w:rPr>
                <w:rFonts w:hint="eastAsia"/>
                <w:lang w:val="en-US" w:eastAsia="zh-CN"/>
              </w:rPr>
              <w:t>工作温度湿度：-40℃-70℃</w:t>
            </w:r>
          </w:p>
        </w:tc>
      </w:tr>
      <w:tr w14:paraId="109FC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trPr>
        <w:tc>
          <w:tcPr>
            <w:tcW w:w="450" w:type="pct"/>
            <w:noWrap/>
            <w:vAlign w:val="center"/>
          </w:tcPr>
          <w:p w14:paraId="726D11C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8</w:t>
            </w:r>
          </w:p>
        </w:tc>
        <w:tc>
          <w:tcPr>
            <w:tcW w:w="1692" w:type="pct"/>
            <w:noWrap/>
            <w:vAlign w:val="center"/>
          </w:tcPr>
          <w:p w14:paraId="6FCFC55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数据采集设备</w:t>
            </w:r>
          </w:p>
        </w:tc>
        <w:tc>
          <w:tcPr>
            <w:tcW w:w="2857" w:type="pct"/>
            <w:noWrap w:val="0"/>
            <w:vAlign w:val="center"/>
          </w:tcPr>
          <w:p w14:paraId="4BF374B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能够脱离计算机独立工作，保证不对发射机的正常工作产生任何影响</w:t>
            </w:r>
            <w:r>
              <w:rPr>
                <w:rFonts w:hint="eastAsia"/>
                <w:lang w:val="en-US" w:eastAsia="zh-CN"/>
              </w:rPr>
              <w:br w:type="textWrapping"/>
            </w:r>
            <w:r>
              <w:rPr>
                <w:rFonts w:hint="eastAsia"/>
                <w:lang w:val="en-US" w:eastAsia="zh-CN"/>
              </w:rPr>
              <w:t>测量范围频率：650-3000MHz</w:t>
            </w:r>
            <w:r>
              <w:rPr>
                <w:rFonts w:hint="eastAsia"/>
                <w:lang w:val="en-US" w:eastAsia="zh-CN"/>
              </w:rPr>
              <w:br w:type="textWrapping"/>
            </w:r>
            <w:r>
              <w:rPr>
                <w:rFonts w:hint="eastAsia"/>
                <w:lang w:val="en-US" w:eastAsia="zh-CN"/>
              </w:rPr>
              <w:t>温度：≤1℃</w:t>
            </w:r>
            <w:r>
              <w:rPr>
                <w:rFonts w:hint="eastAsia"/>
                <w:lang w:val="en-US" w:eastAsia="zh-CN"/>
              </w:rPr>
              <w:br w:type="textWrapping"/>
            </w:r>
            <w:r>
              <w:rPr>
                <w:rFonts w:hint="eastAsia"/>
                <w:lang w:val="en-US" w:eastAsia="zh-CN"/>
              </w:rPr>
              <w:t>分辨率频率：0.1Hz</w:t>
            </w:r>
            <w:r>
              <w:rPr>
                <w:rFonts w:hint="eastAsia"/>
                <w:lang w:val="en-US" w:eastAsia="zh-CN"/>
              </w:rPr>
              <w:br w:type="textWrapping"/>
            </w:r>
            <w:r>
              <w:rPr>
                <w:rFonts w:hint="eastAsia"/>
                <w:lang w:val="en-US" w:eastAsia="zh-CN"/>
              </w:rPr>
              <w:t>分辨率：0.3m（R）×4m（A）</w:t>
            </w:r>
            <w:r>
              <w:rPr>
                <w:rFonts w:hint="eastAsia"/>
                <w:lang w:val="en-US" w:eastAsia="zh-CN"/>
              </w:rPr>
              <w:br w:type="textWrapping"/>
            </w:r>
            <w:r>
              <w:rPr>
                <w:rFonts w:hint="eastAsia"/>
                <w:lang w:val="en-US" w:eastAsia="zh-CN"/>
              </w:rPr>
              <w:t>测量点数：≤32</w:t>
            </w:r>
            <w:r>
              <w:rPr>
                <w:rFonts w:hint="eastAsia"/>
                <w:lang w:val="en-US" w:eastAsia="zh-CN"/>
              </w:rPr>
              <w:br w:type="textWrapping"/>
            </w:r>
            <w:r>
              <w:rPr>
                <w:rFonts w:hint="eastAsia"/>
                <w:lang w:val="en-US" w:eastAsia="zh-CN"/>
              </w:rPr>
              <w:t>输出接口：485总线</w:t>
            </w:r>
            <w:r>
              <w:rPr>
                <w:rFonts w:hint="eastAsia"/>
                <w:lang w:val="en-US" w:eastAsia="zh-CN"/>
              </w:rPr>
              <w:br w:type="textWrapping"/>
            </w:r>
            <w:r>
              <w:rPr>
                <w:rFonts w:hint="eastAsia"/>
                <w:lang w:val="en-US" w:eastAsia="zh-CN"/>
              </w:rPr>
              <w:t>存储容量：512KB约64000个测点</w:t>
            </w:r>
            <w:r>
              <w:rPr>
                <w:rFonts w:hint="eastAsia"/>
                <w:lang w:val="en-US" w:eastAsia="zh-CN"/>
              </w:rPr>
              <w:br w:type="textWrapping"/>
            </w:r>
            <w:r>
              <w:rPr>
                <w:rFonts w:hint="eastAsia"/>
                <w:lang w:val="en-US" w:eastAsia="zh-CN"/>
              </w:rPr>
              <w:t>适用环境：-40℃～+85℃</w:t>
            </w:r>
          </w:p>
        </w:tc>
      </w:tr>
      <w:tr w14:paraId="09DDA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50" w:type="pct"/>
            <w:noWrap/>
            <w:vAlign w:val="center"/>
          </w:tcPr>
          <w:p w14:paraId="47E3FBC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9</w:t>
            </w:r>
          </w:p>
        </w:tc>
        <w:tc>
          <w:tcPr>
            <w:tcW w:w="1692" w:type="pct"/>
            <w:noWrap/>
            <w:vAlign w:val="center"/>
          </w:tcPr>
          <w:p w14:paraId="65FD773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监测机箱升级</w:t>
            </w:r>
          </w:p>
        </w:tc>
        <w:tc>
          <w:tcPr>
            <w:tcW w:w="2857" w:type="pct"/>
            <w:noWrap w:val="0"/>
            <w:vAlign w:val="center"/>
          </w:tcPr>
          <w:p w14:paraId="604556E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原有基础上升级，与本次新曾设备共用，要求防水、防锈处理。</w:t>
            </w:r>
          </w:p>
        </w:tc>
      </w:tr>
      <w:tr w14:paraId="1D58E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0" w:type="pct"/>
            <w:noWrap/>
            <w:vAlign w:val="center"/>
          </w:tcPr>
          <w:p w14:paraId="0E5359D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10</w:t>
            </w:r>
          </w:p>
        </w:tc>
        <w:tc>
          <w:tcPr>
            <w:tcW w:w="1692" w:type="pct"/>
            <w:noWrap/>
            <w:vAlign w:val="center"/>
          </w:tcPr>
          <w:p w14:paraId="035C7E5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监测计算机</w:t>
            </w:r>
          </w:p>
        </w:tc>
        <w:tc>
          <w:tcPr>
            <w:tcW w:w="2857" w:type="pct"/>
            <w:noWrap w:val="0"/>
            <w:vAlign w:val="center"/>
          </w:tcPr>
          <w:p w14:paraId="68F33F8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机架式2U机箱设计</w:t>
            </w:r>
            <w:r>
              <w:rPr>
                <w:rFonts w:hint="eastAsia"/>
                <w:lang w:val="en-US" w:eastAsia="zh-CN"/>
              </w:rPr>
              <w:br w:type="textWrapping"/>
            </w:r>
            <w:r>
              <w:rPr>
                <w:rFonts w:hint="eastAsia"/>
                <w:lang w:val="en-US" w:eastAsia="zh-CN"/>
              </w:rPr>
              <w:t>处理器：I7-12700 。</w:t>
            </w:r>
            <w:r>
              <w:rPr>
                <w:rFonts w:hint="eastAsia"/>
                <w:lang w:val="en-US" w:eastAsia="zh-CN"/>
              </w:rPr>
              <w:br w:type="textWrapping"/>
            </w:r>
            <w:r>
              <w:rPr>
                <w:rFonts w:hint="eastAsia"/>
                <w:lang w:val="en-US" w:eastAsia="zh-CN"/>
              </w:rPr>
              <w:t>内存：16G DDR4</w:t>
            </w:r>
            <w:r>
              <w:rPr>
                <w:rFonts w:hint="eastAsia"/>
                <w:lang w:val="en-US" w:eastAsia="zh-CN"/>
              </w:rPr>
              <w:br w:type="textWrapping"/>
            </w:r>
            <w:r>
              <w:rPr>
                <w:rFonts w:hint="eastAsia"/>
                <w:lang w:val="en-US" w:eastAsia="zh-CN"/>
              </w:rPr>
              <w:t>操作系统：windows10 专业版</w:t>
            </w:r>
            <w:r>
              <w:rPr>
                <w:rFonts w:hint="eastAsia"/>
                <w:lang w:val="en-US" w:eastAsia="zh-CN"/>
              </w:rPr>
              <w:br w:type="textWrapping"/>
            </w:r>
            <w:r>
              <w:rPr>
                <w:rFonts w:hint="eastAsia"/>
                <w:lang w:val="en-US" w:eastAsia="zh-CN"/>
              </w:rPr>
              <w:t>硬盘：2T</w:t>
            </w:r>
            <w:r>
              <w:rPr>
                <w:rFonts w:hint="eastAsia"/>
                <w:lang w:val="en-US" w:eastAsia="zh-CN"/>
              </w:rPr>
              <w:br w:type="textWrapping"/>
            </w:r>
            <w:r>
              <w:rPr>
                <w:rFonts w:hint="eastAsia"/>
                <w:lang w:val="en-US" w:eastAsia="zh-CN"/>
              </w:rPr>
              <w:t>具有710独立显卡，具有VGA、HDMI、DVI接口</w:t>
            </w:r>
            <w:r>
              <w:rPr>
                <w:rFonts w:hint="eastAsia"/>
                <w:lang w:val="en-US" w:eastAsia="zh-CN"/>
              </w:rPr>
              <w:br w:type="textWrapping"/>
            </w:r>
            <w:r>
              <w:rPr>
                <w:rFonts w:hint="eastAsia"/>
                <w:lang w:val="en-US" w:eastAsia="zh-CN"/>
              </w:rPr>
              <w:t>具有独立千兆网卡</w:t>
            </w:r>
          </w:p>
        </w:tc>
      </w:tr>
      <w:tr w14:paraId="6318D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trPr>
        <w:tc>
          <w:tcPr>
            <w:tcW w:w="450" w:type="pct"/>
            <w:noWrap/>
            <w:vAlign w:val="center"/>
          </w:tcPr>
          <w:p w14:paraId="79DF49E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11</w:t>
            </w:r>
          </w:p>
        </w:tc>
        <w:tc>
          <w:tcPr>
            <w:tcW w:w="1692" w:type="pct"/>
            <w:noWrap/>
            <w:vAlign w:val="center"/>
          </w:tcPr>
          <w:p w14:paraId="4931FEC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数据采集分析系统升级</w:t>
            </w:r>
          </w:p>
        </w:tc>
        <w:tc>
          <w:tcPr>
            <w:tcW w:w="2857" w:type="pct"/>
            <w:noWrap w:val="0"/>
            <w:vAlign w:val="center"/>
          </w:tcPr>
          <w:p w14:paraId="15381FA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原监测系统升级，升级后需支持如下功能：</w:t>
            </w:r>
            <w:r>
              <w:rPr>
                <w:rFonts w:hint="eastAsia"/>
                <w:lang w:val="en-US" w:eastAsia="zh-CN"/>
              </w:rPr>
              <w:br w:type="textWrapping"/>
            </w:r>
            <w:r>
              <w:rPr>
                <w:rFonts w:hint="eastAsia"/>
                <w:lang w:val="en-US" w:eastAsia="zh-CN"/>
              </w:rPr>
              <w:t>可设置传感器采集频率，范围1-60秒/次，可设置每个传感器修正值，用于修正传感器安装误差引起的测量偏差</w:t>
            </w:r>
            <w:r>
              <w:rPr>
                <w:rFonts w:hint="eastAsia"/>
                <w:lang w:val="en-US" w:eastAsia="zh-CN"/>
              </w:rPr>
              <w:br w:type="textWrapping"/>
            </w:r>
            <w:r>
              <w:rPr>
                <w:rFonts w:hint="eastAsia"/>
                <w:lang w:val="en-US" w:eastAsia="zh-CN"/>
              </w:rPr>
              <w:t>可显示传感器采集初值、修正值和采集结果。</w:t>
            </w:r>
            <w:r>
              <w:rPr>
                <w:rFonts w:hint="eastAsia"/>
                <w:lang w:val="en-US" w:eastAsia="zh-CN"/>
              </w:rPr>
              <w:br w:type="textWrapping"/>
            </w:r>
            <w:r>
              <w:rPr>
                <w:rFonts w:hint="eastAsia"/>
                <w:lang w:val="en-US" w:eastAsia="zh-CN"/>
              </w:rPr>
              <w:t>根据各采集参数自动计算塔体整体风险值，范围0-100；</w:t>
            </w:r>
            <w:r>
              <w:rPr>
                <w:rFonts w:hint="eastAsia"/>
                <w:lang w:val="en-US" w:eastAsia="zh-CN"/>
              </w:rPr>
              <w:br w:type="textWrapping"/>
            </w:r>
            <w:r>
              <w:rPr>
                <w:rFonts w:hint="eastAsia"/>
                <w:lang w:val="en-US" w:eastAsia="zh-CN"/>
              </w:rPr>
              <w:t>可设置多数据汇总方式，汇总方式有：最大值、平均值和中位数；</w:t>
            </w:r>
            <w:r>
              <w:rPr>
                <w:rFonts w:hint="eastAsia"/>
                <w:lang w:val="en-US" w:eastAsia="zh-CN"/>
              </w:rPr>
              <w:br w:type="textWrapping"/>
            </w:r>
            <w:r>
              <w:rPr>
                <w:rFonts w:hint="eastAsia"/>
                <w:lang w:val="en-US" w:eastAsia="zh-CN"/>
              </w:rPr>
              <w:t>可设置每项采集数据的汇总周期，并将汇总后的数据保存至数据库；</w:t>
            </w:r>
            <w:r>
              <w:rPr>
                <w:rFonts w:hint="eastAsia"/>
                <w:lang w:val="en-US" w:eastAsia="zh-CN"/>
              </w:rPr>
              <w:br w:type="textWrapping"/>
            </w:r>
            <w:r>
              <w:rPr>
                <w:rFonts w:hint="eastAsia"/>
                <w:lang w:val="en-US" w:eastAsia="zh-CN"/>
              </w:rPr>
              <w:t>可根据预设风速和采集时长自动计算塔体垂直度；</w:t>
            </w:r>
            <w:r>
              <w:rPr>
                <w:rFonts w:hint="eastAsia"/>
                <w:lang w:val="en-US" w:eastAsia="zh-CN"/>
              </w:rPr>
              <w:br w:type="textWrapping"/>
            </w:r>
            <w:r>
              <w:rPr>
                <w:rFonts w:hint="eastAsia"/>
                <w:lang w:val="en-US" w:eastAsia="zh-CN"/>
              </w:rPr>
              <w:t>可自动定时进行数据统计，进行各项数据同比、环比、趋势等运算。</w:t>
            </w:r>
          </w:p>
        </w:tc>
      </w:tr>
      <w:tr w14:paraId="22F7D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450" w:type="pct"/>
            <w:noWrap/>
            <w:vAlign w:val="center"/>
          </w:tcPr>
          <w:p w14:paraId="08BFB1F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12</w:t>
            </w:r>
          </w:p>
        </w:tc>
        <w:tc>
          <w:tcPr>
            <w:tcW w:w="1692" w:type="pct"/>
            <w:noWrap/>
            <w:vAlign w:val="center"/>
          </w:tcPr>
          <w:p w14:paraId="3B624B2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铁塔监测展示系统升级</w:t>
            </w:r>
          </w:p>
        </w:tc>
        <w:tc>
          <w:tcPr>
            <w:tcW w:w="2857" w:type="pct"/>
            <w:noWrap w:val="0"/>
            <w:vAlign w:val="center"/>
          </w:tcPr>
          <w:p w14:paraId="751A3A3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原监测系统升级，升级后需支持如下功能：</w:t>
            </w:r>
            <w:r>
              <w:rPr>
                <w:rFonts w:hint="eastAsia"/>
                <w:lang w:val="en-US" w:eastAsia="zh-CN"/>
              </w:rPr>
              <w:br w:type="textWrapping"/>
            </w:r>
            <w:r>
              <w:rPr>
                <w:rFonts w:hint="eastAsia"/>
                <w:lang w:val="en-US" w:eastAsia="zh-CN"/>
              </w:rPr>
              <w:t>以色块+文字方式显示塔体当前健康状态，状态共分为四种：无风险、低风险、中风险和高风险，当塔体安全风险值达到预设阈值，对应健康状态变亮突出显示，其他三种状态变暗。</w:t>
            </w:r>
            <w:r>
              <w:rPr>
                <w:rFonts w:hint="eastAsia"/>
                <w:lang w:val="en-US" w:eastAsia="zh-CN"/>
              </w:rPr>
              <w:br w:type="textWrapping"/>
            </w:r>
            <w:r>
              <w:rPr>
                <w:rFonts w:hint="eastAsia"/>
                <w:lang w:val="en-US" w:eastAsia="zh-CN"/>
              </w:rPr>
              <w:t>以图文方式显示塔体整体健康状态及同比、环比和趋势，以曲线方式显示塔风险值随时间变化情况。</w:t>
            </w:r>
            <w:r>
              <w:rPr>
                <w:rFonts w:hint="eastAsia"/>
                <w:lang w:val="en-US" w:eastAsia="zh-CN"/>
              </w:rPr>
              <w:br w:type="textWrapping"/>
            </w:r>
            <w:r>
              <w:rPr>
                <w:rFonts w:hint="eastAsia"/>
                <w:lang w:val="en-US" w:eastAsia="zh-CN"/>
              </w:rPr>
              <w:t>显示塔体顶点位移值及同比、环比和趋势，以雷达图方式显示位移值值随时间变化情况。</w:t>
            </w:r>
            <w:r>
              <w:rPr>
                <w:rFonts w:hint="eastAsia"/>
                <w:lang w:val="en-US" w:eastAsia="zh-CN"/>
              </w:rPr>
              <w:br w:type="textWrapping"/>
            </w:r>
            <w:r>
              <w:rPr>
                <w:rFonts w:hint="eastAsia"/>
                <w:lang w:val="en-US" w:eastAsia="zh-CN"/>
              </w:rPr>
              <w:t>显示塔体垂直度及同比、环比和趋势，以轴线图方式显示各监测点垂直度值。</w:t>
            </w:r>
            <w:r>
              <w:rPr>
                <w:rFonts w:hint="eastAsia"/>
                <w:lang w:val="en-US" w:eastAsia="zh-CN"/>
              </w:rPr>
              <w:br w:type="textWrapping"/>
            </w:r>
            <w:r>
              <w:rPr>
                <w:rFonts w:hint="eastAsia"/>
                <w:lang w:val="en-US" w:eastAsia="zh-CN"/>
              </w:rPr>
              <w:t>显示杆件受力最大值和最大值所在杆件名称，以柱状图方式实时显示各测点应力值。</w:t>
            </w:r>
            <w:r>
              <w:rPr>
                <w:rFonts w:hint="eastAsia"/>
                <w:lang w:val="en-US" w:eastAsia="zh-CN"/>
              </w:rPr>
              <w:br w:type="textWrapping"/>
            </w:r>
            <w:r>
              <w:rPr>
                <w:rFonts w:hint="eastAsia"/>
                <w:lang w:val="en-US" w:eastAsia="zh-CN"/>
              </w:rPr>
              <w:t>显示风速、风向、温度、湿度等各项气象监测结果。</w:t>
            </w:r>
            <w:r>
              <w:rPr>
                <w:rFonts w:hint="eastAsia"/>
                <w:lang w:val="en-US" w:eastAsia="zh-CN"/>
              </w:rPr>
              <w:br w:type="textWrapping"/>
            </w:r>
            <w:r>
              <w:rPr>
                <w:rFonts w:hint="eastAsia"/>
                <w:lang w:val="en-US" w:eastAsia="zh-CN"/>
              </w:rPr>
              <w:t>显示塔顶振动周期当前值、基础值，并以图形方式演示测点一次震荡时间。</w:t>
            </w:r>
            <w:r>
              <w:rPr>
                <w:rFonts w:hint="eastAsia"/>
                <w:lang w:val="en-US" w:eastAsia="zh-CN"/>
              </w:rPr>
              <w:br w:type="textWrapping"/>
            </w:r>
            <w:r>
              <w:rPr>
                <w:rFonts w:hint="eastAsia"/>
                <w:lang w:val="en-US" w:eastAsia="zh-CN"/>
              </w:rPr>
              <w:t>显示微波天线上下仰角、左右摆角变化值。</w:t>
            </w:r>
            <w:r>
              <w:rPr>
                <w:rFonts w:hint="eastAsia"/>
                <w:lang w:val="en-US" w:eastAsia="zh-CN"/>
              </w:rPr>
              <w:br w:type="textWrapping"/>
            </w:r>
            <w:r>
              <w:rPr>
                <w:rFonts w:hint="eastAsia"/>
                <w:lang w:val="en-US" w:eastAsia="zh-CN"/>
              </w:rPr>
              <w:t>以3D图形方式显示各测点沉降结果和数值，图形可任意角度旋转以展示塔基沉降状态。显示最大沉降差及最大沉降塔角编号。</w:t>
            </w:r>
            <w:r>
              <w:rPr>
                <w:rFonts w:hint="eastAsia"/>
                <w:lang w:val="en-US" w:eastAsia="zh-CN"/>
              </w:rPr>
              <w:br w:type="textWrapping"/>
            </w:r>
            <w:r>
              <w:rPr>
                <w:rFonts w:hint="eastAsia"/>
                <w:lang w:val="en-US" w:eastAsia="zh-CN"/>
              </w:rPr>
              <w:t>显示预警结果消息，点击消息可弹窗显示详细内容。</w:t>
            </w:r>
            <w:r>
              <w:rPr>
                <w:rFonts w:hint="eastAsia"/>
                <w:lang w:val="en-US" w:eastAsia="zh-CN"/>
              </w:rPr>
              <w:br w:type="textWrapping"/>
            </w:r>
            <w:r>
              <w:rPr>
                <w:rFonts w:hint="eastAsia"/>
                <w:lang w:val="en-US" w:eastAsia="zh-CN"/>
              </w:rPr>
              <w:t>以塔体立面图为中心，显示各传感器安装高度、传感器类型及数量，显示每个测点实时监测结果。</w:t>
            </w:r>
            <w:r>
              <w:rPr>
                <w:rFonts w:hint="eastAsia"/>
                <w:lang w:val="en-US" w:eastAsia="zh-CN"/>
              </w:rPr>
              <w:br w:type="textWrapping"/>
            </w:r>
            <w:r>
              <w:rPr>
                <w:rFonts w:hint="eastAsia"/>
                <w:lang w:val="en-US" w:eastAsia="zh-CN"/>
              </w:rPr>
              <w:t>系统支持在国产操作系统下运行，包括深度Linux、银河麒麟、中标麒麟等Linux国产操作系统，也可以在windows操作系统下运行。</w:t>
            </w:r>
          </w:p>
        </w:tc>
      </w:tr>
      <w:tr w14:paraId="144BA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450" w:type="pct"/>
            <w:noWrap/>
            <w:vAlign w:val="center"/>
          </w:tcPr>
          <w:p w14:paraId="3D6F5BE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13</w:t>
            </w:r>
          </w:p>
        </w:tc>
        <w:tc>
          <w:tcPr>
            <w:tcW w:w="1692" w:type="pct"/>
            <w:noWrap/>
            <w:vAlign w:val="center"/>
          </w:tcPr>
          <w:p w14:paraId="3BCA8B8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倾斜报警分析模块</w:t>
            </w:r>
          </w:p>
        </w:tc>
        <w:tc>
          <w:tcPr>
            <w:tcW w:w="2857" w:type="pct"/>
            <w:noWrap w:val="0"/>
            <w:vAlign w:val="center"/>
          </w:tcPr>
          <w:p w14:paraId="1AE29EC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可设置传感器采集频率，范围1-60秒/次；</w:t>
            </w:r>
            <w:r>
              <w:rPr>
                <w:rFonts w:hint="eastAsia"/>
                <w:lang w:val="en-US" w:eastAsia="zh-CN"/>
              </w:rPr>
              <w:br w:type="textWrapping"/>
            </w:r>
            <w:r>
              <w:rPr>
                <w:rFonts w:hint="eastAsia"/>
                <w:lang w:val="en-US" w:eastAsia="zh-CN"/>
              </w:rPr>
              <w:t>可设置每个传感器修正值，用于修正传感器安装误差引起的测量偏差；</w:t>
            </w:r>
            <w:r>
              <w:rPr>
                <w:rFonts w:hint="eastAsia"/>
                <w:lang w:val="en-US" w:eastAsia="zh-CN"/>
              </w:rPr>
              <w:br w:type="textWrapping"/>
            </w:r>
            <w:r>
              <w:rPr>
                <w:rFonts w:hint="eastAsia"/>
                <w:lang w:val="en-US" w:eastAsia="zh-CN"/>
              </w:rPr>
              <w:t>可显示传感器采集初值、修正值和采集结果。</w:t>
            </w:r>
          </w:p>
        </w:tc>
      </w:tr>
      <w:tr w14:paraId="1D675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50" w:type="pct"/>
            <w:noWrap/>
            <w:vAlign w:val="center"/>
          </w:tcPr>
          <w:p w14:paraId="501E04C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14</w:t>
            </w:r>
          </w:p>
        </w:tc>
        <w:tc>
          <w:tcPr>
            <w:tcW w:w="1692" w:type="pct"/>
            <w:noWrap/>
            <w:vAlign w:val="center"/>
          </w:tcPr>
          <w:p w14:paraId="1AE3EAA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震动周期报警分析模块</w:t>
            </w:r>
          </w:p>
        </w:tc>
        <w:tc>
          <w:tcPr>
            <w:tcW w:w="2857" w:type="pct"/>
            <w:noWrap w:val="0"/>
            <w:vAlign w:val="center"/>
          </w:tcPr>
          <w:p w14:paraId="7E9EE82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可设置传感器采集频率，范围1-60秒/次；</w:t>
            </w:r>
            <w:r>
              <w:rPr>
                <w:rFonts w:hint="eastAsia"/>
                <w:lang w:val="en-US" w:eastAsia="zh-CN"/>
              </w:rPr>
              <w:br w:type="textWrapping"/>
            </w:r>
            <w:r>
              <w:rPr>
                <w:rFonts w:hint="eastAsia"/>
                <w:lang w:val="en-US" w:eastAsia="zh-CN"/>
              </w:rPr>
              <w:t>可设置每个传感器修正值，用于修正传感器安装误差引起的测量偏差；</w:t>
            </w:r>
          </w:p>
        </w:tc>
      </w:tr>
      <w:tr w14:paraId="3B2F0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450" w:type="pct"/>
            <w:noWrap/>
            <w:vAlign w:val="center"/>
          </w:tcPr>
          <w:p w14:paraId="4F14B4E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15</w:t>
            </w:r>
          </w:p>
        </w:tc>
        <w:tc>
          <w:tcPr>
            <w:tcW w:w="1692" w:type="pct"/>
            <w:noWrap/>
            <w:vAlign w:val="center"/>
          </w:tcPr>
          <w:p w14:paraId="0D7C268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杆件应力报警分析模块</w:t>
            </w:r>
          </w:p>
        </w:tc>
        <w:tc>
          <w:tcPr>
            <w:tcW w:w="2857" w:type="pct"/>
            <w:noWrap w:val="0"/>
            <w:vAlign w:val="center"/>
          </w:tcPr>
          <w:p w14:paraId="536A24F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可设置传感器采集频率，范围1-60分钟/次；</w:t>
            </w:r>
            <w:r>
              <w:rPr>
                <w:rFonts w:hint="eastAsia"/>
                <w:lang w:val="en-US" w:eastAsia="zh-CN"/>
              </w:rPr>
              <w:br w:type="textWrapping"/>
            </w:r>
            <w:r>
              <w:rPr>
                <w:rFonts w:hint="eastAsia"/>
                <w:lang w:val="en-US" w:eastAsia="zh-CN"/>
              </w:rPr>
              <w:t>可设置每个传感器修正值，用于修正传感器安装误差引起的测量偏差；</w:t>
            </w:r>
            <w:r>
              <w:rPr>
                <w:rFonts w:hint="eastAsia"/>
                <w:lang w:val="en-US" w:eastAsia="zh-CN"/>
              </w:rPr>
              <w:br w:type="textWrapping"/>
            </w:r>
            <w:r>
              <w:rPr>
                <w:rFonts w:hint="eastAsia"/>
                <w:lang w:val="en-US" w:eastAsia="zh-CN"/>
              </w:rPr>
              <w:t>可显示传感器采集初值、修正值和采集结果。</w:t>
            </w:r>
          </w:p>
        </w:tc>
      </w:tr>
      <w:tr w14:paraId="1878E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450" w:type="pct"/>
            <w:noWrap/>
            <w:vAlign w:val="center"/>
          </w:tcPr>
          <w:p w14:paraId="31AA200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16</w:t>
            </w:r>
          </w:p>
        </w:tc>
        <w:tc>
          <w:tcPr>
            <w:tcW w:w="1692" w:type="pct"/>
            <w:noWrap/>
            <w:vAlign w:val="center"/>
          </w:tcPr>
          <w:p w14:paraId="449FF50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螺栓报警分析模块</w:t>
            </w:r>
          </w:p>
        </w:tc>
        <w:tc>
          <w:tcPr>
            <w:tcW w:w="2857" w:type="pct"/>
            <w:noWrap w:val="0"/>
            <w:vAlign w:val="center"/>
          </w:tcPr>
          <w:p w14:paraId="2AAB23D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可设置传感器采集频率，范围1-60秒/次；</w:t>
            </w:r>
            <w:r>
              <w:rPr>
                <w:rFonts w:hint="eastAsia"/>
                <w:lang w:val="en-US" w:eastAsia="zh-CN"/>
              </w:rPr>
              <w:br w:type="textWrapping"/>
            </w:r>
            <w:r>
              <w:rPr>
                <w:rFonts w:hint="eastAsia"/>
                <w:lang w:val="en-US" w:eastAsia="zh-CN"/>
              </w:rPr>
              <w:t>可设置每个传感器修正值，用于修正传感器安装误差引起的测量偏差；</w:t>
            </w:r>
            <w:r>
              <w:rPr>
                <w:rFonts w:hint="eastAsia"/>
                <w:lang w:val="en-US" w:eastAsia="zh-CN"/>
              </w:rPr>
              <w:br w:type="textWrapping"/>
            </w:r>
            <w:r>
              <w:rPr>
                <w:rFonts w:hint="eastAsia"/>
                <w:lang w:val="en-US" w:eastAsia="zh-CN"/>
              </w:rPr>
              <w:t>可显示传感器采集初值、修正值和采集结果。</w:t>
            </w:r>
          </w:p>
        </w:tc>
      </w:tr>
      <w:tr w14:paraId="1B30C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450" w:type="pct"/>
            <w:noWrap/>
            <w:vAlign w:val="center"/>
          </w:tcPr>
          <w:p w14:paraId="260DC13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17</w:t>
            </w:r>
          </w:p>
        </w:tc>
        <w:tc>
          <w:tcPr>
            <w:tcW w:w="1692" w:type="pct"/>
            <w:noWrap/>
            <w:vAlign w:val="center"/>
          </w:tcPr>
          <w:p w14:paraId="4610478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铁塔沉降报警分析模块</w:t>
            </w:r>
          </w:p>
        </w:tc>
        <w:tc>
          <w:tcPr>
            <w:tcW w:w="2857" w:type="pct"/>
            <w:noWrap w:val="0"/>
            <w:vAlign w:val="center"/>
          </w:tcPr>
          <w:p w14:paraId="1BE5049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可设置传感器采集频率，范围1-60秒/次；</w:t>
            </w:r>
            <w:r>
              <w:rPr>
                <w:rFonts w:hint="eastAsia"/>
                <w:lang w:val="en-US" w:eastAsia="zh-CN"/>
              </w:rPr>
              <w:br w:type="textWrapping"/>
            </w:r>
            <w:r>
              <w:rPr>
                <w:rFonts w:hint="eastAsia"/>
                <w:lang w:val="en-US" w:eastAsia="zh-CN"/>
              </w:rPr>
              <w:t>可设置每个传感器修正值，用于修正传感器安装误差引起的测量偏差；</w:t>
            </w:r>
            <w:r>
              <w:rPr>
                <w:rFonts w:hint="eastAsia"/>
                <w:lang w:val="en-US" w:eastAsia="zh-CN"/>
              </w:rPr>
              <w:br w:type="textWrapping"/>
            </w:r>
            <w:r>
              <w:rPr>
                <w:rFonts w:hint="eastAsia"/>
                <w:lang w:val="en-US" w:eastAsia="zh-CN"/>
              </w:rPr>
              <w:t>可显示传感器采集初值、修正值和采集结果。</w:t>
            </w:r>
          </w:p>
        </w:tc>
      </w:tr>
      <w:tr w14:paraId="0BB83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50" w:type="pct"/>
            <w:noWrap/>
            <w:vAlign w:val="center"/>
          </w:tcPr>
          <w:p w14:paraId="46B0821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18</w:t>
            </w:r>
          </w:p>
        </w:tc>
        <w:tc>
          <w:tcPr>
            <w:tcW w:w="1692" w:type="pct"/>
            <w:noWrap/>
            <w:vAlign w:val="center"/>
          </w:tcPr>
          <w:p w14:paraId="71C2155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安装辅料</w:t>
            </w:r>
          </w:p>
        </w:tc>
        <w:tc>
          <w:tcPr>
            <w:tcW w:w="2857" w:type="pct"/>
            <w:noWrap/>
            <w:vAlign w:val="center"/>
          </w:tcPr>
          <w:p w14:paraId="1D68170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项目所需的全部安装辅料</w:t>
            </w:r>
          </w:p>
        </w:tc>
      </w:tr>
      <w:tr w14:paraId="1CA97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50" w:type="pct"/>
            <w:noWrap/>
            <w:vAlign w:val="center"/>
          </w:tcPr>
          <w:p w14:paraId="50F0759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19</w:t>
            </w:r>
          </w:p>
        </w:tc>
        <w:tc>
          <w:tcPr>
            <w:tcW w:w="1692" w:type="pct"/>
            <w:noWrap/>
            <w:vAlign w:val="center"/>
          </w:tcPr>
          <w:p w14:paraId="2573662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现场施工</w:t>
            </w:r>
          </w:p>
        </w:tc>
        <w:tc>
          <w:tcPr>
            <w:tcW w:w="2857" w:type="pct"/>
            <w:noWrap/>
            <w:vAlign w:val="center"/>
          </w:tcPr>
          <w:p w14:paraId="7E3FD77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项目所需的全部安装调试</w:t>
            </w:r>
          </w:p>
        </w:tc>
      </w:tr>
    </w:tbl>
    <w:p w14:paraId="65CF97CC">
      <w:pPr>
        <w:pStyle w:val="2"/>
        <w:numPr>
          <w:ilvl w:val="0"/>
          <w:numId w:val="0"/>
        </w:numPr>
        <w:bidi w:val="0"/>
        <w:rPr>
          <w:rFonts w:hint="eastAsia"/>
          <w:lang w:val="en-US" w:eastAsia="zh-CN"/>
        </w:rPr>
      </w:pPr>
    </w:p>
    <w:p w14:paraId="13D6205C">
      <w:pPr>
        <w:pStyle w:val="2"/>
        <w:numPr>
          <w:ilvl w:val="0"/>
          <w:numId w:val="0"/>
        </w:numPr>
        <w:bidi w:val="0"/>
        <w:rPr>
          <w:rFonts w:hint="default"/>
          <w:lang w:val="en-US" w:eastAsia="zh-CN"/>
        </w:rPr>
      </w:pPr>
      <w:r>
        <w:rPr>
          <w:rFonts w:hint="eastAsia"/>
          <w:lang w:val="en-US" w:eastAsia="zh-CN"/>
        </w:rPr>
        <w:t>3.3、建设项目计划设备清单</w:t>
      </w:r>
    </w:p>
    <w:tbl>
      <w:tblPr>
        <w:tblStyle w:val="3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4"/>
        <w:gridCol w:w="5098"/>
        <w:gridCol w:w="1355"/>
        <w:gridCol w:w="1355"/>
      </w:tblGrid>
      <w:tr w14:paraId="601F8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39" w:type="pct"/>
            <w:noWrap/>
            <w:vAlign w:val="center"/>
          </w:tcPr>
          <w:p w14:paraId="51C19B91">
            <w:pPr>
              <w:rPr>
                <w:rFonts w:hint="eastAsia"/>
                <w:lang w:val="en-US" w:eastAsia="zh-CN"/>
              </w:rPr>
            </w:pPr>
            <w:r>
              <w:rPr>
                <w:rFonts w:hint="eastAsia"/>
                <w:lang w:val="en-US" w:eastAsia="zh-CN"/>
              </w:rPr>
              <w:t>序号</w:t>
            </w:r>
          </w:p>
        </w:tc>
        <w:tc>
          <w:tcPr>
            <w:tcW w:w="2781" w:type="pct"/>
            <w:noWrap/>
            <w:vAlign w:val="center"/>
          </w:tcPr>
          <w:p w14:paraId="0C0E160A">
            <w:pPr>
              <w:rPr>
                <w:rFonts w:hint="eastAsia"/>
                <w:lang w:val="en-US" w:eastAsia="zh-CN"/>
              </w:rPr>
            </w:pPr>
            <w:r>
              <w:rPr>
                <w:rFonts w:hint="eastAsia"/>
                <w:lang w:val="en-US" w:eastAsia="zh-CN"/>
              </w:rPr>
              <w:t>货物名称</w:t>
            </w:r>
          </w:p>
        </w:tc>
        <w:tc>
          <w:tcPr>
            <w:tcW w:w="739" w:type="pct"/>
            <w:noWrap/>
            <w:vAlign w:val="center"/>
          </w:tcPr>
          <w:p w14:paraId="1DC5533E">
            <w:pPr>
              <w:rPr>
                <w:rFonts w:hint="eastAsia"/>
                <w:lang w:val="en-US" w:eastAsia="zh-CN"/>
              </w:rPr>
            </w:pPr>
            <w:r>
              <w:rPr>
                <w:rFonts w:hint="eastAsia"/>
                <w:lang w:val="en-US" w:eastAsia="zh-CN"/>
              </w:rPr>
              <w:t>单位</w:t>
            </w:r>
          </w:p>
        </w:tc>
        <w:tc>
          <w:tcPr>
            <w:tcW w:w="739" w:type="pct"/>
            <w:noWrap/>
            <w:vAlign w:val="center"/>
          </w:tcPr>
          <w:p w14:paraId="2DEB2EF5">
            <w:pPr>
              <w:rPr>
                <w:rFonts w:hint="eastAsia"/>
                <w:lang w:val="en-US" w:eastAsia="zh-CN"/>
              </w:rPr>
            </w:pPr>
            <w:r>
              <w:rPr>
                <w:rFonts w:hint="eastAsia"/>
                <w:lang w:val="en-US" w:eastAsia="zh-CN"/>
              </w:rPr>
              <w:t>数量</w:t>
            </w:r>
          </w:p>
        </w:tc>
      </w:tr>
      <w:tr w14:paraId="34DB5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39" w:type="pct"/>
            <w:noWrap/>
            <w:vAlign w:val="center"/>
          </w:tcPr>
          <w:p w14:paraId="3451C304">
            <w:pPr>
              <w:rPr>
                <w:rFonts w:hint="eastAsia"/>
                <w:lang w:val="en-US" w:eastAsia="zh-CN"/>
              </w:rPr>
            </w:pPr>
            <w:r>
              <w:rPr>
                <w:rFonts w:hint="eastAsia"/>
                <w:lang w:val="en-US" w:eastAsia="zh-CN"/>
              </w:rPr>
              <w:t>1</w:t>
            </w:r>
          </w:p>
        </w:tc>
        <w:tc>
          <w:tcPr>
            <w:tcW w:w="2781" w:type="pct"/>
            <w:noWrap/>
            <w:vAlign w:val="center"/>
          </w:tcPr>
          <w:p w14:paraId="17E57068">
            <w:pPr>
              <w:rPr>
                <w:rFonts w:hint="eastAsia"/>
                <w:lang w:val="en-US" w:eastAsia="zh-CN"/>
              </w:rPr>
            </w:pPr>
            <w:r>
              <w:rPr>
                <w:rFonts w:hint="eastAsia"/>
                <w:lang w:val="en-US" w:eastAsia="zh-CN"/>
              </w:rPr>
              <w:t>塔体倾斜监测</w:t>
            </w:r>
          </w:p>
        </w:tc>
        <w:tc>
          <w:tcPr>
            <w:tcW w:w="739" w:type="pct"/>
            <w:noWrap/>
            <w:vAlign w:val="center"/>
          </w:tcPr>
          <w:p w14:paraId="05CB26A9">
            <w:pPr>
              <w:rPr>
                <w:rFonts w:hint="eastAsia"/>
                <w:lang w:val="en-US" w:eastAsia="zh-CN"/>
              </w:rPr>
            </w:pPr>
            <w:r>
              <w:rPr>
                <w:rFonts w:hint="eastAsia"/>
                <w:lang w:val="en-US" w:eastAsia="zh-CN"/>
              </w:rPr>
              <w:t>只</w:t>
            </w:r>
          </w:p>
        </w:tc>
        <w:tc>
          <w:tcPr>
            <w:tcW w:w="739" w:type="pct"/>
            <w:noWrap/>
            <w:vAlign w:val="center"/>
          </w:tcPr>
          <w:p w14:paraId="3F3C9FEE">
            <w:pPr>
              <w:rPr>
                <w:rFonts w:hint="eastAsia"/>
                <w:lang w:val="en-US" w:eastAsia="zh-CN"/>
              </w:rPr>
            </w:pPr>
            <w:r>
              <w:rPr>
                <w:rFonts w:hint="eastAsia"/>
                <w:lang w:val="en-US" w:eastAsia="zh-CN"/>
              </w:rPr>
              <w:t>4</w:t>
            </w:r>
          </w:p>
        </w:tc>
      </w:tr>
      <w:tr w14:paraId="322EE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39" w:type="pct"/>
            <w:noWrap/>
            <w:vAlign w:val="center"/>
          </w:tcPr>
          <w:p w14:paraId="57821987">
            <w:pPr>
              <w:rPr>
                <w:rFonts w:hint="eastAsia"/>
                <w:lang w:val="en-US" w:eastAsia="zh-CN"/>
              </w:rPr>
            </w:pPr>
            <w:r>
              <w:rPr>
                <w:rFonts w:hint="eastAsia"/>
                <w:lang w:val="en-US" w:eastAsia="zh-CN"/>
              </w:rPr>
              <w:t>2</w:t>
            </w:r>
          </w:p>
        </w:tc>
        <w:tc>
          <w:tcPr>
            <w:tcW w:w="2781" w:type="pct"/>
            <w:noWrap/>
            <w:vAlign w:val="center"/>
          </w:tcPr>
          <w:p w14:paraId="284D1320">
            <w:pPr>
              <w:rPr>
                <w:rFonts w:hint="eastAsia"/>
                <w:lang w:val="en-US" w:eastAsia="zh-CN"/>
              </w:rPr>
            </w:pPr>
            <w:r>
              <w:rPr>
                <w:rFonts w:hint="eastAsia"/>
                <w:lang w:val="en-US" w:eastAsia="zh-CN"/>
              </w:rPr>
              <w:t>塔体震动周期监测</w:t>
            </w:r>
          </w:p>
        </w:tc>
        <w:tc>
          <w:tcPr>
            <w:tcW w:w="739" w:type="pct"/>
            <w:noWrap/>
            <w:vAlign w:val="center"/>
          </w:tcPr>
          <w:p w14:paraId="3D5331FE">
            <w:pPr>
              <w:rPr>
                <w:rFonts w:hint="eastAsia"/>
                <w:lang w:val="en-US" w:eastAsia="zh-CN"/>
              </w:rPr>
            </w:pPr>
            <w:r>
              <w:rPr>
                <w:rFonts w:hint="eastAsia"/>
                <w:lang w:val="en-US" w:eastAsia="zh-CN"/>
              </w:rPr>
              <w:t>只</w:t>
            </w:r>
          </w:p>
        </w:tc>
        <w:tc>
          <w:tcPr>
            <w:tcW w:w="739" w:type="pct"/>
            <w:noWrap/>
            <w:vAlign w:val="center"/>
          </w:tcPr>
          <w:p w14:paraId="743B8516">
            <w:pPr>
              <w:rPr>
                <w:rFonts w:hint="eastAsia"/>
                <w:lang w:val="en-US" w:eastAsia="zh-CN"/>
              </w:rPr>
            </w:pPr>
            <w:r>
              <w:rPr>
                <w:rFonts w:hint="eastAsia"/>
                <w:lang w:val="en-US" w:eastAsia="zh-CN"/>
              </w:rPr>
              <w:t>4</w:t>
            </w:r>
          </w:p>
        </w:tc>
      </w:tr>
      <w:tr w14:paraId="7BED6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39" w:type="pct"/>
            <w:noWrap/>
            <w:vAlign w:val="center"/>
          </w:tcPr>
          <w:p w14:paraId="47B0D86A">
            <w:pPr>
              <w:rPr>
                <w:rFonts w:hint="eastAsia"/>
                <w:lang w:val="en-US" w:eastAsia="zh-CN"/>
              </w:rPr>
            </w:pPr>
            <w:r>
              <w:rPr>
                <w:rFonts w:hint="eastAsia"/>
                <w:lang w:val="en-US" w:eastAsia="zh-CN"/>
              </w:rPr>
              <w:t>3</w:t>
            </w:r>
          </w:p>
        </w:tc>
        <w:tc>
          <w:tcPr>
            <w:tcW w:w="2781" w:type="pct"/>
            <w:noWrap/>
            <w:vAlign w:val="center"/>
          </w:tcPr>
          <w:p w14:paraId="1B662D18">
            <w:pPr>
              <w:rPr>
                <w:rFonts w:hint="eastAsia"/>
                <w:lang w:val="en-US" w:eastAsia="zh-CN"/>
              </w:rPr>
            </w:pPr>
            <w:r>
              <w:rPr>
                <w:rFonts w:hint="eastAsia"/>
                <w:lang w:val="en-US" w:eastAsia="zh-CN"/>
              </w:rPr>
              <w:t>杆件应力监测</w:t>
            </w:r>
          </w:p>
        </w:tc>
        <w:tc>
          <w:tcPr>
            <w:tcW w:w="739" w:type="pct"/>
            <w:noWrap/>
            <w:vAlign w:val="center"/>
          </w:tcPr>
          <w:p w14:paraId="0DD1C6C2">
            <w:pPr>
              <w:rPr>
                <w:rFonts w:hint="eastAsia"/>
                <w:lang w:val="en-US" w:eastAsia="zh-CN"/>
              </w:rPr>
            </w:pPr>
            <w:r>
              <w:rPr>
                <w:rFonts w:hint="eastAsia"/>
                <w:lang w:val="en-US" w:eastAsia="zh-CN"/>
              </w:rPr>
              <w:t>只</w:t>
            </w:r>
          </w:p>
        </w:tc>
        <w:tc>
          <w:tcPr>
            <w:tcW w:w="739" w:type="pct"/>
            <w:noWrap/>
            <w:vAlign w:val="center"/>
          </w:tcPr>
          <w:p w14:paraId="27E788B4">
            <w:pPr>
              <w:rPr>
                <w:rFonts w:hint="eastAsia"/>
                <w:lang w:val="en-US" w:eastAsia="zh-CN"/>
              </w:rPr>
            </w:pPr>
            <w:r>
              <w:rPr>
                <w:rFonts w:hint="eastAsia"/>
                <w:lang w:val="en-US" w:eastAsia="zh-CN"/>
              </w:rPr>
              <w:t>8</w:t>
            </w:r>
          </w:p>
        </w:tc>
      </w:tr>
      <w:tr w14:paraId="03502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39" w:type="pct"/>
            <w:noWrap/>
            <w:vAlign w:val="center"/>
          </w:tcPr>
          <w:p w14:paraId="7A729C63">
            <w:pPr>
              <w:rPr>
                <w:rFonts w:hint="eastAsia"/>
                <w:lang w:val="en-US" w:eastAsia="zh-CN"/>
              </w:rPr>
            </w:pPr>
            <w:r>
              <w:rPr>
                <w:rFonts w:hint="eastAsia"/>
                <w:lang w:val="en-US" w:eastAsia="zh-CN"/>
              </w:rPr>
              <w:t>4</w:t>
            </w:r>
          </w:p>
        </w:tc>
        <w:tc>
          <w:tcPr>
            <w:tcW w:w="2781" w:type="pct"/>
            <w:noWrap/>
            <w:vAlign w:val="center"/>
          </w:tcPr>
          <w:p w14:paraId="75901106">
            <w:pPr>
              <w:rPr>
                <w:rFonts w:hint="eastAsia"/>
                <w:lang w:val="en-US" w:eastAsia="zh-CN"/>
              </w:rPr>
            </w:pPr>
            <w:r>
              <w:rPr>
                <w:rFonts w:hint="eastAsia"/>
                <w:lang w:val="en-US" w:eastAsia="zh-CN"/>
              </w:rPr>
              <w:t>室外环境监测</w:t>
            </w:r>
          </w:p>
        </w:tc>
        <w:tc>
          <w:tcPr>
            <w:tcW w:w="739" w:type="pct"/>
            <w:noWrap/>
            <w:vAlign w:val="center"/>
          </w:tcPr>
          <w:p w14:paraId="587C7B70">
            <w:pPr>
              <w:rPr>
                <w:rFonts w:hint="eastAsia"/>
                <w:lang w:val="en-US" w:eastAsia="zh-CN"/>
              </w:rPr>
            </w:pPr>
            <w:r>
              <w:rPr>
                <w:rFonts w:hint="eastAsia"/>
                <w:lang w:val="en-US" w:eastAsia="zh-CN"/>
              </w:rPr>
              <w:t>台</w:t>
            </w:r>
          </w:p>
        </w:tc>
        <w:tc>
          <w:tcPr>
            <w:tcW w:w="739" w:type="pct"/>
            <w:noWrap/>
            <w:vAlign w:val="center"/>
          </w:tcPr>
          <w:p w14:paraId="2FB6E3DE">
            <w:pPr>
              <w:rPr>
                <w:rFonts w:hint="eastAsia"/>
                <w:lang w:val="en-US" w:eastAsia="zh-CN"/>
              </w:rPr>
            </w:pPr>
            <w:r>
              <w:rPr>
                <w:rFonts w:hint="eastAsia"/>
                <w:lang w:val="en-US" w:eastAsia="zh-CN"/>
              </w:rPr>
              <w:t>1</w:t>
            </w:r>
          </w:p>
        </w:tc>
      </w:tr>
      <w:tr w14:paraId="308CD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39" w:type="pct"/>
            <w:noWrap/>
            <w:vAlign w:val="center"/>
          </w:tcPr>
          <w:p w14:paraId="6E2AEA9F">
            <w:pPr>
              <w:rPr>
                <w:rFonts w:hint="eastAsia"/>
                <w:lang w:val="en-US" w:eastAsia="zh-CN"/>
              </w:rPr>
            </w:pPr>
            <w:r>
              <w:rPr>
                <w:rFonts w:hint="eastAsia"/>
                <w:lang w:val="en-US" w:eastAsia="zh-CN"/>
              </w:rPr>
              <w:t>5</w:t>
            </w:r>
          </w:p>
        </w:tc>
        <w:tc>
          <w:tcPr>
            <w:tcW w:w="2781" w:type="pct"/>
            <w:noWrap/>
            <w:vAlign w:val="center"/>
          </w:tcPr>
          <w:p w14:paraId="7D8E1337">
            <w:pPr>
              <w:rPr>
                <w:rFonts w:hint="eastAsia"/>
                <w:lang w:val="en-US" w:eastAsia="zh-CN"/>
              </w:rPr>
            </w:pPr>
            <w:r>
              <w:rPr>
                <w:rFonts w:hint="eastAsia"/>
                <w:lang w:val="en-US" w:eastAsia="zh-CN"/>
              </w:rPr>
              <w:t>基础沉降监测</w:t>
            </w:r>
          </w:p>
        </w:tc>
        <w:tc>
          <w:tcPr>
            <w:tcW w:w="739" w:type="pct"/>
            <w:noWrap/>
            <w:vAlign w:val="center"/>
          </w:tcPr>
          <w:p w14:paraId="18F8572D">
            <w:pPr>
              <w:rPr>
                <w:rFonts w:hint="eastAsia"/>
                <w:lang w:val="en-US" w:eastAsia="zh-CN"/>
              </w:rPr>
            </w:pPr>
            <w:r>
              <w:rPr>
                <w:rFonts w:hint="eastAsia"/>
                <w:lang w:val="en-US" w:eastAsia="zh-CN"/>
              </w:rPr>
              <w:t>台</w:t>
            </w:r>
          </w:p>
        </w:tc>
        <w:tc>
          <w:tcPr>
            <w:tcW w:w="739" w:type="pct"/>
            <w:noWrap/>
            <w:vAlign w:val="center"/>
          </w:tcPr>
          <w:p w14:paraId="70B0927F">
            <w:pPr>
              <w:rPr>
                <w:rFonts w:hint="eastAsia"/>
                <w:lang w:val="en-US" w:eastAsia="zh-CN"/>
              </w:rPr>
            </w:pPr>
            <w:r>
              <w:rPr>
                <w:rFonts w:hint="eastAsia"/>
                <w:lang w:val="en-US" w:eastAsia="zh-CN"/>
              </w:rPr>
              <w:t>6</w:t>
            </w:r>
          </w:p>
        </w:tc>
      </w:tr>
      <w:tr w14:paraId="6B6B1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39" w:type="pct"/>
            <w:noWrap/>
            <w:vAlign w:val="center"/>
          </w:tcPr>
          <w:p w14:paraId="057E18A6">
            <w:pPr>
              <w:rPr>
                <w:rFonts w:hint="eastAsia"/>
                <w:lang w:val="en-US" w:eastAsia="zh-CN"/>
              </w:rPr>
            </w:pPr>
            <w:r>
              <w:rPr>
                <w:rFonts w:hint="eastAsia"/>
                <w:lang w:val="en-US" w:eastAsia="zh-CN"/>
              </w:rPr>
              <w:t>6</w:t>
            </w:r>
          </w:p>
        </w:tc>
        <w:tc>
          <w:tcPr>
            <w:tcW w:w="2781" w:type="pct"/>
            <w:noWrap/>
            <w:vAlign w:val="center"/>
          </w:tcPr>
          <w:p w14:paraId="27650E3D">
            <w:pPr>
              <w:rPr>
                <w:rFonts w:hint="eastAsia"/>
                <w:lang w:val="en-US" w:eastAsia="zh-CN"/>
              </w:rPr>
            </w:pPr>
            <w:r>
              <w:rPr>
                <w:rFonts w:hint="eastAsia"/>
                <w:lang w:val="en-US" w:eastAsia="zh-CN"/>
              </w:rPr>
              <w:t>室外铁塔视频监测</w:t>
            </w:r>
          </w:p>
        </w:tc>
        <w:tc>
          <w:tcPr>
            <w:tcW w:w="739" w:type="pct"/>
            <w:noWrap/>
            <w:vAlign w:val="center"/>
          </w:tcPr>
          <w:p w14:paraId="2CA9365F">
            <w:pPr>
              <w:rPr>
                <w:rFonts w:hint="eastAsia"/>
                <w:lang w:val="en-US" w:eastAsia="zh-CN"/>
              </w:rPr>
            </w:pPr>
            <w:r>
              <w:rPr>
                <w:rFonts w:hint="eastAsia"/>
                <w:lang w:val="en-US" w:eastAsia="zh-CN"/>
              </w:rPr>
              <w:t>套</w:t>
            </w:r>
          </w:p>
        </w:tc>
        <w:tc>
          <w:tcPr>
            <w:tcW w:w="739" w:type="pct"/>
            <w:noWrap/>
            <w:vAlign w:val="center"/>
          </w:tcPr>
          <w:p w14:paraId="2865450E">
            <w:pPr>
              <w:rPr>
                <w:rFonts w:hint="eastAsia"/>
                <w:lang w:val="en-US" w:eastAsia="zh-CN"/>
              </w:rPr>
            </w:pPr>
            <w:r>
              <w:rPr>
                <w:rFonts w:hint="eastAsia"/>
                <w:lang w:val="en-US" w:eastAsia="zh-CN"/>
              </w:rPr>
              <w:t>1</w:t>
            </w:r>
          </w:p>
        </w:tc>
      </w:tr>
      <w:tr w14:paraId="05BE1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39" w:type="pct"/>
            <w:noWrap/>
            <w:vAlign w:val="center"/>
          </w:tcPr>
          <w:p w14:paraId="165426C5">
            <w:pPr>
              <w:rPr>
                <w:rFonts w:hint="eastAsia"/>
                <w:lang w:val="en-US" w:eastAsia="zh-CN"/>
              </w:rPr>
            </w:pPr>
            <w:r>
              <w:rPr>
                <w:rFonts w:hint="eastAsia"/>
                <w:lang w:val="en-US" w:eastAsia="zh-CN"/>
              </w:rPr>
              <w:t>7</w:t>
            </w:r>
          </w:p>
        </w:tc>
        <w:tc>
          <w:tcPr>
            <w:tcW w:w="2781" w:type="pct"/>
            <w:noWrap/>
            <w:vAlign w:val="center"/>
          </w:tcPr>
          <w:p w14:paraId="23535C70">
            <w:pPr>
              <w:rPr>
                <w:rFonts w:hint="eastAsia"/>
                <w:lang w:val="en-US" w:eastAsia="zh-CN"/>
              </w:rPr>
            </w:pPr>
            <w:r>
              <w:rPr>
                <w:rFonts w:hint="eastAsia"/>
                <w:lang w:val="en-US" w:eastAsia="zh-CN"/>
              </w:rPr>
              <w:t>塔脚螺栓松动监测</w:t>
            </w:r>
          </w:p>
        </w:tc>
        <w:tc>
          <w:tcPr>
            <w:tcW w:w="739" w:type="pct"/>
            <w:noWrap/>
            <w:vAlign w:val="center"/>
          </w:tcPr>
          <w:p w14:paraId="3E91C10C">
            <w:pPr>
              <w:rPr>
                <w:rFonts w:hint="eastAsia"/>
                <w:lang w:val="en-US" w:eastAsia="zh-CN"/>
              </w:rPr>
            </w:pPr>
            <w:r>
              <w:rPr>
                <w:rFonts w:hint="eastAsia"/>
                <w:lang w:val="en-US" w:eastAsia="zh-CN"/>
              </w:rPr>
              <w:t>台</w:t>
            </w:r>
          </w:p>
        </w:tc>
        <w:tc>
          <w:tcPr>
            <w:tcW w:w="739" w:type="pct"/>
            <w:noWrap/>
            <w:vAlign w:val="center"/>
          </w:tcPr>
          <w:p w14:paraId="52DA9080">
            <w:pPr>
              <w:rPr>
                <w:rFonts w:hint="eastAsia"/>
                <w:lang w:val="en-US" w:eastAsia="zh-CN"/>
              </w:rPr>
            </w:pPr>
            <w:r>
              <w:rPr>
                <w:rFonts w:hint="eastAsia"/>
                <w:lang w:val="en-US" w:eastAsia="zh-CN"/>
              </w:rPr>
              <w:t>6</w:t>
            </w:r>
          </w:p>
        </w:tc>
      </w:tr>
      <w:tr w14:paraId="473AF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39" w:type="pct"/>
            <w:noWrap/>
            <w:vAlign w:val="center"/>
          </w:tcPr>
          <w:p w14:paraId="55A3D186">
            <w:pPr>
              <w:rPr>
                <w:rFonts w:hint="eastAsia"/>
                <w:lang w:val="en-US" w:eastAsia="zh-CN"/>
              </w:rPr>
            </w:pPr>
            <w:r>
              <w:rPr>
                <w:rFonts w:hint="eastAsia"/>
                <w:lang w:val="en-US" w:eastAsia="zh-CN"/>
              </w:rPr>
              <w:t>8</w:t>
            </w:r>
          </w:p>
        </w:tc>
        <w:tc>
          <w:tcPr>
            <w:tcW w:w="2781" w:type="pct"/>
            <w:noWrap/>
            <w:vAlign w:val="center"/>
          </w:tcPr>
          <w:p w14:paraId="2D73EF85">
            <w:pPr>
              <w:rPr>
                <w:rFonts w:hint="eastAsia"/>
                <w:lang w:val="en-US" w:eastAsia="zh-CN"/>
              </w:rPr>
            </w:pPr>
            <w:r>
              <w:rPr>
                <w:rFonts w:hint="eastAsia"/>
                <w:lang w:val="en-US" w:eastAsia="zh-CN"/>
              </w:rPr>
              <w:t>数据采集设备</w:t>
            </w:r>
          </w:p>
        </w:tc>
        <w:tc>
          <w:tcPr>
            <w:tcW w:w="739" w:type="pct"/>
            <w:noWrap/>
            <w:vAlign w:val="center"/>
          </w:tcPr>
          <w:p w14:paraId="738BC430">
            <w:pPr>
              <w:rPr>
                <w:rFonts w:hint="eastAsia"/>
                <w:lang w:val="en-US" w:eastAsia="zh-CN"/>
              </w:rPr>
            </w:pPr>
            <w:r>
              <w:rPr>
                <w:rFonts w:hint="eastAsia"/>
                <w:lang w:val="en-US" w:eastAsia="zh-CN"/>
              </w:rPr>
              <w:t>套</w:t>
            </w:r>
          </w:p>
        </w:tc>
        <w:tc>
          <w:tcPr>
            <w:tcW w:w="739" w:type="pct"/>
            <w:noWrap/>
            <w:vAlign w:val="center"/>
          </w:tcPr>
          <w:p w14:paraId="3844B909">
            <w:pPr>
              <w:rPr>
                <w:rFonts w:hint="eastAsia"/>
                <w:lang w:val="en-US" w:eastAsia="zh-CN"/>
              </w:rPr>
            </w:pPr>
            <w:r>
              <w:rPr>
                <w:rFonts w:hint="eastAsia"/>
                <w:lang w:val="en-US" w:eastAsia="zh-CN"/>
              </w:rPr>
              <w:t>1</w:t>
            </w:r>
          </w:p>
        </w:tc>
      </w:tr>
      <w:tr w14:paraId="3BBDB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39" w:type="pct"/>
            <w:noWrap/>
            <w:vAlign w:val="center"/>
          </w:tcPr>
          <w:p w14:paraId="4C712603">
            <w:pPr>
              <w:rPr>
                <w:rFonts w:hint="eastAsia"/>
                <w:lang w:val="en-US" w:eastAsia="zh-CN"/>
              </w:rPr>
            </w:pPr>
            <w:r>
              <w:rPr>
                <w:rFonts w:hint="eastAsia"/>
                <w:lang w:val="en-US" w:eastAsia="zh-CN"/>
              </w:rPr>
              <w:t>9</w:t>
            </w:r>
          </w:p>
        </w:tc>
        <w:tc>
          <w:tcPr>
            <w:tcW w:w="2781" w:type="pct"/>
            <w:noWrap/>
            <w:vAlign w:val="center"/>
          </w:tcPr>
          <w:p w14:paraId="2D917B37">
            <w:pPr>
              <w:rPr>
                <w:rFonts w:hint="eastAsia"/>
                <w:lang w:val="en-US" w:eastAsia="zh-CN"/>
              </w:rPr>
            </w:pPr>
            <w:r>
              <w:rPr>
                <w:rFonts w:hint="eastAsia"/>
                <w:lang w:val="en-US" w:eastAsia="zh-CN"/>
              </w:rPr>
              <w:t>监测机箱升级</w:t>
            </w:r>
          </w:p>
        </w:tc>
        <w:tc>
          <w:tcPr>
            <w:tcW w:w="739" w:type="pct"/>
            <w:noWrap/>
            <w:vAlign w:val="center"/>
          </w:tcPr>
          <w:p w14:paraId="6D6660F0">
            <w:pPr>
              <w:rPr>
                <w:rFonts w:hint="eastAsia"/>
                <w:lang w:val="en-US" w:eastAsia="zh-CN"/>
              </w:rPr>
            </w:pPr>
            <w:r>
              <w:rPr>
                <w:rFonts w:hint="eastAsia"/>
                <w:lang w:val="en-US" w:eastAsia="zh-CN"/>
              </w:rPr>
              <w:t>套</w:t>
            </w:r>
          </w:p>
        </w:tc>
        <w:tc>
          <w:tcPr>
            <w:tcW w:w="739" w:type="pct"/>
            <w:noWrap/>
            <w:vAlign w:val="center"/>
          </w:tcPr>
          <w:p w14:paraId="7464EF23">
            <w:pPr>
              <w:rPr>
                <w:rFonts w:hint="eastAsia"/>
                <w:lang w:val="en-US" w:eastAsia="zh-CN"/>
              </w:rPr>
            </w:pPr>
            <w:r>
              <w:rPr>
                <w:rFonts w:hint="eastAsia"/>
                <w:lang w:val="en-US" w:eastAsia="zh-CN"/>
              </w:rPr>
              <w:t>1</w:t>
            </w:r>
          </w:p>
        </w:tc>
      </w:tr>
      <w:tr w14:paraId="25041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39" w:type="pct"/>
            <w:noWrap/>
            <w:vAlign w:val="center"/>
          </w:tcPr>
          <w:p w14:paraId="554A244B">
            <w:pPr>
              <w:rPr>
                <w:rFonts w:hint="eastAsia"/>
                <w:lang w:val="en-US" w:eastAsia="zh-CN"/>
              </w:rPr>
            </w:pPr>
            <w:r>
              <w:rPr>
                <w:rFonts w:hint="eastAsia"/>
                <w:lang w:val="en-US" w:eastAsia="zh-CN"/>
              </w:rPr>
              <w:t>10</w:t>
            </w:r>
          </w:p>
        </w:tc>
        <w:tc>
          <w:tcPr>
            <w:tcW w:w="2781" w:type="pct"/>
            <w:noWrap/>
            <w:vAlign w:val="center"/>
          </w:tcPr>
          <w:p w14:paraId="33F22AB9">
            <w:pPr>
              <w:rPr>
                <w:rFonts w:hint="eastAsia"/>
                <w:lang w:val="en-US" w:eastAsia="zh-CN"/>
              </w:rPr>
            </w:pPr>
            <w:r>
              <w:rPr>
                <w:rFonts w:hint="eastAsia"/>
                <w:lang w:val="en-US" w:eastAsia="zh-CN"/>
              </w:rPr>
              <w:t>监测计算机</w:t>
            </w:r>
          </w:p>
        </w:tc>
        <w:tc>
          <w:tcPr>
            <w:tcW w:w="739" w:type="pct"/>
            <w:noWrap/>
            <w:vAlign w:val="center"/>
          </w:tcPr>
          <w:p w14:paraId="46141280">
            <w:pPr>
              <w:rPr>
                <w:rFonts w:hint="eastAsia"/>
                <w:lang w:val="en-US" w:eastAsia="zh-CN"/>
              </w:rPr>
            </w:pPr>
            <w:r>
              <w:rPr>
                <w:rFonts w:hint="eastAsia"/>
                <w:lang w:val="en-US" w:eastAsia="zh-CN"/>
              </w:rPr>
              <w:t>台</w:t>
            </w:r>
          </w:p>
        </w:tc>
        <w:tc>
          <w:tcPr>
            <w:tcW w:w="739" w:type="pct"/>
            <w:noWrap/>
            <w:vAlign w:val="center"/>
          </w:tcPr>
          <w:p w14:paraId="6712F1DE">
            <w:pPr>
              <w:rPr>
                <w:rFonts w:hint="eastAsia"/>
                <w:lang w:val="en-US" w:eastAsia="zh-CN"/>
              </w:rPr>
            </w:pPr>
            <w:r>
              <w:rPr>
                <w:rFonts w:hint="eastAsia"/>
                <w:lang w:val="en-US" w:eastAsia="zh-CN"/>
              </w:rPr>
              <w:t>1</w:t>
            </w:r>
          </w:p>
        </w:tc>
      </w:tr>
      <w:tr w14:paraId="0424B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39" w:type="pct"/>
            <w:noWrap/>
            <w:vAlign w:val="center"/>
          </w:tcPr>
          <w:p w14:paraId="59D1667C">
            <w:pPr>
              <w:rPr>
                <w:rFonts w:hint="eastAsia"/>
                <w:lang w:val="en-US" w:eastAsia="zh-CN"/>
              </w:rPr>
            </w:pPr>
            <w:r>
              <w:rPr>
                <w:rFonts w:hint="eastAsia"/>
                <w:lang w:val="en-US" w:eastAsia="zh-CN"/>
              </w:rPr>
              <w:t>11</w:t>
            </w:r>
          </w:p>
        </w:tc>
        <w:tc>
          <w:tcPr>
            <w:tcW w:w="2781" w:type="pct"/>
            <w:noWrap/>
            <w:vAlign w:val="center"/>
          </w:tcPr>
          <w:p w14:paraId="0910F91F">
            <w:pPr>
              <w:rPr>
                <w:rFonts w:hint="eastAsia"/>
                <w:lang w:val="en-US" w:eastAsia="zh-CN"/>
              </w:rPr>
            </w:pPr>
            <w:r>
              <w:rPr>
                <w:rFonts w:hint="eastAsia"/>
                <w:lang w:val="en-US" w:eastAsia="zh-CN"/>
              </w:rPr>
              <w:t>数据采集分析系统升级</w:t>
            </w:r>
          </w:p>
        </w:tc>
        <w:tc>
          <w:tcPr>
            <w:tcW w:w="739" w:type="pct"/>
            <w:noWrap/>
            <w:vAlign w:val="center"/>
          </w:tcPr>
          <w:p w14:paraId="0759AE06">
            <w:pPr>
              <w:rPr>
                <w:rFonts w:hint="eastAsia"/>
                <w:lang w:val="en-US" w:eastAsia="zh-CN"/>
              </w:rPr>
            </w:pPr>
            <w:r>
              <w:rPr>
                <w:rFonts w:hint="eastAsia"/>
                <w:lang w:val="en-US" w:eastAsia="zh-CN"/>
              </w:rPr>
              <w:t>套</w:t>
            </w:r>
          </w:p>
        </w:tc>
        <w:tc>
          <w:tcPr>
            <w:tcW w:w="739" w:type="pct"/>
            <w:noWrap/>
            <w:vAlign w:val="center"/>
          </w:tcPr>
          <w:p w14:paraId="29F6E720">
            <w:pPr>
              <w:rPr>
                <w:rFonts w:hint="eastAsia"/>
                <w:lang w:val="en-US" w:eastAsia="zh-CN"/>
              </w:rPr>
            </w:pPr>
            <w:r>
              <w:rPr>
                <w:rFonts w:hint="eastAsia"/>
                <w:lang w:val="en-US" w:eastAsia="zh-CN"/>
              </w:rPr>
              <w:t>1</w:t>
            </w:r>
          </w:p>
        </w:tc>
      </w:tr>
      <w:tr w14:paraId="4A7DA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39" w:type="pct"/>
            <w:noWrap/>
            <w:vAlign w:val="center"/>
          </w:tcPr>
          <w:p w14:paraId="70CE4659">
            <w:pPr>
              <w:rPr>
                <w:rFonts w:hint="eastAsia"/>
                <w:lang w:val="en-US" w:eastAsia="zh-CN"/>
              </w:rPr>
            </w:pPr>
            <w:r>
              <w:rPr>
                <w:rFonts w:hint="eastAsia"/>
                <w:lang w:val="en-US" w:eastAsia="zh-CN"/>
              </w:rPr>
              <w:t>12</w:t>
            </w:r>
          </w:p>
        </w:tc>
        <w:tc>
          <w:tcPr>
            <w:tcW w:w="2781" w:type="pct"/>
            <w:noWrap/>
            <w:vAlign w:val="center"/>
          </w:tcPr>
          <w:p w14:paraId="532DC06C">
            <w:pPr>
              <w:rPr>
                <w:rFonts w:hint="eastAsia"/>
                <w:lang w:val="en-US" w:eastAsia="zh-CN"/>
              </w:rPr>
            </w:pPr>
            <w:r>
              <w:rPr>
                <w:rFonts w:hint="eastAsia"/>
                <w:lang w:val="en-US" w:eastAsia="zh-CN"/>
              </w:rPr>
              <w:t>铁塔监测展示系统升级</w:t>
            </w:r>
          </w:p>
        </w:tc>
        <w:tc>
          <w:tcPr>
            <w:tcW w:w="739" w:type="pct"/>
            <w:noWrap/>
            <w:vAlign w:val="center"/>
          </w:tcPr>
          <w:p w14:paraId="61A95484">
            <w:pPr>
              <w:rPr>
                <w:rFonts w:hint="eastAsia"/>
                <w:lang w:val="en-US" w:eastAsia="zh-CN"/>
              </w:rPr>
            </w:pPr>
            <w:r>
              <w:rPr>
                <w:rFonts w:hint="eastAsia"/>
                <w:lang w:val="en-US" w:eastAsia="zh-CN"/>
              </w:rPr>
              <w:t>套</w:t>
            </w:r>
          </w:p>
        </w:tc>
        <w:tc>
          <w:tcPr>
            <w:tcW w:w="739" w:type="pct"/>
            <w:noWrap/>
            <w:vAlign w:val="center"/>
          </w:tcPr>
          <w:p w14:paraId="59DCB09C">
            <w:pPr>
              <w:rPr>
                <w:rFonts w:hint="eastAsia"/>
                <w:lang w:val="en-US" w:eastAsia="zh-CN"/>
              </w:rPr>
            </w:pPr>
            <w:r>
              <w:rPr>
                <w:rFonts w:hint="eastAsia"/>
                <w:lang w:val="en-US" w:eastAsia="zh-CN"/>
              </w:rPr>
              <w:t>1</w:t>
            </w:r>
          </w:p>
        </w:tc>
      </w:tr>
      <w:tr w14:paraId="3A206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39" w:type="pct"/>
            <w:noWrap/>
            <w:vAlign w:val="center"/>
          </w:tcPr>
          <w:p w14:paraId="659C32A1">
            <w:pPr>
              <w:rPr>
                <w:rFonts w:hint="eastAsia"/>
                <w:lang w:val="en-US" w:eastAsia="zh-CN"/>
              </w:rPr>
            </w:pPr>
            <w:r>
              <w:rPr>
                <w:rFonts w:hint="eastAsia"/>
                <w:lang w:val="en-US" w:eastAsia="zh-CN"/>
              </w:rPr>
              <w:t>13</w:t>
            </w:r>
          </w:p>
        </w:tc>
        <w:tc>
          <w:tcPr>
            <w:tcW w:w="2781" w:type="pct"/>
            <w:noWrap/>
            <w:vAlign w:val="center"/>
          </w:tcPr>
          <w:p w14:paraId="1EBD48F2">
            <w:pPr>
              <w:rPr>
                <w:rFonts w:hint="eastAsia"/>
                <w:lang w:val="en-US" w:eastAsia="zh-CN"/>
              </w:rPr>
            </w:pPr>
            <w:r>
              <w:rPr>
                <w:rFonts w:hint="eastAsia"/>
                <w:lang w:val="en-US" w:eastAsia="zh-CN"/>
              </w:rPr>
              <w:t>倾斜报警分析模块</w:t>
            </w:r>
          </w:p>
        </w:tc>
        <w:tc>
          <w:tcPr>
            <w:tcW w:w="739" w:type="pct"/>
            <w:noWrap/>
            <w:vAlign w:val="center"/>
          </w:tcPr>
          <w:p w14:paraId="6B1E7061">
            <w:pPr>
              <w:rPr>
                <w:rFonts w:hint="eastAsia"/>
                <w:lang w:val="en-US" w:eastAsia="zh-CN"/>
              </w:rPr>
            </w:pPr>
            <w:r>
              <w:rPr>
                <w:rFonts w:hint="eastAsia"/>
                <w:lang w:val="en-US" w:eastAsia="zh-CN"/>
              </w:rPr>
              <w:t>套</w:t>
            </w:r>
          </w:p>
        </w:tc>
        <w:tc>
          <w:tcPr>
            <w:tcW w:w="739" w:type="pct"/>
            <w:noWrap/>
            <w:vAlign w:val="center"/>
          </w:tcPr>
          <w:p w14:paraId="779CABFC">
            <w:pPr>
              <w:rPr>
                <w:rFonts w:hint="eastAsia"/>
                <w:lang w:val="en-US" w:eastAsia="zh-CN"/>
              </w:rPr>
            </w:pPr>
            <w:r>
              <w:rPr>
                <w:rFonts w:hint="eastAsia"/>
                <w:lang w:val="en-US" w:eastAsia="zh-CN"/>
              </w:rPr>
              <w:t>1</w:t>
            </w:r>
          </w:p>
        </w:tc>
      </w:tr>
      <w:tr w14:paraId="7F45B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39" w:type="pct"/>
            <w:noWrap/>
            <w:vAlign w:val="center"/>
          </w:tcPr>
          <w:p w14:paraId="621CD6E5">
            <w:pPr>
              <w:rPr>
                <w:rFonts w:hint="eastAsia"/>
                <w:lang w:val="en-US" w:eastAsia="zh-CN"/>
              </w:rPr>
            </w:pPr>
            <w:r>
              <w:rPr>
                <w:rFonts w:hint="eastAsia"/>
                <w:lang w:val="en-US" w:eastAsia="zh-CN"/>
              </w:rPr>
              <w:t>14</w:t>
            </w:r>
          </w:p>
        </w:tc>
        <w:tc>
          <w:tcPr>
            <w:tcW w:w="2781" w:type="pct"/>
            <w:noWrap/>
            <w:vAlign w:val="center"/>
          </w:tcPr>
          <w:p w14:paraId="213AD9A5">
            <w:pPr>
              <w:rPr>
                <w:rFonts w:hint="eastAsia"/>
                <w:lang w:val="en-US" w:eastAsia="zh-CN"/>
              </w:rPr>
            </w:pPr>
            <w:r>
              <w:rPr>
                <w:rFonts w:hint="eastAsia"/>
                <w:lang w:val="en-US" w:eastAsia="zh-CN"/>
              </w:rPr>
              <w:t>震动周期报警分析模块</w:t>
            </w:r>
          </w:p>
        </w:tc>
        <w:tc>
          <w:tcPr>
            <w:tcW w:w="739" w:type="pct"/>
            <w:noWrap/>
            <w:vAlign w:val="center"/>
          </w:tcPr>
          <w:p w14:paraId="321D363C">
            <w:pPr>
              <w:rPr>
                <w:rFonts w:hint="eastAsia"/>
                <w:lang w:val="en-US" w:eastAsia="zh-CN"/>
              </w:rPr>
            </w:pPr>
            <w:r>
              <w:rPr>
                <w:rFonts w:hint="eastAsia"/>
                <w:lang w:val="en-US" w:eastAsia="zh-CN"/>
              </w:rPr>
              <w:t>套</w:t>
            </w:r>
          </w:p>
        </w:tc>
        <w:tc>
          <w:tcPr>
            <w:tcW w:w="739" w:type="pct"/>
            <w:noWrap/>
            <w:vAlign w:val="center"/>
          </w:tcPr>
          <w:p w14:paraId="5B1E0307">
            <w:pPr>
              <w:rPr>
                <w:rFonts w:hint="eastAsia"/>
                <w:lang w:val="en-US" w:eastAsia="zh-CN"/>
              </w:rPr>
            </w:pPr>
            <w:r>
              <w:rPr>
                <w:rFonts w:hint="eastAsia"/>
                <w:lang w:val="en-US" w:eastAsia="zh-CN"/>
              </w:rPr>
              <w:t>1</w:t>
            </w:r>
          </w:p>
        </w:tc>
      </w:tr>
      <w:tr w14:paraId="1FE11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39" w:type="pct"/>
            <w:noWrap/>
            <w:vAlign w:val="center"/>
          </w:tcPr>
          <w:p w14:paraId="111CED9E">
            <w:pPr>
              <w:rPr>
                <w:rFonts w:hint="eastAsia"/>
                <w:lang w:val="en-US" w:eastAsia="zh-CN"/>
              </w:rPr>
            </w:pPr>
            <w:r>
              <w:rPr>
                <w:rFonts w:hint="eastAsia"/>
                <w:lang w:val="en-US" w:eastAsia="zh-CN"/>
              </w:rPr>
              <w:t>15</w:t>
            </w:r>
          </w:p>
        </w:tc>
        <w:tc>
          <w:tcPr>
            <w:tcW w:w="2781" w:type="pct"/>
            <w:noWrap/>
            <w:vAlign w:val="center"/>
          </w:tcPr>
          <w:p w14:paraId="26606159">
            <w:pPr>
              <w:rPr>
                <w:rFonts w:hint="eastAsia"/>
                <w:lang w:val="en-US" w:eastAsia="zh-CN"/>
              </w:rPr>
            </w:pPr>
            <w:r>
              <w:rPr>
                <w:rFonts w:hint="eastAsia"/>
                <w:lang w:val="en-US" w:eastAsia="zh-CN"/>
              </w:rPr>
              <w:t>杆件应力报警分析模块</w:t>
            </w:r>
          </w:p>
        </w:tc>
        <w:tc>
          <w:tcPr>
            <w:tcW w:w="739" w:type="pct"/>
            <w:noWrap/>
            <w:vAlign w:val="center"/>
          </w:tcPr>
          <w:p w14:paraId="366FB2AC">
            <w:pPr>
              <w:rPr>
                <w:rFonts w:hint="eastAsia"/>
                <w:lang w:val="en-US" w:eastAsia="zh-CN"/>
              </w:rPr>
            </w:pPr>
            <w:r>
              <w:rPr>
                <w:rFonts w:hint="eastAsia"/>
                <w:lang w:val="en-US" w:eastAsia="zh-CN"/>
              </w:rPr>
              <w:t>套</w:t>
            </w:r>
          </w:p>
        </w:tc>
        <w:tc>
          <w:tcPr>
            <w:tcW w:w="739" w:type="pct"/>
            <w:noWrap/>
            <w:vAlign w:val="center"/>
          </w:tcPr>
          <w:p w14:paraId="787E5246">
            <w:pPr>
              <w:rPr>
                <w:rFonts w:hint="eastAsia"/>
                <w:lang w:val="en-US" w:eastAsia="zh-CN"/>
              </w:rPr>
            </w:pPr>
            <w:r>
              <w:rPr>
                <w:rFonts w:hint="eastAsia"/>
                <w:lang w:val="en-US" w:eastAsia="zh-CN"/>
              </w:rPr>
              <w:t>1</w:t>
            </w:r>
          </w:p>
        </w:tc>
      </w:tr>
      <w:tr w14:paraId="41D44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39" w:type="pct"/>
            <w:noWrap/>
            <w:vAlign w:val="center"/>
          </w:tcPr>
          <w:p w14:paraId="24044A99">
            <w:pPr>
              <w:rPr>
                <w:rFonts w:hint="eastAsia"/>
                <w:lang w:val="en-US" w:eastAsia="zh-CN"/>
              </w:rPr>
            </w:pPr>
            <w:r>
              <w:rPr>
                <w:rFonts w:hint="eastAsia"/>
                <w:lang w:val="en-US" w:eastAsia="zh-CN"/>
              </w:rPr>
              <w:t>16</w:t>
            </w:r>
          </w:p>
        </w:tc>
        <w:tc>
          <w:tcPr>
            <w:tcW w:w="2781" w:type="pct"/>
            <w:noWrap/>
            <w:vAlign w:val="center"/>
          </w:tcPr>
          <w:p w14:paraId="5FCFC97F">
            <w:pPr>
              <w:rPr>
                <w:rFonts w:hint="eastAsia"/>
                <w:lang w:val="en-US" w:eastAsia="zh-CN"/>
              </w:rPr>
            </w:pPr>
            <w:r>
              <w:rPr>
                <w:rFonts w:hint="eastAsia"/>
                <w:lang w:val="en-US" w:eastAsia="zh-CN"/>
              </w:rPr>
              <w:t>螺栓报警分析模块</w:t>
            </w:r>
          </w:p>
        </w:tc>
        <w:tc>
          <w:tcPr>
            <w:tcW w:w="739" w:type="pct"/>
            <w:noWrap/>
            <w:vAlign w:val="center"/>
          </w:tcPr>
          <w:p w14:paraId="784B5543">
            <w:pPr>
              <w:rPr>
                <w:rFonts w:hint="eastAsia"/>
                <w:lang w:val="en-US" w:eastAsia="zh-CN"/>
              </w:rPr>
            </w:pPr>
            <w:r>
              <w:rPr>
                <w:rFonts w:hint="eastAsia"/>
                <w:lang w:val="en-US" w:eastAsia="zh-CN"/>
              </w:rPr>
              <w:t>套</w:t>
            </w:r>
          </w:p>
        </w:tc>
        <w:tc>
          <w:tcPr>
            <w:tcW w:w="739" w:type="pct"/>
            <w:noWrap/>
            <w:vAlign w:val="center"/>
          </w:tcPr>
          <w:p w14:paraId="5B042529">
            <w:pPr>
              <w:rPr>
                <w:rFonts w:hint="eastAsia"/>
                <w:lang w:val="en-US" w:eastAsia="zh-CN"/>
              </w:rPr>
            </w:pPr>
            <w:r>
              <w:rPr>
                <w:rFonts w:hint="eastAsia"/>
                <w:lang w:val="en-US" w:eastAsia="zh-CN"/>
              </w:rPr>
              <w:t>1</w:t>
            </w:r>
          </w:p>
        </w:tc>
      </w:tr>
      <w:tr w14:paraId="6FAA6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39" w:type="pct"/>
            <w:noWrap/>
            <w:vAlign w:val="center"/>
          </w:tcPr>
          <w:p w14:paraId="31039AB2">
            <w:pPr>
              <w:rPr>
                <w:rFonts w:hint="eastAsia"/>
                <w:lang w:val="en-US" w:eastAsia="zh-CN"/>
              </w:rPr>
            </w:pPr>
            <w:r>
              <w:rPr>
                <w:rFonts w:hint="eastAsia"/>
                <w:lang w:val="en-US" w:eastAsia="zh-CN"/>
              </w:rPr>
              <w:t>17</w:t>
            </w:r>
          </w:p>
        </w:tc>
        <w:tc>
          <w:tcPr>
            <w:tcW w:w="2781" w:type="pct"/>
            <w:noWrap/>
            <w:vAlign w:val="center"/>
          </w:tcPr>
          <w:p w14:paraId="0BC87F4D">
            <w:pPr>
              <w:rPr>
                <w:rFonts w:hint="eastAsia"/>
                <w:lang w:val="en-US" w:eastAsia="zh-CN"/>
              </w:rPr>
            </w:pPr>
            <w:r>
              <w:rPr>
                <w:rFonts w:hint="eastAsia"/>
                <w:lang w:val="en-US" w:eastAsia="zh-CN"/>
              </w:rPr>
              <w:t>铁塔沉降报警分析模块</w:t>
            </w:r>
          </w:p>
        </w:tc>
        <w:tc>
          <w:tcPr>
            <w:tcW w:w="739" w:type="pct"/>
            <w:noWrap/>
            <w:vAlign w:val="center"/>
          </w:tcPr>
          <w:p w14:paraId="78A7A01D">
            <w:pPr>
              <w:rPr>
                <w:rFonts w:hint="eastAsia"/>
                <w:lang w:val="en-US" w:eastAsia="zh-CN"/>
              </w:rPr>
            </w:pPr>
            <w:r>
              <w:rPr>
                <w:rFonts w:hint="eastAsia"/>
                <w:lang w:val="en-US" w:eastAsia="zh-CN"/>
              </w:rPr>
              <w:t>套</w:t>
            </w:r>
          </w:p>
        </w:tc>
        <w:tc>
          <w:tcPr>
            <w:tcW w:w="739" w:type="pct"/>
            <w:noWrap/>
            <w:vAlign w:val="center"/>
          </w:tcPr>
          <w:p w14:paraId="61497A45">
            <w:pPr>
              <w:rPr>
                <w:rFonts w:hint="eastAsia"/>
                <w:lang w:val="en-US" w:eastAsia="zh-CN"/>
              </w:rPr>
            </w:pPr>
            <w:r>
              <w:rPr>
                <w:rFonts w:hint="eastAsia"/>
                <w:lang w:val="en-US" w:eastAsia="zh-CN"/>
              </w:rPr>
              <w:t>1</w:t>
            </w:r>
          </w:p>
        </w:tc>
      </w:tr>
      <w:tr w14:paraId="5B005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39" w:type="pct"/>
            <w:noWrap/>
            <w:vAlign w:val="center"/>
          </w:tcPr>
          <w:p w14:paraId="7430207E">
            <w:pPr>
              <w:rPr>
                <w:rFonts w:hint="eastAsia"/>
                <w:lang w:val="en-US" w:eastAsia="zh-CN"/>
              </w:rPr>
            </w:pPr>
            <w:r>
              <w:rPr>
                <w:rFonts w:hint="eastAsia"/>
                <w:lang w:val="en-US" w:eastAsia="zh-CN"/>
              </w:rPr>
              <w:t>18</w:t>
            </w:r>
          </w:p>
        </w:tc>
        <w:tc>
          <w:tcPr>
            <w:tcW w:w="2781" w:type="pct"/>
            <w:noWrap/>
            <w:vAlign w:val="center"/>
          </w:tcPr>
          <w:p w14:paraId="2FA3F5A0">
            <w:pPr>
              <w:rPr>
                <w:rFonts w:hint="eastAsia"/>
                <w:lang w:val="en-US" w:eastAsia="zh-CN"/>
              </w:rPr>
            </w:pPr>
            <w:r>
              <w:rPr>
                <w:rFonts w:hint="eastAsia"/>
                <w:lang w:val="en-US" w:eastAsia="zh-CN"/>
              </w:rPr>
              <w:t>安装辅料</w:t>
            </w:r>
          </w:p>
        </w:tc>
        <w:tc>
          <w:tcPr>
            <w:tcW w:w="739" w:type="pct"/>
            <w:noWrap/>
            <w:vAlign w:val="center"/>
          </w:tcPr>
          <w:p w14:paraId="2E34DD20">
            <w:pPr>
              <w:rPr>
                <w:rFonts w:hint="eastAsia"/>
                <w:lang w:val="en-US" w:eastAsia="zh-CN"/>
              </w:rPr>
            </w:pPr>
            <w:r>
              <w:rPr>
                <w:rFonts w:hint="eastAsia"/>
                <w:lang w:val="en-US" w:eastAsia="zh-CN"/>
              </w:rPr>
              <w:t>套</w:t>
            </w:r>
          </w:p>
        </w:tc>
        <w:tc>
          <w:tcPr>
            <w:tcW w:w="739" w:type="pct"/>
            <w:noWrap/>
            <w:vAlign w:val="center"/>
          </w:tcPr>
          <w:p w14:paraId="5C841100">
            <w:pPr>
              <w:rPr>
                <w:rFonts w:hint="eastAsia"/>
                <w:lang w:val="en-US" w:eastAsia="zh-CN"/>
              </w:rPr>
            </w:pPr>
            <w:r>
              <w:rPr>
                <w:rFonts w:hint="eastAsia"/>
                <w:lang w:val="en-US" w:eastAsia="zh-CN"/>
              </w:rPr>
              <w:t>1</w:t>
            </w:r>
          </w:p>
        </w:tc>
      </w:tr>
      <w:tr w14:paraId="7C386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39" w:type="pct"/>
            <w:noWrap/>
            <w:vAlign w:val="center"/>
          </w:tcPr>
          <w:p w14:paraId="733B26F0">
            <w:pPr>
              <w:rPr>
                <w:rFonts w:hint="eastAsia"/>
                <w:lang w:val="en-US" w:eastAsia="zh-CN"/>
              </w:rPr>
            </w:pPr>
            <w:r>
              <w:rPr>
                <w:rFonts w:hint="eastAsia"/>
                <w:lang w:val="en-US" w:eastAsia="zh-CN"/>
              </w:rPr>
              <w:t>19</w:t>
            </w:r>
          </w:p>
        </w:tc>
        <w:tc>
          <w:tcPr>
            <w:tcW w:w="2781" w:type="pct"/>
            <w:noWrap/>
            <w:vAlign w:val="center"/>
          </w:tcPr>
          <w:p w14:paraId="74C13FC7">
            <w:pPr>
              <w:rPr>
                <w:rFonts w:hint="eastAsia"/>
                <w:lang w:val="en-US" w:eastAsia="zh-CN"/>
              </w:rPr>
            </w:pPr>
            <w:r>
              <w:rPr>
                <w:rFonts w:hint="eastAsia"/>
                <w:lang w:val="en-US" w:eastAsia="zh-CN"/>
              </w:rPr>
              <w:t>现场施工</w:t>
            </w:r>
          </w:p>
        </w:tc>
        <w:tc>
          <w:tcPr>
            <w:tcW w:w="739" w:type="pct"/>
            <w:noWrap/>
            <w:vAlign w:val="center"/>
          </w:tcPr>
          <w:p w14:paraId="478CA46D">
            <w:pPr>
              <w:rPr>
                <w:rFonts w:hint="eastAsia"/>
                <w:lang w:val="en-US" w:eastAsia="zh-CN"/>
              </w:rPr>
            </w:pPr>
            <w:r>
              <w:rPr>
                <w:rFonts w:hint="eastAsia"/>
                <w:lang w:val="en-US" w:eastAsia="zh-CN"/>
              </w:rPr>
              <w:t>套</w:t>
            </w:r>
          </w:p>
        </w:tc>
        <w:tc>
          <w:tcPr>
            <w:tcW w:w="739" w:type="pct"/>
            <w:noWrap/>
            <w:vAlign w:val="center"/>
          </w:tcPr>
          <w:p w14:paraId="51C6A5A3">
            <w:pPr>
              <w:rPr>
                <w:rFonts w:hint="eastAsia"/>
                <w:lang w:val="en-US" w:eastAsia="zh-CN"/>
              </w:rPr>
            </w:pPr>
            <w:r>
              <w:rPr>
                <w:rFonts w:hint="eastAsia"/>
                <w:lang w:val="en-US" w:eastAsia="zh-CN"/>
              </w:rPr>
              <w:t>1</w:t>
            </w:r>
          </w:p>
        </w:tc>
      </w:tr>
    </w:tbl>
    <w:p w14:paraId="47B264C4">
      <w:pPr>
        <w:rPr>
          <w:rFonts w:hint="default"/>
          <w:lang w:val="en-US" w:eastAsia="zh-CN"/>
        </w:rPr>
      </w:pPr>
    </w:p>
    <w:p w14:paraId="096B1798">
      <w:pPr>
        <w:bidi w:val="0"/>
        <w:jc w:val="both"/>
        <w:rPr>
          <w:rFonts w:hint="eastAsia"/>
          <w:b/>
          <w:color w:val="auto"/>
          <w:sz w:val="36"/>
          <w:szCs w:val="36"/>
          <w:highlight w:val="none"/>
          <w:lang w:val="en-US" w:eastAsia="zh-CN"/>
        </w:rPr>
      </w:pPr>
    </w:p>
    <w:p w14:paraId="189B19C7">
      <w:pPr>
        <w:bidi w:val="0"/>
        <w:jc w:val="center"/>
        <w:rPr>
          <w:rFonts w:hint="eastAsia"/>
          <w:b/>
          <w:color w:val="auto"/>
          <w:sz w:val="36"/>
          <w:szCs w:val="36"/>
          <w:highlight w:val="none"/>
          <w:lang w:val="en-US" w:eastAsia="zh-CN"/>
        </w:rPr>
      </w:pPr>
    </w:p>
    <w:p w14:paraId="11939513">
      <w:pPr>
        <w:bidi w:val="0"/>
        <w:jc w:val="center"/>
        <w:rPr>
          <w:rFonts w:hint="eastAsia"/>
          <w:b/>
          <w:color w:val="auto"/>
          <w:sz w:val="36"/>
          <w:szCs w:val="36"/>
          <w:highlight w:val="none"/>
          <w:lang w:val="en-US" w:eastAsia="zh-CN"/>
        </w:rPr>
      </w:pPr>
    </w:p>
    <w:p w14:paraId="0637AC10">
      <w:pPr>
        <w:bidi w:val="0"/>
        <w:jc w:val="center"/>
        <w:rPr>
          <w:rFonts w:hint="eastAsia"/>
          <w:b/>
          <w:color w:val="auto"/>
          <w:sz w:val="36"/>
          <w:szCs w:val="36"/>
          <w:highlight w:val="none"/>
          <w:lang w:val="en-US" w:eastAsia="zh-CN"/>
        </w:rPr>
      </w:pPr>
    </w:p>
    <w:p w14:paraId="0BF282B7">
      <w:pPr>
        <w:bidi w:val="0"/>
        <w:jc w:val="center"/>
        <w:rPr>
          <w:rFonts w:hint="eastAsia"/>
          <w:b/>
          <w:color w:val="auto"/>
          <w:sz w:val="36"/>
          <w:szCs w:val="36"/>
          <w:highlight w:val="none"/>
          <w:lang w:val="en-US" w:eastAsia="zh-CN"/>
        </w:rPr>
      </w:pPr>
    </w:p>
    <w:p w14:paraId="3136A6B2">
      <w:pPr>
        <w:bidi w:val="0"/>
        <w:jc w:val="center"/>
        <w:rPr>
          <w:rFonts w:hint="eastAsia"/>
          <w:b/>
          <w:color w:val="auto"/>
          <w:sz w:val="36"/>
          <w:szCs w:val="36"/>
          <w:highlight w:val="none"/>
          <w:lang w:val="en-US" w:eastAsia="zh-CN"/>
        </w:rPr>
      </w:pPr>
    </w:p>
    <w:p w14:paraId="5B569A90">
      <w:pPr>
        <w:bidi w:val="0"/>
        <w:jc w:val="center"/>
        <w:rPr>
          <w:rFonts w:hint="eastAsia"/>
          <w:b/>
          <w:color w:val="auto"/>
          <w:sz w:val="36"/>
          <w:szCs w:val="36"/>
          <w:highlight w:val="none"/>
          <w:lang w:val="en-US" w:eastAsia="zh-CN"/>
        </w:rPr>
      </w:pPr>
    </w:p>
    <w:p w14:paraId="3486A6FD">
      <w:pPr>
        <w:bidi w:val="0"/>
        <w:jc w:val="center"/>
        <w:rPr>
          <w:b/>
          <w:bCs/>
          <w:color w:val="auto"/>
          <w:sz w:val="36"/>
          <w:szCs w:val="36"/>
          <w:highlight w:val="none"/>
        </w:rPr>
      </w:pPr>
      <w:r>
        <w:rPr>
          <w:rFonts w:hint="eastAsia"/>
          <w:b/>
          <w:color w:val="auto"/>
          <w:sz w:val="36"/>
          <w:szCs w:val="36"/>
          <w:highlight w:val="none"/>
          <w:lang w:val="en-US" w:eastAsia="zh-CN"/>
        </w:rPr>
        <w:t xml:space="preserve">第四章 </w:t>
      </w:r>
      <w:r>
        <w:rPr>
          <w:rFonts w:hint="eastAsia"/>
          <w:b/>
          <w:color w:val="auto"/>
          <w:sz w:val="36"/>
          <w:szCs w:val="36"/>
          <w:highlight w:val="none"/>
        </w:rPr>
        <w:t>评审方法</w:t>
      </w:r>
      <w:bookmarkEnd w:id="13"/>
      <w:bookmarkEnd w:id="14"/>
      <w:bookmarkEnd w:id="15"/>
    </w:p>
    <w:p w14:paraId="0AF50BBB">
      <w:pPr>
        <w:ind w:firstLine="241" w:firstLineChars="100"/>
        <w:outlineLvl w:val="1"/>
        <w:rPr>
          <w:rFonts w:hint="eastAsia" w:eastAsia="黑体"/>
          <w:b/>
          <w:bCs/>
          <w:color w:val="auto"/>
          <w:kern w:val="44"/>
          <w:sz w:val="24"/>
          <w:highlight w:val="none"/>
        </w:rPr>
      </w:pPr>
      <w:r>
        <w:rPr>
          <w:rFonts w:hint="eastAsia" w:ascii="宋体" w:hAnsi="宋体"/>
          <w:b/>
          <w:color w:val="auto"/>
          <w:sz w:val="24"/>
          <w:highlight w:val="none"/>
        </w:rPr>
        <w:t>（一）初步评审前附表</w:t>
      </w:r>
      <w:bookmarkEnd w:id="16"/>
    </w:p>
    <w:tbl>
      <w:tblPr>
        <w:tblStyle w:val="34"/>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855"/>
        <w:gridCol w:w="1530"/>
        <w:gridCol w:w="5793"/>
      </w:tblGrid>
      <w:tr w14:paraId="7815D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696" w:type="dxa"/>
            <w:gridSpan w:val="2"/>
            <w:shd w:val="clear" w:color="auto" w:fill="D7D7D7"/>
            <w:vAlign w:val="center"/>
          </w:tcPr>
          <w:p w14:paraId="5A096316">
            <w:pPr>
              <w:autoSpaceDE w:val="0"/>
              <w:autoSpaceDN w:val="0"/>
              <w:adjustRightInd w:val="0"/>
              <w:spacing w:line="400" w:lineRule="exact"/>
              <w:jc w:val="center"/>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条款号</w:t>
            </w:r>
          </w:p>
        </w:tc>
        <w:tc>
          <w:tcPr>
            <w:tcW w:w="1530" w:type="dxa"/>
            <w:shd w:val="clear" w:color="auto" w:fill="D7D7D7"/>
            <w:vAlign w:val="center"/>
          </w:tcPr>
          <w:p w14:paraId="30AE2457">
            <w:pPr>
              <w:autoSpaceDE w:val="0"/>
              <w:autoSpaceDN w:val="0"/>
              <w:adjustRightInd w:val="0"/>
              <w:spacing w:line="400" w:lineRule="exact"/>
              <w:jc w:val="center"/>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评审因素</w:t>
            </w:r>
          </w:p>
        </w:tc>
        <w:tc>
          <w:tcPr>
            <w:tcW w:w="5793" w:type="dxa"/>
            <w:shd w:val="clear" w:color="auto" w:fill="D7D7D7"/>
            <w:vAlign w:val="center"/>
          </w:tcPr>
          <w:p w14:paraId="05164B0D">
            <w:pPr>
              <w:autoSpaceDE w:val="0"/>
              <w:autoSpaceDN w:val="0"/>
              <w:adjustRightInd w:val="0"/>
              <w:spacing w:line="400" w:lineRule="exact"/>
              <w:jc w:val="center"/>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评审标准</w:t>
            </w:r>
          </w:p>
        </w:tc>
      </w:tr>
      <w:tr w14:paraId="11D30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Align w:val="center"/>
          </w:tcPr>
          <w:p w14:paraId="532DA979">
            <w:pPr>
              <w:autoSpaceDE w:val="0"/>
              <w:autoSpaceDN w:val="0"/>
              <w:adjustRightInd w:val="0"/>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855" w:type="dxa"/>
            <w:vAlign w:val="center"/>
          </w:tcPr>
          <w:p w14:paraId="2E4C7140">
            <w:pPr>
              <w:autoSpaceDE w:val="0"/>
              <w:autoSpaceDN w:val="0"/>
              <w:adjustRightInd w:val="0"/>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评标方法</w:t>
            </w:r>
          </w:p>
        </w:tc>
        <w:tc>
          <w:tcPr>
            <w:tcW w:w="1530" w:type="dxa"/>
            <w:vAlign w:val="center"/>
          </w:tcPr>
          <w:p w14:paraId="46FD1F01">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中标候选人排序方法</w:t>
            </w:r>
          </w:p>
        </w:tc>
        <w:tc>
          <w:tcPr>
            <w:tcW w:w="5793" w:type="dxa"/>
            <w:vAlign w:val="center"/>
          </w:tcPr>
          <w:p w14:paraId="3A20E3F8">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评标委员会将按下述标准评定中标候选人：按</w:t>
            </w:r>
            <w:r>
              <w:rPr>
                <w:rFonts w:hint="eastAsia" w:ascii="宋体" w:hAnsi="宋体" w:cs="宋体"/>
                <w:bCs/>
                <w:color w:val="auto"/>
                <w:sz w:val="21"/>
                <w:szCs w:val="21"/>
                <w:highlight w:val="none"/>
                <w:lang w:val="en-US" w:eastAsia="zh-CN"/>
              </w:rPr>
              <w:t>报价的</w:t>
            </w:r>
            <w:r>
              <w:rPr>
                <w:rFonts w:hint="eastAsia" w:ascii="宋体" w:hAnsi="宋体" w:cs="宋体"/>
                <w:bCs/>
                <w:color w:val="auto"/>
                <w:sz w:val="21"/>
                <w:szCs w:val="21"/>
                <w:highlight w:val="none"/>
                <w:lang w:val="zh-CN"/>
              </w:rPr>
              <w:t>供应商</w:t>
            </w:r>
            <w:r>
              <w:rPr>
                <w:rFonts w:hint="eastAsia" w:ascii="宋体" w:hAnsi="宋体" w:eastAsia="宋体" w:cs="宋体"/>
                <w:bCs/>
                <w:color w:val="auto"/>
                <w:sz w:val="21"/>
                <w:szCs w:val="21"/>
                <w:highlight w:val="none"/>
                <w:lang w:val="zh-CN"/>
              </w:rPr>
              <w:t>由</w:t>
            </w:r>
            <w:r>
              <w:rPr>
                <w:rFonts w:hint="eastAsia" w:ascii="宋体" w:hAnsi="宋体" w:cs="宋体"/>
                <w:bCs/>
                <w:color w:val="auto"/>
                <w:sz w:val="21"/>
                <w:szCs w:val="21"/>
                <w:highlight w:val="none"/>
                <w:lang w:val="en-US" w:eastAsia="zh-CN"/>
              </w:rPr>
              <w:t>低</w:t>
            </w:r>
            <w:r>
              <w:rPr>
                <w:rFonts w:hint="eastAsia" w:ascii="宋体" w:hAnsi="宋体" w:eastAsia="宋体" w:cs="宋体"/>
                <w:bCs/>
                <w:color w:val="auto"/>
                <w:sz w:val="21"/>
                <w:szCs w:val="21"/>
                <w:highlight w:val="none"/>
                <w:lang w:val="zh-CN"/>
              </w:rPr>
              <w:t>到</w:t>
            </w:r>
            <w:r>
              <w:rPr>
                <w:rFonts w:hint="eastAsia" w:ascii="宋体" w:hAnsi="宋体" w:cs="宋体"/>
                <w:bCs/>
                <w:color w:val="auto"/>
                <w:sz w:val="21"/>
                <w:szCs w:val="21"/>
                <w:highlight w:val="none"/>
                <w:lang w:val="en-US" w:eastAsia="zh-CN"/>
              </w:rPr>
              <w:t>高</w:t>
            </w:r>
            <w:r>
              <w:rPr>
                <w:rFonts w:hint="eastAsia" w:ascii="宋体" w:hAnsi="宋体" w:eastAsia="宋体" w:cs="宋体"/>
                <w:bCs/>
                <w:color w:val="auto"/>
                <w:sz w:val="21"/>
                <w:szCs w:val="21"/>
                <w:highlight w:val="none"/>
                <w:lang w:val="zh-CN"/>
              </w:rPr>
              <w:t>的顺序确定</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zh-CN"/>
              </w:rPr>
              <w:t>家中标</w:t>
            </w:r>
            <w:r>
              <w:rPr>
                <w:rFonts w:hint="eastAsia" w:ascii="宋体" w:hAnsi="宋体" w:cs="宋体"/>
                <w:bCs/>
                <w:color w:val="auto"/>
                <w:sz w:val="21"/>
                <w:szCs w:val="21"/>
                <w:highlight w:val="none"/>
                <w:lang w:val="en-US" w:eastAsia="zh-CN"/>
              </w:rPr>
              <w:t>候选</w:t>
            </w:r>
            <w:r>
              <w:rPr>
                <w:rFonts w:hint="eastAsia" w:ascii="宋体" w:hAnsi="宋体" w:eastAsia="宋体" w:cs="宋体"/>
                <w:bCs/>
                <w:color w:val="auto"/>
                <w:sz w:val="21"/>
                <w:szCs w:val="21"/>
                <w:highlight w:val="none"/>
                <w:lang w:val="zh-CN"/>
              </w:rPr>
              <w:t>人</w:t>
            </w:r>
            <w:r>
              <w:rPr>
                <w:rFonts w:hint="eastAsia" w:ascii="宋体" w:hAnsi="宋体" w:cs="宋体"/>
                <w:bCs/>
                <w:color w:val="auto"/>
                <w:sz w:val="21"/>
                <w:szCs w:val="21"/>
                <w:highlight w:val="none"/>
                <w:lang w:val="zh-CN"/>
              </w:rPr>
              <w:t>。</w:t>
            </w:r>
          </w:p>
        </w:tc>
      </w:tr>
      <w:tr w14:paraId="16489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restart"/>
            <w:vAlign w:val="center"/>
          </w:tcPr>
          <w:p w14:paraId="678EFD22">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2.1.2</w:t>
            </w:r>
          </w:p>
        </w:tc>
        <w:tc>
          <w:tcPr>
            <w:tcW w:w="855" w:type="dxa"/>
            <w:vMerge w:val="restart"/>
            <w:vAlign w:val="center"/>
          </w:tcPr>
          <w:p w14:paraId="430E7F42">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资格评</w:t>
            </w:r>
          </w:p>
          <w:p w14:paraId="0943EC39">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审标准</w:t>
            </w:r>
          </w:p>
          <w:p w14:paraId="15F32F76">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p>
        </w:tc>
        <w:tc>
          <w:tcPr>
            <w:tcW w:w="1530" w:type="dxa"/>
            <w:vAlign w:val="center"/>
          </w:tcPr>
          <w:p w14:paraId="2CB5D08C">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Cs/>
                <w:color w:val="auto"/>
                <w:sz w:val="21"/>
                <w:szCs w:val="21"/>
                <w:highlight w:val="none"/>
                <w:lang w:val="zh-CN"/>
              </w:rPr>
            </w:pPr>
            <w:r>
              <w:rPr>
                <w:rFonts w:hint="eastAsia" w:ascii="宋体" w:hAnsi="宋体" w:cs="宋体"/>
                <w:bCs/>
                <w:color w:val="auto"/>
                <w:sz w:val="21"/>
                <w:szCs w:val="21"/>
                <w:highlight w:val="none"/>
                <w:lang w:val="zh-CN"/>
              </w:rPr>
              <w:t>营业执照</w:t>
            </w:r>
          </w:p>
        </w:tc>
        <w:tc>
          <w:tcPr>
            <w:tcW w:w="5793" w:type="dxa"/>
            <w:vAlign w:val="center"/>
          </w:tcPr>
          <w:p w14:paraId="65362F41">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zh-CN"/>
              </w:rPr>
              <w:t>具备有效的营业执照</w:t>
            </w:r>
            <w:r>
              <w:rPr>
                <w:rFonts w:hint="eastAsia" w:ascii="宋体" w:hAnsi="宋体" w:eastAsia="宋体" w:cs="宋体"/>
                <w:bCs/>
                <w:color w:val="auto"/>
                <w:sz w:val="21"/>
                <w:szCs w:val="21"/>
                <w:highlight w:val="none"/>
                <w:lang w:val="zh-CN" w:eastAsia="zh-CN"/>
              </w:rPr>
              <w:t>；</w:t>
            </w:r>
          </w:p>
          <w:p w14:paraId="08599A10">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zh-CN" w:eastAsia="zh-CN"/>
              </w:rPr>
              <w:t>响应</w:t>
            </w:r>
            <w:r>
              <w:rPr>
                <w:rFonts w:hint="eastAsia" w:ascii="宋体" w:hAnsi="宋体" w:eastAsia="宋体" w:cs="宋体"/>
                <w:bCs/>
                <w:color w:val="auto"/>
                <w:sz w:val="21"/>
                <w:szCs w:val="21"/>
                <w:highlight w:val="none"/>
                <w:lang w:val="zh-CN"/>
              </w:rPr>
              <w:t>文件内附营业执照（副本）复印件</w:t>
            </w:r>
            <w:r>
              <w:rPr>
                <w:rFonts w:hint="eastAsia" w:ascii="宋体" w:hAnsi="宋体" w:eastAsia="宋体" w:cs="宋体"/>
                <w:bCs/>
                <w:color w:val="auto"/>
                <w:sz w:val="21"/>
                <w:szCs w:val="21"/>
                <w:highlight w:val="none"/>
                <w:lang w:val="zh-CN" w:eastAsia="zh-CN"/>
              </w:rPr>
              <w:t>。</w:t>
            </w:r>
          </w:p>
        </w:tc>
      </w:tr>
      <w:tr w14:paraId="6CCBC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center"/>
          </w:tcPr>
          <w:p w14:paraId="135CE65A">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p>
        </w:tc>
        <w:tc>
          <w:tcPr>
            <w:tcW w:w="855" w:type="dxa"/>
            <w:vMerge w:val="continue"/>
            <w:vAlign w:val="center"/>
          </w:tcPr>
          <w:p w14:paraId="26761BF6">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p>
        </w:tc>
        <w:tc>
          <w:tcPr>
            <w:tcW w:w="1530" w:type="dxa"/>
            <w:vAlign w:val="center"/>
          </w:tcPr>
          <w:p w14:paraId="545A16F1">
            <w:pPr>
              <w:spacing w:line="300" w:lineRule="exact"/>
              <w:rPr>
                <w:rFonts w:hint="eastAsia" w:ascii="宋体" w:hAnsi="宋体" w:eastAsia="宋体" w:cs="宋体"/>
                <w:bCs/>
                <w:color w:val="auto"/>
                <w:sz w:val="21"/>
                <w:szCs w:val="21"/>
                <w:highlight w:val="none"/>
                <w:lang w:val="zh-CN"/>
              </w:rPr>
            </w:pPr>
            <w:r>
              <w:rPr>
                <w:color w:val="auto"/>
                <w:highlight w:val="none"/>
              </w:rPr>
              <w:t>有依法缴纳税收和社会保障资金的良好记录</w:t>
            </w:r>
          </w:p>
        </w:tc>
        <w:tc>
          <w:tcPr>
            <w:tcW w:w="5793" w:type="dxa"/>
            <w:vAlign w:val="center"/>
          </w:tcPr>
          <w:p w14:paraId="54085FCC">
            <w:pPr>
              <w:spacing w:line="300" w:lineRule="exact"/>
              <w:rPr>
                <w:rFonts w:hint="default" w:ascii="宋体" w:hAnsi="宋体" w:eastAsia="宋体" w:cs="宋体"/>
                <w:bCs/>
                <w:color w:val="auto"/>
                <w:sz w:val="21"/>
                <w:szCs w:val="21"/>
                <w:highlight w:val="none"/>
                <w:lang w:val="en-US" w:eastAsia="zh-CN"/>
              </w:rPr>
            </w:pPr>
            <w:r>
              <w:rPr>
                <w:rFonts w:hint="eastAsia"/>
                <w:color w:val="auto"/>
                <w:highlight w:val="none"/>
                <w:lang w:val="en-US" w:eastAsia="zh-CN"/>
              </w:rPr>
              <w:t>提供《资格条件承诺函》或</w:t>
            </w:r>
            <w:r>
              <w:rPr>
                <w:color w:val="auto"/>
                <w:highlight w:val="none"/>
              </w:rPr>
              <w:t>提供投标截止日前6个月内任意1个月依法缴纳税收和社会保障资金的相关材料。如依法免税或不需要缴纳社会保障资金的，提供相应证明材料。</w:t>
            </w:r>
          </w:p>
        </w:tc>
      </w:tr>
      <w:tr w14:paraId="32FF8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center"/>
          </w:tcPr>
          <w:p w14:paraId="450F3BC1">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p>
        </w:tc>
        <w:tc>
          <w:tcPr>
            <w:tcW w:w="855" w:type="dxa"/>
            <w:vMerge w:val="continue"/>
            <w:vAlign w:val="top"/>
          </w:tcPr>
          <w:p w14:paraId="78C4F335">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1530" w:type="dxa"/>
            <w:vAlign w:val="center"/>
          </w:tcPr>
          <w:p w14:paraId="31112DF7">
            <w:pPr>
              <w:spacing w:line="300" w:lineRule="exact"/>
              <w:rPr>
                <w:rFonts w:hint="eastAsia" w:ascii="宋体" w:hAnsi="宋体" w:eastAsia="宋体" w:cs="宋体"/>
                <w:bCs/>
                <w:color w:val="auto"/>
                <w:sz w:val="21"/>
                <w:szCs w:val="21"/>
                <w:highlight w:val="none"/>
                <w:lang w:val="zh-CN"/>
              </w:rPr>
            </w:pPr>
            <w:r>
              <w:rPr>
                <w:color w:val="auto"/>
                <w:highlight w:val="none"/>
              </w:rPr>
              <w:t>具有良好的商业信誉和健全的财务会计制度</w:t>
            </w:r>
          </w:p>
        </w:tc>
        <w:tc>
          <w:tcPr>
            <w:tcW w:w="5793" w:type="dxa"/>
            <w:vAlign w:val="center"/>
          </w:tcPr>
          <w:p w14:paraId="0E2D0EF5">
            <w:pPr>
              <w:spacing w:line="300" w:lineRule="exact"/>
              <w:rPr>
                <w:rFonts w:hint="eastAsia" w:ascii="宋体" w:hAnsi="宋体" w:eastAsia="宋体" w:cs="宋体"/>
                <w:bCs/>
                <w:color w:val="auto"/>
                <w:sz w:val="21"/>
                <w:szCs w:val="21"/>
                <w:highlight w:val="none"/>
                <w:lang w:val="zh-CN"/>
              </w:rPr>
            </w:pPr>
            <w:r>
              <w:rPr>
                <w:color w:val="auto"/>
                <w:highlight w:val="none"/>
              </w:rPr>
              <w:t>提供202</w:t>
            </w:r>
            <w:r>
              <w:rPr>
                <w:rFonts w:hint="eastAsia"/>
                <w:color w:val="auto"/>
                <w:highlight w:val="none"/>
                <w:lang w:val="en-US" w:eastAsia="zh-CN"/>
              </w:rPr>
              <w:t>3</w:t>
            </w:r>
            <w:r>
              <w:rPr>
                <w:color w:val="auto"/>
                <w:highlight w:val="none"/>
              </w:rPr>
              <w:t>年度或202</w:t>
            </w:r>
            <w:r>
              <w:rPr>
                <w:rFonts w:hint="eastAsia"/>
                <w:color w:val="auto"/>
                <w:highlight w:val="none"/>
                <w:lang w:val="en-US" w:eastAsia="zh-CN"/>
              </w:rPr>
              <w:t>4</w:t>
            </w:r>
            <w:r>
              <w:rPr>
                <w:color w:val="auto"/>
                <w:highlight w:val="none"/>
              </w:rPr>
              <w:t>年度财务</w:t>
            </w:r>
            <w:r>
              <w:rPr>
                <w:rFonts w:hint="eastAsia"/>
                <w:color w:val="auto"/>
                <w:highlight w:val="none"/>
                <w:lang w:val="en-US" w:eastAsia="zh-CN"/>
              </w:rPr>
              <w:t>审计</w:t>
            </w:r>
            <w:r>
              <w:rPr>
                <w:color w:val="auto"/>
                <w:highlight w:val="none"/>
              </w:rPr>
              <w:t>报告或基本开户行出具的资信证明。</w:t>
            </w:r>
          </w:p>
        </w:tc>
      </w:tr>
      <w:tr w14:paraId="24B34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center"/>
          </w:tcPr>
          <w:p w14:paraId="1FF9487A">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p>
        </w:tc>
        <w:tc>
          <w:tcPr>
            <w:tcW w:w="855" w:type="dxa"/>
            <w:vMerge w:val="continue"/>
            <w:vAlign w:val="top"/>
          </w:tcPr>
          <w:p w14:paraId="7A3E71C5">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1530" w:type="dxa"/>
            <w:vAlign w:val="center"/>
          </w:tcPr>
          <w:p w14:paraId="0D125486">
            <w:pPr>
              <w:keepLines w:val="0"/>
              <w:widowControl w:val="0"/>
              <w:snapToGrid/>
              <w:spacing w:before="0" w:beforeAutospacing="0" w:after="0" w:afterAutospacing="0" w:line="360" w:lineRule="auto"/>
              <w:jc w:val="center"/>
              <w:textAlignment w:val="baseline"/>
              <w:rPr>
                <w:rFonts w:hint="eastAsia" w:ascii="宋体" w:hAnsi="宋体" w:eastAsia="宋体" w:cs="宋体"/>
                <w:bCs/>
                <w:color w:val="auto"/>
                <w:sz w:val="21"/>
                <w:szCs w:val="21"/>
                <w:highlight w:val="none"/>
                <w:lang w:val="zh-CN"/>
              </w:rPr>
            </w:pPr>
            <w:r>
              <w:rPr>
                <w:rFonts w:hint="eastAsia" w:ascii="宋体" w:hAnsi="宋体" w:cs="宋体"/>
                <w:b w:val="0"/>
                <w:bCs/>
                <w:i w:val="0"/>
                <w:caps w:val="0"/>
                <w:color w:val="auto"/>
                <w:spacing w:val="0"/>
                <w:w w:val="100"/>
                <w:sz w:val="21"/>
                <w:szCs w:val="21"/>
                <w:highlight w:val="none"/>
                <w:lang w:val="zh-CN"/>
              </w:rPr>
              <w:t>信誉要求</w:t>
            </w:r>
          </w:p>
        </w:tc>
        <w:tc>
          <w:tcPr>
            <w:tcW w:w="5793" w:type="dxa"/>
            <w:vAlign w:val="center"/>
          </w:tcPr>
          <w:p w14:paraId="69F360EA">
            <w:pPr>
              <w:keepLines w:val="0"/>
              <w:widowControl w:val="0"/>
              <w:snapToGrid/>
              <w:spacing w:before="0" w:beforeAutospacing="0" w:after="0" w:afterAutospacing="0" w:line="360" w:lineRule="auto"/>
              <w:jc w:val="left"/>
              <w:textAlignment w:val="baseline"/>
              <w:rPr>
                <w:rFonts w:hint="eastAsia" w:ascii="宋体" w:hAnsi="宋体" w:cs="宋体"/>
                <w:b w:val="0"/>
                <w:bCs/>
                <w:i w:val="0"/>
                <w:caps w:val="0"/>
                <w:color w:val="auto"/>
                <w:spacing w:val="0"/>
                <w:w w:val="100"/>
                <w:sz w:val="21"/>
                <w:szCs w:val="21"/>
                <w:highlight w:val="none"/>
              </w:rPr>
            </w:pPr>
            <w:r>
              <w:rPr>
                <w:rFonts w:hint="eastAsia" w:ascii="宋体" w:hAnsi="宋体" w:cs="宋体"/>
                <w:b w:val="0"/>
                <w:bCs/>
                <w:i w:val="0"/>
                <w:caps w:val="0"/>
                <w:color w:val="auto"/>
                <w:spacing w:val="0"/>
                <w:w w:val="100"/>
                <w:sz w:val="21"/>
                <w:szCs w:val="21"/>
                <w:highlight w:val="none"/>
                <w:lang w:val="en-US" w:eastAsia="zh-CN"/>
              </w:rPr>
              <w:t>1.</w:t>
            </w:r>
            <w:r>
              <w:rPr>
                <w:rFonts w:hint="eastAsia" w:ascii="宋体" w:hAnsi="宋体" w:cs="宋体"/>
                <w:b w:val="0"/>
                <w:bCs/>
                <w:i w:val="0"/>
                <w:caps w:val="0"/>
                <w:color w:val="auto"/>
                <w:spacing w:val="0"/>
                <w:w w:val="100"/>
                <w:sz w:val="21"/>
                <w:szCs w:val="21"/>
                <w:highlight w:val="none"/>
              </w:rPr>
              <w:t>拒绝列入政府不良行为记录期间的企业或个人投标（</w:t>
            </w:r>
            <w:r>
              <w:rPr>
                <w:rFonts w:hint="eastAsia" w:ascii="宋体" w:hAnsi="宋体" w:cs="宋体"/>
                <w:b w:val="0"/>
                <w:bCs/>
                <w:i w:val="0"/>
                <w:caps w:val="0"/>
                <w:color w:val="auto"/>
                <w:spacing w:val="0"/>
                <w:w w:val="100"/>
                <w:sz w:val="21"/>
                <w:szCs w:val="21"/>
                <w:highlight w:val="none"/>
                <w:lang w:eastAsia="zh-CN"/>
              </w:rPr>
              <w:t>附</w:t>
            </w:r>
            <w:r>
              <w:rPr>
                <w:rFonts w:hint="eastAsia" w:ascii="宋体" w:hAnsi="宋体" w:cs="宋体"/>
                <w:b w:val="0"/>
                <w:bCs/>
                <w:i w:val="0"/>
                <w:caps w:val="0"/>
                <w:color w:val="auto"/>
                <w:spacing w:val="0"/>
                <w:w w:val="100"/>
                <w:sz w:val="21"/>
                <w:szCs w:val="21"/>
                <w:highlight w:val="none"/>
                <w:lang w:val="en-US" w:eastAsia="zh-CN"/>
              </w:rPr>
              <w:t>格式自拟</w:t>
            </w:r>
            <w:r>
              <w:rPr>
                <w:rFonts w:hint="eastAsia" w:ascii="宋体" w:hAnsi="宋体" w:cs="宋体"/>
                <w:b w:val="0"/>
                <w:bCs/>
                <w:i w:val="0"/>
                <w:caps w:val="0"/>
                <w:color w:val="auto"/>
                <w:spacing w:val="0"/>
                <w:w w:val="100"/>
                <w:sz w:val="21"/>
                <w:szCs w:val="21"/>
                <w:highlight w:val="none"/>
                <w:lang w:val="zh-CN"/>
              </w:rPr>
              <w:t>承诺书</w:t>
            </w:r>
            <w:r>
              <w:rPr>
                <w:rFonts w:hint="eastAsia" w:ascii="宋体" w:hAnsi="宋体" w:cs="宋体"/>
                <w:b w:val="0"/>
                <w:bCs/>
                <w:i w:val="0"/>
                <w:caps w:val="0"/>
                <w:color w:val="auto"/>
                <w:spacing w:val="0"/>
                <w:w w:val="100"/>
                <w:sz w:val="21"/>
                <w:szCs w:val="21"/>
                <w:highlight w:val="none"/>
              </w:rPr>
              <w:t>）。</w:t>
            </w:r>
          </w:p>
          <w:p w14:paraId="0E827DDF">
            <w:pPr>
              <w:pStyle w:val="30"/>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auto"/>
                <w:sz w:val="21"/>
                <w:szCs w:val="21"/>
                <w:highlight w:val="none"/>
                <w:lang w:val="zh-CN"/>
              </w:rPr>
            </w:pPr>
            <w:r>
              <w:rPr>
                <w:rFonts w:hint="eastAsia" w:ascii="宋体" w:hAnsi="宋体" w:cs="宋体"/>
                <w:b w:val="0"/>
                <w:bCs/>
                <w:i w:val="0"/>
                <w:caps w:val="0"/>
                <w:color w:val="auto"/>
                <w:spacing w:val="0"/>
                <w:w w:val="100"/>
                <w:sz w:val="21"/>
                <w:szCs w:val="21"/>
                <w:highlight w:val="none"/>
                <w:lang w:val="en-US" w:eastAsia="zh-CN"/>
              </w:rPr>
              <w:t>2.</w:t>
            </w:r>
            <w:r>
              <w:rPr>
                <w:rFonts w:hint="eastAsia" w:ascii="宋体" w:hAnsi="宋体" w:eastAsia="宋体" w:cs="宋体"/>
                <w:color w:val="auto"/>
                <w:sz w:val="21"/>
                <w:szCs w:val="21"/>
                <w:highlight w:val="none"/>
                <w:lang w:val="zh-CN"/>
              </w:rPr>
              <w:t>未被工商行政管理机关在全国企业信用信息公示系统（www.gsxt.gov.cn）中列入严重违法失信企业名单。</w:t>
            </w:r>
          </w:p>
          <w:p w14:paraId="020764A3">
            <w:pPr>
              <w:keepLines w:val="0"/>
              <w:widowControl w:val="0"/>
              <w:snapToGrid/>
              <w:spacing w:before="0" w:beforeAutospacing="0" w:after="0" w:afterAutospacing="0" w:line="360" w:lineRule="auto"/>
              <w:jc w:val="left"/>
              <w:textAlignment w:val="baseline"/>
              <w:rPr>
                <w:rFonts w:hint="eastAsia" w:ascii="宋体" w:hAnsi="宋体" w:eastAsia="宋体" w:cs="宋体"/>
                <w:bCs/>
                <w:color w:val="auto"/>
                <w:sz w:val="21"/>
                <w:szCs w:val="21"/>
                <w:highlight w:val="none"/>
                <w:lang w:val="zh-CN"/>
              </w:rPr>
            </w:pPr>
            <w:r>
              <w:rPr>
                <w:rFonts w:hint="eastAsia" w:ascii="宋体" w:hAnsi="宋体" w:cs="宋体"/>
                <w:b w:val="0"/>
                <w:bCs/>
                <w:i w:val="0"/>
                <w:caps w:val="0"/>
                <w:color w:val="auto"/>
                <w:spacing w:val="0"/>
                <w:w w:val="100"/>
                <w:sz w:val="21"/>
                <w:szCs w:val="21"/>
                <w:highlight w:val="none"/>
              </w:rPr>
              <w:t>不接受被列入失信被执行人、重大税收违法案件当事人名单、政府采购严重违法失信行为记录名单</w:t>
            </w:r>
            <w:r>
              <w:rPr>
                <w:rFonts w:hint="eastAsia" w:ascii="宋体" w:hAnsi="宋体" w:cs="宋体"/>
                <w:bCs/>
                <w:snapToGrid w:val="0"/>
                <w:color w:val="auto"/>
                <w:szCs w:val="21"/>
                <w:highlight w:val="none"/>
                <w:lang w:val="zh-CN"/>
              </w:rPr>
              <w:t>、严重失信主体名单</w:t>
            </w:r>
            <w:r>
              <w:rPr>
                <w:rFonts w:hint="eastAsia" w:ascii="宋体" w:hAnsi="宋体" w:cs="宋体"/>
                <w:b w:val="0"/>
                <w:bCs/>
                <w:i w:val="0"/>
                <w:caps w:val="0"/>
                <w:color w:val="auto"/>
                <w:spacing w:val="0"/>
                <w:w w:val="100"/>
                <w:sz w:val="21"/>
                <w:szCs w:val="21"/>
                <w:highlight w:val="none"/>
              </w:rPr>
              <w:t>的供应商参与投标，在“信用中国”网站（www.creditchina.gov.cn）、中国政府采购网（www.ccgp.gov.cn）上进行查询失信记录；</w:t>
            </w:r>
            <w:r>
              <w:rPr>
                <w:rFonts w:hint="eastAsia" w:ascii="宋体" w:hAnsi="宋体" w:cs="宋体"/>
                <w:b w:val="0"/>
                <w:bCs/>
                <w:i w:val="0"/>
                <w:caps w:val="0"/>
                <w:color w:val="auto"/>
                <w:spacing w:val="0"/>
                <w:w w:val="100"/>
                <w:sz w:val="21"/>
                <w:szCs w:val="21"/>
                <w:highlight w:val="none"/>
                <w:lang w:eastAsia="zh-CN"/>
              </w:rPr>
              <w:t>供应商</w:t>
            </w:r>
            <w:r>
              <w:rPr>
                <w:rFonts w:hint="eastAsia" w:ascii="宋体" w:hAnsi="宋体" w:cs="宋体"/>
                <w:b w:val="0"/>
                <w:bCs/>
                <w:i w:val="0"/>
                <w:caps w:val="0"/>
                <w:color w:val="auto"/>
                <w:spacing w:val="0"/>
                <w:w w:val="100"/>
                <w:sz w:val="21"/>
                <w:szCs w:val="21"/>
                <w:highlight w:val="none"/>
              </w:rPr>
              <w:t>不得存在行贿犯罪记录，在中国裁判文书（http://wenshu.court.gov.cn/）进行查询</w:t>
            </w:r>
            <w:r>
              <w:rPr>
                <w:rFonts w:hint="eastAsia" w:ascii="宋体" w:hAnsi="宋体" w:cs="宋体"/>
                <w:b w:val="0"/>
                <w:bCs/>
                <w:i w:val="0"/>
                <w:caps w:val="0"/>
                <w:color w:val="auto"/>
                <w:spacing w:val="0"/>
                <w:w w:val="100"/>
                <w:sz w:val="21"/>
                <w:szCs w:val="21"/>
                <w:highlight w:val="none"/>
                <w:lang w:eastAsia="zh-CN"/>
              </w:rPr>
              <w:t>供应商</w:t>
            </w:r>
            <w:r>
              <w:rPr>
                <w:rFonts w:hint="eastAsia" w:ascii="宋体" w:hAnsi="宋体" w:cs="宋体"/>
                <w:b w:val="0"/>
                <w:bCs/>
                <w:i w:val="0"/>
                <w:caps w:val="0"/>
                <w:color w:val="auto"/>
                <w:spacing w:val="0"/>
                <w:w w:val="100"/>
                <w:sz w:val="21"/>
                <w:szCs w:val="21"/>
                <w:highlight w:val="none"/>
                <w:lang w:val="en-US" w:eastAsia="zh-CN"/>
              </w:rPr>
              <w:t>及法人</w:t>
            </w:r>
            <w:r>
              <w:rPr>
                <w:rFonts w:hint="eastAsia" w:ascii="宋体" w:hAnsi="宋体" w:cs="宋体"/>
                <w:b w:val="0"/>
                <w:bCs/>
                <w:i w:val="0"/>
                <w:caps w:val="0"/>
                <w:color w:val="auto"/>
                <w:spacing w:val="0"/>
                <w:w w:val="100"/>
                <w:sz w:val="21"/>
                <w:szCs w:val="21"/>
                <w:highlight w:val="none"/>
              </w:rPr>
              <w:t>行贿犯罪记录(信用信息截止时点为投标截止时间)；</w:t>
            </w:r>
            <w:r>
              <w:rPr>
                <w:rFonts w:hint="eastAsia" w:ascii="宋体" w:hAnsi="宋体" w:cs="宋体"/>
                <w:b w:val="0"/>
                <w:bCs/>
                <w:i w:val="0"/>
                <w:caps w:val="0"/>
                <w:color w:val="auto"/>
                <w:spacing w:val="0"/>
                <w:w w:val="100"/>
                <w:sz w:val="21"/>
                <w:szCs w:val="21"/>
                <w:highlight w:val="none"/>
                <w:lang w:val="en-US" w:eastAsia="zh-CN"/>
              </w:rPr>
              <w:t>标书内附截图加盖公章复印件。</w:t>
            </w:r>
          </w:p>
        </w:tc>
      </w:tr>
      <w:tr w14:paraId="00296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center"/>
          </w:tcPr>
          <w:p w14:paraId="2B7EF7AF">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p>
        </w:tc>
        <w:tc>
          <w:tcPr>
            <w:tcW w:w="855" w:type="dxa"/>
            <w:vMerge w:val="continue"/>
            <w:vAlign w:val="top"/>
          </w:tcPr>
          <w:p w14:paraId="03919F00">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1530" w:type="dxa"/>
            <w:vAlign w:val="center"/>
          </w:tcPr>
          <w:p w14:paraId="74983B4A">
            <w:pPr>
              <w:keepLines w:val="0"/>
              <w:widowControl w:val="0"/>
              <w:snapToGrid/>
              <w:spacing w:before="0" w:beforeAutospacing="0" w:after="0" w:afterAutospacing="0" w:line="360" w:lineRule="auto"/>
              <w:jc w:val="center"/>
              <w:textAlignment w:val="baseline"/>
              <w:rPr>
                <w:rFonts w:hint="default" w:ascii="宋体" w:hAnsi="宋体" w:eastAsia="宋体" w:cs="宋体"/>
                <w:b w:val="0"/>
                <w:bCs/>
                <w:i w:val="0"/>
                <w:caps w:val="0"/>
                <w:color w:val="auto"/>
                <w:spacing w:val="0"/>
                <w:w w:val="100"/>
                <w:sz w:val="21"/>
                <w:szCs w:val="21"/>
                <w:highlight w:val="none"/>
                <w:lang w:val="en-US" w:eastAsia="zh-CN"/>
              </w:rPr>
            </w:pPr>
            <w:r>
              <w:rPr>
                <w:rFonts w:hint="eastAsia" w:ascii="宋体" w:hAnsi="宋体" w:cs="宋体"/>
                <w:b w:val="0"/>
                <w:bCs/>
                <w:i w:val="0"/>
                <w:caps w:val="0"/>
                <w:color w:val="auto"/>
                <w:spacing w:val="0"/>
                <w:w w:val="100"/>
                <w:sz w:val="21"/>
                <w:szCs w:val="21"/>
                <w:highlight w:val="none"/>
                <w:lang w:val="en-US" w:eastAsia="zh-CN"/>
              </w:rPr>
              <w:t>现场踏勘</w:t>
            </w:r>
          </w:p>
        </w:tc>
        <w:tc>
          <w:tcPr>
            <w:tcW w:w="5793" w:type="dxa"/>
            <w:vAlign w:val="center"/>
          </w:tcPr>
          <w:p w14:paraId="140D8D0F">
            <w:pPr>
              <w:keepLines w:val="0"/>
              <w:widowControl w:val="0"/>
              <w:snapToGrid/>
              <w:spacing w:before="0" w:beforeAutospacing="0" w:after="0" w:afterAutospacing="0" w:line="360" w:lineRule="auto"/>
              <w:jc w:val="left"/>
              <w:textAlignment w:val="baseline"/>
              <w:rPr>
                <w:rFonts w:hint="default" w:ascii="宋体" w:hAnsi="宋体" w:eastAsia="宋体" w:cs="宋体"/>
                <w:b w:val="0"/>
                <w:bCs/>
                <w:i w:val="0"/>
                <w:caps w:val="0"/>
                <w:color w:val="auto"/>
                <w:spacing w:val="0"/>
                <w:w w:val="100"/>
                <w:sz w:val="21"/>
                <w:szCs w:val="21"/>
                <w:highlight w:val="none"/>
                <w:lang w:val="en-US" w:eastAsia="zh-CN"/>
              </w:rPr>
            </w:pPr>
            <w:r>
              <w:rPr>
                <w:rFonts w:hint="eastAsia" w:ascii="宋体" w:hAnsi="宋体" w:cs="宋体"/>
                <w:b w:val="0"/>
                <w:bCs/>
                <w:i w:val="0"/>
                <w:caps w:val="0"/>
                <w:color w:val="auto"/>
                <w:spacing w:val="0"/>
                <w:w w:val="100"/>
                <w:sz w:val="21"/>
                <w:szCs w:val="21"/>
                <w:highlight w:val="none"/>
                <w:lang w:val="en-US" w:eastAsia="zh-CN"/>
              </w:rPr>
              <w:t>已完成现场踏勘，提供已签字的现场踏勘报告。</w:t>
            </w:r>
          </w:p>
        </w:tc>
      </w:tr>
      <w:tr w14:paraId="050A1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restart"/>
            <w:vAlign w:val="center"/>
          </w:tcPr>
          <w:p w14:paraId="10B7A3C5">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2.1.3</w:t>
            </w:r>
          </w:p>
        </w:tc>
        <w:tc>
          <w:tcPr>
            <w:tcW w:w="855" w:type="dxa"/>
            <w:vMerge w:val="restart"/>
            <w:vAlign w:val="center"/>
          </w:tcPr>
          <w:p w14:paraId="307D94E0">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r>
              <w:rPr>
                <w:rFonts w:ascii="Times New Roman" w:hAnsi="Times New Roman"/>
                <w:b w:val="0"/>
                <w:bCs/>
                <w:color w:val="auto"/>
                <w:spacing w:val="-6"/>
                <w:highlight w:val="none"/>
              </w:rPr>
              <w:t>符合性</w:t>
            </w:r>
            <w:r>
              <w:rPr>
                <w:rFonts w:hint="eastAsia" w:ascii="宋体" w:hAnsi="宋体" w:eastAsia="宋体" w:cs="宋体"/>
                <w:bCs/>
                <w:color w:val="auto"/>
                <w:sz w:val="21"/>
                <w:szCs w:val="21"/>
                <w:highlight w:val="none"/>
                <w:lang w:val="zh-CN"/>
              </w:rPr>
              <w:t>评审</w:t>
            </w:r>
          </w:p>
          <w:p w14:paraId="11677788">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标准</w:t>
            </w:r>
          </w:p>
          <w:p w14:paraId="21BAF55E">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p>
        </w:tc>
        <w:tc>
          <w:tcPr>
            <w:tcW w:w="1530" w:type="dxa"/>
            <w:vAlign w:val="center"/>
          </w:tcPr>
          <w:p w14:paraId="392500AC">
            <w:pPr>
              <w:pStyle w:val="16"/>
              <w:tabs>
                <w:tab w:val="left" w:pos="200"/>
              </w:tabs>
              <w:spacing w:line="360" w:lineRule="exact"/>
              <w:jc w:val="center"/>
              <w:rPr>
                <w:rFonts w:hint="eastAsia" w:ascii="宋体" w:hAnsi="宋体" w:eastAsia="宋体" w:cs="宋体"/>
                <w:bCs/>
                <w:color w:val="auto"/>
                <w:sz w:val="21"/>
                <w:szCs w:val="21"/>
                <w:highlight w:val="none"/>
                <w:lang w:val="zh-CN"/>
              </w:rPr>
            </w:pPr>
            <w:r>
              <w:rPr>
                <w:rFonts w:hint="eastAsia" w:hAnsi="宋体" w:cs="宋体"/>
                <w:b w:val="0"/>
                <w:color w:val="auto"/>
                <w:sz w:val="21"/>
                <w:szCs w:val="21"/>
                <w:highlight w:val="none"/>
                <w:lang w:val="zh-CN" w:eastAsia="zh-CN"/>
              </w:rPr>
              <w:t>不存在禁止投标的情形</w:t>
            </w:r>
          </w:p>
        </w:tc>
        <w:tc>
          <w:tcPr>
            <w:tcW w:w="5793" w:type="dxa"/>
            <w:vAlign w:val="center"/>
          </w:tcPr>
          <w:p w14:paraId="4F3BA02B">
            <w:pPr>
              <w:autoSpaceDE w:val="0"/>
              <w:autoSpaceDN w:val="0"/>
              <w:adjustRightInd w:val="0"/>
              <w:spacing w:line="360" w:lineRule="exact"/>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不存在第二章“</w:t>
            </w:r>
            <w:r>
              <w:rPr>
                <w:rFonts w:hint="eastAsia" w:ascii="宋体" w:hAnsi="宋体" w:cs="宋体"/>
                <w:color w:val="auto"/>
                <w:sz w:val="21"/>
                <w:szCs w:val="21"/>
                <w:highlight w:val="none"/>
                <w:lang w:val="zh-CN" w:eastAsia="zh-CN"/>
              </w:rPr>
              <w:t>供应商</w:t>
            </w:r>
            <w:r>
              <w:rPr>
                <w:rFonts w:hint="eastAsia" w:ascii="宋体" w:hAnsi="宋体" w:cs="宋体"/>
                <w:color w:val="auto"/>
                <w:sz w:val="21"/>
                <w:szCs w:val="21"/>
                <w:highlight w:val="none"/>
                <w:lang w:val="zh-CN"/>
              </w:rPr>
              <w:t xml:space="preserve">须知”第 </w:t>
            </w:r>
            <w:r>
              <w:rPr>
                <w:rFonts w:hint="eastAsia" w:ascii="宋体" w:hAnsi="宋体" w:cs="宋体"/>
                <w:color w:val="auto"/>
                <w:sz w:val="21"/>
                <w:szCs w:val="21"/>
                <w:highlight w:val="none"/>
                <w:lang w:val="en-US" w:eastAsia="zh-CN"/>
              </w:rPr>
              <w:t>8.5.3</w:t>
            </w:r>
            <w:r>
              <w:rPr>
                <w:rFonts w:hint="eastAsia" w:ascii="宋体" w:hAnsi="宋体" w:cs="宋体"/>
                <w:color w:val="auto"/>
                <w:sz w:val="21"/>
                <w:szCs w:val="21"/>
                <w:highlight w:val="none"/>
                <w:lang w:val="zh-CN"/>
              </w:rPr>
              <w:t>项规定的任何一种情形</w:t>
            </w:r>
            <w:r>
              <w:rPr>
                <w:rFonts w:hint="eastAsia" w:ascii="宋体" w:hAnsi="宋体" w:cs="宋体"/>
                <w:color w:val="auto"/>
                <w:sz w:val="21"/>
                <w:szCs w:val="21"/>
                <w:highlight w:val="none"/>
              </w:rPr>
              <w:t>及</w:t>
            </w:r>
            <w:r>
              <w:rPr>
                <w:rFonts w:hint="eastAsia" w:ascii="宋体" w:hAnsi="宋体" w:cs="宋体"/>
                <w:color w:val="auto"/>
                <w:sz w:val="21"/>
                <w:szCs w:val="21"/>
                <w:highlight w:val="none"/>
                <w:lang w:eastAsia="zh-CN"/>
              </w:rPr>
              <w:t>谈判</w:t>
            </w:r>
            <w:r>
              <w:rPr>
                <w:rFonts w:hint="eastAsia" w:ascii="宋体" w:hAnsi="宋体" w:cs="宋体"/>
                <w:color w:val="auto"/>
                <w:sz w:val="21"/>
                <w:szCs w:val="21"/>
                <w:highlight w:val="none"/>
              </w:rPr>
              <w:t>文件所规定的其他条款</w:t>
            </w:r>
            <w:r>
              <w:rPr>
                <w:rFonts w:hint="eastAsia" w:ascii="宋体" w:hAnsi="宋体" w:cs="宋体"/>
                <w:color w:val="auto"/>
                <w:sz w:val="21"/>
                <w:szCs w:val="21"/>
                <w:highlight w:val="none"/>
                <w:lang w:val="zh-CN"/>
              </w:rPr>
              <w:t>。</w:t>
            </w:r>
          </w:p>
          <w:p w14:paraId="443A955D">
            <w:pPr>
              <w:pStyle w:val="16"/>
              <w:spacing w:line="360" w:lineRule="exact"/>
              <w:rPr>
                <w:rFonts w:hint="eastAsia" w:ascii="宋体" w:hAnsi="宋体" w:eastAsia="宋体" w:cs="宋体"/>
                <w:bCs/>
                <w:color w:val="auto"/>
                <w:sz w:val="21"/>
                <w:szCs w:val="21"/>
                <w:highlight w:val="none"/>
                <w:lang w:val="zh-CN"/>
              </w:rPr>
            </w:pPr>
            <w:r>
              <w:rPr>
                <w:rFonts w:hint="eastAsia" w:hAnsi="宋体" w:cs="宋体"/>
                <w:b w:val="0"/>
                <w:color w:val="auto"/>
                <w:sz w:val="21"/>
                <w:szCs w:val="21"/>
                <w:highlight w:val="none"/>
                <w:lang w:val="en-US" w:eastAsia="zh-CN"/>
              </w:rPr>
              <w:t>响应文件</w:t>
            </w:r>
            <w:r>
              <w:rPr>
                <w:rFonts w:hint="eastAsia" w:hAnsi="宋体" w:cs="宋体"/>
                <w:b w:val="0"/>
                <w:color w:val="auto"/>
                <w:sz w:val="21"/>
                <w:szCs w:val="21"/>
                <w:highlight w:val="none"/>
                <w:lang w:val="zh-CN" w:eastAsia="zh-CN"/>
              </w:rPr>
              <w:t>内</w:t>
            </w:r>
            <w:r>
              <w:rPr>
                <w:rFonts w:hint="eastAsia" w:hAnsi="宋体" w:cs="宋体"/>
                <w:b w:val="0"/>
                <w:color w:val="auto"/>
                <w:sz w:val="21"/>
                <w:szCs w:val="21"/>
                <w:highlight w:val="none"/>
                <w:lang w:val="en-US" w:eastAsia="zh-CN"/>
              </w:rPr>
              <w:t>附由法定代表人</w:t>
            </w:r>
            <w:r>
              <w:rPr>
                <w:rFonts w:hint="eastAsia" w:ascii="宋体" w:hAnsi="宋体" w:cs="宋体"/>
                <w:bCs/>
                <w:color w:val="auto"/>
                <w:sz w:val="21"/>
                <w:szCs w:val="21"/>
                <w:highlight w:val="none"/>
                <w:lang w:val="en-US" w:eastAsia="zh-CN"/>
              </w:rPr>
              <w:t>或</w:t>
            </w:r>
            <w:r>
              <w:rPr>
                <w:rFonts w:hint="eastAsia" w:ascii="宋体" w:hAnsi="宋体" w:eastAsia="宋体" w:cs="宋体"/>
                <w:bCs/>
                <w:color w:val="auto"/>
                <w:sz w:val="21"/>
                <w:szCs w:val="21"/>
                <w:highlight w:val="none"/>
              </w:rPr>
              <w:t>其委托代理人</w:t>
            </w:r>
            <w:r>
              <w:rPr>
                <w:rFonts w:hint="eastAsia" w:ascii="宋体" w:hAnsi="宋体" w:cs="宋体"/>
                <w:bCs/>
                <w:color w:val="auto"/>
                <w:sz w:val="21"/>
                <w:szCs w:val="21"/>
                <w:highlight w:val="none"/>
                <w:lang w:val="en-US" w:eastAsia="zh-CN"/>
              </w:rPr>
              <w:t>签字</w:t>
            </w:r>
            <w:r>
              <w:rPr>
                <w:rFonts w:hint="eastAsia" w:ascii="宋体" w:hAnsi="宋体" w:eastAsia="宋体" w:cs="宋体"/>
                <w:bCs/>
                <w:color w:val="auto"/>
                <w:sz w:val="21"/>
                <w:szCs w:val="21"/>
                <w:highlight w:val="none"/>
              </w:rPr>
              <w:t>并加盖投标单位公章的承诺书</w:t>
            </w:r>
            <w:r>
              <w:rPr>
                <w:rFonts w:hint="eastAsia" w:hAnsi="宋体" w:cs="宋体"/>
                <w:b w:val="0"/>
                <w:color w:val="auto"/>
                <w:sz w:val="21"/>
                <w:szCs w:val="21"/>
                <w:highlight w:val="none"/>
                <w:lang w:val="en-US" w:eastAsia="zh-CN"/>
              </w:rPr>
              <w:t>。</w:t>
            </w:r>
          </w:p>
        </w:tc>
      </w:tr>
      <w:tr w14:paraId="57837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center"/>
          </w:tcPr>
          <w:p w14:paraId="21082CBE">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p>
        </w:tc>
        <w:tc>
          <w:tcPr>
            <w:tcW w:w="855" w:type="dxa"/>
            <w:vMerge w:val="continue"/>
            <w:vAlign w:val="top"/>
          </w:tcPr>
          <w:p w14:paraId="04E2B932">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1530" w:type="dxa"/>
            <w:vAlign w:val="center"/>
          </w:tcPr>
          <w:p w14:paraId="3A3D33BF">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宋体" w:hAnsi="宋体" w:cs="宋体"/>
                <w:bCs/>
                <w:color w:val="auto"/>
                <w:sz w:val="21"/>
                <w:szCs w:val="21"/>
                <w:highlight w:val="none"/>
                <w:lang w:val="zh-CN"/>
              </w:rPr>
            </w:pPr>
            <w:r>
              <w:rPr>
                <w:rFonts w:hint="eastAsia" w:ascii="宋体" w:hAnsi="宋体" w:eastAsia="宋体" w:cs="宋体"/>
                <w:bCs/>
                <w:color w:val="auto"/>
                <w:sz w:val="21"/>
                <w:szCs w:val="21"/>
                <w:highlight w:val="none"/>
                <w:lang w:val="zh-CN"/>
              </w:rPr>
              <w:t>其它要求</w:t>
            </w:r>
          </w:p>
        </w:tc>
        <w:tc>
          <w:tcPr>
            <w:tcW w:w="5793" w:type="dxa"/>
            <w:vAlign w:val="center"/>
          </w:tcPr>
          <w:p w14:paraId="2672AEEA">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snapToGrid w:val="0"/>
                <w:color w:val="auto"/>
                <w:sz w:val="21"/>
                <w:szCs w:val="21"/>
                <w:highlight w:val="none"/>
              </w:rPr>
              <w:t>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r>
              <w:rPr>
                <w:rFonts w:hint="eastAsia" w:ascii="宋体" w:hAnsi="宋体" w:eastAsia="宋体" w:cs="宋体"/>
                <w:snapToGrid w:val="0"/>
                <w:color w:val="auto"/>
                <w:sz w:val="21"/>
                <w:szCs w:val="21"/>
                <w:highlight w:val="none"/>
                <w:lang w:eastAsia="zh-CN"/>
              </w:rPr>
              <w:t>。</w:t>
            </w:r>
          </w:p>
          <w:p w14:paraId="5C7FB773">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2、</w:t>
            </w:r>
            <w:r>
              <w:rPr>
                <w:rFonts w:hint="eastAsia" w:ascii="宋体" w:hAnsi="宋体" w:eastAsia="宋体" w:cs="宋体"/>
                <w:snapToGrid w:val="0"/>
                <w:color w:val="auto"/>
                <w:sz w:val="21"/>
                <w:szCs w:val="21"/>
                <w:highlight w:val="none"/>
              </w:rPr>
              <w:t>企业名称不同但法定代表人为同一个自然人的两个或者两个以上的投标人不得参加同一项目的投标；单位负责人为同一人或者存在控股、管理关系的不同单位，不得参加同一标段投标或者未划分标段的同一招标项目投标；与招标人存在利害关系可能影响招标公正性的法人、其他组织或者个人，不得参加投标</w:t>
            </w:r>
            <w:r>
              <w:rPr>
                <w:rFonts w:hint="eastAsia" w:ascii="宋体" w:hAnsi="宋体" w:eastAsia="宋体" w:cs="宋体"/>
                <w:bCs/>
                <w:color w:val="auto"/>
                <w:sz w:val="21"/>
                <w:szCs w:val="21"/>
                <w:highlight w:val="none"/>
              </w:rPr>
              <w:t>。</w:t>
            </w:r>
          </w:p>
          <w:p w14:paraId="5975A147">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cs="宋体"/>
                <w:bCs/>
                <w:color w:val="auto"/>
                <w:sz w:val="21"/>
                <w:szCs w:val="21"/>
                <w:highlight w:val="none"/>
                <w:lang w:val="zh-CN"/>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投标</w:t>
            </w:r>
            <w:r>
              <w:rPr>
                <w:rFonts w:hint="eastAsia" w:ascii="宋体" w:hAnsi="宋体" w:eastAsia="宋体" w:cs="宋体"/>
                <w:bCs/>
                <w:color w:val="auto"/>
                <w:sz w:val="21"/>
                <w:szCs w:val="21"/>
                <w:highlight w:val="none"/>
              </w:rPr>
              <w:t>文件内附由法定代表人</w:t>
            </w:r>
            <w:r>
              <w:rPr>
                <w:rFonts w:hint="eastAsia" w:ascii="宋体" w:hAnsi="宋体" w:cs="宋体"/>
                <w:bCs/>
                <w:color w:val="auto"/>
                <w:sz w:val="21"/>
                <w:szCs w:val="21"/>
                <w:highlight w:val="none"/>
                <w:lang w:val="en-US" w:eastAsia="zh-CN"/>
              </w:rPr>
              <w:t>和</w:t>
            </w:r>
            <w:r>
              <w:rPr>
                <w:rFonts w:hint="eastAsia" w:ascii="宋体" w:hAnsi="宋体" w:eastAsia="宋体" w:cs="宋体"/>
                <w:bCs/>
                <w:color w:val="auto"/>
                <w:sz w:val="21"/>
                <w:szCs w:val="21"/>
                <w:highlight w:val="none"/>
              </w:rPr>
              <w:t>其委托代理人</w:t>
            </w:r>
            <w:r>
              <w:rPr>
                <w:rFonts w:hint="eastAsia" w:ascii="宋体" w:hAnsi="宋体" w:cs="宋体"/>
                <w:bCs/>
                <w:color w:val="auto"/>
                <w:sz w:val="21"/>
                <w:szCs w:val="21"/>
                <w:highlight w:val="none"/>
                <w:lang w:val="en-US" w:eastAsia="zh-CN"/>
              </w:rPr>
              <w:t>签字</w:t>
            </w:r>
            <w:r>
              <w:rPr>
                <w:rFonts w:hint="eastAsia" w:ascii="宋体" w:hAnsi="宋体" w:eastAsia="宋体" w:cs="宋体"/>
                <w:bCs/>
                <w:color w:val="auto"/>
                <w:sz w:val="21"/>
                <w:szCs w:val="21"/>
                <w:highlight w:val="none"/>
              </w:rPr>
              <w:t>并加盖投标单位公章的承诺书）</w:t>
            </w:r>
          </w:p>
        </w:tc>
      </w:tr>
      <w:tr w14:paraId="60230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top"/>
          </w:tcPr>
          <w:p w14:paraId="3490F7BC">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855" w:type="dxa"/>
            <w:vMerge w:val="continue"/>
            <w:vAlign w:val="top"/>
          </w:tcPr>
          <w:p w14:paraId="738E5CC8">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1530" w:type="dxa"/>
            <w:vAlign w:val="center"/>
          </w:tcPr>
          <w:p w14:paraId="7BB68668">
            <w:pPr>
              <w:pStyle w:val="20"/>
              <w:tabs>
                <w:tab w:val="clear" w:pos="4153"/>
                <w:tab w:val="clear" w:pos="8306"/>
              </w:tabs>
              <w:autoSpaceDE w:val="0"/>
              <w:autoSpaceDN w:val="0"/>
              <w:adjustRightInd w:val="0"/>
              <w:snapToGrid/>
              <w:spacing w:line="400" w:lineRule="exact"/>
              <w:jc w:val="center"/>
              <w:rPr>
                <w:rFonts w:hint="default" w:ascii="宋体" w:hAnsi="宋体" w:cs="宋体"/>
                <w:b w:val="0"/>
                <w:bCs/>
                <w:i w:val="0"/>
                <w:caps w:val="0"/>
                <w:color w:val="auto"/>
                <w:spacing w:val="0"/>
                <w:w w:val="100"/>
                <w:sz w:val="21"/>
                <w:szCs w:val="21"/>
                <w:highlight w:val="none"/>
                <w:lang w:val="en-US"/>
              </w:rPr>
            </w:pPr>
            <w:r>
              <w:rPr>
                <w:rFonts w:hint="eastAsia" w:ascii="宋体" w:hAnsi="宋体" w:cs="宋体"/>
                <w:bCs/>
                <w:color w:val="auto"/>
                <w:kern w:val="2"/>
                <w:sz w:val="21"/>
                <w:szCs w:val="21"/>
                <w:highlight w:val="none"/>
                <w:lang w:val="en-US" w:eastAsia="zh-CN" w:bidi="ar-SA"/>
              </w:rPr>
              <w:t>合同履行期限</w:t>
            </w:r>
          </w:p>
        </w:tc>
        <w:tc>
          <w:tcPr>
            <w:tcW w:w="5793" w:type="dxa"/>
            <w:vAlign w:val="center"/>
          </w:tcPr>
          <w:p w14:paraId="72EC3BD6">
            <w:pPr>
              <w:autoSpaceDE w:val="0"/>
              <w:autoSpaceDN w:val="0"/>
              <w:adjustRightInd w:val="0"/>
              <w:spacing w:line="400" w:lineRule="exact"/>
              <w:rPr>
                <w:rFonts w:hint="eastAsia" w:ascii="宋体" w:hAnsi="宋体" w:eastAsia="宋体" w:cs="宋体"/>
                <w:color w:val="auto"/>
                <w:sz w:val="21"/>
                <w:szCs w:val="21"/>
                <w:highlight w:val="none"/>
                <w:lang w:eastAsia="zh-CN"/>
              </w:rPr>
            </w:pPr>
            <w:r>
              <w:rPr>
                <w:rFonts w:hint="eastAsia" w:ascii="宋体" w:hAnsi="宋体" w:cs="宋体"/>
                <w:b w:val="0"/>
                <w:color w:val="auto"/>
                <w:sz w:val="21"/>
                <w:szCs w:val="21"/>
                <w:highlight w:val="none"/>
                <w:lang w:eastAsia="zh-CN"/>
              </w:rPr>
              <w:t>签订合同后</w:t>
            </w:r>
            <w:r>
              <w:rPr>
                <w:rFonts w:hint="eastAsia" w:ascii="宋体" w:hAnsi="宋体" w:cs="宋体"/>
                <w:b w:val="0"/>
                <w:color w:val="auto"/>
                <w:sz w:val="21"/>
                <w:szCs w:val="21"/>
                <w:highlight w:val="none"/>
                <w:lang w:val="en-US" w:eastAsia="zh-CN"/>
              </w:rPr>
              <w:t>30</w:t>
            </w:r>
            <w:r>
              <w:rPr>
                <w:rFonts w:hint="eastAsia" w:ascii="宋体" w:hAnsi="宋体" w:cs="宋体"/>
                <w:b w:val="0"/>
                <w:color w:val="auto"/>
                <w:sz w:val="21"/>
                <w:szCs w:val="21"/>
                <w:highlight w:val="none"/>
                <w:lang w:eastAsia="zh-CN"/>
              </w:rPr>
              <w:t>个工作日内完成交货</w:t>
            </w:r>
          </w:p>
        </w:tc>
      </w:tr>
      <w:tr w14:paraId="4BFE3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top"/>
          </w:tcPr>
          <w:p w14:paraId="19B439DF">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855" w:type="dxa"/>
            <w:vMerge w:val="continue"/>
            <w:vAlign w:val="top"/>
          </w:tcPr>
          <w:p w14:paraId="2624FDD6">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1530" w:type="dxa"/>
            <w:vAlign w:val="center"/>
          </w:tcPr>
          <w:p w14:paraId="0C0C55BC">
            <w:pPr>
              <w:pStyle w:val="20"/>
              <w:tabs>
                <w:tab w:val="clear" w:pos="4153"/>
                <w:tab w:val="clear" w:pos="8306"/>
              </w:tabs>
              <w:autoSpaceDE w:val="0"/>
              <w:autoSpaceDN w:val="0"/>
              <w:adjustRightInd w:val="0"/>
              <w:snapToGrid/>
              <w:spacing w:line="400" w:lineRule="exact"/>
              <w:jc w:val="center"/>
              <w:rPr>
                <w:rFonts w:hint="eastAsia" w:ascii="宋体" w:hAnsi="宋体" w:cs="宋体"/>
                <w:b w:val="0"/>
                <w:bCs/>
                <w:i w:val="0"/>
                <w:caps w:val="0"/>
                <w:color w:val="auto"/>
                <w:spacing w:val="0"/>
                <w:w w:val="100"/>
                <w:sz w:val="21"/>
                <w:szCs w:val="21"/>
                <w:highlight w:val="none"/>
                <w:lang w:val="zh-CN"/>
              </w:rPr>
            </w:pPr>
            <w:r>
              <w:rPr>
                <w:rFonts w:hint="eastAsia" w:ascii="宋体" w:hAnsi="宋体" w:cs="宋体"/>
                <w:b w:val="0"/>
                <w:bCs/>
                <w:i w:val="0"/>
                <w:caps w:val="0"/>
                <w:color w:val="auto"/>
                <w:spacing w:val="0"/>
                <w:w w:val="100"/>
                <w:sz w:val="21"/>
                <w:szCs w:val="21"/>
                <w:highlight w:val="none"/>
                <w:lang w:val="zh-CN"/>
              </w:rPr>
              <w:t>质保期</w:t>
            </w:r>
          </w:p>
        </w:tc>
        <w:tc>
          <w:tcPr>
            <w:tcW w:w="5793" w:type="dxa"/>
            <w:vAlign w:val="center"/>
          </w:tcPr>
          <w:p w14:paraId="5232A618">
            <w:pPr>
              <w:pStyle w:val="12"/>
              <w:rPr>
                <w:rFonts w:hint="default" w:ascii="宋体" w:hAnsi="宋体" w:eastAsia="宋体" w:cs="宋体"/>
                <w:b w:val="0"/>
                <w:bCs/>
                <w:i w:val="0"/>
                <w:caps w:val="0"/>
                <w:color w:val="auto"/>
                <w:spacing w:val="0"/>
                <w:w w:val="100"/>
                <w:sz w:val="21"/>
                <w:szCs w:val="21"/>
                <w:highlight w:val="none"/>
                <w:lang w:val="en-US" w:eastAsia="zh-CN"/>
              </w:rPr>
            </w:pPr>
            <w:r>
              <w:rPr>
                <w:rFonts w:hint="eastAsia"/>
                <w:color w:val="auto"/>
                <w:highlight w:val="none"/>
                <w:lang w:eastAsia="zh-CN"/>
              </w:rPr>
              <w:t>供应商必须严格履行所承诺的服务条款及合同内规定的要求。质保期</w:t>
            </w:r>
            <w:r>
              <w:rPr>
                <w:rFonts w:hint="eastAsia"/>
                <w:color w:val="auto"/>
                <w:highlight w:val="none"/>
                <w:lang w:val="en-US" w:eastAsia="zh-CN"/>
              </w:rPr>
              <w:t>按照</w:t>
            </w:r>
            <w:r>
              <w:rPr>
                <w:rFonts w:hint="eastAsia"/>
                <w:color w:val="auto"/>
                <w:highlight w:val="none"/>
                <w:lang w:eastAsia="zh-CN"/>
              </w:rPr>
              <w:t>使用年限</w:t>
            </w:r>
            <w:r>
              <w:rPr>
                <w:rFonts w:hint="eastAsia"/>
                <w:color w:val="auto"/>
                <w:highlight w:val="none"/>
                <w:lang w:val="en-US" w:eastAsia="zh-CN"/>
              </w:rPr>
              <w:t>5</w:t>
            </w:r>
            <w:r>
              <w:rPr>
                <w:rFonts w:hint="eastAsia"/>
                <w:color w:val="auto"/>
                <w:highlight w:val="none"/>
                <w:lang w:eastAsia="zh-CN"/>
              </w:rPr>
              <w:t>年的时间计算。</w:t>
            </w:r>
          </w:p>
        </w:tc>
      </w:tr>
      <w:tr w14:paraId="27802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841" w:type="dxa"/>
            <w:vMerge w:val="continue"/>
            <w:vAlign w:val="top"/>
          </w:tcPr>
          <w:p w14:paraId="600756A6">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855" w:type="dxa"/>
            <w:vMerge w:val="continue"/>
            <w:vAlign w:val="top"/>
          </w:tcPr>
          <w:p w14:paraId="6A2D188C">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1530" w:type="dxa"/>
            <w:vAlign w:val="center"/>
          </w:tcPr>
          <w:p w14:paraId="62383F43">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rPr>
              <w:t>投标有效期</w:t>
            </w:r>
          </w:p>
        </w:tc>
        <w:tc>
          <w:tcPr>
            <w:tcW w:w="5793" w:type="dxa"/>
            <w:vAlign w:val="center"/>
          </w:tcPr>
          <w:p w14:paraId="0AD13EF5">
            <w:pPr>
              <w:autoSpaceDE w:val="0"/>
              <w:autoSpaceDN w:val="0"/>
              <w:adjustRightInd w:val="0"/>
              <w:spacing w:line="400" w:lineRule="exact"/>
              <w:rPr>
                <w:rFonts w:hint="eastAsia" w:ascii="宋体" w:hAnsi="宋体" w:eastAsia="宋体" w:cs="宋体"/>
                <w:bCs/>
                <w:color w:val="auto"/>
                <w:sz w:val="21"/>
                <w:szCs w:val="21"/>
                <w:highlight w:val="none"/>
                <w:lang w:val="zh-CN"/>
              </w:rPr>
            </w:pPr>
            <w:r>
              <w:rPr>
                <w:rFonts w:hint="eastAsia" w:ascii="宋体" w:hAnsi="宋体" w:eastAsia="宋体" w:cs="宋体"/>
                <w:color w:val="auto"/>
                <w:sz w:val="21"/>
                <w:szCs w:val="21"/>
                <w:highlight w:val="none"/>
              </w:rPr>
              <w:t>自</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提交投标文件截止之日起计</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0日历天</w:t>
            </w:r>
            <w:r>
              <w:rPr>
                <w:rFonts w:hint="eastAsia" w:ascii="宋体" w:hAnsi="宋体" w:cs="宋体"/>
                <w:color w:val="auto"/>
                <w:sz w:val="21"/>
                <w:szCs w:val="21"/>
                <w:highlight w:val="none"/>
                <w:lang w:eastAsia="zh-CN"/>
              </w:rPr>
              <w:t>。</w:t>
            </w:r>
          </w:p>
        </w:tc>
      </w:tr>
      <w:tr w14:paraId="3028E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top"/>
          </w:tcPr>
          <w:p w14:paraId="53333BAE">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855" w:type="dxa"/>
            <w:vMerge w:val="continue"/>
            <w:vAlign w:val="top"/>
          </w:tcPr>
          <w:p w14:paraId="42079EEB">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1530" w:type="dxa"/>
            <w:vAlign w:val="center"/>
          </w:tcPr>
          <w:p w14:paraId="11907CC7">
            <w:pPr>
              <w:autoSpaceDE w:val="0"/>
              <w:autoSpaceDN w:val="0"/>
              <w:adjustRightInd w:val="0"/>
              <w:spacing w:line="400" w:lineRule="exact"/>
              <w:jc w:val="center"/>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 w:val="21"/>
                <w:szCs w:val="21"/>
                <w:highlight w:val="none"/>
                <w:lang w:val="zh-CN"/>
              </w:rPr>
              <w:t>商务条件</w:t>
            </w:r>
          </w:p>
        </w:tc>
        <w:tc>
          <w:tcPr>
            <w:tcW w:w="5793" w:type="dxa"/>
            <w:vAlign w:val="center"/>
          </w:tcPr>
          <w:p w14:paraId="6751A60A">
            <w:pPr>
              <w:autoSpaceDE w:val="0"/>
              <w:autoSpaceDN w:val="0"/>
              <w:adjustRightInd w:val="0"/>
              <w:spacing w:line="400" w:lineRule="exact"/>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 w:val="21"/>
                <w:szCs w:val="21"/>
                <w:highlight w:val="none"/>
                <w:lang w:val="zh-CN"/>
              </w:rPr>
              <w:t>符合招标文件相关商务规定，无重大偏离。</w:t>
            </w:r>
          </w:p>
        </w:tc>
      </w:tr>
      <w:tr w14:paraId="7EF03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top"/>
          </w:tcPr>
          <w:p w14:paraId="73F21645">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855" w:type="dxa"/>
            <w:vMerge w:val="continue"/>
            <w:vAlign w:val="top"/>
          </w:tcPr>
          <w:p w14:paraId="49AC2E08">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1530" w:type="dxa"/>
            <w:vAlign w:val="center"/>
          </w:tcPr>
          <w:p w14:paraId="274C07D4">
            <w:pPr>
              <w:autoSpaceDE w:val="0"/>
              <w:autoSpaceDN w:val="0"/>
              <w:adjustRightInd w:val="0"/>
              <w:spacing w:line="400" w:lineRule="exact"/>
              <w:jc w:val="center"/>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 w:val="21"/>
                <w:szCs w:val="21"/>
                <w:highlight w:val="none"/>
                <w:lang w:val="zh-CN"/>
              </w:rPr>
              <w:t>技术条件</w:t>
            </w:r>
          </w:p>
        </w:tc>
        <w:tc>
          <w:tcPr>
            <w:tcW w:w="5793" w:type="dxa"/>
            <w:vAlign w:val="center"/>
          </w:tcPr>
          <w:p w14:paraId="540B825B">
            <w:pPr>
              <w:autoSpaceDE w:val="0"/>
              <w:autoSpaceDN w:val="0"/>
              <w:adjustRightInd w:val="0"/>
              <w:spacing w:line="400" w:lineRule="exact"/>
              <w:rPr>
                <w:rFonts w:hint="default"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zh-CN"/>
              </w:rPr>
              <w:t>符合第</w:t>
            </w:r>
            <w:r>
              <w:rPr>
                <w:rFonts w:hint="eastAsia" w:ascii="宋体" w:hAnsi="宋体" w:cs="宋体"/>
                <w:bCs/>
                <w:color w:val="auto"/>
                <w:sz w:val="21"/>
                <w:szCs w:val="21"/>
                <w:highlight w:val="none"/>
                <w:lang w:val="zh-CN"/>
              </w:rPr>
              <w:t>三</w:t>
            </w:r>
            <w:r>
              <w:rPr>
                <w:rFonts w:hint="eastAsia" w:ascii="宋体" w:hAnsi="宋体" w:eastAsia="宋体" w:cs="宋体"/>
                <w:bCs/>
                <w:color w:val="auto"/>
                <w:sz w:val="21"/>
                <w:szCs w:val="21"/>
                <w:highlight w:val="none"/>
                <w:lang w:val="zh-CN"/>
              </w:rPr>
              <w:t>章“</w:t>
            </w:r>
            <w:r>
              <w:rPr>
                <w:rFonts w:hint="eastAsia" w:ascii="宋体" w:hAnsi="宋体" w:cs="宋体"/>
                <w:bCs/>
                <w:color w:val="auto"/>
                <w:sz w:val="21"/>
                <w:szCs w:val="21"/>
                <w:highlight w:val="none"/>
                <w:lang w:val="zh-CN"/>
              </w:rPr>
              <w:t>采购需求</w:t>
            </w:r>
            <w:r>
              <w:rPr>
                <w:rFonts w:hint="eastAsia" w:ascii="宋体" w:hAnsi="宋体" w:eastAsia="宋体" w:cs="宋体"/>
                <w:bCs/>
                <w:color w:val="auto"/>
                <w:sz w:val="21"/>
                <w:szCs w:val="21"/>
                <w:highlight w:val="none"/>
                <w:lang w:val="zh-CN"/>
              </w:rPr>
              <w:t>”</w:t>
            </w:r>
            <w:r>
              <w:rPr>
                <w:rFonts w:hint="eastAsia" w:ascii="宋体" w:hAnsi="宋体" w:cs="宋体"/>
                <w:bCs/>
                <w:color w:val="auto"/>
                <w:sz w:val="21"/>
                <w:szCs w:val="21"/>
                <w:highlight w:val="none"/>
                <w:lang w:val="zh-CN"/>
              </w:rPr>
              <w:t>内容</w:t>
            </w:r>
            <w:r>
              <w:rPr>
                <w:rFonts w:hint="eastAsia" w:ascii="宋体" w:hAnsi="宋体" w:eastAsia="宋体" w:cs="宋体"/>
                <w:bCs/>
                <w:color w:val="auto"/>
                <w:sz w:val="21"/>
                <w:szCs w:val="21"/>
                <w:highlight w:val="none"/>
                <w:lang w:val="zh-CN"/>
              </w:rPr>
              <w:t>，条款、技术规格相符。</w:t>
            </w:r>
          </w:p>
        </w:tc>
      </w:tr>
      <w:tr w14:paraId="43436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top"/>
          </w:tcPr>
          <w:p w14:paraId="746D6AAA">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855" w:type="dxa"/>
            <w:vMerge w:val="continue"/>
            <w:vAlign w:val="top"/>
          </w:tcPr>
          <w:p w14:paraId="40F14B39">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1530" w:type="dxa"/>
            <w:vAlign w:val="center"/>
          </w:tcPr>
          <w:p w14:paraId="7FB0072A">
            <w:pPr>
              <w:autoSpaceDE w:val="0"/>
              <w:autoSpaceDN w:val="0"/>
              <w:adjustRightInd w:val="0"/>
              <w:spacing w:line="400" w:lineRule="exact"/>
              <w:jc w:val="center"/>
              <w:rPr>
                <w:rFonts w:hint="default"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zh-CN"/>
              </w:rPr>
              <w:t>投标价格</w:t>
            </w:r>
          </w:p>
        </w:tc>
        <w:tc>
          <w:tcPr>
            <w:tcW w:w="5793" w:type="dxa"/>
            <w:vAlign w:val="center"/>
          </w:tcPr>
          <w:p w14:paraId="03DB1111">
            <w:pPr>
              <w:autoSpaceDE w:val="0"/>
              <w:autoSpaceDN w:val="0"/>
              <w:adjustRightInd w:val="0"/>
              <w:spacing w:line="400" w:lineRule="exact"/>
              <w:rPr>
                <w:rFonts w:hint="eastAsia" w:ascii="宋体" w:hAnsi="宋体" w:eastAsia="宋体" w:cs="宋体"/>
                <w:bCs/>
                <w:color w:val="auto"/>
                <w:kern w:val="2"/>
                <w:sz w:val="21"/>
                <w:szCs w:val="21"/>
                <w:highlight w:val="none"/>
                <w:lang w:val="zh-CN" w:eastAsia="zh-CN" w:bidi="ar-SA"/>
              </w:rPr>
            </w:pPr>
            <w:r>
              <w:rPr>
                <w:rFonts w:hint="eastAsia" w:ascii="宋体" w:hAnsi="宋体" w:cs="宋体"/>
                <w:bCs/>
                <w:color w:val="auto"/>
                <w:sz w:val="21"/>
                <w:szCs w:val="21"/>
                <w:highlight w:val="none"/>
                <w:lang w:val="zh-CN"/>
              </w:rPr>
              <w:t>投标总价不高于招标控制价，且不低于成本。</w:t>
            </w:r>
          </w:p>
        </w:tc>
      </w:tr>
    </w:tbl>
    <w:p w14:paraId="5A785378">
      <w:pPr>
        <w:rPr>
          <w:rFonts w:hint="eastAsia" w:ascii="宋体" w:hAnsi="宋体"/>
          <w:color w:val="auto"/>
          <w:sz w:val="18"/>
          <w:szCs w:val="18"/>
          <w:highlight w:val="none"/>
        </w:rPr>
      </w:pPr>
      <w:r>
        <w:rPr>
          <w:rFonts w:hint="eastAsia" w:ascii="宋体" w:hAnsi="宋体"/>
          <w:color w:val="auto"/>
          <w:sz w:val="18"/>
          <w:szCs w:val="18"/>
          <w:highlight w:val="none"/>
        </w:rPr>
        <w:t>注：评标委员会将依据上表标准对投标文件进行初步评审。有一项不符合评审标准的，评标委员会应当否决其投标。</w:t>
      </w:r>
    </w:p>
    <w:p w14:paraId="6866869B">
      <w:pPr>
        <w:pStyle w:val="16"/>
        <w:spacing w:line="380" w:lineRule="exact"/>
        <w:rPr>
          <w:rFonts w:hint="eastAsia" w:hAnsi="宋体"/>
          <w:b/>
          <w:bCs/>
          <w:color w:val="auto"/>
          <w:szCs w:val="21"/>
          <w:highlight w:val="none"/>
        </w:rPr>
      </w:pPr>
      <w:r>
        <w:rPr>
          <w:rFonts w:hint="eastAsia" w:hAnsi="宋体"/>
          <w:b/>
          <w:bCs/>
          <w:color w:val="auto"/>
          <w:szCs w:val="21"/>
          <w:highlight w:val="none"/>
        </w:rPr>
        <w:br w:type="page"/>
      </w:r>
      <w:r>
        <w:rPr>
          <w:rFonts w:hint="eastAsia" w:hAnsi="宋体"/>
          <w:b/>
          <w:bCs/>
          <w:color w:val="auto"/>
          <w:szCs w:val="21"/>
          <w:highlight w:val="none"/>
        </w:rPr>
        <w:t>一、评审依据</w:t>
      </w:r>
    </w:p>
    <w:p w14:paraId="04E39505">
      <w:pPr>
        <w:pStyle w:val="16"/>
        <w:spacing w:line="380" w:lineRule="exact"/>
        <w:ind w:firstLine="420" w:firstLineChars="200"/>
        <w:rPr>
          <w:rFonts w:hint="eastAsia" w:hAnsi="宋体"/>
          <w:bCs/>
          <w:color w:val="auto"/>
          <w:highlight w:val="none"/>
        </w:rPr>
      </w:pPr>
      <w:r>
        <w:rPr>
          <w:rFonts w:hint="eastAsia" w:hAnsi="宋体"/>
          <w:bCs/>
          <w:color w:val="auto"/>
          <w:highlight w:val="none"/>
        </w:rPr>
        <w:t>1. 评审依据：谈判小组以谈判文件和响应文件为评审依据。</w:t>
      </w:r>
    </w:p>
    <w:p w14:paraId="5E472E80">
      <w:pPr>
        <w:pStyle w:val="16"/>
        <w:spacing w:line="380" w:lineRule="exact"/>
        <w:ind w:firstLine="420" w:firstLineChars="200"/>
        <w:rPr>
          <w:rFonts w:hint="eastAsia" w:hAnsi="宋体"/>
          <w:bCs/>
          <w:color w:val="auto"/>
          <w:highlight w:val="none"/>
        </w:rPr>
      </w:pPr>
      <w:r>
        <w:rPr>
          <w:rFonts w:hint="eastAsia" w:hAnsi="宋体"/>
          <w:bCs/>
          <w:color w:val="auto"/>
          <w:highlight w:val="none"/>
        </w:rPr>
        <w:t>2. 根据财库〔2012〕69号文规定，采购人和采购代理机构、竞争性谈判小组成员要严格遵守政府采购相关法律制度，依法履行各自职责，公正、客观、审慎地组织和参与评审工作。</w:t>
      </w:r>
    </w:p>
    <w:p w14:paraId="6BDD936C">
      <w:pPr>
        <w:pStyle w:val="16"/>
        <w:spacing w:line="380" w:lineRule="exact"/>
        <w:ind w:firstLine="422" w:firstLineChars="200"/>
        <w:rPr>
          <w:rFonts w:hint="eastAsia" w:hAnsi="宋体"/>
          <w:b/>
          <w:bCs/>
          <w:color w:val="auto"/>
          <w:szCs w:val="21"/>
          <w:highlight w:val="none"/>
        </w:rPr>
      </w:pPr>
      <w:r>
        <w:rPr>
          <w:rFonts w:hint="eastAsia" w:hAnsi="宋体"/>
          <w:b/>
          <w:bCs/>
          <w:color w:val="auto"/>
          <w:szCs w:val="21"/>
          <w:highlight w:val="none"/>
        </w:rPr>
        <w:t>二、评审办法</w:t>
      </w:r>
    </w:p>
    <w:p w14:paraId="654A95A2">
      <w:pPr>
        <w:pStyle w:val="16"/>
        <w:spacing w:line="380" w:lineRule="exact"/>
        <w:ind w:firstLine="420"/>
        <w:rPr>
          <w:rFonts w:hint="eastAsia" w:hAnsi="宋体" w:cs="Arial"/>
          <w:color w:val="auto"/>
          <w:kern w:val="0"/>
          <w:szCs w:val="21"/>
          <w:highlight w:val="none"/>
        </w:rPr>
      </w:pPr>
      <w:r>
        <w:rPr>
          <w:rFonts w:hint="eastAsia" w:hAnsi="宋体" w:cs="Arial"/>
          <w:color w:val="auto"/>
          <w:kern w:val="0"/>
          <w:szCs w:val="21"/>
          <w:highlight w:val="none"/>
        </w:rPr>
        <w:t>1. 谈判小组应当从质量和服务均能满足竞争性谈判文件全部实质性响应要求的供应商中，按照评审第二次有效报价由低到高顺序提出3名以上（含3名）成交候选人。</w:t>
      </w:r>
    </w:p>
    <w:p w14:paraId="4B027AD8">
      <w:pPr>
        <w:pStyle w:val="16"/>
        <w:spacing w:line="380" w:lineRule="exact"/>
        <w:ind w:firstLine="420" w:firstLineChars="200"/>
        <w:rPr>
          <w:rFonts w:hint="eastAsia" w:hAnsi="宋体" w:cs="Arial"/>
          <w:color w:val="auto"/>
          <w:kern w:val="0"/>
          <w:szCs w:val="21"/>
          <w:highlight w:val="none"/>
        </w:rPr>
      </w:pPr>
      <w:r>
        <w:rPr>
          <w:rFonts w:hint="eastAsia" w:hAnsi="宋体" w:cs="Arial"/>
          <w:color w:val="auto"/>
          <w:kern w:val="0"/>
          <w:szCs w:val="21"/>
          <w:highlight w:val="none"/>
        </w:rPr>
        <w:t>2. 按照《政府采购促进中小企业发展</w:t>
      </w:r>
      <w:r>
        <w:rPr>
          <w:rFonts w:hint="eastAsia" w:hAnsi="宋体" w:cs="Arial"/>
          <w:color w:val="auto"/>
          <w:kern w:val="0"/>
          <w:szCs w:val="21"/>
          <w:highlight w:val="none"/>
          <w:lang w:val="en-US" w:eastAsia="zh-CN"/>
        </w:rPr>
        <w:t>管理</w:t>
      </w:r>
      <w:r>
        <w:rPr>
          <w:rFonts w:hint="eastAsia" w:hAnsi="宋体" w:cs="Arial"/>
          <w:color w:val="auto"/>
          <w:kern w:val="0"/>
          <w:szCs w:val="21"/>
          <w:highlight w:val="none"/>
        </w:rPr>
        <w:t>办法》（财库[20</w:t>
      </w:r>
      <w:r>
        <w:rPr>
          <w:rFonts w:hint="eastAsia" w:hAnsi="宋体" w:cs="Arial"/>
          <w:color w:val="auto"/>
          <w:kern w:val="0"/>
          <w:szCs w:val="21"/>
          <w:highlight w:val="none"/>
          <w:lang w:val="en-US" w:eastAsia="zh-CN"/>
        </w:rPr>
        <w:t>20</w:t>
      </w:r>
      <w:r>
        <w:rPr>
          <w:rFonts w:hint="eastAsia" w:hAnsi="宋体" w:cs="Arial"/>
          <w:color w:val="auto"/>
          <w:kern w:val="0"/>
          <w:szCs w:val="21"/>
          <w:highlight w:val="none"/>
        </w:rPr>
        <w:t>]</w:t>
      </w:r>
      <w:r>
        <w:rPr>
          <w:rFonts w:hint="eastAsia" w:hAnsi="宋体" w:cs="Arial"/>
          <w:color w:val="auto"/>
          <w:kern w:val="0"/>
          <w:szCs w:val="21"/>
          <w:highlight w:val="none"/>
          <w:lang w:val="en-US" w:eastAsia="zh-CN"/>
        </w:rPr>
        <w:t>46</w:t>
      </w:r>
      <w:r>
        <w:rPr>
          <w:rFonts w:hint="eastAsia" w:hAnsi="宋体" w:cs="Arial"/>
          <w:color w:val="auto"/>
          <w:kern w:val="0"/>
          <w:szCs w:val="21"/>
          <w:highlight w:val="none"/>
        </w:rPr>
        <w:t>号）</w:t>
      </w:r>
      <w:r>
        <w:rPr>
          <w:rFonts w:hint="eastAsia" w:hAnsi="宋体" w:cs="Arial"/>
          <w:color w:val="auto"/>
          <w:kern w:val="0"/>
          <w:szCs w:val="21"/>
          <w:highlight w:val="none"/>
          <w:lang w:eastAsia="zh-CN"/>
        </w:rPr>
        <w:t>、《关于进一步加大政府采购支持中小企业力度的通知》（财库[2022] 19号）、《关于政府采购支持监狱企业发展有关问题的通知》（财库[2014] 68号）、《关于促进残疾人就业政府采购政策的通知》（财库[2017] 141号）等国家</w:t>
      </w:r>
      <w:r>
        <w:rPr>
          <w:rFonts w:hint="eastAsia" w:hAnsi="宋体" w:cs="Arial"/>
          <w:color w:val="auto"/>
          <w:kern w:val="0"/>
          <w:szCs w:val="21"/>
          <w:highlight w:val="none"/>
          <w:lang w:val="en-US" w:eastAsia="zh-CN"/>
        </w:rPr>
        <w:t>文件最新</w:t>
      </w:r>
      <w:r>
        <w:rPr>
          <w:rFonts w:hint="eastAsia" w:hAnsi="宋体" w:cs="Arial"/>
          <w:color w:val="auto"/>
          <w:kern w:val="0"/>
          <w:szCs w:val="21"/>
          <w:highlight w:val="none"/>
        </w:rPr>
        <w:t>规定：</w:t>
      </w:r>
    </w:p>
    <w:p w14:paraId="652C5171">
      <w:pPr>
        <w:pStyle w:val="16"/>
        <w:spacing w:line="380" w:lineRule="exact"/>
        <w:ind w:firstLine="420" w:firstLineChars="200"/>
        <w:rPr>
          <w:rFonts w:hint="eastAsia" w:hAnsi="宋体"/>
          <w:color w:val="auto"/>
          <w:highlight w:val="none"/>
        </w:rPr>
      </w:pPr>
      <w:r>
        <w:rPr>
          <w:rFonts w:hint="eastAsia" w:hAnsi="宋体"/>
          <w:color w:val="auto"/>
          <w:highlight w:val="none"/>
        </w:rPr>
        <w:t>（</w:t>
      </w:r>
      <w:r>
        <w:rPr>
          <w:rFonts w:hint="eastAsia" w:hAnsi="宋体"/>
          <w:color w:val="auto"/>
          <w:highlight w:val="none"/>
          <w:lang w:val="en-US" w:eastAsia="zh-CN"/>
        </w:rPr>
        <w:t>1</w:t>
      </w:r>
      <w:r>
        <w:rPr>
          <w:rFonts w:hint="eastAsia" w:hAnsi="宋体"/>
          <w:color w:val="auto"/>
          <w:highlight w:val="none"/>
        </w:rPr>
        <w:t>）评审报价=最后报价</w:t>
      </w:r>
      <w:r>
        <w:rPr>
          <w:rFonts w:hint="eastAsia" w:hAnsi="宋体"/>
          <w:color w:val="auto"/>
          <w:highlight w:val="none"/>
          <w:lang w:eastAsia="zh-CN"/>
        </w:rPr>
        <w:t>（</w:t>
      </w:r>
      <w:r>
        <w:rPr>
          <w:rFonts w:hint="eastAsia" w:hAnsi="宋体"/>
          <w:color w:val="auto"/>
          <w:highlight w:val="none"/>
          <w:lang w:val="en-US" w:eastAsia="zh-CN"/>
        </w:rPr>
        <w:t>第二次有效报价</w:t>
      </w:r>
      <w:r>
        <w:rPr>
          <w:rFonts w:hint="eastAsia" w:hAnsi="宋体"/>
          <w:color w:val="auto"/>
          <w:highlight w:val="none"/>
          <w:lang w:eastAsia="zh-CN"/>
        </w:rPr>
        <w:t>）</w:t>
      </w:r>
      <w:r>
        <w:rPr>
          <w:rFonts w:hint="eastAsia" w:hAnsi="宋体"/>
          <w:color w:val="auto"/>
          <w:highlight w:val="none"/>
        </w:rPr>
        <w:t>。</w:t>
      </w:r>
    </w:p>
    <w:p w14:paraId="1B91B842">
      <w:pPr>
        <w:pStyle w:val="16"/>
        <w:spacing w:line="380" w:lineRule="exact"/>
        <w:ind w:firstLine="420" w:firstLineChars="200"/>
        <w:rPr>
          <w:rFonts w:hint="eastAsia" w:hAnsi="宋体"/>
          <w:bCs/>
          <w:color w:val="auto"/>
          <w:highlight w:val="none"/>
        </w:rPr>
      </w:pPr>
      <w:r>
        <w:rPr>
          <w:rFonts w:hint="eastAsia" w:hAnsi="宋体"/>
          <w:bCs/>
          <w:color w:val="auto"/>
          <w:highlight w:val="none"/>
        </w:rPr>
        <w:t>注：①供应商未小型、微型企业的，视同为中型企业。②</w:t>
      </w:r>
      <w:r>
        <w:rPr>
          <w:rFonts w:hint="eastAsia" w:hAnsi="宋体" w:cs="Arial"/>
          <w:bCs/>
          <w:color w:val="auto"/>
          <w:kern w:val="0"/>
          <w:szCs w:val="21"/>
          <w:highlight w:val="none"/>
        </w:rPr>
        <w:t>谈判小组应当按扣除后的报价由低到高进行排序，该扣除后报价仅作为评审报价排序，不作为合同签订报价，合同将按实际最后报价签订</w:t>
      </w:r>
      <w:r>
        <w:rPr>
          <w:rFonts w:hint="eastAsia" w:hAnsi="宋体"/>
          <w:bCs/>
          <w:color w:val="auto"/>
          <w:highlight w:val="none"/>
        </w:rPr>
        <w:t>。</w:t>
      </w:r>
    </w:p>
    <w:p w14:paraId="69FFD2E4">
      <w:pPr>
        <w:pStyle w:val="16"/>
        <w:spacing w:line="380" w:lineRule="exact"/>
        <w:ind w:firstLine="420" w:firstLineChars="200"/>
        <w:rPr>
          <w:rFonts w:hint="eastAsia" w:hAnsi="宋体" w:cs="Arial"/>
          <w:bCs/>
          <w:color w:val="auto"/>
          <w:kern w:val="0"/>
          <w:szCs w:val="21"/>
          <w:highlight w:val="none"/>
        </w:rPr>
      </w:pPr>
      <w:r>
        <w:rPr>
          <w:rFonts w:hint="eastAsia" w:hAnsi="宋体" w:cs="Arial"/>
          <w:bCs/>
          <w:color w:val="auto"/>
          <w:kern w:val="0"/>
          <w:szCs w:val="21"/>
          <w:highlight w:val="none"/>
        </w:rPr>
        <w:t>3. 根据财政部、司法部关于政府采购支持监狱企业发展有关问题的通知（财库[2014]68号），监狱企业视同小型、微型企业，享受小型、微型企业评审中价格扣除的政府采购政策。</w:t>
      </w:r>
    </w:p>
    <w:p w14:paraId="3CD7B9B8">
      <w:pPr>
        <w:pStyle w:val="16"/>
        <w:spacing w:line="380" w:lineRule="exact"/>
        <w:ind w:firstLine="411" w:firstLineChars="196"/>
        <w:rPr>
          <w:rFonts w:hint="eastAsia" w:hAnsi="宋体"/>
          <w:bCs/>
          <w:color w:val="auto"/>
          <w:highlight w:val="none"/>
        </w:rPr>
      </w:pPr>
      <w:r>
        <w:rPr>
          <w:rFonts w:hint="eastAsia" w:hAnsi="宋体"/>
          <w:bCs/>
          <w:color w:val="auto"/>
          <w:szCs w:val="21"/>
          <w:highlight w:val="none"/>
        </w:rPr>
        <w:t>4. 评审时，</w:t>
      </w:r>
      <w:r>
        <w:rPr>
          <w:rFonts w:hint="eastAsia" w:hAnsi="宋体"/>
          <w:bCs/>
          <w:color w:val="auto"/>
          <w:highlight w:val="none"/>
        </w:rPr>
        <w:t>应当将通过资格性审查和符合性审查各供应商的评审报价，按照</w:t>
      </w:r>
      <w:r>
        <w:rPr>
          <w:rFonts w:hint="eastAsia" w:hAnsi="宋体" w:cs="Arial"/>
          <w:bCs/>
          <w:color w:val="auto"/>
          <w:kern w:val="0"/>
          <w:szCs w:val="21"/>
          <w:highlight w:val="none"/>
        </w:rPr>
        <w:t>由低到高顺序排序，</w:t>
      </w:r>
      <w:r>
        <w:rPr>
          <w:rFonts w:hint="eastAsia" w:hAnsi="宋体"/>
          <w:bCs/>
          <w:color w:val="auto"/>
          <w:highlight w:val="none"/>
        </w:rPr>
        <w:t>当评审报价相同时，以最后第二次报价低的优先排序；当最后报价相同时，采用抽签方式决定排序。</w:t>
      </w:r>
    </w:p>
    <w:p w14:paraId="50996595">
      <w:pPr>
        <w:pStyle w:val="16"/>
        <w:spacing w:line="380" w:lineRule="exact"/>
        <w:ind w:firstLine="411" w:firstLineChars="196"/>
        <w:rPr>
          <w:rFonts w:hint="eastAsia" w:eastAsia="宋体"/>
          <w:color w:val="auto"/>
          <w:highlight w:val="none"/>
          <w:lang w:val="en-US" w:eastAsia="zh-CN"/>
        </w:rPr>
      </w:pPr>
      <w:r>
        <w:rPr>
          <w:rFonts w:hint="eastAsia" w:hAnsi="宋体"/>
          <w:bCs/>
          <w:color w:val="auto"/>
          <w:highlight w:val="none"/>
          <w:lang w:val="en-US" w:eastAsia="zh-CN"/>
        </w:rPr>
        <w:t>5、中华人民共和国财政部令第87号《政府采购货物和服务招标投标管理办法》，采用最低评标价法的采购项目，提供相同品牌产品的不同供应商参加同一合同项下投标的，以其中通过资格审查、符合性审查且报价最低的参加评标；报价相同的，由采购人或者采购人委托评标委员会按照招标文件规定的方式确定一个参加评标的供应商，招标文件未规定的采取随机抽取方式确定，其他投标无效。</w:t>
      </w:r>
    </w:p>
    <w:p w14:paraId="278791A7">
      <w:pPr>
        <w:pStyle w:val="16"/>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hAnsi="宋体"/>
          <w:bCs/>
          <w:color w:val="auto"/>
          <w:szCs w:val="21"/>
          <w:highlight w:val="none"/>
        </w:rPr>
      </w:pPr>
      <w:r>
        <w:rPr>
          <w:rFonts w:hint="eastAsia" w:hAnsi="宋体"/>
          <w:bCs/>
          <w:color w:val="auto"/>
          <w:szCs w:val="21"/>
          <w:highlight w:val="none"/>
        </w:rPr>
        <w:t>三、成交候选人推荐原则</w:t>
      </w:r>
    </w:p>
    <w:p w14:paraId="3960319A">
      <w:pPr>
        <w:pStyle w:val="16"/>
        <w:keepNext w:val="0"/>
        <w:keepLines w:val="0"/>
        <w:pageBreakBefore w:val="0"/>
        <w:widowControl w:val="0"/>
        <w:tabs>
          <w:tab w:val="left" w:pos="4214"/>
        </w:tabs>
        <w:kinsoku/>
        <w:wordWrap/>
        <w:overflowPunct/>
        <w:topLinePunct w:val="0"/>
        <w:autoSpaceDE/>
        <w:autoSpaceDN/>
        <w:bidi w:val="0"/>
        <w:adjustRightInd/>
        <w:snapToGrid/>
        <w:spacing w:line="400" w:lineRule="exact"/>
        <w:ind w:firstLine="420" w:firstLineChars="200"/>
        <w:textAlignment w:val="auto"/>
        <w:rPr>
          <w:rFonts w:hint="eastAsia" w:hAnsi="宋体"/>
          <w:color w:val="auto"/>
          <w:szCs w:val="21"/>
          <w:highlight w:val="none"/>
        </w:rPr>
      </w:pPr>
      <w:r>
        <w:rPr>
          <w:rFonts w:hint="eastAsia" w:hAnsi="宋体"/>
          <w:color w:val="auto"/>
          <w:szCs w:val="21"/>
          <w:highlight w:val="none"/>
        </w:rPr>
        <w:t>（1）采购单位应当确定谈判小组推荐排名第一的成交候选人为成交供应商。</w:t>
      </w:r>
    </w:p>
    <w:p w14:paraId="41DC5426">
      <w:pPr>
        <w:pStyle w:val="16"/>
        <w:keepNext w:val="0"/>
        <w:keepLines w:val="0"/>
        <w:pageBreakBefore w:val="0"/>
        <w:widowControl w:val="0"/>
        <w:kinsoku/>
        <w:wordWrap/>
        <w:overflowPunct/>
        <w:topLinePunct w:val="0"/>
        <w:autoSpaceDE/>
        <w:autoSpaceDN/>
        <w:bidi w:val="0"/>
        <w:adjustRightInd/>
        <w:snapToGrid/>
        <w:spacing w:line="400" w:lineRule="exact"/>
        <w:ind w:firstLine="447" w:firstLineChars="213"/>
        <w:textAlignment w:val="auto"/>
        <w:rPr>
          <w:rFonts w:hint="eastAsia" w:hAnsi="宋体"/>
          <w:color w:val="auto"/>
          <w:szCs w:val="21"/>
          <w:highlight w:val="none"/>
        </w:rPr>
      </w:pPr>
      <w:r>
        <w:rPr>
          <w:rFonts w:hint="eastAsia" w:hAnsi="宋体"/>
          <w:color w:val="auto"/>
          <w:szCs w:val="21"/>
          <w:highlight w:val="none"/>
        </w:rPr>
        <w:t>（2）排名第一的成交候选人放弃成交、因不可抗力提出不能履行合同，或者竞争性谈判文件规定应当提交履约保证金而在规定的期限内未能提交的，采购单位可以确定排名第二的成交候选人为成交供应商。</w:t>
      </w:r>
    </w:p>
    <w:p w14:paraId="4E37C3C4">
      <w:pPr>
        <w:pStyle w:val="16"/>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hAnsi="宋体"/>
          <w:color w:val="auto"/>
          <w:szCs w:val="21"/>
          <w:highlight w:val="none"/>
        </w:rPr>
      </w:pPr>
      <w:r>
        <w:rPr>
          <w:rFonts w:hint="eastAsia" w:hAnsi="宋体"/>
          <w:color w:val="auto"/>
          <w:szCs w:val="21"/>
          <w:highlight w:val="none"/>
        </w:rPr>
        <w:t>（3</w:t>
      </w:r>
      <w:r>
        <w:rPr>
          <w:rFonts w:hAnsi="宋体"/>
          <w:color w:val="auto"/>
          <w:szCs w:val="21"/>
          <w:highlight w:val="none"/>
        </w:rPr>
        <w:t>）</w:t>
      </w:r>
      <w:r>
        <w:rPr>
          <w:rFonts w:hint="eastAsia" w:hAnsi="宋体"/>
          <w:color w:val="auto"/>
          <w:szCs w:val="21"/>
          <w:highlight w:val="none"/>
        </w:rPr>
        <w:t>排名第二的成交候选人因前款规定的同样原因不能签订合同的，采购单位可以确定排名第三的成交候选人为成交供应商。</w:t>
      </w:r>
    </w:p>
    <w:p w14:paraId="3F7A711A">
      <w:pPr>
        <w:pStyle w:val="9"/>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hAnsi="宋体"/>
          <w:color w:val="auto"/>
          <w:szCs w:val="21"/>
          <w:highlight w:val="none"/>
          <w:lang w:val="en-US" w:eastAsia="zh-CN"/>
        </w:rPr>
      </w:pPr>
      <w:r>
        <w:rPr>
          <w:rFonts w:hint="eastAsia" w:hAnsi="宋体"/>
          <w:color w:val="auto"/>
          <w:szCs w:val="21"/>
          <w:highlight w:val="none"/>
          <w:lang w:val="en-US" w:eastAsia="zh-CN"/>
        </w:rPr>
        <w:t xml:space="preserve">     （4）采购人也可重新招标。</w:t>
      </w:r>
    </w:p>
    <w:p w14:paraId="7BF72C44">
      <w:pPr>
        <w:pStyle w:val="16"/>
        <w:spacing w:line="380" w:lineRule="exact"/>
        <w:ind w:firstLine="422" w:firstLineChars="200"/>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lang w:eastAsia="zh-CN"/>
        </w:rPr>
        <w:t>三、</w:t>
      </w:r>
      <w:r>
        <w:rPr>
          <w:rFonts w:hint="eastAsia" w:ascii="宋体" w:hAnsi="宋体" w:eastAsia="宋体" w:cs="Times New Roman"/>
          <w:b/>
          <w:bCs/>
          <w:color w:val="auto"/>
          <w:szCs w:val="21"/>
          <w:highlight w:val="none"/>
        </w:rPr>
        <w:t>否绝投标</w:t>
      </w:r>
      <w:bookmarkStart w:id="20" w:name="_Toc252705915"/>
      <w:bookmarkStart w:id="21" w:name="_Toc231873587"/>
      <w:r>
        <w:rPr>
          <w:rFonts w:hint="eastAsia" w:ascii="宋体" w:hAnsi="宋体" w:eastAsia="宋体" w:cs="Times New Roman"/>
          <w:b/>
          <w:bCs/>
          <w:color w:val="auto"/>
          <w:szCs w:val="21"/>
          <w:highlight w:val="none"/>
        </w:rPr>
        <w:t>情形</w:t>
      </w:r>
    </w:p>
    <w:bookmarkEnd w:id="20"/>
    <w:bookmarkEnd w:id="21"/>
    <w:p w14:paraId="02A9689A">
      <w:pPr>
        <w:shd w:val="clear" w:color="auto" w:fill="auto"/>
        <w:spacing w:line="360" w:lineRule="auto"/>
        <w:ind w:firstLine="420" w:firstLineChars="200"/>
        <w:rPr>
          <w:rFonts w:hint="eastAsia" w:ascii="宋体" w:hAnsi="宋体" w:eastAsia="宋体" w:cs="宋体"/>
          <w:color w:val="auto"/>
          <w:szCs w:val="28"/>
          <w:highlight w:val="none"/>
        </w:rPr>
      </w:pPr>
      <w:r>
        <w:rPr>
          <w:rFonts w:hint="eastAsia" w:ascii="宋体" w:hAnsi="宋体" w:eastAsia="宋体" w:cs="宋体"/>
          <w:color w:val="auto"/>
          <w:szCs w:val="28"/>
          <w:highlight w:val="none"/>
        </w:rPr>
        <w:t>3.1除</w:t>
      </w:r>
      <w:r>
        <w:rPr>
          <w:rFonts w:hint="eastAsia" w:ascii="宋体" w:hAnsi="宋体" w:cs="宋体"/>
          <w:color w:val="auto"/>
          <w:szCs w:val="28"/>
          <w:highlight w:val="none"/>
          <w:lang w:eastAsia="zh-CN"/>
        </w:rPr>
        <w:t>谈判</w:t>
      </w:r>
      <w:r>
        <w:rPr>
          <w:rFonts w:hint="eastAsia" w:ascii="宋体" w:hAnsi="宋体" w:eastAsia="宋体" w:cs="宋体"/>
          <w:color w:val="auto"/>
          <w:szCs w:val="28"/>
          <w:highlight w:val="none"/>
        </w:rPr>
        <w:t>文件另有规定，供应商存在下列情况之一的，投标无效：</w:t>
      </w:r>
    </w:p>
    <w:p w14:paraId="5A0D0203">
      <w:pPr>
        <w:keepNext w:val="0"/>
        <w:keepLines w:val="0"/>
        <w:pageBreakBefore w:val="0"/>
        <w:widowControl w:val="0"/>
        <w:numPr>
          <w:ilvl w:val="0"/>
          <w:numId w:val="6"/>
        </w:numPr>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lang w:val="en-US" w:eastAsia="zh-CN"/>
        </w:rPr>
        <w:t>未按谈判文件编制要求进行编制响应文件</w:t>
      </w:r>
      <w:r>
        <w:rPr>
          <w:rFonts w:hint="eastAsia" w:ascii="宋体" w:hAnsi="宋体" w:cs="宋体"/>
          <w:color w:val="auto"/>
          <w:szCs w:val="28"/>
          <w:highlight w:val="none"/>
          <w:lang w:val="en-US" w:eastAsia="zh-CN"/>
        </w:rPr>
        <w:t>和</w:t>
      </w:r>
      <w:r>
        <w:rPr>
          <w:rFonts w:hint="eastAsia" w:ascii="宋体" w:hAnsi="宋体" w:eastAsia="宋体" w:cs="宋体"/>
          <w:color w:val="auto"/>
          <w:szCs w:val="28"/>
          <w:highlight w:val="none"/>
        </w:rPr>
        <w:t>签字</w:t>
      </w:r>
      <w:r>
        <w:rPr>
          <w:rFonts w:hint="eastAsia" w:ascii="宋体" w:hAnsi="宋体" w:cs="宋体"/>
          <w:color w:val="auto"/>
          <w:szCs w:val="28"/>
          <w:highlight w:val="none"/>
          <w:lang w:eastAsia="zh-CN"/>
        </w:rPr>
        <w:t>、</w:t>
      </w:r>
      <w:r>
        <w:rPr>
          <w:rFonts w:hint="eastAsia" w:ascii="宋体" w:hAnsi="宋体" w:eastAsia="宋体" w:cs="宋体"/>
          <w:color w:val="auto"/>
          <w:szCs w:val="28"/>
          <w:highlight w:val="none"/>
        </w:rPr>
        <w:t>盖章的；</w:t>
      </w:r>
    </w:p>
    <w:p w14:paraId="7A119450">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lang w:eastAsia="zh-CN"/>
        </w:rPr>
      </w:pPr>
      <w:r>
        <w:rPr>
          <w:rFonts w:hint="eastAsia" w:ascii="宋体" w:hAnsi="宋体" w:eastAsia="宋体" w:cs="宋体"/>
          <w:color w:val="auto"/>
          <w:szCs w:val="28"/>
          <w:highlight w:val="none"/>
        </w:rPr>
        <w:t>（2）响应文件未按</w:t>
      </w:r>
      <w:r>
        <w:rPr>
          <w:rFonts w:hint="eastAsia" w:ascii="宋体" w:hAnsi="宋体" w:eastAsia="宋体" w:cs="宋体"/>
          <w:color w:val="auto"/>
          <w:szCs w:val="28"/>
          <w:highlight w:val="none"/>
          <w:lang w:eastAsia="zh-CN"/>
        </w:rPr>
        <w:t>谈判</w:t>
      </w:r>
      <w:r>
        <w:rPr>
          <w:rFonts w:hint="eastAsia" w:ascii="宋体" w:hAnsi="宋体" w:eastAsia="宋体" w:cs="宋体"/>
          <w:color w:val="auto"/>
          <w:szCs w:val="28"/>
          <w:highlight w:val="none"/>
        </w:rPr>
        <w:t>文件要求编制填写</w:t>
      </w:r>
      <w:r>
        <w:rPr>
          <w:rFonts w:hint="eastAsia" w:ascii="宋体" w:hAnsi="宋体" w:eastAsia="宋体" w:cs="宋体"/>
          <w:color w:val="auto"/>
          <w:szCs w:val="28"/>
          <w:highlight w:val="none"/>
          <w:lang w:eastAsia="zh-CN"/>
        </w:rPr>
        <w:t>、</w:t>
      </w:r>
      <w:r>
        <w:rPr>
          <w:rFonts w:hint="eastAsia" w:ascii="宋体" w:hAnsi="宋体" w:eastAsia="宋体" w:cs="宋体"/>
          <w:color w:val="auto"/>
          <w:szCs w:val="28"/>
          <w:highlight w:val="none"/>
          <w:lang w:val="en-US" w:eastAsia="zh-CN"/>
        </w:rPr>
        <w:t>签字盖章</w:t>
      </w:r>
      <w:r>
        <w:rPr>
          <w:rFonts w:hint="eastAsia" w:ascii="宋体" w:hAnsi="宋体" w:eastAsia="宋体" w:cs="宋体"/>
          <w:color w:val="auto"/>
          <w:szCs w:val="28"/>
          <w:highlight w:val="none"/>
        </w:rPr>
        <w:t>，或内容不全、字迹模糊、难以辨认的</w:t>
      </w:r>
      <w:r>
        <w:rPr>
          <w:rFonts w:hint="eastAsia" w:ascii="宋体" w:hAnsi="宋体" w:cs="宋体"/>
          <w:color w:val="auto"/>
          <w:szCs w:val="28"/>
          <w:highlight w:val="none"/>
          <w:lang w:eastAsia="zh-CN"/>
        </w:rPr>
        <w:t>；</w:t>
      </w:r>
    </w:p>
    <w:p w14:paraId="026F689E">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3</w:t>
      </w:r>
      <w:r>
        <w:rPr>
          <w:rFonts w:hint="eastAsia" w:ascii="宋体" w:hAnsi="宋体" w:eastAsia="宋体" w:cs="宋体"/>
          <w:color w:val="auto"/>
          <w:szCs w:val="28"/>
          <w:highlight w:val="none"/>
        </w:rPr>
        <w:t>）供应商不符合资格条件或未按</w:t>
      </w:r>
      <w:r>
        <w:rPr>
          <w:rFonts w:hint="eastAsia" w:ascii="宋体" w:hAnsi="宋体" w:eastAsia="宋体" w:cs="宋体"/>
          <w:color w:val="auto"/>
          <w:szCs w:val="28"/>
          <w:highlight w:val="none"/>
          <w:lang w:eastAsia="zh-CN"/>
        </w:rPr>
        <w:t>谈判</w:t>
      </w:r>
      <w:r>
        <w:rPr>
          <w:rFonts w:hint="eastAsia" w:ascii="宋体" w:hAnsi="宋体" w:eastAsia="宋体" w:cs="宋体"/>
          <w:color w:val="auto"/>
          <w:szCs w:val="28"/>
          <w:highlight w:val="none"/>
        </w:rPr>
        <w:t>文件规定提供资格证明文件的；</w:t>
      </w:r>
    </w:p>
    <w:p w14:paraId="0F1AEB8D">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4</w:t>
      </w:r>
      <w:r>
        <w:rPr>
          <w:rFonts w:hint="eastAsia" w:ascii="宋体" w:hAnsi="宋体" w:eastAsia="宋体" w:cs="宋体"/>
          <w:color w:val="auto"/>
          <w:szCs w:val="28"/>
          <w:highlight w:val="none"/>
        </w:rPr>
        <w:t>）未能实质性响应</w:t>
      </w:r>
      <w:r>
        <w:rPr>
          <w:rFonts w:hint="eastAsia" w:ascii="宋体" w:hAnsi="宋体" w:eastAsia="宋体" w:cs="宋体"/>
          <w:color w:val="auto"/>
          <w:szCs w:val="28"/>
          <w:highlight w:val="none"/>
          <w:lang w:eastAsia="zh-CN"/>
        </w:rPr>
        <w:t>谈判</w:t>
      </w:r>
      <w:r>
        <w:rPr>
          <w:rFonts w:hint="eastAsia" w:ascii="宋体" w:hAnsi="宋体" w:eastAsia="宋体" w:cs="宋体"/>
          <w:color w:val="auto"/>
          <w:szCs w:val="28"/>
          <w:highlight w:val="none"/>
        </w:rPr>
        <w:t>文件商务和技术要求的；</w:t>
      </w:r>
    </w:p>
    <w:p w14:paraId="635B46BA">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5</w:t>
      </w:r>
      <w:r>
        <w:rPr>
          <w:rFonts w:hint="eastAsia" w:ascii="宋体" w:hAnsi="宋体" w:eastAsia="宋体" w:cs="宋体"/>
          <w:color w:val="auto"/>
          <w:szCs w:val="28"/>
          <w:highlight w:val="none"/>
        </w:rPr>
        <w:t>）投标有效期不足的</w:t>
      </w:r>
      <w:r>
        <w:rPr>
          <w:rFonts w:hint="eastAsia" w:ascii="宋体" w:hAnsi="宋体" w:eastAsia="宋体" w:cs="宋体"/>
          <w:color w:val="auto"/>
          <w:szCs w:val="28"/>
          <w:highlight w:val="none"/>
          <w:lang w:val="en-US" w:eastAsia="zh-CN"/>
        </w:rPr>
        <w:t>或未响应的</w:t>
      </w:r>
      <w:r>
        <w:rPr>
          <w:rFonts w:hint="eastAsia" w:ascii="宋体" w:hAnsi="宋体" w:eastAsia="宋体" w:cs="宋体"/>
          <w:color w:val="auto"/>
          <w:szCs w:val="28"/>
          <w:highlight w:val="none"/>
        </w:rPr>
        <w:t>；</w:t>
      </w:r>
    </w:p>
    <w:p w14:paraId="7BC35C79">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6</w:t>
      </w:r>
      <w:r>
        <w:rPr>
          <w:rFonts w:hint="eastAsia" w:ascii="宋体" w:hAnsi="宋体" w:eastAsia="宋体" w:cs="宋体"/>
          <w:color w:val="auto"/>
          <w:szCs w:val="28"/>
          <w:highlight w:val="none"/>
        </w:rPr>
        <w:t>）报价货币不是人民币的;</w:t>
      </w:r>
    </w:p>
    <w:p w14:paraId="59956085">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szCs w:val="28"/>
          <w:highlight w:val="none"/>
          <w:lang w:val="en-US" w:eastAsia="zh-CN"/>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7</w:t>
      </w:r>
      <w:r>
        <w:rPr>
          <w:rFonts w:hint="eastAsia" w:ascii="宋体" w:hAnsi="宋体" w:eastAsia="宋体" w:cs="宋体"/>
          <w:color w:val="auto"/>
          <w:szCs w:val="28"/>
          <w:highlight w:val="none"/>
        </w:rPr>
        <w:t>）报价超过</w:t>
      </w:r>
      <w:r>
        <w:rPr>
          <w:rFonts w:hint="eastAsia" w:ascii="宋体" w:hAnsi="宋体" w:eastAsia="宋体" w:cs="宋体"/>
          <w:color w:val="auto"/>
          <w:szCs w:val="28"/>
          <w:highlight w:val="none"/>
          <w:lang w:eastAsia="zh-CN"/>
        </w:rPr>
        <w:t>谈判</w:t>
      </w:r>
      <w:r>
        <w:rPr>
          <w:rFonts w:hint="eastAsia" w:ascii="宋体" w:hAnsi="宋体" w:eastAsia="宋体" w:cs="宋体"/>
          <w:color w:val="auto"/>
          <w:szCs w:val="28"/>
          <w:highlight w:val="none"/>
        </w:rPr>
        <w:t>文件中规定的预算金额或者最高限价的；</w:t>
      </w:r>
      <w:r>
        <w:rPr>
          <w:rFonts w:hint="eastAsia" w:ascii="宋体" w:hAnsi="宋体" w:eastAsia="宋体" w:cs="宋体"/>
          <w:color w:val="auto"/>
          <w:szCs w:val="28"/>
          <w:highlight w:val="none"/>
          <w:lang w:val="en-US" w:eastAsia="zh-CN"/>
        </w:rPr>
        <w:t>低于供应商成本价格；在规定时间内未作出说明和递交证明材料的；</w:t>
      </w:r>
    </w:p>
    <w:p w14:paraId="25F73E04">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cs="宋体"/>
          <w:color w:val="auto"/>
          <w:szCs w:val="28"/>
          <w:highlight w:val="none"/>
          <w:lang w:val="en-US" w:eastAsia="zh-CN"/>
        </w:rPr>
        <w:t>8</w:t>
      </w:r>
      <w:r>
        <w:rPr>
          <w:rFonts w:hint="eastAsia" w:ascii="宋体" w:hAnsi="宋体" w:eastAsia="宋体" w:cs="宋体"/>
          <w:color w:val="auto"/>
          <w:szCs w:val="28"/>
          <w:highlight w:val="none"/>
        </w:rPr>
        <w:t>）串通投标或弄虚作假或有其他违法行为的；</w:t>
      </w:r>
    </w:p>
    <w:p w14:paraId="0306B611">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cs="宋体"/>
          <w:color w:val="auto"/>
          <w:szCs w:val="28"/>
          <w:highlight w:val="none"/>
          <w:lang w:val="en-US" w:eastAsia="zh-CN"/>
        </w:rPr>
        <w:t>9</w:t>
      </w:r>
      <w:r>
        <w:rPr>
          <w:rFonts w:hint="eastAsia" w:ascii="宋体" w:hAnsi="宋体" w:eastAsia="宋体" w:cs="宋体"/>
          <w:color w:val="auto"/>
          <w:szCs w:val="28"/>
          <w:highlight w:val="none"/>
        </w:rPr>
        <w:t>）未按磋商小组要求澄清、说明或补正的；</w:t>
      </w:r>
    </w:p>
    <w:p w14:paraId="513A9359">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1</w:t>
      </w:r>
      <w:r>
        <w:rPr>
          <w:rFonts w:hint="eastAsia" w:ascii="宋体" w:hAnsi="宋体" w:cs="宋体"/>
          <w:color w:val="auto"/>
          <w:szCs w:val="28"/>
          <w:highlight w:val="none"/>
          <w:lang w:val="en-US" w:eastAsia="zh-CN"/>
        </w:rPr>
        <w:t>0</w:t>
      </w:r>
      <w:r>
        <w:rPr>
          <w:rFonts w:hint="eastAsia" w:ascii="宋体" w:hAnsi="宋体" w:eastAsia="宋体" w:cs="宋体"/>
          <w:color w:val="auto"/>
          <w:szCs w:val="28"/>
          <w:highlight w:val="none"/>
        </w:rPr>
        <w:t>）未按谈判小组的要求在评审现场合理的时间内提供书面说明（必要时提交相关证明材料），或不能证明其报价合理性的；</w:t>
      </w:r>
    </w:p>
    <w:p w14:paraId="0EB5A04E">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szCs w:val="28"/>
          <w:highlight w:val="none"/>
          <w:lang w:val="en-US" w:eastAsia="zh-CN"/>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1</w:t>
      </w:r>
      <w:r>
        <w:rPr>
          <w:rFonts w:hint="eastAsia" w:ascii="宋体" w:hAnsi="宋体" w:cs="宋体"/>
          <w:color w:val="auto"/>
          <w:szCs w:val="28"/>
          <w:highlight w:val="none"/>
          <w:lang w:val="en-US" w:eastAsia="zh-CN"/>
        </w:rPr>
        <w:t>1</w:t>
      </w:r>
      <w:r>
        <w:rPr>
          <w:rFonts w:hint="eastAsia" w:ascii="宋体" w:hAnsi="宋体" w:eastAsia="宋体" w:cs="宋体"/>
          <w:color w:val="auto"/>
          <w:szCs w:val="28"/>
          <w:highlight w:val="none"/>
        </w:rPr>
        <w:t>）未按</w:t>
      </w:r>
      <w:r>
        <w:rPr>
          <w:rFonts w:hint="eastAsia" w:ascii="宋体" w:hAnsi="宋体" w:eastAsia="宋体" w:cs="宋体"/>
          <w:color w:val="auto"/>
          <w:szCs w:val="28"/>
          <w:highlight w:val="none"/>
          <w:lang w:eastAsia="zh-CN"/>
        </w:rPr>
        <w:t>谈判</w:t>
      </w:r>
      <w:r>
        <w:rPr>
          <w:rFonts w:hint="eastAsia" w:ascii="宋体" w:hAnsi="宋体" w:eastAsia="宋体" w:cs="宋体"/>
          <w:color w:val="auto"/>
          <w:szCs w:val="28"/>
          <w:highlight w:val="none"/>
        </w:rPr>
        <w:t>小组的要求确认修正后的报价的；</w:t>
      </w:r>
    </w:p>
    <w:p w14:paraId="3E647614">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1</w:t>
      </w:r>
      <w:r>
        <w:rPr>
          <w:rFonts w:hint="eastAsia" w:ascii="宋体" w:hAnsi="宋体" w:cs="宋体"/>
          <w:color w:val="auto"/>
          <w:szCs w:val="28"/>
          <w:highlight w:val="none"/>
          <w:lang w:val="en-US" w:eastAsia="zh-CN"/>
        </w:rPr>
        <w:t>2</w:t>
      </w:r>
      <w:r>
        <w:rPr>
          <w:rFonts w:hint="eastAsia" w:ascii="宋体" w:hAnsi="宋体" w:eastAsia="宋体" w:cs="宋体"/>
          <w:color w:val="auto"/>
          <w:szCs w:val="28"/>
          <w:highlight w:val="none"/>
        </w:rPr>
        <w:t>）供应商符合第二章《供应商须知》第</w:t>
      </w:r>
      <w:r>
        <w:rPr>
          <w:rFonts w:hint="eastAsia" w:ascii="宋体" w:hAnsi="宋体" w:cs="宋体"/>
          <w:color w:val="auto"/>
          <w:szCs w:val="28"/>
          <w:highlight w:val="none"/>
          <w:lang w:val="en-US" w:eastAsia="zh-CN"/>
        </w:rPr>
        <w:t>8.5.3</w:t>
      </w:r>
      <w:r>
        <w:rPr>
          <w:rFonts w:hint="eastAsia" w:ascii="宋体" w:hAnsi="宋体" w:eastAsia="宋体" w:cs="宋体"/>
          <w:color w:val="auto"/>
          <w:szCs w:val="28"/>
          <w:highlight w:val="none"/>
        </w:rPr>
        <w:t>条任何一种情形的；</w:t>
      </w:r>
    </w:p>
    <w:p w14:paraId="4B59326D">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1</w:t>
      </w:r>
      <w:r>
        <w:rPr>
          <w:rFonts w:hint="eastAsia" w:ascii="宋体" w:hAnsi="宋体" w:cs="宋体"/>
          <w:color w:val="auto"/>
          <w:szCs w:val="28"/>
          <w:highlight w:val="none"/>
          <w:lang w:val="en-US" w:eastAsia="zh-CN"/>
        </w:rPr>
        <w:t>3</w:t>
      </w:r>
      <w:r>
        <w:rPr>
          <w:rFonts w:hint="eastAsia" w:ascii="宋体" w:hAnsi="宋体" w:eastAsia="宋体" w:cs="宋体"/>
          <w:color w:val="auto"/>
          <w:szCs w:val="28"/>
          <w:highlight w:val="none"/>
        </w:rPr>
        <w:t>）响应文件含有采购人不能接受的附加条件的；</w:t>
      </w:r>
    </w:p>
    <w:p w14:paraId="429827F6">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1</w:t>
      </w:r>
      <w:r>
        <w:rPr>
          <w:rFonts w:hint="eastAsia" w:ascii="宋体" w:hAnsi="宋体" w:cs="宋体"/>
          <w:color w:val="auto"/>
          <w:szCs w:val="28"/>
          <w:highlight w:val="none"/>
          <w:lang w:val="en-US" w:eastAsia="zh-CN"/>
        </w:rPr>
        <w:t>4</w:t>
      </w:r>
      <w:r>
        <w:rPr>
          <w:rFonts w:hint="eastAsia" w:ascii="宋体" w:hAnsi="宋体" w:eastAsia="宋体" w:cs="宋体"/>
          <w:color w:val="auto"/>
          <w:szCs w:val="28"/>
          <w:highlight w:val="none"/>
        </w:rPr>
        <w:t>）违反国家法律、法规和</w:t>
      </w:r>
      <w:r>
        <w:rPr>
          <w:rFonts w:hint="eastAsia" w:ascii="宋体" w:hAnsi="宋体" w:eastAsia="宋体" w:cs="宋体"/>
          <w:color w:val="auto"/>
          <w:szCs w:val="28"/>
          <w:highlight w:val="none"/>
          <w:lang w:eastAsia="zh-CN"/>
        </w:rPr>
        <w:t>谈判</w:t>
      </w:r>
      <w:r>
        <w:rPr>
          <w:rFonts w:hint="eastAsia" w:ascii="宋体" w:hAnsi="宋体" w:eastAsia="宋体" w:cs="宋体"/>
          <w:color w:val="auto"/>
          <w:szCs w:val="28"/>
          <w:highlight w:val="none"/>
        </w:rPr>
        <w:t>文件规定的其他无效情形。</w:t>
      </w:r>
    </w:p>
    <w:p w14:paraId="5E5E274E">
      <w:pPr>
        <w:pStyle w:val="9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color w:val="auto"/>
          <w:highlight w:val="none"/>
          <w:lang w:eastAsia="zh-CN"/>
        </w:rPr>
      </w:pPr>
      <w:r>
        <w:rPr>
          <w:rFonts w:hint="eastAsia" w:ascii="宋体" w:hAnsi="宋体" w:cs="宋体"/>
          <w:color w:val="auto"/>
          <w:szCs w:val="28"/>
          <w:highlight w:val="none"/>
          <w:lang w:eastAsia="zh-CN"/>
        </w:rPr>
        <w:t>（</w:t>
      </w:r>
      <w:r>
        <w:rPr>
          <w:rFonts w:hint="eastAsia" w:ascii="宋体" w:hAnsi="宋体" w:cs="宋体"/>
          <w:color w:val="auto"/>
          <w:szCs w:val="28"/>
          <w:highlight w:val="none"/>
          <w:lang w:val="en-US" w:eastAsia="zh-CN"/>
        </w:rPr>
        <w:t>15</w:t>
      </w:r>
      <w:r>
        <w:rPr>
          <w:rFonts w:hint="eastAsia" w:ascii="宋体" w:hAnsi="宋体" w:cs="宋体"/>
          <w:color w:val="auto"/>
          <w:szCs w:val="28"/>
          <w:highlight w:val="none"/>
          <w:lang w:eastAsia="zh-CN"/>
        </w:rPr>
        <w:t>）谈判文件给出的“响应文件格式”中要求签字或盖章未响应的或随意更改响应文件格式的（包含签字处不允许盖章或盖章处不允许签字的情形）。</w:t>
      </w:r>
    </w:p>
    <w:p w14:paraId="0D5DE1A7">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3.2有下列情形之一的，视为供应商串通投标，其投标无效：</w:t>
      </w:r>
    </w:p>
    <w:p w14:paraId="766B33B1">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（1）不同供应商的响应文件由同一单位或者个人编制；</w:t>
      </w:r>
    </w:p>
    <w:p w14:paraId="161AF1FD">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（2）不同供应商委托同一单位或者个人办理投标事宜；</w:t>
      </w:r>
    </w:p>
    <w:p w14:paraId="099B89F8">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（3）不同供应商的响应文件载明的项目管理成员或者联系人员为同一人；</w:t>
      </w:r>
    </w:p>
    <w:p w14:paraId="009AA06A">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（4）不同供应商的响应文件异常一致</w:t>
      </w:r>
      <w:r>
        <w:rPr>
          <w:rFonts w:hint="eastAsia" w:ascii="宋体" w:hAnsi="宋体" w:cs="宋体"/>
          <w:color w:val="auto"/>
          <w:szCs w:val="28"/>
          <w:highlight w:val="none"/>
          <w:lang w:eastAsia="zh-CN"/>
        </w:rPr>
        <w:t>或</w:t>
      </w:r>
      <w:r>
        <w:rPr>
          <w:rFonts w:hint="eastAsia" w:ascii="宋体" w:hAnsi="宋体" w:eastAsia="宋体" w:cs="宋体"/>
          <w:color w:val="auto"/>
          <w:szCs w:val="28"/>
          <w:highlight w:val="none"/>
          <w:lang w:val="en-US" w:eastAsia="zh-CN"/>
        </w:rPr>
        <w:t>出现相同打印IP地址或</w:t>
      </w:r>
      <w:r>
        <w:rPr>
          <w:rFonts w:hint="eastAsia" w:ascii="宋体" w:hAnsi="宋体" w:eastAsia="宋体" w:cs="宋体"/>
          <w:color w:val="auto"/>
          <w:szCs w:val="28"/>
          <w:highlight w:val="none"/>
        </w:rPr>
        <w:t>报价呈规律性差异；</w:t>
      </w:r>
    </w:p>
    <w:p w14:paraId="6465FEF7">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（5）不同供应商的响应文件相互混装；</w:t>
      </w:r>
    </w:p>
    <w:p w14:paraId="08CDAD5C">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（6）不同供应商的</w:t>
      </w:r>
      <w:r>
        <w:rPr>
          <w:rFonts w:hint="eastAsia" w:ascii="宋体" w:hAnsi="宋体" w:eastAsia="宋体" w:cs="宋体"/>
          <w:color w:val="auto"/>
          <w:szCs w:val="28"/>
          <w:highlight w:val="none"/>
          <w:lang w:eastAsia="zh-CN"/>
        </w:rPr>
        <w:t>谈判</w:t>
      </w:r>
      <w:r>
        <w:rPr>
          <w:rFonts w:hint="eastAsia" w:ascii="宋体" w:hAnsi="宋体" w:eastAsia="宋体" w:cs="宋体"/>
          <w:color w:val="auto"/>
          <w:szCs w:val="28"/>
          <w:highlight w:val="none"/>
        </w:rPr>
        <w:t>保证金从同一单位或者个人的账户转出。</w:t>
      </w:r>
    </w:p>
    <w:p w14:paraId="6033C834">
      <w:pPr>
        <w:rPr>
          <w:rFonts w:hint="default"/>
          <w:color w:val="auto"/>
          <w:highlight w:val="none"/>
          <w:lang w:val="en-US" w:eastAsia="zh-CN"/>
        </w:rPr>
      </w:pPr>
    </w:p>
    <w:p w14:paraId="388481E5">
      <w:pPr>
        <w:pStyle w:val="16"/>
        <w:spacing w:line="360" w:lineRule="exact"/>
        <w:ind w:firstLine="420" w:firstLineChars="200"/>
        <w:rPr>
          <w:rFonts w:hint="eastAsia" w:hAnsi="宋体"/>
          <w:color w:val="auto"/>
          <w:szCs w:val="21"/>
          <w:highlight w:val="none"/>
        </w:rPr>
      </w:pPr>
    </w:p>
    <w:p w14:paraId="25BA69ED">
      <w:pPr>
        <w:pStyle w:val="16"/>
        <w:spacing w:line="400" w:lineRule="exact"/>
        <w:ind w:left="309" w:leftChars="147"/>
        <w:rPr>
          <w:rFonts w:hint="eastAsia" w:hAnsi="宋体"/>
          <w:color w:val="auto"/>
          <w:highlight w:val="none"/>
        </w:rPr>
      </w:pPr>
    </w:p>
    <w:p w14:paraId="3FCBA610">
      <w:pPr>
        <w:pStyle w:val="2"/>
        <w:spacing w:line="0" w:lineRule="atLeast"/>
        <w:jc w:val="center"/>
        <w:rPr>
          <w:rFonts w:hint="eastAsia"/>
          <w:color w:val="auto"/>
          <w:sz w:val="28"/>
          <w:szCs w:val="28"/>
          <w:highlight w:val="none"/>
          <w:lang w:eastAsia="zh-CN"/>
        </w:rPr>
      </w:pPr>
      <w:bookmarkStart w:id="22" w:name="_Toc432264369"/>
      <w:bookmarkStart w:id="23" w:name="_Toc432277441"/>
      <w:r>
        <w:rPr>
          <w:color w:val="auto"/>
          <w:sz w:val="28"/>
          <w:szCs w:val="28"/>
          <w:highlight w:val="none"/>
        </w:rPr>
        <w:br w:type="page"/>
      </w:r>
      <w:bookmarkStart w:id="24" w:name="_Toc455565645"/>
      <w:r>
        <w:rPr>
          <w:rFonts w:hint="eastAsia"/>
          <w:color w:val="auto"/>
          <w:sz w:val="28"/>
          <w:szCs w:val="28"/>
          <w:highlight w:val="none"/>
        </w:rPr>
        <w:t>第五章  合同主要条款及格式</w:t>
      </w:r>
      <w:bookmarkEnd w:id="22"/>
      <w:bookmarkEnd w:id="23"/>
      <w:bookmarkEnd w:id="24"/>
      <w:r>
        <w:rPr>
          <w:rFonts w:hint="eastAsia"/>
          <w:color w:val="auto"/>
          <w:sz w:val="28"/>
          <w:szCs w:val="28"/>
          <w:highlight w:val="none"/>
          <w:lang w:eastAsia="zh-CN"/>
        </w:rPr>
        <w:t>（仅供参考）</w:t>
      </w:r>
    </w:p>
    <w:p w14:paraId="586A812D">
      <w:pPr>
        <w:autoSpaceDE w:val="0"/>
        <w:autoSpaceDN w:val="0"/>
        <w:adjustRightInd w:val="0"/>
        <w:spacing w:line="360" w:lineRule="auto"/>
        <w:ind w:firstLine="482"/>
        <w:rPr>
          <w:rFonts w:ascii="宋体" w:hAnsi="宋体"/>
          <w:b/>
          <w:color w:val="auto"/>
          <w:szCs w:val="21"/>
          <w:highlight w:val="none"/>
          <w:lang w:val="zh-CN"/>
        </w:rPr>
      </w:pPr>
      <w:r>
        <w:rPr>
          <w:rFonts w:ascii="宋体" w:hAnsi="宋体"/>
          <w:b/>
          <w:color w:val="auto"/>
          <w:szCs w:val="21"/>
          <w:highlight w:val="none"/>
          <w:lang w:val="zh-CN"/>
        </w:rPr>
        <w:t>1</w:t>
      </w:r>
      <w:r>
        <w:rPr>
          <w:rFonts w:hint="eastAsia" w:ascii="宋体" w:hAnsi="宋体"/>
          <w:b/>
          <w:color w:val="auto"/>
          <w:szCs w:val="21"/>
          <w:highlight w:val="none"/>
          <w:lang w:val="zh-CN"/>
        </w:rPr>
        <w:t>．定义：</w:t>
      </w:r>
      <w:r>
        <w:rPr>
          <w:rFonts w:hint="eastAsia" w:ascii="宋体" w:hAnsi="宋体"/>
          <w:color w:val="auto"/>
          <w:szCs w:val="21"/>
          <w:highlight w:val="none"/>
          <w:lang w:val="zh-CN"/>
        </w:rPr>
        <w:t>除非另有约定，在本《合同》下列术语按如下定义进行解释：</w:t>
      </w:r>
    </w:p>
    <w:p w14:paraId="13239057">
      <w:pPr>
        <w:autoSpaceDE w:val="0"/>
        <w:autoSpaceDN w:val="0"/>
        <w:adjustRightInd w:val="0"/>
        <w:spacing w:line="360" w:lineRule="auto"/>
        <w:ind w:firstLine="480"/>
        <w:rPr>
          <w:rFonts w:ascii="宋体" w:hAnsi="宋体"/>
          <w:color w:val="auto"/>
          <w:szCs w:val="21"/>
          <w:highlight w:val="none"/>
          <w:lang w:val="zh-CN"/>
        </w:rPr>
      </w:pPr>
      <w:r>
        <w:rPr>
          <w:rFonts w:hint="eastAsia" w:ascii="宋体" w:hAnsi="宋体"/>
          <w:color w:val="auto"/>
          <w:szCs w:val="21"/>
          <w:highlight w:val="none"/>
          <w:lang w:val="zh-CN"/>
        </w:rPr>
        <w:t>（</w:t>
      </w:r>
      <w:r>
        <w:rPr>
          <w:rFonts w:ascii="宋体" w:hAnsi="宋体"/>
          <w:color w:val="auto"/>
          <w:szCs w:val="21"/>
          <w:highlight w:val="none"/>
          <w:lang w:val="zh-CN"/>
        </w:rPr>
        <w:t>1</w:t>
      </w:r>
      <w:r>
        <w:rPr>
          <w:rFonts w:hint="eastAsia" w:ascii="宋体" w:hAnsi="宋体"/>
          <w:color w:val="auto"/>
          <w:szCs w:val="21"/>
          <w:highlight w:val="none"/>
          <w:lang w:val="zh-CN"/>
        </w:rPr>
        <w:t>）</w:t>
      </w:r>
      <w:r>
        <w:rPr>
          <w:rFonts w:ascii="宋体" w:hAnsi="宋体"/>
          <w:color w:val="auto"/>
          <w:szCs w:val="21"/>
          <w:highlight w:val="none"/>
        </w:rPr>
        <w:t>“</w:t>
      </w:r>
      <w:r>
        <w:rPr>
          <w:rFonts w:hint="eastAsia" w:ascii="宋体" w:hAnsi="宋体"/>
          <w:color w:val="auto"/>
          <w:szCs w:val="21"/>
          <w:highlight w:val="none"/>
          <w:lang w:val="zh-CN"/>
        </w:rPr>
        <w:t>《合同》</w:t>
      </w:r>
      <w:r>
        <w:rPr>
          <w:rFonts w:ascii="宋体" w:hAnsi="宋体"/>
          <w:color w:val="auto"/>
          <w:szCs w:val="21"/>
          <w:highlight w:val="none"/>
        </w:rPr>
        <w:t>”</w:t>
      </w:r>
      <w:r>
        <w:rPr>
          <w:rFonts w:hint="eastAsia" w:ascii="宋体" w:hAnsi="宋体"/>
          <w:color w:val="auto"/>
          <w:szCs w:val="21"/>
          <w:highlight w:val="none"/>
          <w:lang w:val="zh-CN"/>
        </w:rPr>
        <w:t>指供需双方签署的、在《合同》中载明的《合同》各方所达成的协议，包括构成《合同》的所有附件、附录和其他文件。</w:t>
      </w:r>
    </w:p>
    <w:p w14:paraId="7A16672E">
      <w:pPr>
        <w:autoSpaceDE w:val="0"/>
        <w:autoSpaceDN w:val="0"/>
        <w:adjustRightInd w:val="0"/>
        <w:spacing w:line="360" w:lineRule="auto"/>
        <w:ind w:firstLine="480"/>
        <w:rPr>
          <w:rFonts w:ascii="宋体" w:hAnsi="宋体"/>
          <w:color w:val="auto"/>
          <w:szCs w:val="21"/>
          <w:highlight w:val="none"/>
          <w:lang w:val="zh-CN"/>
        </w:rPr>
      </w:pPr>
      <w:r>
        <w:rPr>
          <w:rFonts w:hint="eastAsia" w:ascii="宋体" w:hAnsi="宋体"/>
          <w:color w:val="auto"/>
          <w:szCs w:val="21"/>
          <w:highlight w:val="none"/>
          <w:lang w:val="zh-CN"/>
        </w:rPr>
        <w:t>（</w:t>
      </w:r>
      <w:r>
        <w:rPr>
          <w:rFonts w:ascii="宋体" w:hAnsi="宋体"/>
          <w:color w:val="auto"/>
          <w:szCs w:val="21"/>
          <w:highlight w:val="none"/>
          <w:lang w:val="zh-CN"/>
        </w:rPr>
        <w:t>2</w:t>
      </w:r>
      <w:r>
        <w:rPr>
          <w:rFonts w:hint="eastAsia" w:ascii="宋体" w:hAnsi="宋体"/>
          <w:color w:val="auto"/>
          <w:szCs w:val="21"/>
          <w:highlight w:val="none"/>
          <w:lang w:val="zh-CN"/>
        </w:rPr>
        <w:t>）</w:t>
      </w:r>
      <w:r>
        <w:rPr>
          <w:rFonts w:ascii="宋体" w:hAnsi="宋体"/>
          <w:color w:val="auto"/>
          <w:szCs w:val="21"/>
          <w:highlight w:val="none"/>
        </w:rPr>
        <w:t>“</w:t>
      </w:r>
      <w:r>
        <w:rPr>
          <w:rFonts w:hint="eastAsia" w:ascii="宋体" w:hAnsi="宋体"/>
          <w:color w:val="auto"/>
          <w:szCs w:val="21"/>
          <w:highlight w:val="none"/>
          <w:lang w:val="zh-CN"/>
        </w:rPr>
        <w:t>附件、附录</w:t>
      </w:r>
      <w:r>
        <w:rPr>
          <w:rFonts w:ascii="宋体" w:hAnsi="宋体"/>
          <w:color w:val="auto"/>
          <w:szCs w:val="21"/>
          <w:highlight w:val="none"/>
        </w:rPr>
        <w:t>”</w:t>
      </w:r>
      <w:r>
        <w:rPr>
          <w:rFonts w:hint="eastAsia" w:ascii="宋体" w:hAnsi="宋体"/>
          <w:color w:val="auto"/>
          <w:szCs w:val="21"/>
          <w:highlight w:val="none"/>
          <w:lang w:val="zh-CN"/>
        </w:rPr>
        <w:t>指与本《合同》的订立、履行有关的，经供需双方认可的，对本《合同》约定内容进行细化、补充、修改、变更等的文件资料。</w:t>
      </w:r>
    </w:p>
    <w:p w14:paraId="69C09041">
      <w:pPr>
        <w:autoSpaceDE w:val="0"/>
        <w:autoSpaceDN w:val="0"/>
        <w:adjustRightInd w:val="0"/>
        <w:spacing w:line="360" w:lineRule="auto"/>
        <w:ind w:firstLine="480"/>
        <w:rPr>
          <w:rFonts w:ascii="宋体" w:hAnsi="宋体"/>
          <w:color w:val="auto"/>
          <w:szCs w:val="21"/>
          <w:highlight w:val="none"/>
          <w:lang w:val="zh-CN"/>
        </w:rPr>
      </w:pPr>
      <w:r>
        <w:rPr>
          <w:rFonts w:hint="eastAsia" w:ascii="宋体" w:hAnsi="宋体"/>
          <w:color w:val="auto"/>
          <w:szCs w:val="21"/>
          <w:highlight w:val="none"/>
          <w:lang w:val="zh-CN"/>
        </w:rPr>
        <w:t>（</w:t>
      </w:r>
      <w:r>
        <w:rPr>
          <w:rFonts w:ascii="宋体" w:hAnsi="宋体"/>
          <w:color w:val="auto"/>
          <w:szCs w:val="21"/>
          <w:highlight w:val="none"/>
          <w:lang w:val="zh-CN"/>
        </w:rPr>
        <w:t>3</w:t>
      </w:r>
      <w:r>
        <w:rPr>
          <w:rFonts w:hint="eastAsia" w:ascii="宋体" w:hAnsi="宋体"/>
          <w:color w:val="auto"/>
          <w:szCs w:val="21"/>
          <w:highlight w:val="none"/>
          <w:lang w:val="zh-CN"/>
        </w:rPr>
        <w:t>）</w:t>
      </w:r>
      <w:r>
        <w:rPr>
          <w:rFonts w:ascii="宋体" w:hAnsi="宋体"/>
          <w:color w:val="auto"/>
          <w:szCs w:val="21"/>
          <w:highlight w:val="none"/>
        </w:rPr>
        <w:t>“</w:t>
      </w:r>
      <w:r>
        <w:rPr>
          <w:rFonts w:hint="eastAsia" w:ascii="宋体" w:hAnsi="宋体"/>
          <w:color w:val="auto"/>
          <w:szCs w:val="21"/>
          <w:highlight w:val="none"/>
          <w:lang w:val="zh-CN"/>
        </w:rPr>
        <w:t>《合同》价格</w:t>
      </w:r>
      <w:r>
        <w:rPr>
          <w:rFonts w:ascii="宋体" w:hAnsi="宋体"/>
          <w:color w:val="auto"/>
          <w:szCs w:val="21"/>
          <w:highlight w:val="none"/>
        </w:rPr>
        <w:t>”</w:t>
      </w:r>
      <w:r>
        <w:rPr>
          <w:rFonts w:hint="eastAsia" w:ascii="宋体" w:hAnsi="宋体"/>
          <w:color w:val="auto"/>
          <w:szCs w:val="21"/>
          <w:highlight w:val="none"/>
          <w:lang w:val="zh-CN"/>
        </w:rPr>
        <w:t>指根据《合同》规定供方正确地完全履行《合同》义务后需方应支付给供方的价格。</w:t>
      </w:r>
    </w:p>
    <w:p w14:paraId="10A738A1">
      <w:pPr>
        <w:autoSpaceDE w:val="0"/>
        <w:autoSpaceDN w:val="0"/>
        <w:adjustRightInd w:val="0"/>
        <w:spacing w:line="360" w:lineRule="auto"/>
        <w:ind w:firstLine="480"/>
        <w:rPr>
          <w:rFonts w:ascii="宋体" w:hAnsi="宋体"/>
          <w:color w:val="auto"/>
          <w:szCs w:val="21"/>
          <w:highlight w:val="none"/>
          <w:lang w:val="zh-CN"/>
        </w:rPr>
      </w:pPr>
      <w:r>
        <w:rPr>
          <w:rFonts w:hint="eastAsia" w:ascii="宋体" w:hAnsi="宋体"/>
          <w:color w:val="auto"/>
          <w:szCs w:val="21"/>
          <w:highlight w:val="none"/>
          <w:lang w:val="zh-CN"/>
        </w:rPr>
        <w:t>（</w:t>
      </w:r>
      <w:r>
        <w:rPr>
          <w:rFonts w:ascii="宋体" w:hAnsi="宋体"/>
          <w:color w:val="auto"/>
          <w:szCs w:val="21"/>
          <w:highlight w:val="none"/>
          <w:lang w:val="zh-CN"/>
        </w:rPr>
        <w:t>4</w:t>
      </w:r>
      <w:r>
        <w:rPr>
          <w:rFonts w:hint="eastAsia" w:ascii="宋体" w:hAnsi="宋体"/>
          <w:color w:val="auto"/>
          <w:szCs w:val="21"/>
          <w:highlight w:val="none"/>
          <w:lang w:val="zh-CN"/>
        </w:rPr>
        <w:t>）</w:t>
      </w:r>
      <w:r>
        <w:rPr>
          <w:rFonts w:ascii="宋体" w:hAnsi="宋体"/>
          <w:color w:val="auto"/>
          <w:szCs w:val="21"/>
          <w:highlight w:val="none"/>
        </w:rPr>
        <w:t>“</w:t>
      </w:r>
      <w:r>
        <w:rPr>
          <w:rFonts w:hint="eastAsia" w:ascii="宋体" w:hAnsi="宋体"/>
          <w:color w:val="auto"/>
          <w:szCs w:val="21"/>
          <w:highlight w:val="none"/>
          <w:lang w:val="zh-CN"/>
        </w:rPr>
        <w:t>货物</w:t>
      </w:r>
      <w:r>
        <w:rPr>
          <w:rFonts w:ascii="宋体" w:hAnsi="宋体"/>
          <w:color w:val="auto"/>
          <w:szCs w:val="21"/>
          <w:highlight w:val="none"/>
        </w:rPr>
        <w:t>”</w:t>
      </w:r>
      <w:r>
        <w:rPr>
          <w:rFonts w:hint="eastAsia" w:ascii="宋体" w:hAnsi="宋体"/>
          <w:color w:val="auto"/>
          <w:szCs w:val="21"/>
          <w:highlight w:val="none"/>
          <w:lang w:val="zh-CN"/>
        </w:rPr>
        <w:t>指根据《合同》规定供方须向需方提供的一切材料、设备、机械、仪表、备件、工具和</w:t>
      </w:r>
      <w:r>
        <w:rPr>
          <w:rFonts w:ascii="宋体" w:hAnsi="宋体"/>
          <w:color w:val="auto"/>
          <w:szCs w:val="21"/>
          <w:highlight w:val="none"/>
          <w:lang w:val="zh-CN"/>
        </w:rPr>
        <w:t>/</w:t>
      </w:r>
      <w:r>
        <w:rPr>
          <w:rFonts w:hint="eastAsia" w:ascii="宋体" w:hAnsi="宋体"/>
          <w:color w:val="auto"/>
          <w:szCs w:val="21"/>
          <w:highlight w:val="none"/>
          <w:lang w:val="zh-CN"/>
        </w:rPr>
        <w:t>或其它材料。</w:t>
      </w:r>
    </w:p>
    <w:p w14:paraId="64797BDC">
      <w:pPr>
        <w:autoSpaceDE w:val="0"/>
        <w:autoSpaceDN w:val="0"/>
        <w:adjustRightInd w:val="0"/>
        <w:spacing w:line="360" w:lineRule="auto"/>
        <w:ind w:firstLine="480"/>
        <w:rPr>
          <w:rFonts w:ascii="宋体" w:hAnsi="宋体"/>
          <w:color w:val="auto"/>
          <w:szCs w:val="21"/>
          <w:highlight w:val="none"/>
          <w:lang w:val="zh-CN"/>
        </w:rPr>
      </w:pPr>
      <w:r>
        <w:rPr>
          <w:rFonts w:hint="eastAsia" w:ascii="宋体" w:hAnsi="宋体"/>
          <w:color w:val="auto"/>
          <w:szCs w:val="21"/>
          <w:highlight w:val="none"/>
          <w:lang w:val="zh-CN"/>
        </w:rPr>
        <w:t>（</w:t>
      </w:r>
      <w:r>
        <w:rPr>
          <w:rFonts w:ascii="宋体" w:hAnsi="宋体"/>
          <w:color w:val="auto"/>
          <w:szCs w:val="21"/>
          <w:highlight w:val="none"/>
          <w:lang w:val="zh-CN"/>
        </w:rPr>
        <w:t>5</w:t>
      </w:r>
      <w:r>
        <w:rPr>
          <w:rFonts w:hint="eastAsia" w:ascii="宋体" w:hAnsi="宋体"/>
          <w:color w:val="auto"/>
          <w:szCs w:val="21"/>
          <w:highlight w:val="none"/>
          <w:lang w:val="zh-CN"/>
        </w:rPr>
        <w:t>）</w:t>
      </w:r>
      <w:r>
        <w:rPr>
          <w:rFonts w:ascii="宋体" w:hAnsi="宋体"/>
          <w:color w:val="auto"/>
          <w:szCs w:val="21"/>
          <w:highlight w:val="none"/>
        </w:rPr>
        <w:t>“</w:t>
      </w:r>
      <w:r>
        <w:rPr>
          <w:rFonts w:hint="eastAsia" w:ascii="宋体" w:hAnsi="宋体"/>
          <w:color w:val="auto"/>
          <w:szCs w:val="21"/>
          <w:highlight w:val="none"/>
          <w:lang w:val="zh-CN"/>
        </w:rPr>
        <w:t>服务</w:t>
      </w:r>
      <w:r>
        <w:rPr>
          <w:rFonts w:ascii="宋体" w:hAnsi="宋体"/>
          <w:color w:val="auto"/>
          <w:szCs w:val="21"/>
          <w:highlight w:val="none"/>
        </w:rPr>
        <w:t>”</w:t>
      </w:r>
      <w:r>
        <w:rPr>
          <w:rFonts w:hint="eastAsia" w:ascii="宋体" w:hAnsi="宋体"/>
          <w:color w:val="auto"/>
          <w:szCs w:val="21"/>
          <w:highlight w:val="none"/>
          <w:lang w:val="zh-CN"/>
        </w:rPr>
        <w:t>指根据《合同》规定供方承担的与供货和履行《合同》有关的辅助服务。</w:t>
      </w:r>
    </w:p>
    <w:p w14:paraId="13EC04B9">
      <w:pPr>
        <w:autoSpaceDE w:val="0"/>
        <w:autoSpaceDN w:val="0"/>
        <w:adjustRightInd w:val="0"/>
        <w:spacing w:line="360" w:lineRule="auto"/>
        <w:ind w:firstLine="480"/>
        <w:rPr>
          <w:rFonts w:ascii="宋体" w:hAnsi="宋体"/>
          <w:color w:val="auto"/>
          <w:szCs w:val="21"/>
          <w:highlight w:val="none"/>
          <w:lang w:val="zh-CN"/>
        </w:rPr>
      </w:pPr>
      <w:r>
        <w:rPr>
          <w:rFonts w:hint="eastAsia" w:ascii="宋体" w:hAnsi="宋体"/>
          <w:color w:val="auto"/>
          <w:szCs w:val="21"/>
          <w:highlight w:val="none"/>
          <w:lang w:val="zh-CN"/>
        </w:rPr>
        <w:t>（</w:t>
      </w:r>
      <w:r>
        <w:rPr>
          <w:rFonts w:ascii="宋体" w:hAnsi="宋体"/>
          <w:color w:val="auto"/>
          <w:szCs w:val="21"/>
          <w:highlight w:val="none"/>
          <w:lang w:val="zh-CN"/>
        </w:rPr>
        <w:t>6</w:t>
      </w:r>
      <w:r>
        <w:rPr>
          <w:rFonts w:hint="eastAsia" w:ascii="宋体" w:hAnsi="宋体"/>
          <w:color w:val="auto"/>
          <w:szCs w:val="21"/>
          <w:highlight w:val="none"/>
          <w:lang w:val="zh-CN"/>
        </w:rPr>
        <w:t>）</w:t>
      </w:r>
      <w:r>
        <w:rPr>
          <w:rFonts w:ascii="宋体" w:hAnsi="宋体"/>
          <w:color w:val="auto"/>
          <w:szCs w:val="21"/>
          <w:highlight w:val="none"/>
        </w:rPr>
        <w:t>“</w:t>
      </w:r>
      <w:r>
        <w:rPr>
          <w:rFonts w:hint="eastAsia" w:ascii="宋体" w:hAnsi="宋体"/>
          <w:color w:val="auto"/>
          <w:szCs w:val="21"/>
          <w:highlight w:val="none"/>
          <w:lang w:val="zh-CN"/>
        </w:rPr>
        <w:t>需方</w:t>
      </w:r>
      <w:r>
        <w:rPr>
          <w:rFonts w:ascii="宋体" w:hAnsi="宋体"/>
          <w:color w:val="auto"/>
          <w:szCs w:val="21"/>
          <w:highlight w:val="none"/>
        </w:rPr>
        <w:t>”</w:t>
      </w:r>
      <w:r>
        <w:rPr>
          <w:rFonts w:hint="eastAsia" w:ascii="宋体" w:hAnsi="宋体"/>
          <w:color w:val="auto"/>
          <w:szCs w:val="21"/>
          <w:highlight w:val="none"/>
          <w:lang w:val="zh-CN"/>
        </w:rPr>
        <w:t>指政府采购货物和服务的使用单位。</w:t>
      </w:r>
    </w:p>
    <w:p w14:paraId="5D784B67">
      <w:pPr>
        <w:autoSpaceDE w:val="0"/>
        <w:autoSpaceDN w:val="0"/>
        <w:adjustRightInd w:val="0"/>
        <w:spacing w:line="360" w:lineRule="auto"/>
        <w:ind w:firstLine="480"/>
        <w:rPr>
          <w:rFonts w:ascii="宋体" w:hAnsi="宋体"/>
          <w:color w:val="auto"/>
          <w:szCs w:val="21"/>
          <w:highlight w:val="none"/>
          <w:lang w:val="zh-CN"/>
        </w:rPr>
      </w:pPr>
      <w:r>
        <w:rPr>
          <w:rFonts w:hint="eastAsia" w:ascii="宋体" w:hAnsi="宋体"/>
          <w:color w:val="auto"/>
          <w:szCs w:val="21"/>
          <w:highlight w:val="none"/>
          <w:lang w:val="zh-CN"/>
        </w:rPr>
        <w:t>（</w:t>
      </w:r>
      <w:r>
        <w:rPr>
          <w:rFonts w:ascii="宋体" w:hAnsi="宋体"/>
          <w:color w:val="auto"/>
          <w:szCs w:val="21"/>
          <w:highlight w:val="none"/>
          <w:lang w:val="zh-CN"/>
        </w:rPr>
        <w:t>7</w:t>
      </w:r>
      <w:r>
        <w:rPr>
          <w:rFonts w:hint="eastAsia" w:ascii="宋体" w:hAnsi="宋体"/>
          <w:color w:val="auto"/>
          <w:szCs w:val="21"/>
          <w:highlight w:val="none"/>
          <w:lang w:val="zh-CN"/>
        </w:rPr>
        <w:t>）</w:t>
      </w:r>
      <w:r>
        <w:rPr>
          <w:rFonts w:ascii="宋体" w:hAnsi="宋体"/>
          <w:color w:val="auto"/>
          <w:szCs w:val="21"/>
          <w:highlight w:val="none"/>
        </w:rPr>
        <w:t>“</w:t>
      </w:r>
      <w:r>
        <w:rPr>
          <w:rFonts w:hint="eastAsia" w:ascii="宋体" w:hAnsi="宋体"/>
          <w:color w:val="auto"/>
          <w:szCs w:val="21"/>
          <w:highlight w:val="none"/>
          <w:lang w:val="zh-CN"/>
        </w:rPr>
        <w:t>供方</w:t>
      </w:r>
      <w:r>
        <w:rPr>
          <w:rFonts w:ascii="宋体" w:hAnsi="宋体"/>
          <w:color w:val="auto"/>
          <w:szCs w:val="21"/>
          <w:highlight w:val="none"/>
        </w:rPr>
        <w:t>”</w:t>
      </w:r>
      <w:r>
        <w:rPr>
          <w:rFonts w:hint="eastAsia" w:ascii="宋体" w:hAnsi="宋体"/>
          <w:color w:val="auto"/>
          <w:szCs w:val="21"/>
          <w:highlight w:val="none"/>
          <w:lang w:val="zh-CN"/>
        </w:rPr>
        <w:t>指按照《合同》规定向需方提供货物和服务的公司或实体。</w:t>
      </w:r>
    </w:p>
    <w:p w14:paraId="5A038DCF">
      <w:pPr>
        <w:autoSpaceDE w:val="0"/>
        <w:autoSpaceDN w:val="0"/>
        <w:adjustRightInd w:val="0"/>
        <w:spacing w:line="360" w:lineRule="auto"/>
        <w:ind w:firstLine="480"/>
        <w:rPr>
          <w:rFonts w:ascii="宋体" w:hAnsi="宋体"/>
          <w:color w:val="auto"/>
          <w:szCs w:val="21"/>
          <w:highlight w:val="none"/>
          <w:lang w:val="zh-CN"/>
        </w:rPr>
      </w:pPr>
      <w:r>
        <w:rPr>
          <w:rFonts w:hint="eastAsia" w:ascii="宋体" w:hAnsi="宋体"/>
          <w:color w:val="auto"/>
          <w:szCs w:val="21"/>
          <w:highlight w:val="none"/>
          <w:lang w:val="zh-CN"/>
        </w:rPr>
        <w:t>（</w:t>
      </w:r>
      <w:r>
        <w:rPr>
          <w:rFonts w:ascii="宋体" w:hAnsi="宋体"/>
          <w:color w:val="auto"/>
          <w:szCs w:val="21"/>
          <w:highlight w:val="none"/>
          <w:lang w:val="zh-CN"/>
        </w:rPr>
        <w:t>8</w:t>
      </w:r>
      <w:r>
        <w:rPr>
          <w:rFonts w:hint="eastAsia" w:ascii="宋体" w:hAnsi="宋体"/>
          <w:color w:val="auto"/>
          <w:szCs w:val="21"/>
          <w:highlight w:val="none"/>
          <w:lang w:val="zh-CN"/>
        </w:rPr>
        <w:t>）</w:t>
      </w:r>
      <w:r>
        <w:rPr>
          <w:rFonts w:ascii="宋体" w:hAnsi="宋体"/>
          <w:color w:val="auto"/>
          <w:szCs w:val="21"/>
          <w:highlight w:val="none"/>
        </w:rPr>
        <w:t>“</w:t>
      </w:r>
      <w:r>
        <w:rPr>
          <w:rFonts w:hint="eastAsia" w:ascii="宋体" w:hAnsi="宋体"/>
          <w:color w:val="auto"/>
          <w:szCs w:val="21"/>
          <w:highlight w:val="none"/>
          <w:lang w:val="zh-CN"/>
        </w:rPr>
        <w:t>第三方</w:t>
      </w:r>
      <w:r>
        <w:rPr>
          <w:rFonts w:ascii="宋体" w:hAnsi="宋体"/>
          <w:color w:val="auto"/>
          <w:szCs w:val="21"/>
          <w:highlight w:val="none"/>
        </w:rPr>
        <w:t>”</w:t>
      </w:r>
      <w:r>
        <w:rPr>
          <w:rFonts w:hint="eastAsia" w:ascii="宋体" w:hAnsi="宋体"/>
          <w:color w:val="auto"/>
          <w:szCs w:val="21"/>
          <w:highlight w:val="none"/>
          <w:lang w:val="zh-CN"/>
        </w:rPr>
        <w:t>指本《合同》以外的任何中国境内、境外的法人、自然人或其他组织。</w:t>
      </w:r>
    </w:p>
    <w:p w14:paraId="569785C7">
      <w:pPr>
        <w:autoSpaceDE w:val="0"/>
        <w:autoSpaceDN w:val="0"/>
        <w:adjustRightInd w:val="0"/>
        <w:spacing w:line="360" w:lineRule="auto"/>
        <w:ind w:firstLine="480"/>
        <w:rPr>
          <w:rFonts w:ascii="宋体" w:hAnsi="宋体"/>
          <w:color w:val="auto"/>
          <w:szCs w:val="21"/>
          <w:highlight w:val="none"/>
          <w:lang w:val="zh-CN"/>
        </w:rPr>
      </w:pPr>
      <w:r>
        <w:rPr>
          <w:rFonts w:hint="eastAsia" w:ascii="宋体" w:hAnsi="宋体"/>
          <w:color w:val="auto"/>
          <w:szCs w:val="21"/>
          <w:highlight w:val="none"/>
          <w:lang w:val="zh-CN"/>
        </w:rPr>
        <w:t>（</w:t>
      </w:r>
      <w:r>
        <w:rPr>
          <w:rFonts w:ascii="宋体" w:hAnsi="宋体"/>
          <w:color w:val="auto"/>
          <w:szCs w:val="21"/>
          <w:highlight w:val="none"/>
          <w:lang w:val="zh-CN"/>
        </w:rPr>
        <w:t>9</w:t>
      </w:r>
      <w:r>
        <w:rPr>
          <w:rFonts w:hint="eastAsia" w:ascii="宋体" w:hAnsi="宋体"/>
          <w:color w:val="auto"/>
          <w:szCs w:val="21"/>
          <w:highlight w:val="none"/>
          <w:lang w:val="zh-CN"/>
        </w:rPr>
        <w:t>）</w:t>
      </w:r>
      <w:r>
        <w:rPr>
          <w:rFonts w:ascii="宋体" w:hAnsi="宋体"/>
          <w:color w:val="auto"/>
          <w:szCs w:val="21"/>
          <w:highlight w:val="none"/>
        </w:rPr>
        <w:t>“</w:t>
      </w:r>
      <w:r>
        <w:rPr>
          <w:rFonts w:hint="eastAsia" w:ascii="宋体" w:hAnsi="宋体"/>
          <w:color w:val="auto"/>
          <w:szCs w:val="21"/>
          <w:highlight w:val="none"/>
          <w:lang w:val="zh-CN"/>
        </w:rPr>
        <w:t>日、天</w:t>
      </w:r>
      <w:r>
        <w:rPr>
          <w:rFonts w:ascii="宋体" w:hAnsi="宋体"/>
          <w:color w:val="auto"/>
          <w:szCs w:val="21"/>
          <w:highlight w:val="none"/>
        </w:rPr>
        <w:t>”</w:t>
      </w:r>
      <w:r>
        <w:rPr>
          <w:rFonts w:hint="eastAsia" w:ascii="宋体" w:hAnsi="宋体"/>
          <w:color w:val="auto"/>
          <w:szCs w:val="21"/>
          <w:highlight w:val="none"/>
          <w:lang w:val="zh-CN"/>
        </w:rPr>
        <w:t>均指日历天数。</w:t>
      </w:r>
    </w:p>
    <w:p w14:paraId="720A497D">
      <w:pPr>
        <w:autoSpaceDE w:val="0"/>
        <w:autoSpaceDN w:val="0"/>
        <w:adjustRightInd w:val="0"/>
        <w:spacing w:line="360" w:lineRule="auto"/>
        <w:ind w:firstLine="480"/>
        <w:rPr>
          <w:rFonts w:ascii="宋体" w:hAnsi="宋体"/>
          <w:color w:val="auto"/>
          <w:szCs w:val="21"/>
          <w:highlight w:val="none"/>
          <w:lang w:val="zh-CN"/>
        </w:rPr>
      </w:pPr>
      <w:r>
        <w:rPr>
          <w:rFonts w:hint="eastAsia" w:ascii="宋体" w:hAnsi="宋体"/>
          <w:color w:val="auto"/>
          <w:szCs w:val="21"/>
          <w:highlight w:val="none"/>
          <w:lang w:val="zh-CN"/>
        </w:rPr>
        <w:t>（</w:t>
      </w:r>
      <w:r>
        <w:rPr>
          <w:rFonts w:ascii="宋体" w:hAnsi="宋体"/>
          <w:color w:val="auto"/>
          <w:szCs w:val="21"/>
          <w:highlight w:val="none"/>
          <w:lang w:val="zh-CN"/>
        </w:rPr>
        <w:t>10</w:t>
      </w:r>
      <w:r>
        <w:rPr>
          <w:rFonts w:hint="eastAsia" w:ascii="宋体" w:hAnsi="宋体"/>
          <w:color w:val="auto"/>
          <w:szCs w:val="21"/>
          <w:highlight w:val="none"/>
          <w:lang w:val="zh-CN"/>
        </w:rPr>
        <w:t>）</w:t>
      </w:r>
      <w:r>
        <w:rPr>
          <w:rFonts w:ascii="宋体" w:hAnsi="宋体"/>
          <w:color w:val="auto"/>
          <w:szCs w:val="21"/>
          <w:highlight w:val="none"/>
        </w:rPr>
        <w:t>“</w:t>
      </w:r>
      <w:r>
        <w:rPr>
          <w:rFonts w:hint="eastAsia" w:ascii="宋体" w:hAnsi="宋体"/>
          <w:color w:val="auto"/>
          <w:szCs w:val="21"/>
          <w:highlight w:val="none"/>
          <w:lang w:val="zh-CN"/>
        </w:rPr>
        <w:t>工作日</w:t>
      </w:r>
      <w:r>
        <w:rPr>
          <w:rFonts w:ascii="宋体" w:hAnsi="宋体"/>
          <w:color w:val="auto"/>
          <w:szCs w:val="21"/>
          <w:highlight w:val="none"/>
        </w:rPr>
        <w:t>”</w:t>
      </w:r>
      <w:r>
        <w:rPr>
          <w:rFonts w:hint="eastAsia" w:ascii="宋体" w:hAnsi="宋体"/>
          <w:color w:val="auto"/>
          <w:szCs w:val="21"/>
          <w:highlight w:val="none"/>
          <w:lang w:val="zh-CN"/>
        </w:rPr>
        <w:t>指扣除公休日和国家法定节假日以外的日历日。</w:t>
      </w:r>
    </w:p>
    <w:p w14:paraId="4F211105">
      <w:pPr>
        <w:autoSpaceDE w:val="0"/>
        <w:autoSpaceDN w:val="0"/>
        <w:adjustRightInd w:val="0"/>
        <w:spacing w:line="360" w:lineRule="auto"/>
        <w:ind w:firstLine="482"/>
        <w:rPr>
          <w:rFonts w:ascii="宋体" w:hAnsi="宋体"/>
          <w:color w:val="auto"/>
          <w:szCs w:val="21"/>
          <w:highlight w:val="none"/>
          <w:lang w:val="zh-CN"/>
        </w:rPr>
      </w:pPr>
      <w:r>
        <w:rPr>
          <w:rFonts w:ascii="宋体" w:hAnsi="宋体"/>
          <w:b/>
          <w:color w:val="auto"/>
          <w:szCs w:val="21"/>
          <w:highlight w:val="none"/>
          <w:lang w:val="zh-CN"/>
        </w:rPr>
        <w:t>2</w:t>
      </w:r>
      <w:r>
        <w:rPr>
          <w:rFonts w:hint="eastAsia" w:ascii="宋体" w:hAnsi="宋体"/>
          <w:b/>
          <w:color w:val="auto"/>
          <w:szCs w:val="21"/>
          <w:highlight w:val="none"/>
          <w:lang w:val="zh-CN"/>
        </w:rPr>
        <w:t>．适用范围：</w:t>
      </w:r>
      <w:r>
        <w:rPr>
          <w:rFonts w:hint="eastAsia" w:ascii="宋体" w:hAnsi="宋体"/>
          <w:color w:val="auto"/>
          <w:szCs w:val="21"/>
          <w:highlight w:val="none"/>
          <w:lang w:val="zh-CN"/>
        </w:rPr>
        <w:t>本《合同》条款仅适用。</w:t>
      </w:r>
    </w:p>
    <w:p w14:paraId="2B308DB3">
      <w:pPr>
        <w:autoSpaceDE w:val="0"/>
        <w:autoSpaceDN w:val="0"/>
        <w:adjustRightInd w:val="0"/>
        <w:spacing w:line="360" w:lineRule="auto"/>
        <w:ind w:firstLine="482"/>
        <w:rPr>
          <w:rFonts w:ascii="宋体" w:hAnsi="宋体"/>
          <w:b/>
          <w:color w:val="auto"/>
          <w:szCs w:val="21"/>
          <w:highlight w:val="none"/>
          <w:lang w:val="zh-CN"/>
        </w:rPr>
      </w:pPr>
      <w:r>
        <w:rPr>
          <w:rFonts w:ascii="宋体" w:hAnsi="宋体"/>
          <w:b/>
          <w:color w:val="auto"/>
          <w:szCs w:val="21"/>
          <w:highlight w:val="none"/>
          <w:lang w:val="zh-CN"/>
        </w:rPr>
        <w:t>3</w:t>
      </w:r>
      <w:r>
        <w:rPr>
          <w:rFonts w:hint="eastAsia" w:ascii="宋体" w:hAnsi="宋体"/>
          <w:b/>
          <w:color w:val="auto"/>
          <w:szCs w:val="21"/>
          <w:highlight w:val="none"/>
          <w:lang w:val="zh-CN"/>
        </w:rPr>
        <w:t>．《合同》内容：</w:t>
      </w:r>
      <w:r>
        <w:rPr>
          <w:rFonts w:hint="eastAsia" w:ascii="宋体" w:hAnsi="宋体"/>
          <w:color w:val="auto"/>
          <w:szCs w:val="21"/>
          <w:highlight w:val="none"/>
          <w:lang w:val="zh-CN"/>
        </w:rPr>
        <w:t>详见《招标文件》</w:t>
      </w:r>
      <w:r>
        <w:rPr>
          <w:rFonts w:ascii="宋体" w:hAnsi="宋体"/>
          <w:color w:val="auto"/>
          <w:szCs w:val="21"/>
          <w:highlight w:val="none"/>
        </w:rPr>
        <w:t>“</w:t>
      </w:r>
      <w:r>
        <w:rPr>
          <w:rFonts w:hint="eastAsia" w:ascii="宋体" w:hAnsi="宋体"/>
          <w:color w:val="auto"/>
          <w:szCs w:val="21"/>
          <w:highlight w:val="none"/>
          <w:lang w:val="zh-CN"/>
        </w:rPr>
        <w:t>技术参数</w:t>
      </w:r>
      <w:r>
        <w:rPr>
          <w:rFonts w:ascii="宋体" w:hAnsi="宋体"/>
          <w:color w:val="auto"/>
          <w:szCs w:val="21"/>
          <w:highlight w:val="none"/>
        </w:rPr>
        <w:t>”</w:t>
      </w:r>
      <w:r>
        <w:rPr>
          <w:rFonts w:hint="eastAsia" w:ascii="宋体" w:hAnsi="宋体"/>
          <w:color w:val="auto"/>
          <w:szCs w:val="21"/>
          <w:highlight w:val="none"/>
          <w:lang w:val="zh-CN"/>
        </w:rPr>
        <w:t>及供方的《投标文件》。未尽事宜在</w:t>
      </w:r>
      <w:r>
        <w:rPr>
          <w:rFonts w:ascii="宋体" w:hAnsi="宋体"/>
          <w:color w:val="auto"/>
          <w:szCs w:val="21"/>
          <w:highlight w:val="none"/>
        </w:rPr>
        <w:t>“</w:t>
      </w:r>
      <w:r>
        <w:rPr>
          <w:rFonts w:hint="eastAsia" w:ascii="宋体" w:hAnsi="宋体"/>
          <w:color w:val="auto"/>
          <w:szCs w:val="21"/>
          <w:highlight w:val="none"/>
          <w:lang w:val="zh-CN"/>
        </w:rPr>
        <w:t>政府采购《合同》书中</w:t>
      </w:r>
      <w:r>
        <w:rPr>
          <w:rFonts w:ascii="宋体" w:hAnsi="宋体"/>
          <w:color w:val="auto"/>
          <w:szCs w:val="21"/>
          <w:highlight w:val="none"/>
        </w:rPr>
        <w:t>”</w:t>
      </w:r>
      <w:r>
        <w:rPr>
          <w:rFonts w:hint="eastAsia" w:ascii="宋体" w:hAnsi="宋体"/>
          <w:color w:val="auto"/>
          <w:szCs w:val="21"/>
          <w:highlight w:val="none"/>
          <w:lang w:val="zh-CN"/>
        </w:rPr>
        <w:t>约定。</w:t>
      </w:r>
    </w:p>
    <w:p w14:paraId="4705E202">
      <w:pPr>
        <w:autoSpaceDE w:val="0"/>
        <w:autoSpaceDN w:val="0"/>
        <w:adjustRightInd w:val="0"/>
        <w:spacing w:line="360" w:lineRule="auto"/>
        <w:ind w:firstLine="482"/>
        <w:rPr>
          <w:rFonts w:ascii="宋体" w:hAnsi="宋体"/>
          <w:b/>
          <w:color w:val="auto"/>
          <w:szCs w:val="21"/>
          <w:highlight w:val="none"/>
          <w:lang w:val="zh-CN"/>
        </w:rPr>
      </w:pPr>
      <w:r>
        <w:rPr>
          <w:rFonts w:ascii="宋体" w:hAnsi="宋体"/>
          <w:b/>
          <w:color w:val="auto"/>
          <w:szCs w:val="21"/>
          <w:highlight w:val="none"/>
          <w:lang w:val="zh-CN"/>
        </w:rPr>
        <w:t>4</w:t>
      </w:r>
      <w:r>
        <w:rPr>
          <w:rFonts w:hint="eastAsia" w:ascii="宋体" w:hAnsi="宋体"/>
          <w:b/>
          <w:color w:val="auto"/>
          <w:szCs w:val="21"/>
          <w:highlight w:val="none"/>
          <w:lang w:val="zh-CN"/>
        </w:rPr>
        <w:t>．《合同》价格、交货时间及地点、交货方式、付款方式及条件：</w:t>
      </w:r>
      <w:r>
        <w:rPr>
          <w:rFonts w:hint="eastAsia" w:ascii="宋体" w:hAnsi="宋体"/>
          <w:color w:val="auto"/>
          <w:szCs w:val="21"/>
          <w:highlight w:val="none"/>
          <w:lang w:val="zh-CN"/>
        </w:rPr>
        <w:t>在</w:t>
      </w:r>
      <w:r>
        <w:rPr>
          <w:rFonts w:ascii="宋体" w:hAnsi="宋体"/>
          <w:color w:val="auto"/>
          <w:szCs w:val="21"/>
          <w:highlight w:val="none"/>
        </w:rPr>
        <w:t>“</w:t>
      </w:r>
      <w:r>
        <w:rPr>
          <w:rFonts w:hint="eastAsia" w:ascii="宋体" w:hAnsi="宋体"/>
          <w:color w:val="auto"/>
          <w:szCs w:val="21"/>
          <w:highlight w:val="none"/>
          <w:lang w:val="zh-CN"/>
        </w:rPr>
        <w:t>政府采购《合同》书</w:t>
      </w:r>
      <w:r>
        <w:rPr>
          <w:rFonts w:ascii="宋体" w:hAnsi="宋体"/>
          <w:color w:val="auto"/>
          <w:szCs w:val="21"/>
          <w:highlight w:val="none"/>
        </w:rPr>
        <w:t>”</w:t>
      </w:r>
      <w:r>
        <w:rPr>
          <w:rFonts w:hint="eastAsia" w:ascii="宋体" w:hAnsi="宋体"/>
          <w:color w:val="auto"/>
          <w:szCs w:val="21"/>
          <w:highlight w:val="none"/>
          <w:lang w:val="zh-CN"/>
        </w:rPr>
        <w:t>中约定。</w:t>
      </w:r>
    </w:p>
    <w:p w14:paraId="138D5D63">
      <w:pPr>
        <w:autoSpaceDE w:val="0"/>
        <w:autoSpaceDN w:val="0"/>
        <w:adjustRightInd w:val="0"/>
        <w:spacing w:line="360" w:lineRule="auto"/>
        <w:ind w:firstLine="482"/>
        <w:rPr>
          <w:rFonts w:ascii="宋体" w:hAnsi="宋体"/>
          <w:color w:val="auto"/>
          <w:szCs w:val="21"/>
          <w:highlight w:val="none"/>
          <w:lang w:val="zh-CN"/>
        </w:rPr>
      </w:pPr>
      <w:r>
        <w:rPr>
          <w:rFonts w:ascii="宋体" w:hAnsi="宋体"/>
          <w:b/>
          <w:color w:val="auto"/>
          <w:szCs w:val="21"/>
          <w:highlight w:val="none"/>
          <w:lang w:val="zh-CN"/>
        </w:rPr>
        <w:t>5</w:t>
      </w:r>
      <w:r>
        <w:rPr>
          <w:rFonts w:hint="eastAsia" w:ascii="宋体" w:hAnsi="宋体"/>
          <w:b/>
          <w:color w:val="auto"/>
          <w:szCs w:val="21"/>
          <w:highlight w:val="none"/>
          <w:lang w:val="zh-CN"/>
        </w:rPr>
        <w:t>．知识产权及有关规定：</w:t>
      </w:r>
      <w:r>
        <w:rPr>
          <w:rFonts w:hint="eastAsia" w:ascii="宋体" w:hAnsi="宋体"/>
          <w:color w:val="auto"/>
          <w:szCs w:val="21"/>
          <w:highlight w:val="none"/>
          <w:lang w:val="zh-CN"/>
        </w:rPr>
        <w:t>供方应保证需方在使用本《合同》项下的货物或其任何一部分时免受第三方提出侵犯其知识产权、商标权或工业设计权的起诉。如果发生此类问题，供方应负责交涉并承担一切费用和责任。</w:t>
      </w:r>
    </w:p>
    <w:p w14:paraId="0C22D1EF">
      <w:pPr>
        <w:autoSpaceDE w:val="0"/>
        <w:autoSpaceDN w:val="0"/>
        <w:adjustRightInd w:val="0"/>
        <w:spacing w:line="360" w:lineRule="auto"/>
        <w:ind w:firstLine="482"/>
        <w:rPr>
          <w:rFonts w:ascii="宋体" w:hAnsi="宋体"/>
          <w:b/>
          <w:color w:val="auto"/>
          <w:szCs w:val="21"/>
          <w:highlight w:val="none"/>
          <w:lang w:val="zh-CN"/>
        </w:rPr>
      </w:pPr>
      <w:r>
        <w:rPr>
          <w:rFonts w:ascii="宋体" w:hAnsi="宋体"/>
          <w:b/>
          <w:color w:val="auto"/>
          <w:szCs w:val="21"/>
          <w:highlight w:val="none"/>
          <w:lang w:val="zh-CN"/>
        </w:rPr>
        <w:t>6</w:t>
      </w:r>
      <w:r>
        <w:rPr>
          <w:rFonts w:hint="eastAsia" w:ascii="宋体" w:hAnsi="宋体"/>
          <w:b/>
          <w:color w:val="auto"/>
          <w:szCs w:val="21"/>
          <w:highlight w:val="none"/>
          <w:lang w:val="zh-CN"/>
        </w:rPr>
        <w:t>．保密条款</w:t>
      </w:r>
    </w:p>
    <w:p w14:paraId="0E32A6AD">
      <w:pPr>
        <w:autoSpaceDE w:val="0"/>
        <w:autoSpaceDN w:val="0"/>
        <w:adjustRightInd w:val="0"/>
        <w:spacing w:line="360" w:lineRule="auto"/>
        <w:ind w:firstLine="480"/>
        <w:rPr>
          <w:rFonts w:ascii="宋体" w:hAnsi="宋体"/>
          <w:color w:val="auto"/>
          <w:szCs w:val="21"/>
          <w:highlight w:val="none"/>
          <w:lang w:val="zh-CN"/>
        </w:rPr>
      </w:pPr>
      <w:r>
        <w:rPr>
          <w:rFonts w:ascii="宋体" w:hAnsi="宋体"/>
          <w:color w:val="auto"/>
          <w:szCs w:val="21"/>
          <w:highlight w:val="none"/>
          <w:lang w:val="zh-CN"/>
        </w:rPr>
        <w:t>6.1</w:t>
      </w:r>
      <w:r>
        <w:rPr>
          <w:rFonts w:hint="eastAsia" w:ascii="宋体" w:hAnsi="宋体"/>
          <w:color w:val="auto"/>
          <w:szCs w:val="21"/>
          <w:highlight w:val="none"/>
          <w:lang w:val="zh-CN"/>
        </w:rPr>
        <w:t>任何一方对其获知的本《合同》涉及的所有有形、无形的信息及资料（包括但不限于供需双方的往来书面文字文件、电子邮件等）中另一方的商业秘密或国家秘密负有保密义务。</w:t>
      </w:r>
    </w:p>
    <w:p w14:paraId="78BFB650">
      <w:pPr>
        <w:autoSpaceDE w:val="0"/>
        <w:autoSpaceDN w:val="0"/>
        <w:adjustRightInd w:val="0"/>
        <w:spacing w:line="360" w:lineRule="auto"/>
        <w:ind w:firstLine="480"/>
        <w:rPr>
          <w:rFonts w:ascii="宋体" w:hAnsi="宋体"/>
          <w:color w:val="auto"/>
          <w:szCs w:val="21"/>
          <w:highlight w:val="none"/>
          <w:lang w:val="zh-CN"/>
        </w:rPr>
      </w:pPr>
      <w:r>
        <w:rPr>
          <w:rFonts w:ascii="宋体" w:hAnsi="宋体"/>
          <w:color w:val="auto"/>
          <w:szCs w:val="21"/>
          <w:highlight w:val="none"/>
          <w:lang w:val="zh-CN"/>
        </w:rPr>
        <w:t>6.2</w:t>
      </w:r>
      <w:r>
        <w:rPr>
          <w:rFonts w:hint="eastAsia" w:ascii="宋体" w:hAnsi="宋体"/>
          <w:color w:val="auto"/>
          <w:szCs w:val="21"/>
          <w:highlight w:val="none"/>
          <w:lang w:val="zh-CN"/>
        </w:rPr>
        <w:t>除非法律、法规另有规定或得到本《合同》之另一方的书面许可，任何一方不得向第三方泄露前款规定的商业秘密或国家秘密。保密期限自任何一方获知该商业秘密或国家秘密之日起至本条规定的秘密成为公众信息之日止。</w:t>
      </w:r>
    </w:p>
    <w:p w14:paraId="5DF9F49B">
      <w:pPr>
        <w:autoSpaceDE w:val="0"/>
        <w:autoSpaceDN w:val="0"/>
        <w:adjustRightInd w:val="0"/>
        <w:spacing w:line="360" w:lineRule="auto"/>
        <w:ind w:firstLine="482"/>
        <w:rPr>
          <w:rFonts w:ascii="宋体" w:hAnsi="宋体"/>
          <w:b/>
          <w:color w:val="auto"/>
          <w:szCs w:val="21"/>
          <w:highlight w:val="none"/>
          <w:lang w:val="zh-CN"/>
        </w:rPr>
      </w:pPr>
      <w:r>
        <w:rPr>
          <w:rFonts w:ascii="宋体" w:hAnsi="宋体"/>
          <w:b/>
          <w:color w:val="auto"/>
          <w:szCs w:val="21"/>
          <w:highlight w:val="none"/>
          <w:lang w:val="zh-CN"/>
        </w:rPr>
        <w:t>7.</w:t>
      </w:r>
      <w:r>
        <w:rPr>
          <w:rFonts w:hint="eastAsia" w:ascii="宋体" w:hAnsi="宋体"/>
          <w:b/>
          <w:color w:val="auto"/>
          <w:szCs w:val="21"/>
          <w:highlight w:val="none"/>
          <w:lang w:val="zh-CN"/>
        </w:rPr>
        <w:t>《合同》的解释</w:t>
      </w:r>
    </w:p>
    <w:p w14:paraId="2769F291">
      <w:pPr>
        <w:autoSpaceDE w:val="0"/>
        <w:autoSpaceDN w:val="0"/>
        <w:adjustRightInd w:val="0"/>
        <w:spacing w:line="360" w:lineRule="auto"/>
        <w:ind w:firstLine="480"/>
        <w:rPr>
          <w:rFonts w:ascii="宋体" w:hAnsi="宋体"/>
          <w:color w:val="auto"/>
          <w:szCs w:val="21"/>
          <w:highlight w:val="none"/>
          <w:lang w:val="zh-CN"/>
        </w:rPr>
      </w:pPr>
      <w:r>
        <w:rPr>
          <w:rFonts w:ascii="宋体" w:hAnsi="宋体"/>
          <w:color w:val="auto"/>
          <w:szCs w:val="21"/>
          <w:highlight w:val="none"/>
          <w:lang w:val="zh-CN"/>
        </w:rPr>
        <w:t>7.1</w:t>
      </w:r>
      <w:r>
        <w:rPr>
          <w:rFonts w:hint="eastAsia" w:ascii="宋体" w:hAnsi="宋体"/>
          <w:color w:val="auto"/>
          <w:szCs w:val="21"/>
          <w:highlight w:val="none"/>
          <w:lang w:val="zh-CN"/>
        </w:rPr>
        <w:t>任何一方对本《合同》及其附件的解释均应遵循诚实信用原则，依照本《合同》签订时有效的中华人民共和国的法律、法规以及人们通常的理解进行。</w:t>
      </w:r>
    </w:p>
    <w:p w14:paraId="690C708C">
      <w:pPr>
        <w:autoSpaceDE w:val="0"/>
        <w:autoSpaceDN w:val="0"/>
        <w:adjustRightInd w:val="0"/>
        <w:spacing w:line="360" w:lineRule="auto"/>
        <w:ind w:firstLine="480"/>
        <w:rPr>
          <w:rFonts w:ascii="宋体" w:hAnsi="宋体"/>
          <w:color w:val="auto"/>
          <w:szCs w:val="21"/>
          <w:highlight w:val="none"/>
          <w:lang w:val="zh-CN"/>
        </w:rPr>
      </w:pPr>
      <w:r>
        <w:rPr>
          <w:rFonts w:ascii="宋体" w:hAnsi="宋体"/>
          <w:color w:val="auto"/>
          <w:szCs w:val="21"/>
          <w:highlight w:val="none"/>
          <w:lang w:val="zh-CN"/>
        </w:rPr>
        <w:t>7.2</w:t>
      </w:r>
      <w:r>
        <w:rPr>
          <w:rFonts w:hint="eastAsia" w:ascii="宋体" w:hAnsi="宋体"/>
          <w:color w:val="auto"/>
          <w:szCs w:val="21"/>
          <w:highlight w:val="none"/>
          <w:lang w:val="zh-CN"/>
        </w:rPr>
        <w:t>本《合同》中以日（天）表述的时间期限均指公历日。</w:t>
      </w:r>
    </w:p>
    <w:p w14:paraId="1806E2C9">
      <w:pPr>
        <w:autoSpaceDE w:val="0"/>
        <w:autoSpaceDN w:val="0"/>
        <w:adjustRightInd w:val="0"/>
        <w:spacing w:line="360" w:lineRule="auto"/>
        <w:ind w:firstLine="480"/>
        <w:rPr>
          <w:rFonts w:ascii="宋体" w:hAnsi="宋体"/>
          <w:color w:val="auto"/>
          <w:szCs w:val="21"/>
          <w:highlight w:val="none"/>
          <w:lang w:val="zh-CN"/>
        </w:rPr>
      </w:pPr>
      <w:r>
        <w:rPr>
          <w:rFonts w:ascii="宋体" w:hAnsi="宋体"/>
          <w:color w:val="auto"/>
          <w:szCs w:val="21"/>
          <w:highlight w:val="none"/>
          <w:lang w:val="zh-CN"/>
        </w:rPr>
        <w:t>7.3</w:t>
      </w:r>
      <w:r>
        <w:rPr>
          <w:rFonts w:hint="eastAsia" w:ascii="宋体" w:hAnsi="宋体"/>
          <w:color w:val="auto"/>
          <w:szCs w:val="21"/>
          <w:highlight w:val="none"/>
          <w:lang w:val="zh-CN"/>
        </w:rPr>
        <w:t>对本《合同》的任何解释均应以书面做出。</w:t>
      </w:r>
    </w:p>
    <w:p w14:paraId="19CA628D">
      <w:pPr>
        <w:autoSpaceDE w:val="0"/>
        <w:autoSpaceDN w:val="0"/>
        <w:adjustRightInd w:val="0"/>
        <w:spacing w:line="360" w:lineRule="auto"/>
        <w:ind w:firstLine="482"/>
        <w:rPr>
          <w:rFonts w:ascii="宋体" w:hAnsi="宋体"/>
          <w:color w:val="auto"/>
          <w:szCs w:val="21"/>
          <w:highlight w:val="none"/>
          <w:lang w:val="zh-CN"/>
        </w:rPr>
      </w:pPr>
      <w:r>
        <w:rPr>
          <w:rFonts w:ascii="宋体" w:hAnsi="宋体"/>
          <w:b/>
          <w:color w:val="auto"/>
          <w:szCs w:val="21"/>
          <w:highlight w:val="none"/>
          <w:lang w:val="zh-CN"/>
        </w:rPr>
        <w:t>8</w:t>
      </w:r>
      <w:r>
        <w:rPr>
          <w:rFonts w:hint="eastAsia" w:ascii="宋体" w:hAnsi="宋体"/>
          <w:b/>
          <w:color w:val="auto"/>
          <w:szCs w:val="21"/>
          <w:highlight w:val="none"/>
          <w:lang w:val="zh-CN"/>
        </w:rPr>
        <w:t>．包装要求：</w:t>
      </w:r>
      <w:r>
        <w:rPr>
          <w:rFonts w:hint="eastAsia" w:ascii="宋体" w:hAnsi="宋体"/>
          <w:color w:val="auto"/>
          <w:szCs w:val="21"/>
          <w:highlight w:val="none"/>
          <w:lang w:val="zh-CN"/>
        </w:rPr>
        <w:t>除《合同》另有规定外，供方提供的全部货物均应按国家或行业标准进行包装。因包装出现问题导致货物毁损的，由供方向需方直接承担责任。每一个包装箱内应附一份详细的装箱单和质量合格证书。</w:t>
      </w:r>
    </w:p>
    <w:p w14:paraId="54AF6CCC">
      <w:pPr>
        <w:autoSpaceDE w:val="0"/>
        <w:autoSpaceDN w:val="0"/>
        <w:adjustRightInd w:val="0"/>
        <w:spacing w:line="360" w:lineRule="auto"/>
        <w:ind w:firstLine="482"/>
        <w:rPr>
          <w:rFonts w:ascii="宋体" w:hAnsi="宋体"/>
          <w:color w:val="auto"/>
          <w:szCs w:val="21"/>
          <w:highlight w:val="none"/>
          <w:lang w:val="zh-CN"/>
        </w:rPr>
      </w:pPr>
      <w:r>
        <w:rPr>
          <w:rFonts w:ascii="宋体" w:hAnsi="宋体"/>
          <w:b/>
          <w:color w:val="auto"/>
          <w:szCs w:val="21"/>
          <w:highlight w:val="none"/>
          <w:lang w:val="zh-CN"/>
        </w:rPr>
        <w:t>9</w:t>
      </w:r>
      <w:r>
        <w:rPr>
          <w:rFonts w:hint="eastAsia" w:ascii="宋体" w:hAnsi="宋体"/>
          <w:b/>
          <w:color w:val="auto"/>
          <w:szCs w:val="21"/>
          <w:highlight w:val="none"/>
          <w:lang w:val="zh-CN"/>
        </w:rPr>
        <w:t>．包装标志：</w:t>
      </w:r>
      <w:r>
        <w:rPr>
          <w:rFonts w:hint="eastAsia" w:ascii="宋体" w:hAnsi="宋体"/>
          <w:color w:val="auto"/>
          <w:szCs w:val="21"/>
          <w:highlight w:val="none"/>
          <w:lang w:val="zh-CN"/>
        </w:rPr>
        <w:t>每一包装箱应用不褪色的油漆以醒目的中文字样做出相关标记。</w:t>
      </w:r>
    </w:p>
    <w:p w14:paraId="108D3D98">
      <w:pPr>
        <w:autoSpaceDE w:val="0"/>
        <w:autoSpaceDN w:val="0"/>
        <w:adjustRightInd w:val="0"/>
        <w:spacing w:line="360" w:lineRule="auto"/>
        <w:ind w:firstLine="482"/>
        <w:rPr>
          <w:rFonts w:ascii="宋体" w:hAnsi="宋体"/>
          <w:b/>
          <w:color w:val="auto"/>
          <w:szCs w:val="21"/>
          <w:highlight w:val="none"/>
          <w:lang w:val="zh-CN"/>
        </w:rPr>
      </w:pPr>
      <w:r>
        <w:rPr>
          <w:rFonts w:ascii="宋体" w:hAnsi="宋体"/>
          <w:b/>
          <w:color w:val="auto"/>
          <w:szCs w:val="21"/>
          <w:highlight w:val="none"/>
          <w:lang w:val="zh-CN"/>
        </w:rPr>
        <w:t>10</w:t>
      </w:r>
      <w:r>
        <w:rPr>
          <w:rFonts w:hint="eastAsia" w:ascii="宋体" w:hAnsi="宋体"/>
          <w:b/>
          <w:color w:val="auto"/>
          <w:szCs w:val="21"/>
          <w:highlight w:val="none"/>
          <w:lang w:val="zh-CN"/>
        </w:rPr>
        <w:t>．伴随服务</w:t>
      </w:r>
    </w:p>
    <w:p w14:paraId="170AC6A6">
      <w:pPr>
        <w:autoSpaceDE w:val="0"/>
        <w:autoSpaceDN w:val="0"/>
        <w:adjustRightInd w:val="0"/>
        <w:spacing w:line="360" w:lineRule="auto"/>
        <w:ind w:firstLine="480"/>
        <w:rPr>
          <w:rFonts w:ascii="宋体" w:hAnsi="宋体"/>
          <w:color w:val="auto"/>
          <w:szCs w:val="21"/>
          <w:highlight w:val="none"/>
          <w:lang w:val="zh-CN"/>
        </w:rPr>
      </w:pPr>
      <w:r>
        <w:rPr>
          <w:rFonts w:ascii="宋体" w:hAnsi="宋体"/>
          <w:color w:val="auto"/>
          <w:szCs w:val="21"/>
          <w:highlight w:val="none"/>
          <w:lang w:val="zh-CN"/>
        </w:rPr>
        <w:t>10.1</w:t>
      </w:r>
      <w:r>
        <w:rPr>
          <w:rFonts w:hint="eastAsia" w:ascii="宋体" w:hAnsi="宋体"/>
          <w:color w:val="auto"/>
          <w:szCs w:val="21"/>
          <w:highlight w:val="none"/>
          <w:lang w:val="zh-CN"/>
        </w:rPr>
        <w:t>供方应提供所交付货物的全套技术文件资料，包括产品目录、图纸、操作手册、使用说明、维护手册和服务指南等。</w:t>
      </w:r>
    </w:p>
    <w:p w14:paraId="0CEE9389">
      <w:pPr>
        <w:autoSpaceDE w:val="0"/>
        <w:autoSpaceDN w:val="0"/>
        <w:adjustRightInd w:val="0"/>
        <w:spacing w:line="360" w:lineRule="auto"/>
        <w:ind w:firstLine="480"/>
        <w:rPr>
          <w:rFonts w:ascii="宋体" w:hAnsi="宋体"/>
          <w:color w:val="auto"/>
          <w:szCs w:val="21"/>
          <w:highlight w:val="none"/>
          <w:lang w:val="zh-CN"/>
        </w:rPr>
      </w:pPr>
      <w:r>
        <w:rPr>
          <w:rFonts w:ascii="宋体" w:hAnsi="宋体"/>
          <w:color w:val="auto"/>
          <w:szCs w:val="21"/>
          <w:highlight w:val="none"/>
          <w:lang w:val="zh-CN"/>
        </w:rPr>
        <w:t>10.2</w:t>
      </w:r>
      <w:r>
        <w:rPr>
          <w:rFonts w:hint="eastAsia" w:ascii="宋体" w:hAnsi="宋体"/>
          <w:color w:val="auto"/>
          <w:szCs w:val="21"/>
          <w:highlight w:val="none"/>
          <w:lang w:val="zh-CN"/>
        </w:rPr>
        <w:t>供方还应提供下列服务：货物的现场安装、启动和试运行；提供货物组装和维修所需的工具；在质量保证期内对所交付货物提供运行监督、维修、保养等；在制造厂家和</w:t>
      </w:r>
      <w:r>
        <w:rPr>
          <w:rFonts w:ascii="宋体" w:hAnsi="宋体"/>
          <w:color w:val="auto"/>
          <w:szCs w:val="21"/>
          <w:highlight w:val="none"/>
          <w:lang w:val="zh-CN"/>
        </w:rPr>
        <w:t>/</w:t>
      </w:r>
      <w:r>
        <w:rPr>
          <w:rFonts w:hint="eastAsia" w:ascii="宋体" w:hAnsi="宋体"/>
          <w:color w:val="auto"/>
          <w:szCs w:val="21"/>
          <w:highlight w:val="none"/>
          <w:lang w:val="zh-CN"/>
        </w:rPr>
        <w:t>或在项目现场就货物的安装、启动、运行、维护等对需方人员进行培训。</w:t>
      </w:r>
    </w:p>
    <w:p w14:paraId="1991163D">
      <w:pPr>
        <w:autoSpaceDE w:val="0"/>
        <w:autoSpaceDN w:val="0"/>
        <w:adjustRightInd w:val="0"/>
        <w:spacing w:line="360" w:lineRule="auto"/>
        <w:ind w:firstLine="480"/>
        <w:rPr>
          <w:rFonts w:ascii="宋体" w:hAnsi="宋体"/>
          <w:color w:val="auto"/>
          <w:szCs w:val="21"/>
          <w:highlight w:val="none"/>
          <w:lang w:val="zh-CN"/>
        </w:rPr>
      </w:pPr>
      <w:r>
        <w:rPr>
          <w:rFonts w:ascii="宋体" w:hAnsi="宋体"/>
          <w:color w:val="auto"/>
          <w:szCs w:val="21"/>
          <w:highlight w:val="none"/>
          <w:lang w:val="zh-CN"/>
        </w:rPr>
        <w:t>10.3</w:t>
      </w:r>
      <w:r>
        <w:rPr>
          <w:rFonts w:hint="eastAsia" w:ascii="宋体" w:hAnsi="宋体"/>
          <w:color w:val="auto"/>
          <w:szCs w:val="21"/>
          <w:highlight w:val="none"/>
          <w:lang w:val="zh-CN"/>
        </w:rPr>
        <w:t>上述伴随服务的费用应包含在《合同》总价中，不单独进行支付。</w:t>
      </w:r>
    </w:p>
    <w:p w14:paraId="73715D33">
      <w:pPr>
        <w:autoSpaceDE w:val="0"/>
        <w:autoSpaceDN w:val="0"/>
        <w:adjustRightInd w:val="0"/>
        <w:spacing w:line="360" w:lineRule="auto"/>
        <w:ind w:firstLine="482"/>
        <w:rPr>
          <w:rFonts w:ascii="宋体" w:hAnsi="宋体"/>
          <w:b/>
          <w:color w:val="auto"/>
          <w:szCs w:val="21"/>
          <w:highlight w:val="none"/>
          <w:lang w:val="zh-CN"/>
        </w:rPr>
      </w:pPr>
      <w:r>
        <w:rPr>
          <w:rFonts w:ascii="宋体" w:hAnsi="宋体"/>
          <w:b/>
          <w:color w:val="auto"/>
          <w:szCs w:val="21"/>
          <w:highlight w:val="none"/>
          <w:lang w:val="zh-CN"/>
        </w:rPr>
        <w:t>11</w:t>
      </w:r>
      <w:r>
        <w:rPr>
          <w:rFonts w:hint="eastAsia" w:ascii="宋体" w:hAnsi="宋体"/>
          <w:b/>
          <w:color w:val="auto"/>
          <w:szCs w:val="21"/>
          <w:highlight w:val="none"/>
          <w:lang w:val="zh-CN"/>
        </w:rPr>
        <w:t>．质量保证期及售后服务</w:t>
      </w:r>
    </w:p>
    <w:p w14:paraId="60C6B846">
      <w:pPr>
        <w:autoSpaceDE w:val="0"/>
        <w:autoSpaceDN w:val="0"/>
        <w:adjustRightInd w:val="0"/>
        <w:spacing w:line="360" w:lineRule="auto"/>
        <w:ind w:firstLine="480"/>
        <w:jc w:val="left"/>
        <w:rPr>
          <w:rFonts w:ascii="宋体" w:hAnsi="宋体"/>
          <w:color w:val="auto"/>
          <w:szCs w:val="21"/>
          <w:highlight w:val="none"/>
          <w:lang w:val="zh-CN"/>
        </w:rPr>
      </w:pPr>
      <w:r>
        <w:rPr>
          <w:rFonts w:ascii="宋体" w:hAnsi="宋体"/>
          <w:color w:val="auto"/>
          <w:szCs w:val="21"/>
          <w:highlight w:val="none"/>
          <w:lang w:val="zh-CN"/>
        </w:rPr>
        <w:t>11.1</w:t>
      </w:r>
      <w:r>
        <w:rPr>
          <w:rFonts w:hint="eastAsia" w:ascii="宋体" w:hAnsi="宋体"/>
          <w:color w:val="auto"/>
          <w:szCs w:val="21"/>
          <w:highlight w:val="none"/>
          <w:lang w:val="zh-CN"/>
        </w:rPr>
        <w:t>质量保证期及售后服务：详见《招标文件》的要求，供方提交的售后服务承诺书和制造厂商的有关文件，如果上述文件有不一致之处，以对需方有利的为准。</w:t>
      </w:r>
    </w:p>
    <w:p w14:paraId="2A555137">
      <w:pPr>
        <w:autoSpaceDE w:val="0"/>
        <w:autoSpaceDN w:val="0"/>
        <w:adjustRightInd w:val="0"/>
        <w:spacing w:line="360" w:lineRule="auto"/>
        <w:ind w:firstLine="482"/>
        <w:rPr>
          <w:rFonts w:ascii="宋体" w:hAnsi="宋体"/>
          <w:b/>
          <w:color w:val="auto"/>
          <w:szCs w:val="21"/>
          <w:highlight w:val="none"/>
          <w:lang w:val="zh-CN"/>
        </w:rPr>
      </w:pPr>
      <w:r>
        <w:rPr>
          <w:rFonts w:ascii="宋体" w:hAnsi="宋体"/>
          <w:b/>
          <w:color w:val="auto"/>
          <w:szCs w:val="21"/>
          <w:highlight w:val="none"/>
          <w:lang w:val="zh-CN"/>
        </w:rPr>
        <w:t>12</w:t>
      </w:r>
      <w:r>
        <w:rPr>
          <w:rFonts w:hint="eastAsia" w:ascii="宋体" w:hAnsi="宋体"/>
          <w:b/>
          <w:color w:val="auto"/>
          <w:szCs w:val="21"/>
          <w:highlight w:val="none"/>
          <w:lang w:val="zh-CN"/>
        </w:rPr>
        <w:t>．质量保证</w:t>
      </w:r>
    </w:p>
    <w:p w14:paraId="40AABE73">
      <w:pPr>
        <w:autoSpaceDE w:val="0"/>
        <w:autoSpaceDN w:val="0"/>
        <w:adjustRightInd w:val="0"/>
        <w:spacing w:line="360" w:lineRule="auto"/>
        <w:ind w:firstLine="480"/>
        <w:rPr>
          <w:rFonts w:ascii="宋体" w:hAnsi="宋体"/>
          <w:color w:val="auto"/>
          <w:szCs w:val="21"/>
          <w:highlight w:val="none"/>
          <w:lang w:val="zh-CN"/>
        </w:rPr>
      </w:pPr>
      <w:r>
        <w:rPr>
          <w:rFonts w:ascii="宋体" w:hAnsi="宋体"/>
          <w:color w:val="auto"/>
          <w:szCs w:val="21"/>
          <w:highlight w:val="none"/>
          <w:lang w:val="zh-CN"/>
        </w:rPr>
        <w:t xml:space="preserve">12.1 </w:t>
      </w:r>
      <w:r>
        <w:rPr>
          <w:rFonts w:hint="eastAsia" w:ascii="宋体" w:hAnsi="宋体"/>
          <w:color w:val="auto"/>
          <w:szCs w:val="21"/>
          <w:highlight w:val="none"/>
          <w:lang w:val="zh-CN"/>
        </w:rPr>
        <w:t>供方应保证所提供的货物是原制造厂商制造的、经过合法销售渠道取得的、全新的、未使用过的，并完全符合《合同》规定的品牌、规格型号、技术性能、配置、质量、数量等要求。供方应保证其所提供的货物在正确安装、正常使用和保养条件下，在其使用寿命期内具有满意的性能。在货物最终验收合格交付后不少于本《合同》条款第</w:t>
      </w:r>
      <w:r>
        <w:rPr>
          <w:rFonts w:ascii="宋体" w:hAnsi="宋体"/>
          <w:color w:val="auto"/>
          <w:szCs w:val="21"/>
          <w:highlight w:val="none"/>
          <w:lang w:val="zh-CN"/>
        </w:rPr>
        <w:t>11</w:t>
      </w:r>
      <w:r>
        <w:rPr>
          <w:rFonts w:hint="eastAsia" w:ascii="宋体" w:hAnsi="宋体"/>
          <w:color w:val="auto"/>
          <w:szCs w:val="21"/>
          <w:highlight w:val="none"/>
          <w:lang w:val="zh-CN"/>
        </w:rPr>
        <w:t>条规定的质量保证期内，供方应对其交付的货物由于设计、工艺或材料的缺陷而产生的故障负责。</w:t>
      </w:r>
    </w:p>
    <w:p w14:paraId="6DE9AF31">
      <w:pPr>
        <w:autoSpaceDE w:val="0"/>
        <w:autoSpaceDN w:val="0"/>
        <w:adjustRightInd w:val="0"/>
        <w:spacing w:line="360" w:lineRule="auto"/>
        <w:ind w:firstLine="480"/>
        <w:rPr>
          <w:rFonts w:ascii="宋体" w:hAnsi="宋体"/>
          <w:color w:val="auto"/>
          <w:szCs w:val="21"/>
          <w:highlight w:val="none"/>
          <w:lang w:val="zh-CN"/>
        </w:rPr>
      </w:pPr>
      <w:r>
        <w:rPr>
          <w:rFonts w:ascii="宋体" w:hAnsi="宋体"/>
          <w:color w:val="auto"/>
          <w:szCs w:val="21"/>
          <w:highlight w:val="none"/>
          <w:lang w:val="zh-CN"/>
        </w:rPr>
        <w:t xml:space="preserve">12.2 </w:t>
      </w:r>
      <w:r>
        <w:rPr>
          <w:rFonts w:hint="eastAsia" w:ascii="宋体" w:hAnsi="宋体"/>
          <w:color w:val="auto"/>
          <w:szCs w:val="21"/>
          <w:highlight w:val="none"/>
          <w:lang w:val="zh-CN"/>
        </w:rPr>
        <w:t>在质量保证期内，如果货物的规格型号、配置、技术性能、原产地及制造厂商以及其他技术质量指标与《合同》约定不符，或证实货物是有缺陷的，包括潜在的缺陷或使用不符合要求的材料等，需方应尽快以书面形式向供方提出索赔。</w:t>
      </w:r>
    </w:p>
    <w:p w14:paraId="2B537272">
      <w:pPr>
        <w:autoSpaceDE w:val="0"/>
        <w:autoSpaceDN w:val="0"/>
        <w:adjustRightInd w:val="0"/>
        <w:spacing w:line="360" w:lineRule="auto"/>
        <w:ind w:firstLine="480"/>
        <w:rPr>
          <w:rFonts w:ascii="宋体" w:hAnsi="宋体"/>
          <w:color w:val="auto"/>
          <w:szCs w:val="21"/>
          <w:highlight w:val="none"/>
          <w:lang w:val="zh-CN"/>
        </w:rPr>
      </w:pPr>
      <w:r>
        <w:rPr>
          <w:rFonts w:ascii="宋体" w:hAnsi="宋体"/>
          <w:color w:val="auto"/>
          <w:szCs w:val="21"/>
          <w:highlight w:val="none"/>
          <w:lang w:val="zh-CN"/>
        </w:rPr>
        <w:t>12.3</w:t>
      </w:r>
      <w:r>
        <w:rPr>
          <w:rFonts w:hint="eastAsia" w:ascii="宋体" w:hAnsi="宋体"/>
          <w:color w:val="auto"/>
          <w:szCs w:val="21"/>
          <w:highlight w:val="none"/>
          <w:lang w:val="zh-CN"/>
        </w:rPr>
        <w:t>在质量保证期内，供方在接到需方的通知后，应在本《合同》条款第</w:t>
      </w:r>
      <w:r>
        <w:rPr>
          <w:rFonts w:ascii="宋体" w:hAnsi="宋体"/>
          <w:color w:val="auto"/>
          <w:szCs w:val="21"/>
          <w:highlight w:val="none"/>
          <w:lang w:val="zh-CN"/>
        </w:rPr>
        <w:t>11</w:t>
      </w:r>
      <w:r>
        <w:rPr>
          <w:rFonts w:hint="eastAsia" w:ascii="宋体" w:hAnsi="宋体"/>
          <w:color w:val="auto"/>
          <w:szCs w:val="21"/>
          <w:highlight w:val="none"/>
          <w:lang w:val="zh-CN"/>
        </w:rPr>
        <w:t>条约定的响应时间内，免费维修和</w:t>
      </w:r>
      <w:r>
        <w:rPr>
          <w:rFonts w:ascii="宋体" w:hAnsi="宋体"/>
          <w:color w:val="auto"/>
          <w:szCs w:val="21"/>
          <w:highlight w:val="none"/>
          <w:lang w:val="zh-CN"/>
        </w:rPr>
        <w:t>/</w:t>
      </w:r>
      <w:r>
        <w:rPr>
          <w:rFonts w:hint="eastAsia" w:ascii="宋体" w:hAnsi="宋体"/>
          <w:color w:val="auto"/>
          <w:szCs w:val="21"/>
          <w:highlight w:val="none"/>
          <w:lang w:val="zh-CN"/>
        </w:rPr>
        <w:t>或更换有缺陷的货物或部件。</w:t>
      </w:r>
    </w:p>
    <w:p w14:paraId="33259B93">
      <w:pPr>
        <w:autoSpaceDE w:val="0"/>
        <w:autoSpaceDN w:val="0"/>
        <w:adjustRightInd w:val="0"/>
        <w:spacing w:line="360" w:lineRule="auto"/>
        <w:ind w:firstLine="480"/>
        <w:rPr>
          <w:rFonts w:ascii="宋体" w:hAnsi="宋体"/>
          <w:color w:val="auto"/>
          <w:szCs w:val="21"/>
          <w:highlight w:val="none"/>
          <w:lang w:val="zh-CN"/>
        </w:rPr>
      </w:pPr>
      <w:r>
        <w:rPr>
          <w:rFonts w:ascii="宋体" w:hAnsi="宋体"/>
          <w:color w:val="auto"/>
          <w:szCs w:val="21"/>
          <w:highlight w:val="none"/>
          <w:lang w:val="zh-CN"/>
        </w:rPr>
        <w:t xml:space="preserve">12.4 </w:t>
      </w:r>
      <w:r>
        <w:rPr>
          <w:rFonts w:hint="eastAsia" w:ascii="宋体" w:hAnsi="宋体"/>
          <w:color w:val="auto"/>
          <w:szCs w:val="21"/>
          <w:highlight w:val="none"/>
          <w:lang w:val="zh-CN"/>
        </w:rPr>
        <w:t>如果供方在接到需方通知后，在本《合同》条款第</w:t>
      </w:r>
      <w:r>
        <w:rPr>
          <w:rFonts w:ascii="宋体" w:hAnsi="宋体"/>
          <w:color w:val="auto"/>
          <w:szCs w:val="21"/>
          <w:highlight w:val="none"/>
          <w:lang w:val="zh-CN"/>
        </w:rPr>
        <w:t>11</w:t>
      </w:r>
      <w:r>
        <w:rPr>
          <w:rFonts w:hint="eastAsia" w:ascii="宋体" w:hAnsi="宋体"/>
          <w:color w:val="auto"/>
          <w:szCs w:val="21"/>
          <w:highlight w:val="none"/>
          <w:lang w:val="zh-CN"/>
        </w:rPr>
        <w:t>条约定的响应时间内没有弥补缺陷，需方可采取必要的补救措施，但其风险和费用将由供方负担，并且需方根据《合同》规定对供方行使的其他权利不受影响。</w:t>
      </w:r>
    </w:p>
    <w:p w14:paraId="121EE5A4">
      <w:pPr>
        <w:autoSpaceDE w:val="0"/>
        <w:autoSpaceDN w:val="0"/>
        <w:adjustRightInd w:val="0"/>
        <w:spacing w:line="360" w:lineRule="auto"/>
        <w:ind w:firstLine="482"/>
        <w:rPr>
          <w:rFonts w:ascii="宋体" w:hAnsi="宋体"/>
          <w:b/>
          <w:color w:val="auto"/>
          <w:szCs w:val="21"/>
          <w:highlight w:val="none"/>
          <w:lang w:val="zh-CN"/>
        </w:rPr>
      </w:pPr>
      <w:r>
        <w:rPr>
          <w:rFonts w:ascii="宋体" w:hAnsi="宋体"/>
          <w:b/>
          <w:color w:val="auto"/>
          <w:szCs w:val="21"/>
          <w:highlight w:val="none"/>
          <w:lang w:val="zh-CN"/>
        </w:rPr>
        <w:t>13</w:t>
      </w:r>
      <w:r>
        <w:rPr>
          <w:rFonts w:hint="eastAsia" w:ascii="宋体" w:hAnsi="宋体"/>
          <w:b/>
          <w:color w:val="auto"/>
          <w:szCs w:val="21"/>
          <w:highlight w:val="none"/>
          <w:lang w:val="zh-CN"/>
        </w:rPr>
        <w:t>．验收</w:t>
      </w:r>
    </w:p>
    <w:p w14:paraId="29287574">
      <w:pPr>
        <w:autoSpaceDE w:val="0"/>
        <w:autoSpaceDN w:val="0"/>
        <w:adjustRightInd w:val="0"/>
        <w:spacing w:line="360" w:lineRule="auto"/>
        <w:ind w:firstLine="482"/>
        <w:rPr>
          <w:rFonts w:ascii="宋体" w:hAnsi="宋体"/>
          <w:color w:val="auto"/>
          <w:szCs w:val="21"/>
          <w:highlight w:val="none"/>
          <w:lang w:val="zh-CN"/>
        </w:rPr>
      </w:pPr>
      <w:r>
        <w:rPr>
          <w:rFonts w:ascii="宋体" w:hAnsi="宋体"/>
          <w:b/>
          <w:color w:val="auto"/>
          <w:szCs w:val="21"/>
          <w:highlight w:val="none"/>
          <w:lang w:val="zh-CN"/>
        </w:rPr>
        <w:t>13.1</w:t>
      </w:r>
      <w:r>
        <w:rPr>
          <w:rFonts w:hint="eastAsia" w:ascii="宋体" w:hAnsi="宋体"/>
          <w:color w:val="auto"/>
          <w:szCs w:val="21"/>
          <w:highlight w:val="none"/>
          <w:lang w:val="zh-CN"/>
        </w:rPr>
        <w:t>供方提交的货物由需方负责检验验收，或由需方聘请当地质检（商检）部门或有关部门对货物的品种、规格、性能、质量、数量、外观以及配件等进行检验，并出具检验证书。检验费用由供需双方协商确定。</w:t>
      </w:r>
    </w:p>
    <w:p w14:paraId="4E72BCE7">
      <w:pPr>
        <w:autoSpaceDE w:val="0"/>
        <w:autoSpaceDN w:val="0"/>
        <w:adjustRightInd w:val="0"/>
        <w:spacing w:line="360" w:lineRule="auto"/>
        <w:ind w:firstLine="482"/>
        <w:rPr>
          <w:rFonts w:ascii="宋体" w:hAnsi="宋体"/>
          <w:color w:val="auto"/>
          <w:szCs w:val="21"/>
          <w:highlight w:val="none"/>
          <w:lang w:val="zh-CN"/>
        </w:rPr>
      </w:pPr>
      <w:r>
        <w:rPr>
          <w:rFonts w:ascii="宋体" w:hAnsi="宋体"/>
          <w:color w:val="auto"/>
          <w:szCs w:val="21"/>
          <w:highlight w:val="none"/>
          <w:lang w:val="zh-CN"/>
        </w:rPr>
        <w:t>13.2</w:t>
      </w:r>
      <w:r>
        <w:rPr>
          <w:rFonts w:hint="eastAsia" w:ascii="宋体" w:hAnsi="宋体"/>
          <w:color w:val="auto"/>
          <w:szCs w:val="21"/>
          <w:highlight w:val="none"/>
          <w:lang w:val="zh-CN"/>
        </w:rPr>
        <w:t>验收过程中，如果供需双方对《合同》标的质量发生争议，应当聘请当地质检（商检）部门或有关部门对有争议的参数进行鉴定，检验费用由责任方承担。</w:t>
      </w:r>
    </w:p>
    <w:p w14:paraId="50335D42">
      <w:pPr>
        <w:autoSpaceDE w:val="0"/>
        <w:autoSpaceDN w:val="0"/>
        <w:adjustRightInd w:val="0"/>
        <w:spacing w:line="360" w:lineRule="auto"/>
        <w:ind w:firstLine="482"/>
        <w:rPr>
          <w:rFonts w:ascii="宋体" w:hAnsi="宋体"/>
          <w:color w:val="auto"/>
          <w:szCs w:val="21"/>
          <w:highlight w:val="none"/>
        </w:rPr>
      </w:pPr>
      <w:r>
        <w:rPr>
          <w:rFonts w:ascii="宋体" w:hAnsi="宋体"/>
          <w:color w:val="auto"/>
          <w:szCs w:val="21"/>
          <w:highlight w:val="none"/>
          <w:lang w:val="zh-CN"/>
        </w:rPr>
        <w:t>13.3</w:t>
      </w:r>
      <w:r>
        <w:rPr>
          <w:rFonts w:hint="eastAsia" w:ascii="宋体" w:hAnsi="宋体"/>
          <w:color w:val="auto"/>
          <w:szCs w:val="21"/>
          <w:highlight w:val="none"/>
          <w:lang w:val="zh-CN"/>
        </w:rPr>
        <w:t>按照规定必须由国家有关部门或者机构检验合格才允许使用的货物，由供方负责（需方配合）向有关部门或者机构申请检验并取得检验合格的报告（证书）或者使用许可证，费用包含在供方的投标总价中。</w:t>
      </w:r>
    </w:p>
    <w:p w14:paraId="423A35B1">
      <w:pPr>
        <w:autoSpaceDE w:val="0"/>
        <w:autoSpaceDN w:val="0"/>
        <w:adjustRightInd w:val="0"/>
        <w:spacing w:line="360" w:lineRule="auto"/>
        <w:ind w:firstLine="482"/>
        <w:rPr>
          <w:rFonts w:ascii="宋体" w:hAnsi="宋体"/>
          <w:b/>
          <w:color w:val="auto"/>
          <w:szCs w:val="21"/>
          <w:highlight w:val="none"/>
          <w:lang w:val="zh-CN"/>
        </w:rPr>
      </w:pPr>
      <w:r>
        <w:rPr>
          <w:rFonts w:ascii="宋体" w:hAnsi="宋体"/>
          <w:b/>
          <w:color w:val="auto"/>
          <w:szCs w:val="21"/>
          <w:highlight w:val="none"/>
          <w:lang w:val="zh-CN"/>
        </w:rPr>
        <w:t>14</w:t>
      </w:r>
      <w:r>
        <w:rPr>
          <w:rFonts w:hint="eastAsia" w:ascii="宋体" w:hAnsi="宋体"/>
          <w:b/>
          <w:color w:val="auto"/>
          <w:szCs w:val="21"/>
          <w:highlight w:val="none"/>
          <w:lang w:val="zh-CN"/>
        </w:rPr>
        <w:t>．索赔</w:t>
      </w:r>
    </w:p>
    <w:p w14:paraId="6CF2F1EA">
      <w:pPr>
        <w:autoSpaceDE w:val="0"/>
        <w:autoSpaceDN w:val="0"/>
        <w:adjustRightInd w:val="0"/>
        <w:spacing w:line="360" w:lineRule="auto"/>
        <w:ind w:firstLine="480"/>
        <w:rPr>
          <w:rFonts w:ascii="宋体" w:hAnsi="宋体"/>
          <w:color w:val="auto"/>
          <w:szCs w:val="21"/>
          <w:highlight w:val="none"/>
          <w:lang w:val="zh-CN"/>
        </w:rPr>
      </w:pPr>
      <w:r>
        <w:rPr>
          <w:rFonts w:ascii="宋体" w:hAnsi="宋体"/>
          <w:color w:val="auto"/>
          <w:szCs w:val="21"/>
          <w:highlight w:val="none"/>
          <w:lang w:val="zh-CN"/>
        </w:rPr>
        <w:t>14.1</w:t>
      </w:r>
      <w:r>
        <w:rPr>
          <w:rFonts w:hint="eastAsia" w:ascii="宋体" w:hAnsi="宋体"/>
          <w:color w:val="auto"/>
          <w:szCs w:val="21"/>
          <w:highlight w:val="none"/>
          <w:lang w:val="zh-CN"/>
        </w:rPr>
        <w:t>需方有权根据国家技术监督局、进出口商品检验局或其他具有法定资格的质检机构出具的检验证书向供方提出索赔。</w:t>
      </w:r>
    </w:p>
    <w:p w14:paraId="157E72BC">
      <w:pPr>
        <w:autoSpaceDE w:val="0"/>
        <w:autoSpaceDN w:val="0"/>
        <w:adjustRightInd w:val="0"/>
        <w:spacing w:line="360" w:lineRule="auto"/>
        <w:ind w:firstLine="480"/>
        <w:rPr>
          <w:rFonts w:ascii="宋体" w:hAnsi="宋体"/>
          <w:color w:val="auto"/>
          <w:szCs w:val="21"/>
          <w:highlight w:val="none"/>
          <w:lang w:val="zh-CN"/>
        </w:rPr>
      </w:pPr>
      <w:r>
        <w:rPr>
          <w:rFonts w:ascii="宋体" w:hAnsi="宋体"/>
          <w:color w:val="auto"/>
          <w:szCs w:val="21"/>
          <w:highlight w:val="none"/>
          <w:lang w:val="zh-CN"/>
        </w:rPr>
        <w:t>14.2</w:t>
      </w:r>
      <w:r>
        <w:rPr>
          <w:rFonts w:hint="eastAsia" w:ascii="宋体" w:hAnsi="宋体"/>
          <w:color w:val="auto"/>
          <w:szCs w:val="21"/>
          <w:highlight w:val="none"/>
          <w:lang w:val="zh-CN"/>
        </w:rPr>
        <w:t>如果供方对缺陷负有责任而需方提出索赔，供方应按照需方同意的下列一种或多种方式解决索赔事宜：</w:t>
      </w:r>
    </w:p>
    <w:p w14:paraId="3B012DCA">
      <w:pPr>
        <w:autoSpaceDE w:val="0"/>
        <w:autoSpaceDN w:val="0"/>
        <w:adjustRightInd w:val="0"/>
        <w:spacing w:line="360" w:lineRule="auto"/>
        <w:ind w:firstLine="480"/>
        <w:rPr>
          <w:rFonts w:ascii="宋体" w:hAnsi="宋体"/>
          <w:color w:val="auto"/>
          <w:szCs w:val="21"/>
          <w:highlight w:val="none"/>
          <w:lang w:val="zh-CN"/>
        </w:rPr>
      </w:pPr>
      <w:r>
        <w:rPr>
          <w:rFonts w:hint="eastAsia" w:ascii="宋体" w:hAnsi="宋体"/>
          <w:color w:val="auto"/>
          <w:szCs w:val="21"/>
          <w:highlight w:val="none"/>
          <w:lang w:val="zh-CN"/>
        </w:rPr>
        <w:t>（</w:t>
      </w:r>
      <w:r>
        <w:rPr>
          <w:rFonts w:ascii="宋体" w:hAnsi="宋体"/>
          <w:color w:val="auto"/>
          <w:szCs w:val="21"/>
          <w:highlight w:val="none"/>
          <w:lang w:val="zh-CN"/>
        </w:rPr>
        <w:t>1</w:t>
      </w:r>
      <w:r>
        <w:rPr>
          <w:rFonts w:hint="eastAsia" w:ascii="宋体" w:hAnsi="宋体"/>
          <w:color w:val="auto"/>
          <w:szCs w:val="21"/>
          <w:highlight w:val="none"/>
          <w:lang w:val="zh-CN"/>
        </w:rPr>
        <w:t>）供方同意退货并用《合同》规定的货币将货款退还给需方，并承担由此发生的一切损失和费用，包括利息、银行手续费、运费、保险费、检验费、仓储费、装卸费以及为保护退回货物所需的其他必要费用。</w:t>
      </w:r>
    </w:p>
    <w:p w14:paraId="47C053E5">
      <w:pPr>
        <w:autoSpaceDE w:val="0"/>
        <w:autoSpaceDN w:val="0"/>
        <w:adjustRightInd w:val="0"/>
        <w:spacing w:line="360" w:lineRule="auto"/>
        <w:ind w:firstLine="480"/>
        <w:rPr>
          <w:rFonts w:ascii="宋体" w:hAnsi="宋体"/>
          <w:color w:val="auto"/>
          <w:szCs w:val="21"/>
          <w:highlight w:val="none"/>
          <w:lang w:val="zh-CN"/>
        </w:rPr>
      </w:pPr>
      <w:r>
        <w:rPr>
          <w:rFonts w:hint="eastAsia" w:ascii="宋体" w:hAnsi="宋体"/>
          <w:color w:val="auto"/>
          <w:szCs w:val="21"/>
          <w:highlight w:val="none"/>
          <w:lang w:val="zh-CN"/>
        </w:rPr>
        <w:t>（</w:t>
      </w:r>
      <w:r>
        <w:rPr>
          <w:rFonts w:ascii="宋体" w:hAnsi="宋体"/>
          <w:color w:val="auto"/>
          <w:szCs w:val="21"/>
          <w:highlight w:val="none"/>
          <w:lang w:val="zh-CN"/>
        </w:rPr>
        <w:t>2</w:t>
      </w:r>
      <w:r>
        <w:rPr>
          <w:rFonts w:hint="eastAsia" w:ascii="宋体" w:hAnsi="宋体"/>
          <w:color w:val="auto"/>
          <w:szCs w:val="21"/>
          <w:highlight w:val="none"/>
          <w:lang w:val="zh-CN"/>
        </w:rPr>
        <w:t>）根据货物低劣、损坏程度以及需方所遭受损失的金额，经双方商定降低货物的价格。</w:t>
      </w:r>
    </w:p>
    <w:p w14:paraId="2EDD5A10">
      <w:pPr>
        <w:autoSpaceDE w:val="0"/>
        <w:autoSpaceDN w:val="0"/>
        <w:adjustRightInd w:val="0"/>
        <w:spacing w:line="360" w:lineRule="auto"/>
        <w:ind w:firstLine="480"/>
        <w:rPr>
          <w:rFonts w:ascii="宋体" w:hAnsi="宋体"/>
          <w:color w:val="auto"/>
          <w:szCs w:val="21"/>
          <w:highlight w:val="none"/>
          <w:lang w:val="zh-CN"/>
        </w:rPr>
      </w:pPr>
      <w:r>
        <w:rPr>
          <w:rFonts w:hint="eastAsia" w:ascii="宋体" w:hAnsi="宋体"/>
          <w:color w:val="auto"/>
          <w:szCs w:val="21"/>
          <w:highlight w:val="none"/>
          <w:lang w:val="zh-CN"/>
        </w:rPr>
        <w:t>（</w:t>
      </w:r>
      <w:r>
        <w:rPr>
          <w:rFonts w:ascii="宋体" w:hAnsi="宋体"/>
          <w:color w:val="auto"/>
          <w:szCs w:val="21"/>
          <w:highlight w:val="none"/>
          <w:lang w:val="zh-CN"/>
        </w:rPr>
        <w:t>3</w:t>
      </w:r>
      <w:r>
        <w:rPr>
          <w:rFonts w:hint="eastAsia" w:ascii="宋体" w:hAnsi="宋体"/>
          <w:color w:val="auto"/>
          <w:szCs w:val="21"/>
          <w:highlight w:val="none"/>
          <w:lang w:val="zh-CN"/>
        </w:rPr>
        <w:t>）用符合《合同》规定的规格、质量和性能要求的新零件、部件和／或设备来更换有缺陷的部分和／或修补缺陷部分，供方应承担一切费用和风险，并负担需方蒙受的全部直接损失。供方应相应延长修补和／或更换件的质量保证期。</w:t>
      </w:r>
    </w:p>
    <w:p w14:paraId="3435656E">
      <w:pPr>
        <w:autoSpaceDE w:val="0"/>
        <w:autoSpaceDN w:val="0"/>
        <w:adjustRightInd w:val="0"/>
        <w:spacing w:line="360" w:lineRule="auto"/>
        <w:ind w:firstLine="480"/>
        <w:rPr>
          <w:rFonts w:ascii="宋体" w:hAnsi="宋体"/>
          <w:color w:val="auto"/>
          <w:szCs w:val="21"/>
          <w:highlight w:val="none"/>
          <w:lang w:val="zh-CN"/>
        </w:rPr>
      </w:pPr>
      <w:r>
        <w:rPr>
          <w:rFonts w:ascii="宋体" w:hAnsi="宋体"/>
          <w:color w:val="auto"/>
          <w:szCs w:val="21"/>
          <w:highlight w:val="none"/>
          <w:lang w:val="zh-CN"/>
        </w:rPr>
        <w:t>14.3</w:t>
      </w:r>
      <w:r>
        <w:rPr>
          <w:rFonts w:hint="eastAsia" w:ascii="宋体" w:hAnsi="宋体"/>
          <w:color w:val="auto"/>
          <w:szCs w:val="21"/>
          <w:highlight w:val="none"/>
          <w:lang w:val="zh-CN"/>
        </w:rPr>
        <w:t>如果在需方发出索赔通知后十天内供方未作答复，上述索赔应视为已被供方接受。如供方未能在接到需方索赔通知后十天内或需方同意的延长期限内，按照上述第</w:t>
      </w:r>
      <w:r>
        <w:rPr>
          <w:rFonts w:ascii="宋体" w:hAnsi="宋体"/>
          <w:color w:val="auto"/>
          <w:szCs w:val="21"/>
          <w:highlight w:val="none"/>
          <w:lang w:val="zh-CN"/>
        </w:rPr>
        <w:t>14.2</w:t>
      </w:r>
      <w:r>
        <w:rPr>
          <w:rFonts w:hint="eastAsia" w:ascii="宋体" w:hAnsi="宋体"/>
          <w:color w:val="auto"/>
          <w:szCs w:val="21"/>
          <w:highlight w:val="none"/>
          <w:lang w:val="zh-CN"/>
        </w:rPr>
        <w:t>款规定的任何一种或多种方式解决索赔事宜并征得需方同意，需方有权从应付货款或从供方提交的履约保证金中扣回索赔金额，并拥有对赔偿不足部分进一步索赔的权利。</w:t>
      </w:r>
    </w:p>
    <w:p w14:paraId="68762917">
      <w:pPr>
        <w:autoSpaceDE w:val="0"/>
        <w:autoSpaceDN w:val="0"/>
        <w:adjustRightInd w:val="0"/>
        <w:spacing w:line="360" w:lineRule="auto"/>
        <w:ind w:firstLine="482"/>
        <w:rPr>
          <w:rFonts w:ascii="宋体" w:hAnsi="宋体"/>
          <w:b/>
          <w:color w:val="auto"/>
          <w:szCs w:val="21"/>
          <w:highlight w:val="none"/>
          <w:lang w:val="zh-CN"/>
        </w:rPr>
      </w:pPr>
      <w:r>
        <w:rPr>
          <w:rFonts w:ascii="宋体" w:hAnsi="宋体"/>
          <w:b/>
          <w:color w:val="auto"/>
          <w:szCs w:val="21"/>
          <w:highlight w:val="none"/>
          <w:lang w:val="zh-CN"/>
        </w:rPr>
        <w:t>15</w:t>
      </w:r>
      <w:r>
        <w:rPr>
          <w:rFonts w:hint="eastAsia" w:ascii="宋体" w:hAnsi="宋体"/>
          <w:b/>
          <w:color w:val="auto"/>
          <w:szCs w:val="21"/>
          <w:highlight w:val="none"/>
          <w:lang w:val="zh-CN"/>
        </w:rPr>
        <w:t>．履约延误</w:t>
      </w:r>
    </w:p>
    <w:p w14:paraId="722FCB71">
      <w:pPr>
        <w:autoSpaceDE w:val="0"/>
        <w:autoSpaceDN w:val="0"/>
        <w:adjustRightInd w:val="0"/>
        <w:spacing w:line="360" w:lineRule="auto"/>
        <w:ind w:firstLine="480"/>
        <w:rPr>
          <w:rFonts w:ascii="宋体" w:hAnsi="宋体"/>
          <w:color w:val="auto"/>
          <w:szCs w:val="21"/>
          <w:highlight w:val="none"/>
          <w:lang w:val="zh-CN"/>
        </w:rPr>
      </w:pPr>
      <w:r>
        <w:rPr>
          <w:rFonts w:ascii="宋体" w:hAnsi="宋体"/>
          <w:color w:val="auto"/>
          <w:szCs w:val="21"/>
          <w:highlight w:val="none"/>
          <w:lang w:val="zh-CN"/>
        </w:rPr>
        <w:t xml:space="preserve">15.1 </w:t>
      </w:r>
      <w:r>
        <w:rPr>
          <w:rFonts w:hint="eastAsia" w:ascii="宋体" w:hAnsi="宋体"/>
          <w:color w:val="auto"/>
          <w:szCs w:val="21"/>
          <w:highlight w:val="none"/>
          <w:lang w:val="zh-CN"/>
        </w:rPr>
        <w:t>供方应按照《合同》规定的时间、地点交货和提供服务；需方应按照《合同》规定的时间、地点接收货物和接受服务。</w:t>
      </w:r>
    </w:p>
    <w:p w14:paraId="4D945444">
      <w:pPr>
        <w:autoSpaceDE w:val="0"/>
        <w:autoSpaceDN w:val="0"/>
        <w:adjustRightInd w:val="0"/>
        <w:spacing w:line="360" w:lineRule="auto"/>
        <w:ind w:firstLine="480"/>
        <w:rPr>
          <w:rFonts w:ascii="宋体" w:hAnsi="宋体"/>
          <w:color w:val="auto"/>
          <w:szCs w:val="21"/>
          <w:highlight w:val="none"/>
          <w:lang w:val="zh-CN"/>
        </w:rPr>
      </w:pPr>
      <w:r>
        <w:rPr>
          <w:rFonts w:ascii="宋体" w:hAnsi="宋体"/>
          <w:color w:val="auto"/>
          <w:szCs w:val="21"/>
          <w:highlight w:val="none"/>
          <w:lang w:val="zh-CN"/>
        </w:rPr>
        <w:t xml:space="preserve">15.2 </w:t>
      </w:r>
      <w:r>
        <w:rPr>
          <w:rFonts w:hint="eastAsia" w:ascii="宋体" w:hAnsi="宋体"/>
          <w:color w:val="auto"/>
          <w:szCs w:val="21"/>
          <w:highlight w:val="none"/>
          <w:lang w:val="zh-CN"/>
        </w:rPr>
        <w:t>如果供方无正当理由拖延交货，将受到以下制裁：没收履约保证金、加收误期赔偿和／或违约终止《合同》；如果需方无正当理由拖延接收货物和接受服务，应承担相应的违约责任。</w:t>
      </w:r>
    </w:p>
    <w:p w14:paraId="54FEA768">
      <w:pPr>
        <w:autoSpaceDE w:val="0"/>
        <w:autoSpaceDN w:val="0"/>
        <w:adjustRightInd w:val="0"/>
        <w:spacing w:line="360" w:lineRule="auto"/>
        <w:ind w:firstLine="480"/>
        <w:rPr>
          <w:rFonts w:ascii="宋体" w:hAnsi="宋体"/>
          <w:color w:val="auto"/>
          <w:szCs w:val="21"/>
          <w:highlight w:val="none"/>
          <w:lang w:val="zh-CN"/>
        </w:rPr>
      </w:pPr>
      <w:r>
        <w:rPr>
          <w:rFonts w:ascii="宋体" w:hAnsi="宋体"/>
          <w:color w:val="auto"/>
          <w:szCs w:val="21"/>
          <w:highlight w:val="none"/>
          <w:lang w:val="zh-CN"/>
        </w:rPr>
        <w:t xml:space="preserve">15.3 </w:t>
      </w:r>
      <w:r>
        <w:rPr>
          <w:rFonts w:hint="eastAsia" w:ascii="宋体" w:hAnsi="宋体"/>
          <w:color w:val="auto"/>
          <w:szCs w:val="21"/>
          <w:highlight w:val="none"/>
          <w:lang w:val="zh-CN"/>
        </w:rPr>
        <w:t>在履行《合同》过程中，如果供方遇到可能妨碍其按时交货和提供服务的情况，或者需方遇到可能妨碍其按时接收货物和接受服务的情况，应及时以书面形式将拖延的事实，可能拖延的期限和理由通知对方。需方（或供方）在收到供方（或需方）通知后，应尽快对情况进行评估，并确定是否通过修改《合同》，酌情延长交货时间和</w:t>
      </w:r>
      <w:r>
        <w:rPr>
          <w:rFonts w:ascii="宋体" w:hAnsi="宋体"/>
          <w:color w:val="auto"/>
          <w:szCs w:val="21"/>
          <w:highlight w:val="none"/>
          <w:lang w:val="zh-CN"/>
        </w:rPr>
        <w:t>/</w:t>
      </w:r>
      <w:r>
        <w:rPr>
          <w:rFonts w:hint="eastAsia" w:ascii="宋体" w:hAnsi="宋体"/>
          <w:color w:val="auto"/>
          <w:szCs w:val="21"/>
          <w:highlight w:val="none"/>
          <w:lang w:val="zh-CN"/>
        </w:rPr>
        <w:t>或延期提供服务，或者终止《合同》。</w:t>
      </w:r>
    </w:p>
    <w:p w14:paraId="5EFDE30C">
      <w:pPr>
        <w:autoSpaceDE w:val="0"/>
        <w:autoSpaceDN w:val="0"/>
        <w:adjustRightInd w:val="0"/>
        <w:spacing w:line="360" w:lineRule="auto"/>
        <w:ind w:firstLine="482"/>
        <w:rPr>
          <w:rFonts w:ascii="宋体" w:hAnsi="宋体"/>
          <w:b/>
          <w:color w:val="auto"/>
          <w:szCs w:val="21"/>
          <w:highlight w:val="none"/>
          <w:lang w:val="zh-CN"/>
        </w:rPr>
      </w:pPr>
      <w:r>
        <w:rPr>
          <w:rFonts w:ascii="宋体" w:hAnsi="宋体"/>
          <w:b/>
          <w:color w:val="auto"/>
          <w:szCs w:val="21"/>
          <w:highlight w:val="none"/>
          <w:lang w:val="zh-CN"/>
        </w:rPr>
        <w:t>16</w:t>
      </w:r>
      <w:r>
        <w:rPr>
          <w:rFonts w:hint="eastAsia" w:ascii="宋体" w:hAnsi="宋体"/>
          <w:b/>
          <w:color w:val="auto"/>
          <w:szCs w:val="21"/>
          <w:highlight w:val="none"/>
          <w:lang w:val="zh-CN"/>
        </w:rPr>
        <w:t>．误期赔偿</w:t>
      </w:r>
    </w:p>
    <w:p w14:paraId="6E058C8B">
      <w:pPr>
        <w:autoSpaceDE w:val="0"/>
        <w:autoSpaceDN w:val="0"/>
        <w:adjustRightInd w:val="0"/>
        <w:spacing w:line="360" w:lineRule="auto"/>
        <w:ind w:firstLine="480"/>
        <w:jc w:val="left"/>
        <w:rPr>
          <w:rFonts w:ascii="宋体" w:hAnsi="宋体"/>
          <w:color w:val="auto"/>
          <w:szCs w:val="21"/>
          <w:highlight w:val="none"/>
          <w:lang w:val="zh-CN"/>
        </w:rPr>
      </w:pPr>
      <w:r>
        <w:rPr>
          <w:rFonts w:ascii="宋体" w:hAnsi="宋体"/>
          <w:color w:val="auto"/>
          <w:szCs w:val="21"/>
          <w:highlight w:val="none"/>
          <w:lang w:val="zh-CN"/>
        </w:rPr>
        <w:t>16.1</w:t>
      </w:r>
      <w:r>
        <w:rPr>
          <w:rFonts w:hint="eastAsia" w:ascii="宋体" w:hAnsi="宋体"/>
          <w:color w:val="auto"/>
          <w:szCs w:val="21"/>
          <w:highlight w:val="none"/>
          <w:lang w:val="zh-CN"/>
        </w:rPr>
        <w:t>除本《合同》条款</w:t>
      </w:r>
      <w:r>
        <w:rPr>
          <w:rFonts w:hint="eastAsia" w:ascii="宋体" w:hAnsi="宋体"/>
          <w:b/>
          <w:color w:val="auto"/>
          <w:szCs w:val="21"/>
          <w:highlight w:val="none"/>
          <w:lang w:val="zh-CN"/>
        </w:rPr>
        <w:t>第</w:t>
      </w:r>
      <w:r>
        <w:rPr>
          <w:rFonts w:ascii="宋体" w:hAnsi="宋体"/>
          <w:b/>
          <w:color w:val="auto"/>
          <w:szCs w:val="21"/>
          <w:highlight w:val="none"/>
          <w:lang w:val="zh-CN"/>
        </w:rPr>
        <w:t>18</w:t>
      </w:r>
      <w:r>
        <w:rPr>
          <w:rFonts w:hint="eastAsia" w:ascii="宋体" w:hAnsi="宋体"/>
          <w:b/>
          <w:color w:val="auto"/>
          <w:szCs w:val="21"/>
          <w:highlight w:val="none"/>
          <w:lang w:val="zh-CN"/>
        </w:rPr>
        <w:t>条</w:t>
      </w:r>
      <w:r>
        <w:rPr>
          <w:rFonts w:hint="eastAsia" w:ascii="宋体" w:hAnsi="宋体"/>
          <w:color w:val="auto"/>
          <w:szCs w:val="21"/>
          <w:highlight w:val="none"/>
          <w:lang w:val="zh-CN"/>
        </w:rPr>
        <w:t>规定的情形外，如果供方没有按照《合同》规定的时间交货和提供服务，供方应向需方支付误期赔偿费。误期赔偿费每周按迟交货物的交货价或延期服务的服务费用的百分之一（</w:t>
      </w:r>
      <w:r>
        <w:rPr>
          <w:rFonts w:ascii="宋体" w:hAnsi="宋体"/>
          <w:color w:val="auto"/>
          <w:szCs w:val="21"/>
          <w:highlight w:val="none"/>
          <w:lang w:val="zh-CN"/>
        </w:rPr>
        <w:t>1%</w:t>
      </w:r>
      <w:r>
        <w:rPr>
          <w:rFonts w:hint="eastAsia" w:ascii="宋体" w:hAnsi="宋体"/>
          <w:color w:val="auto"/>
          <w:szCs w:val="21"/>
          <w:highlight w:val="none"/>
          <w:lang w:val="zh-CN"/>
        </w:rPr>
        <w:t>）计收，直至交货或提供服务为止。一周按七天计算，不足七天按一周计算。但误期赔偿费的最高限额不超过《合同》价的百分之五（</w:t>
      </w:r>
      <w:r>
        <w:rPr>
          <w:rFonts w:ascii="宋体" w:hAnsi="宋体"/>
          <w:color w:val="auto"/>
          <w:szCs w:val="21"/>
          <w:highlight w:val="none"/>
          <w:lang w:val="zh-CN"/>
        </w:rPr>
        <w:t>5%</w:t>
      </w:r>
      <w:r>
        <w:rPr>
          <w:rFonts w:hint="eastAsia" w:ascii="宋体" w:hAnsi="宋体"/>
          <w:color w:val="auto"/>
          <w:szCs w:val="21"/>
          <w:highlight w:val="none"/>
          <w:lang w:val="zh-CN"/>
        </w:rPr>
        <w:t>）。</w:t>
      </w:r>
    </w:p>
    <w:p w14:paraId="0D2C8E3C">
      <w:pPr>
        <w:autoSpaceDE w:val="0"/>
        <w:autoSpaceDN w:val="0"/>
        <w:adjustRightInd w:val="0"/>
        <w:spacing w:line="360" w:lineRule="auto"/>
        <w:ind w:firstLine="480"/>
        <w:jc w:val="left"/>
        <w:rPr>
          <w:rFonts w:ascii="宋体" w:hAnsi="宋体"/>
          <w:color w:val="auto"/>
          <w:szCs w:val="21"/>
          <w:highlight w:val="none"/>
          <w:lang w:val="zh-CN"/>
        </w:rPr>
      </w:pPr>
      <w:r>
        <w:rPr>
          <w:rFonts w:ascii="宋体" w:hAnsi="宋体"/>
          <w:color w:val="auto"/>
          <w:szCs w:val="21"/>
          <w:highlight w:val="none"/>
          <w:lang w:val="zh-CN"/>
        </w:rPr>
        <w:t>16.2</w:t>
      </w:r>
      <w:r>
        <w:rPr>
          <w:rFonts w:hint="eastAsia" w:ascii="宋体" w:hAnsi="宋体"/>
          <w:color w:val="auto"/>
          <w:szCs w:val="21"/>
          <w:highlight w:val="none"/>
          <w:lang w:val="zh-CN"/>
        </w:rPr>
        <w:t>误期赔偿费可从应付货款和</w:t>
      </w:r>
      <w:r>
        <w:rPr>
          <w:rFonts w:ascii="宋体" w:hAnsi="宋体"/>
          <w:color w:val="auto"/>
          <w:szCs w:val="21"/>
          <w:highlight w:val="none"/>
          <w:lang w:val="zh-CN"/>
        </w:rPr>
        <w:t>/</w:t>
      </w:r>
      <w:r>
        <w:rPr>
          <w:rFonts w:hint="eastAsia" w:ascii="宋体" w:hAnsi="宋体"/>
          <w:color w:val="auto"/>
          <w:szCs w:val="21"/>
          <w:highlight w:val="none"/>
          <w:lang w:val="zh-CN"/>
        </w:rPr>
        <w:t>或履约保证金中扣除。</w:t>
      </w:r>
    </w:p>
    <w:p w14:paraId="53017181">
      <w:pPr>
        <w:autoSpaceDE w:val="0"/>
        <w:autoSpaceDN w:val="0"/>
        <w:adjustRightInd w:val="0"/>
        <w:spacing w:line="360" w:lineRule="auto"/>
        <w:ind w:firstLine="480"/>
        <w:jc w:val="left"/>
        <w:rPr>
          <w:rFonts w:ascii="宋体" w:hAnsi="宋体"/>
          <w:color w:val="auto"/>
          <w:szCs w:val="21"/>
          <w:highlight w:val="none"/>
          <w:lang w:val="zh-CN"/>
        </w:rPr>
      </w:pPr>
      <w:r>
        <w:rPr>
          <w:rFonts w:ascii="宋体" w:hAnsi="宋体"/>
          <w:color w:val="auto"/>
          <w:szCs w:val="21"/>
          <w:highlight w:val="none"/>
          <w:lang w:val="zh-CN"/>
        </w:rPr>
        <w:t>16.3</w:t>
      </w:r>
      <w:r>
        <w:rPr>
          <w:rFonts w:hint="eastAsia" w:ascii="宋体" w:hAnsi="宋体"/>
          <w:color w:val="auto"/>
          <w:szCs w:val="21"/>
          <w:highlight w:val="none"/>
          <w:lang w:val="zh-CN"/>
        </w:rPr>
        <w:t>收取误期赔偿费不影响需方采取《合同》规定的其他补救措施的权利。</w:t>
      </w:r>
    </w:p>
    <w:p w14:paraId="0A138A14">
      <w:pPr>
        <w:autoSpaceDE w:val="0"/>
        <w:autoSpaceDN w:val="0"/>
        <w:adjustRightInd w:val="0"/>
        <w:spacing w:line="360" w:lineRule="auto"/>
        <w:ind w:firstLine="480"/>
        <w:jc w:val="left"/>
        <w:rPr>
          <w:rFonts w:ascii="宋体" w:hAnsi="宋体"/>
          <w:color w:val="auto"/>
          <w:szCs w:val="21"/>
          <w:highlight w:val="none"/>
          <w:lang w:val="zh-CN"/>
        </w:rPr>
      </w:pPr>
      <w:r>
        <w:rPr>
          <w:rFonts w:ascii="宋体" w:hAnsi="宋体"/>
          <w:color w:val="auto"/>
          <w:szCs w:val="21"/>
          <w:highlight w:val="none"/>
          <w:lang w:val="zh-CN"/>
        </w:rPr>
        <w:t>16.4</w:t>
      </w:r>
      <w:r>
        <w:rPr>
          <w:rFonts w:hint="eastAsia" w:ascii="宋体" w:hAnsi="宋体"/>
          <w:color w:val="auto"/>
          <w:szCs w:val="21"/>
          <w:highlight w:val="none"/>
          <w:lang w:val="zh-CN"/>
        </w:rPr>
        <w:t>在收取误期赔偿费期间，需方有权决定是否终止《合同》。</w:t>
      </w:r>
    </w:p>
    <w:p w14:paraId="3B146E99">
      <w:pPr>
        <w:autoSpaceDE w:val="0"/>
        <w:autoSpaceDN w:val="0"/>
        <w:adjustRightInd w:val="0"/>
        <w:spacing w:line="360" w:lineRule="auto"/>
        <w:ind w:firstLine="480"/>
        <w:jc w:val="left"/>
        <w:rPr>
          <w:rFonts w:ascii="宋体" w:hAnsi="宋体"/>
          <w:color w:val="auto"/>
          <w:szCs w:val="21"/>
          <w:highlight w:val="none"/>
          <w:lang w:val="zh-CN"/>
        </w:rPr>
      </w:pPr>
      <w:r>
        <w:rPr>
          <w:rFonts w:ascii="宋体" w:hAnsi="宋体"/>
          <w:color w:val="auto"/>
          <w:szCs w:val="21"/>
          <w:highlight w:val="none"/>
          <w:lang w:val="zh-CN"/>
        </w:rPr>
        <w:t>16.5</w:t>
      </w:r>
      <w:r>
        <w:rPr>
          <w:rFonts w:hint="eastAsia" w:ascii="宋体" w:hAnsi="宋体"/>
          <w:color w:val="auto"/>
          <w:szCs w:val="21"/>
          <w:highlight w:val="none"/>
          <w:lang w:val="zh-CN"/>
        </w:rPr>
        <w:t>如果需方违约，应承担相应的违约责任。</w:t>
      </w:r>
    </w:p>
    <w:p w14:paraId="0AD06B22">
      <w:pPr>
        <w:numPr>
          <w:ilvl w:val="0"/>
          <w:numId w:val="7"/>
        </w:numPr>
        <w:autoSpaceDE w:val="0"/>
        <w:autoSpaceDN w:val="0"/>
        <w:adjustRightInd w:val="0"/>
        <w:spacing w:line="360" w:lineRule="auto"/>
        <w:ind w:firstLine="482"/>
        <w:rPr>
          <w:rFonts w:ascii="宋体" w:hAnsi="宋体"/>
          <w:b/>
          <w:color w:val="auto"/>
          <w:szCs w:val="21"/>
          <w:highlight w:val="none"/>
          <w:lang w:val="zh-CN"/>
        </w:rPr>
      </w:pPr>
      <w:r>
        <w:rPr>
          <w:rFonts w:hint="eastAsia" w:ascii="宋体" w:hAnsi="宋体"/>
          <w:b/>
          <w:color w:val="auto"/>
          <w:szCs w:val="21"/>
          <w:highlight w:val="none"/>
          <w:lang w:val="zh-CN"/>
        </w:rPr>
        <w:t>履约保证金：</w:t>
      </w:r>
      <w:r>
        <w:rPr>
          <w:rFonts w:hint="eastAsia" w:ascii="宋体" w:hAnsi="宋体"/>
          <w:b/>
          <w:color w:val="auto"/>
          <w:szCs w:val="21"/>
          <w:highlight w:val="none"/>
          <w:lang w:val="en-US" w:eastAsia="zh-CN"/>
        </w:rPr>
        <w:t>中标金额的</w:t>
      </w:r>
      <w:r>
        <w:rPr>
          <w:rFonts w:hint="eastAsia" w:ascii="宋体" w:hAnsi="宋体" w:eastAsia="宋体" w:cs="宋体"/>
          <w:b/>
          <w:bCs/>
          <w:i w:val="0"/>
          <w:iCs w:val="0"/>
          <w:caps w:val="0"/>
          <w:color w:val="auto"/>
          <w:spacing w:val="0"/>
          <w:sz w:val="24"/>
          <w:szCs w:val="24"/>
          <w:highlight w:val="none"/>
          <w:lang w:val="en-US" w:eastAsia="zh-CN"/>
        </w:rPr>
        <w:t>5%</w:t>
      </w:r>
      <w:r>
        <w:rPr>
          <w:rFonts w:hint="eastAsia" w:ascii="宋体" w:hAnsi="宋体" w:eastAsia="宋体" w:cs="宋体"/>
          <w:color w:val="auto"/>
          <w:szCs w:val="21"/>
          <w:highlight w:val="none"/>
          <w:shd w:val="clear" w:color="auto" w:fill="FFFFFF"/>
        </w:rPr>
        <w:t>。</w:t>
      </w:r>
    </w:p>
    <w:p w14:paraId="2A34F963">
      <w:pPr>
        <w:autoSpaceDE w:val="0"/>
        <w:autoSpaceDN w:val="0"/>
        <w:adjustRightInd w:val="0"/>
        <w:spacing w:line="360" w:lineRule="auto"/>
        <w:ind w:firstLine="422" w:firstLineChars="200"/>
        <w:rPr>
          <w:rFonts w:ascii="宋体" w:hAnsi="宋体"/>
          <w:color w:val="auto"/>
          <w:szCs w:val="21"/>
          <w:highlight w:val="none"/>
          <w:shd w:val="clear" w:color="auto" w:fill="FFFFFF"/>
        </w:rPr>
      </w:pPr>
      <w:r>
        <w:rPr>
          <w:rFonts w:hint="eastAsia" w:ascii="宋体" w:hAnsi="宋体"/>
          <w:b/>
          <w:color w:val="auto"/>
          <w:szCs w:val="21"/>
          <w:highlight w:val="none"/>
        </w:rPr>
        <w:t>18.</w:t>
      </w:r>
      <w:r>
        <w:rPr>
          <w:rFonts w:hint="eastAsia" w:ascii="宋体" w:hAnsi="宋体"/>
          <w:b/>
          <w:color w:val="auto"/>
          <w:szCs w:val="21"/>
          <w:highlight w:val="none"/>
          <w:lang w:val="zh-CN"/>
        </w:rPr>
        <w:t>质量保证金：</w:t>
      </w:r>
      <w:r>
        <w:rPr>
          <w:rFonts w:hint="eastAsia" w:ascii="宋体" w:hAnsi="宋体"/>
          <w:b/>
          <w:color w:val="auto"/>
          <w:szCs w:val="21"/>
          <w:highlight w:val="none"/>
          <w:lang w:val="en-US" w:eastAsia="zh-CN"/>
        </w:rPr>
        <w:t>不</w:t>
      </w:r>
      <w:r>
        <w:rPr>
          <w:rFonts w:hint="eastAsia" w:ascii="宋体" w:hAnsi="宋体" w:eastAsia="宋体" w:cs="宋体"/>
          <w:color w:val="auto"/>
          <w:szCs w:val="21"/>
          <w:highlight w:val="none"/>
          <w:shd w:val="clear" w:color="auto" w:fill="FFFFFF"/>
        </w:rPr>
        <w:t>收取。</w:t>
      </w:r>
    </w:p>
    <w:p w14:paraId="0336FBD5">
      <w:pPr>
        <w:autoSpaceDE w:val="0"/>
        <w:autoSpaceDN w:val="0"/>
        <w:adjustRightInd w:val="0"/>
        <w:spacing w:line="360" w:lineRule="auto"/>
        <w:ind w:firstLine="482"/>
        <w:rPr>
          <w:rFonts w:ascii="宋体" w:hAnsi="宋体"/>
          <w:b/>
          <w:color w:val="auto"/>
          <w:szCs w:val="21"/>
          <w:highlight w:val="none"/>
          <w:lang w:val="zh-CN"/>
        </w:rPr>
      </w:pPr>
      <w:r>
        <w:rPr>
          <w:rFonts w:ascii="宋体" w:hAnsi="宋体"/>
          <w:b/>
          <w:color w:val="auto"/>
          <w:szCs w:val="21"/>
          <w:highlight w:val="none"/>
          <w:lang w:val="zh-CN"/>
        </w:rPr>
        <w:t>1</w:t>
      </w:r>
      <w:r>
        <w:rPr>
          <w:rFonts w:hint="eastAsia" w:ascii="宋体" w:hAnsi="宋体"/>
          <w:b/>
          <w:color w:val="auto"/>
          <w:szCs w:val="21"/>
          <w:highlight w:val="none"/>
        </w:rPr>
        <w:t>9</w:t>
      </w:r>
      <w:r>
        <w:rPr>
          <w:rFonts w:hint="eastAsia" w:ascii="宋体" w:hAnsi="宋体"/>
          <w:b/>
          <w:color w:val="auto"/>
          <w:szCs w:val="21"/>
          <w:highlight w:val="none"/>
          <w:lang w:val="zh-CN"/>
        </w:rPr>
        <w:t>．不可抗力</w:t>
      </w:r>
    </w:p>
    <w:p w14:paraId="260FDAA2">
      <w:pPr>
        <w:autoSpaceDE w:val="0"/>
        <w:autoSpaceDN w:val="0"/>
        <w:adjustRightInd w:val="0"/>
        <w:spacing w:line="360" w:lineRule="auto"/>
        <w:ind w:firstLine="480"/>
        <w:rPr>
          <w:rFonts w:ascii="宋体" w:hAnsi="宋体"/>
          <w:color w:val="auto"/>
          <w:szCs w:val="21"/>
          <w:highlight w:val="none"/>
          <w:lang w:val="zh-CN"/>
        </w:rPr>
      </w:pPr>
      <w:r>
        <w:rPr>
          <w:rFonts w:ascii="宋体" w:hAnsi="宋体"/>
          <w:color w:val="auto"/>
          <w:szCs w:val="21"/>
          <w:highlight w:val="none"/>
          <w:lang w:val="zh-CN"/>
        </w:rPr>
        <w:t>1</w:t>
      </w:r>
      <w:r>
        <w:rPr>
          <w:rFonts w:hint="eastAsia" w:ascii="宋体" w:hAnsi="宋体"/>
          <w:color w:val="auto"/>
          <w:szCs w:val="21"/>
          <w:highlight w:val="none"/>
        </w:rPr>
        <w:t>9</w:t>
      </w:r>
      <w:r>
        <w:rPr>
          <w:rFonts w:ascii="宋体" w:hAnsi="宋体"/>
          <w:color w:val="auto"/>
          <w:szCs w:val="21"/>
          <w:highlight w:val="none"/>
          <w:lang w:val="zh-CN"/>
        </w:rPr>
        <w:t xml:space="preserve">.1 </w:t>
      </w:r>
      <w:r>
        <w:rPr>
          <w:rFonts w:hint="eastAsia" w:ascii="宋体" w:hAnsi="宋体"/>
          <w:color w:val="auto"/>
          <w:szCs w:val="21"/>
          <w:highlight w:val="none"/>
          <w:lang w:val="zh-CN"/>
        </w:rPr>
        <w:t>如果供方和需方因不可抗力导致《合同》实施延误或不能履行《合同》义务，不应该承担误期赔偿或不能履行《合同》义务的责任。但因供方或需方先延误或不能履行《合同》而后遇不可抗力的情形除外。</w:t>
      </w:r>
    </w:p>
    <w:p w14:paraId="0225555E">
      <w:pPr>
        <w:autoSpaceDE w:val="0"/>
        <w:autoSpaceDN w:val="0"/>
        <w:adjustRightInd w:val="0"/>
        <w:spacing w:line="360" w:lineRule="auto"/>
        <w:ind w:firstLine="480"/>
        <w:rPr>
          <w:rFonts w:ascii="宋体" w:hAnsi="宋体"/>
          <w:color w:val="auto"/>
          <w:szCs w:val="21"/>
          <w:highlight w:val="none"/>
          <w:lang w:val="zh-CN"/>
        </w:rPr>
      </w:pPr>
      <w:r>
        <w:rPr>
          <w:rFonts w:ascii="宋体" w:hAnsi="宋体"/>
          <w:color w:val="auto"/>
          <w:szCs w:val="21"/>
          <w:highlight w:val="none"/>
          <w:lang w:val="zh-CN"/>
        </w:rPr>
        <w:t>1</w:t>
      </w:r>
      <w:r>
        <w:rPr>
          <w:rFonts w:hint="eastAsia" w:ascii="宋体" w:hAnsi="宋体"/>
          <w:color w:val="auto"/>
          <w:szCs w:val="21"/>
          <w:highlight w:val="none"/>
        </w:rPr>
        <w:t>9</w:t>
      </w:r>
      <w:r>
        <w:rPr>
          <w:rFonts w:ascii="宋体" w:hAnsi="宋体"/>
          <w:color w:val="auto"/>
          <w:szCs w:val="21"/>
          <w:highlight w:val="none"/>
          <w:lang w:val="zh-CN"/>
        </w:rPr>
        <w:t xml:space="preserve">.2 </w:t>
      </w:r>
      <w:r>
        <w:rPr>
          <w:rFonts w:hint="eastAsia" w:ascii="宋体" w:hAnsi="宋体"/>
          <w:color w:val="auto"/>
          <w:szCs w:val="21"/>
          <w:highlight w:val="none"/>
          <w:lang w:val="zh-CN"/>
        </w:rPr>
        <w:t>本条所述的</w:t>
      </w:r>
      <w:r>
        <w:rPr>
          <w:rFonts w:ascii="宋体" w:hAnsi="宋体"/>
          <w:color w:val="auto"/>
          <w:szCs w:val="21"/>
          <w:highlight w:val="none"/>
        </w:rPr>
        <w:t>“</w:t>
      </w:r>
      <w:r>
        <w:rPr>
          <w:rFonts w:hint="eastAsia" w:ascii="宋体" w:hAnsi="宋体"/>
          <w:color w:val="auto"/>
          <w:szCs w:val="21"/>
          <w:highlight w:val="none"/>
          <w:lang w:val="zh-CN"/>
        </w:rPr>
        <w:t>不可抗力</w:t>
      </w:r>
      <w:r>
        <w:rPr>
          <w:rFonts w:ascii="宋体" w:hAnsi="宋体"/>
          <w:color w:val="auto"/>
          <w:szCs w:val="21"/>
          <w:highlight w:val="none"/>
        </w:rPr>
        <w:t>”</w:t>
      </w:r>
      <w:r>
        <w:rPr>
          <w:rFonts w:hint="eastAsia" w:ascii="宋体" w:hAnsi="宋体"/>
          <w:color w:val="auto"/>
          <w:szCs w:val="21"/>
          <w:highlight w:val="none"/>
          <w:lang w:val="zh-CN"/>
        </w:rPr>
        <w:t>系指那些双方无法控制，不可预见的事件，但不包括双方的违约或疏忽。这些事件包括但不限于：战争、严重火灾、洪水、台风、地震以及其它双方商定的事件。</w:t>
      </w:r>
    </w:p>
    <w:p w14:paraId="7902287D">
      <w:pPr>
        <w:autoSpaceDE w:val="0"/>
        <w:autoSpaceDN w:val="0"/>
        <w:adjustRightInd w:val="0"/>
        <w:spacing w:line="360" w:lineRule="auto"/>
        <w:ind w:firstLine="480"/>
        <w:rPr>
          <w:rFonts w:ascii="宋体" w:hAnsi="宋体"/>
          <w:color w:val="auto"/>
          <w:szCs w:val="21"/>
          <w:highlight w:val="none"/>
          <w:lang w:val="zh-CN"/>
        </w:rPr>
      </w:pPr>
      <w:r>
        <w:rPr>
          <w:rFonts w:ascii="宋体" w:hAnsi="宋体"/>
          <w:color w:val="auto"/>
          <w:szCs w:val="21"/>
          <w:highlight w:val="none"/>
          <w:lang w:val="zh-CN"/>
        </w:rPr>
        <w:t>1</w:t>
      </w:r>
      <w:r>
        <w:rPr>
          <w:rFonts w:hint="eastAsia" w:ascii="宋体" w:hAnsi="宋体"/>
          <w:color w:val="auto"/>
          <w:szCs w:val="21"/>
          <w:highlight w:val="none"/>
        </w:rPr>
        <w:t>9</w:t>
      </w:r>
      <w:r>
        <w:rPr>
          <w:rFonts w:ascii="宋体" w:hAnsi="宋体"/>
          <w:color w:val="auto"/>
          <w:szCs w:val="21"/>
          <w:highlight w:val="none"/>
          <w:lang w:val="zh-CN"/>
        </w:rPr>
        <w:t xml:space="preserve">.3 </w:t>
      </w:r>
      <w:r>
        <w:rPr>
          <w:rFonts w:hint="eastAsia" w:ascii="宋体" w:hAnsi="宋体"/>
          <w:color w:val="auto"/>
          <w:szCs w:val="21"/>
          <w:highlight w:val="none"/>
          <w:lang w:val="zh-CN"/>
        </w:rPr>
        <w:t>在不可抗力事件发生后，当事方应尽快以书面形式将不可抗力的情况和原因通知对方。双方应尽实际可能继续履行《合同》义务，并积极寻求采取合理的方案履行不受不可抗力影响的其他事项。双方应通过友好协商在合理的时间内达成进一步履行《合同》的协议。</w:t>
      </w:r>
    </w:p>
    <w:p w14:paraId="6A05FC35">
      <w:pPr>
        <w:autoSpaceDE w:val="0"/>
        <w:autoSpaceDN w:val="0"/>
        <w:adjustRightInd w:val="0"/>
        <w:spacing w:line="360" w:lineRule="auto"/>
        <w:ind w:firstLine="482"/>
        <w:rPr>
          <w:rFonts w:ascii="宋体" w:hAnsi="宋体"/>
          <w:b/>
          <w:color w:val="auto"/>
          <w:szCs w:val="21"/>
          <w:highlight w:val="none"/>
          <w:lang w:val="zh-CN"/>
        </w:rPr>
      </w:pPr>
      <w:r>
        <w:rPr>
          <w:rFonts w:hint="eastAsia" w:ascii="宋体" w:hAnsi="宋体"/>
          <w:b/>
          <w:color w:val="auto"/>
          <w:szCs w:val="21"/>
          <w:highlight w:val="none"/>
        </w:rPr>
        <w:t>20</w:t>
      </w:r>
      <w:r>
        <w:rPr>
          <w:rFonts w:hint="eastAsia" w:ascii="宋体" w:hAnsi="宋体"/>
          <w:b/>
          <w:color w:val="auto"/>
          <w:szCs w:val="21"/>
          <w:highlight w:val="none"/>
          <w:lang w:val="zh-CN"/>
        </w:rPr>
        <w:t>．税费</w:t>
      </w:r>
    </w:p>
    <w:p w14:paraId="5C595D20">
      <w:pPr>
        <w:autoSpaceDE w:val="0"/>
        <w:autoSpaceDN w:val="0"/>
        <w:adjustRightInd w:val="0"/>
        <w:spacing w:line="360" w:lineRule="auto"/>
        <w:ind w:firstLine="465"/>
        <w:rPr>
          <w:rFonts w:ascii="宋体" w:hAnsi="宋体"/>
          <w:color w:val="auto"/>
          <w:szCs w:val="21"/>
          <w:highlight w:val="none"/>
          <w:lang w:val="zh-CN"/>
        </w:rPr>
      </w:pPr>
      <w:r>
        <w:rPr>
          <w:rFonts w:hint="eastAsia" w:ascii="宋体" w:hAnsi="宋体"/>
          <w:color w:val="auto"/>
          <w:szCs w:val="21"/>
          <w:highlight w:val="none"/>
        </w:rPr>
        <w:t>20</w:t>
      </w:r>
      <w:r>
        <w:rPr>
          <w:rFonts w:ascii="宋体" w:hAnsi="宋体"/>
          <w:color w:val="auto"/>
          <w:szCs w:val="21"/>
          <w:highlight w:val="none"/>
          <w:lang w:val="zh-CN"/>
        </w:rPr>
        <w:t xml:space="preserve">.1 </w:t>
      </w:r>
      <w:r>
        <w:rPr>
          <w:rFonts w:hint="eastAsia" w:ascii="宋体" w:hAnsi="宋体"/>
          <w:color w:val="auto"/>
          <w:szCs w:val="21"/>
          <w:highlight w:val="none"/>
          <w:lang w:val="zh-CN"/>
        </w:rPr>
        <w:t>根据现行法律规定对与执行本《合同》有关的一切税费均由供方负担。</w:t>
      </w:r>
    </w:p>
    <w:p w14:paraId="58AD812F">
      <w:pPr>
        <w:autoSpaceDE w:val="0"/>
        <w:autoSpaceDN w:val="0"/>
        <w:adjustRightInd w:val="0"/>
        <w:spacing w:line="360" w:lineRule="auto"/>
        <w:ind w:firstLine="482"/>
        <w:rPr>
          <w:rFonts w:ascii="宋体" w:hAnsi="宋体"/>
          <w:b/>
          <w:color w:val="auto"/>
          <w:szCs w:val="21"/>
          <w:highlight w:val="none"/>
          <w:lang w:val="zh-CN"/>
        </w:rPr>
      </w:pPr>
      <w:r>
        <w:rPr>
          <w:rFonts w:ascii="宋体" w:hAnsi="宋体"/>
          <w:b/>
          <w:color w:val="auto"/>
          <w:szCs w:val="21"/>
          <w:highlight w:val="none"/>
          <w:lang w:val="zh-CN"/>
        </w:rPr>
        <w:t>2</w:t>
      </w:r>
      <w:r>
        <w:rPr>
          <w:rFonts w:hint="eastAsia" w:ascii="宋体" w:hAnsi="宋体"/>
          <w:b/>
          <w:color w:val="auto"/>
          <w:szCs w:val="21"/>
          <w:highlight w:val="none"/>
        </w:rPr>
        <w:t>1</w:t>
      </w:r>
      <w:r>
        <w:rPr>
          <w:rFonts w:hint="eastAsia" w:ascii="宋体" w:hAnsi="宋体"/>
          <w:b/>
          <w:color w:val="auto"/>
          <w:szCs w:val="21"/>
          <w:highlight w:val="none"/>
          <w:lang w:val="zh-CN"/>
        </w:rPr>
        <w:t>．争议解决方式</w:t>
      </w:r>
    </w:p>
    <w:p w14:paraId="6A58639A">
      <w:pPr>
        <w:autoSpaceDE w:val="0"/>
        <w:autoSpaceDN w:val="0"/>
        <w:adjustRightInd w:val="0"/>
        <w:spacing w:line="360" w:lineRule="auto"/>
        <w:ind w:firstLine="482"/>
        <w:rPr>
          <w:rFonts w:ascii="宋体" w:hAnsi="宋体"/>
          <w:b/>
          <w:color w:val="auto"/>
          <w:szCs w:val="21"/>
          <w:highlight w:val="none"/>
          <w:lang w:val="zh-CN"/>
        </w:rPr>
      </w:pPr>
      <w:r>
        <w:rPr>
          <w:rFonts w:ascii="宋体" w:hAnsi="宋体"/>
          <w:color w:val="auto"/>
          <w:szCs w:val="21"/>
          <w:highlight w:val="none"/>
          <w:lang w:val="zh-CN"/>
        </w:rPr>
        <w:t>2</w:t>
      </w:r>
      <w:r>
        <w:rPr>
          <w:rFonts w:hint="eastAsia" w:ascii="宋体" w:hAnsi="宋体"/>
          <w:color w:val="auto"/>
          <w:szCs w:val="21"/>
          <w:highlight w:val="none"/>
        </w:rPr>
        <w:t>1</w:t>
      </w:r>
      <w:r>
        <w:rPr>
          <w:rFonts w:ascii="宋体" w:hAnsi="宋体"/>
          <w:color w:val="auto"/>
          <w:szCs w:val="21"/>
          <w:highlight w:val="none"/>
          <w:lang w:val="zh-CN"/>
        </w:rPr>
        <w:t>.1</w:t>
      </w:r>
      <w:r>
        <w:rPr>
          <w:rFonts w:hint="eastAsia" w:ascii="宋体" w:hAnsi="宋体"/>
          <w:color w:val="auto"/>
          <w:szCs w:val="21"/>
          <w:highlight w:val="none"/>
          <w:lang w:val="zh-CN"/>
        </w:rPr>
        <w:t>供需双方应通过友好协商，解决在执行本《合同》过程中所发生的或与本《合同》有关的争议。如果不能协商解决，可以向国家有关部门申请调解。如果调解不成，双方可以在</w:t>
      </w:r>
      <w:r>
        <w:rPr>
          <w:rFonts w:hint="eastAsia" w:ascii="宋体" w:hAnsi="宋体"/>
          <w:b/>
          <w:color w:val="auto"/>
          <w:szCs w:val="21"/>
          <w:highlight w:val="none"/>
          <w:lang w:val="zh-CN"/>
        </w:rPr>
        <w:t>政府采购《合同》书</w:t>
      </w:r>
      <w:r>
        <w:rPr>
          <w:rFonts w:hint="eastAsia" w:ascii="宋体" w:hAnsi="宋体"/>
          <w:color w:val="auto"/>
          <w:szCs w:val="21"/>
          <w:highlight w:val="none"/>
          <w:lang w:val="zh-CN"/>
        </w:rPr>
        <w:t>内约定以下一种方式解决争议：</w:t>
      </w:r>
    </w:p>
    <w:p w14:paraId="74EE86DA">
      <w:pPr>
        <w:autoSpaceDE w:val="0"/>
        <w:autoSpaceDN w:val="0"/>
        <w:adjustRightInd w:val="0"/>
        <w:spacing w:line="360" w:lineRule="auto"/>
        <w:ind w:firstLine="480"/>
        <w:rPr>
          <w:rFonts w:ascii="宋体" w:hAnsi="宋体"/>
          <w:color w:val="auto"/>
          <w:szCs w:val="21"/>
          <w:highlight w:val="none"/>
          <w:lang w:val="zh-CN"/>
        </w:rPr>
      </w:pPr>
      <w:r>
        <w:rPr>
          <w:rFonts w:hint="eastAsia" w:ascii="宋体" w:hAnsi="宋体"/>
          <w:color w:val="auto"/>
          <w:szCs w:val="21"/>
          <w:highlight w:val="none"/>
          <w:lang w:val="zh-CN"/>
        </w:rPr>
        <w:t>第一种方式：双方达成仲裁协议，向约定的仲裁机构申请仲裁；</w:t>
      </w:r>
    </w:p>
    <w:p w14:paraId="7A242667">
      <w:pPr>
        <w:autoSpaceDE w:val="0"/>
        <w:autoSpaceDN w:val="0"/>
        <w:adjustRightInd w:val="0"/>
        <w:spacing w:line="360" w:lineRule="auto"/>
        <w:ind w:firstLine="480"/>
        <w:rPr>
          <w:rFonts w:ascii="宋体" w:hAnsi="宋体"/>
          <w:color w:val="auto"/>
          <w:szCs w:val="21"/>
          <w:highlight w:val="none"/>
          <w:lang w:val="zh-CN"/>
        </w:rPr>
      </w:pPr>
      <w:r>
        <w:rPr>
          <w:rFonts w:hint="eastAsia" w:ascii="宋体" w:hAnsi="宋体"/>
          <w:color w:val="auto"/>
          <w:szCs w:val="21"/>
          <w:highlight w:val="none"/>
          <w:lang w:val="zh-CN"/>
        </w:rPr>
        <w:t>第二种方式：向有管辖权的人民法院提起诉讼。</w:t>
      </w:r>
    </w:p>
    <w:p w14:paraId="4D7D4611">
      <w:pPr>
        <w:autoSpaceDE w:val="0"/>
        <w:autoSpaceDN w:val="0"/>
        <w:adjustRightInd w:val="0"/>
        <w:spacing w:line="360" w:lineRule="auto"/>
        <w:ind w:firstLine="480"/>
        <w:rPr>
          <w:rFonts w:ascii="宋体" w:hAnsi="宋体"/>
          <w:color w:val="auto"/>
          <w:szCs w:val="21"/>
          <w:highlight w:val="none"/>
          <w:lang w:val="zh-CN"/>
        </w:rPr>
      </w:pPr>
      <w:r>
        <w:rPr>
          <w:rFonts w:ascii="宋体" w:hAnsi="宋体"/>
          <w:color w:val="auto"/>
          <w:szCs w:val="21"/>
          <w:highlight w:val="none"/>
          <w:lang w:val="zh-CN"/>
        </w:rPr>
        <w:t>2</w:t>
      </w:r>
      <w:r>
        <w:rPr>
          <w:rFonts w:hint="eastAsia" w:ascii="宋体" w:hAnsi="宋体"/>
          <w:color w:val="auto"/>
          <w:szCs w:val="21"/>
          <w:highlight w:val="none"/>
        </w:rPr>
        <w:t>1</w:t>
      </w:r>
      <w:r>
        <w:rPr>
          <w:rFonts w:ascii="宋体" w:hAnsi="宋体"/>
          <w:color w:val="auto"/>
          <w:szCs w:val="21"/>
          <w:highlight w:val="none"/>
          <w:lang w:val="zh-CN"/>
        </w:rPr>
        <w:t xml:space="preserve">.2 </w:t>
      </w:r>
      <w:r>
        <w:rPr>
          <w:rFonts w:hint="eastAsia" w:ascii="宋体" w:hAnsi="宋体"/>
          <w:color w:val="auto"/>
          <w:szCs w:val="21"/>
          <w:highlight w:val="none"/>
          <w:lang w:val="zh-CN"/>
        </w:rPr>
        <w:t>因《合同》部分履行引发仲裁（诉讼）的，在仲裁（诉讼）期间，除正在进行仲裁（诉讼）的部分外，本《合同》的其它部分应继续执行。</w:t>
      </w:r>
    </w:p>
    <w:p w14:paraId="7CAACA20">
      <w:pPr>
        <w:autoSpaceDE w:val="0"/>
        <w:autoSpaceDN w:val="0"/>
        <w:adjustRightInd w:val="0"/>
        <w:spacing w:line="360" w:lineRule="auto"/>
        <w:ind w:firstLine="482"/>
        <w:rPr>
          <w:rFonts w:ascii="宋体" w:hAnsi="宋体"/>
          <w:b/>
          <w:color w:val="auto"/>
          <w:szCs w:val="21"/>
          <w:highlight w:val="none"/>
          <w:lang w:val="zh-CN"/>
        </w:rPr>
      </w:pPr>
      <w:r>
        <w:rPr>
          <w:rFonts w:ascii="宋体" w:hAnsi="宋体"/>
          <w:b/>
          <w:color w:val="auto"/>
          <w:szCs w:val="21"/>
          <w:highlight w:val="none"/>
          <w:lang w:val="zh-CN"/>
        </w:rPr>
        <w:t>2</w:t>
      </w:r>
      <w:r>
        <w:rPr>
          <w:rFonts w:hint="eastAsia" w:ascii="宋体" w:hAnsi="宋体"/>
          <w:b/>
          <w:color w:val="auto"/>
          <w:szCs w:val="21"/>
          <w:highlight w:val="none"/>
        </w:rPr>
        <w:t>2</w:t>
      </w:r>
      <w:r>
        <w:rPr>
          <w:rFonts w:hint="eastAsia" w:ascii="宋体" w:hAnsi="宋体"/>
          <w:b/>
          <w:color w:val="auto"/>
          <w:szCs w:val="21"/>
          <w:highlight w:val="none"/>
          <w:lang w:val="zh-CN"/>
        </w:rPr>
        <w:t>．违约终止《合同》</w:t>
      </w:r>
    </w:p>
    <w:p w14:paraId="7A5401C1">
      <w:pPr>
        <w:autoSpaceDE w:val="0"/>
        <w:autoSpaceDN w:val="0"/>
        <w:adjustRightInd w:val="0"/>
        <w:spacing w:line="360" w:lineRule="auto"/>
        <w:ind w:firstLine="480"/>
        <w:rPr>
          <w:rFonts w:ascii="宋体" w:hAnsi="宋体"/>
          <w:color w:val="auto"/>
          <w:szCs w:val="21"/>
          <w:highlight w:val="none"/>
          <w:lang w:val="zh-CN"/>
        </w:rPr>
      </w:pPr>
      <w:r>
        <w:rPr>
          <w:rFonts w:ascii="宋体" w:hAnsi="宋体"/>
          <w:color w:val="auto"/>
          <w:szCs w:val="21"/>
          <w:highlight w:val="none"/>
          <w:lang w:val="zh-CN"/>
        </w:rPr>
        <w:t>2</w:t>
      </w:r>
      <w:r>
        <w:rPr>
          <w:rFonts w:hint="eastAsia" w:ascii="宋体" w:hAnsi="宋体"/>
          <w:color w:val="auto"/>
          <w:szCs w:val="21"/>
          <w:highlight w:val="none"/>
        </w:rPr>
        <w:t>2</w:t>
      </w:r>
      <w:r>
        <w:rPr>
          <w:rFonts w:ascii="宋体" w:hAnsi="宋体"/>
          <w:color w:val="auto"/>
          <w:szCs w:val="21"/>
          <w:highlight w:val="none"/>
          <w:lang w:val="zh-CN"/>
        </w:rPr>
        <w:t xml:space="preserve">.1 </w:t>
      </w:r>
      <w:r>
        <w:rPr>
          <w:rFonts w:hint="eastAsia" w:ascii="宋体" w:hAnsi="宋体"/>
          <w:color w:val="auto"/>
          <w:szCs w:val="21"/>
          <w:highlight w:val="none"/>
          <w:lang w:val="zh-CN"/>
        </w:rPr>
        <w:t>在需方因供方违约而按《合同》约定采取的任何补救措施不受影响的情况下，需方可在下列情况下向供方发出书面通知，提出终止部分或全部《合同》。</w:t>
      </w:r>
    </w:p>
    <w:p w14:paraId="12F830CE">
      <w:pPr>
        <w:autoSpaceDE w:val="0"/>
        <w:autoSpaceDN w:val="0"/>
        <w:adjustRightInd w:val="0"/>
        <w:spacing w:line="360" w:lineRule="auto"/>
        <w:rPr>
          <w:rFonts w:ascii="宋体" w:hAnsi="宋体"/>
          <w:color w:val="auto"/>
          <w:szCs w:val="21"/>
          <w:highlight w:val="none"/>
          <w:lang w:val="zh-CN"/>
        </w:rPr>
      </w:pPr>
      <w:r>
        <w:rPr>
          <w:rFonts w:hint="eastAsia" w:ascii="宋体" w:hAnsi="宋体"/>
          <w:color w:val="auto"/>
          <w:szCs w:val="21"/>
          <w:highlight w:val="none"/>
          <w:lang w:val="zh-CN"/>
        </w:rPr>
        <w:t>（</w:t>
      </w:r>
      <w:r>
        <w:rPr>
          <w:rFonts w:ascii="宋体" w:hAnsi="宋体"/>
          <w:color w:val="auto"/>
          <w:szCs w:val="21"/>
          <w:highlight w:val="none"/>
          <w:lang w:val="zh-CN"/>
        </w:rPr>
        <w:t>1</w:t>
      </w:r>
      <w:r>
        <w:rPr>
          <w:rFonts w:hint="eastAsia" w:ascii="宋体" w:hAnsi="宋体"/>
          <w:color w:val="auto"/>
          <w:szCs w:val="21"/>
          <w:highlight w:val="none"/>
          <w:lang w:val="zh-CN"/>
        </w:rPr>
        <w:t>）如果供方未能在《合同》规定的限期或需方同意延长的限期内提供部分或全部货物和服务。</w:t>
      </w:r>
    </w:p>
    <w:p w14:paraId="03AA1CCF">
      <w:pPr>
        <w:autoSpaceDE w:val="0"/>
        <w:autoSpaceDN w:val="0"/>
        <w:adjustRightInd w:val="0"/>
        <w:spacing w:line="360" w:lineRule="auto"/>
        <w:rPr>
          <w:rFonts w:ascii="宋体" w:hAnsi="宋体"/>
          <w:color w:val="auto"/>
          <w:szCs w:val="21"/>
          <w:highlight w:val="none"/>
          <w:lang w:val="zh-CN"/>
        </w:rPr>
      </w:pPr>
      <w:r>
        <w:rPr>
          <w:rFonts w:hint="eastAsia" w:ascii="宋体" w:hAnsi="宋体"/>
          <w:color w:val="auto"/>
          <w:szCs w:val="21"/>
          <w:highlight w:val="none"/>
          <w:lang w:val="zh-CN"/>
        </w:rPr>
        <w:t>（</w:t>
      </w:r>
      <w:r>
        <w:rPr>
          <w:rFonts w:ascii="宋体" w:hAnsi="宋体"/>
          <w:color w:val="auto"/>
          <w:szCs w:val="21"/>
          <w:highlight w:val="none"/>
          <w:lang w:val="zh-CN"/>
        </w:rPr>
        <w:t>2</w:t>
      </w:r>
      <w:r>
        <w:rPr>
          <w:rFonts w:hint="eastAsia" w:ascii="宋体" w:hAnsi="宋体"/>
          <w:color w:val="auto"/>
          <w:szCs w:val="21"/>
          <w:highlight w:val="none"/>
          <w:lang w:val="zh-CN"/>
        </w:rPr>
        <w:t>）如果供方未能履行《合同》规定的其它任何义务。</w:t>
      </w:r>
    </w:p>
    <w:p w14:paraId="5C88840B">
      <w:pPr>
        <w:autoSpaceDE w:val="0"/>
        <w:autoSpaceDN w:val="0"/>
        <w:adjustRightInd w:val="0"/>
        <w:spacing w:line="360" w:lineRule="auto"/>
        <w:rPr>
          <w:rFonts w:ascii="宋体" w:hAnsi="宋体"/>
          <w:color w:val="auto"/>
          <w:szCs w:val="21"/>
          <w:highlight w:val="none"/>
          <w:lang w:val="zh-CN"/>
        </w:rPr>
      </w:pPr>
      <w:r>
        <w:rPr>
          <w:rFonts w:hint="eastAsia" w:ascii="宋体" w:hAnsi="宋体"/>
          <w:color w:val="auto"/>
          <w:szCs w:val="21"/>
          <w:highlight w:val="none"/>
          <w:lang w:val="zh-CN"/>
        </w:rPr>
        <w:t>（</w:t>
      </w:r>
      <w:r>
        <w:rPr>
          <w:rFonts w:ascii="宋体" w:hAnsi="宋体"/>
          <w:color w:val="auto"/>
          <w:szCs w:val="21"/>
          <w:highlight w:val="none"/>
          <w:lang w:val="zh-CN"/>
        </w:rPr>
        <w:t>3</w:t>
      </w:r>
      <w:r>
        <w:rPr>
          <w:rFonts w:hint="eastAsia" w:ascii="宋体" w:hAnsi="宋体"/>
          <w:color w:val="auto"/>
          <w:szCs w:val="21"/>
          <w:highlight w:val="none"/>
          <w:lang w:val="zh-CN"/>
        </w:rPr>
        <w:t>）如果供方在本《合同》订立和履行过程中采取了任何</w:t>
      </w:r>
      <w:r>
        <w:rPr>
          <w:rFonts w:ascii="宋体" w:hAnsi="宋体"/>
          <w:color w:val="auto"/>
          <w:szCs w:val="21"/>
          <w:highlight w:val="none"/>
        </w:rPr>
        <w:t>“</w:t>
      </w:r>
      <w:r>
        <w:rPr>
          <w:rFonts w:hint="eastAsia" w:ascii="宋体" w:hAnsi="宋体"/>
          <w:color w:val="auto"/>
          <w:szCs w:val="21"/>
          <w:highlight w:val="none"/>
          <w:lang w:val="zh-CN"/>
        </w:rPr>
        <w:t>不正当竞争行为</w:t>
      </w:r>
      <w:r>
        <w:rPr>
          <w:rFonts w:ascii="宋体" w:hAnsi="宋体"/>
          <w:color w:val="auto"/>
          <w:szCs w:val="21"/>
          <w:highlight w:val="none"/>
        </w:rPr>
        <w:t>”</w:t>
      </w:r>
      <w:r>
        <w:rPr>
          <w:rFonts w:hint="eastAsia" w:ascii="宋体" w:hAnsi="宋体"/>
          <w:color w:val="auto"/>
          <w:szCs w:val="21"/>
          <w:highlight w:val="none"/>
          <w:lang w:val="zh-CN"/>
        </w:rPr>
        <w:t>，危害到国家利益、社会公共利益和需方的合法权益。</w:t>
      </w:r>
    </w:p>
    <w:p w14:paraId="62FE7006">
      <w:pPr>
        <w:autoSpaceDE w:val="0"/>
        <w:autoSpaceDN w:val="0"/>
        <w:adjustRightInd w:val="0"/>
        <w:spacing w:line="360" w:lineRule="auto"/>
        <w:ind w:firstLine="480"/>
        <w:rPr>
          <w:rFonts w:ascii="宋体" w:hAnsi="宋体"/>
          <w:color w:val="auto"/>
          <w:szCs w:val="21"/>
          <w:highlight w:val="none"/>
          <w:lang w:val="zh-CN"/>
        </w:rPr>
      </w:pPr>
      <w:r>
        <w:rPr>
          <w:rFonts w:ascii="宋体" w:hAnsi="宋体"/>
          <w:color w:val="auto"/>
          <w:szCs w:val="21"/>
          <w:highlight w:val="none"/>
          <w:lang w:val="zh-CN"/>
        </w:rPr>
        <w:t>2</w:t>
      </w:r>
      <w:r>
        <w:rPr>
          <w:rFonts w:hint="eastAsia" w:ascii="宋体" w:hAnsi="宋体"/>
          <w:color w:val="auto"/>
          <w:szCs w:val="21"/>
          <w:highlight w:val="none"/>
        </w:rPr>
        <w:t>2</w:t>
      </w:r>
      <w:r>
        <w:rPr>
          <w:rFonts w:ascii="宋体" w:hAnsi="宋体"/>
          <w:color w:val="auto"/>
          <w:szCs w:val="21"/>
          <w:highlight w:val="none"/>
          <w:lang w:val="zh-CN"/>
        </w:rPr>
        <w:t xml:space="preserve">.2 </w:t>
      </w:r>
      <w:r>
        <w:rPr>
          <w:rFonts w:hint="eastAsia" w:ascii="宋体" w:hAnsi="宋体"/>
          <w:color w:val="auto"/>
          <w:szCs w:val="21"/>
          <w:highlight w:val="none"/>
          <w:lang w:val="zh-CN"/>
        </w:rPr>
        <w:t>如果需方根据上述第</w:t>
      </w:r>
      <w:r>
        <w:rPr>
          <w:rFonts w:ascii="宋体" w:hAnsi="宋体"/>
          <w:color w:val="auto"/>
          <w:szCs w:val="21"/>
          <w:highlight w:val="none"/>
          <w:lang w:val="zh-CN"/>
        </w:rPr>
        <w:t>21.1</w:t>
      </w:r>
      <w:r>
        <w:rPr>
          <w:rFonts w:hint="eastAsia" w:ascii="宋体" w:hAnsi="宋体"/>
          <w:color w:val="auto"/>
          <w:szCs w:val="21"/>
          <w:highlight w:val="none"/>
          <w:lang w:val="zh-CN"/>
        </w:rPr>
        <w:t>款的规定，终止了全部或部分《合同》，需方可以依其认为适当的条件和方法购买与未交货物类似的货物，供方应对购买类似货物所超出的那部分费用负责。供方提交的履约保证金将被作为需方采取上述补救措施的购买资金的一部分。并且，供方应继续履行《合同》中未终止的部分。</w:t>
      </w:r>
    </w:p>
    <w:p w14:paraId="306BFF10">
      <w:pPr>
        <w:autoSpaceDE w:val="0"/>
        <w:autoSpaceDN w:val="0"/>
        <w:adjustRightInd w:val="0"/>
        <w:spacing w:line="360" w:lineRule="auto"/>
        <w:ind w:firstLine="480"/>
        <w:rPr>
          <w:rFonts w:ascii="宋体" w:hAnsi="宋体"/>
          <w:color w:val="auto"/>
          <w:szCs w:val="21"/>
          <w:highlight w:val="none"/>
          <w:lang w:val="zh-CN"/>
        </w:rPr>
      </w:pPr>
      <w:r>
        <w:rPr>
          <w:rFonts w:ascii="宋体" w:hAnsi="宋体"/>
          <w:color w:val="auto"/>
          <w:szCs w:val="21"/>
          <w:highlight w:val="none"/>
          <w:lang w:val="zh-CN"/>
        </w:rPr>
        <w:t>2</w:t>
      </w:r>
      <w:r>
        <w:rPr>
          <w:rFonts w:hint="eastAsia" w:ascii="宋体" w:hAnsi="宋体"/>
          <w:color w:val="auto"/>
          <w:szCs w:val="21"/>
          <w:highlight w:val="none"/>
        </w:rPr>
        <w:t>2</w:t>
      </w:r>
      <w:r>
        <w:rPr>
          <w:rFonts w:ascii="宋体" w:hAnsi="宋体"/>
          <w:color w:val="auto"/>
          <w:szCs w:val="21"/>
          <w:highlight w:val="none"/>
          <w:lang w:val="zh-CN"/>
        </w:rPr>
        <w:t>.3</w:t>
      </w:r>
      <w:r>
        <w:rPr>
          <w:rFonts w:hint="eastAsia" w:ascii="宋体" w:hAnsi="宋体"/>
          <w:color w:val="auto"/>
          <w:szCs w:val="21"/>
          <w:highlight w:val="none"/>
          <w:lang w:val="zh-CN"/>
        </w:rPr>
        <w:t>如果需方违约，应承担相应的违约责任。</w:t>
      </w:r>
    </w:p>
    <w:p w14:paraId="330E721C">
      <w:pPr>
        <w:autoSpaceDE w:val="0"/>
        <w:autoSpaceDN w:val="0"/>
        <w:adjustRightInd w:val="0"/>
        <w:spacing w:line="360" w:lineRule="auto"/>
        <w:ind w:firstLine="482"/>
        <w:rPr>
          <w:rFonts w:ascii="宋体" w:hAnsi="宋体"/>
          <w:color w:val="auto"/>
          <w:szCs w:val="21"/>
          <w:highlight w:val="none"/>
          <w:lang w:val="zh-CN"/>
        </w:rPr>
      </w:pPr>
      <w:r>
        <w:rPr>
          <w:rFonts w:ascii="宋体" w:hAnsi="宋体"/>
          <w:b/>
          <w:color w:val="auto"/>
          <w:szCs w:val="21"/>
          <w:highlight w:val="none"/>
          <w:lang w:val="zh-CN"/>
        </w:rPr>
        <w:t>2</w:t>
      </w:r>
      <w:r>
        <w:rPr>
          <w:rFonts w:hint="eastAsia" w:ascii="宋体" w:hAnsi="宋体"/>
          <w:b/>
          <w:color w:val="auto"/>
          <w:szCs w:val="21"/>
          <w:highlight w:val="none"/>
        </w:rPr>
        <w:t>3</w:t>
      </w:r>
      <w:r>
        <w:rPr>
          <w:rFonts w:hint="eastAsia" w:ascii="宋体" w:hAnsi="宋体"/>
          <w:b/>
          <w:color w:val="auto"/>
          <w:szCs w:val="21"/>
          <w:highlight w:val="none"/>
          <w:lang w:val="zh-CN"/>
        </w:rPr>
        <w:t>．破产终止《合同》：</w:t>
      </w:r>
      <w:r>
        <w:rPr>
          <w:rFonts w:hint="eastAsia" w:ascii="宋体" w:hAnsi="宋体"/>
          <w:color w:val="auto"/>
          <w:szCs w:val="21"/>
          <w:highlight w:val="none"/>
          <w:lang w:val="zh-CN"/>
        </w:rPr>
        <w:t>如果供方破产或丧失清偿能力，需方可在任何时候以书面形式通知供方终止《合同》而不给供方补偿。该终止《合同》将不损害或影响需方已经采取或将要采取任何补救措施的权力。</w:t>
      </w:r>
    </w:p>
    <w:p w14:paraId="0157AF91">
      <w:pPr>
        <w:autoSpaceDE w:val="0"/>
        <w:autoSpaceDN w:val="0"/>
        <w:adjustRightInd w:val="0"/>
        <w:spacing w:line="360" w:lineRule="auto"/>
        <w:ind w:firstLine="482"/>
        <w:rPr>
          <w:rFonts w:ascii="宋体" w:hAnsi="宋体"/>
          <w:color w:val="auto"/>
          <w:szCs w:val="21"/>
          <w:highlight w:val="none"/>
          <w:lang w:val="zh-CN"/>
        </w:rPr>
      </w:pPr>
      <w:r>
        <w:rPr>
          <w:rFonts w:ascii="宋体" w:hAnsi="宋体"/>
          <w:b/>
          <w:color w:val="auto"/>
          <w:szCs w:val="21"/>
          <w:highlight w:val="none"/>
          <w:lang w:val="zh-CN"/>
        </w:rPr>
        <w:t>2</w:t>
      </w:r>
      <w:r>
        <w:rPr>
          <w:rFonts w:hint="eastAsia" w:ascii="宋体" w:hAnsi="宋体"/>
          <w:b/>
          <w:color w:val="auto"/>
          <w:szCs w:val="21"/>
          <w:highlight w:val="none"/>
        </w:rPr>
        <w:t>4</w:t>
      </w:r>
      <w:r>
        <w:rPr>
          <w:rFonts w:hint="eastAsia" w:ascii="宋体" w:hAnsi="宋体"/>
          <w:b/>
          <w:color w:val="auto"/>
          <w:szCs w:val="21"/>
          <w:highlight w:val="none"/>
          <w:lang w:val="zh-CN"/>
        </w:rPr>
        <w:t>．《合同》转让和分包：</w:t>
      </w:r>
      <w:r>
        <w:rPr>
          <w:rFonts w:hint="eastAsia" w:ascii="宋体" w:hAnsi="宋体"/>
          <w:color w:val="auto"/>
          <w:szCs w:val="21"/>
          <w:highlight w:val="none"/>
          <w:lang w:val="zh-CN"/>
        </w:rPr>
        <w:t>本《合同》不得转让，</w:t>
      </w:r>
      <w:r>
        <w:rPr>
          <w:rFonts w:hint="eastAsia" w:ascii="宋体" w:hAnsi="宋体"/>
          <w:color w:val="auto"/>
          <w:szCs w:val="21"/>
          <w:highlight w:val="none"/>
          <w:lang w:val="en-US" w:eastAsia="zh-CN"/>
        </w:rPr>
        <w:t>允许合法</w:t>
      </w:r>
      <w:r>
        <w:rPr>
          <w:rFonts w:hint="eastAsia" w:ascii="宋体" w:hAnsi="宋体"/>
          <w:color w:val="auto"/>
          <w:szCs w:val="21"/>
          <w:highlight w:val="none"/>
          <w:lang w:val="zh-CN"/>
        </w:rPr>
        <w:t>分包。</w:t>
      </w:r>
    </w:p>
    <w:p w14:paraId="2C9E29F8">
      <w:pPr>
        <w:autoSpaceDE w:val="0"/>
        <w:autoSpaceDN w:val="0"/>
        <w:adjustRightInd w:val="0"/>
        <w:spacing w:line="360" w:lineRule="auto"/>
        <w:ind w:firstLine="482"/>
        <w:rPr>
          <w:rFonts w:ascii="宋体" w:hAnsi="宋体"/>
          <w:color w:val="auto"/>
          <w:szCs w:val="21"/>
          <w:highlight w:val="none"/>
          <w:lang w:val="zh-CN"/>
        </w:rPr>
      </w:pPr>
      <w:r>
        <w:rPr>
          <w:rFonts w:ascii="宋体" w:hAnsi="宋体"/>
          <w:b/>
          <w:color w:val="auto"/>
          <w:szCs w:val="21"/>
          <w:highlight w:val="none"/>
          <w:lang w:val="zh-CN"/>
        </w:rPr>
        <w:t>2</w:t>
      </w:r>
      <w:r>
        <w:rPr>
          <w:rFonts w:hint="eastAsia" w:ascii="宋体" w:hAnsi="宋体"/>
          <w:b/>
          <w:color w:val="auto"/>
          <w:szCs w:val="21"/>
          <w:highlight w:val="none"/>
        </w:rPr>
        <w:t>5</w:t>
      </w:r>
      <w:r>
        <w:rPr>
          <w:rFonts w:hint="eastAsia" w:ascii="宋体" w:hAnsi="宋体"/>
          <w:b/>
          <w:color w:val="auto"/>
          <w:szCs w:val="21"/>
          <w:highlight w:val="none"/>
          <w:lang w:val="zh-CN"/>
        </w:rPr>
        <w:t>．需要补充的《合同》条款：</w:t>
      </w:r>
      <w:r>
        <w:rPr>
          <w:rFonts w:hint="eastAsia" w:ascii="宋体" w:hAnsi="宋体"/>
          <w:color w:val="auto"/>
          <w:szCs w:val="21"/>
          <w:highlight w:val="none"/>
          <w:lang w:val="zh-CN"/>
        </w:rPr>
        <w:t>在政府采购《合同》书中约定。</w:t>
      </w:r>
    </w:p>
    <w:p w14:paraId="4D0DACFB">
      <w:pPr>
        <w:autoSpaceDE w:val="0"/>
        <w:autoSpaceDN w:val="0"/>
        <w:adjustRightInd w:val="0"/>
        <w:spacing w:line="360" w:lineRule="auto"/>
        <w:ind w:firstLine="482"/>
        <w:rPr>
          <w:rFonts w:ascii="宋体" w:hAnsi="宋体"/>
          <w:color w:val="auto"/>
          <w:szCs w:val="21"/>
          <w:highlight w:val="none"/>
          <w:lang w:val="zh-CN"/>
        </w:rPr>
      </w:pPr>
      <w:r>
        <w:rPr>
          <w:rFonts w:ascii="宋体" w:hAnsi="宋体"/>
          <w:b/>
          <w:color w:val="auto"/>
          <w:szCs w:val="21"/>
          <w:highlight w:val="none"/>
          <w:lang w:val="zh-CN"/>
        </w:rPr>
        <w:t>2</w:t>
      </w:r>
      <w:r>
        <w:rPr>
          <w:rFonts w:hint="eastAsia" w:ascii="宋体" w:hAnsi="宋体"/>
          <w:b/>
          <w:color w:val="auto"/>
          <w:szCs w:val="21"/>
          <w:highlight w:val="none"/>
        </w:rPr>
        <w:t>6</w:t>
      </w:r>
      <w:r>
        <w:rPr>
          <w:rFonts w:hint="eastAsia" w:ascii="宋体" w:hAnsi="宋体"/>
          <w:b/>
          <w:color w:val="auto"/>
          <w:szCs w:val="21"/>
          <w:highlight w:val="none"/>
          <w:lang w:val="zh-CN"/>
        </w:rPr>
        <w:t>．适用法律：</w:t>
      </w:r>
      <w:r>
        <w:rPr>
          <w:rFonts w:hint="eastAsia" w:ascii="宋体" w:hAnsi="宋体"/>
          <w:color w:val="auto"/>
          <w:szCs w:val="21"/>
          <w:highlight w:val="none"/>
          <w:lang w:val="zh-CN"/>
        </w:rPr>
        <w:t>本《合同》及附件的订立、效力、解释、履行、争议的解决等适用本《合同》签订时有效的中华人民共和国法律、法规的有关规定。</w:t>
      </w:r>
    </w:p>
    <w:p w14:paraId="1C5EC308">
      <w:pPr>
        <w:autoSpaceDE w:val="0"/>
        <w:autoSpaceDN w:val="0"/>
        <w:adjustRightInd w:val="0"/>
        <w:spacing w:line="360" w:lineRule="auto"/>
        <w:ind w:firstLine="482"/>
        <w:rPr>
          <w:rFonts w:ascii="宋体" w:hAnsi="宋体"/>
          <w:b/>
          <w:color w:val="auto"/>
          <w:szCs w:val="21"/>
          <w:highlight w:val="none"/>
          <w:lang w:val="zh-CN"/>
        </w:rPr>
      </w:pPr>
      <w:r>
        <w:rPr>
          <w:rFonts w:ascii="宋体" w:hAnsi="宋体"/>
          <w:b/>
          <w:color w:val="auto"/>
          <w:szCs w:val="21"/>
          <w:highlight w:val="none"/>
          <w:lang w:val="zh-CN"/>
        </w:rPr>
        <w:t>2</w:t>
      </w:r>
      <w:r>
        <w:rPr>
          <w:rFonts w:hint="eastAsia" w:ascii="宋体" w:hAnsi="宋体"/>
          <w:b/>
          <w:color w:val="auto"/>
          <w:szCs w:val="21"/>
          <w:highlight w:val="none"/>
        </w:rPr>
        <w:t>7</w:t>
      </w:r>
      <w:r>
        <w:rPr>
          <w:rFonts w:ascii="宋体" w:hAnsi="宋体"/>
          <w:b/>
          <w:color w:val="auto"/>
          <w:szCs w:val="21"/>
          <w:highlight w:val="none"/>
          <w:lang w:val="zh-CN"/>
        </w:rPr>
        <w:t>.</w:t>
      </w:r>
      <w:r>
        <w:rPr>
          <w:rFonts w:hint="eastAsia" w:ascii="宋体" w:hAnsi="宋体"/>
          <w:b/>
          <w:color w:val="auto"/>
          <w:szCs w:val="21"/>
          <w:highlight w:val="none"/>
          <w:lang w:val="zh-CN"/>
        </w:rPr>
        <w:t>主导语言与计量单位</w:t>
      </w:r>
    </w:p>
    <w:p w14:paraId="43933BDC">
      <w:pPr>
        <w:autoSpaceDE w:val="0"/>
        <w:autoSpaceDN w:val="0"/>
        <w:adjustRightInd w:val="0"/>
        <w:spacing w:line="360" w:lineRule="auto"/>
        <w:ind w:firstLine="480"/>
        <w:rPr>
          <w:rFonts w:ascii="宋体" w:hAnsi="宋体"/>
          <w:color w:val="auto"/>
          <w:szCs w:val="21"/>
          <w:highlight w:val="none"/>
          <w:lang w:val="zh-CN"/>
        </w:rPr>
      </w:pPr>
      <w:r>
        <w:rPr>
          <w:rFonts w:ascii="宋体" w:hAnsi="宋体"/>
          <w:color w:val="auto"/>
          <w:szCs w:val="21"/>
          <w:highlight w:val="none"/>
          <w:lang w:val="zh-CN"/>
        </w:rPr>
        <w:t>2</w:t>
      </w:r>
      <w:r>
        <w:rPr>
          <w:rFonts w:hint="eastAsia" w:ascii="宋体" w:hAnsi="宋体"/>
          <w:color w:val="auto"/>
          <w:szCs w:val="21"/>
          <w:highlight w:val="none"/>
        </w:rPr>
        <w:t>7</w:t>
      </w:r>
      <w:r>
        <w:rPr>
          <w:rFonts w:ascii="宋体" w:hAnsi="宋体"/>
          <w:color w:val="auto"/>
          <w:szCs w:val="21"/>
          <w:highlight w:val="none"/>
          <w:lang w:val="zh-CN"/>
        </w:rPr>
        <w:t>.1</w:t>
      </w:r>
      <w:r>
        <w:rPr>
          <w:rFonts w:hint="eastAsia" w:ascii="宋体" w:hAnsi="宋体"/>
          <w:color w:val="auto"/>
          <w:szCs w:val="21"/>
          <w:highlight w:val="none"/>
          <w:lang w:val="zh-CN"/>
        </w:rPr>
        <w:t>《合同》应用中文书写。供需双方所有来往信函，以及《合同》有关的文件均应以中文书写。</w:t>
      </w:r>
    </w:p>
    <w:p w14:paraId="30031B5F">
      <w:pPr>
        <w:autoSpaceDE w:val="0"/>
        <w:autoSpaceDN w:val="0"/>
        <w:adjustRightInd w:val="0"/>
        <w:spacing w:line="360" w:lineRule="auto"/>
        <w:ind w:firstLine="480"/>
        <w:rPr>
          <w:rFonts w:ascii="宋体" w:hAnsi="宋体"/>
          <w:color w:val="auto"/>
          <w:szCs w:val="21"/>
          <w:highlight w:val="none"/>
          <w:lang w:val="zh-CN"/>
        </w:rPr>
      </w:pPr>
      <w:r>
        <w:rPr>
          <w:rFonts w:ascii="宋体" w:hAnsi="宋体"/>
          <w:color w:val="auto"/>
          <w:szCs w:val="21"/>
          <w:highlight w:val="none"/>
          <w:lang w:val="zh-CN"/>
        </w:rPr>
        <w:t>2</w:t>
      </w:r>
      <w:r>
        <w:rPr>
          <w:rFonts w:hint="eastAsia" w:ascii="宋体" w:hAnsi="宋体"/>
          <w:color w:val="auto"/>
          <w:szCs w:val="21"/>
          <w:highlight w:val="none"/>
        </w:rPr>
        <w:t>7</w:t>
      </w:r>
      <w:r>
        <w:rPr>
          <w:rFonts w:ascii="宋体" w:hAnsi="宋体"/>
          <w:color w:val="auto"/>
          <w:szCs w:val="21"/>
          <w:highlight w:val="none"/>
          <w:lang w:val="zh-CN"/>
        </w:rPr>
        <w:t>.2</w:t>
      </w:r>
      <w:r>
        <w:rPr>
          <w:rFonts w:hint="eastAsia" w:ascii="宋体" w:hAnsi="宋体"/>
          <w:color w:val="auto"/>
          <w:szCs w:val="21"/>
          <w:highlight w:val="none"/>
          <w:lang w:val="zh-CN"/>
        </w:rPr>
        <w:t>除《合同》另有规定外，计量单位均使用中华人民共和国法定计量单位。</w:t>
      </w:r>
    </w:p>
    <w:p w14:paraId="40488AB9">
      <w:pPr>
        <w:numPr>
          <w:ilvl w:val="0"/>
          <w:numId w:val="8"/>
        </w:numPr>
        <w:autoSpaceDE w:val="0"/>
        <w:autoSpaceDN w:val="0"/>
        <w:adjustRightInd w:val="0"/>
        <w:spacing w:line="360" w:lineRule="auto"/>
        <w:ind w:firstLine="482"/>
        <w:rPr>
          <w:rFonts w:ascii="宋体" w:hAnsi="宋体"/>
          <w:color w:val="auto"/>
          <w:szCs w:val="21"/>
          <w:highlight w:val="none"/>
        </w:rPr>
      </w:pPr>
      <w:r>
        <w:rPr>
          <w:rFonts w:hint="eastAsia" w:ascii="宋体" w:hAnsi="宋体"/>
          <w:b/>
          <w:color w:val="auto"/>
          <w:szCs w:val="21"/>
          <w:highlight w:val="none"/>
          <w:lang w:val="zh-CN"/>
        </w:rPr>
        <w:t>政府采购法对政府采购《合同》变更、终止的规定：</w:t>
      </w:r>
      <w:r>
        <w:rPr>
          <w:rFonts w:ascii="宋体" w:hAnsi="宋体"/>
          <w:color w:val="auto"/>
          <w:szCs w:val="21"/>
          <w:highlight w:val="none"/>
        </w:rPr>
        <w:t>“</w:t>
      </w:r>
      <w:r>
        <w:rPr>
          <w:rFonts w:hint="eastAsia" w:ascii="宋体" w:hAnsi="宋体"/>
          <w:color w:val="auto"/>
          <w:szCs w:val="21"/>
          <w:highlight w:val="none"/>
          <w:lang w:val="zh-CN"/>
        </w:rPr>
        <w:t>政府采购《合同》的双方当事人（指供需双方）不得擅自变更、中止或者终止《合同》。政府采购《合同》继续履行将损害国家利益和社会公共利益的，双方当事人应当变更、中止或者终止《合同》。有过错的一方应当承担赔偿责任，双方都有过错的，各自承担相应的责任。</w:t>
      </w:r>
      <w:r>
        <w:rPr>
          <w:rFonts w:ascii="宋体" w:hAnsi="宋体"/>
          <w:color w:val="auto"/>
          <w:szCs w:val="21"/>
          <w:highlight w:val="none"/>
        </w:rPr>
        <w:t>”</w:t>
      </w:r>
    </w:p>
    <w:p w14:paraId="568F6335">
      <w:pPr>
        <w:tabs>
          <w:tab w:val="left" w:pos="2304"/>
          <w:tab w:val="left" w:pos="2724"/>
          <w:tab w:val="left" w:pos="3143"/>
        </w:tabs>
        <w:spacing w:line="360" w:lineRule="auto"/>
        <w:ind w:left="0" w:leftChars="0" w:firstLine="420" w:firstLineChars="200"/>
        <w:jc w:val="left"/>
        <w:rPr>
          <w:rStyle w:val="93"/>
          <w:rFonts w:ascii="宋体" w:hAnsi="宋体"/>
          <w:color w:val="auto"/>
          <w:highlight w:val="none"/>
        </w:rPr>
      </w:pPr>
      <w:r>
        <w:rPr>
          <w:rFonts w:hint="eastAsia" w:ascii="宋体" w:hAnsi="宋体"/>
          <w:color w:val="auto"/>
          <w:szCs w:val="21"/>
          <w:highlight w:val="none"/>
        </w:rPr>
        <w:t>采购《合同》：由</w:t>
      </w:r>
      <w:r>
        <w:rPr>
          <w:rFonts w:hint="eastAsia" w:ascii="宋体" w:hAnsi="宋体"/>
          <w:color w:val="auto"/>
          <w:szCs w:val="21"/>
          <w:highlight w:val="none"/>
          <w:lang w:eastAsia="zh-CN"/>
        </w:rPr>
        <w:t>采购人</w:t>
      </w:r>
      <w:r>
        <w:rPr>
          <w:rFonts w:hint="eastAsia" w:ascii="宋体" w:hAnsi="宋体"/>
          <w:color w:val="auto"/>
          <w:szCs w:val="21"/>
          <w:highlight w:val="none"/>
        </w:rPr>
        <w:t>与中标人双方协商制定。</w:t>
      </w:r>
    </w:p>
    <w:p w14:paraId="1E495EB3">
      <w:pPr>
        <w:spacing w:before="1" w:line="180" w:lineRule="exact"/>
        <w:ind w:left="935"/>
        <w:jc w:val="left"/>
        <w:rPr>
          <w:rFonts w:hint="eastAsia"/>
          <w:color w:val="auto"/>
          <w:highlight w:val="none"/>
        </w:rPr>
      </w:pPr>
      <w:r>
        <w:rPr>
          <w:rStyle w:val="93"/>
          <w:rFonts w:ascii="宋体" w:hAnsi="宋体" w:cs="宋体"/>
          <w:bCs/>
          <w:color w:val="auto"/>
          <w:sz w:val="48"/>
          <w:szCs w:val="48"/>
          <w:highlight w:val="none"/>
        </w:rPr>
        <w:br w:type="page"/>
      </w:r>
      <w:bookmarkStart w:id="25" w:name="_Toc455565646"/>
      <w:bookmarkStart w:id="26" w:name="_Toc432277442"/>
      <w:bookmarkStart w:id="27" w:name="_Toc432264370"/>
    </w:p>
    <w:p w14:paraId="745116A0">
      <w:pPr>
        <w:pStyle w:val="2"/>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b w:val="0"/>
          <w:color w:val="auto"/>
          <w:sz w:val="32"/>
          <w:szCs w:val="32"/>
          <w:highlight w:val="none"/>
        </w:rPr>
      </w:pPr>
      <w:r>
        <w:rPr>
          <w:rFonts w:hint="eastAsia"/>
          <w:color w:val="auto"/>
          <w:sz w:val="32"/>
          <w:szCs w:val="32"/>
          <w:highlight w:val="none"/>
        </w:rPr>
        <w:t>第六章  响应文件格式</w:t>
      </w:r>
      <w:bookmarkEnd w:id="25"/>
      <w:bookmarkEnd w:id="26"/>
      <w:bookmarkEnd w:id="27"/>
    </w:p>
    <w:p w14:paraId="52964E22">
      <w:pPr>
        <w:pStyle w:val="12"/>
        <w:spacing w:before="169" w:line="220" w:lineRule="auto"/>
        <w:ind w:left="3412"/>
        <w:rPr>
          <w:color w:val="auto"/>
          <w:sz w:val="52"/>
          <w:szCs w:val="52"/>
          <w:highlight w:val="none"/>
        </w:rPr>
      </w:pPr>
      <w:r>
        <w:rPr>
          <w:rFonts w:hint="eastAsia"/>
          <w:b/>
          <w:color w:val="auto"/>
          <w:sz w:val="30"/>
          <w:szCs w:val="30"/>
          <w:highlight w:val="none"/>
        </w:rPr>
        <w:br w:type="page"/>
      </w:r>
      <w:r>
        <w:rPr>
          <w:b/>
          <w:bCs/>
          <w:color w:val="auto"/>
          <w:spacing w:val="-11"/>
          <w:sz w:val="52"/>
          <w:szCs w:val="52"/>
          <w:highlight w:val="none"/>
          <w:u w:val="single" w:color="auto"/>
        </w:rPr>
        <w:t>项目名称</w:t>
      </w:r>
    </w:p>
    <w:p w14:paraId="7876327E">
      <w:pPr>
        <w:pStyle w:val="12"/>
        <w:spacing w:before="309" w:line="221" w:lineRule="auto"/>
        <w:ind w:left="2805"/>
        <w:rPr>
          <w:b/>
          <w:bCs/>
          <w:color w:val="auto"/>
          <w:spacing w:val="-19"/>
          <w:sz w:val="95"/>
          <w:szCs w:val="95"/>
          <w:highlight w:val="none"/>
        </w:rPr>
      </w:pPr>
    </w:p>
    <w:p w14:paraId="15C80BFE">
      <w:pPr>
        <w:pStyle w:val="12"/>
        <w:spacing w:before="309" w:line="221" w:lineRule="auto"/>
        <w:ind w:left="2805"/>
        <w:rPr>
          <w:b/>
          <w:bCs/>
          <w:color w:val="auto"/>
          <w:spacing w:val="-19"/>
          <w:sz w:val="95"/>
          <w:szCs w:val="95"/>
          <w:highlight w:val="none"/>
        </w:rPr>
      </w:pPr>
    </w:p>
    <w:p w14:paraId="6FECB3FE">
      <w:pPr>
        <w:pStyle w:val="12"/>
        <w:spacing w:before="309" w:line="221" w:lineRule="auto"/>
        <w:ind w:left="2805"/>
        <w:rPr>
          <w:color w:val="auto"/>
          <w:sz w:val="95"/>
          <w:szCs w:val="95"/>
          <w:highlight w:val="none"/>
        </w:rPr>
      </w:pPr>
      <w:r>
        <w:rPr>
          <w:b/>
          <w:bCs/>
          <w:color w:val="auto"/>
          <w:spacing w:val="-19"/>
          <w:sz w:val="95"/>
          <w:szCs w:val="95"/>
          <w:highlight w:val="none"/>
        </w:rPr>
        <w:t>响应文件</w:t>
      </w:r>
    </w:p>
    <w:p w14:paraId="1778C5E8">
      <w:pPr>
        <w:pStyle w:val="12"/>
        <w:spacing w:before="97" w:line="218" w:lineRule="auto"/>
        <w:ind w:left="695"/>
        <w:rPr>
          <w:b/>
          <w:bCs/>
          <w:color w:val="auto"/>
          <w:spacing w:val="4"/>
          <w:sz w:val="30"/>
          <w:szCs w:val="30"/>
          <w:highlight w:val="none"/>
        </w:rPr>
      </w:pPr>
    </w:p>
    <w:p w14:paraId="2FAB494D">
      <w:pPr>
        <w:pStyle w:val="12"/>
        <w:spacing w:before="97" w:line="218" w:lineRule="auto"/>
        <w:ind w:left="695"/>
        <w:rPr>
          <w:b/>
          <w:bCs/>
          <w:color w:val="auto"/>
          <w:spacing w:val="4"/>
          <w:sz w:val="30"/>
          <w:szCs w:val="30"/>
          <w:highlight w:val="none"/>
        </w:rPr>
      </w:pPr>
    </w:p>
    <w:p w14:paraId="4B45D86F">
      <w:pPr>
        <w:pStyle w:val="12"/>
        <w:spacing w:before="97" w:line="218" w:lineRule="auto"/>
        <w:ind w:left="695"/>
        <w:rPr>
          <w:b/>
          <w:bCs/>
          <w:color w:val="auto"/>
          <w:spacing w:val="4"/>
          <w:sz w:val="30"/>
          <w:szCs w:val="30"/>
          <w:highlight w:val="none"/>
        </w:rPr>
      </w:pPr>
    </w:p>
    <w:p w14:paraId="18B38ACF">
      <w:pPr>
        <w:pStyle w:val="12"/>
        <w:spacing w:before="97" w:line="218" w:lineRule="auto"/>
        <w:ind w:left="695"/>
        <w:rPr>
          <w:b/>
          <w:bCs/>
          <w:color w:val="auto"/>
          <w:spacing w:val="4"/>
          <w:sz w:val="30"/>
          <w:szCs w:val="30"/>
          <w:highlight w:val="none"/>
        </w:rPr>
      </w:pPr>
    </w:p>
    <w:p w14:paraId="381F940B">
      <w:pPr>
        <w:pStyle w:val="12"/>
        <w:spacing w:before="97" w:line="218" w:lineRule="auto"/>
        <w:ind w:left="695"/>
        <w:rPr>
          <w:b/>
          <w:bCs/>
          <w:color w:val="auto"/>
          <w:spacing w:val="4"/>
          <w:sz w:val="30"/>
          <w:szCs w:val="30"/>
          <w:highlight w:val="none"/>
        </w:rPr>
      </w:pPr>
    </w:p>
    <w:p w14:paraId="5002CB0D">
      <w:pPr>
        <w:pStyle w:val="12"/>
        <w:spacing w:before="97" w:line="218" w:lineRule="auto"/>
        <w:ind w:left="695"/>
        <w:rPr>
          <w:b/>
          <w:bCs/>
          <w:color w:val="auto"/>
          <w:spacing w:val="4"/>
          <w:sz w:val="30"/>
          <w:szCs w:val="30"/>
          <w:highlight w:val="none"/>
        </w:rPr>
      </w:pPr>
    </w:p>
    <w:p w14:paraId="0E47D714">
      <w:pPr>
        <w:pStyle w:val="12"/>
        <w:spacing w:before="97" w:line="218" w:lineRule="auto"/>
        <w:ind w:left="695"/>
        <w:rPr>
          <w:b/>
          <w:bCs/>
          <w:color w:val="auto"/>
          <w:spacing w:val="4"/>
          <w:sz w:val="30"/>
          <w:szCs w:val="30"/>
          <w:highlight w:val="none"/>
        </w:rPr>
      </w:pPr>
    </w:p>
    <w:p w14:paraId="2E62891B">
      <w:pPr>
        <w:pStyle w:val="12"/>
        <w:spacing w:before="97" w:line="218" w:lineRule="auto"/>
        <w:ind w:left="695"/>
        <w:rPr>
          <w:b/>
          <w:bCs/>
          <w:color w:val="auto"/>
          <w:spacing w:val="4"/>
          <w:sz w:val="30"/>
          <w:szCs w:val="30"/>
          <w:highlight w:val="none"/>
        </w:rPr>
      </w:pPr>
    </w:p>
    <w:p w14:paraId="5FE1D987">
      <w:pPr>
        <w:pStyle w:val="12"/>
        <w:spacing w:before="97" w:line="218" w:lineRule="auto"/>
        <w:ind w:left="695"/>
        <w:rPr>
          <w:color w:val="auto"/>
          <w:sz w:val="30"/>
          <w:szCs w:val="30"/>
          <w:highlight w:val="none"/>
        </w:rPr>
      </w:pPr>
      <w:r>
        <w:rPr>
          <w:b/>
          <w:bCs/>
          <w:color w:val="auto"/>
          <w:spacing w:val="4"/>
          <w:sz w:val="30"/>
          <w:szCs w:val="30"/>
          <w:highlight w:val="none"/>
        </w:rPr>
        <w:t>报</w:t>
      </w:r>
      <w:r>
        <w:rPr>
          <w:color w:val="auto"/>
          <w:spacing w:val="4"/>
          <w:sz w:val="30"/>
          <w:szCs w:val="30"/>
          <w:highlight w:val="none"/>
        </w:rPr>
        <w:t xml:space="preserve">  </w:t>
      </w:r>
      <w:r>
        <w:rPr>
          <w:b/>
          <w:bCs/>
          <w:color w:val="auto"/>
          <w:spacing w:val="4"/>
          <w:sz w:val="30"/>
          <w:szCs w:val="30"/>
          <w:highlight w:val="none"/>
        </w:rPr>
        <w:t>价</w:t>
      </w:r>
      <w:r>
        <w:rPr>
          <w:color w:val="auto"/>
          <w:spacing w:val="4"/>
          <w:sz w:val="30"/>
          <w:szCs w:val="30"/>
          <w:highlight w:val="none"/>
        </w:rPr>
        <w:t xml:space="preserve">  </w:t>
      </w:r>
      <w:r>
        <w:rPr>
          <w:b/>
          <w:bCs/>
          <w:color w:val="auto"/>
          <w:spacing w:val="4"/>
          <w:sz w:val="30"/>
          <w:szCs w:val="30"/>
          <w:highlight w:val="none"/>
        </w:rPr>
        <w:t>人</w:t>
      </w:r>
      <w:r>
        <w:rPr>
          <w:b/>
          <w:bCs/>
          <w:color w:val="auto"/>
          <w:spacing w:val="-39"/>
          <w:sz w:val="30"/>
          <w:szCs w:val="30"/>
          <w:highlight w:val="none"/>
        </w:rPr>
        <w:t>：</w:t>
      </w:r>
      <w:r>
        <w:rPr>
          <w:color w:val="auto"/>
          <w:sz w:val="30"/>
          <w:szCs w:val="30"/>
          <w:highlight w:val="none"/>
          <w:u w:val="single" w:color="auto"/>
        </w:rPr>
        <w:t xml:space="preserve">                           </w:t>
      </w:r>
      <w:r>
        <w:rPr>
          <w:b/>
          <w:bCs/>
          <w:color w:val="auto"/>
          <w:spacing w:val="-39"/>
          <w:sz w:val="30"/>
          <w:szCs w:val="30"/>
          <w:highlight w:val="none"/>
        </w:rPr>
        <w:t>（</w:t>
      </w:r>
      <w:r>
        <w:rPr>
          <w:b/>
          <w:bCs/>
          <w:color w:val="auto"/>
          <w:spacing w:val="4"/>
          <w:sz w:val="30"/>
          <w:szCs w:val="30"/>
          <w:highlight w:val="none"/>
        </w:rPr>
        <w:t>盖单位章）</w:t>
      </w:r>
    </w:p>
    <w:p w14:paraId="4B14FB7E">
      <w:pPr>
        <w:spacing w:line="292" w:lineRule="auto"/>
        <w:rPr>
          <w:rFonts w:ascii="Arial"/>
          <w:color w:val="auto"/>
          <w:sz w:val="21"/>
          <w:highlight w:val="none"/>
        </w:rPr>
      </w:pPr>
    </w:p>
    <w:p w14:paraId="67DCB46A">
      <w:pPr>
        <w:spacing w:line="292" w:lineRule="auto"/>
        <w:rPr>
          <w:rFonts w:ascii="Arial"/>
          <w:color w:val="auto"/>
          <w:sz w:val="21"/>
          <w:highlight w:val="none"/>
        </w:rPr>
      </w:pPr>
    </w:p>
    <w:p w14:paraId="51D45DF8">
      <w:pPr>
        <w:pStyle w:val="12"/>
        <w:spacing w:before="98" w:line="219" w:lineRule="auto"/>
        <w:ind w:left="698"/>
        <w:rPr>
          <w:color w:val="auto"/>
          <w:sz w:val="30"/>
          <w:szCs w:val="30"/>
          <w:highlight w:val="none"/>
        </w:rPr>
      </w:pPr>
      <w:r>
        <w:rPr>
          <w:b/>
          <w:bCs/>
          <w:color w:val="auto"/>
          <w:spacing w:val="-1"/>
          <w:sz w:val="30"/>
          <w:szCs w:val="30"/>
          <w:highlight w:val="none"/>
        </w:rPr>
        <w:t>法定代表人或其委托代理人</w:t>
      </w:r>
      <w:r>
        <w:rPr>
          <w:b/>
          <w:bCs/>
          <w:color w:val="auto"/>
          <w:spacing w:val="-18"/>
          <w:sz w:val="30"/>
          <w:szCs w:val="30"/>
          <w:highlight w:val="none"/>
        </w:rPr>
        <w:t>：</w:t>
      </w:r>
      <w:r>
        <w:rPr>
          <w:color w:val="auto"/>
          <w:sz w:val="30"/>
          <w:szCs w:val="30"/>
          <w:highlight w:val="none"/>
          <w:u w:val="single" w:color="auto"/>
        </w:rPr>
        <w:t xml:space="preserve">             </w:t>
      </w:r>
      <w:r>
        <w:rPr>
          <w:b/>
          <w:bCs/>
          <w:color w:val="auto"/>
          <w:spacing w:val="-18"/>
          <w:sz w:val="30"/>
          <w:szCs w:val="30"/>
          <w:highlight w:val="none"/>
        </w:rPr>
        <w:t>（</w:t>
      </w:r>
      <w:r>
        <w:rPr>
          <w:b/>
          <w:bCs/>
          <w:color w:val="auto"/>
          <w:spacing w:val="-1"/>
          <w:sz w:val="30"/>
          <w:szCs w:val="30"/>
          <w:highlight w:val="none"/>
        </w:rPr>
        <w:t>签字）</w:t>
      </w:r>
    </w:p>
    <w:p w14:paraId="787DD340">
      <w:pPr>
        <w:spacing w:line="255" w:lineRule="auto"/>
        <w:rPr>
          <w:rFonts w:ascii="Arial"/>
          <w:color w:val="auto"/>
          <w:sz w:val="21"/>
          <w:highlight w:val="none"/>
        </w:rPr>
      </w:pPr>
    </w:p>
    <w:p w14:paraId="4F865EC1">
      <w:pPr>
        <w:spacing w:line="255" w:lineRule="auto"/>
        <w:rPr>
          <w:rFonts w:ascii="Arial"/>
          <w:color w:val="auto"/>
          <w:sz w:val="21"/>
          <w:highlight w:val="none"/>
        </w:rPr>
      </w:pPr>
    </w:p>
    <w:p w14:paraId="0208473B">
      <w:pPr>
        <w:jc w:val="center"/>
        <w:rPr>
          <w:rFonts w:hint="eastAsia"/>
          <w:b/>
          <w:color w:val="auto"/>
          <w:sz w:val="30"/>
          <w:szCs w:val="30"/>
          <w:highlight w:val="none"/>
        </w:rPr>
      </w:pPr>
      <w:r>
        <w:rPr>
          <w:b/>
          <w:bCs/>
          <w:color w:val="auto"/>
          <w:spacing w:val="-14"/>
          <w:sz w:val="30"/>
          <w:szCs w:val="30"/>
          <w:highlight w:val="none"/>
        </w:rPr>
        <w:t>年</w:t>
      </w:r>
      <w:r>
        <w:rPr>
          <w:color w:val="auto"/>
          <w:spacing w:val="-148"/>
          <w:sz w:val="30"/>
          <w:szCs w:val="30"/>
          <w:highlight w:val="none"/>
        </w:rPr>
        <w:t xml:space="preserve"> </w:t>
      </w:r>
      <w:r>
        <w:rPr>
          <w:color w:val="auto"/>
          <w:sz w:val="30"/>
          <w:szCs w:val="30"/>
          <w:highlight w:val="none"/>
          <w:u w:val="single" w:color="auto"/>
        </w:rPr>
        <w:t xml:space="preserve">       </w:t>
      </w:r>
      <w:r>
        <w:rPr>
          <w:color w:val="auto"/>
          <w:spacing w:val="-128"/>
          <w:sz w:val="30"/>
          <w:szCs w:val="30"/>
          <w:highlight w:val="none"/>
        </w:rPr>
        <w:t xml:space="preserve"> </w:t>
      </w:r>
      <w:r>
        <w:rPr>
          <w:b/>
          <w:bCs/>
          <w:color w:val="auto"/>
          <w:spacing w:val="-14"/>
          <w:sz w:val="30"/>
          <w:szCs w:val="30"/>
          <w:highlight w:val="none"/>
        </w:rPr>
        <w:t>月</w:t>
      </w:r>
      <w:r>
        <w:rPr>
          <w:color w:val="auto"/>
          <w:sz w:val="30"/>
          <w:szCs w:val="30"/>
          <w:highlight w:val="none"/>
          <w:u w:val="single" w:color="auto"/>
        </w:rPr>
        <w:t xml:space="preserve">       </w:t>
      </w:r>
      <w:r>
        <w:rPr>
          <w:color w:val="auto"/>
          <w:spacing w:val="-81"/>
          <w:sz w:val="30"/>
          <w:szCs w:val="30"/>
          <w:highlight w:val="none"/>
        </w:rPr>
        <w:t xml:space="preserve"> </w:t>
      </w:r>
      <w:r>
        <w:rPr>
          <w:b/>
          <w:bCs/>
          <w:color w:val="auto"/>
          <w:spacing w:val="-14"/>
          <w:sz w:val="30"/>
          <w:szCs w:val="30"/>
          <w:highlight w:val="none"/>
        </w:rPr>
        <w:t>日</w:t>
      </w:r>
    </w:p>
    <w:p w14:paraId="364D27F2">
      <w:pPr>
        <w:rPr>
          <w:rFonts w:hint="eastAsia"/>
          <w:b/>
          <w:color w:val="auto"/>
          <w:sz w:val="30"/>
          <w:szCs w:val="30"/>
          <w:highlight w:val="none"/>
        </w:rPr>
      </w:pPr>
      <w:r>
        <w:rPr>
          <w:rFonts w:hint="eastAsia"/>
          <w:b/>
          <w:color w:val="auto"/>
          <w:sz w:val="30"/>
          <w:szCs w:val="30"/>
          <w:highlight w:val="none"/>
        </w:rPr>
        <w:br w:type="page"/>
      </w:r>
    </w:p>
    <w:p w14:paraId="5F5ECC30">
      <w:pPr>
        <w:pStyle w:val="16"/>
        <w:pageBreakBefore w:val="0"/>
        <w:widowControl w:val="0"/>
        <w:kinsoku/>
        <w:wordWrap/>
        <w:overflowPunct/>
        <w:topLinePunct w:val="0"/>
        <w:autoSpaceDE/>
        <w:autoSpaceDN/>
        <w:bidi w:val="0"/>
        <w:adjustRightInd/>
        <w:snapToGrid/>
        <w:spacing w:line="360" w:lineRule="auto"/>
        <w:ind w:firstLine="3915" w:firstLineChars="1300"/>
        <w:textAlignment w:val="auto"/>
        <w:rPr>
          <w:rFonts w:hint="eastAsia"/>
          <w:b/>
          <w:color w:val="auto"/>
          <w:sz w:val="30"/>
          <w:szCs w:val="30"/>
          <w:highlight w:val="none"/>
        </w:rPr>
      </w:pPr>
      <w:r>
        <w:rPr>
          <w:rFonts w:hint="eastAsia"/>
          <w:b/>
          <w:color w:val="auto"/>
          <w:sz w:val="30"/>
          <w:szCs w:val="30"/>
          <w:highlight w:val="none"/>
        </w:rPr>
        <w:t xml:space="preserve">一、响 应 函 </w:t>
      </w:r>
    </w:p>
    <w:p w14:paraId="716125D7">
      <w:pPr>
        <w:pStyle w:val="16"/>
        <w:snapToGrid w:val="0"/>
        <w:spacing w:line="360" w:lineRule="auto"/>
        <w:rPr>
          <w:rFonts w:hAnsi="宋体"/>
          <w:color w:val="auto"/>
          <w:highlight w:val="none"/>
        </w:rPr>
      </w:pPr>
      <w:r>
        <w:rPr>
          <w:rFonts w:hint="eastAsia" w:hAnsi="宋体"/>
          <w:color w:val="auto"/>
          <w:highlight w:val="none"/>
          <w:u w:val="single"/>
        </w:rPr>
        <w:t xml:space="preserve">               </w:t>
      </w:r>
      <w:r>
        <w:rPr>
          <w:rFonts w:hint="eastAsia" w:hAnsi="宋体"/>
          <w:color w:val="auto"/>
          <w:highlight w:val="none"/>
        </w:rPr>
        <w:t>（</w:t>
      </w:r>
      <w:r>
        <w:rPr>
          <w:rFonts w:hint="eastAsia" w:hAnsi="宋体"/>
          <w:color w:val="auto"/>
          <w:highlight w:val="none"/>
          <w:lang w:val="en-US" w:eastAsia="zh-CN"/>
        </w:rPr>
        <w:t>采购</w:t>
      </w:r>
      <w:r>
        <w:rPr>
          <w:rFonts w:hint="eastAsia" w:hAnsi="宋体"/>
          <w:color w:val="auto"/>
          <w:highlight w:val="none"/>
        </w:rPr>
        <w:t>人名称</w:t>
      </w:r>
      <w:r>
        <w:rPr>
          <w:rFonts w:hAnsi="宋体"/>
          <w:color w:val="auto"/>
          <w:highlight w:val="none"/>
        </w:rPr>
        <w:t>）</w:t>
      </w:r>
      <w:r>
        <w:rPr>
          <w:rFonts w:hint="eastAsia" w:hAnsi="宋体"/>
          <w:color w:val="auto"/>
          <w:highlight w:val="none"/>
        </w:rPr>
        <w:t>：</w:t>
      </w:r>
    </w:p>
    <w:p w14:paraId="2B2FD3F7">
      <w:pPr>
        <w:pStyle w:val="16"/>
        <w:snapToGrid w:val="0"/>
        <w:spacing w:line="360" w:lineRule="auto"/>
        <w:ind w:firstLine="420"/>
        <w:rPr>
          <w:rFonts w:hAnsi="宋体"/>
          <w:color w:val="auto"/>
          <w:highlight w:val="none"/>
        </w:rPr>
      </w:pPr>
      <w:r>
        <w:rPr>
          <w:rFonts w:hint="eastAsia" w:hAnsi="宋体"/>
          <w:color w:val="auto"/>
          <w:highlight w:val="none"/>
          <w:lang w:val="en-US" w:eastAsia="zh-CN"/>
        </w:rPr>
        <w:t>1.</w:t>
      </w:r>
      <w:r>
        <w:rPr>
          <w:rFonts w:hAnsi="宋体"/>
          <w:color w:val="auto"/>
          <w:highlight w:val="none"/>
        </w:rPr>
        <w:t>我方已仔</w:t>
      </w:r>
      <w:r>
        <w:rPr>
          <w:rFonts w:hint="eastAsia" w:hAnsi="宋体"/>
          <w:color w:val="auto"/>
          <w:highlight w:val="none"/>
        </w:rPr>
        <w:t>研究了</w:t>
      </w:r>
      <w:r>
        <w:rPr>
          <w:rFonts w:hint="eastAsia" w:hAnsi="宋体"/>
          <w:color w:val="auto"/>
          <w:highlight w:val="none"/>
          <w:u w:val="single"/>
        </w:rPr>
        <w:t xml:space="preserve">                             </w:t>
      </w:r>
      <w:r>
        <w:rPr>
          <w:rFonts w:hint="eastAsia" w:hAnsi="宋体"/>
          <w:color w:val="auto"/>
          <w:highlight w:val="none"/>
        </w:rPr>
        <w:t>（项目名称）</w:t>
      </w:r>
      <w:r>
        <w:rPr>
          <w:rFonts w:hint="eastAsia" w:hAnsi="宋体"/>
          <w:color w:val="auto"/>
          <w:highlight w:val="none"/>
          <w:lang w:val="en-US" w:eastAsia="zh-CN"/>
        </w:rPr>
        <w:t>谈判</w:t>
      </w:r>
      <w:r>
        <w:rPr>
          <w:rFonts w:hAnsi="宋体"/>
          <w:color w:val="auto"/>
          <w:highlight w:val="none"/>
        </w:rPr>
        <w:t>文件</w:t>
      </w:r>
      <w:r>
        <w:rPr>
          <w:rFonts w:hint="eastAsia" w:hAnsi="宋体"/>
          <w:color w:val="auto"/>
          <w:highlight w:val="none"/>
        </w:rPr>
        <w:t>的全部内容，</w:t>
      </w:r>
      <w:r>
        <w:rPr>
          <w:rFonts w:hAnsi="宋体"/>
          <w:color w:val="auto"/>
          <w:highlight w:val="none"/>
        </w:rPr>
        <w:t>愿</w:t>
      </w:r>
      <w:r>
        <w:rPr>
          <w:rFonts w:hint="eastAsia" w:hAnsi="宋体"/>
          <w:color w:val="auto"/>
          <w:highlight w:val="none"/>
        </w:rPr>
        <w:t>以人民币（大写）</w:t>
      </w:r>
      <w:r>
        <w:rPr>
          <w:rFonts w:hAnsi="宋体"/>
          <w:color w:val="auto"/>
          <w:highlight w:val="none"/>
          <w:u w:val="single"/>
        </w:rPr>
        <w:t xml:space="preserve"> </w:t>
      </w:r>
      <w:r>
        <w:rPr>
          <w:rFonts w:hint="eastAsia" w:hAnsi="宋体"/>
          <w:color w:val="auto"/>
          <w:highlight w:val="none"/>
          <w:u w:val="single"/>
        </w:rPr>
        <w:t xml:space="preserve">         </w:t>
      </w:r>
      <w:r>
        <w:rPr>
          <w:rFonts w:hAnsi="宋体"/>
          <w:color w:val="auto"/>
          <w:highlight w:val="none"/>
        </w:rPr>
        <w:t>（</w:t>
      </w:r>
      <w:r>
        <w:rPr>
          <w:rFonts w:hint="eastAsia" w:hAnsi="宋体"/>
          <w:color w:val="auto"/>
          <w:highlight w:val="none"/>
        </w:rPr>
        <w:t>￥</w:t>
      </w:r>
      <w:r>
        <w:rPr>
          <w:rFonts w:hint="eastAsia" w:hAnsi="宋体"/>
          <w:color w:val="auto"/>
          <w:highlight w:val="none"/>
          <w:u w:val="single"/>
        </w:rPr>
        <w:t xml:space="preserve">           </w:t>
      </w:r>
      <w:r>
        <w:rPr>
          <w:rFonts w:hAnsi="宋体"/>
          <w:color w:val="auto"/>
          <w:highlight w:val="none"/>
        </w:rPr>
        <w:t>）的投标</w:t>
      </w:r>
      <w:r>
        <w:rPr>
          <w:rFonts w:hint="eastAsia" w:hAnsi="宋体"/>
          <w:color w:val="auto"/>
          <w:highlight w:val="none"/>
        </w:rPr>
        <w:t>总报价（其中，增值税税率为</w:t>
      </w:r>
      <w:r>
        <w:rPr>
          <w:rFonts w:hint="eastAsia" w:hAnsi="宋体"/>
          <w:color w:val="auto"/>
          <w:highlight w:val="none"/>
          <w:u w:val="single"/>
        </w:rPr>
        <w:t xml:space="preserve">        </w:t>
      </w:r>
      <w:r>
        <w:rPr>
          <w:rFonts w:hint="eastAsia" w:hAnsi="宋体"/>
          <w:color w:val="auto"/>
          <w:highlight w:val="none"/>
        </w:rPr>
        <w:t>），并按合同约定履行义务</w:t>
      </w:r>
      <w:r>
        <w:rPr>
          <w:rFonts w:hAnsi="宋体"/>
          <w:color w:val="auto"/>
          <w:highlight w:val="none"/>
        </w:rPr>
        <w:t>。</w:t>
      </w:r>
    </w:p>
    <w:p w14:paraId="021DA077">
      <w:pPr>
        <w:numPr>
          <w:ilvl w:val="0"/>
          <w:numId w:val="9"/>
        </w:numPr>
        <w:spacing w:line="360" w:lineRule="auto"/>
        <w:ind w:firstLine="438" w:firstLineChars="209"/>
        <w:jc w:val="left"/>
        <w:rPr>
          <w:rFonts w:hint="eastAsia" w:ascii="宋体" w:hAnsi="宋体"/>
          <w:color w:val="auto"/>
          <w:szCs w:val="21"/>
          <w:highlight w:val="none"/>
        </w:rPr>
      </w:pPr>
      <w:r>
        <w:rPr>
          <w:rFonts w:hint="eastAsia" w:ascii="宋体" w:hAnsi="宋体"/>
          <w:color w:val="auto"/>
          <w:szCs w:val="21"/>
          <w:highlight w:val="none"/>
        </w:rPr>
        <w:t>我方的投标文件包括下列内容：</w:t>
      </w:r>
    </w:p>
    <w:p w14:paraId="1F8B0966">
      <w:pPr>
        <w:spacing w:line="360" w:lineRule="auto"/>
        <w:ind w:firstLine="438" w:firstLineChars="209"/>
        <w:jc w:val="left"/>
        <w:rPr>
          <w:rFonts w:hint="eastAsia" w:ascii="宋体" w:hAnsi="宋体"/>
          <w:color w:val="auto"/>
          <w:szCs w:val="21"/>
          <w:highlight w:val="none"/>
        </w:rPr>
      </w:pPr>
      <w:r>
        <w:rPr>
          <w:rFonts w:hint="eastAsia" w:ascii="宋体" w:hAnsi="宋体"/>
          <w:color w:val="auto"/>
          <w:szCs w:val="21"/>
          <w:highlight w:val="none"/>
        </w:rPr>
        <w:t>（1）投标函；</w:t>
      </w:r>
    </w:p>
    <w:p w14:paraId="21B9D325">
      <w:pPr>
        <w:spacing w:line="360" w:lineRule="auto"/>
        <w:ind w:firstLine="438" w:firstLineChars="209"/>
        <w:jc w:val="left"/>
        <w:rPr>
          <w:rFonts w:hint="eastAsia" w:ascii="宋体" w:hAnsi="宋体"/>
          <w:color w:val="auto"/>
          <w:szCs w:val="21"/>
          <w:highlight w:val="none"/>
        </w:rPr>
      </w:pPr>
      <w:r>
        <w:rPr>
          <w:rFonts w:hint="eastAsia" w:ascii="宋体" w:hAnsi="宋体"/>
          <w:color w:val="auto"/>
          <w:szCs w:val="21"/>
          <w:highlight w:val="none"/>
        </w:rPr>
        <w:t>（2）法定代表人身份证明或授权委托书；</w:t>
      </w:r>
    </w:p>
    <w:p w14:paraId="2E1A572D">
      <w:pPr>
        <w:spacing w:line="360" w:lineRule="auto"/>
        <w:ind w:firstLine="438" w:firstLineChars="209"/>
        <w:jc w:val="left"/>
        <w:rPr>
          <w:rFonts w:hint="eastAsia" w:ascii="宋体" w:hAnsi="宋体"/>
          <w:color w:val="auto"/>
          <w:szCs w:val="21"/>
          <w:highlight w:val="none"/>
        </w:rPr>
      </w:pPr>
      <w:r>
        <w:rPr>
          <w:rFonts w:hint="eastAsia" w:ascii="宋体" w:hAnsi="宋体"/>
          <w:color w:val="auto"/>
          <w:szCs w:val="21"/>
          <w:highlight w:val="none"/>
        </w:rPr>
        <w:t>（3）联合体协议书（如有）；</w:t>
      </w:r>
    </w:p>
    <w:p w14:paraId="6C6359C9">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lang w:val="en-US" w:eastAsia="zh-CN"/>
        </w:rPr>
        <w:t>响应</w:t>
      </w:r>
      <w:r>
        <w:rPr>
          <w:rFonts w:hint="eastAsia" w:ascii="宋体" w:hAnsi="宋体"/>
          <w:color w:val="auto"/>
          <w:szCs w:val="21"/>
          <w:highlight w:val="none"/>
        </w:rPr>
        <w:t>文件的上述组成部分如存在内容不一致的，以投标函为准。</w:t>
      </w:r>
    </w:p>
    <w:p w14:paraId="27289143">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3．我方承诺除商务和技术偏差表列出的偏差外，我方响应</w:t>
      </w:r>
      <w:r>
        <w:rPr>
          <w:rFonts w:hint="eastAsia" w:ascii="宋体" w:hAnsi="宋体"/>
          <w:color w:val="auto"/>
          <w:szCs w:val="21"/>
          <w:highlight w:val="none"/>
          <w:lang w:val="en-US" w:eastAsia="zh-CN"/>
        </w:rPr>
        <w:t>谈判</w:t>
      </w:r>
      <w:r>
        <w:rPr>
          <w:rFonts w:hint="eastAsia" w:ascii="宋体" w:hAnsi="宋体"/>
          <w:color w:val="auto"/>
          <w:szCs w:val="21"/>
          <w:highlight w:val="none"/>
        </w:rPr>
        <w:t>文件的全部要求。</w:t>
      </w:r>
    </w:p>
    <w:p w14:paraId="0911EDFC">
      <w:pPr>
        <w:pStyle w:val="16"/>
        <w:numPr>
          <w:ilvl w:val="0"/>
          <w:numId w:val="10"/>
        </w:numPr>
        <w:snapToGrid w:val="0"/>
        <w:spacing w:line="360" w:lineRule="auto"/>
        <w:ind w:firstLine="420"/>
        <w:rPr>
          <w:rFonts w:hint="eastAsia" w:hAnsi="宋体"/>
          <w:color w:val="auto"/>
          <w:highlight w:val="none"/>
        </w:rPr>
      </w:pPr>
      <w:r>
        <w:rPr>
          <w:rFonts w:hint="eastAsia" w:hAnsi="宋体"/>
          <w:color w:val="auto"/>
          <w:highlight w:val="none"/>
        </w:rPr>
        <w:t>我方承诺在</w:t>
      </w:r>
      <w:r>
        <w:rPr>
          <w:rFonts w:hint="eastAsia" w:hAnsi="宋体"/>
          <w:color w:val="auto"/>
          <w:highlight w:val="none"/>
          <w:lang w:val="en-US" w:eastAsia="zh-CN"/>
        </w:rPr>
        <w:t>谈判</w:t>
      </w:r>
      <w:r>
        <w:rPr>
          <w:rFonts w:hint="eastAsia" w:hAnsi="宋体"/>
          <w:color w:val="auto"/>
          <w:highlight w:val="none"/>
        </w:rPr>
        <w:t>文件规定的投标有效期内不撤销</w:t>
      </w:r>
      <w:r>
        <w:rPr>
          <w:rFonts w:hint="eastAsia" w:hAnsi="宋体"/>
          <w:color w:val="auto"/>
          <w:highlight w:val="none"/>
          <w:lang w:val="en-US" w:eastAsia="zh-CN"/>
        </w:rPr>
        <w:t>响应</w:t>
      </w:r>
      <w:r>
        <w:rPr>
          <w:rFonts w:hint="eastAsia" w:hAnsi="宋体"/>
          <w:color w:val="auto"/>
          <w:highlight w:val="none"/>
        </w:rPr>
        <w:t>文件。</w:t>
      </w:r>
    </w:p>
    <w:p w14:paraId="7C30225C">
      <w:pPr>
        <w:numPr>
          <w:ilvl w:val="0"/>
          <w:numId w:val="10"/>
        </w:num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如我方中标，我方承诺：</w:t>
      </w:r>
    </w:p>
    <w:p w14:paraId="2B4870CF">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（1）在收到中标通知书后，在中标通知书规定的期限内与你方签订合同；</w:t>
      </w:r>
    </w:p>
    <w:p w14:paraId="5D1FE9DC">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（2）在签订合同时不向你方提出附加条件；</w:t>
      </w:r>
    </w:p>
    <w:p w14:paraId="1F0B9339">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（3）按照招标文件要求提交履约保证金；</w:t>
      </w:r>
    </w:p>
    <w:p w14:paraId="638EB739">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（4）在合同约定的期限内完成合同规定的全部义务。</w:t>
      </w:r>
    </w:p>
    <w:p w14:paraId="34C6566C">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6．我方在此声明，所递交的</w:t>
      </w:r>
      <w:r>
        <w:rPr>
          <w:rFonts w:hint="eastAsia" w:ascii="宋体" w:hAnsi="宋体"/>
          <w:color w:val="auto"/>
          <w:szCs w:val="21"/>
          <w:highlight w:val="none"/>
          <w:lang w:val="en-US" w:eastAsia="zh-CN"/>
        </w:rPr>
        <w:t>响应</w:t>
      </w:r>
      <w:r>
        <w:rPr>
          <w:rFonts w:hint="eastAsia" w:ascii="宋体" w:hAnsi="宋体"/>
          <w:color w:val="auto"/>
          <w:szCs w:val="21"/>
          <w:highlight w:val="none"/>
        </w:rPr>
        <w:t>文件及有关资料内容完整、真实和准确，且不存在第二章“</w:t>
      </w:r>
      <w:r>
        <w:rPr>
          <w:rFonts w:hint="eastAsia" w:ascii="宋体" w:hAnsi="宋体"/>
          <w:color w:val="auto"/>
          <w:szCs w:val="21"/>
          <w:highlight w:val="none"/>
          <w:lang w:eastAsia="zh-CN"/>
        </w:rPr>
        <w:t>供应商</w:t>
      </w:r>
      <w:r>
        <w:rPr>
          <w:rFonts w:hint="eastAsia" w:ascii="宋体" w:hAnsi="宋体"/>
          <w:color w:val="auto"/>
          <w:szCs w:val="21"/>
          <w:highlight w:val="none"/>
        </w:rPr>
        <w:t>须知”第</w:t>
      </w:r>
      <w:r>
        <w:rPr>
          <w:rFonts w:hint="eastAsia" w:ascii="宋体" w:hAnsi="宋体"/>
          <w:color w:val="auto"/>
          <w:szCs w:val="21"/>
          <w:highlight w:val="none"/>
          <w:lang w:val="en-US" w:eastAsia="zh-CN"/>
        </w:rPr>
        <w:t>8.5.3</w:t>
      </w:r>
      <w:r>
        <w:rPr>
          <w:rFonts w:hint="eastAsia" w:ascii="宋体" w:hAnsi="宋体"/>
          <w:color w:val="auto"/>
          <w:szCs w:val="21"/>
          <w:highlight w:val="none"/>
        </w:rPr>
        <w:t xml:space="preserve"> 项规定的任何一种情形。</w:t>
      </w:r>
    </w:p>
    <w:p w14:paraId="346D581F">
      <w:pPr>
        <w:pStyle w:val="16"/>
        <w:snapToGrid w:val="0"/>
        <w:spacing w:line="360" w:lineRule="auto"/>
        <w:ind w:firstLine="420"/>
        <w:rPr>
          <w:rFonts w:hint="eastAsia" w:ascii="宋体" w:hAnsi="宋体"/>
          <w:color w:val="auto"/>
          <w:szCs w:val="21"/>
          <w:highlight w:val="none"/>
          <w:u w:val="none"/>
          <w:lang w:eastAsia="zh-CN"/>
        </w:rPr>
      </w:pPr>
      <w:r>
        <w:rPr>
          <w:rFonts w:hint="eastAsia" w:hAnsi="宋体"/>
          <w:color w:val="auto"/>
          <w:highlight w:val="none"/>
          <w:lang w:val="en-US" w:eastAsia="zh-CN"/>
        </w:rPr>
        <w:t>7.合同履行期限：</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p>
    <w:p w14:paraId="1CE6544C">
      <w:pPr>
        <w:pStyle w:val="16"/>
        <w:snapToGrid w:val="0"/>
        <w:spacing w:line="360" w:lineRule="auto"/>
        <w:ind w:firstLine="420"/>
        <w:rPr>
          <w:rFonts w:hint="default" w:ascii="宋体" w:hAnsi="宋体"/>
          <w:color w:val="auto"/>
          <w:szCs w:val="21"/>
          <w:highlight w:val="none"/>
          <w:u w:val="none"/>
          <w:lang w:val="en-US" w:eastAsia="zh-CN"/>
        </w:rPr>
      </w:pPr>
      <w:r>
        <w:rPr>
          <w:rFonts w:hint="eastAsia" w:hAnsi="宋体"/>
          <w:color w:val="auto"/>
          <w:szCs w:val="21"/>
          <w:highlight w:val="none"/>
          <w:u w:val="none"/>
          <w:lang w:val="en-US" w:eastAsia="zh-CN"/>
        </w:rPr>
        <w:t>8.其他......</w:t>
      </w:r>
    </w:p>
    <w:p w14:paraId="2FE1B573">
      <w:pPr>
        <w:pStyle w:val="16"/>
        <w:snapToGrid w:val="0"/>
        <w:spacing w:line="360" w:lineRule="auto"/>
        <w:ind w:firstLine="3578" w:firstLineChars="1704"/>
        <w:rPr>
          <w:rFonts w:hint="eastAsia" w:hAnsi="宋体"/>
          <w:color w:val="auto"/>
          <w:highlight w:val="none"/>
          <w:lang w:val="en-US" w:eastAsia="zh-CN"/>
        </w:rPr>
      </w:pPr>
    </w:p>
    <w:p w14:paraId="6B849217">
      <w:pPr>
        <w:pStyle w:val="16"/>
        <w:snapToGrid w:val="0"/>
        <w:spacing w:line="360" w:lineRule="auto"/>
        <w:ind w:firstLine="3578" w:firstLineChars="1704"/>
        <w:rPr>
          <w:rFonts w:hint="eastAsia" w:hAnsi="宋体"/>
          <w:color w:val="auto"/>
          <w:highlight w:val="none"/>
          <w:lang w:val="en-US" w:eastAsia="zh-CN"/>
        </w:rPr>
      </w:pPr>
    </w:p>
    <w:p w14:paraId="1661DCB7">
      <w:pPr>
        <w:pStyle w:val="16"/>
        <w:snapToGrid w:val="0"/>
        <w:spacing w:line="360" w:lineRule="auto"/>
        <w:ind w:firstLine="3578" w:firstLineChars="1704"/>
        <w:rPr>
          <w:rFonts w:hint="eastAsia" w:hAnsi="宋体"/>
          <w:color w:val="auto"/>
          <w:highlight w:val="none"/>
          <w:u w:val="single"/>
        </w:rPr>
      </w:pPr>
      <w:r>
        <w:rPr>
          <w:rFonts w:hint="eastAsia" w:hAnsi="宋体"/>
          <w:color w:val="auto"/>
          <w:highlight w:val="none"/>
          <w:lang w:val="en-US" w:eastAsia="zh-CN"/>
        </w:rPr>
        <w:t>供应商</w:t>
      </w:r>
      <w:r>
        <w:rPr>
          <w:rFonts w:hAnsi="宋体"/>
          <w:color w:val="auto"/>
          <w:highlight w:val="none"/>
        </w:rPr>
        <w:t>：</w:t>
      </w:r>
      <w:r>
        <w:rPr>
          <w:rFonts w:hint="eastAsia" w:hAnsi="宋体"/>
          <w:color w:val="auto"/>
          <w:highlight w:val="none"/>
          <w:u w:val="single"/>
        </w:rPr>
        <w:t xml:space="preserve">                      </w:t>
      </w:r>
      <w:r>
        <w:rPr>
          <w:rFonts w:hAnsi="宋体"/>
          <w:color w:val="auto"/>
          <w:highlight w:val="none"/>
        </w:rPr>
        <w:t>（</w:t>
      </w:r>
      <w:r>
        <w:rPr>
          <w:rFonts w:hint="eastAsia" w:hAnsi="宋体"/>
          <w:color w:val="auto"/>
          <w:highlight w:val="none"/>
        </w:rPr>
        <w:t>盖单位章</w:t>
      </w:r>
      <w:r>
        <w:rPr>
          <w:rFonts w:hAnsi="宋体"/>
          <w:color w:val="auto"/>
          <w:highlight w:val="none"/>
        </w:rPr>
        <w:t>）</w:t>
      </w:r>
    </w:p>
    <w:p w14:paraId="6F35CF26">
      <w:pPr>
        <w:pStyle w:val="16"/>
        <w:wordWrap w:val="0"/>
        <w:snapToGrid w:val="0"/>
        <w:spacing w:line="360" w:lineRule="auto"/>
        <w:ind w:firstLine="3578" w:firstLineChars="1704"/>
        <w:rPr>
          <w:rFonts w:hint="eastAsia" w:hAnsi="宋体"/>
          <w:color w:val="auto"/>
          <w:highlight w:val="none"/>
          <w:u w:val="single"/>
        </w:rPr>
      </w:pPr>
      <w:r>
        <w:rPr>
          <w:rFonts w:hAnsi="宋体"/>
          <w:color w:val="auto"/>
          <w:highlight w:val="none"/>
        </w:rPr>
        <w:t>法定代表人或</w:t>
      </w:r>
      <w:r>
        <w:rPr>
          <w:rFonts w:hint="eastAsia" w:hAnsi="宋体"/>
          <w:color w:val="auto"/>
          <w:highlight w:val="none"/>
        </w:rPr>
        <w:t>其</w:t>
      </w:r>
      <w:r>
        <w:rPr>
          <w:rFonts w:hAnsi="宋体"/>
          <w:color w:val="auto"/>
          <w:highlight w:val="none"/>
        </w:rPr>
        <w:t>授权代理人：</w:t>
      </w:r>
      <w:r>
        <w:rPr>
          <w:rFonts w:hint="eastAsia" w:hAnsi="宋体"/>
          <w:color w:val="auto"/>
          <w:highlight w:val="none"/>
          <w:u w:val="single"/>
        </w:rPr>
        <w:t xml:space="preserve">        </w:t>
      </w:r>
      <w:r>
        <w:rPr>
          <w:rFonts w:hint="eastAsia" w:hAnsi="宋体"/>
          <w:color w:val="auto"/>
          <w:highlight w:val="none"/>
        </w:rPr>
        <w:t>（</w:t>
      </w:r>
      <w:r>
        <w:rPr>
          <w:rFonts w:hAnsi="宋体"/>
          <w:color w:val="auto"/>
          <w:highlight w:val="none"/>
        </w:rPr>
        <w:t>签字</w:t>
      </w:r>
      <w:r>
        <w:rPr>
          <w:rFonts w:hint="eastAsia" w:hAnsi="宋体"/>
          <w:color w:val="auto"/>
          <w:highlight w:val="none"/>
          <w:lang w:eastAsia="zh-CN"/>
        </w:rPr>
        <w:t>盖章</w:t>
      </w:r>
      <w:r>
        <w:rPr>
          <w:rFonts w:hint="eastAsia" w:hAnsi="宋体"/>
          <w:color w:val="auto"/>
          <w:highlight w:val="none"/>
        </w:rPr>
        <w:t>）</w:t>
      </w:r>
    </w:p>
    <w:p w14:paraId="7BF372F3">
      <w:pPr>
        <w:pStyle w:val="16"/>
        <w:wordWrap w:val="0"/>
        <w:snapToGrid w:val="0"/>
        <w:spacing w:line="360" w:lineRule="auto"/>
        <w:ind w:firstLine="3578" w:firstLineChars="1704"/>
        <w:rPr>
          <w:rFonts w:hint="eastAsia" w:hAnsi="宋体"/>
          <w:color w:val="auto"/>
          <w:highlight w:val="none"/>
          <w:u w:val="single"/>
        </w:rPr>
      </w:pPr>
      <w:r>
        <w:rPr>
          <w:rFonts w:hint="eastAsia" w:hAnsi="宋体"/>
          <w:color w:val="auto"/>
          <w:highlight w:val="none"/>
        </w:rPr>
        <w:t xml:space="preserve">地  址： </w:t>
      </w:r>
      <w:r>
        <w:rPr>
          <w:rFonts w:hint="eastAsia" w:hAnsi="宋体"/>
          <w:color w:val="auto"/>
          <w:highlight w:val="none"/>
          <w:u w:val="single"/>
        </w:rPr>
        <w:t xml:space="preserve">                          </w:t>
      </w:r>
    </w:p>
    <w:p w14:paraId="3D897D94">
      <w:pPr>
        <w:pStyle w:val="16"/>
        <w:wordWrap w:val="0"/>
        <w:snapToGrid w:val="0"/>
        <w:spacing w:line="360" w:lineRule="auto"/>
        <w:ind w:firstLine="3578" w:firstLineChars="1704"/>
        <w:rPr>
          <w:rFonts w:hint="eastAsia" w:hAnsi="宋体"/>
          <w:color w:val="auto"/>
          <w:highlight w:val="none"/>
          <w:u w:val="single"/>
        </w:rPr>
      </w:pPr>
      <w:r>
        <w:rPr>
          <w:rFonts w:hint="eastAsia" w:hAnsi="宋体"/>
          <w:color w:val="auto"/>
          <w:highlight w:val="none"/>
        </w:rPr>
        <w:t xml:space="preserve">网  址： </w:t>
      </w:r>
      <w:r>
        <w:rPr>
          <w:rFonts w:hint="eastAsia" w:hAnsi="宋体"/>
          <w:color w:val="auto"/>
          <w:highlight w:val="none"/>
          <w:u w:val="single"/>
        </w:rPr>
        <w:t xml:space="preserve">                          </w:t>
      </w:r>
    </w:p>
    <w:p w14:paraId="0BAE7852">
      <w:pPr>
        <w:pStyle w:val="16"/>
        <w:wordWrap w:val="0"/>
        <w:snapToGrid w:val="0"/>
        <w:spacing w:line="360" w:lineRule="auto"/>
        <w:ind w:firstLine="3578" w:firstLineChars="1704"/>
        <w:rPr>
          <w:rFonts w:hint="eastAsia" w:hAnsi="宋体"/>
          <w:color w:val="auto"/>
          <w:highlight w:val="none"/>
          <w:u w:val="single"/>
        </w:rPr>
      </w:pPr>
      <w:r>
        <w:rPr>
          <w:rFonts w:hint="eastAsia" w:hAnsi="宋体"/>
          <w:color w:val="auto"/>
          <w:highlight w:val="none"/>
        </w:rPr>
        <w:t>电  话：</w:t>
      </w:r>
      <w:r>
        <w:rPr>
          <w:rFonts w:hint="eastAsia" w:hAnsi="宋体"/>
          <w:color w:val="auto"/>
          <w:highlight w:val="none"/>
          <w:u w:val="single"/>
        </w:rPr>
        <w:t xml:space="preserve">                           </w:t>
      </w:r>
    </w:p>
    <w:p w14:paraId="00ED0841">
      <w:pPr>
        <w:pStyle w:val="16"/>
        <w:wordWrap w:val="0"/>
        <w:snapToGrid w:val="0"/>
        <w:spacing w:line="360" w:lineRule="auto"/>
        <w:ind w:firstLine="3578" w:firstLineChars="1704"/>
        <w:rPr>
          <w:rFonts w:hint="eastAsia" w:hAnsi="宋体"/>
          <w:color w:val="auto"/>
          <w:highlight w:val="none"/>
          <w:u w:val="single"/>
        </w:rPr>
      </w:pPr>
      <w:r>
        <w:rPr>
          <w:rFonts w:hint="eastAsia" w:hAnsi="宋体"/>
          <w:color w:val="auto"/>
          <w:highlight w:val="none"/>
        </w:rPr>
        <w:t>传  真：</w:t>
      </w:r>
      <w:r>
        <w:rPr>
          <w:rFonts w:hint="eastAsia" w:hAnsi="宋体"/>
          <w:color w:val="auto"/>
          <w:highlight w:val="none"/>
          <w:u w:val="single"/>
        </w:rPr>
        <w:t xml:space="preserve">                           </w:t>
      </w:r>
    </w:p>
    <w:p w14:paraId="35D5184F">
      <w:pPr>
        <w:pStyle w:val="16"/>
        <w:wordWrap w:val="0"/>
        <w:snapToGrid w:val="0"/>
        <w:spacing w:line="360" w:lineRule="auto"/>
        <w:ind w:firstLine="3578" w:firstLineChars="1704"/>
        <w:rPr>
          <w:rFonts w:hint="eastAsia" w:hAnsi="宋体"/>
          <w:color w:val="auto"/>
          <w:highlight w:val="none"/>
          <w:u w:val="single"/>
        </w:rPr>
      </w:pPr>
      <w:r>
        <w:rPr>
          <w:rFonts w:hint="eastAsia" w:hAnsi="宋体"/>
          <w:color w:val="auto"/>
          <w:highlight w:val="none"/>
        </w:rPr>
        <w:t>邮  编：</w:t>
      </w:r>
      <w:r>
        <w:rPr>
          <w:rFonts w:hint="eastAsia" w:hAnsi="宋体"/>
          <w:color w:val="auto"/>
          <w:highlight w:val="none"/>
          <w:u w:val="single"/>
        </w:rPr>
        <w:t xml:space="preserve">                           </w:t>
      </w:r>
    </w:p>
    <w:p w14:paraId="1D9D3EC5">
      <w:pPr>
        <w:pStyle w:val="16"/>
        <w:wordWrap w:val="0"/>
        <w:snapToGrid w:val="0"/>
        <w:spacing w:line="360" w:lineRule="auto"/>
        <w:ind w:firstLine="4200" w:firstLineChars="2000"/>
        <w:jc w:val="left"/>
        <w:rPr>
          <w:rFonts w:hAnsi="宋体"/>
          <w:color w:val="auto"/>
          <w:highlight w:val="none"/>
        </w:rPr>
      </w:pPr>
      <w:r>
        <w:rPr>
          <w:rFonts w:hAnsi="宋体"/>
          <w:color w:val="auto"/>
          <w:highlight w:val="none"/>
          <w:u w:val="single"/>
        </w:rPr>
        <w:t xml:space="preserve">    </w:t>
      </w:r>
      <w:r>
        <w:rPr>
          <w:rFonts w:hint="eastAsia" w:hAnsi="宋体"/>
          <w:color w:val="auto"/>
          <w:highlight w:val="none"/>
          <w:u w:val="single"/>
        </w:rPr>
        <w:t xml:space="preserve">  </w:t>
      </w:r>
      <w:r>
        <w:rPr>
          <w:rFonts w:hAnsi="宋体"/>
          <w:color w:val="auto"/>
          <w:highlight w:val="none"/>
          <w:u w:val="single"/>
        </w:rPr>
        <w:t xml:space="preserve"> </w:t>
      </w:r>
      <w:r>
        <w:rPr>
          <w:rFonts w:hAnsi="宋体"/>
          <w:color w:val="auto"/>
          <w:highlight w:val="none"/>
        </w:rPr>
        <w:t xml:space="preserve"> 年</w:t>
      </w:r>
      <w:r>
        <w:rPr>
          <w:rFonts w:hAnsi="宋体"/>
          <w:color w:val="auto"/>
          <w:highlight w:val="none"/>
          <w:u w:val="single"/>
        </w:rPr>
        <w:t xml:space="preserve">   </w:t>
      </w:r>
      <w:r>
        <w:rPr>
          <w:rFonts w:hint="eastAsia" w:hAnsi="宋体"/>
          <w:color w:val="auto"/>
          <w:highlight w:val="none"/>
          <w:u w:val="single"/>
        </w:rPr>
        <w:t xml:space="preserve">    </w:t>
      </w:r>
      <w:r>
        <w:rPr>
          <w:rFonts w:hAnsi="宋体"/>
          <w:color w:val="auto"/>
          <w:highlight w:val="none"/>
          <w:u w:val="single"/>
        </w:rPr>
        <w:t xml:space="preserve"> </w:t>
      </w:r>
      <w:r>
        <w:rPr>
          <w:rFonts w:hAnsi="宋体"/>
          <w:color w:val="auto"/>
          <w:highlight w:val="none"/>
        </w:rPr>
        <w:t>月</w:t>
      </w:r>
      <w:r>
        <w:rPr>
          <w:rFonts w:hAnsi="宋体"/>
          <w:color w:val="auto"/>
          <w:highlight w:val="none"/>
          <w:u w:val="single"/>
        </w:rPr>
        <w:t xml:space="preserve">   </w:t>
      </w:r>
      <w:r>
        <w:rPr>
          <w:rFonts w:hint="eastAsia" w:hAnsi="宋体"/>
          <w:color w:val="auto"/>
          <w:highlight w:val="none"/>
          <w:u w:val="single"/>
        </w:rPr>
        <w:t xml:space="preserve">   </w:t>
      </w:r>
      <w:r>
        <w:rPr>
          <w:rFonts w:hAnsi="宋体"/>
          <w:color w:val="auto"/>
          <w:highlight w:val="none"/>
          <w:u w:val="single"/>
        </w:rPr>
        <w:t xml:space="preserve"> </w:t>
      </w:r>
      <w:r>
        <w:rPr>
          <w:rFonts w:hAnsi="宋体"/>
          <w:color w:val="auto"/>
          <w:highlight w:val="none"/>
        </w:rPr>
        <w:t>日</w:t>
      </w:r>
    </w:p>
    <w:p w14:paraId="1FBA3EB2">
      <w:pPr>
        <w:spacing w:line="360" w:lineRule="auto"/>
        <w:rPr>
          <w:rFonts w:hint="eastAsia"/>
          <w:color w:val="auto"/>
          <w:szCs w:val="21"/>
          <w:highlight w:val="none"/>
        </w:rPr>
      </w:pPr>
      <w:bookmarkStart w:id="28" w:name="_Toc238552301"/>
      <w:bookmarkStart w:id="29" w:name="_Toc152042580"/>
      <w:bookmarkStart w:id="30" w:name="_Toc238797663"/>
      <w:bookmarkStart w:id="31" w:name="_Toc152045791"/>
      <w:bookmarkStart w:id="32" w:name="_Toc144974860"/>
      <w:bookmarkStart w:id="33" w:name="_Toc285981645"/>
      <w:bookmarkStart w:id="34" w:name="_Toc262740154"/>
    </w:p>
    <w:p w14:paraId="6A9B3281">
      <w:pPr>
        <w:pStyle w:val="3"/>
        <w:jc w:val="center"/>
        <w:rPr>
          <w:rFonts w:hint="eastAsia" w:ascii="宋体" w:hAnsi="宋体" w:cs="宋体"/>
          <w:color w:val="auto"/>
          <w:highlight w:val="none"/>
          <w:lang w:eastAsia="zh-CN"/>
        </w:rPr>
      </w:pPr>
      <w:bookmarkStart w:id="35" w:name="_Toc28397"/>
      <w:bookmarkStart w:id="36" w:name="_Toc26075"/>
      <w:bookmarkStart w:id="37" w:name="_Toc435802466"/>
      <w:r>
        <w:rPr>
          <w:rFonts w:hint="eastAsia" w:ascii="宋体" w:hAnsi="宋体" w:cs="宋体"/>
          <w:color w:val="auto"/>
          <w:highlight w:val="none"/>
          <w:lang w:eastAsia="zh-CN"/>
        </w:rPr>
        <w:t>二、法定代表人身份证明</w:t>
      </w:r>
      <w:bookmarkEnd w:id="28"/>
      <w:bookmarkEnd w:id="29"/>
      <w:bookmarkEnd w:id="30"/>
      <w:bookmarkEnd w:id="31"/>
      <w:bookmarkEnd w:id="32"/>
      <w:bookmarkEnd w:id="33"/>
      <w:bookmarkEnd w:id="34"/>
      <w:bookmarkEnd w:id="35"/>
      <w:bookmarkEnd w:id="36"/>
      <w:bookmarkEnd w:id="37"/>
    </w:p>
    <w:p w14:paraId="16B93A00">
      <w:pPr>
        <w:spacing w:line="480" w:lineRule="auto"/>
        <w:ind w:firstLine="420" w:firstLineChars="200"/>
        <w:rPr>
          <w:rFonts w:ascii="宋体" w:hAnsi="宋体"/>
          <w:color w:val="auto"/>
          <w:szCs w:val="21"/>
          <w:highlight w:val="none"/>
          <w:u w:val="single"/>
        </w:rPr>
      </w:pPr>
      <w:r>
        <w:rPr>
          <w:rFonts w:hint="eastAsia" w:ascii="宋体" w:hAnsi="宋体"/>
          <w:color w:val="auto"/>
          <w:szCs w:val="21"/>
          <w:highlight w:val="none"/>
          <w:lang w:val="en-US" w:eastAsia="zh-CN"/>
        </w:rPr>
        <w:t>供应商</w:t>
      </w:r>
      <w:r>
        <w:rPr>
          <w:rFonts w:ascii="宋体" w:hAnsi="宋体"/>
          <w:color w:val="auto"/>
          <w:szCs w:val="21"/>
          <w:highlight w:val="none"/>
        </w:rPr>
        <w:t>名称：</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14:paraId="52885AD5">
      <w:pPr>
        <w:spacing w:line="480" w:lineRule="auto"/>
        <w:ind w:firstLine="420" w:firstLineChars="200"/>
        <w:rPr>
          <w:rFonts w:ascii="宋体" w:hAnsi="宋体"/>
          <w:color w:val="auto"/>
          <w:szCs w:val="21"/>
          <w:highlight w:val="none"/>
          <w:u w:val="single"/>
        </w:rPr>
      </w:pPr>
      <w:r>
        <w:rPr>
          <w:rFonts w:ascii="宋体" w:hAnsi="宋体"/>
          <w:color w:val="auto"/>
          <w:szCs w:val="21"/>
          <w:highlight w:val="none"/>
        </w:rPr>
        <w:t>姓名：</w:t>
      </w:r>
      <w:r>
        <w:rPr>
          <w:rFonts w:ascii="宋体" w:hAnsi="宋体"/>
          <w:color w:val="auto"/>
          <w:szCs w:val="21"/>
          <w:highlight w:val="none"/>
          <w:u w:val="single"/>
        </w:rPr>
        <w:t xml:space="preserve">        </w:t>
      </w:r>
      <w:r>
        <w:rPr>
          <w:rFonts w:ascii="宋体" w:hAnsi="宋体"/>
          <w:color w:val="auto"/>
          <w:szCs w:val="21"/>
          <w:highlight w:val="none"/>
        </w:rPr>
        <w:t xml:space="preserve"> 性别：</w:t>
      </w:r>
      <w:r>
        <w:rPr>
          <w:rFonts w:ascii="宋体" w:hAnsi="宋体"/>
          <w:color w:val="auto"/>
          <w:szCs w:val="21"/>
          <w:highlight w:val="none"/>
          <w:u w:val="single"/>
        </w:rPr>
        <w:t xml:space="preserve">         </w:t>
      </w:r>
      <w:r>
        <w:rPr>
          <w:rFonts w:ascii="宋体" w:hAnsi="宋体"/>
          <w:color w:val="auto"/>
          <w:szCs w:val="21"/>
          <w:highlight w:val="none"/>
        </w:rPr>
        <w:t xml:space="preserve"> 年龄：</w:t>
      </w:r>
      <w:r>
        <w:rPr>
          <w:rFonts w:ascii="宋体" w:hAnsi="宋体"/>
          <w:color w:val="auto"/>
          <w:szCs w:val="21"/>
          <w:highlight w:val="none"/>
          <w:u w:val="single"/>
        </w:rPr>
        <w:t xml:space="preserve">        </w:t>
      </w:r>
      <w:r>
        <w:rPr>
          <w:rFonts w:ascii="宋体" w:hAnsi="宋体"/>
          <w:color w:val="auto"/>
          <w:szCs w:val="21"/>
          <w:highlight w:val="none"/>
        </w:rPr>
        <w:t>职务：</w:t>
      </w:r>
      <w:r>
        <w:rPr>
          <w:rFonts w:ascii="宋体" w:hAnsi="宋体"/>
          <w:color w:val="auto"/>
          <w:szCs w:val="21"/>
          <w:highlight w:val="none"/>
          <w:u w:val="single"/>
        </w:rPr>
        <w:t xml:space="preserve">        </w:t>
      </w:r>
    </w:p>
    <w:p w14:paraId="37829EB6">
      <w:pPr>
        <w:spacing w:line="480" w:lineRule="auto"/>
        <w:ind w:firstLine="420" w:firstLineChars="200"/>
        <w:rPr>
          <w:rFonts w:ascii="宋体" w:hAnsi="宋体"/>
          <w:color w:val="auto"/>
          <w:szCs w:val="21"/>
          <w:highlight w:val="none"/>
        </w:rPr>
      </w:pPr>
      <w:r>
        <w:rPr>
          <w:rFonts w:ascii="宋体" w:hAnsi="宋体"/>
          <w:color w:val="auto"/>
          <w:szCs w:val="21"/>
          <w:highlight w:val="none"/>
        </w:rPr>
        <w:t>系</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w:t>
      </w:r>
      <w:r>
        <w:rPr>
          <w:rFonts w:hint="eastAsia" w:ascii="宋体" w:hAnsi="宋体"/>
          <w:color w:val="auto"/>
          <w:szCs w:val="21"/>
          <w:highlight w:val="none"/>
          <w:lang w:eastAsia="zh-CN"/>
        </w:rPr>
        <w:t>供应商</w:t>
      </w:r>
      <w:r>
        <w:rPr>
          <w:rFonts w:ascii="宋体" w:hAnsi="宋体"/>
          <w:color w:val="auto"/>
          <w:szCs w:val="21"/>
          <w:highlight w:val="none"/>
        </w:rPr>
        <w:t>名称</w:t>
      </w:r>
      <w:r>
        <w:rPr>
          <w:rFonts w:hint="eastAsia" w:ascii="宋体" w:hAnsi="宋体"/>
          <w:color w:val="auto"/>
          <w:szCs w:val="21"/>
          <w:highlight w:val="none"/>
        </w:rPr>
        <w:t>）</w:t>
      </w:r>
      <w:r>
        <w:rPr>
          <w:rFonts w:ascii="宋体" w:hAnsi="宋体"/>
          <w:color w:val="auto"/>
          <w:szCs w:val="21"/>
          <w:highlight w:val="none"/>
        </w:rPr>
        <w:t>的法定代表人。</w:t>
      </w:r>
    </w:p>
    <w:p w14:paraId="2F8484DB">
      <w:pPr>
        <w:spacing w:line="480" w:lineRule="auto"/>
        <w:ind w:firstLine="420" w:firstLineChars="200"/>
        <w:rPr>
          <w:rFonts w:ascii="宋体" w:hAnsi="宋体"/>
          <w:color w:val="auto"/>
          <w:szCs w:val="21"/>
          <w:highlight w:val="none"/>
        </w:rPr>
      </w:pPr>
      <w:r>
        <w:rPr>
          <w:rFonts w:ascii="宋体" w:hAnsi="宋体"/>
          <w:color w:val="auto"/>
          <w:szCs w:val="21"/>
          <w:highlight w:val="none"/>
        </w:rPr>
        <w:t>特此证明。</w:t>
      </w:r>
    </w:p>
    <w:p w14:paraId="5630E293">
      <w:pPr>
        <w:spacing w:line="480" w:lineRule="auto"/>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rPr>
        <w:t>附：法定代表人身份</w:t>
      </w:r>
      <w:r>
        <w:rPr>
          <w:rFonts w:hint="eastAsia" w:ascii="宋体" w:hAnsi="宋体"/>
          <w:color w:val="auto"/>
          <w:szCs w:val="21"/>
          <w:highlight w:val="none"/>
          <w:lang w:val="en-US" w:eastAsia="zh-CN"/>
        </w:rPr>
        <w:t>复印件加盖公章。</w:t>
      </w:r>
    </w:p>
    <w:p w14:paraId="467A682E">
      <w:pPr>
        <w:spacing w:line="480" w:lineRule="auto"/>
        <w:ind w:firstLine="420" w:firstLineChars="200"/>
        <w:rPr>
          <w:rFonts w:hint="eastAsia" w:ascii="宋体" w:hAnsi="宋体"/>
          <w:color w:val="auto"/>
          <w:szCs w:val="21"/>
          <w:highlight w:val="none"/>
        </w:rPr>
      </w:pPr>
      <w:r>
        <w:rPr>
          <w:rFonts w:hint="eastAsia" w:ascii="宋体" w:hAnsi="宋体"/>
          <w:color w:val="auto"/>
          <w:szCs w:val="21"/>
          <w:highlight w:val="none"/>
        </w:rPr>
        <w:t>注：本身份证明需由</w:t>
      </w:r>
      <w:r>
        <w:rPr>
          <w:rFonts w:hint="eastAsia" w:ascii="宋体" w:hAnsi="宋体"/>
          <w:color w:val="auto"/>
          <w:szCs w:val="21"/>
          <w:highlight w:val="none"/>
          <w:lang w:val="en-US" w:eastAsia="zh-CN"/>
        </w:rPr>
        <w:t>供应商</w:t>
      </w:r>
      <w:r>
        <w:rPr>
          <w:rFonts w:hint="eastAsia" w:ascii="宋体" w:hAnsi="宋体"/>
          <w:color w:val="auto"/>
          <w:szCs w:val="21"/>
          <w:highlight w:val="none"/>
        </w:rPr>
        <w:t>加盖单位公章。</w:t>
      </w:r>
    </w:p>
    <w:p w14:paraId="141B6753">
      <w:pPr>
        <w:spacing w:line="440" w:lineRule="exact"/>
        <w:rPr>
          <w:rFonts w:hint="eastAsia" w:ascii="宋体" w:hAnsi="宋体"/>
          <w:color w:val="auto"/>
          <w:szCs w:val="21"/>
          <w:highlight w:val="none"/>
        </w:rPr>
      </w:pPr>
    </w:p>
    <w:p w14:paraId="2A195E4D">
      <w:pPr>
        <w:spacing w:line="440" w:lineRule="exact"/>
        <w:rPr>
          <w:rFonts w:hint="eastAsia" w:ascii="宋体" w:hAnsi="宋体"/>
          <w:color w:val="auto"/>
          <w:szCs w:val="21"/>
          <w:highlight w:val="none"/>
        </w:rPr>
      </w:pPr>
    </w:p>
    <w:p w14:paraId="709F8BAB">
      <w:pPr>
        <w:spacing w:line="440" w:lineRule="exact"/>
        <w:rPr>
          <w:rFonts w:hint="eastAsia" w:ascii="宋体" w:hAnsi="宋体"/>
          <w:color w:val="auto"/>
          <w:szCs w:val="21"/>
          <w:highlight w:val="none"/>
        </w:rPr>
      </w:pPr>
    </w:p>
    <w:p w14:paraId="21A1D740">
      <w:pPr>
        <w:spacing w:line="440" w:lineRule="exact"/>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lang w:val="en-US" w:eastAsia="zh-CN"/>
        </w:rPr>
        <w:t>供应商</w:t>
      </w:r>
      <w:r>
        <w:rPr>
          <w:rFonts w:ascii="宋体" w:hAnsi="宋体"/>
          <w:color w:val="auto"/>
          <w:szCs w:val="21"/>
          <w:highlight w:val="none"/>
        </w:rPr>
        <w:t>：</w:t>
      </w:r>
      <w:r>
        <w:rPr>
          <w:rFonts w:ascii="宋体" w:hAnsi="宋体"/>
          <w:color w:val="auto"/>
          <w:szCs w:val="21"/>
          <w:highlight w:val="none"/>
          <w:u w:val="single"/>
        </w:rPr>
        <w:t xml:space="preserve">                 </w:t>
      </w:r>
      <w:r>
        <w:rPr>
          <w:rFonts w:ascii="宋体" w:hAnsi="宋体"/>
          <w:color w:val="auto"/>
          <w:szCs w:val="21"/>
          <w:highlight w:val="none"/>
        </w:rPr>
        <w:t>（盖单位章）</w:t>
      </w:r>
    </w:p>
    <w:p w14:paraId="671DFBD4">
      <w:pPr>
        <w:spacing w:line="440" w:lineRule="exact"/>
        <w:rPr>
          <w:rFonts w:ascii="宋体" w:hAnsi="宋体"/>
          <w:color w:val="auto"/>
          <w:szCs w:val="21"/>
          <w:highlight w:val="none"/>
        </w:rPr>
      </w:pPr>
    </w:p>
    <w:p w14:paraId="3FA8F2FB">
      <w:pPr>
        <w:spacing w:line="440" w:lineRule="exact"/>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u w:val="single"/>
        </w:rPr>
        <w:t xml:space="preserve">       </w:t>
      </w:r>
      <w:r>
        <w:rPr>
          <w:rFonts w:ascii="宋体" w:hAnsi="宋体"/>
          <w:color w:val="auto"/>
          <w:szCs w:val="21"/>
          <w:highlight w:val="none"/>
        </w:rPr>
        <w:t>年</w:t>
      </w:r>
      <w:r>
        <w:rPr>
          <w:rFonts w:ascii="宋体" w:hAnsi="宋体"/>
          <w:color w:val="auto"/>
          <w:szCs w:val="21"/>
          <w:highlight w:val="none"/>
          <w:u w:val="single"/>
        </w:rPr>
        <w:t xml:space="preserve">       </w:t>
      </w:r>
      <w:r>
        <w:rPr>
          <w:rFonts w:ascii="宋体" w:hAnsi="宋体"/>
          <w:color w:val="auto"/>
          <w:szCs w:val="21"/>
          <w:highlight w:val="none"/>
        </w:rPr>
        <w:t>月</w:t>
      </w:r>
      <w:r>
        <w:rPr>
          <w:rFonts w:ascii="宋体" w:hAnsi="宋体"/>
          <w:color w:val="auto"/>
          <w:szCs w:val="21"/>
          <w:highlight w:val="none"/>
          <w:u w:val="single"/>
        </w:rPr>
        <w:t xml:space="preserve">       </w:t>
      </w:r>
      <w:r>
        <w:rPr>
          <w:rFonts w:ascii="宋体" w:hAnsi="宋体"/>
          <w:color w:val="auto"/>
          <w:szCs w:val="21"/>
          <w:highlight w:val="none"/>
        </w:rPr>
        <w:t xml:space="preserve">日 </w:t>
      </w:r>
    </w:p>
    <w:p w14:paraId="30372B77">
      <w:pPr>
        <w:spacing w:line="440" w:lineRule="exact"/>
        <w:rPr>
          <w:rFonts w:ascii="宋体" w:hAnsi="宋体"/>
          <w:color w:val="auto"/>
          <w:sz w:val="20"/>
          <w:szCs w:val="20"/>
          <w:highlight w:val="none"/>
        </w:rPr>
      </w:pPr>
    </w:p>
    <w:p w14:paraId="45336B69">
      <w:pPr>
        <w:jc w:val="center"/>
        <w:rPr>
          <w:rFonts w:hint="eastAsia"/>
          <w:color w:val="auto"/>
          <w:highlight w:val="none"/>
        </w:rPr>
      </w:pPr>
      <w:bookmarkStart w:id="38" w:name="_Toc144974861"/>
      <w:bookmarkStart w:id="39" w:name="_Toc238797664"/>
      <w:bookmarkStart w:id="40" w:name="_Toc152042581"/>
      <w:bookmarkStart w:id="41" w:name="_Toc152045792"/>
      <w:bookmarkStart w:id="42" w:name="_Toc262740155"/>
      <w:bookmarkStart w:id="43" w:name="_Toc238552302"/>
      <w:r>
        <w:rPr>
          <w:color w:val="auto"/>
          <w:highlight w:val="none"/>
        </w:rPr>
        <w:br w:type="page"/>
      </w:r>
      <w:bookmarkStart w:id="44" w:name="_Toc285981646"/>
    </w:p>
    <w:p w14:paraId="257DB20A">
      <w:pPr>
        <w:pStyle w:val="3"/>
        <w:jc w:val="center"/>
        <w:rPr>
          <w:rFonts w:hint="eastAsia" w:ascii="宋体" w:hAnsi="宋体" w:cs="宋体"/>
          <w:color w:val="auto"/>
          <w:highlight w:val="none"/>
          <w:lang w:eastAsia="zh-CN"/>
        </w:rPr>
      </w:pPr>
      <w:bookmarkStart w:id="45" w:name="_Toc6778"/>
      <w:bookmarkStart w:id="46" w:name="_Toc25608"/>
      <w:bookmarkStart w:id="47" w:name="_Toc435802467"/>
      <w:r>
        <w:rPr>
          <w:rFonts w:hint="eastAsia" w:ascii="宋体" w:hAnsi="宋体" w:cs="宋体"/>
          <w:color w:val="auto"/>
          <w:highlight w:val="none"/>
          <w:lang w:val="en-US" w:eastAsia="zh-CN"/>
        </w:rPr>
        <w:t>三</w:t>
      </w:r>
      <w:r>
        <w:rPr>
          <w:rFonts w:hint="eastAsia" w:ascii="宋体" w:hAnsi="宋体" w:cs="宋体"/>
          <w:color w:val="auto"/>
          <w:highlight w:val="none"/>
          <w:lang w:eastAsia="zh-CN"/>
        </w:rPr>
        <w:t>、授权委托书</w:t>
      </w:r>
      <w:bookmarkEnd w:id="38"/>
      <w:bookmarkEnd w:id="39"/>
      <w:bookmarkEnd w:id="40"/>
      <w:bookmarkEnd w:id="41"/>
      <w:bookmarkEnd w:id="42"/>
      <w:bookmarkEnd w:id="43"/>
      <w:bookmarkEnd w:id="44"/>
      <w:bookmarkEnd w:id="45"/>
      <w:bookmarkEnd w:id="46"/>
      <w:bookmarkEnd w:id="47"/>
    </w:p>
    <w:p w14:paraId="4A932DEF">
      <w:pPr>
        <w:pStyle w:val="16"/>
        <w:snapToGrid w:val="0"/>
        <w:spacing w:line="480" w:lineRule="auto"/>
        <w:ind w:firstLine="840" w:firstLineChars="400"/>
        <w:rPr>
          <w:rFonts w:hint="eastAsia" w:hAnsi="宋体"/>
          <w:color w:val="auto"/>
          <w:highlight w:val="none"/>
        </w:rPr>
      </w:pPr>
      <w:r>
        <w:rPr>
          <w:rFonts w:hint="eastAsia" w:hAnsi="宋体"/>
          <w:color w:val="auto"/>
          <w:highlight w:val="none"/>
        </w:rPr>
        <w:t xml:space="preserve">本人 </w:t>
      </w:r>
      <w:r>
        <w:rPr>
          <w:rFonts w:hint="eastAsia" w:hAnsi="宋体"/>
          <w:color w:val="auto"/>
          <w:highlight w:val="none"/>
          <w:u w:val="single"/>
        </w:rPr>
        <w:t xml:space="preserve">          </w:t>
      </w:r>
      <w:r>
        <w:rPr>
          <w:rFonts w:hint="eastAsia" w:hAnsi="宋体"/>
          <w:color w:val="auto"/>
          <w:highlight w:val="none"/>
        </w:rPr>
        <w:t>（姓名）系</w:t>
      </w:r>
      <w:r>
        <w:rPr>
          <w:rFonts w:hint="eastAsia" w:hAnsi="宋体"/>
          <w:color w:val="auto"/>
          <w:highlight w:val="none"/>
          <w:u w:val="single"/>
        </w:rPr>
        <w:t xml:space="preserve">                    </w:t>
      </w:r>
      <w:r>
        <w:rPr>
          <w:rFonts w:hint="eastAsia" w:hAnsi="宋体"/>
          <w:color w:val="auto"/>
          <w:highlight w:val="none"/>
        </w:rPr>
        <w:t>（</w:t>
      </w:r>
      <w:r>
        <w:rPr>
          <w:rFonts w:hint="eastAsia" w:ascii="宋体" w:hAnsi="宋体"/>
          <w:color w:val="auto"/>
          <w:szCs w:val="21"/>
          <w:highlight w:val="none"/>
          <w:lang w:val="en-US" w:eastAsia="zh-CN"/>
        </w:rPr>
        <w:t>供应商</w:t>
      </w:r>
      <w:r>
        <w:rPr>
          <w:rFonts w:hint="eastAsia" w:hAnsi="宋体"/>
          <w:color w:val="auto"/>
          <w:highlight w:val="none"/>
        </w:rPr>
        <w:t>名称）的法定代表人，现委托</w:t>
      </w:r>
      <w:r>
        <w:rPr>
          <w:rFonts w:hint="eastAsia" w:hAnsi="宋体"/>
          <w:color w:val="auto"/>
          <w:highlight w:val="none"/>
          <w:u w:val="single"/>
        </w:rPr>
        <w:t xml:space="preserve">           </w:t>
      </w:r>
      <w:r>
        <w:rPr>
          <w:rFonts w:hint="eastAsia" w:hAnsi="宋体"/>
          <w:color w:val="auto"/>
          <w:highlight w:val="none"/>
        </w:rPr>
        <w:t>（姓名）为我方代理人。代理人根据授权，以我方名义签署、澄清确认、递交、撤回、修改</w:t>
      </w:r>
      <w:r>
        <w:rPr>
          <w:rFonts w:hint="eastAsia" w:hAnsi="宋体"/>
          <w:color w:val="auto"/>
          <w:highlight w:val="none"/>
          <w:u w:val="single"/>
          <w:lang w:eastAsia="zh-CN"/>
        </w:rPr>
        <w:t>（项目名称）</w:t>
      </w:r>
      <w:r>
        <w:rPr>
          <w:rFonts w:hint="eastAsia" w:hAnsi="宋体"/>
          <w:color w:val="auto"/>
          <w:highlight w:val="none"/>
        </w:rPr>
        <w:t>招标项目</w:t>
      </w:r>
      <w:r>
        <w:rPr>
          <w:rFonts w:hint="eastAsia" w:hAnsi="宋体"/>
          <w:color w:val="auto"/>
          <w:highlight w:val="none"/>
          <w:lang w:val="en-US" w:eastAsia="zh-CN"/>
        </w:rPr>
        <w:t>响应</w:t>
      </w:r>
      <w:r>
        <w:rPr>
          <w:rFonts w:hint="eastAsia" w:hAnsi="宋体"/>
          <w:color w:val="auto"/>
          <w:highlight w:val="none"/>
        </w:rPr>
        <w:t>文件、签订合同和处理有关事宜，其法律后果由我方承担。</w:t>
      </w:r>
    </w:p>
    <w:p w14:paraId="4A7E5100">
      <w:pPr>
        <w:pStyle w:val="16"/>
        <w:snapToGrid w:val="0"/>
        <w:spacing w:line="480" w:lineRule="auto"/>
        <w:ind w:firstLine="420"/>
        <w:rPr>
          <w:rFonts w:hint="eastAsia" w:hAnsi="宋体"/>
          <w:color w:val="auto"/>
          <w:highlight w:val="none"/>
        </w:rPr>
      </w:pPr>
      <w:r>
        <w:rPr>
          <w:rFonts w:hint="eastAsia" w:hAnsi="宋体"/>
          <w:color w:val="auto"/>
          <w:highlight w:val="none"/>
        </w:rPr>
        <w:t>委托期限：</w:t>
      </w:r>
      <w:r>
        <w:rPr>
          <w:rFonts w:hint="eastAsia" w:hAnsi="宋体"/>
          <w:color w:val="auto"/>
          <w:highlight w:val="none"/>
          <w:u w:val="single"/>
        </w:rPr>
        <w:t xml:space="preserve">                     </w:t>
      </w:r>
      <w:r>
        <w:rPr>
          <w:rFonts w:hint="eastAsia" w:hAnsi="宋体"/>
          <w:color w:val="auto"/>
          <w:highlight w:val="none"/>
        </w:rPr>
        <w:t xml:space="preserve"> </w:t>
      </w:r>
    </w:p>
    <w:p w14:paraId="0B0BE2F4">
      <w:pPr>
        <w:pStyle w:val="16"/>
        <w:snapToGrid w:val="0"/>
        <w:spacing w:line="480" w:lineRule="auto"/>
        <w:ind w:firstLine="420"/>
        <w:rPr>
          <w:rFonts w:hint="eastAsia" w:hAnsi="宋体"/>
          <w:color w:val="auto"/>
          <w:highlight w:val="none"/>
        </w:rPr>
      </w:pPr>
      <w:r>
        <w:rPr>
          <w:rFonts w:hint="eastAsia" w:hAnsi="宋体"/>
          <w:color w:val="auto"/>
          <w:highlight w:val="none"/>
        </w:rPr>
        <w:t>代理人无转委托权。</w:t>
      </w:r>
    </w:p>
    <w:p w14:paraId="1D0E3C41">
      <w:pPr>
        <w:pStyle w:val="16"/>
        <w:snapToGrid w:val="0"/>
        <w:spacing w:line="480" w:lineRule="auto"/>
        <w:ind w:firstLine="420"/>
        <w:rPr>
          <w:rFonts w:hint="default" w:hAnsi="宋体" w:eastAsia="宋体"/>
          <w:color w:val="auto"/>
          <w:highlight w:val="none"/>
          <w:lang w:val="en-US" w:eastAsia="zh-CN"/>
        </w:rPr>
      </w:pPr>
      <w:r>
        <w:rPr>
          <w:rFonts w:hint="eastAsia" w:hAnsi="宋体"/>
          <w:color w:val="auto"/>
          <w:highlight w:val="none"/>
        </w:rPr>
        <w:t>附：法定代表人身份证复印件及委托代理人身份证复印件</w:t>
      </w:r>
      <w:r>
        <w:rPr>
          <w:rFonts w:hint="eastAsia" w:hAnsi="宋体"/>
          <w:color w:val="auto"/>
          <w:highlight w:val="none"/>
          <w:lang w:val="en-US" w:eastAsia="zh-CN"/>
        </w:rPr>
        <w:t>加盖公章。</w:t>
      </w:r>
    </w:p>
    <w:p w14:paraId="07E932ED">
      <w:pPr>
        <w:pStyle w:val="16"/>
        <w:snapToGrid w:val="0"/>
        <w:spacing w:line="480" w:lineRule="auto"/>
        <w:ind w:firstLine="420"/>
        <w:rPr>
          <w:rFonts w:hint="eastAsia" w:hAnsi="宋体"/>
          <w:color w:val="auto"/>
          <w:highlight w:val="none"/>
        </w:rPr>
      </w:pPr>
      <w:r>
        <w:rPr>
          <w:rFonts w:hint="eastAsia" w:hAnsi="宋体"/>
          <w:color w:val="auto"/>
          <w:highlight w:val="none"/>
        </w:rPr>
        <w:t>注：本授权委托书需由</w:t>
      </w:r>
      <w:r>
        <w:rPr>
          <w:rFonts w:hint="eastAsia" w:hAnsi="宋体"/>
          <w:color w:val="auto"/>
          <w:highlight w:val="none"/>
          <w:lang w:val="en-US" w:eastAsia="zh-CN"/>
        </w:rPr>
        <w:t>供应商</w:t>
      </w:r>
      <w:r>
        <w:rPr>
          <w:rFonts w:hint="eastAsia" w:hAnsi="宋体"/>
          <w:color w:val="auto"/>
          <w:highlight w:val="none"/>
        </w:rPr>
        <w:t>加盖单位公章并由其法定代表人和委托代理人签字</w:t>
      </w:r>
    </w:p>
    <w:p w14:paraId="653A0B1B">
      <w:pPr>
        <w:pStyle w:val="16"/>
        <w:snapToGrid w:val="0"/>
        <w:spacing w:line="360" w:lineRule="auto"/>
        <w:ind w:firstLine="400"/>
        <w:rPr>
          <w:rFonts w:hint="eastAsia" w:hAnsi="宋体"/>
          <w:color w:val="auto"/>
          <w:highlight w:val="none"/>
        </w:rPr>
      </w:pPr>
    </w:p>
    <w:p w14:paraId="676A9899">
      <w:pPr>
        <w:pStyle w:val="16"/>
        <w:snapToGrid w:val="0"/>
        <w:spacing w:line="360" w:lineRule="auto"/>
        <w:ind w:firstLine="400"/>
        <w:rPr>
          <w:rFonts w:hint="eastAsia" w:hAnsi="宋体"/>
          <w:color w:val="auto"/>
          <w:highlight w:val="none"/>
        </w:rPr>
      </w:pPr>
    </w:p>
    <w:p w14:paraId="49E5B12B">
      <w:pPr>
        <w:pStyle w:val="16"/>
        <w:snapToGrid w:val="0"/>
        <w:spacing w:line="360" w:lineRule="auto"/>
        <w:ind w:firstLine="400"/>
        <w:rPr>
          <w:rFonts w:hint="eastAsia" w:hAnsi="宋体"/>
          <w:color w:val="auto"/>
          <w:highlight w:val="none"/>
        </w:rPr>
      </w:pPr>
    </w:p>
    <w:p w14:paraId="23E25C91">
      <w:pPr>
        <w:pStyle w:val="16"/>
        <w:snapToGrid w:val="0"/>
        <w:spacing w:line="720" w:lineRule="auto"/>
        <w:ind w:firstLine="3158" w:firstLineChars="1504"/>
        <w:rPr>
          <w:rFonts w:hint="eastAsia" w:hAnsi="宋体"/>
          <w:color w:val="auto"/>
          <w:highlight w:val="none"/>
        </w:rPr>
      </w:pPr>
      <w:r>
        <w:rPr>
          <w:rFonts w:hint="eastAsia" w:ascii="宋体" w:hAnsi="宋体"/>
          <w:color w:val="auto"/>
          <w:szCs w:val="21"/>
          <w:highlight w:val="none"/>
          <w:lang w:val="en-US" w:eastAsia="zh-CN"/>
        </w:rPr>
        <w:t>供</w:t>
      </w:r>
      <w:r>
        <w:rPr>
          <w:rFonts w:hint="eastAsia" w:hAnsi="宋体"/>
          <w:color w:val="auto"/>
          <w:szCs w:val="21"/>
          <w:highlight w:val="none"/>
          <w:lang w:val="en-US" w:eastAsia="zh-CN"/>
        </w:rPr>
        <w:t xml:space="preserve">  </w:t>
      </w:r>
      <w:r>
        <w:rPr>
          <w:rFonts w:hint="eastAsia" w:ascii="宋体" w:hAnsi="宋体"/>
          <w:color w:val="auto"/>
          <w:szCs w:val="21"/>
          <w:highlight w:val="none"/>
          <w:lang w:val="en-US" w:eastAsia="zh-CN"/>
        </w:rPr>
        <w:t>应</w:t>
      </w:r>
      <w:r>
        <w:rPr>
          <w:rFonts w:hint="eastAsia" w:hAnsi="宋体"/>
          <w:color w:val="auto"/>
          <w:szCs w:val="21"/>
          <w:highlight w:val="none"/>
          <w:lang w:val="en-US" w:eastAsia="zh-CN"/>
        </w:rPr>
        <w:t xml:space="preserve">  </w:t>
      </w:r>
      <w:r>
        <w:rPr>
          <w:rFonts w:hint="eastAsia" w:ascii="宋体" w:hAnsi="宋体"/>
          <w:color w:val="auto"/>
          <w:szCs w:val="21"/>
          <w:highlight w:val="none"/>
          <w:lang w:val="en-US" w:eastAsia="zh-CN"/>
        </w:rPr>
        <w:t>商</w:t>
      </w:r>
      <w:r>
        <w:rPr>
          <w:rFonts w:hint="eastAsia" w:hAnsi="宋体"/>
          <w:color w:val="auto"/>
          <w:highlight w:val="none"/>
        </w:rPr>
        <w:t>：</w:t>
      </w:r>
      <w:r>
        <w:rPr>
          <w:rFonts w:hint="eastAsia" w:hAnsi="宋体"/>
          <w:color w:val="auto"/>
          <w:highlight w:val="none"/>
          <w:u w:val="single"/>
        </w:rPr>
        <w:t xml:space="preserve">                      </w:t>
      </w:r>
      <w:r>
        <w:rPr>
          <w:rFonts w:hint="eastAsia" w:hAnsi="宋体"/>
          <w:color w:val="auto"/>
          <w:highlight w:val="none"/>
        </w:rPr>
        <w:t>（盖单位章）</w:t>
      </w:r>
    </w:p>
    <w:p w14:paraId="39C51121">
      <w:pPr>
        <w:pStyle w:val="16"/>
        <w:snapToGrid w:val="0"/>
        <w:spacing w:line="720" w:lineRule="auto"/>
        <w:ind w:firstLine="3158" w:firstLineChars="1504"/>
        <w:rPr>
          <w:rFonts w:hint="eastAsia" w:hAnsi="宋体"/>
          <w:color w:val="auto"/>
          <w:highlight w:val="none"/>
        </w:rPr>
      </w:pPr>
      <w:r>
        <w:rPr>
          <w:rFonts w:hAnsi="宋体"/>
          <w:color w:val="auto"/>
          <w:highlight w:val="none"/>
        </w:rPr>
        <w:t>法定代表人：</w:t>
      </w:r>
      <w:r>
        <w:rPr>
          <w:rFonts w:hint="eastAsia" w:hAnsi="宋体"/>
          <w:color w:val="auto"/>
          <w:highlight w:val="none"/>
          <w:u w:val="single"/>
        </w:rPr>
        <w:t xml:space="preserve">                      </w:t>
      </w:r>
      <w:r>
        <w:rPr>
          <w:rFonts w:hint="eastAsia" w:hAnsi="宋体"/>
          <w:color w:val="auto"/>
          <w:highlight w:val="none"/>
        </w:rPr>
        <w:t>（</w:t>
      </w:r>
      <w:r>
        <w:rPr>
          <w:rFonts w:hAnsi="宋体"/>
          <w:color w:val="auto"/>
          <w:highlight w:val="none"/>
        </w:rPr>
        <w:t>签字</w:t>
      </w:r>
      <w:r>
        <w:rPr>
          <w:rFonts w:hint="eastAsia" w:hAnsi="宋体"/>
          <w:color w:val="auto"/>
          <w:highlight w:val="none"/>
        </w:rPr>
        <w:t>）</w:t>
      </w:r>
    </w:p>
    <w:p w14:paraId="4438172D">
      <w:pPr>
        <w:pStyle w:val="16"/>
        <w:snapToGrid w:val="0"/>
        <w:spacing w:line="720" w:lineRule="auto"/>
        <w:ind w:firstLine="3158" w:firstLineChars="1504"/>
        <w:rPr>
          <w:rFonts w:hint="eastAsia" w:hAnsi="宋体"/>
          <w:color w:val="auto"/>
          <w:highlight w:val="none"/>
          <w:u w:val="single"/>
        </w:rPr>
      </w:pPr>
      <w:r>
        <w:rPr>
          <w:rFonts w:hint="eastAsia" w:hAnsi="宋体"/>
          <w:color w:val="auto"/>
          <w:highlight w:val="none"/>
        </w:rPr>
        <w:t>身份证号码：</w:t>
      </w:r>
      <w:r>
        <w:rPr>
          <w:rFonts w:hint="eastAsia" w:hAnsi="宋体"/>
          <w:color w:val="auto"/>
          <w:highlight w:val="none"/>
          <w:u w:val="single"/>
        </w:rPr>
        <w:t xml:space="preserve">                      </w:t>
      </w:r>
    </w:p>
    <w:p w14:paraId="436BF9FB">
      <w:pPr>
        <w:pStyle w:val="16"/>
        <w:snapToGrid w:val="0"/>
        <w:spacing w:line="720" w:lineRule="auto"/>
        <w:ind w:firstLine="3158" w:firstLineChars="1504"/>
        <w:rPr>
          <w:rFonts w:hint="eastAsia" w:hAnsi="宋体"/>
          <w:color w:val="auto"/>
          <w:highlight w:val="none"/>
        </w:rPr>
      </w:pPr>
      <w:r>
        <w:rPr>
          <w:rFonts w:hint="eastAsia" w:hAnsi="宋体"/>
          <w:color w:val="auto"/>
          <w:highlight w:val="none"/>
        </w:rPr>
        <w:t>授权</w:t>
      </w:r>
      <w:r>
        <w:rPr>
          <w:rFonts w:hAnsi="宋体"/>
          <w:color w:val="auto"/>
          <w:highlight w:val="none"/>
        </w:rPr>
        <w:t>代理人：</w:t>
      </w:r>
      <w:r>
        <w:rPr>
          <w:rFonts w:hint="eastAsia" w:hAnsi="宋体"/>
          <w:color w:val="auto"/>
          <w:highlight w:val="none"/>
          <w:u w:val="single"/>
        </w:rPr>
        <w:t xml:space="preserve">                      </w:t>
      </w:r>
      <w:r>
        <w:rPr>
          <w:rFonts w:hint="eastAsia" w:hAnsi="宋体"/>
          <w:color w:val="auto"/>
          <w:highlight w:val="none"/>
        </w:rPr>
        <w:t>（</w:t>
      </w:r>
      <w:r>
        <w:rPr>
          <w:rFonts w:hAnsi="宋体"/>
          <w:color w:val="auto"/>
          <w:highlight w:val="none"/>
        </w:rPr>
        <w:t>签字</w:t>
      </w:r>
      <w:r>
        <w:rPr>
          <w:rFonts w:hint="eastAsia" w:hAnsi="宋体"/>
          <w:color w:val="auto"/>
          <w:highlight w:val="none"/>
        </w:rPr>
        <w:t>）</w:t>
      </w:r>
    </w:p>
    <w:p w14:paraId="2434D11B">
      <w:pPr>
        <w:pStyle w:val="16"/>
        <w:snapToGrid w:val="0"/>
        <w:spacing w:line="720" w:lineRule="auto"/>
        <w:ind w:firstLine="3158" w:firstLineChars="1504"/>
        <w:rPr>
          <w:rFonts w:hint="eastAsia" w:hAnsi="宋体"/>
          <w:color w:val="auto"/>
          <w:highlight w:val="none"/>
          <w:u w:val="single"/>
        </w:rPr>
      </w:pPr>
      <w:r>
        <w:rPr>
          <w:rFonts w:hint="eastAsia" w:hAnsi="宋体"/>
          <w:color w:val="auto"/>
          <w:highlight w:val="none"/>
        </w:rPr>
        <w:t>身份证号码：</w:t>
      </w:r>
      <w:r>
        <w:rPr>
          <w:rFonts w:hint="eastAsia" w:hAnsi="宋体"/>
          <w:color w:val="auto"/>
          <w:highlight w:val="none"/>
          <w:u w:val="single"/>
        </w:rPr>
        <w:t xml:space="preserve">                      </w:t>
      </w:r>
    </w:p>
    <w:p w14:paraId="4DC293D1">
      <w:pPr>
        <w:spacing w:line="360" w:lineRule="auto"/>
        <w:ind w:firstLine="3998" w:firstLineChars="1904"/>
        <w:rPr>
          <w:rFonts w:hint="eastAsia" w:ascii="宋体" w:hAnsi="宋体"/>
          <w:color w:val="auto"/>
          <w:szCs w:val="21"/>
          <w:highlight w:val="none"/>
        </w:rPr>
      </w:pPr>
      <w:r>
        <w:rPr>
          <w:rFonts w:ascii="宋体" w:hAnsi="宋体"/>
          <w:color w:val="auto"/>
          <w:szCs w:val="21"/>
          <w:highlight w:val="none"/>
          <w:u w:val="single"/>
        </w:rPr>
        <w:t xml:space="preserve">       </w:t>
      </w:r>
      <w:r>
        <w:rPr>
          <w:rFonts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日</w:t>
      </w:r>
    </w:p>
    <w:p w14:paraId="6D2BEF9E">
      <w:pPr>
        <w:spacing w:line="319" w:lineRule="exact"/>
        <w:rPr>
          <w:rFonts w:hint="eastAsia" w:ascii="Microsoft YaHei UI" w:hAnsi="Microsoft YaHei UI" w:eastAsia="Microsoft YaHei UI"/>
          <w:color w:val="auto"/>
          <w:sz w:val="30"/>
          <w:highlight w:val="none"/>
        </w:rPr>
      </w:pPr>
    </w:p>
    <w:p w14:paraId="33B108B9">
      <w:pPr>
        <w:spacing w:line="319" w:lineRule="exact"/>
        <w:rPr>
          <w:rFonts w:hint="eastAsia" w:ascii="Microsoft YaHei UI" w:hAnsi="Microsoft YaHei UI" w:eastAsia="Microsoft YaHei UI"/>
          <w:color w:val="auto"/>
          <w:sz w:val="30"/>
          <w:highlight w:val="none"/>
        </w:rPr>
      </w:pPr>
    </w:p>
    <w:p w14:paraId="0812DDD9">
      <w:pPr>
        <w:spacing w:line="319" w:lineRule="exact"/>
        <w:rPr>
          <w:rFonts w:hint="eastAsia" w:ascii="Microsoft YaHei UI" w:hAnsi="Microsoft YaHei UI" w:eastAsia="Microsoft YaHei UI"/>
          <w:color w:val="auto"/>
          <w:sz w:val="30"/>
          <w:highlight w:val="none"/>
        </w:rPr>
      </w:pPr>
    </w:p>
    <w:p w14:paraId="28AA3E8F">
      <w:pPr>
        <w:spacing w:line="319" w:lineRule="exact"/>
        <w:rPr>
          <w:rFonts w:hint="eastAsia" w:ascii="Microsoft YaHei UI" w:hAnsi="Microsoft YaHei UI" w:eastAsia="Microsoft YaHei UI"/>
          <w:color w:val="auto"/>
          <w:sz w:val="30"/>
          <w:highlight w:val="none"/>
        </w:rPr>
      </w:pPr>
    </w:p>
    <w:p w14:paraId="47271468">
      <w:pPr>
        <w:spacing w:line="319" w:lineRule="exact"/>
        <w:rPr>
          <w:rFonts w:hint="eastAsia" w:ascii="Microsoft YaHei UI" w:hAnsi="Microsoft YaHei UI" w:eastAsia="Microsoft YaHei UI"/>
          <w:color w:val="auto"/>
          <w:sz w:val="30"/>
          <w:highlight w:val="none"/>
        </w:rPr>
      </w:pPr>
    </w:p>
    <w:p w14:paraId="5098BD2D">
      <w:pPr>
        <w:spacing w:line="319" w:lineRule="exact"/>
        <w:rPr>
          <w:rFonts w:hint="eastAsia" w:ascii="Microsoft YaHei UI" w:hAnsi="Microsoft YaHei UI" w:eastAsia="Microsoft YaHei UI"/>
          <w:color w:val="auto"/>
          <w:sz w:val="30"/>
          <w:highlight w:val="none"/>
        </w:rPr>
      </w:pPr>
    </w:p>
    <w:p w14:paraId="45D9FA40">
      <w:pPr>
        <w:spacing w:line="319" w:lineRule="exact"/>
        <w:rPr>
          <w:rFonts w:hint="eastAsia" w:ascii="Microsoft YaHei UI" w:hAnsi="Microsoft YaHei UI" w:eastAsia="Microsoft YaHei UI"/>
          <w:color w:val="auto"/>
          <w:sz w:val="30"/>
          <w:highlight w:val="none"/>
        </w:rPr>
      </w:pPr>
    </w:p>
    <w:p w14:paraId="3B4E1A56">
      <w:pPr>
        <w:pStyle w:val="9"/>
        <w:ind w:left="2940"/>
        <w:rPr>
          <w:color w:val="auto"/>
          <w:highlight w:val="none"/>
        </w:rPr>
      </w:pPr>
    </w:p>
    <w:p w14:paraId="05686299">
      <w:pPr>
        <w:rPr>
          <w:color w:val="auto"/>
          <w:highlight w:val="none"/>
        </w:rPr>
      </w:pPr>
    </w:p>
    <w:p w14:paraId="094D492F">
      <w:pPr>
        <w:pStyle w:val="54"/>
        <w:rPr>
          <w:color w:val="auto"/>
          <w:highlight w:val="none"/>
        </w:rPr>
      </w:pPr>
    </w:p>
    <w:p w14:paraId="6F75E18B">
      <w:pPr>
        <w:pStyle w:val="53"/>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default"/>
          <w:b/>
          <w:bCs/>
          <w:color w:val="auto"/>
          <w:sz w:val="32"/>
          <w:szCs w:val="32"/>
          <w:highlight w:val="none"/>
          <w:lang w:val="en-US" w:eastAsia="zh-CN"/>
        </w:rPr>
      </w:pPr>
      <w:bookmarkStart w:id="48" w:name="_Toc3586"/>
      <w:bookmarkStart w:id="49" w:name="_Toc435802476"/>
      <w:bookmarkStart w:id="50" w:name="_Toc24063"/>
      <w:r>
        <w:rPr>
          <w:rFonts w:hint="eastAsia"/>
          <w:b/>
          <w:bCs/>
          <w:color w:val="auto"/>
          <w:sz w:val="32"/>
          <w:szCs w:val="32"/>
          <w:highlight w:val="none"/>
          <w:lang w:val="en-US" w:eastAsia="zh-CN"/>
        </w:rPr>
        <w:t>四、供应商参加政府采购活动前3年内在经营活动中没有重大违法记录的书面声明</w:t>
      </w:r>
    </w:p>
    <w:p w14:paraId="7A9D146E">
      <w:pPr>
        <w:pStyle w:val="53"/>
        <w:keepNext w:val="0"/>
        <w:keepLines w:val="0"/>
        <w:pageBreakBefore w:val="0"/>
        <w:widowControl w:val="0"/>
        <w:kinsoku/>
        <w:wordWrap/>
        <w:overflowPunct/>
        <w:topLinePunct w:val="0"/>
        <w:autoSpaceDE w:val="0"/>
        <w:autoSpaceDN w:val="0"/>
        <w:bidi w:val="0"/>
        <w:adjustRightInd w:val="0"/>
        <w:snapToGrid/>
        <w:spacing w:line="480" w:lineRule="auto"/>
        <w:ind w:left="1200" w:hanging="1200" w:hangingChars="500"/>
        <w:jc w:val="left"/>
        <w:textAlignment w:val="auto"/>
        <w:rPr>
          <w:rFonts w:hint="eastAsia" w:hAnsi="宋体"/>
          <w:color w:val="auto"/>
          <w:szCs w:val="21"/>
          <w:highlight w:val="none"/>
          <w:lang w:val="en-US" w:eastAsia="zh-CN"/>
        </w:rPr>
      </w:pPr>
      <w:r>
        <w:rPr>
          <w:rFonts w:hint="eastAsia" w:hAnsi="宋体"/>
          <w:color w:val="auto"/>
          <w:szCs w:val="21"/>
          <w:highlight w:val="none"/>
          <w:lang w:val="en-US" w:eastAsia="zh-CN"/>
        </w:rPr>
        <w:t xml:space="preserve">    </w:t>
      </w:r>
    </w:p>
    <w:p w14:paraId="72CD0C35">
      <w:pPr>
        <w:pStyle w:val="53"/>
        <w:keepNext w:val="0"/>
        <w:keepLines w:val="0"/>
        <w:pageBreakBefore w:val="0"/>
        <w:widowControl w:val="0"/>
        <w:kinsoku/>
        <w:wordWrap/>
        <w:overflowPunct/>
        <w:topLinePunct w:val="0"/>
        <w:autoSpaceDE w:val="0"/>
        <w:autoSpaceDN w:val="0"/>
        <w:bidi w:val="0"/>
        <w:adjustRightInd w:val="0"/>
        <w:snapToGrid/>
        <w:spacing w:line="480" w:lineRule="auto"/>
        <w:ind w:left="1050" w:leftChars="200" w:hanging="630" w:hangingChars="300"/>
        <w:jc w:val="both"/>
        <w:textAlignment w:val="auto"/>
        <w:rPr>
          <w:rFonts w:hint="eastAsia"/>
          <w:b/>
          <w:bCs/>
          <w:color w:val="auto"/>
          <w:sz w:val="32"/>
          <w:szCs w:val="32"/>
          <w:highlight w:val="none"/>
          <w:lang w:val="en-US" w:eastAsia="zh-CN"/>
        </w:rPr>
      </w:pPr>
      <w:r>
        <w:rPr>
          <w:rFonts w:hint="eastAsia" w:hAnsi="宋体"/>
          <w:color w:val="auto"/>
          <w:sz w:val="21"/>
          <w:szCs w:val="21"/>
          <w:highlight w:val="none"/>
          <w:lang w:val="en-US" w:eastAsia="zh-CN"/>
        </w:rPr>
        <w:t xml:space="preserve"> </w:t>
      </w:r>
      <w:r>
        <w:rPr>
          <w:rFonts w:hint="eastAsia" w:ascii="宋体" w:hAnsi="宋体"/>
          <w:color w:val="auto"/>
          <w:sz w:val="21"/>
          <w:szCs w:val="21"/>
          <w:highlight w:val="none"/>
        </w:rPr>
        <w:t>注：</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应根据</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须知第</w:t>
      </w:r>
      <w:r>
        <w:rPr>
          <w:rFonts w:hint="eastAsia" w:ascii="宋体" w:hAnsi="宋体"/>
          <w:color w:val="auto"/>
          <w:sz w:val="21"/>
          <w:szCs w:val="21"/>
          <w:highlight w:val="none"/>
          <w:lang w:val="en-US" w:eastAsia="zh-CN"/>
        </w:rPr>
        <w:t>11.1</w:t>
      </w:r>
      <w:r>
        <w:rPr>
          <w:rFonts w:hint="eastAsia" w:ascii="宋体" w:hAnsi="宋体"/>
          <w:color w:val="auto"/>
          <w:sz w:val="21"/>
          <w:szCs w:val="21"/>
          <w:highlight w:val="none"/>
        </w:rPr>
        <w:t>项</w:t>
      </w:r>
      <w:r>
        <w:rPr>
          <w:rFonts w:hint="eastAsia" w:ascii="宋体" w:hAnsi="宋体"/>
          <w:color w:val="auto"/>
          <w:sz w:val="21"/>
          <w:szCs w:val="21"/>
          <w:highlight w:val="none"/>
          <w:lang w:val="en-US" w:eastAsia="zh-CN"/>
        </w:rPr>
        <w:t>中</w:t>
      </w:r>
      <w:r>
        <w:rPr>
          <w:rFonts w:hint="eastAsia" w:ascii="宋体" w:hAnsi="宋体"/>
          <w:color w:val="auto"/>
          <w:sz w:val="21"/>
          <w:szCs w:val="21"/>
          <w:highlight w:val="none"/>
        </w:rPr>
        <w:t>的要求附相关证明材料</w:t>
      </w:r>
      <w:r>
        <w:rPr>
          <w:rFonts w:hint="eastAsia" w:ascii="宋体" w:hAnsi="宋体"/>
          <w:color w:val="auto"/>
          <w:sz w:val="21"/>
          <w:szCs w:val="21"/>
          <w:highlight w:val="none"/>
          <w:lang w:eastAsia="zh-CN"/>
        </w:rPr>
        <w:t>。</w:t>
      </w:r>
    </w:p>
    <w:p w14:paraId="1072B4E4">
      <w:pPr>
        <w:pStyle w:val="53"/>
        <w:jc w:val="center"/>
        <w:rPr>
          <w:rFonts w:hint="eastAsia"/>
          <w:b w:val="0"/>
          <w:bCs w:val="0"/>
          <w:color w:val="auto"/>
          <w:sz w:val="28"/>
          <w:szCs w:val="28"/>
          <w:highlight w:val="none"/>
          <w:lang w:val="en-US" w:eastAsia="zh-CN"/>
        </w:rPr>
      </w:pPr>
    </w:p>
    <w:p w14:paraId="0718F1AC">
      <w:pPr>
        <w:pStyle w:val="53"/>
        <w:jc w:val="center"/>
        <w:rPr>
          <w:rFonts w:hint="eastAsia"/>
          <w:b w:val="0"/>
          <w:bCs w:val="0"/>
          <w:color w:val="auto"/>
          <w:sz w:val="28"/>
          <w:szCs w:val="28"/>
          <w:highlight w:val="none"/>
          <w:lang w:val="en-US" w:eastAsia="zh-CN"/>
        </w:rPr>
      </w:pPr>
      <w:r>
        <w:rPr>
          <w:rFonts w:hint="eastAsia"/>
          <w:b/>
          <w:bCs/>
          <w:color w:val="auto"/>
          <w:sz w:val="28"/>
          <w:szCs w:val="28"/>
          <w:highlight w:val="none"/>
          <w:lang w:val="en-US" w:eastAsia="zh-CN"/>
        </w:rPr>
        <w:t>格式自拟</w:t>
      </w:r>
    </w:p>
    <w:p w14:paraId="3981200B">
      <w:pPr>
        <w:pStyle w:val="53"/>
        <w:jc w:val="center"/>
        <w:rPr>
          <w:rFonts w:hint="eastAsia"/>
          <w:b/>
          <w:bCs/>
          <w:color w:val="auto"/>
          <w:sz w:val="32"/>
          <w:szCs w:val="32"/>
          <w:highlight w:val="none"/>
          <w:lang w:val="en-US" w:eastAsia="zh-CN"/>
        </w:rPr>
      </w:pPr>
    </w:p>
    <w:p w14:paraId="13A5A6AC">
      <w:pPr>
        <w:pStyle w:val="53"/>
        <w:jc w:val="center"/>
        <w:rPr>
          <w:rFonts w:hint="eastAsia"/>
          <w:b/>
          <w:bCs/>
          <w:color w:val="auto"/>
          <w:sz w:val="32"/>
          <w:szCs w:val="32"/>
          <w:highlight w:val="none"/>
          <w:lang w:val="en-US" w:eastAsia="zh-CN"/>
        </w:rPr>
      </w:pPr>
    </w:p>
    <w:p w14:paraId="305B9D41">
      <w:pPr>
        <w:pStyle w:val="53"/>
        <w:jc w:val="center"/>
        <w:rPr>
          <w:rFonts w:hint="eastAsia"/>
          <w:b/>
          <w:bCs/>
          <w:color w:val="auto"/>
          <w:sz w:val="32"/>
          <w:szCs w:val="32"/>
          <w:highlight w:val="none"/>
          <w:lang w:val="en-US" w:eastAsia="zh-CN"/>
        </w:rPr>
      </w:pPr>
    </w:p>
    <w:p w14:paraId="4779D12F">
      <w:pPr>
        <w:pStyle w:val="53"/>
        <w:jc w:val="center"/>
        <w:rPr>
          <w:rFonts w:hint="eastAsia"/>
          <w:b/>
          <w:bCs/>
          <w:color w:val="auto"/>
          <w:sz w:val="32"/>
          <w:szCs w:val="32"/>
          <w:highlight w:val="none"/>
          <w:lang w:val="en-US" w:eastAsia="zh-CN"/>
        </w:rPr>
      </w:pPr>
    </w:p>
    <w:p w14:paraId="2B272D8B">
      <w:pPr>
        <w:pStyle w:val="53"/>
        <w:jc w:val="center"/>
        <w:rPr>
          <w:rFonts w:hint="eastAsia"/>
          <w:b/>
          <w:bCs/>
          <w:color w:val="auto"/>
          <w:sz w:val="32"/>
          <w:szCs w:val="32"/>
          <w:highlight w:val="none"/>
          <w:lang w:val="en-US" w:eastAsia="zh-CN"/>
        </w:rPr>
      </w:pPr>
    </w:p>
    <w:p w14:paraId="216D8E64">
      <w:pPr>
        <w:pStyle w:val="53"/>
        <w:jc w:val="center"/>
        <w:rPr>
          <w:rFonts w:hint="eastAsia"/>
          <w:b/>
          <w:bCs/>
          <w:color w:val="auto"/>
          <w:sz w:val="32"/>
          <w:szCs w:val="32"/>
          <w:highlight w:val="none"/>
          <w:lang w:val="en-US" w:eastAsia="zh-CN"/>
        </w:rPr>
      </w:pPr>
    </w:p>
    <w:p w14:paraId="72CA4768">
      <w:pPr>
        <w:pStyle w:val="53"/>
        <w:jc w:val="center"/>
        <w:rPr>
          <w:rFonts w:hint="eastAsia"/>
          <w:b/>
          <w:bCs/>
          <w:color w:val="auto"/>
          <w:sz w:val="32"/>
          <w:szCs w:val="32"/>
          <w:highlight w:val="none"/>
          <w:lang w:val="en-US" w:eastAsia="zh-CN"/>
        </w:rPr>
      </w:pPr>
    </w:p>
    <w:p w14:paraId="7025D7CD">
      <w:pPr>
        <w:pStyle w:val="53"/>
        <w:jc w:val="center"/>
        <w:rPr>
          <w:rFonts w:hint="eastAsia"/>
          <w:b/>
          <w:bCs/>
          <w:color w:val="auto"/>
          <w:sz w:val="32"/>
          <w:szCs w:val="32"/>
          <w:highlight w:val="none"/>
          <w:lang w:val="en-US" w:eastAsia="zh-CN"/>
        </w:rPr>
      </w:pPr>
    </w:p>
    <w:p w14:paraId="77DB2422">
      <w:pPr>
        <w:pStyle w:val="53"/>
        <w:jc w:val="center"/>
        <w:rPr>
          <w:rFonts w:hint="eastAsia"/>
          <w:b/>
          <w:bCs/>
          <w:color w:val="auto"/>
          <w:sz w:val="32"/>
          <w:szCs w:val="32"/>
          <w:highlight w:val="none"/>
          <w:lang w:val="en-US" w:eastAsia="zh-CN"/>
        </w:rPr>
      </w:pPr>
    </w:p>
    <w:p w14:paraId="240A524D">
      <w:pPr>
        <w:pStyle w:val="53"/>
        <w:jc w:val="center"/>
        <w:rPr>
          <w:rFonts w:hint="eastAsia"/>
          <w:b/>
          <w:bCs/>
          <w:color w:val="auto"/>
          <w:sz w:val="32"/>
          <w:szCs w:val="32"/>
          <w:highlight w:val="none"/>
          <w:lang w:val="en-US" w:eastAsia="zh-CN"/>
        </w:rPr>
      </w:pPr>
    </w:p>
    <w:p w14:paraId="6F5EAFEE">
      <w:pPr>
        <w:pStyle w:val="53"/>
        <w:jc w:val="center"/>
        <w:rPr>
          <w:rFonts w:hint="eastAsia"/>
          <w:b/>
          <w:bCs/>
          <w:color w:val="auto"/>
          <w:sz w:val="32"/>
          <w:szCs w:val="32"/>
          <w:highlight w:val="none"/>
          <w:lang w:val="en-US" w:eastAsia="zh-CN"/>
        </w:rPr>
      </w:pPr>
    </w:p>
    <w:p w14:paraId="77D0DF57">
      <w:pPr>
        <w:pStyle w:val="53"/>
        <w:jc w:val="center"/>
        <w:rPr>
          <w:rFonts w:hint="eastAsia"/>
          <w:b/>
          <w:bCs/>
          <w:color w:val="auto"/>
          <w:sz w:val="32"/>
          <w:szCs w:val="32"/>
          <w:highlight w:val="none"/>
          <w:lang w:val="en-US" w:eastAsia="zh-CN"/>
        </w:rPr>
      </w:pPr>
    </w:p>
    <w:p w14:paraId="2FD887C2">
      <w:pPr>
        <w:pStyle w:val="53"/>
        <w:jc w:val="center"/>
        <w:rPr>
          <w:rFonts w:hint="eastAsia"/>
          <w:b/>
          <w:bCs/>
          <w:color w:val="auto"/>
          <w:sz w:val="32"/>
          <w:szCs w:val="32"/>
          <w:highlight w:val="none"/>
          <w:lang w:val="en-US" w:eastAsia="zh-CN"/>
        </w:rPr>
      </w:pPr>
    </w:p>
    <w:p w14:paraId="28D53D48">
      <w:pPr>
        <w:pStyle w:val="53"/>
        <w:jc w:val="center"/>
        <w:rPr>
          <w:rFonts w:hint="eastAsia"/>
          <w:b/>
          <w:bCs/>
          <w:color w:val="auto"/>
          <w:sz w:val="32"/>
          <w:szCs w:val="32"/>
          <w:highlight w:val="none"/>
          <w:lang w:val="en-US" w:eastAsia="zh-CN"/>
        </w:rPr>
      </w:pPr>
    </w:p>
    <w:p w14:paraId="47F7CC2A">
      <w:pPr>
        <w:pStyle w:val="53"/>
        <w:jc w:val="center"/>
        <w:rPr>
          <w:rFonts w:hint="eastAsia"/>
          <w:b/>
          <w:bCs/>
          <w:color w:val="auto"/>
          <w:sz w:val="32"/>
          <w:szCs w:val="32"/>
          <w:highlight w:val="none"/>
          <w:lang w:val="en-US" w:eastAsia="zh-CN"/>
        </w:rPr>
      </w:pPr>
    </w:p>
    <w:p w14:paraId="5646DFBE">
      <w:pPr>
        <w:pStyle w:val="53"/>
        <w:jc w:val="center"/>
        <w:rPr>
          <w:rFonts w:hint="eastAsia"/>
          <w:b/>
          <w:bCs/>
          <w:color w:val="auto"/>
          <w:sz w:val="32"/>
          <w:szCs w:val="32"/>
          <w:highlight w:val="none"/>
          <w:lang w:val="en-US" w:eastAsia="zh-CN"/>
        </w:rPr>
      </w:pPr>
    </w:p>
    <w:p w14:paraId="5636F46A">
      <w:pPr>
        <w:pStyle w:val="53"/>
        <w:jc w:val="center"/>
        <w:rPr>
          <w:rFonts w:hint="eastAsia"/>
          <w:b/>
          <w:bCs/>
          <w:color w:val="auto"/>
          <w:sz w:val="32"/>
          <w:szCs w:val="32"/>
          <w:highlight w:val="none"/>
          <w:lang w:val="en-US" w:eastAsia="zh-CN"/>
        </w:rPr>
      </w:pPr>
    </w:p>
    <w:p w14:paraId="5D1C5530">
      <w:pPr>
        <w:pStyle w:val="53"/>
        <w:jc w:val="center"/>
        <w:rPr>
          <w:rFonts w:hint="eastAsia"/>
          <w:b/>
          <w:bCs/>
          <w:color w:val="auto"/>
          <w:sz w:val="32"/>
          <w:szCs w:val="32"/>
          <w:highlight w:val="none"/>
          <w:lang w:val="en-US" w:eastAsia="zh-CN"/>
        </w:rPr>
      </w:pPr>
    </w:p>
    <w:p w14:paraId="598AC4A0">
      <w:pPr>
        <w:pStyle w:val="53"/>
        <w:jc w:val="center"/>
        <w:rPr>
          <w:rFonts w:hint="eastAsia"/>
          <w:b/>
          <w:bCs/>
          <w:color w:val="auto"/>
          <w:sz w:val="32"/>
          <w:szCs w:val="32"/>
          <w:highlight w:val="none"/>
          <w:lang w:val="en-US" w:eastAsia="zh-CN"/>
        </w:rPr>
      </w:pPr>
    </w:p>
    <w:p w14:paraId="4D410B05">
      <w:pPr>
        <w:pStyle w:val="53"/>
        <w:jc w:val="center"/>
        <w:rPr>
          <w:rFonts w:hint="eastAsia"/>
          <w:b/>
          <w:bCs/>
          <w:color w:val="auto"/>
          <w:sz w:val="32"/>
          <w:szCs w:val="32"/>
          <w:highlight w:val="none"/>
          <w:lang w:val="en-US" w:eastAsia="zh-CN"/>
        </w:rPr>
      </w:pPr>
    </w:p>
    <w:p w14:paraId="33B03CF4">
      <w:pPr>
        <w:pStyle w:val="53"/>
        <w:jc w:val="center"/>
        <w:rPr>
          <w:rFonts w:hint="eastAsia"/>
          <w:b/>
          <w:bCs/>
          <w:color w:val="auto"/>
          <w:sz w:val="32"/>
          <w:szCs w:val="32"/>
          <w:highlight w:val="none"/>
          <w:lang w:val="en-US" w:eastAsia="zh-CN"/>
        </w:rPr>
      </w:pPr>
    </w:p>
    <w:p w14:paraId="2C86A438">
      <w:pPr>
        <w:pStyle w:val="53"/>
        <w:jc w:val="center"/>
        <w:rPr>
          <w:rFonts w:hint="eastAsia"/>
          <w:b/>
          <w:bCs/>
          <w:color w:val="auto"/>
          <w:sz w:val="32"/>
          <w:szCs w:val="32"/>
          <w:highlight w:val="none"/>
          <w:lang w:val="en-US" w:eastAsia="zh-CN"/>
        </w:rPr>
      </w:pPr>
    </w:p>
    <w:bookmarkEnd w:id="48"/>
    <w:bookmarkEnd w:id="49"/>
    <w:bookmarkEnd w:id="50"/>
    <w:p w14:paraId="0446BE1F">
      <w:pPr>
        <w:pStyle w:val="53"/>
        <w:numPr>
          <w:ilvl w:val="0"/>
          <w:numId w:val="0"/>
        </w:numPr>
        <w:ind w:leftChars="200" w:firstLine="643" w:firstLineChars="200"/>
        <w:jc w:val="both"/>
        <w:rPr>
          <w:rFonts w:hint="eastAsia"/>
          <w:b/>
          <w:bCs/>
          <w:color w:val="auto"/>
          <w:sz w:val="32"/>
          <w:szCs w:val="32"/>
          <w:highlight w:val="none"/>
          <w:lang w:val="en-US" w:eastAsia="zh-CN"/>
        </w:rPr>
      </w:pPr>
    </w:p>
    <w:p w14:paraId="6823B797">
      <w:pPr>
        <w:pStyle w:val="53"/>
        <w:numPr>
          <w:ilvl w:val="0"/>
          <w:numId w:val="0"/>
        </w:numPr>
        <w:ind w:leftChars="200" w:firstLine="643" w:firstLineChars="200"/>
        <w:jc w:val="both"/>
        <w:rPr>
          <w:rFonts w:hint="eastAsia"/>
          <w:b/>
          <w:bCs/>
          <w:color w:val="auto"/>
          <w:sz w:val="32"/>
          <w:szCs w:val="32"/>
          <w:highlight w:val="none"/>
          <w:lang w:val="en-US" w:eastAsia="zh-CN"/>
        </w:rPr>
      </w:pPr>
      <w:r>
        <w:rPr>
          <w:rFonts w:hint="eastAsia"/>
          <w:b/>
          <w:bCs/>
          <w:color w:val="auto"/>
          <w:sz w:val="32"/>
          <w:szCs w:val="32"/>
          <w:highlight w:val="none"/>
          <w:lang w:val="en-US" w:eastAsia="zh-CN"/>
        </w:rPr>
        <w:t>五、关于政府采购活动中信用信息记录的书面声明</w:t>
      </w:r>
    </w:p>
    <w:p w14:paraId="20B7457B">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46AC8460">
      <w:pPr>
        <w:pStyle w:val="53"/>
        <w:widowControl w:val="0"/>
        <w:numPr>
          <w:ilvl w:val="0"/>
          <w:numId w:val="0"/>
        </w:numPr>
        <w:autoSpaceDE w:val="0"/>
        <w:autoSpaceDN w:val="0"/>
        <w:adjustRightInd w:val="0"/>
        <w:ind w:firstLine="2310" w:firstLineChars="1100"/>
        <w:jc w:val="both"/>
        <w:rPr>
          <w:rFonts w:hint="default"/>
          <w:b/>
          <w:bCs/>
          <w:color w:val="auto"/>
          <w:sz w:val="32"/>
          <w:szCs w:val="32"/>
          <w:highlight w:val="none"/>
          <w:lang w:val="en-US" w:eastAsia="zh-CN"/>
        </w:rPr>
      </w:pPr>
      <w:r>
        <w:rPr>
          <w:rFonts w:hint="eastAsia" w:ascii="宋体" w:hAnsi="宋体"/>
          <w:color w:val="auto"/>
          <w:sz w:val="21"/>
          <w:szCs w:val="21"/>
          <w:highlight w:val="none"/>
        </w:rPr>
        <w:t>注：</w:t>
      </w:r>
      <w:r>
        <w:rPr>
          <w:rFonts w:hint="eastAsia" w:hAnsi="宋体"/>
          <w:color w:val="auto"/>
          <w:sz w:val="21"/>
          <w:szCs w:val="21"/>
          <w:highlight w:val="none"/>
          <w:lang w:val="en-US" w:eastAsia="zh-CN"/>
        </w:rPr>
        <w:t>供应商</w:t>
      </w:r>
      <w:r>
        <w:rPr>
          <w:rFonts w:hint="eastAsia" w:ascii="宋体" w:hAnsi="宋体"/>
          <w:color w:val="auto"/>
          <w:sz w:val="21"/>
          <w:szCs w:val="21"/>
          <w:highlight w:val="none"/>
        </w:rPr>
        <w:t>应根据</w:t>
      </w:r>
      <w:r>
        <w:rPr>
          <w:rFonts w:hint="eastAsia" w:hAnsi="宋体"/>
          <w:color w:val="auto"/>
          <w:sz w:val="21"/>
          <w:szCs w:val="21"/>
          <w:highlight w:val="none"/>
          <w:lang w:eastAsia="zh-CN"/>
        </w:rPr>
        <w:t>供应商</w:t>
      </w:r>
      <w:r>
        <w:rPr>
          <w:rFonts w:hint="eastAsia" w:ascii="宋体" w:hAnsi="宋体"/>
          <w:color w:val="auto"/>
          <w:sz w:val="21"/>
          <w:szCs w:val="21"/>
          <w:highlight w:val="none"/>
        </w:rPr>
        <w:t>须知要求附相关证明材料。</w:t>
      </w:r>
    </w:p>
    <w:p w14:paraId="2561031F">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12D6A278">
      <w:pPr>
        <w:pStyle w:val="53"/>
        <w:widowControl w:val="0"/>
        <w:numPr>
          <w:ilvl w:val="0"/>
          <w:numId w:val="0"/>
        </w:numPr>
        <w:autoSpaceDE w:val="0"/>
        <w:autoSpaceDN w:val="0"/>
        <w:adjustRightInd w:val="0"/>
        <w:jc w:val="center"/>
        <w:rPr>
          <w:rFonts w:hint="default"/>
          <w:b/>
          <w:bCs/>
          <w:color w:val="auto"/>
          <w:sz w:val="28"/>
          <w:szCs w:val="28"/>
          <w:highlight w:val="none"/>
          <w:lang w:val="en-US" w:eastAsia="zh-CN"/>
        </w:rPr>
      </w:pPr>
      <w:r>
        <w:rPr>
          <w:rFonts w:hint="eastAsia"/>
          <w:b/>
          <w:bCs/>
          <w:color w:val="auto"/>
          <w:sz w:val="28"/>
          <w:szCs w:val="28"/>
          <w:highlight w:val="none"/>
          <w:lang w:val="en-US" w:eastAsia="zh-CN"/>
        </w:rPr>
        <w:t>格式自拟</w:t>
      </w:r>
    </w:p>
    <w:p w14:paraId="3D2152C8">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78BE8F65">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1BA788E2">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6824CA81">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5C715F07">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55BEBDD1">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7ABA996C">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0BBBD37F">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4BE219C4">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00BEC6F4">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20FF5FA5">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40F82029">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5C55FA4F">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52343A54">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6CB02B9C">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209E48CE">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16B37C47">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40C1F46D">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4010AFF8">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47D8644C">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714F12DE">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4A2B02E0">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61A014B9">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01848F04">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05962E58">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4A755EA8">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06F110B2">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4D0F4666">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7F065CA4">
      <w:pPr>
        <w:pStyle w:val="53"/>
        <w:widowControl w:val="0"/>
        <w:numPr>
          <w:ilvl w:val="0"/>
          <w:numId w:val="0"/>
        </w:numPr>
        <w:autoSpaceDE w:val="0"/>
        <w:autoSpaceDN w:val="0"/>
        <w:adjustRightInd w:val="0"/>
        <w:jc w:val="center"/>
        <w:rPr>
          <w:rFonts w:hint="default"/>
          <w:b/>
          <w:bCs/>
          <w:color w:val="auto"/>
          <w:sz w:val="32"/>
          <w:szCs w:val="32"/>
          <w:highlight w:val="none"/>
          <w:lang w:val="en-US" w:eastAsia="zh-CN"/>
        </w:rPr>
      </w:pPr>
      <w:r>
        <w:rPr>
          <w:rFonts w:hint="eastAsia"/>
          <w:b/>
          <w:bCs/>
          <w:color w:val="auto"/>
          <w:sz w:val="32"/>
          <w:szCs w:val="32"/>
          <w:highlight w:val="none"/>
          <w:lang w:val="en-US" w:eastAsia="zh-CN"/>
        </w:rPr>
        <w:t>六、供应商前期服务情况声明函</w:t>
      </w:r>
    </w:p>
    <w:p w14:paraId="21C08C31">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448502E1">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54B111BF">
      <w:pPr>
        <w:pStyle w:val="53"/>
        <w:jc w:val="center"/>
        <w:rPr>
          <w:rFonts w:hint="eastAsia"/>
          <w:b/>
          <w:bCs/>
          <w:color w:val="auto"/>
          <w:sz w:val="28"/>
          <w:szCs w:val="28"/>
          <w:highlight w:val="none"/>
          <w:lang w:val="en-US" w:eastAsia="zh-CN"/>
        </w:rPr>
      </w:pPr>
      <w:r>
        <w:rPr>
          <w:rFonts w:hint="eastAsia"/>
          <w:b/>
          <w:bCs/>
          <w:color w:val="auto"/>
          <w:sz w:val="28"/>
          <w:szCs w:val="28"/>
          <w:highlight w:val="none"/>
          <w:lang w:val="en-US" w:eastAsia="zh-CN"/>
        </w:rPr>
        <w:t>格式自拟</w:t>
      </w:r>
    </w:p>
    <w:p w14:paraId="7CC510E4">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6F8EFCEB">
      <w:pPr>
        <w:pStyle w:val="53"/>
        <w:jc w:val="center"/>
        <w:rPr>
          <w:rFonts w:hint="eastAsia"/>
          <w:b/>
          <w:bCs/>
          <w:color w:val="auto"/>
          <w:sz w:val="32"/>
          <w:szCs w:val="32"/>
          <w:highlight w:val="none"/>
          <w:lang w:val="en-US" w:eastAsia="zh-CN"/>
        </w:rPr>
      </w:pPr>
    </w:p>
    <w:p w14:paraId="6061DD19">
      <w:pPr>
        <w:pStyle w:val="53"/>
        <w:jc w:val="center"/>
        <w:rPr>
          <w:rFonts w:hint="eastAsia"/>
          <w:b/>
          <w:bCs/>
          <w:color w:val="auto"/>
          <w:sz w:val="32"/>
          <w:szCs w:val="32"/>
          <w:highlight w:val="none"/>
          <w:lang w:val="en-US" w:eastAsia="zh-CN"/>
        </w:rPr>
      </w:pPr>
    </w:p>
    <w:p w14:paraId="14B9BD20">
      <w:pPr>
        <w:pStyle w:val="53"/>
        <w:jc w:val="center"/>
        <w:rPr>
          <w:rFonts w:hint="eastAsia"/>
          <w:b/>
          <w:bCs/>
          <w:color w:val="auto"/>
          <w:sz w:val="32"/>
          <w:szCs w:val="32"/>
          <w:highlight w:val="none"/>
          <w:lang w:val="en-US" w:eastAsia="zh-CN"/>
        </w:rPr>
      </w:pPr>
    </w:p>
    <w:p w14:paraId="05118A63">
      <w:pPr>
        <w:pStyle w:val="53"/>
        <w:jc w:val="center"/>
        <w:rPr>
          <w:rFonts w:hint="eastAsia"/>
          <w:b/>
          <w:bCs/>
          <w:color w:val="auto"/>
          <w:sz w:val="32"/>
          <w:szCs w:val="32"/>
          <w:highlight w:val="none"/>
          <w:lang w:val="en-US" w:eastAsia="zh-CN"/>
        </w:rPr>
      </w:pPr>
    </w:p>
    <w:p w14:paraId="3B4830B9">
      <w:pPr>
        <w:pStyle w:val="53"/>
        <w:jc w:val="center"/>
        <w:rPr>
          <w:rFonts w:hint="eastAsia"/>
          <w:b/>
          <w:bCs/>
          <w:color w:val="auto"/>
          <w:sz w:val="32"/>
          <w:szCs w:val="32"/>
          <w:highlight w:val="none"/>
          <w:lang w:val="en-US" w:eastAsia="zh-CN"/>
        </w:rPr>
      </w:pPr>
    </w:p>
    <w:p w14:paraId="3F1B4CC2">
      <w:pPr>
        <w:pStyle w:val="53"/>
        <w:jc w:val="center"/>
        <w:rPr>
          <w:rFonts w:hint="eastAsia"/>
          <w:b/>
          <w:bCs/>
          <w:color w:val="auto"/>
          <w:sz w:val="32"/>
          <w:szCs w:val="32"/>
          <w:highlight w:val="none"/>
          <w:lang w:val="en-US" w:eastAsia="zh-CN"/>
        </w:rPr>
      </w:pPr>
    </w:p>
    <w:p w14:paraId="575119D0">
      <w:pPr>
        <w:pStyle w:val="53"/>
        <w:jc w:val="center"/>
        <w:rPr>
          <w:rFonts w:hint="eastAsia"/>
          <w:b/>
          <w:bCs/>
          <w:color w:val="auto"/>
          <w:sz w:val="32"/>
          <w:szCs w:val="32"/>
          <w:highlight w:val="none"/>
          <w:lang w:val="en-US" w:eastAsia="zh-CN"/>
        </w:rPr>
      </w:pPr>
    </w:p>
    <w:p w14:paraId="6616A71D">
      <w:pPr>
        <w:pStyle w:val="53"/>
        <w:jc w:val="center"/>
        <w:rPr>
          <w:rFonts w:hint="eastAsia"/>
          <w:b/>
          <w:bCs/>
          <w:color w:val="auto"/>
          <w:sz w:val="32"/>
          <w:szCs w:val="32"/>
          <w:highlight w:val="none"/>
          <w:lang w:val="en-US" w:eastAsia="zh-CN"/>
        </w:rPr>
      </w:pPr>
    </w:p>
    <w:p w14:paraId="6E8514D1">
      <w:pPr>
        <w:pStyle w:val="53"/>
        <w:jc w:val="center"/>
        <w:rPr>
          <w:rFonts w:hint="eastAsia"/>
          <w:b/>
          <w:bCs/>
          <w:color w:val="auto"/>
          <w:sz w:val="32"/>
          <w:szCs w:val="32"/>
          <w:highlight w:val="none"/>
          <w:lang w:val="en-US" w:eastAsia="zh-CN"/>
        </w:rPr>
      </w:pPr>
    </w:p>
    <w:p w14:paraId="402A000D">
      <w:pPr>
        <w:pStyle w:val="53"/>
        <w:jc w:val="center"/>
        <w:rPr>
          <w:rFonts w:hint="eastAsia"/>
          <w:b/>
          <w:bCs/>
          <w:color w:val="auto"/>
          <w:sz w:val="32"/>
          <w:szCs w:val="32"/>
          <w:highlight w:val="none"/>
          <w:lang w:val="en-US" w:eastAsia="zh-CN"/>
        </w:rPr>
      </w:pPr>
    </w:p>
    <w:p w14:paraId="28605CD7">
      <w:pPr>
        <w:pStyle w:val="53"/>
        <w:jc w:val="center"/>
        <w:rPr>
          <w:rFonts w:hint="eastAsia"/>
          <w:b/>
          <w:bCs/>
          <w:color w:val="auto"/>
          <w:sz w:val="32"/>
          <w:szCs w:val="32"/>
          <w:highlight w:val="none"/>
          <w:lang w:val="en-US" w:eastAsia="zh-CN"/>
        </w:rPr>
      </w:pPr>
    </w:p>
    <w:p w14:paraId="0CD0F58A">
      <w:pPr>
        <w:pStyle w:val="53"/>
        <w:jc w:val="center"/>
        <w:rPr>
          <w:rFonts w:hint="eastAsia"/>
          <w:b/>
          <w:bCs/>
          <w:color w:val="auto"/>
          <w:sz w:val="32"/>
          <w:szCs w:val="32"/>
          <w:highlight w:val="none"/>
          <w:lang w:val="en-US" w:eastAsia="zh-CN"/>
        </w:rPr>
      </w:pPr>
    </w:p>
    <w:p w14:paraId="268AADB9">
      <w:pPr>
        <w:pStyle w:val="53"/>
        <w:jc w:val="center"/>
        <w:rPr>
          <w:rFonts w:hint="eastAsia"/>
          <w:b/>
          <w:bCs/>
          <w:color w:val="auto"/>
          <w:sz w:val="32"/>
          <w:szCs w:val="32"/>
          <w:highlight w:val="none"/>
          <w:lang w:val="en-US" w:eastAsia="zh-CN"/>
        </w:rPr>
      </w:pPr>
    </w:p>
    <w:p w14:paraId="0A21C110">
      <w:pPr>
        <w:pStyle w:val="53"/>
        <w:jc w:val="center"/>
        <w:rPr>
          <w:rFonts w:hint="eastAsia"/>
          <w:b/>
          <w:bCs/>
          <w:color w:val="auto"/>
          <w:sz w:val="32"/>
          <w:szCs w:val="32"/>
          <w:highlight w:val="none"/>
          <w:lang w:val="en-US" w:eastAsia="zh-CN"/>
        </w:rPr>
      </w:pPr>
    </w:p>
    <w:p w14:paraId="06BC797F">
      <w:pPr>
        <w:pStyle w:val="53"/>
        <w:jc w:val="center"/>
        <w:rPr>
          <w:rFonts w:hint="eastAsia"/>
          <w:b/>
          <w:bCs/>
          <w:color w:val="auto"/>
          <w:sz w:val="32"/>
          <w:szCs w:val="32"/>
          <w:highlight w:val="none"/>
          <w:lang w:val="en-US" w:eastAsia="zh-CN"/>
        </w:rPr>
      </w:pPr>
    </w:p>
    <w:p w14:paraId="305A11A1">
      <w:pPr>
        <w:pStyle w:val="53"/>
        <w:jc w:val="center"/>
        <w:rPr>
          <w:rFonts w:hint="eastAsia"/>
          <w:b/>
          <w:bCs/>
          <w:color w:val="auto"/>
          <w:sz w:val="32"/>
          <w:szCs w:val="32"/>
          <w:highlight w:val="none"/>
          <w:lang w:val="en-US" w:eastAsia="zh-CN"/>
        </w:rPr>
      </w:pPr>
    </w:p>
    <w:p w14:paraId="18CB03BE">
      <w:pPr>
        <w:pStyle w:val="53"/>
        <w:jc w:val="center"/>
        <w:rPr>
          <w:rFonts w:hint="eastAsia"/>
          <w:b/>
          <w:bCs/>
          <w:color w:val="auto"/>
          <w:sz w:val="32"/>
          <w:szCs w:val="32"/>
          <w:highlight w:val="none"/>
          <w:lang w:val="en-US" w:eastAsia="zh-CN"/>
        </w:rPr>
      </w:pPr>
    </w:p>
    <w:p w14:paraId="37B1F690">
      <w:pPr>
        <w:pStyle w:val="53"/>
        <w:jc w:val="center"/>
        <w:rPr>
          <w:rFonts w:hint="eastAsia"/>
          <w:b/>
          <w:bCs/>
          <w:color w:val="auto"/>
          <w:sz w:val="32"/>
          <w:szCs w:val="32"/>
          <w:highlight w:val="none"/>
          <w:lang w:val="en-US" w:eastAsia="zh-CN"/>
        </w:rPr>
      </w:pPr>
    </w:p>
    <w:p w14:paraId="76D76ADD">
      <w:pPr>
        <w:pStyle w:val="53"/>
        <w:jc w:val="center"/>
        <w:rPr>
          <w:rFonts w:hint="eastAsia"/>
          <w:b/>
          <w:bCs/>
          <w:color w:val="auto"/>
          <w:sz w:val="32"/>
          <w:szCs w:val="32"/>
          <w:highlight w:val="none"/>
          <w:lang w:val="en-US" w:eastAsia="zh-CN"/>
        </w:rPr>
      </w:pPr>
    </w:p>
    <w:p w14:paraId="2C0234CC">
      <w:pPr>
        <w:pStyle w:val="53"/>
        <w:jc w:val="center"/>
        <w:rPr>
          <w:rFonts w:hint="eastAsia"/>
          <w:b/>
          <w:bCs/>
          <w:color w:val="auto"/>
          <w:sz w:val="32"/>
          <w:szCs w:val="32"/>
          <w:highlight w:val="none"/>
          <w:lang w:val="en-US" w:eastAsia="zh-CN"/>
        </w:rPr>
      </w:pPr>
    </w:p>
    <w:p w14:paraId="52C5CF3F">
      <w:pPr>
        <w:pStyle w:val="53"/>
        <w:jc w:val="center"/>
        <w:rPr>
          <w:rFonts w:hint="eastAsia"/>
          <w:b/>
          <w:bCs/>
          <w:color w:val="auto"/>
          <w:sz w:val="32"/>
          <w:szCs w:val="32"/>
          <w:highlight w:val="none"/>
          <w:lang w:val="en-US" w:eastAsia="zh-CN"/>
        </w:rPr>
      </w:pPr>
    </w:p>
    <w:p w14:paraId="216B391F">
      <w:pPr>
        <w:pStyle w:val="53"/>
        <w:jc w:val="center"/>
        <w:rPr>
          <w:rFonts w:hint="eastAsia"/>
          <w:b/>
          <w:bCs/>
          <w:color w:val="auto"/>
          <w:sz w:val="32"/>
          <w:szCs w:val="32"/>
          <w:highlight w:val="none"/>
          <w:lang w:val="en-US" w:eastAsia="zh-CN"/>
        </w:rPr>
      </w:pPr>
    </w:p>
    <w:p w14:paraId="454FF8B9">
      <w:pPr>
        <w:pStyle w:val="53"/>
        <w:jc w:val="center"/>
        <w:rPr>
          <w:rFonts w:hint="eastAsia"/>
          <w:b/>
          <w:bCs/>
          <w:color w:val="auto"/>
          <w:sz w:val="32"/>
          <w:szCs w:val="32"/>
          <w:highlight w:val="none"/>
          <w:lang w:val="en-US" w:eastAsia="zh-CN"/>
        </w:rPr>
      </w:pPr>
    </w:p>
    <w:p w14:paraId="1C413005">
      <w:pPr>
        <w:pStyle w:val="53"/>
        <w:jc w:val="center"/>
        <w:rPr>
          <w:rFonts w:hint="eastAsia"/>
          <w:b/>
          <w:bCs/>
          <w:color w:val="auto"/>
          <w:sz w:val="32"/>
          <w:szCs w:val="32"/>
          <w:highlight w:val="none"/>
          <w:lang w:val="en-US" w:eastAsia="zh-CN"/>
        </w:rPr>
      </w:pPr>
    </w:p>
    <w:p w14:paraId="76B5746D">
      <w:pPr>
        <w:pStyle w:val="53"/>
        <w:jc w:val="center"/>
        <w:rPr>
          <w:rFonts w:hint="eastAsia"/>
          <w:b/>
          <w:bCs/>
          <w:color w:val="auto"/>
          <w:sz w:val="32"/>
          <w:szCs w:val="32"/>
          <w:highlight w:val="none"/>
          <w:lang w:val="en-US" w:eastAsia="zh-CN"/>
        </w:rPr>
      </w:pPr>
    </w:p>
    <w:p w14:paraId="1C9EF3C0">
      <w:pPr>
        <w:pStyle w:val="53"/>
        <w:jc w:val="center"/>
        <w:rPr>
          <w:rFonts w:hint="eastAsia"/>
          <w:b/>
          <w:bCs/>
          <w:color w:val="auto"/>
          <w:sz w:val="32"/>
          <w:szCs w:val="32"/>
          <w:highlight w:val="none"/>
          <w:lang w:val="en-US" w:eastAsia="zh-CN"/>
        </w:rPr>
      </w:pPr>
    </w:p>
    <w:p w14:paraId="63D6D76B">
      <w:pPr>
        <w:pStyle w:val="53"/>
        <w:keepNext w:val="0"/>
        <w:keepLines w:val="0"/>
        <w:pageBreakBefore w:val="0"/>
        <w:widowControl w:val="0"/>
        <w:kinsoku/>
        <w:wordWrap/>
        <w:overflowPunct/>
        <w:topLinePunct w:val="0"/>
        <w:bidi w:val="0"/>
        <w:snapToGrid/>
        <w:spacing w:line="360" w:lineRule="auto"/>
        <w:jc w:val="center"/>
        <w:textAlignment w:val="auto"/>
        <w:rPr>
          <w:rFonts w:hint="eastAsia"/>
          <w:b/>
          <w:bCs/>
          <w:color w:val="auto"/>
          <w:sz w:val="32"/>
          <w:szCs w:val="32"/>
          <w:highlight w:val="none"/>
          <w:lang w:val="en-US" w:eastAsia="zh-CN"/>
        </w:rPr>
      </w:pPr>
    </w:p>
    <w:p w14:paraId="28CC9A2E">
      <w:pPr>
        <w:pStyle w:val="53"/>
        <w:keepNext w:val="0"/>
        <w:keepLines w:val="0"/>
        <w:pageBreakBefore w:val="0"/>
        <w:widowControl w:val="0"/>
        <w:shd w:val="clear"/>
        <w:kinsoku/>
        <w:wordWrap/>
        <w:overflowPunct/>
        <w:topLinePunct w:val="0"/>
        <w:bidi w:val="0"/>
        <w:snapToGrid/>
        <w:spacing w:line="360" w:lineRule="auto"/>
        <w:jc w:val="center"/>
        <w:textAlignment w:val="auto"/>
        <w:rPr>
          <w:rFonts w:hint="default"/>
          <w:b/>
          <w:bCs/>
          <w:color w:val="auto"/>
          <w:sz w:val="32"/>
          <w:szCs w:val="32"/>
          <w:highlight w:val="none"/>
          <w:lang w:val="en-US" w:eastAsia="zh-CN"/>
        </w:rPr>
      </w:pPr>
      <w:r>
        <w:rPr>
          <w:rFonts w:hint="eastAsia"/>
          <w:b/>
          <w:bCs/>
          <w:color w:val="auto"/>
          <w:sz w:val="32"/>
          <w:szCs w:val="32"/>
          <w:highlight w:val="none"/>
          <w:lang w:val="en-US" w:eastAsia="zh-CN"/>
        </w:rPr>
        <w:t>七、资格评审文件</w:t>
      </w:r>
    </w:p>
    <w:p w14:paraId="3137C40F">
      <w:pPr>
        <w:keepNext w:val="0"/>
        <w:keepLines w:val="0"/>
        <w:pageBreakBefore w:val="0"/>
        <w:widowControl w:val="0"/>
        <w:shd w:val="clear"/>
        <w:kinsoku/>
        <w:wordWrap/>
        <w:overflowPunct/>
        <w:topLinePunct w:val="0"/>
        <w:bidi w:val="0"/>
        <w:snapToGrid/>
        <w:spacing w:line="360" w:lineRule="auto"/>
        <w:jc w:val="center"/>
        <w:textAlignment w:val="auto"/>
        <w:outlineLvl w:val="2"/>
        <w:rPr>
          <w:rStyle w:val="65"/>
          <w:rFonts w:hint="eastAsia" w:ascii="宋体" w:hAnsi="宋体" w:eastAsia="宋体" w:cs="宋体"/>
          <w:color w:val="auto"/>
          <w:sz w:val="28"/>
          <w:szCs w:val="28"/>
          <w:highlight w:val="none"/>
        </w:rPr>
      </w:pPr>
      <w:bookmarkStart w:id="51" w:name="_Toc16599"/>
      <w:bookmarkStart w:id="52" w:name="_Toc10874"/>
      <w:r>
        <w:rPr>
          <w:rStyle w:val="65"/>
          <w:rFonts w:hint="eastAsia" w:ascii="宋体" w:hAnsi="宋体" w:eastAsia="宋体" w:cs="宋体"/>
          <w:color w:val="auto"/>
          <w:sz w:val="28"/>
          <w:szCs w:val="28"/>
          <w:highlight w:val="none"/>
        </w:rPr>
        <w:t>（一）</w:t>
      </w:r>
      <w:r>
        <w:rPr>
          <w:rStyle w:val="65"/>
          <w:rFonts w:hint="eastAsia" w:ascii="宋体" w:hAnsi="宋体" w:eastAsia="宋体" w:cs="宋体"/>
          <w:color w:val="auto"/>
          <w:sz w:val="28"/>
          <w:szCs w:val="28"/>
          <w:highlight w:val="none"/>
          <w:lang w:val="en-US" w:eastAsia="zh-CN"/>
        </w:rPr>
        <w:t>供应商</w:t>
      </w:r>
      <w:r>
        <w:rPr>
          <w:rStyle w:val="65"/>
          <w:rFonts w:hint="eastAsia" w:ascii="宋体" w:hAnsi="宋体" w:eastAsia="宋体" w:cs="宋体"/>
          <w:color w:val="auto"/>
          <w:sz w:val="28"/>
          <w:szCs w:val="28"/>
          <w:highlight w:val="none"/>
        </w:rPr>
        <w:t>基本情况表</w:t>
      </w:r>
      <w:bookmarkEnd w:id="51"/>
    </w:p>
    <w:bookmarkEnd w:id="52"/>
    <w:tbl>
      <w:tblPr>
        <w:tblStyle w:val="34"/>
        <w:tblW w:w="8834" w:type="dxa"/>
        <w:tblInd w:w="0" w:type="dxa"/>
        <w:shd w:val="clear" w:color="auto" w:fill="auto"/>
        <w:tblLayout w:type="fixed"/>
        <w:tblCellMar>
          <w:top w:w="0" w:type="dxa"/>
          <w:left w:w="108" w:type="dxa"/>
          <w:bottom w:w="0" w:type="dxa"/>
          <w:right w:w="108" w:type="dxa"/>
        </w:tblCellMar>
      </w:tblPr>
      <w:tblGrid>
        <w:gridCol w:w="2578"/>
        <w:gridCol w:w="1582"/>
        <w:gridCol w:w="1635"/>
        <w:gridCol w:w="1202"/>
        <w:gridCol w:w="1837"/>
      </w:tblGrid>
      <w:tr w14:paraId="4CA0E30D">
        <w:tblPrEx>
          <w:tblCellMar>
            <w:top w:w="0" w:type="dxa"/>
            <w:left w:w="108" w:type="dxa"/>
            <w:bottom w:w="0" w:type="dxa"/>
            <w:right w:w="108" w:type="dxa"/>
          </w:tblCellMar>
        </w:tblPrEx>
        <w:trPr>
          <w:trHeight w:val="764" w:hRule="exact"/>
        </w:trPr>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72511">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lang w:val="en-US" w:eastAsia="zh-CN"/>
              </w:rPr>
              <w:t>供应商</w:t>
            </w:r>
            <w:r>
              <w:rPr>
                <w:rFonts w:hint="eastAsia" w:ascii="宋体" w:hAnsi="宋体"/>
                <w:color w:val="auto"/>
                <w:szCs w:val="21"/>
                <w:highlight w:val="none"/>
              </w:rPr>
              <w:t>名称</w:t>
            </w:r>
          </w:p>
        </w:tc>
        <w:tc>
          <w:tcPr>
            <w:tcW w:w="62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107AADB">
            <w:pPr>
              <w:shd w:val="clear"/>
              <w:spacing w:line="360" w:lineRule="auto"/>
              <w:jc w:val="center"/>
              <w:rPr>
                <w:rFonts w:hint="eastAsia" w:ascii="宋体" w:hAnsi="宋体"/>
                <w:color w:val="auto"/>
                <w:szCs w:val="21"/>
                <w:highlight w:val="none"/>
              </w:rPr>
            </w:pPr>
          </w:p>
        </w:tc>
      </w:tr>
      <w:tr w14:paraId="32BF30BF">
        <w:tblPrEx>
          <w:tblCellMar>
            <w:top w:w="0" w:type="dxa"/>
            <w:left w:w="108" w:type="dxa"/>
            <w:bottom w:w="0" w:type="dxa"/>
            <w:right w:w="108" w:type="dxa"/>
          </w:tblCellMar>
        </w:tblPrEx>
        <w:trPr>
          <w:trHeight w:val="761" w:hRule="exact"/>
        </w:trPr>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45583">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注册资金</w:t>
            </w:r>
          </w:p>
        </w:tc>
        <w:tc>
          <w:tcPr>
            <w:tcW w:w="32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9F1364">
            <w:pPr>
              <w:shd w:val="clear"/>
              <w:spacing w:line="360" w:lineRule="auto"/>
              <w:jc w:val="center"/>
              <w:rPr>
                <w:rFonts w:hint="eastAsia" w:ascii="宋体" w:hAnsi="宋体"/>
                <w:color w:val="auto"/>
                <w:szCs w:val="21"/>
                <w:highlight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34E9F">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成立时间</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7E2BC">
            <w:pPr>
              <w:shd w:val="clear"/>
              <w:spacing w:line="360" w:lineRule="auto"/>
              <w:jc w:val="center"/>
              <w:rPr>
                <w:rFonts w:hint="eastAsia" w:ascii="宋体" w:hAnsi="宋体"/>
                <w:color w:val="auto"/>
                <w:szCs w:val="21"/>
                <w:highlight w:val="none"/>
              </w:rPr>
            </w:pPr>
          </w:p>
        </w:tc>
      </w:tr>
      <w:tr w14:paraId="44ED492F">
        <w:tblPrEx>
          <w:shd w:val="clear" w:color="auto" w:fill="auto"/>
          <w:tblCellMar>
            <w:top w:w="0" w:type="dxa"/>
            <w:left w:w="108" w:type="dxa"/>
            <w:bottom w:w="0" w:type="dxa"/>
            <w:right w:w="108" w:type="dxa"/>
          </w:tblCellMar>
        </w:tblPrEx>
        <w:trPr>
          <w:trHeight w:val="764" w:hRule="exact"/>
        </w:trPr>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15894">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注册地址</w:t>
            </w:r>
          </w:p>
        </w:tc>
        <w:tc>
          <w:tcPr>
            <w:tcW w:w="62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3627223">
            <w:pPr>
              <w:shd w:val="clear"/>
              <w:spacing w:line="360" w:lineRule="auto"/>
              <w:jc w:val="center"/>
              <w:rPr>
                <w:rFonts w:hint="eastAsia" w:ascii="宋体" w:hAnsi="宋体"/>
                <w:color w:val="auto"/>
                <w:szCs w:val="21"/>
                <w:highlight w:val="none"/>
              </w:rPr>
            </w:pPr>
          </w:p>
        </w:tc>
      </w:tr>
      <w:tr w14:paraId="38055E25">
        <w:tblPrEx>
          <w:shd w:val="clear" w:color="auto" w:fill="auto"/>
          <w:tblCellMar>
            <w:top w:w="0" w:type="dxa"/>
            <w:left w:w="108" w:type="dxa"/>
            <w:bottom w:w="0" w:type="dxa"/>
            <w:right w:w="108" w:type="dxa"/>
          </w:tblCellMar>
        </w:tblPrEx>
        <w:trPr>
          <w:trHeight w:val="761" w:hRule="exact"/>
        </w:trPr>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74BAC">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邮政编码</w:t>
            </w:r>
          </w:p>
        </w:tc>
        <w:tc>
          <w:tcPr>
            <w:tcW w:w="32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0DF550">
            <w:pPr>
              <w:shd w:val="clear"/>
              <w:spacing w:line="360" w:lineRule="auto"/>
              <w:jc w:val="center"/>
              <w:rPr>
                <w:rFonts w:hint="eastAsia" w:ascii="宋体" w:hAnsi="宋体"/>
                <w:color w:val="auto"/>
                <w:szCs w:val="21"/>
                <w:highlight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8D059">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员工总数</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AF6E3">
            <w:pPr>
              <w:shd w:val="clear"/>
              <w:spacing w:line="360" w:lineRule="auto"/>
              <w:jc w:val="center"/>
              <w:rPr>
                <w:rFonts w:hint="eastAsia" w:ascii="宋体" w:hAnsi="宋体"/>
                <w:color w:val="auto"/>
                <w:szCs w:val="21"/>
                <w:highlight w:val="none"/>
              </w:rPr>
            </w:pPr>
          </w:p>
        </w:tc>
      </w:tr>
      <w:tr w14:paraId="2A3407DF">
        <w:tblPrEx>
          <w:tblCellMar>
            <w:top w:w="0" w:type="dxa"/>
            <w:left w:w="108" w:type="dxa"/>
            <w:bottom w:w="0" w:type="dxa"/>
            <w:right w:w="108" w:type="dxa"/>
          </w:tblCellMar>
        </w:tblPrEx>
        <w:trPr>
          <w:trHeight w:val="764" w:hRule="exact"/>
        </w:trPr>
        <w:tc>
          <w:tcPr>
            <w:tcW w:w="2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516C14">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联系方式</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8BAA2">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联系人</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726FE">
            <w:pPr>
              <w:shd w:val="clear"/>
              <w:spacing w:line="360" w:lineRule="auto"/>
              <w:jc w:val="center"/>
              <w:rPr>
                <w:rFonts w:hint="eastAsia" w:ascii="宋体" w:hAnsi="宋体"/>
                <w:color w:val="auto"/>
                <w:szCs w:val="21"/>
                <w:highlight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ABC37">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电话</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D3CEF">
            <w:pPr>
              <w:shd w:val="clear"/>
              <w:spacing w:line="360" w:lineRule="auto"/>
              <w:jc w:val="center"/>
              <w:rPr>
                <w:rFonts w:hint="eastAsia" w:ascii="宋体" w:hAnsi="宋体"/>
                <w:color w:val="auto"/>
                <w:szCs w:val="21"/>
                <w:highlight w:val="none"/>
              </w:rPr>
            </w:pPr>
          </w:p>
        </w:tc>
      </w:tr>
      <w:tr w14:paraId="3E33DC17">
        <w:tblPrEx>
          <w:tblCellMar>
            <w:top w:w="0" w:type="dxa"/>
            <w:left w:w="108" w:type="dxa"/>
            <w:bottom w:w="0" w:type="dxa"/>
            <w:right w:w="108" w:type="dxa"/>
          </w:tblCellMar>
        </w:tblPrEx>
        <w:trPr>
          <w:trHeight w:val="761" w:hRule="exact"/>
        </w:trPr>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C0541B">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联系方式</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CF254">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网址</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B37AD">
            <w:pPr>
              <w:shd w:val="clear"/>
              <w:spacing w:line="360" w:lineRule="auto"/>
              <w:jc w:val="center"/>
              <w:rPr>
                <w:rFonts w:hint="eastAsia" w:ascii="宋体" w:hAnsi="宋体"/>
                <w:color w:val="auto"/>
                <w:szCs w:val="21"/>
                <w:highlight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30017">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传真</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E6402">
            <w:pPr>
              <w:shd w:val="clear"/>
              <w:spacing w:line="360" w:lineRule="auto"/>
              <w:jc w:val="center"/>
              <w:rPr>
                <w:rFonts w:hint="eastAsia" w:ascii="宋体" w:hAnsi="宋体"/>
                <w:color w:val="auto"/>
                <w:szCs w:val="21"/>
                <w:highlight w:val="none"/>
              </w:rPr>
            </w:pPr>
          </w:p>
        </w:tc>
      </w:tr>
      <w:tr w14:paraId="020C9FAB">
        <w:tblPrEx>
          <w:shd w:val="clear" w:color="auto" w:fill="auto"/>
          <w:tblCellMar>
            <w:top w:w="0" w:type="dxa"/>
            <w:left w:w="108" w:type="dxa"/>
            <w:bottom w:w="0" w:type="dxa"/>
            <w:right w:w="108" w:type="dxa"/>
          </w:tblCellMar>
        </w:tblPrEx>
        <w:trPr>
          <w:trHeight w:val="1508" w:hRule="exact"/>
        </w:trPr>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84BEF">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法定代表人</w:t>
            </w:r>
          </w:p>
          <w:p w14:paraId="17F79FDB">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（单位负责人）</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C53C1">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姓名</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60EBE">
            <w:pPr>
              <w:shd w:val="clear"/>
              <w:spacing w:line="360" w:lineRule="auto"/>
              <w:jc w:val="center"/>
              <w:rPr>
                <w:rFonts w:hint="eastAsia" w:ascii="宋体" w:hAnsi="宋体"/>
                <w:color w:val="auto"/>
                <w:szCs w:val="21"/>
                <w:highlight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EE1D6">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电话</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7DA46">
            <w:pPr>
              <w:shd w:val="clear"/>
              <w:spacing w:line="360" w:lineRule="auto"/>
              <w:jc w:val="center"/>
              <w:rPr>
                <w:rFonts w:hint="eastAsia" w:ascii="宋体" w:hAnsi="宋体"/>
                <w:color w:val="auto"/>
                <w:szCs w:val="21"/>
                <w:highlight w:val="none"/>
              </w:rPr>
            </w:pPr>
          </w:p>
        </w:tc>
      </w:tr>
      <w:tr w14:paraId="6FFF0934">
        <w:tblPrEx>
          <w:shd w:val="clear" w:color="auto" w:fill="auto"/>
          <w:tblCellMar>
            <w:top w:w="0" w:type="dxa"/>
            <w:left w:w="108" w:type="dxa"/>
            <w:bottom w:w="0" w:type="dxa"/>
            <w:right w:w="108" w:type="dxa"/>
          </w:tblCellMar>
        </w:tblPrEx>
        <w:trPr>
          <w:trHeight w:val="764" w:hRule="exact"/>
        </w:trPr>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2C7FB">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基本账户开户银行</w:t>
            </w:r>
          </w:p>
        </w:tc>
        <w:tc>
          <w:tcPr>
            <w:tcW w:w="62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69F1449">
            <w:pPr>
              <w:shd w:val="clear"/>
              <w:spacing w:line="360" w:lineRule="auto"/>
              <w:jc w:val="center"/>
              <w:rPr>
                <w:rFonts w:hint="eastAsia" w:ascii="宋体" w:hAnsi="宋体"/>
                <w:color w:val="auto"/>
                <w:szCs w:val="21"/>
                <w:highlight w:val="none"/>
              </w:rPr>
            </w:pPr>
          </w:p>
        </w:tc>
      </w:tr>
      <w:tr w14:paraId="3DA3F6EC">
        <w:tblPrEx>
          <w:shd w:val="clear" w:color="auto" w:fill="auto"/>
          <w:tblCellMar>
            <w:top w:w="0" w:type="dxa"/>
            <w:left w:w="108" w:type="dxa"/>
            <w:bottom w:w="0" w:type="dxa"/>
            <w:right w:w="108" w:type="dxa"/>
          </w:tblCellMar>
        </w:tblPrEx>
        <w:trPr>
          <w:trHeight w:val="3172" w:hRule="exact"/>
        </w:trPr>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C34E7">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lang w:val="en-US" w:eastAsia="zh-CN"/>
              </w:rPr>
              <w:t>供应商</w:t>
            </w:r>
            <w:r>
              <w:rPr>
                <w:rFonts w:hint="eastAsia" w:ascii="宋体" w:hAnsi="宋体"/>
                <w:color w:val="auto"/>
                <w:szCs w:val="21"/>
                <w:highlight w:val="none"/>
              </w:rPr>
              <w:t>关联企业情况（包括但不限于与</w:t>
            </w:r>
            <w:r>
              <w:rPr>
                <w:rFonts w:hint="eastAsia" w:ascii="宋体" w:hAnsi="宋体"/>
                <w:color w:val="auto"/>
                <w:szCs w:val="21"/>
                <w:highlight w:val="none"/>
                <w:lang w:val="en-US" w:eastAsia="zh-CN"/>
              </w:rPr>
              <w:t>供应商</w:t>
            </w:r>
            <w:r>
              <w:rPr>
                <w:rFonts w:hint="eastAsia" w:ascii="宋体" w:hAnsi="宋体"/>
                <w:color w:val="auto"/>
                <w:szCs w:val="21"/>
                <w:highlight w:val="none"/>
              </w:rPr>
              <w:t>法定代表人（单位负责人）为同一人或者存在控股、管理关系的不同单位）</w:t>
            </w:r>
          </w:p>
        </w:tc>
        <w:tc>
          <w:tcPr>
            <w:tcW w:w="62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3220189">
            <w:pPr>
              <w:shd w:val="clear"/>
              <w:spacing w:line="360" w:lineRule="auto"/>
              <w:jc w:val="center"/>
              <w:rPr>
                <w:rFonts w:hint="eastAsia" w:ascii="宋体" w:hAnsi="宋体"/>
                <w:color w:val="auto"/>
                <w:szCs w:val="21"/>
                <w:highlight w:val="none"/>
              </w:rPr>
            </w:pPr>
          </w:p>
        </w:tc>
      </w:tr>
      <w:tr w14:paraId="569087D4">
        <w:tblPrEx>
          <w:shd w:val="clear" w:color="auto" w:fill="auto"/>
          <w:tblCellMar>
            <w:top w:w="0" w:type="dxa"/>
            <w:left w:w="108" w:type="dxa"/>
            <w:bottom w:w="0" w:type="dxa"/>
            <w:right w:w="108" w:type="dxa"/>
          </w:tblCellMar>
        </w:tblPrEx>
        <w:trPr>
          <w:trHeight w:val="809" w:hRule="exact"/>
        </w:trPr>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0B69D">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备注</w:t>
            </w:r>
          </w:p>
        </w:tc>
        <w:tc>
          <w:tcPr>
            <w:tcW w:w="62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ACEF712">
            <w:pPr>
              <w:shd w:val="clear"/>
              <w:spacing w:line="360" w:lineRule="auto"/>
              <w:jc w:val="center"/>
              <w:rPr>
                <w:rFonts w:hint="eastAsia" w:ascii="宋体" w:hAnsi="宋体"/>
                <w:color w:val="auto"/>
                <w:szCs w:val="21"/>
                <w:highlight w:val="none"/>
              </w:rPr>
            </w:pPr>
          </w:p>
        </w:tc>
      </w:tr>
    </w:tbl>
    <w:p w14:paraId="7420AB90">
      <w:pPr>
        <w:shd w:val="clear"/>
        <w:jc w:val="left"/>
        <w:rPr>
          <w:rFonts w:hint="eastAsia" w:ascii="宋体" w:hAnsi="宋体"/>
          <w:color w:val="auto"/>
          <w:szCs w:val="21"/>
          <w:highlight w:val="none"/>
        </w:rPr>
      </w:pPr>
      <w:r>
        <w:rPr>
          <w:rFonts w:hint="eastAsia" w:ascii="宋体" w:hAnsi="宋体"/>
          <w:color w:val="auto"/>
          <w:szCs w:val="21"/>
          <w:highlight w:val="none"/>
        </w:rPr>
        <w:t>注：1.</w:t>
      </w:r>
      <w:r>
        <w:rPr>
          <w:rFonts w:hint="eastAsia" w:ascii="宋体" w:hAnsi="宋体"/>
          <w:color w:val="auto"/>
          <w:szCs w:val="21"/>
          <w:highlight w:val="none"/>
          <w:lang w:eastAsia="zh-CN"/>
        </w:rPr>
        <w:t>附营业执照副本、</w:t>
      </w:r>
      <w:r>
        <w:rPr>
          <w:rFonts w:hint="eastAsia" w:ascii="宋体" w:hAnsi="宋体"/>
          <w:color w:val="auto"/>
          <w:szCs w:val="21"/>
          <w:highlight w:val="none"/>
        </w:rPr>
        <w:t>基本账户开户许可证</w:t>
      </w:r>
      <w:r>
        <w:rPr>
          <w:rFonts w:hint="eastAsia" w:ascii="宋体" w:hAnsi="宋体"/>
          <w:color w:val="auto"/>
          <w:szCs w:val="21"/>
          <w:highlight w:val="none"/>
          <w:lang w:eastAsia="zh-CN"/>
        </w:rPr>
        <w:t>复印件加盖公章。</w:t>
      </w:r>
    </w:p>
    <w:p w14:paraId="189645F9">
      <w:pPr>
        <w:shd w:val="clear"/>
        <w:ind w:firstLine="420" w:firstLineChars="200"/>
        <w:jc w:val="left"/>
        <w:rPr>
          <w:rFonts w:hint="eastAsia" w:ascii="宋体" w:hAnsi="宋体"/>
          <w:color w:val="auto"/>
          <w:szCs w:val="21"/>
          <w:highlight w:val="none"/>
        </w:rPr>
      </w:pPr>
    </w:p>
    <w:p w14:paraId="44C83DD6">
      <w:pPr>
        <w:pStyle w:val="53"/>
        <w:shd w:val="clear"/>
        <w:jc w:val="center"/>
        <w:rPr>
          <w:rFonts w:hint="eastAsia"/>
          <w:b/>
          <w:bCs/>
          <w:color w:val="auto"/>
          <w:sz w:val="32"/>
          <w:szCs w:val="32"/>
          <w:highlight w:val="none"/>
          <w:lang w:val="en-US" w:eastAsia="zh-CN"/>
        </w:rPr>
        <w:sectPr>
          <w:footerReference r:id="rId7" w:type="default"/>
          <w:pgSz w:w="11910" w:h="16840"/>
          <w:pgMar w:top="1500" w:right="1380" w:bottom="1780" w:left="1580" w:header="0" w:footer="1595" w:gutter="0"/>
          <w:pgNumType w:fmt="decimal"/>
          <w:cols w:space="720" w:num="1"/>
        </w:sectPr>
      </w:pPr>
    </w:p>
    <w:p w14:paraId="3CF94301">
      <w:pPr>
        <w:numPr>
          <w:ilvl w:val="0"/>
          <w:numId w:val="11"/>
        </w:numPr>
        <w:shd w:val="clear" w:color="auto" w:fill="auto"/>
        <w:spacing w:line="360" w:lineRule="auto"/>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财务状况表</w:t>
      </w:r>
      <w:r>
        <w:rPr>
          <w:rFonts w:hint="eastAsia" w:ascii="宋体" w:hAnsi="宋体" w:cs="宋体"/>
          <w:b/>
          <w:color w:val="auto"/>
          <w:sz w:val="30"/>
          <w:szCs w:val="30"/>
          <w:highlight w:val="none"/>
          <w:lang w:val="en-US" w:eastAsia="zh-CN"/>
        </w:rPr>
        <w:t>/</w:t>
      </w:r>
      <w:r>
        <w:rPr>
          <w:rFonts w:hint="eastAsia" w:ascii="宋体" w:hAnsi="宋体" w:eastAsia="宋体" w:cs="宋体"/>
          <w:b/>
          <w:bCs/>
          <w:color w:val="auto"/>
          <w:spacing w:val="-9"/>
          <w:sz w:val="32"/>
          <w:szCs w:val="32"/>
          <w:highlight w:val="none"/>
        </w:rPr>
        <w:t>资格条件承诺函</w:t>
      </w:r>
    </w:p>
    <w:p w14:paraId="7A461BCE">
      <w:pPr>
        <w:numPr>
          <w:ilvl w:val="0"/>
          <w:numId w:val="0"/>
        </w:numPr>
        <w:shd w:val="clear" w:color="auto" w:fill="auto"/>
        <w:spacing w:line="360" w:lineRule="auto"/>
        <w:jc w:val="both"/>
        <w:rPr>
          <w:rFonts w:hint="eastAsia" w:ascii="宋体" w:hAnsi="宋体" w:eastAsia="宋体" w:cs="宋体"/>
          <w:b/>
          <w:color w:val="auto"/>
          <w:sz w:val="30"/>
          <w:szCs w:val="30"/>
          <w:highlight w:val="none"/>
        </w:rPr>
      </w:pPr>
      <w:r>
        <w:rPr>
          <w:rFonts w:hint="eastAsia" w:ascii="宋体" w:hAnsi="宋体" w:eastAsia="宋体" w:cs="宋体"/>
          <w:color w:val="auto"/>
          <w:szCs w:val="21"/>
          <w:highlight w:val="none"/>
        </w:rPr>
        <w:t>注：</w:t>
      </w:r>
      <w:r>
        <w:rPr>
          <w:rFonts w:hint="eastAsia" w:ascii="宋体" w:hAnsi="宋体" w:cs="宋体"/>
          <w:bCs/>
          <w:snapToGrid w:val="0"/>
          <w:color w:val="auto"/>
          <w:szCs w:val="21"/>
          <w:highlight w:val="none"/>
        </w:rPr>
        <w:t>供应商参加采购活动应当提供反映其财务状况、依法缴纳税收和社会保障金的资格条件承诺函</w:t>
      </w:r>
      <w:r>
        <w:rPr>
          <w:rFonts w:hint="eastAsia" w:ascii="宋体" w:hAnsi="宋体" w:cs="宋体"/>
          <w:bCs/>
          <w:color w:val="auto"/>
          <w:sz w:val="21"/>
          <w:szCs w:val="21"/>
          <w:highlight w:val="none"/>
          <w:lang w:val="zh-CN"/>
        </w:rPr>
        <w:t>。</w:t>
      </w:r>
    </w:p>
    <w:p w14:paraId="517FEDF9">
      <w:pPr>
        <w:spacing w:before="137" w:line="219"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b/>
          <w:bCs/>
          <w:color w:val="auto"/>
          <w:spacing w:val="-9"/>
          <w:sz w:val="32"/>
          <w:szCs w:val="32"/>
          <w:highlight w:val="none"/>
          <w:lang w:val="en-US" w:eastAsia="zh-CN"/>
        </w:rPr>
        <w:t xml:space="preserve">   </w:t>
      </w:r>
      <w:r>
        <w:rPr>
          <w:rFonts w:hint="eastAsia" w:ascii="宋体" w:hAnsi="宋体" w:eastAsia="宋体" w:cs="宋体"/>
          <w:b/>
          <w:bCs/>
          <w:color w:val="auto"/>
          <w:spacing w:val="-9"/>
          <w:sz w:val="32"/>
          <w:szCs w:val="32"/>
          <w:highlight w:val="none"/>
        </w:rPr>
        <w:t>资格条件承诺函</w:t>
      </w:r>
    </w:p>
    <w:p w14:paraId="367D56A6">
      <w:pPr>
        <w:spacing w:line="272" w:lineRule="auto"/>
        <w:rPr>
          <w:rFonts w:hint="eastAsia" w:ascii="宋体" w:hAnsi="宋体" w:eastAsia="宋体" w:cs="宋体"/>
          <w:color w:val="auto"/>
          <w:sz w:val="21"/>
          <w:szCs w:val="21"/>
          <w:highlight w:val="none"/>
        </w:rPr>
      </w:pPr>
    </w:p>
    <w:p w14:paraId="53D60AB0">
      <w:pPr>
        <w:spacing w:line="273" w:lineRule="auto"/>
        <w:rPr>
          <w:rFonts w:hint="eastAsia" w:ascii="宋体" w:hAnsi="宋体" w:eastAsia="宋体" w:cs="宋体"/>
          <w:color w:val="auto"/>
          <w:sz w:val="21"/>
          <w:szCs w:val="21"/>
          <w:highlight w:val="none"/>
        </w:rPr>
      </w:pPr>
    </w:p>
    <w:p w14:paraId="7D97E886">
      <w:pPr>
        <w:keepNext w:val="0"/>
        <w:keepLines w:val="0"/>
        <w:pageBreakBefore w:val="0"/>
        <w:widowControl w:val="0"/>
        <w:kinsoku/>
        <w:wordWrap/>
        <w:overflowPunct/>
        <w:topLinePunct w:val="0"/>
        <w:autoSpaceDE/>
        <w:autoSpaceDN/>
        <w:bidi w:val="0"/>
        <w:adjustRightInd/>
        <w:snapToGrid/>
        <w:spacing w:line="480" w:lineRule="auto"/>
        <w:ind w:left="363"/>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9"/>
          <w:sz w:val="21"/>
          <w:szCs w:val="21"/>
          <w:highlight w:val="none"/>
        </w:rPr>
        <w:t>致：</w:t>
      </w:r>
      <w:r>
        <w:rPr>
          <w:rFonts w:hint="eastAsia" w:ascii="宋体" w:hAnsi="宋体" w:eastAsia="宋体" w:cs="宋体"/>
          <w:color w:val="auto"/>
          <w:spacing w:val="129"/>
          <w:sz w:val="21"/>
          <w:szCs w:val="21"/>
          <w:highlight w:val="none"/>
          <w:u w:val="single" w:color="auto"/>
        </w:rPr>
        <w:t xml:space="preserve"> </w:t>
      </w:r>
      <w:r>
        <w:rPr>
          <w:rFonts w:hint="eastAsia" w:ascii="宋体" w:hAnsi="宋体" w:eastAsia="宋体" w:cs="宋体"/>
          <w:color w:val="auto"/>
          <w:spacing w:val="29"/>
          <w:sz w:val="21"/>
          <w:szCs w:val="21"/>
          <w:highlight w:val="none"/>
          <w:u w:val="single" w:color="auto"/>
        </w:rPr>
        <w:t>(采购人、采购代理机构)</w:t>
      </w:r>
      <w:r>
        <w:rPr>
          <w:rFonts w:hint="eastAsia" w:ascii="宋体" w:hAnsi="宋体" w:eastAsia="宋体" w:cs="宋体"/>
          <w:color w:val="auto"/>
          <w:spacing w:val="66"/>
          <w:sz w:val="21"/>
          <w:szCs w:val="21"/>
          <w:highlight w:val="none"/>
          <w:u w:val="single" w:color="auto"/>
        </w:rPr>
        <w:t xml:space="preserve">  </w:t>
      </w:r>
      <w:r>
        <w:rPr>
          <w:rFonts w:hint="eastAsia" w:ascii="宋体" w:hAnsi="宋体" w:eastAsia="宋体" w:cs="宋体"/>
          <w:color w:val="auto"/>
          <w:spacing w:val="-121"/>
          <w:sz w:val="21"/>
          <w:szCs w:val="21"/>
          <w:highlight w:val="none"/>
        </w:rPr>
        <w:t xml:space="preserve"> </w:t>
      </w:r>
      <w:r>
        <w:rPr>
          <w:rFonts w:hint="eastAsia" w:ascii="宋体" w:hAnsi="宋体" w:eastAsia="宋体" w:cs="宋体"/>
          <w:color w:val="auto"/>
          <w:spacing w:val="29"/>
          <w:sz w:val="21"/>
          <w:szCs w:val="21"/>
          <w:highlight w:val="none"/>
        </w:rPr>
        <w:t>:</w:t>
      </w:r>
    </w:p>
    <w:p w14:paraId="4C3605D7">
      <w:pPr>
        <w:keepNext w:val="0"/>
        <w:keepLines w:val="0"/>
        <w:pageBreakBefore w:val="0"/>
        <w:widowControl w:val="0"/>
        <w:kinsoku/>
        <w:wordWrap/>
        <w:overflowPunct/>
        <w:topLinePunct w:val="0"/>
        <w:autoSpaceDE/>
        <w:autoSpaceDN/>
        <w:bidi w:val="0"/>
        <w:adjustRightInd/>
        <w:snapToGrid/>
        <w:spacing w:line="480" w:lineRule="auto"/>
        <w:ind w:firstLine="40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我单位(</w:t>
      </w:r>
      <w:r>
        <w:rPr>
          <w:rFonts w:hint="eastAsia" w:ascii="宋体" w:hAnsi="宋体" w:eastAsia="宋体" w:cs="宋体"/>
          <w:color w:val="auto"/>
          <w:spacing w:val="-5"/>
          <w:sz w:val="21"/>
          <w:szCs w:val="21"/>
          <w:highlight w:val="none"/>
          <w:u w:val="single"/>
        </w:rPr>
        <w:t>公司</w:t>
      </w:r>
      <w:r>
        <w:rPr>
          <w:rFonts w:hint="eastAsia" w:ascii="宋体" w:hAnsi="宋体" w:eastAsia="宋体" w:cs="宋体"/>
          <w:color w:val="auto"/>
          <w:spacing w:val="-5"/>
          <w:sz w:val="21"/>
          <w:szCs w:val="21"/>
          <w:highlight w:val="none"/>
        </w:rPr>
        <w:t>)参与</w:t>
      </w:r>
      <w:r>
        <w:rPr>
          <w:rFonts w:hint="eastAsia" w:ascii="宋体" w:hAnsi="宋体" w:eastAsia="宋体" w:cs="宋体"/>
          <w:color w:val="auto"/>
          <w:spacing w:val="-89"/>
          <w:sz w:val="21"/>
          <w:szCs w:val="21"/>
          <w:highlight w:val="none"/>
        </w:rPr>
        <w:t xml:space="preserve"> </w:t>
      </w:r>
      <w:r>
        <w:rPr>
          <w:rFonts w:hint="eastAsia" w:ascii="宋体" w:hAnsi="宋体" w:eastAsia="宋体" w:cs="宋体"/>
          <w:color w:val="auto"/>
          <w:spacing w:val="21"/>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w:t>
      </w:r>
      <w:r>
        <w:rPr>
          <w:rFonts w:hint="eastAsia" w:ascii="宋体" w:hAnsi="宋体" w:eastAsia="宋体" w:cs="宋体"/>
          <w:color w:val="auto"/>
          <w:spacing w:val="-52"/>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采</w:t>
      </w:r>
      <w:r>
        <w:rPr>
          <w:rFonts w:hint="eastAsia" w:ascii="宋体" w:hAnsi="宋体" w:eastAsia="宋体" w:cs="宋体"/>
          <w:color w:val="auto"/>
          <w:spacing w:val="-55"/>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购</w:t>
      </w:r>
      <w:r>
        <w:rPr>
          <w:rFonts w:hint="eastAsia" w:ascii="宋体" w:hAnsi="宋体" w:eastAsia="宋体" w:cs="宋体"/>
          <w:color w:val="auto"/>
          <w:spacing w:val="-54"/>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项目</w:t>
      </w:r>
      <w:r>
        <w:rPr>
          <w:rFonts w:hint="eastAsia" w:ascii="宋体" w:hAnsi="宋体" w:eastAsia="宋体" w:cs="宋体"/>
          <w:color w:val="auto"/>
          <w:spacing w:val="-54"/>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名</w:t>
      </w:r>
      <w:r>
        <w:rPr>
          <w:rFonts w:hint="eastAsia" w:ascii="宋体" w:hAnsi="宋体" w:eastAsia="宋体" w:cs="宋体"/>
          <w:color w:val="auto"/>
          <w:spacing w:val="-55"/>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称</w:t>
      </w:r>
      <w:r>
        <w:rPr>
          <w:rFonts w:hint="eastAsia" w:ascii="宋体" w:hAnsi="宋体" w:eastAsia="宋体" w:cs="宋体"/>
          <w:color w:val="auto"/>
          <w:spacing w:val="-5"/>
          <w:sz w:val="21"/>
          <w:szCs w:val="21"/>
          <w:highlight w:val="none"/>
          <w:u w:val="single" w:color="auto"/>
          <w:lang w:eastAsia="zh-CN"/>
        </w:rPr>
        <w:t>、</w:t>
      </w:r>
      <w:r>
        <w:rPr>
          <w:rFonts w:hint="eastAsia" w:ascii="宋体" w:hAnsi="宋体" w:eastAsia="宋体" w:cs="宋体"/>
          <w:color w:val="auto"/>
          <w:spacing w:val="-54"/>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项目</w:t>
      </w:r>
      <w:r>
        <w:rPr>
          <w:rFonts w:hint="eastAsia" w:ascii="宋体" w:hAnsi="宋体" w:eastAsia="宋体" w:cs="宋体"/>
          <w:color w:val="auto"/>
          <w:spacing w:val="-53"/>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编</w:t>
      </w:r>
      <w:r>
        <w:rPr>
          <w:rFonts w:hint="eastAsia" w:ascii="宋体" w:hAnsi="宋体" w:eastAsia="宋体" w:cs="宋体"/>
          <w:color w:val="auto"/>
          <w:spacing w:val="-48"/>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号</w:t>
      </w:r>
      <w:r>
        <w:rPr>
          <w:rFonts w:hint="eastAsia" w:ascii="宋体" w:hAnsi="宋体" w:eastAsia="宋体" w:cs="宋体"/>
          <w:color w:val="auto"/>
          <w:spacing w:val="-63"/>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w:t>
      </w:r>
    </w:p>
    <w:p w14:paraId="1125E287">
      <w:pPr>
        <w:keepNext w:val="0"/>
        <w:keepLines w:val="0"/>
        <w:pageBreakBefore w:val="0"/>
        <w:widowControl w:val="0"/>
        <w:kinsoku/>
        <w:wordWrap/>
        <w:overflowPunct/>
        <w:topLinePunct w:val="0"/>
        <w:autoSpaceDE/>
        <w:autoSpaceDN/>
        <w:bidi w:val="0"/>
        <w:adjustRightInd/>
        <w:snapToGrid/>
        <w:spacing w:line="480" w:lineRule="auto"/>
        <w:ind w:left="363"/>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采购项目的政府采购活动，现承诺如下：</w:t>
      </w:r>
    </w:p>
    <w:p w14:paraId="4837BC0A">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1.</w:t>
      </w:r>
      <w:r>
        <w:rPr>
          <w:rFonts w:hint="eastAsia" w:ascii="宋体" w:hAnsi="宋体" w:eastAsia="宋体" w:cs="宋体"/>
          <w:color w:val="auto"/>
          <w:spacing w:val="-31"/>
          <w:sz w:val="21"/>
          <w:szCs w:val="21"/>
          <w:highlight w:val="none"/>
        </w:rPr>
        <w:t xml:space="preserve"> </w:t>
      </w:r>
      <w:r>
        <w:rPr>
          <w:rFonts w:hint="eastAsia" w:ascii="宋体" w:hAnsi="宋体" w:eastAsia="宋体" w:cs="宋体"/>
          <w:color w:val="auto"/>
          <w:spacing w:val="-4"/>
          <w:sz w:val="21"/>
          <w:szCs w:val="21"/>
          <w:highlight w:val="none"/>
        </w:rPr>
        <w:t>具有良好的商业信誉和健全的财务会计制度；</w:t>
      </w:r>
    </w:p>
    <w:p w14:paraId="30296007">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2.</w:t>
      </w:r>
      <w:r>
        <w:rPr>
          <w:rFonts w:hint="eastAsia" w:ascii="宋体" w:hAnsi="宋体" w:eastAsia="宋体" w:cs="宋体"/>
          <w:color w:val="auto"/>
          <w:spacing w:val="-57"/>
          <w:sz w:val="21"/>
          <w:szCs w:val="21"/>
          <w:highlight w:val="none"/>
        </w:rPr>
        <w:t xml:space="preserve"> </w:t>
      </w:r>
      <w:r>
        <w:rPr>
          <w:rFonts w:hint="eastAsia" w:ascii="宋体" w:hAnsi="宋体" w:eastAsia="宋体" w:cs="宋体"/>
          <w:color w:val="auto"/>
          <w:spacing w:val="-5"/>
          <w:sz w:val="21"/>
          <w:szCs w:val="21"/>
          <w:highlight w:val="none"/>
        </w:rPr>
        <w:t>具有依法缴纳税收的良好记录；</w:t>
      </w:r>
    </w:p>
    <w:p w14:paraId="5829E1FE">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3.具有依法缴纳社会保障金的良好记录。</w:t>
      </w:r>
    </w:p>
    <w:p w14:paraId="0A1CBA3D">
      <w:pPr>
        <w:keepNext w:val="0"/>
        <w:keepLines w:val="0"/>
        <w:pageBreakBefore w:val="0"/>
        <w:widowControl w:val="0"/>
        <w:kinsoku/>
        <w:wordWrap/>
        <w:overflowPunct/>
        <w:topLinePunct w:val="0"/>
        <w:autoSpaceDE/>
        <w:autoSpaceDN/>
        <w:bidi w:val="0"/>
        <w:adjustRightInd/>
        <w:snapToGrid/>
        <w:spacing w:line="480" w:lineRule="auto"/>
        <w:ind w:left="363" w:right="192"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我方在采购项目评审(评标)环节结束后，随时接受采</w:t>
      </w:r>
      <w:r>
        <w:rPr>
          <w:rFonts w:hint="eastAsia" w:ascii="宋体" w:hAnsi="宋体" w:eastAsia="宋体" w:cs="宋体"/>
          <w:color w:val="auto"/>
          <w:spacing w:val="-3"/>
          <w:sz w:val="21"/>
          <w:szCs w:val="21"/>
          <w:highlight w:val="none"/>
        </w:rPr>
        <w:t>购人、采购代理机构的检查验证，配合提供相关证</w:t>
      </w:r>
      <w:r>
        <w:rPr>
          <w:rFonts w:hint="eastAsia" w:ascii="宋体" w:hAnsi="宋体" w:eastAsia="宋体" w:cs="宋体"/>
          <w:color w:val="auto"/>
          <w:spacing w:val="-4"/>
          <w:sz w:val="21"/>
          <w:szCs w:val="21"/>
          <w:highlight w:val="none"/>
        </w:rPr>
        <w:t>明材料，</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证明符合《中华人民共和国政府采购法》规定的供应商基本</w:t>
      </w:r>
      <w:r>
        <w:rPr>
          <w:rFonts w:hint="eastAsia" w:ascii="宋体" w:hAnsi="宋体" w:eastAsia="宋体" w:cs="宋体"/>
          <w:color w:val="auto"/>
          <w:spacing w:val="-9"/>
          <w:sz w:val="21"/>
          <w:szCs w:val="21"/>
          <w:highlight w:val="none"/>
        </w:rPr>
        <w:t>资格条件。</w:t>
      </w:r>
    </w:p>
    <w:p w14:paraId="4E73A6CC">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9"/>
          <w:position w:val="23"/>
          <w:sz w:val="21"/>
          <w:szCs w:val="21"/>
          <w:highlight w:val="none"/>
        </w:rPr>
        <w:t>我单位(</w:t>
      </w:r>
      <w:r>
        <w:rPr>
          <w:rFonts w:hint="eastAsia" w:ascii="宋体" w:hAnsi="宋体" w:eastAsia="宋体" w:cs="宋体"/>
          <w:color w:val="auto"/>
          <w:spacing w:val="9"/>
          <w:position w:val="23"/>
          <w:sz w:val="21"/>
          <w:szCs w:val="21"/>
          <w:highlight w:val="none"/>
          <w:u w:val="single"/>
        </w:rPr>
        <w:t>公司</w:t>
      </w:r>
      <w:r>
        <w:rPr>
          <w:rFonts w:hint="eastAsia" w:ascii="宋体" w:hAnsi="宋体" w:eastAsia="宋体" w:cs="宋体"/>
          <w:color w:val="auto"/>
          <w:spacing w:val="9"/>
          <w:position w:val="23"/>
          <w:sz w:val="21"/>
          <w:szCs w:val="21"/>
          <w:highlight w:val="none"/>
        </w:rPr>
        <w:t>)对上述承诺的真实性负责。如有虚假，</w:t>
      </w:r>
    </w:p>
    <w:p w14:paraId="636ECA9E">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将依法承担相应责任。</w:t>
      </w:r>
    </w:p>
    <w:p w14:paraId="4D2161F2">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特此承诺。</w:t>
      </w:r>
    </w:p>
    <w:p w14:paraId="66C61F22">
      <w:pPr>
        <w:spacing w:line="356" w:lineRule="auto"/>
        <w:rPr>
          <w:rFonts w:hint="eastAsia" w:ascii="宋体" w:hAnsi="宋体" w:eastAsia="宋体" w:cs="宋体"/>
          <w:color w:val="auto"/>
          <w:sz w:val="21"/>
          <w:szCs w:val="21"/>
          <w:highlight w:val="none"/>
        </w:rPr>
      </w:pPr>
    </w:p>
    <w:p w14:paraId="0FB7419D">
      <w:pPr>
        <w:spacing w:line="356" w:lineRule="auto"/>
        <w:rPr>
          <w:rFonts w:hint="eastAsia" w:ascii="宋体" w:hAnsi="宋体" w:eastAsia="宋体" w:cs="宋体"/>
          <w:color w:val="auto"/>
          <w:sz w:val="21"/>
          <w:szCs w:val="21"/>
          <w:highlight w:val="none"/>
        </w:rPr>
      </w:pPr>
    </w:p>
    <w:p w14:paraId="63C3BFFF">
      <w:pPr>
        <w:spacing w:before="98" w:line="594" w:lineRule="exact"/>
        <w:ind w:left="5013"/>
        <w:rPr>
          <w:rFonts w:hint="eastAsia" w:ascii="宋体" w:hAnsi="宋体" w:eastAsia="宋体" w:cs="宋体"/>
          <w:color w:val="auto"/>
          <w:sz w:val="21"/>
          <w:szCs w:val="21"/>
          <w:highlight w:val="none"/>
        </w:rPr>
      </w:pPr>
      <w:r>
        <w:rPr>
          <w:rFonts w:hint="eastAsia" w:ascii="宋体" w:hAnsi="宋体" w:eastAsia="宋体" w:cs="宋体"/>
          <w:color w:val="auto"/>
          <w:spacing w:val="-21"/>
          <w:position w:val="21"/>
          <w:sz w:val="21"/>
          <w:szCs w:val="21"/>
          <w:highlight w:val="none"/>
        </w:rPr>
        <w:t>盖章：</w:t>
      </w:r>
    </w:p>
    <w:p w14:paraId="21F77BBA">
      <w:pPr>
        <w:spacing w:line="224" w:lineRule="auto"/>
        <w:ind w:left="0" w:leftChars="0" w:firstLine="5019" w:firstLineChars="2758"/>
        <w:rPr>
          <w:rFonts w:hint="eastAsia" w:ascii="宋体" w:hAnsi="宋体" w:eastAsia="宋体" w:cs="宋体"/>
          <w:color w:val="auto"/>
          <w:sz w:val="21"/>
          <w:szCs w:val="21"/>
          <w:highlight w:val="none"/>
        </w:rPr>
      </w:pPr>
      <w:r>
        <w:rPr>
          <w:rFonts w:hint="eastAsia" w:ascii="宋体" w:hAnsi="宋体" w:cs="宋体"/>
          <w:color w:val="auto"/>
          <w:spacing w:val="-14"/>
          <w:sz w:val="21"/>
          <w:szCs w:val="21"/>
          <w:highlight w:val="none"/>
          <w:lang w:eastAsia="zh-CN"/>
        </w:rPr>
        <w:t>法人</w:t>
      </w:r>
      <w:r>
        <w:rPr>
          <w:rFonts w:hint="eastAsia" w:ascii="宋体" w:hAnsi="宋体" w:eastAsia="宋体" w:cs="宋体"/>
          <w:color w:val="auto"/>
          <w:spacing w:val="-14"/>
          <w:sz w:val="21"/>
          <w:szCs w:val="21"/>
          <w:highlight w:val="none"/>
        </w:rPr>
        <w:t>签字：</w:t>
      </w:r>
    </w:p>
    <w:p w14:paraId="30CA863D">
      <w:pPr>
        <w:spacing w:before="224" w:line="223" w:lineRule="auto"/>
        <w:ind w:left="5023"/>
        <w:rPr>
          <w:rFonts w:hint="eastAsia" w:ascii="宋体" w:hAnsi="宋体" w:eastAsia="宋体" w:cs="宋体"/>
          <w:color w:val="auto"/>
          <w:sz w:val="21"/>
          <w:szCs w:val="21"/>
          <w:highlight w:val="none"/>
        </w:rPr>
      </w:pPr>
      <w:r>
        <w:rPr>
          <w:rFonts w:hint="eastAsia" w:ascii="宋体" w:hAnsi="宋体" w:eastAsia="宋体" w:cs="宋体"/>
          <w:color w:val="auto"/>
          <w:spacing w:val="-23"/>
          <w:sz w:val="21"/>
          <w:szCs w:val="21"/>
          <w:highlight w:val="none"/>
        </w:rPr>
        <w:t>日期：</w:t>
      </w:r>
    </w:p>
    <w:p w14:paraId="5D94626A">
      <w:pPr>
        <w:pStyle w:val="53"/>
        <w:jc w:val="center"/>
        <w:rPr>
          <w:rFonts w:hint="eastAsia"/>
          <w:b/>
          <w:bCs/>
          <w:color w:val="auto"/>
          <w:sz w:val="32"/>
          <w:szCs w:val="32"/>
          <w:highlight w:val="none"/>
          <w:lang w:val="en-US" w:eastAsia="zh-CN"/>
        </w:rPr>
      </w:pPr>
    </w:p>
    <w:p w14:paraId="6F95186A">
      <w:pPr>
        <w:pStyle w:val="53"/>
        <w:jc w:val="center"/>
        <w:rPr>
          <w:rFonts w:hint="eastAsia"/>
          <w:b/>
          <w:bCs/>
          <w:color w:val="auto"/>
          <w:sz w:val="32"/>
          <w:szCs w:val="32"/>
          <w:highlight w:val="none"/>
          <w:lang w:val="en-US" w:eastAsia="zh-CN"/>
        </w:rPr>
      </w:pPr>
    </w:p>
    <w:p w14:paraId="4EEF206E">
      <w:pPr>
        <w:pStyle w:val="53"/>
        <w:jc w:val="center"/>
        <w:rPr>
          <w:rFonts w:hint="eastAsia"/>
          <w:b/>
          <w:bCs/>
          <w:color w:val="auto"/>
          <w:sz w:val="32"/>
          <w:szCs w:val="32"/>
          <w:highlight w:val="none"/>
          <w:lang w:val="en-US" w:eastAsia="zh-CN"/>
        </w:rPr>
      </w:pPr>
    </w:p>
    <w:p w14:paraId="1176002B">
      <w:pPr>
        <w:pStyle w:val="53"/>
        <w:jc w:val="center"/>
        <w:rPr>
          <w:rFonts w:hint="eastAsia"/>
          <w:b/>
          <w:bCs/>
          <w:color w:val="auto"/>
          <w:sz w:val="32"/>
          <w:szCs w:val="32"/>
          <w:highlight w:val="none"/>
          <w:lang w:val="en-US" w:eastAsia="zh-CN"/>
        </w:rPr>
      </w:pPr>
    </w:p>
    <w:p w14:paraId="5BD68283">
      <w:pPr>
        <w:pStyle w:val="53"/>
        <w:jc w:val="center"/>
        <w:rPr>
          <w:rFonts w:hint="eastAsia"/>
          <w:b/>
          <w:bCs/>
          <w:color w:val="auto"/>
          <w:sz w:val="32"/>
          <w:szCs w:val="32"/>
          <w:highlight w:val="none"/>
          <w:lang w:val="en-US" w:eastAsia="zh-CN"/>
        </w:rPr>
      </w:pPr>
    </w:p>
    <w:p w14:paraId="5363A855">
      <w:pPr>
        <w:pStyle w:val="53"/>
        <w:jc w:val="center"/>
        <w:rPr>
          <w:rFonts w:hint="eastAsia"/>
          <w:b/>
          <w:bCs/>
          <w:color w:val="auto"/>
          <w:sz w:val="32"/>
          <w:szCs w:val="32"/>
          <w:highlight w:val="none"/>
          <w:lang w:val="en-US" w:eastAsia="zh-CN"/>
        </w:rPr>
      </w:pPr>
    </w:p>
    <w:p w14:paraId="123FD900">
      <w:pPr>
        <w:pStyle w:val="53"/>
        <w:jc w:val="center"/>
        <w:rPr>
          <w:rFonts w:hint="eastAsia"/>
          <w:b/>
          <w:bCs/>
          <w:color w:val="auto"/>
          <w:sz w:val="32"/>
          <w:szCs w:val="32"/>
          <w:highlight w:val="none"/>
          <w:lang w:val="en-US" w:eastAsia="zh-CN"/>
        </w:rPr>
      </w:pPr>
    </w:p>
    <w:p w14:paraId="03E5E040">
      <w:pPr>
        <w:pStyle w:val="53"/>
        <w:jc w:val="center"/>
        <w:rPr>
          <w:rFonts w:hint="eastAsia"/>
          <w:b/>
          <w:bCs/>
          <w:color w:val="auto"/>
          <w:sz w:val="32"/>
          <w:szCs w:val="32"/>
          <w:highlight w:val="none"/>
          <w:lang w:val="en-US" w:eastAsia="zh-CN"/>
        </w:rPr>
      </w:pPr>
    </w:p>
    <w:p w14:paraId="3B419BBA">
      <w:pPr>
        <w:pStyle w:val="53"/>
        <w:jc w:val="center"/>
        <w:rPr>
          <w:rFonts w:hint="eastAsia"/>
          <w:b/>
          <w:bCs/>
          <w:color w:val="auto"/>
          <w:sz w:val="32"/>
          <w:szCs w:val="32"/>
          <w:highlight w:val="none"/>
          <w:lang w:val="en-US" w:eastAsia="zh-CN"/>
        </w:rPr>
      </w:pPr>
    </w:p>
    <w:p w14:paraId="0B28A5B3">
      <w:pPr>
        <w:pStyle w:val="53"/>
        <w:jc w:val="center"/>
        <w:rPr>
          <w:b/>
          <w:bCs/>
          <w:color w:val="auto"/>
          <w:sz w:val="32"/>
          <w:szCs w:val="32"/>
          <w:highlight w:val="none"/>
        </w:rPr>
      </w:pPr>
      <w:r>
        <w:rPr>
          <w:rFonts w:hint="eastAsia"/>
          <w:b/>
          <w:bCs/>
          <w:color w:val="auto"/>
          <w:sz w:val="32"/>
          <w:szCs w:val="32"/>
          <w:highlight w:val="none"/>
          <w:lang w:val="en-US" w:eastAsia="zh-CN"/>
        </w:rPr>
        <w:t>八</w:t>
      </w:r>
      <w:r>
        <w:rPr>
          <w:rFonts w:hint="eastAsia"/>
          <w:b/>
          <w:bCs/>
          <w:color w:val="auto"/>
          <w:sz w:val="32"/>
          <w:szCs w:val="32"/>
          <w:highlight w:val="none"/>
        </w:rPr>
        <w:t>、谈判报价一览表</w:t>
      </w:r>
    </w:p>
    <w:p w14:paraId="3CB2DC04">
      <w:pPr>
        <w:pStyle w:val="16"/>
        <w:spacing w:line="300" w:lineRule="exact"/>
        <w:ind w:left="420"/>
        <w:jc w:val="left"/>
        <w:rPr>
          <w:rFonts w:hint="eastAsia" w:hAnsi="宋体" w:cs="宋体"/>
          <w:b/>
          <w:color w:val="auto"/>
          <w:sz w:val="24"/>
          <w:szCs w:val="24"/>
          <w:highlight w:val="none"/>
        </w:rPr>
      </w:pPr>
    </w:p>
    <w:tbl>
      <w:tblPr>
        <w:tblStyle w:val="34"/>
        <w:tblW w:w="9118" w:type="dxa"/>
        <w:jc w:val="center"/>
        <w:tblLayout w:type="fixed"/>
        <w:tblCellMar>
          <w:top w:w="0" w:type="dxa"/>
          <w:left w:w="108" w:type="dxa"/>
          <w:bottom w:w="0" w:type="dxa"/>
          <w:right w:w="108" w:type="dxa"/>
        </w:tblCellMar>
      </w:tblPr>
      <w:tblGrid>
        <w:gridCol w:w="658"/>
        <w:gridCol w:w="2105"/>
        <w:gridCol w:w="4559"/>
        <w:gridCol w:w="1796"/>
      </w:tblGrid>
      <w:tr w14:paraId="03044640">
        <w:tblPrEx>
          <w:tblCellMar>
            <w:top w:w="0" w:type="dxa"/>
            <w:left w:w="108" w:type="dxa"/>
            <w:bottom w:w="0" w:type="dxa"/>
            <w:right w:w="108" w:type="dxa"/>
          </w:tblCellMar>
        </w:tblPrEx>
        <w:trPr>
          <w:trHeight w:val="1528"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14:paraId="687273C9">
            <w:pPr>
              <w:spacing w:line="300" w:lineRule="exact"/>
              <w:jc w:val="center"/>
              <w:rPr>
                <w:rFonts w:hint="eastAsia" w:hAnsi="宋体"/>
                <w:b/>
                <w:bCs/>
                <w:color w:val="auto"/>
                <w:highlight w:val="none"/>
              </w:rPr>
            </w:pPr>
            <w:r>
              <w:rPr>
                <w:rFonts w:hint="eastAsia" w:hAnsi="宋体"/>
                <w:b/>
                <w:bCs/>
                <w:color w:val="auto"/>
                <w:highlight w:val="none"/>
              </w:rPr>
              <w:t>项号</w:t>
            </w:r>
          </w:p>
        </w:tc>
        <w:tc>
          <w:tcPr>
            <w:tcW w:w="2105" w:type="dxa"/>
            <w:tcBorders>
              <w:top w:val="single" w:color="auto" w:sz="4" w:space="0"/>
              <w:left w:val="single" w:color="auto" w:sz="4" w:space="0"/>
              <w:bottom w:val="single" w:color="auto" w:sz="4" w:space="0"/>
              <w:right w:val="single" w:color="auto" w:sz="4" w:space="0"/>
            </w:tcBorders>
            <w:vAlign w:val="center"/>
          </w:tcPr>
          <w:p w14:paraId="6394F623">
            <w:pPr>
              <w:spacing w:line="300" w:lineRule="exact"/>
              <w:jc w:val="center"/>
              <w:rPr>
                <w:rFonts w:hint="eastAsia" w:hAnsi="宋体"/>
                <w:b/>
                <w:bCs/>
                <w:color w:val="auto"/>
                <w:highlight w:val="none"/>
              </w:rPr>
            </w:pPr>
            <w:r>
              <w:rPr>
                <w:rFonts w:hint="eastAsia" w:hAnsi="宋体"/>
                <w:b/>
                <w:bCs/>
                <w:color w:val="auto"/>
                <w:highlight w:val="none"/>
              </w:rPr>
              <w:t>供应商名称</w:t>
            </w:r>
          </w:p>
        </w:tc>
        <w:tc>
          <w:tcPr>
            <w:tcW w:w="4559" w:type="dxa"/>
            <w:tcBorders>
              <w:top w:val="single" w:color="auto" w:sz="4" w:space="0"/>
              <w:left w:val="single" w:color="auto" w:sz="4" w:space="0"/>
              <w:bottom w:val="single" w:color="auto" w:sz="4" w:space="0"/>
              <w:right w:val="single" w:color="auto" w:sz="4" w:space="0"/>
            </w:tcBorders>
            <w:vAlign w:val="center"/>
          </w:tcPr>
          <w:p w14:paraId="60A6D399">
            <w:pPr>
              <w:spacing w:line="300" w:lineRule="exact"/>
              <w:jc w:val="center"/>
              <w:rPr>
                <w:rFonts w:hint="eastAsia" w:ascii="宋体" w:hAnsi="宋体"/>
                <w:color w:val="auto"/>
                <w:highlight w:val="none"/>
              </w:rPr>
            </w:pPr>
            <w:r>
              <w:rPr>
                <w:rFonts w:hint="eastAsia" w:hAnsi="宋体"/>
                <w:b/>
                <w:bCs/>
                <w:color w:val="auto"/>
                <w:highlight w:val="none"/>
              </w:rPr>
              <w:t>谈判总报价</w:t>
            </w:r>
          </w:p>
        </w:tc>
        <w:tc>
          <w:tcPr>
            <w:tcW w:w="1796" w:type="dxa"/>
            <w:tcBorders>
              <w:top w:val="single" w:color="auto" w:sz="4" w:space="0"/>
              <w:left w:val="single" w:color="auto" w:sz="4" w:space="0"/>
              <w:bottom w:val="single" w:color="auto" w:sz="4" w:space="0"/>
              <w:right w:val="single" w:color="auto" w:sz="4" w:space="0"/>
            </w:tcBorders>
            <w:vAlign w:val="center"/>
          </w:tcPr>
          <w:p w14:paraId="2F74F1E9">
            <w:pPr>
              <w:spacing w:line="300" w:lineRule="exact"/>
              <w:jc w:val="center"/>
              <w:rPr>
                <w:rFonts w:hint="eastAsia" w:hAnsi="宋体"/>
                <w:b/>
                <w:bCs/>
                <w:color w:val="auto"/>
                <w:highlight w:val="none"/>
              </w:rPr>
            </w:pPr>
            <w:r>
              <w:rPr>
                <w:rFonts w:hint="eastAsia" w:hAnsi="宋体"/>
                <w:b/>
                <w:bCs/>
                <w:color w:val="auto"/>
                <w:highlight w:val="none"/>
              </w:rPr>
              <w:t>谈判保证金</w:t>
            </w:r>
          </w:p>
          <w:p w14:paraId="339A60E8">
            <w:pPr>
              <w:spacing w:line="300" w:lineRule="exact"/>
              <w:jc w:val="center"/>
              <w:rPr>
                <w:rFonts w:hAnsi="宋体"/>
                <w:b/>
                <w:bCs/>
                <w:color w:val="auto"/>
                <w:highlight w:val="none"/>
              </w:rPr>
            </w:pPr>
            <w:r>
              <w:rPr>
                <w:rFonts w:hint="eastAsia" w:hAnsi="宋体"/>
                <w:b/>
                <w:bCs/>
                <w:color w:val="auto"/>
                <w:highlight w:val="none"/>
              </w:rPr>
              <w:t>（有/无）</w:t>
            </w:r>
          </w:p>
        </w:tc>
      </w:tr>
      <w:tr w14:paraId="53B779AE">
        <w:tblPrEx>
          <w:tblCellMar>
            <w:top w:w="0" w:type="dxa"/>
            <w:left w:w="108" w:type="dxa"/>
            <w:bottom w:w="0" w:type="dxa"/>
            <w:right w:w="108" w:type="dxa"/>
          </w:tblCellMar>
        </w:tblPrEx>
        <w:trPr>
          <w:trHeight w:val="2074"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14:paraId="069697B6">
            <w:pPr>
              <w:jc w:val="center"/>
              <w:rPr>
                <w:rFonts w:hint="eastAsia" w:ascii="宋体" w:hAnsi="宋体"/>
                <w:color w:val="auto"/>
                <w:highlight w:val="none"/>
              </w:rPr>
            </w:pPr>
            <w:r>
              <w:rPr>
                <w:rFonts w:ascii="宋体" w:hAnsi="宋体"/>
                <w:color w:val="auto"/>
                <w:highlight w:val="none"/>
              </w:rPr>
              <w:t>1</w:t>
            </w:r>
          </w:p>
        </w:tc>
        <w:tc>
          <w:tcPr>
            <w:tcW w:w="2105" w:type="dxa"/>
            <w:tcBorders>
              <w:top w:val="single" w:color="auto" w:sz="4" w:space="0"/>
              <w:left w:val="single" w:color="auto" w:sz="4" w:space="0"/>
              <w:bottom w:val="single" w:color="auto" w:sz="4" w:space="0"/>
              <w:right w:val="single" w:color="auto" w:sz="4" w:space="0"/>
            </w:tcBorders>
            <w:vAlign w:val="center"/>
          </w:tcPr>
          <w:p w14:paraId="1F46C4C2">
            <w:pPr>
              <w:jc w:val="center"/>
              <w:rPr>
                <w:rFonts w:hint="eastAsia" w:ascii="宋体" w:hAnsi="宋体"/>
                <w:color w:val="auto"/>
                <w:highlight w:val="none"/>
              </w:rPr>
            </w:pPr>
          </w:p>
        </w:tc>
        <w:tc>
          <w:tcPr>
            <w:tcW w:w="4559" w:type="dxa"/>
            <w:tcBorders>
              <w:top w:val="single" w:color="auto" w:sz="4" w:space="0"/>
              <w:left w:val="single" w:color="auto" w:sz="4" w:space="0"/>
              <w:bottom w:val="single" w:color="auto" w:sz="4" w:space="0"/>
              <w:right w:val="single" w:color="auto" w:sz="4" w:space="0"/>
            </w:tcBorders>
            <w:vAlign w:val="center"/>
          </w:tcPr>
          <w:p w14:paraId="4E9DF062">
            <w:pPr>
              <w:jc w:val="center"/>
              <w:rPr>
                <w:rFonts w:hint="default" w:ascii="宋体" w:hAnsi="宋体" w:eastAsia="宋体"/>
                <w:color w:val="auto"/>
                <w:spacing w:val="-6"/>
                <w:highlight w:val="none"/>
                <w:lang w:val="en-US" w:eastAsia="zh-CN"/>
              </w:rPr>
            </w:pPr>
            <w:r>
              <w:rPr>
                <w:rFonts w:hint="eastAsia" w:ascii="宋体" w:hAnsi="宋体"/>
                <w:color w:val="auto"/>
                <w:spacing w:val="-6"/>
                <w:highlight w:val="none"/>
              </w:rPr>
              <w:t>一次投标总</w:t>
            </w:r>
            <w:r>
              <w:rPr>
                <w:rFonts w:ascii="宋体" w:hAnsi="宋体"/>
                <w:color w:val="auto"/>
                <w:spacing w:val="-6"/>
                <w:highlight w:val="none"/>
              </w:rPr>
              <w:t>报价</w:t>
            </w:r>
            <w:r>
              <w:rPr>
                <w:rFonts w:hint="eastAsia" w:ascii="宋体" w:hAnsi="宋体"/>
                <w:color w:val="auto"/>
                <w:spacing w:val="-6"/>
                <w:highlight w:val="none"/>
              </w:rPr>
              <w:t>（大写）人民币：      元</w:t>
            </w:r>
          </w:p>
          <w:p w14:paraId="43BB4516">
            <w:pPr>
              <w:jc w:val="center"/>
              <w:rPr>
                <w:rFonts w:hint="eastAsia" w:ascii="宋体" w:hAnsi="宋体"/>
                <w:color w:val="auto"/>
                <w:spacing w:val="-6"/>
                <w:highlight w:val="none"/>
              </w:rPr>
            </w:pPr>
          </w:p>
          <w:p w14:paraId="7180B539">
            <w:pPr>
              <w:jc w:val="center"/>
              <w:rPr>
                <w:rFonts w:hint="eastAsia" w:ascii="宋体" w:hAnsi="宋体"/>
                <w:color w:val="auto"/>
                <w:highlight w:val="none"/>
              </w:rPr>
            </w:pPr>
            <w:r>
              <w:rPr>
                <w:rFonts w:hint="eastAsia" w:ascii="宋体" w:hAnsi="宋体"/>
                <w:color w:val="auto"/>
                <w:spacing w:val="-6"/>
                <w:highlight w:val="none"/>
                <w:lang w:val="en-US" w:eastAsia="zh-CN"/>
              </w:rPr>
              <w:t xml:space="preserve">        </w:t>
            </w:r>
            <w:r>
              <w:rPr>
                <w:rFonts w:hint="eastAsia" w:ascii="宋体" w:hAnsi="宋体"/>
                <w:color w:val="auto"/>
                <w:spacing w:val="-6"/>
                <w:highlight w:val="none"/>
              </w:rPr>
              <w:t>（小写）￥：                 元</w:t>
            </w:r>
          </w:p>
        </w:tc>
        <w:tc>
          <w:tcPr>
            <w:tcW w:w="1796" w:type="dxa"/>
            <w:tcBorders>
              <w:top w:val="single" w:color="auto" w:sz="4" w:space="0"/>
              <w:left w:val="single" w:color="auto" w:sz="4" w:space="0"/>
              <w:bottom w:val="single" w:color="auto" w:sz="4" w:space="0"/>
              <w:right w:val="single" w:color="auto" w:sz="4" w:space="0"/>
            </w:tcBorders>
            <w:vAlign w:val="center"/>
          </w:tcPr>
          <w:p w14:paraId="6852556F">
            <w:pPr>
              <w:jc w:val="center"/>
              <w:rPr>
                <w:rFonts w:hint="eastAsia" w:ascii="宋体" w:hAnsi="宋体" w:eastAsia="宋体"/>
                <w:color w:val="auto"/>
                <w:highlight w:val="none"/>
                <w:lang w:val="en-US" w:eastAsia="zh-CN"/>
              </w:rPr>
            </w:pPr>
          </w:p>
        </w:tc>
      </w:tr>
      <w:tr w14:paraId="5125A774">
        <w:tblPrEx>
          <w:tblCellMar>
            <w:top w:w="0" w:type="dxa"/>
            <w:left w:w="108" w:type="dxa"/>
            <w:bottom w:w="0" w:type="dxa"/>
            <w:right w:w="108" w:type="dxa"/>
          </w:tblCellMar>
        </w:tblPrEx>
        <w:trPr>
          <w:trHeight w:val="2282" w:hRule="atLeast"/>
          <w:jc w:val="center"/>
        </w:trPr>
        <w:tc>
          <w:tcPr>
            <w:tcW w:w="9118" w:type="dxa"/>
            <w:gridSpan w:val="4"/>
            <w:tcBorders>
              <w:top w:val="single" w:color="auto" w:sz="4" w:space="0"/>
              <w:left w:val="single" w:color="auto" w:sz="4" w:space="0"/>
              <w:bottom w:val="single" w:color="auto" w:sz="4" w:space="0"/>
              <w:right w:val="single" w:color="auto" w:sz="4" w:space="0"/>
            </w:tcBorders>
            <w:vAlign w:val="center"/>
          </w:tcPr>
          <w:p w14:paraId="666D90CC">
            <w:pPr>
              <w:rPr>
                <w:rFonts w:ascii="宋体" w:hAnsi="宋体"/>
                <w:color w:val="auto"/>
                <w:highlight w:val="none"/>
              </w:rPr>
            </w:pPr>
            <w:r>
              <w:rPr>
                <w:rFonts w:hint="eastAsia"/>
                <w:color w:val="auto"/>
                <w:highlight w:val="none"/>
              </w:rPr>
              <w:t>说明：谈判报价指本次采购范围相关费用</w:t>
            </w:r>
            <w:r>
              <w:rPr>
                <w:rFonts w:hint="eastAsia"/>
                <w:color w:val="auto"/>
                <w:highlight w:val="none"/>
                <w:lang w:eastAsia="zh-CN"/>
              </w:rPr>
              <w:t>的</w:t>
            </w:r>
            <w:r>
              <w:rPr>
                <w:rFonts w:hint="eastAsia"/>
                <w:color w:val="auto"/>
                <w:highlight w:val="none"/>
              </w:rPr>
              <w:t>全部费用，</w:t>
            </w:r>
            <w:r>
              <w:rPr>
                <w:rFonts w:hint="eastAsia"/>
                <w:color w:val="auto"/>
                <w:highlight w:val="none"/>
                <w:lang w:val="en-US" w:eastAsia="zh-CN"/>
              </w:rPr>
              <w:t>采购人不再另行支付任何费用，</w:t>
            </w:r>
            <w:r>
              <w:rPr>
                <w:rFonts w:hint="eastAsia"/>
                <w:color w:val="auto"/>
                <w:highlight w:val="none"/>
              </w:rPr>
              <w:t>供应商应综合考虑在报价中。</w:t>
            </w:r>
          </w:p>
        </w:tc>
      </w:tr>
    </w:tbl>
    <w:p w14:paraId="1B82D5C9">
      <w:pPr>
        <w:spacing w:line="340" w:lineRule="exact"/>
        <w:rPr>
          <w:rFonts w:hint="eastAsia" w:ascii="宋体" w:hAnsi="宋体" w:cs="宋体"/>
          <w:color w:val="auto"/>
          <w:szCs w:val="21"/>
          <w:highlight w:val="none"/>
        </w:rPr>
      </w:pPr>
    </w:p>
    <w:p w14:paraId="42B3D812">
      <w:pPr>
        <w:pStyle w:val="16"/>
        <w:snapToGrid w:val="0"/>
        <w:spacing w:line="360" w:lineRule="exact"/>
        <w:ind w:firstLine="4418" w:firstLineChars="2104"/>
        <w:rPr>
          <w:rFonts w:hAnsi="宋体"/>
          <w:color w:val="auto"/>
          <w:highlight w:val="none"/>
        </w:rPr>
      </w:pPr>
    </w:p>
    <w:p w14:paraId="11FD58CF">
      <w:pPr>
        <w:pStyle w:val="16"/>
        <w:snapToGrid w:val="0"/>
        <w:spacing w:line="360" w:lineRule="exact"/>
        <w:ind w:firstLine="4418" w:firstLineChars="2104"/>
        <w:rPr>
          <w:rFonts w:hAnsi="宋体"/>
          <w:color w:val="auto"/>
          <w:highlight w:val="none"/>
        </w:rPr>
      </w:pPr>
    </w:p>
    <w:p w14:paraId="566B03D8">
      <w:pPr>
        <w:pStyle w:val="16"/>
        <w:snapToGrid w:val="0"/>
        <w:spacing w:line="360" w:lineRule="exact"/>
        <w:ind w:firstLine="4418" w:firstLineChars="2104"/>
        <w:rPr>
          <w:rFonts w:hAnsi="宋体"/>
          <w:color w:val="auto"/>
          <w:highlight w:val="none"/>
        </w:rPr>
      </w:pPr>
      <w:r>
        <w:rPr>
          <w:rFonts w:hint="eastAsia" w:ascii="宋体" w:hAnsi="宋体"/>
          <w:color w:val="auto"/>
          <w:szCs w:val="21"/>
          <w:highlight w:val="none"/>
          <w:lang w:val="en-US" w:eastAsia="zh-CN"/>
        </w:rPr>
        <w:t>供应商</w:t>
      </w:r>
      <w:r>
        <w:rPr>
          <w:rFonts w:hAnsi="宋体"/>
          <w:color w:val="auto"/>
          <w:highlight w:val="none"/>
        </w:rPr>
        <w:t>：</w:t>
      </w:r>
      <w:r>
        <w:rPr>
          <w:rFonts w:hint="eastAsia" w:hAnsi="宋体"/>
          <w:color w:val="auto"/>
          <w:highlight w:val="none"/>
          <w:u w:val="single"/>
        </w:rPr>
        <w:t xml:space="preserve">                       </w:t>
      </w:r>
      <w:r>
        <w:rPr>
          <w:rFonts w:hAnsi="宋体"/>
          <w:color w:val="auto"/>
          <w:highlight w:val="none"/>
        </w:rPr>
        <w:t>（</w:t>
      </w:r>
      <w:r>
        <w:rPr>
          <w:rFonts w:hint="eastAsia" w:hAnsi="宋体"/>
          <w:color w:val="auto"/>
          <w:highlight w:val="none"/>
        </w:rPr>
        <w:t>盖单位章</w:t>
      </w:r>
      <w:r>
        <w:rPr>
          <w:rFonts w:hAnsi="宋体"/>
          <w:color w:val="auto"/>
          <w:highlight w:val="none"/>
        </w:rPr>
        <w:t>）</w:t>
      </w:r>
    </w:p>
    <w:p w14:paraId="1462FB19">
      <w:pPr>
        <w:pStyle w:val="16"/>
        <w:snapToGrid w:val="0"/>
        <w:spacing w:line="360" w:lineRule="exact"/>
        <w:ind w:firstLine="3578" w:firstLineChars="1704"/>
        <w:rPr>
          <w:rFonts w:hint="eastAsia" w:hAnsi="宋体"/>
          <w:color w:val="auto"/>
          <w:highlight w:val="none"/>
        </w:rPr>
      </w:pPr>
    </w:p>
    <w:p w14:paraId="69DF1D74">
      <w:pPr>
        <w:pStyle w:val="16"/>
        <w:wordWrap w:val="0"/>
        <w:snapToGrid w:val="0"/>
        <w:spacing w:line="360" w:lineRule="exact"/>
        <w:ind w:firstLine="4418" w:firstLineChars="2104"/>
        <w:rPr>
          <w:rFonts w:hint="eastAsia" w:hAnsi="宋体"/>
          <w:color w:val="auto"/>
          <w:highlight w:val="none"/>
        </w:rPr>
      </w:pPr>
      <w:r>
        <w:rPr>
          <w:rFonts w:hAnsi="宋体"/>
          <w:color w:val="auto"/>
          <w:highlight w:val="none"/>
        </w:rPr>
        <w:t>法定代表人：</w:t>
      </w:r>
      <w:r>
        <w:rPr>
          <w:rFonts w:hint="eastAsia" w:hAnsi="宋体"/>
          <w:color w:val="auto"/>
          <w:highlight w:val="none"/>
          <w:u w:val="single"/>
        </w:rPr>
        <w:t xml:space="preserve">    </w:t>
      </w:r>
      <w:r>
        <w:rPr>
          <w:rFonts w:hint="eastAsia" w:hAnsi="宋体"/>
          <w:color w:val="auto"/>
          <w:highlight w:val="none"/>
          <w:u w:val="single"/>
          <w:lang w:val="en-US" w:eastAsia="zh-CN"/>
        </w:rPr>
        <w:t xml:space="preserve">             </w:t>
      </w:r>
      <w:r>
        <w:rPr>
          <w:rFonts w:hint="eastAsia" w:hAnsi="宋体"/>
          <w:color w:val="auto"/>
          <w:highlight w:val="none"/>
          <w:u w:val="single"/>
        </w:rPr>
        <w:t xml:space="preserve">    </w:t>
      </w:r>
      <w:r>
        <w:rPr>
          <w:rFonts w:hint="eastAsia" w:hAnsi="宋体"/>
          <w:color w:val="auto"/>
          <w:highlight w:val="none"/>
        </w:rPr>
        <w:t>（</w:t>
      </w:r>
      <w:r>
        <w:rPr>
          <w:rFonts w:hint="eastAsia" w:hAnsi="宋体"/>
          <w:color w:val="auto"/>
          <w:highlight w:val="none"/>
          <w:lang w:val="en-US" w:eastAsia="zh-CN"/>
        </w:rPr>
        <w:t>盖章</w:t>
      </w:r>
      <w:r>
        <w:rPr>
          <w:rFonts w:hint="eastAsia" w:hAnsi="宋体"/>
          <w:color w:val="auto"/>
          <w:highlight w:val="none"/>
        </w:rPr>
        <w:t>）</w:t>
      </w:r>
    </w:p>
    <w:p w14:paraId="01D2C953">
      <w:pPr>
        <w:pStyle w:val="16"/>
        <w:wordWrap w:val="0"/>
        <w:snapToGrid w:val="0"/>
        <w:spacing w:line="360" w:lineRule="exact"/>
        <w:ind w:firstLine="3578" w:firstLineChars="1704"/>
        <w:rPr>
          <w:rFonts w:hint="eastAsia" w:hAnsi="宋体"/>
          <w:color w:val="auto"/>
          <w:highlight w:val="none"/>
        </w:rPr>
      </w:pPr>
    </w:p>
    <w:p w14:paraId="11DBA92D">
      <w:pPr>
        <w:tabs>
          <w:tab w:val="left" w:pos="1305"/>
        </w:tabs>
        <w:spacing w:line="360" w:lineRule="auto"/>
        <w:ind w:firstLine="5029" w:firstLineChars="2395"/>
        <w:rPr>
          <w:rFonts w:hAnsi="宋体"/>
          <w:color w:val="auto"/>
          <w:highlight w:val="none"/>
        </w:rPr>
      </w:pPr>
      <w:r>
        <w:rPr>
          <w:rFonts w:hAnsi="宋体"/>
          <w:color w:val="auto"/>
          <w:highlight w:val="none"/>
          <w:u w:val="single"/>
        </w:rPr>
        <w:t xml:space="preserve">    </w:t>
      </w:r>
      <w:r>
        <w:rPr>
          <w:rFonts w:hint="eastAsia" w:hAnsi="宋体"/>
          <w:color w:val="auto"/>
          <w:highlight w:val="none"/>
          <w:u w:val="single"/>
        </w:rPr>
        <w:t xml:space="preserve">  </w:t>
      </w:r>
      <w:r>
        <w:rPr>
          <w:rFonts w:hAnsi="宋体"/>
          <w:color w:val="auto"/>
          <w:highlight w:val="none"/>
          <w:u w:val="single"/>
        </w:rPr>
        <w:t xml:space="preserve"> </w:t>
      </w:r>
      <w:r>
        <w:rPr>
          <w:rFonts w:hAnsi="宋体"/>
          <w:color w:val="auto"/>
          <w:highlight w:val="none"/>
        </w:rPr>
        <w:t xml:space="preserve"> 年</w:t>
      </w:r>
      <w:r>
        <w:rPr>
          <w:rFonts w:hAnsi="宋体"/>
          <w:color w:val="auto"/>
          <w:highlight w:val="none"/>
          <w:u w:val="single"/>
        </w:rPr>
        <w:t xml:space="preserve">   </w:t>
      </w:r>
      <w:r>
        <w:rPr>
          <w:rFonts w:hint="eastAsia" w:hAnsi="宋体"/>
          <w:color w:val="auto"/>
          <w:highlight w:val="none"/>
          <w:u w:val="single"/>
        </w:rPr>
        <w:t xml:space="preserve">    </w:t>
      </w:r>
      <w:r>
        <w:rPr>
          <w:rFonts w:hAnsi="宋体"/>
          <w:color w:val="auto"/>
          <w:highlight w:val="none"/>
          <w:u w:val="single"/>
        </w:rPr>
        <w:t xml:space="preserve"> </w:t>
      </w:r>
      <w:r>
        <w:rPr>
          <w:rFonts w:hAnsi="宋体"/>
          <w:color w:val="auto"/>
          <w:highlight w:val="none"/>
        </w:rPr>
        <w:t>月</w:t>
      </w:r>
      <w:r>
        <w:rPr>
          <w:rFonts w:hAnsi="宋体"/>
          <w:color w:val="auto"/>
          <w:highlight w:val="none"/>
          <w:u w:val="single"/>
        </w:rPr>
        <w:t xml:space="preserve">   </w:t>
      </w:r>
      <w:r>
        <w:rPr>
          <w:rFonts w:hint="eastAsia" w:hAnsi="宋体"/>
          <w:color w:val="auto"/>
          <w:highlight w:val="none"/>
          <w:u w:val="single"/>
        </w:rPr>
        <w:t xml:space="preserve">   </w:t>
      </w:r>
      <w:r>
        <w:rPr>
          <w:rFonts w:hAnsi="宋体"/>
          <w:color w:val="auto"/>
          <w:highlight w:val="none"/>
          <w:u w:val="single"/>
        </w:rPr>
        <w:t xml:space="preserve"> </w:t>
      </w:r>
      <w:r>
        <w:rPr>
          <w:rFonts w:hAnsi="宋体"/>
          <w:color w:val="auto"/>
          <w:highlight w:val="none"/>
        </w:rPr>
        <w:t>日</w:t>
      </w:r>
    </w:p>
    <w:p w14:paraId="38708FD7">
      <w:pPr>
        <w:tabs>
          <w:tab w:val="left" w:pos="1305"/>
        </w:tabs>
        <w:spacing w:line="360" w:lineRule="auto"/>
        <w:ind w:firstLine="205" w:firstLineChars="98"/>
        <w:rPr>
          <w:rFonts w:hint="eastAsia" w:ascii="宋体" w:hAnsi="宋体" w:cs="宋体"/>
          <w:bCs/>
          <w:color w:val="auto"/>
          <w:szCs w:val="21"/>
          <w:highlight w:val="none"/>
        </w:rPr>
      </w:pPr>
    </w:p>
    <w:p w14:paraId="63D937D8">
      <w:pPr>
        <w:tabs>
          <w:tab w:val="left" w:pos="1305"/>
        </w:tabs>
        <w:spacing w:line="360" w:lineRule="auto"/>
        <w:ind w:firstLine="205" w:firstLineChars="98"/>
        <w:rPr>
          <w:rFonts w:hint="eastAsia" w:ascii="宋体" w:hAnsi="宋体" w:cs="宋体"/>
          <w:bCs/>
          <w:color w:val="auto"/>
          <w:szCs w:val="21"/>
          <w:highlight w:val="none"/>
        </w:rPr>
      </w:pPr>
      <w:r>
        <w:rPr>
          <w:rFonts w:hint="eastAsia" w:ascii="宋体" w:hAnsi="宋体" w:cs="宋体"/>
          <w:bCs/>
          <w:color w:val="auto"/>
          <w:szCs w:val="21"/>
          <w:highlight w:val="none"/>
        </w:rPr>
        <w:t>注：1.各供应商必须就“</w:t>
      </w:r>
      <w:r>
        <w:rPr>
          <w:rFonts w:hint="eastAsia" w:ascii="宋体" w:hAnsi="宋体" w:cs="宋体"/>
          <w:bCs/>
          <w:color w:val="auto"/>
          <w:szCs w:val="21"/>
          <w:highlight w:val="none"/>
          <w:lang w:eastAsia="zh-CN"/>
        </w:rPr>
        <w:t>采购</w:t>
      </w:r>
      <w:r>
        <w:rPr>
          <w:rFonts w:hint="eastAsia" w:ascii="宋体" w:hAnsi="宋体" w:cs="宋体"/>
          <w:bCs/>
          <w:color w:val="auto"/>
          <w:szCs w:val="21"/>
          <w:highlight w:val="none"/>
        </w:rPr>
        <w:t>需求”中所有内容作完整唯一报价，否则，其响应文件无效。</w:t>
      </w:r>
    </w:p>
    <w:p w14:paraId="06B21F55">
      <w:pPr>
        <w:pStyle w:val="16"/>
        <w:spacing w:line="360" w:lineRule="auto"/>
        <w:ind w:firstLine="630" w:firstLineChars="300"/>
        <w:rPr>
          <w:rFonts w:hint="eastAsia" w:hAnsi="宋体" w:cs="宋体"/>
          <w:bCs/>
          <w:color w:val="auto"/>
          <w:szCs w:val="21"/>
          <w:highlight w:val="none"/>
        </w:rPr>
      </w:pPr>
      <w:r>
        <w:rPr>
          <w:rFonts w:hint="eastAsia" w:hAnsi="宋体" w:cs="宋体"/>
          <w:bCs/>
          <w:color w:val="auto"/>
          <w:szCs w:val="21"/>
          <w:highlight w:val="none"/>
        </w:rPr>
        <w:t>2.供应商应根据所提供的</w:t>
      </w:r>
      <w:r>
        <w:rPr>
          <w:rFonts w:hint="eastAsia" w:hAnsi="宋体" w:cs="宋体"/>
          <w:bCs/>
          <w:color w:val="auto"/>
          <w:szCs w:val="21"/>
          <w:highlight w:val="none"/>
          <w:lang w:eastAsia="zh-CN"/>
        </w:rPr>
        <w:t>服务要求</w:t>
      </w:r>
      <w:r>
        <w:rPr>
          <w:rFonts w:hint="eastAsia" w:hAnsi="宋体" w:cs="宋体"/>
          <w:bCs/>
          <w:color w:val="auto"/>
          <w:szCs w:val="21"/>
          <w:highlight w:val="none"/>
        </w:rPr>
        <w:t>如实填写谈判报价表的各项内容。</w:t>
      </w:r>
    </w:p>
    <w:p w14:paraId="628BE08C">
      <w:pPr>
        <w:spacing w:line="360" w:lineRule="auto"/>
        <w:ind w:firstLine="630" w:firstLineChars="300"/>
        <w:rPr>
          <w:rFonts w:hint="eastAsia" w:ascii="宋体" w:hAnsi="宋体" w:cs="宋体"/>
          <w:bCs/>
          <w:color w:val="auto"/>
          <w:szCs w:val="21"/>
          <w:highlight w:val="none"/>
          <w:lang w:val="en-US" w:eastAsia="zh-CN"/>
        </w:rPr>
      </w:pPr>
    </w:p>
    <w:p w14:paraId="1ACAD6F6">
      <w:pPr>
        <w:spacing w:line="360" w:lineRule="auto"/>
        <w:ind w:firstLine="632" w:firstLineChars="300"/>
        <w:rPr>
          <w:rFonts w:hint="eastAsia" w:ascii="宋体" w:hAnsi="宋体" w:cs="宋体"/>
          <w:b/>
          <w:color w:val="auto"/>
          <w:highlight w:val="none"/>
        </w:rPr>
      </w:pPr>
      <w:r>
        <w:rPr>
          <w:rFonts w:hint="eastAsia" w:ascii="宋体" w:hAnsi="宋体" w:cs="宋体"/>
          <w:b/>
          <w:color w:val="auto"/>
          <w:highlight w:val="none"/>
        </w:rPr>
        <w:br w:type="page"/>
      </w:r>
    </w:p>
    <w:p w14:paraId="7A38FFD2">
      <w:pPr>
        <w:pStyle w:val="3"/>
        <w:keepNext/>
        <w:keepLines/>
        <w:pageBreakBefore/>
        <w:widowControl w:val="0"/>
        <w:kinsoku/>
        <w:wordWrap/>
        <w:overflowPunct/>
        <w:topLinePunct w:val="0"/>
        <w:autoSpaceDE/>
        <w:autoSpaceDN/>
        <w:bidi w:val="0"/>
        <w:adjustRightInd/>
        <w:snapToGrid/>
        <w:spacing w:before="0" w:after="0" w:line="416" w:lineRule="auto"/>
        <w:jc w:val="center"/>
        <w:textAlignment w:val="auto"/>
        <w:rPr>
          <w:rFonts w:ascii="宋体" w:hAnsi="宋体"/>
          <w:color w:val="auto"/>
          <w:sz w:val="28"/>
          <w:szCs w:val="28"/>
          <w:highlight w:val="none"/>
        </w:rPr>
      </w:pPr>
      <w:r>
        <w:rPr>
          <w:rFonts w:hint="eastAsia" w:ascii="宋体" w:hAnsi="宋体"/>
          <w:color w:val="auto"/>
          <w:sz w:val="28"/>
          <w:szCs w:val="28"/>
          <w:highlight w:val="none"/>
        </w:rPr>
        <w:t>附件</w:t>
      </w:r>
      <w:r>
        <w:rPr>
          <w:rFonts w:hint="eastAsia" w:ascii="宋体" w:hAnsi="宋体"/>
          <w:color w:val="auto"/>
          <w:sz w:val="28"/>
          <w:szCs w:val="28"/>
          <w:highlight w:val="none"/>
          <w:lang w:val="en-US" w:eastAsia="zh-CN"/>
        </w:rPr>
        <w:t>1</w:t>
      </w:r>
      <w:r>
        <w:rPr>
          <w:rFonts w:hint="eastAsia" w:ascii="宋体" w:hAnsi="宋体"/>
          <w:color w:val="auto"/>
          <w:sz w:val="28"/>
          <w:szCs w:val="28"/>
          <w:highlight w:val="none"/>
        </w:rPr>
        <w:t>商务条款偏离表</w:t>
      </w:r>
    </w:p>
    <w:p w14:paraId="6E988023">
      <w:pPr>
        <w:pStyle w:val="16"/>
        <w:rPr>
          <w:rFonts w:hAnsi="宋体"/>
          <w:color w:val="auto"/>
          <w:szCs w:val="21"/>
          <w:highlight w:val="none"/>
        </w:rPr>
      </w:pPr>
      <w:r>
        <w:rPr>
          <w:rFonts w:hint="eastAsia" w:hAnsi="宋体"/>
          <w:color w:val="auto"/>
          <w:szCs w:val="21"/>
          <w:highlight w:val="none"/>
        </w:rPr>
        <w:t xml:space="preserve">项目名称： </w:t>
      </w:r>
    </w:p>
    <w:p w14:paraId="2656DCC2">
      <w:pPr>
        <w:pStyle w:val="16"/>
        <w:rPr>
          <w:rFonts w:hAnsi="宋体"/>
          <w:color w:val="auto"/>
          <w:szCs w:val="21"/>
          <w:highlight w:val="none"/>
        </w:rPr>
      </w:pPr>
      <w:r>
        <w:rPr>
          <w:rFonts w:hint="eastAsia" w:hAnsi="宋体"/>
          <w:color w:val="auto"/>
          <w:szCs w:val="21"/>
          <w:highlight w:val="none"/>
        </w:rPr>
        <w:t xml:space="preserve">项目编号: </w:t>
      </w:r>
    </w:p>
    <w:tbl>
      <w:tblPr>
        <w:tblStyle w:val="34"/>
        <w:tblW w:w="993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65"/>
        <w:gridCol w:w="2083"/>
        <w:gridCol w:w="2229"/>
        <w:gridCol w:w="2389"/>
        <w:gridCol w:w="956"/>
        <w:gridCol w:w="1214"/>
      </w:tblGrid>
      <w:tr w14:paraId="2598C3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5" w:hRule="atLeast"/>
          <w:jc w:val="center"/>
        </w:trPr>
        <w:tc>
          <w:tcPr>
            <w:tcW w:w="1065" w:type="dxa"/>
            <w:vAlign w:val="center"/>
          </w:tcPr>
          <w:p w14:paraId="490D0537">
            <w:pPr>
              <w:pStyle w:val="16"/>
              <w:jc w:val="center"/>
              <w:rPr>
                <w:rFonts w:hAnsi="宋体"/>
                <w:color w:val="auto"/>
                <w:szCs w:val="21"/>
                <w:highlight w:val="none"/>
              </w:rPr>
            </w:pPr>
            <w:r>
              <w:rPr>
                <w:rFonts w:hint="eastAsia" w:hAnsi="宋体"/>
                <w:color w:val="auto"/>
                <w:szCs w:val="21"/>
                <w:highlight w:val="none"/>
              </w:rPr>
              <w:t>序号</w:t>
            </w:r>
          </w:p>
        </w:tc>
        <w:tc>
          <w:tcPr>
            <w:tcW w:w="2083" w:type="dxa"/>
            <w:vAlign w:val="center"/>
          </w:tcPr>
          <w:p w14:paraId="69AEB161">
            <w:pPr>
              <w:pStyle w:val="16"/>
              <w:jc w:val="center"/>
              <w:rPr>
                <w:rFonts w:hAnsi="宋体"/>
                <w:color w:val="auto"/>
                <w:szCs w:val="21"/>
                <w:highlight w:val="none"/>
              </w:rPr>
            </w:pPr>
            <w:r>
              <w:rPr>
                <w:rFonts w:hint="eastAsia" w:hAnsi="宋体"/>
                <w:color w:val="auto"/>
                <w:szCs w:val="21"/>
                <w:highlight w:val="none"/>
              </w:rPr>
              <w:t>谈判采购文件条款号</w:t>
            </w:r>
          </w:p>
        </w:tc>
        <w:tc>
          <w:tcPr>
            <w:tcW w:w="2229" w:type="dxa"/>
            <w:vAlign w:val="center"/>
          </w:tcPr>
          <w:p w14:paraId="3196180F">
            <w:pPr>
              <w:pStyle w:val="16"/>
              <w:jc w:val="center"/>
              <w:rPr>
                <w:rFonts w:hAnsi="宋体"/>
                <w:color w:val="auto"/>
                <w:szCs w:val="21"/>
                <w:highlight w:val="none"/>
              </w:rPr>
            </w:pPr>
            <w:r>
              <w:rPr>
                <w:rFonts w:hint="eastAsia" w:hAnsi="宋体"/>
                <w:color w:val="auto"/>
                <w:szCs w:val="21"/>
                <w:highlight w:val="none"/>
              </w:rPr>
              <w:t>谈判采购文件</w:t>
            </w:r>
          </w:p>
          <w:p w14:paraId="40058036">
            <w:pPr>
              <w:pStyle w:val="16"/>
              <w:jc w:val="center"/>
              <w:rPr>
                <w:rFonts w:hAnsi="宋体"/>
                <w:color w:val="auto"/>
                <w:szCs w:val="21"/>
                <w:highlight w:val="none"/>
              </w:rPr>
            </w:pPr>
            <w:r>
              <w:rPr>
                <w:rFonts w:hint="eastAsia" w:hAnsi="宋体"/>
                <w:color w:val="auto"/>
                <w:szCs w:val="21"/>
                <w:highlight w:val="none"/>
              </w:rPr>
              <w:t>商务条款</w:t>
            </w:r>
          </w:p>
        </w:tc>
        <w:tc>
          <w:tcPr>
            <w:tcW w:w="2389" w:type="dxa"/>
            <w:vAlign w:val="center"/>
          </w:tcPr>
          <w:p w14:paraId="6D1C875E">
            <w:pPr>
              <w:pStyle w:val="16"/>
              <w:jc w:val="center"/>
              <w:rPr>
                <w:rFonts w:hAnsi="宋体"/>
                <w:color w:val="auto"/>
                <w:szCs w:val="21"/>
                <w:highlight w:val="none"/>
              </w:rPr>
            </w:pPr>
            <w:r>
              <w:rPr>
                <w:rFonts w:hint="eastAsia" w:hAnsi="宋体"/>
                <w:color w:val="auto"/>
                <w:szCs w:val="21"/>
                <w:highlight w:val="none"/>
              </w:rPr>
              <w:t>响应文件的商务条款</w:t>
            </w:r>
          </w:p>
        </w:tc>
        <w:tc>
          <w:tcPr>
            <w:tcW w:w="956" w:type="dxa"/>
            <w:vAlign w:val="center"/>
          </w:tcPr>
          <w:p w14:paraId="10950320">
            <w:pPr>
              <w:pStyle w:val="16"/>
              <w:jc w:val="center"/>
              <w:rPr>
                <w:rFonts w:hAnsi="宋体"/>
                <w:color w:val="auto"/>
                <w:szCs w:val="21"/>
                <w:highlight w:val="none"/>
              </w:rPr>
            </w:pPr>
            <w:r>
              <w:rPr>
                <w:rFonts w:hint="eastAsia" w:hAnsi="宋体"/>
                <w:color w:val="auto"/>
                <w:szCs w:val="21"/>
                <w:highlight w:val="none"/>
              </w:rPr>
              <w:t>偏离</w:t>
            </w:r>
          </w:p>
        </w:tc>
        <w:tc>
          <w:tcPr>
            <w:tcW w:w="1214" w:type="dxa"/>
            <w:vAlign w:val="center"/>
          </w:tcPr>
          <w:p w14:paraId="47355144">
            <w:pPr>
              <w:pStyle w:val="16"/>
              <w:jc w:val="center"/>
              <w:rPr>
                <w:rFonts w:hAnsi="宋体"/>
                <w:color w:val="auto"/>
                <w:szCs w:val="21"/>
                <w:highlight w:val="none"/>
              </w:rPr>
            </w:pPr>
            <w:r>
              <w:rPr>
                <w:rFonts w:hint="eastAsia" w:hAnsi="宋体"/>
                <w:color w:val="auto"/>
                <w:szCs w:val="21"/>
                <w:highlight w:val="none"/>
              </w:rPr>
              <w:t>说明</w:t>
            </w:r>
          </w:p>
        </w:tc>
      </w:tr>
      <w:tr w14:paraId="2C35C5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14BC6848">
            <w:pPr>
              <w:pStyle w:val="16"/>
              <w:rPr>
                <w:rFonts w:hAnsi="宋体"/>
                <w:color w:val="auto"/>
                <w:szCs w:val="21"/>
                <w:highlight w:val="none"/>
              </w:rPr>
            </w:pPr>
          </w:p>
        </w:tc>
        <w:tc>
          <w:tcPr>
            <w:tcW w:w="2083" w:type="dxa"/>
          </w:tcPr>
          <w:p w14:paraId="5B4C8B70">
            <w:pPr>
              <w:pStyle w:val="16"/>
              <w:rPr>
                <w:color w:val="auto"/>
                <w:highlight w:val="none"/>
              </w:rPr>
            </w:pPr>
          </w:p>
          <w:p w14:paraId="32F66CEB">
            <w:pPr>
              <w:jc w:val="right"/>
              <w:rPr>
                <w:color w:val="auto"/>
                <w:highlight w:val="none"/>
              </w:rPr>
            </w:pPr>
          </w:p>
        </w:tc>
        <w:tc>
          <w:tcPr>
            <w:tcW w:w="2229" w:type="dxa"/>
          </w:tcPr>
          <w:p w14:paraId="588B1A1C">
            <w:pPr>
              <w:pStyle w:val="16"/>
              <w:jc w:val="center"/>
              <w:rPr>
                <w:rFonts w:hAnsi="宋体"/>
                <w:color w:val="auto"/>
                <w:szCs w:val="21"/>
                <w:highlight w:val="none"/>
              </w:rPr>
            </w:pPr>
          </w:p>
        </w:tc>
        <w:tc>
          <w:tcPr>
            <w:tcW w:w="2389" w:type="dxa"/>
          </w:tcPr>
          <w:p w14:paraId="194C85D3">
            <w:pPr>
              <w:pStyle w:val="16"/>
              <w:jc w:val="center"/>
              <w:rPr>
                <w:rFonts w:hAnsi="宋体"/>
                <w:color w:val="auto"/>
                <w:szCs w:val="21"/>
                <w:highlight w:val="none"/>
              </w:rPr>
            </w:pPr>
          </w:p>
        </w:tc>
        <w:tc>
          <w:tcPr>
            <w:tcW w:w="956" w:type="dxa"/>
          </w:tcPr>
          <w:p w14:paraId="11D31BDD">
            <w:pPr>
              <w:pStyle w:val="16"/>
              <w:rPr>
                <w:rFonts w:hAnsi="宋体"/>
                <w:color w:val="auto"/>
                <w:szCs w:val="21"/>
                <w:highlight w:val="none"/>
              </w:rPr>
            </w:pPr>
          </w:p>
        </w:tc>
        <w:tc>
          <w:tcPr>
            <w:tcW w:w="1214" w:type="dxa"/>
          </w:tcPr>
          <w:p w14:paraId="243A46F5">
            <w:pPr>
              <w:pStyle w:val="16"/>
              <w:rPr>
                <w:rFonts w:hAnsi="宋体"/>
                <w:color w:val="auto"/>
                <w:szCs w:val="21"/>
                <w:highlight w:val="none"/>
              </w:rPr>
            </w:pPr>
          </w:p>
        </w:tc>
      </w:tr>
      <w:tr w14:paraId="6D1A6A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452DAD0F">
            <w:pPr>
              <w:pStyle w:val="16"/>
              <w:rPr>
                <w:rFonts w:hAnsi="宋体"/>
                <w:color w:val="auto"/>
                <w:szCs w:val="21"/>
                <w:highlight w:val="none"/>
              </w:rPr>
            </w:pPr>
          </w:p>
        </w:tc>
        <w:tc>
          <w:tcPr>
            <w:tcW w:w="2083" w:type="dxa"/>
          </w:tcPr>
          <w:p w14:paraId="2ED50280">
            <w:pPr>
              <w:pStyle w:val="16"/>
              <w:rPr>
                <w:rFonts w:hAnsi="宋体"/>
                <w:color w:val="auto"/>
                <w:szCs w:val="21"/>
                <w:highlight w:val="none"/>
              </w:rPr>
            </w:pPr>
          </w:p>
        </w:tc>
        <w:tc>
          <w:tcPr>
            <w:tcW w:w="2229" w:type="dxa"/>
          </w:tcPr>
          <w:p w14:paraId="3497A820">
            <w:pPr>
              <w:pStyle w:val="16"/>
              <w:rPr>
                <w:rFonts w:hAnsi="宋体"/>
                <w:color w:val="auto"/>
                <w:szCs w:val="21"/>
                <w:highlight w:val="none"/>
              </w:rPr>
            </w:pPr>
          </w:p>
        </w:tc>
        <w:tc>
          <w:tcPr>
            <w:tcW w:w="2389" w:type="dxa"/>
          </w:tcPr>
          <w:p w14:paraId="590E463E">
            <w:pPr>
              <w:pStyle w:val="16"/>
              <w:rPr>
                <w:rFonts w:hAnsi="宋体"/>
                <w:color w:val="auto"/>
                <w:szCs w:val="21"/>
                <w:highlight w:val="none"/>
              </w:rPr>
            </w:pPr>
          </w:p>
        </w:tc>
        <w:tc>
          <w:tcPr>
            <w:tcW w:w="956" w:type="dxa"/>
          </w:tcPr>
          <w:p w14:paraId="2B358A91">
            <w:pPr>
              <w:pStyle w:val="16"/>
              <w:rPr>
                <w:rFonts w:hAnsi="宋体"/>
                <w:color w:val="auto"/>
                <w:szCs w:val="21"/>
                <w:highlight w:val="none"/>
              </w:rPr>
            </w:pPr>
          </w:p>
        </w:tc>
        <w:tc>
          <w:tcPr>
            <w:tcW w:w="1214" w:type="dxa"/>
          </w:tcPr>
          <w:p w14:paraId="0D38B27B">
            <w:pPr>
              <w:pStyle w:val="16"/>
              <w:rPr>
                <w:rFonts w:hAnsi="宋体"/>
                <w:color w:val="auto"/>
                <w:szCs w:val="21"/>
                <w:highlight w:val="none"/>
              </w:rPr>
            </w:pPr>
          </w:p>
        </w:tc>
      </w:tr>
      <w:tr w14:paraId="5E8C7A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4E0B5C64">
            <w:pPr>
              <w:pStyle w:val="16"/>
              <w:rPr>
                <w:rFonts w:hAnsi="宋体"/>
                <w:color w:val="auto"/>
                <w:szCs w:val="21"/>
                <w:highlight w:val="none"/>
              </w:rPr>
            </w:pPr>
          </w:p>
        </w:tc>
        <w:tc>
          <w:tcPr>
            <w:tcW w:w="2083" w:type="dxa"/>
          </w:tcPr>
          <w:p w14:paraId="22AD1967">
            <w:pPr>
              <w:pStyle w:val="16"/>
              <w:rPr>
                <w:rFonts w:hAnsi="宋体"/>
                <w:color w:val="auto"/>
                <w:szCs w:val="21"/>
                <w:highlight w:val="none"/>
              </w:rPr>
            </w:pPr>
          </w:p>
        </w:tc>
        <w:tc>
          <w:tcPr>
            <w:tcW w:w="2229" w:type="dxa"/>
          </w:tcPr>
          <w:p w14:paraId="370DC3BB">
            <w:pPr>
              <w:pStyle w:val="16"/>
              <w:rPr>
                <w:rFonts w:hAnsi="宋体"/>
                <w:color w:val="auto"/>
                <w:szCs w:val="21"/>
                <w:highlight w:val="none"/>
              </w:rPr>
            </w:pPr>
          </w:p>
        </w:tc>
        <w:tc>
          <w:tcPr>
            <w:tcW w:w="2389" w:type="dxa"/>
          </w:tcPr>
          <w:p w14:paraId="41511DA4">
            <w:pPr>
              <w:pStyle w:val="16"/>
              <w:rPr>
                <w:rFonts w:hAnsi="宋体"/>
                <w:color w:val="auto"/>
                <w:szCs w:val="21"/>
                <w:highlight w:val="none"/>
              </w:rPr>
            </w:pPr>
          </w:p>
        </w:tc>
        <w:tc>
          <w:tcPr>
            <w:tcW w:w="956" w:type="dxa"/>
          </w:tcPr>
          <w:p w14:paraId="3EAFEC64">
            <w:pPr>
              <w:pStyle w:val="16"/>
              <w:rPr>
                <w:rFonts w:hAnsi="宋体"/>
                <w:color w:val="auto"/>
                <w:szCs w:val="21"/>
                <w:highlight w:val="none"/>
              </w:rPr>
            </w:pPr>
          </w:p>
        </w:tc>
        <w:tc>
          <w:tcPr>
            <w:tcW w:w="1214" w:type="dxa"/>
          </w:tcPr>
          <w:p w14:paraId="52169341">
            <w:pPr>
              <w:pStyle w:val="16"/>
              <w:rPr>
                <w:rFonts w:hAnsi="宋体"/>
                <w:color w:val="auto"/>
                <w:szCs w:val="21"/>
                <w:highlight w:val="none"/>
              </w:rPr>
            </w:pPr>
          </w:p>
        </w:tc>
      </w:tr>
      <w:tr w14:paraId="4AB1C4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4D4EF121">
            <w:pPr>
              <w:pStyle w:val="16"/>
              <w:rPr>
                <w:rFonts w:hAnsi="宋体"/>
                <w:color w:val="auto"/>
                <w:szCs w:val="21"/>
                <w:highlight w:val="none"/>
              </w:rPr>
            </w:pPr>
          </w:p>
        </w:tc>
        <w:tc>
          <w:tcPr>
            <w:tcW w:w="2083" w:type="dxa"/>
          </w:tcPr>
          <w:p w14:paraId="59DDC24A">
            <w:pPr>
              <w:pStyle w:val="16"/>
              <w:rPr>
                <w:rFonts w:hAnsi="宋体"/>
                <w:color w:val="auto"/>
                <w:szCs w:val="21"/>
                <w:highlight w:val="none"/>
              </w:rPr>
            </w:pPr>
          </w:p>
        </w:tc>
        <w:tc>
          <w:tcPr>
            <w:tcW w:w="2229" w:type="dxa"/>
          </w:tcPr>
          <w:p w14:paraId="65513077">
            <w:pPr>
              <w:pStyle w:val="16"/>
              <w:rPr>
                <w:rFonts w:hAnsi="宋体"/>
                <w:color w:val="auto"/>
                <w:szCs w:val="21"/>
                <w:highlight w:val="none"/>
              </w:rPr>
            </w:pPr>
          </w:p>
        </w:tc>
        <w:tc>
          <w:tcPr>
            <w:tcW w:w="2389" w:type="dxa"/>
          </w:tcPr>
          <w:p w14:paraId="0A143B54">
            <w:pPr>
              <w:pStyle w:val="16"/>
              <w:rPr>
                <w:rFonts w:hAnsi="宋体"/>
                <w:color w:val="auto"/>
                <w:szCs w:val="21"/>
                <w:highlight w:val="none"/>
              </w:rPr>
            </w:pPr>
          </w:p>
        </w:tc>
        <w:tc>
          <w:tcPr>
            <w:tcW w:w="956" w:type="dxa"/>
          </w:tcPr>
          <w:p w14:paraId="0B34A5E3">
            <w:pPr>
              <w:pStyle w:val="16"/>
              <w:rPr>
                <w:rFonts w:hAnsi="宋体"/>
                <w:color w:val="auto"/>
                <w:szCs w:val="21"/>
                <w:highlight w:val="none"/>
              </w:rPr>
            </w:pPr>
          </w:p>
        </w:tc>
        <w:tc>
          <w:tcPr>
            <w:tcW w:w="1214" w:type="dxa"/>
          </w:tcPr>
          <w:p w14:paraId="0557F841">
            <w:pPr>
              <w:pStyle w:val="16"/>
              <w:rPr>
                <w:rFonts w:hAnsi="宋体"/>
                <w:color w:val="auto"/>
                <w:szCs w:val="21"/>
                <w:highlight w:val="none"/>
              </w:rPr>
            </w:pPr>
          </w:p>
        </w:tc>
      </w:tr>
      <w:tr w14:paraId="53F421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027F4BBC">
            <w:pPr>
              <w:pStyle w:val="16"/>
              <w:rPr>
                <w:rFonts w:hAnsi="宋体"/>
                <w:color w:val="auto"/>
                <w:szCs w:val="21"/>
                <w:highlight w:val="none"/>
              </w:rPr>
            </w:pPr>
          </w:p>
        </w:tc>
        <w:tc>
          <w:tcPr>
            <w:tcW w:w="2083" w:type="dxa"/>
          </w:tcPr>
          <w:p w14:paraId="3E6EC74A">
            <w:pPr>
              <w:pStyle w:val="16"/>
              <w:rPr>
                <w:rFonts w:hAnsi="宋体"/>
                <w:color w:val="auto"/>
                <w:szCs w:val="21"/>
                <w:highlight w:val="none"/>
              </w:rPr>
            </w:pPr>
          </w:p>
        </w:tc>
        <w:tc>
          <w:tcPr>
            <w:tcW w:w="2229" w:type="dxa"/>
          </w:tcPr>
          <w:p w14:paraId="26F9EBC8">
            <w:pPr>
              <w:pStyle w:val="16"/>
              <w:rPr>
                <w:rFonts w:hAnsi="宋体"/>
                <w:color w:val="auto"/>
                <w:szCs w:val="21"/>
                <w:highlight w:val="none"/>
              </w:rPr>
            </w:pPr>
          </w:p>
        </w:tc>
        <w:tc>
          <w:tcPr>
            <w:tcW w:w="2389" w:type="dxa"/>
          </w:tcPr>
          <w:p w14:paraId="2FA184C7">
            <w:pPr>
              <w:pStyle w:val="16"/>
              <w:rPr>
                <w:rFonts w:hAnsi="宋体"/>
                <w:color w:val="auto"/>
                <w:szCs w:val="21"/>
                <w:highlight w:val="none"/>
              </w:rPr>
            </w:pPr>
          </w:p>
        </w:tc>
        <w:tc>
          <w:tcPr>
            <w:tcW w:w="956" w:type="dxa"/>
          </w:tcPr>
          <w:p w14:paraId="28163CAE">
            <w:pPr>
              <w:pStyle w:val="16"/>
              <w:rPr>
                <w:rFonts w:hAnsi="宋体"/>
                <w:color w:val="auto"/>
                <w:szCs w:val="21"/>
                <w:highlight w:val="none"/>
              </w:rPr>
            </w:pPr>
          </w:p>
        </w:tc>
        <w:tc>
          <w:tcPr>
            <w:tcW w:w="1214" w:type="dxa"/>
          </w:tcPr>
          <w:p w14:paraId="211597AA">
            <w:pPr>
              <w:pStyle w:val="16"/>
              <w:rPr>
                <w:rFonts w:hAnsi="宋体"/>
                <w:color w:val="auto"/>
                <w:szCs w:val="21"/>
                <w:highlight w:val="none"/>
              </w:rPr>
            </w:pPr>
          </w:p>
        </w:tc>
      </w:tr>
      <w:tr w14:paraId="13CA11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3989D9ED">
            <w:pPr>
              <w:pStyle w:val="16"/>
              <w:rPr>
                <w:rFonts w:hAnsi="宋体"/>
                <w:color w:val="auto"/>
                <w:szCs w:val="21"/>
                <w:highlight w:val="none"/>
              </w:rPr>
            </w:pPr>
          </w:p>
        </w:tc>
        <w:tc>
          <w:tcPr>
            <w:tcW w:w="2083" w:type="dxa"/>
          </w:tcPr>
          <w:p w14:paraId="51A3B299">
            <w:pPr>
              <w:pStyle w:val="16"/>
              <w:rPr>
                <w:rFonts w:hAnsi="宋体"/>
                <w:color w:val="auto"/>
                <w:szCs w:val="21"/>
                <w:highlight w:val="none"/>
              </w:rPr>
            </w:pPr>
          </w:p>
        </w:tc>
        <w:tc>
          <w:tcPr>
            <w:tcW w:w="2229" w:type="dxa"/>
          </w:tcPr>
          <w:p w14:paraId="667E260A">
            <w:pPr>
              <w:pStyle w:val="16"/>
              <w:rPr>
                <w:rFonts w:hAnsi="宋体"/>
                <w:color w:val="auto"/>
                <w:szCs w:val="21"/>
                <w:highlight w:val="none"/>
              </w:rPr>
            </w:pPr>
          </w:p>
        </w:tc>
        <w:tc>
          <w:tcPr>
            <w:tcW w:w="2389" w:type="dxa"/>
          </w:tcPr>
          <w:p w14:paraId="632AC106">
            <w:pPr>
              <w:pStyle w:val="16"/>
              <w:rPr>
                <w:rFonts w:hAnsi="宋体"/>
                <w:color w:val="auto"/>
                <w:szCs w:val="21"/>
                <w:highlight w:val="none"/>
              </w:rPr>
            </w:pPr>
          </w:p>
        </w:tc>
        <w:tc>
          <w:tcPr>
            <w:tcW w:w="956" w:type="dxa"/>
          </w:tcPr>
          <w:p w14:paraId="6CEDC96E">
            <w:pPr>
              <w:pStyle w:val="16"/>
              <w:rPr>
                <w:rFonts w:hAnsi="宋体"/>
                <w:color w:val="auto"/>
                <w:szCs w:val="21"/>
                <w:highlight w:val="none"/>
              </w:rPr>
            </w:pPr>
          </w:p>
        </w:tc>
        <w:tc>
          <w:tcPr>
            <w:tcW w:w="1214" w:type="dxa"/>
          </w:tcPr>
          <w:p w14:paraId="071E7C5D">
            <w:pPr>
              <w:pStyle w:val="16"/>
              <w:rPr>
                <w:rFonts w:hAnsi="宋体"/>
                <w:color w:val="auto"/>
                <w:szCs w:val="21"/>
                <w:highlight w:val="none"/>
              </w:rPr>
            </w:pPr>
          </w:p>
        </w:tc>
      </w:tr>
      <w:tr w14:paraId="6AE540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4D6FED60">
            <w:pPr>
              <w:pStyle w:val="16"/>
              <w:rPr>
                <w:rFonts w:hAnsi="宋体"/>
                <w:color w:val="auto"/>
                <w:szCs w:val="21"/>
                <w:highlight w:val="none"/>
              </w:rPr>
            </w:pPr>
          </w:p>
        </w:tc>
        <w:tc>
          <w:tcPr>
            <w:tcW w:w="2083" w:type="dxa"/>
          </w:tcPr>
          <w:p w14:paraId="183529DB">
            <w:pPr>
              <w:pStyle w:val="16"/>
              <w:rPr>
                <w:rFonts w:hAnsi="宋体"/>
                <w:color w:val="auto"/>
                <w:szCs w:val="21"/>
                <w:highlight w:val="none"/>
              </w:rPr>
            </w:pPr>
          </w:p>
        </w:tc>
        <w:tc>
          <w:tcPr>
            <w:tcW w:w="2229" w:type="dxa"/>
          </w:tcPr>
          <w:p w14:paraId="72E0BFF9">
            <w:pPr>
              <w:pStyle w:val="16"/>
              <w:rPr>
                <w:rFonts w:hAnsi="宋体"/>
                <w:color w:val="auto"/>
                <w:szCs w:val="21"/>
                <w:highlight w:val="none"/>
              </w:rPr>
            </w:pPr>
          </w:p>
        </w:tc>
        <w:tc>
          <w:tcPr>
            <w:tcW w:w="2389" w:type="dxa"/>
          </w:tcPr>
          <w:p w14:paraId="052AA179">
            <w:pPr>
              <w:pStyle w:val="16"/>
              <w:rPr>
                <w:rFonts w:hAnsi="宋体"/>
                <w:color w:val="auto"/>
                <w:szCs w:val="21"/>
                <w:highlight w:val="none"/>
              </w:rPr>
            </w:pPr>
          </w:p>
        </w:tc>
        <w:tc>
          <w:tcPr>
            <w:tcW w:w="956" w:type="dxa"/>
          </w:tcPr>
          <w:p w14:paraId="28A1E8D6">
            <w:pPr>
              <w:pStyle w:val="16"/>
              <w:rPr>
                <w:rFonts w:hAnsi="宋体"/>
                <w:color w:val="auto"/>
                <w:szCs w:val="21"/>
                <w:highlight w:val="none"/>
              </w:rPr>
            </w:pPr>
          </w:p>
        </w:tc>
        <w:tc>
          <w:tcPr>
            <w:tcW w:w="1214" w:type="dxa"/>
          </w:tcPr>
          <w:p w14:paraId="31738CE6">
            <w:pPr>
              <w:pStyle w:val="16"/>
              <w:rPr>
                <w:rFonts w:hAnsi="宋体"/>
                <w:color w:val="auto"/>
                <w:szCs w:val="21"/>
                <w:highlight w:val="none"/>
              </w:rPr>
            </w:pPr>
          </w:p>
        </w:tc>
      </w:tr>
      <w:tr w14:paraId="09D5A1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13B89C83">
            <w:pPr>
              <w:pStyle w:val="16"/>
              <w:rPr>
                <w:rFonts w:hAnsi="宋体"/>
                <w:color w:val="auto"/>
                <w:szCs w:val="21"/>
                <w:highlight w:val="none"/>
              </w:rPr>
            </w:pPr>
          </w:p>
        </w:tc>
        <w:tc>
          <w:tcPr>
            <w:tcW w:w="2083" w:type="dxa"/>
          </w:tcPr>
          <w:p w14:paraId="3023ACF4">
            <w:pPr>
              <w:pStyle w:val="16"/>
              <w:rPr>
                <w:rFonts w:hAnsi="宋体"/>
                <w:color w:val="auto"/>
                <w:szCs w:val="21"/>
                <w:highlight w:val="none"/>
              </w:rPr>
            </w:pPr>
          </w:p>
        </w:tc>
        <w:tc>
          <w:tcPr>
            <w:tcW w:w="2229" w:type="dxa"/>
          </w:tcPr>
          <w:p w14:paraId="0876DD9A">
            <w:pPr>
              <w:pStyle w:val="16"/>
              <w:rPr>
                <w:rFonts w:hAnsi="宋体"/>
                <w:color w:val="auto"/>
                <w:szCs w:val="21"/>
                <w:highlight w:val="none"/>
              </w:rPr>
            </w:pPr>
          </w:p>
        </w:tc>
        <w:tc>
          <w:tcPr>
            <w:tcW w:w="2389" w:type="dxa"/>
          </w:tcPr>
          <w:p w14:paraId="6CA26E4F">
            <w:pPr>
              <w:pStyle w:val="16"/>
              <w:rPr>
                <w:rFonts w:hAnsi="宋体"/>
                <w:color w:val="auto"/>
                <w:szCs w:val="21"/>
                <w:highlight w:val="none"/>
              </w:rPr>
            </w:pPr>
          </w:p>
        </w:tc>
        <w:tc>
          <w:tcPr>
            <w:tcW w:w="956" w:type="dxa"/>
          </w:tcPr>
          <w:p w14:paraId="2CA5A7C8">
            <w:pPr>
              <w:pStyle w:val="16"/>
              <w:rPr>
                <w:rFonts w:hAnsi="宋体"/>
                <w:color w:val="auto"/>
                <w:szCs w:val="21"/>
                <w:highlight w:val="none"/>
              </w:rPr>
            </w:pPr>
          </w:p>
        </w:tc>
        <w:tc>
          <w:tcPr>
            <w:tcW w:w="1214" w:type="dxa"/>
          </w:tcPr>
          <w:p w14:paraId="36CC0DEB">
            <w:pPr>
              <w:pStyle w:val="16"/>
              <w:rPr>
                <w:rFonts w:hAnsi="宋体"/>
                <w:color w:val="auto"/>
                <w:szCs w:val="21"/>
                <w:highlight w:val="none"/>
              </w:rPr>
            </w:pPr>
          </w:p>
        </w:tc>
      </w:tr>
      <w:tr w14:paraId="4BBED0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27DF6074">
            <w:pPr>
              <w:pStyle w:val="16"/>
              <w:rPr>
                <w:rFonts w:hAnsi="宋体"/>
                <w:color w:val="auto"/>
                <w:szCs w:val="21"/>
                <w:highlight w:val="none"/>
              </w:rPr>
            </w:pPr>
          </w:p>
        </w:tc>
        <w:tc>
          <w:tcPr>
            <w:tcW w:w="2083" w:type="dxa"/>
          </w:tcPr>
          <w:p w14:paraId="22E23159">
            <w:pPr>
              <w:pStyle w:val="16"/>
              <w:rPr>
                <w:rFonts w:hAnsi="宋体"/>
                <w:color w:val="auto"/>
                <w:szCs w:val="21"/>
                <w:highlight w:val="none"/>
              </w:rPr>
            </w:pPr>
          </w:p>
        </w:tc>
        <w:tc>
          <w:tcPr>
            <w:tcW w:w="2229" w:type="dxa"/>
          </w:tcPr>
          <w:p w14:paraId="401FB4B9">
            <w:pPr>
              <w:pStyle w:val="16"/>
              <w:rPr>
                <w:rFonts w:hAnsi="宋体"/>
                <w:color w:val="auto"/>
                <w:szCs w:val="21"/>
                <w:highlight w:val="none"/>
              </w:rPr>
            </w:pPr>
          </w:p>
        </w:tc>
        <w:tc>
          <w:tcPr>
            <w:tcW w:w="2389" w:type="dxa"/>
          </w:tcPr>
          <w:p w14:paraId="3D80EC74">
            <w:pPr>
              <w:pStyle w:val="16"/>
              <w:rPr>
                <w:rFonts w:hAnsi="宋体"/>
                <w:color w:val="auto"/>
                <w:szCs w:val="21"/>
                <w:highlight w:val="none"/>
              </w:rPr>
            </w:pPr>
          </w:p>
        </w:tc>
        <w:tc>
          <w:tcPr>
            <w:tcW w:w="956" w:type="dxa"/>
          </w:tcPr>
          <w:p w14:paraId="15609FAD">
            <w:pPr>
              <w:pStyle w:val="16"/>
              <w:rPr>
                <w:rFonts w:hAnsi="宋体"/>
                <w:color w:val="auto"/>
                <w:szCs w:val="21"/>
                <w:highlight w:val="none"/>
              </w:rPr>
            </w:pPr>
          </w:p>
        </w:tc>
        <w:tc>
          <w:tcPr>
            <w:tcW w:w="1214" w:type="dxa"/>
          </w:tcPr>
          <w:p w14:paraId="1474495E">
            <w:pPr>
              <w:pStyle w:val="16"/>
              <w:rPr>
                <w:rFonts w:hAnsi="宋体"/>
                <w:color w:val="auto"/>
                <w:szCs w:val="21"/>
                <w:highlight w:val="none"/>
              </w:rPr>
            </w:pPr>
          </w:p>
        </w:tc>
      </w:tr>
      <w:tr w14:paraId="1DE84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0E81293B">
            <w:pPr>
              <w:pStyle w:val="16"/>
              <w:rPr>
                <w:rFonts w:hAnsi="宋体"/>
                <w:color w:val="auto"/>
                <w:szCs w:val="21"/>
                <w:highlight w:val="none"/>
              </w:rPr>
            </w:pPr>
          </w:p>
        </w:tc>
        <w:tc>
          <w:tcPr>
            <w:tcW w:w="2083" w:type="dxa"/>
          </w:tcPr>
          <w:p w14:paraId="62452B02">
            <w:pPr>
              <w:pStyle w:val="16"/>
              <w:rPr>
                <w:rFonts w:hAnsi="宋体"/>
                <w:color w:val="auto"/>
                <w:szCs w:val="21"/>
                <w:highlight w:val="none"/>
              </w:rPr>
            </w:pPr>
          </w:p>
        </w:tc>
        <w:tc>
          <w:tcPr>
            <w:tcW w:w="2229" w:type="dxa"/>
          </w:tcPr>
          <w:p w14:paraId="6D1CA41A">
            <w:pPr>
              <w:pStyle w:val="16"/>
              <w:rPr>
                <w:rFonts w:hAnsi="宋体"/>
                <w:color w:val="auto"/>
                <w:szCs w:val="21"/>
                <w:highlight w:val="none"/>
              </w:rPr>
            </w:pPr>
          </w:p>
        </w:tc>
        <w:tc>
          <w:tcPr>
            <w:tcW w:w="2389" w:type="dxa"/>
          </w:tcPr>
          <w:p w14:paraId="445F5B45">
            <w:pPr>
              <w:pStyle w:val="16"/>
              <w:rPr>
                <w:rFonts w:hAnsi="宋体"/>
                <w:color w:val="auto"/>
                <w:szCs w:val="21"/>
                <w:highlight w:val="none"/>
              </w:rPr>
            </w:pPr>
          </w:p>
        </w:tc>
        <w:tc>
          <w:tcPr>
            <w:tcW w:w="956" w:type="dxa"/>
          </w:tcPr>
          <w:p w14:paraId="5F77FE0A">
            <w:pPr>
              <w:pStyle w:val="16"/>
              <w:rPr>
                <w:rFonts w:hAnsi="宋体"/>
                <w:color w:val="auto"/>
                <w:szCs w:val="21"/>
                <w:highlight w:val="none"/>
              </w:rPr>
            </w:pPr>
          </w:p>
        </w:tc>
        <w:tc>
          <w:tcPr>
            <w:tcW w:w="1214" w:type="dxa"/>
          </w:tcPr>
          <w:p w14:paraId="0977AF69">
            <w:pPr>
              <w:pStyle w:val="16"/>
              <w:rPr>
                <w:rFonts w:hAnsi="宋体"/>
                <w:color w:val="auto"/>
                <w:szCs w:val="21"/>
                <w:highlight w:val="none"/>
              </w:rPr>
            </w:pPr>
          </w:p>
        </w:tc>
      </w:tr>
      <w:tr w14:paraId="2175C6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6F3E7EE7">
            <w:pPr>
              <w:pStyle w:val="16"/>
              <w:rPr>
                <w:rFonts w:hAnsi="宋体"/>
                <w:color w:val="auto"/>
                <w:szCs w:val="21"/>
                <w:highlight w:val="none"/>
              </w:rPr>
            </w:pPr>
          </w:p>
        </w:tc>
        <w:tc>
          <w:tcPr>
            <w:tcW w:w="2083" w:type="dxa"/>
          </w:tcPr>
          <w:p w14:paraId="65F5906F">
            <w:pPr>
              <w:pStyle w:val="16"/>
              <w:rPr>
                <w:rFonts w:hAnsi="宋体"/>
                <w:color w:val="auto"/>
                <w:szCs w:val="21"/>
                <w:highlight w:val="none"/>
              </w:rPr>
            </w:pPr>
          </w:p>
        </w:tc>
        <w:tc>
          <w:tcPr>
            <w:tcW w:w="2229" w:type="dxa"/>
          </w:tcPr>
          <w:p w14:paraId="5F61F2A4">
            <w:pPr>
              <w:pStyle w:val="16"/>
              <w:rPr>
                <w:rFonts w:hAnsi="宋体"/>
                <w:color w:val="auto"/>
                <w:szCs w:val="21"/>
                <w:highlight w:val="none"/>
              </w:rPr>
            </w:pPr>
          </w:p>
        </w:tc>
        <w:tc>
          <w:tcPr>
            <w:tcW w:w="2389" w:type="dxa"/>
          </w:tcPr>
          <w:p w14:paraId="0C71B6D0">
            <w:pPr>
              <w:pStyle w:val="16"/>
              <w:rPr>
                <w:rFonts w:hAnsi="宋体"/>
                <w:color w:val="auto"/>
                <w:szCs w:val="21"/>
                <w:highlight w:val="none"/>
              </w:rPr>
            </w:pPr>
          </w:p>
        </w:tc>
        <w:tc>
          <w:tcPr>
            <w:tcW w:w="956" w:type="dxa"/>
          </w:tcPr>
          <w:p w14:paraId="7D6BCE53">
            <w:pPr>
              <w:pStyle w:val="16"/>
              <w:rPr>
                <w:rFonts w:hAnsi="宋体"/>
                <w:color w:val="auto"/>
                <w:szCs w:val="21"/>
                <w:highlight w:val="none"/>
              </w:rPr>
            </w:pPr>
          </w:p>
        </w:tc>
        <w:tc>
          <w:tcPr>
            <w:tcW w:w="1214" w:type="dxa"/>
          </w:tcPr>
          <w:p w14:paraId="491143EB">
            <w:pPr>
              <w:pStyle w:val="16"/>
              <w:rPr>
                <w:rFonts w:hAnsi="宋体"/>
                <w:color w:val="auto"/>
                <w:szCs w:val="21"/>
                <w:highlight w:val="none"/>
              </w:rPr>
            </w:pPr>
          </w:p>
        </w:tc>
      </w:tr>
      <w:tr w14:paraId="7A6A1C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30C7606E">
            <w:pPr>
              <w:pStyle w:val="16"/>
              <w:rPr>
                <w:rFonts w:hAnsi="宋体"/>
                <w:color w:val="auto"/>
                <w:szCs w:val="21"/>
                <w:highlight w:val="none"/>
              </w:rPr>
            </w:pPr>
          </w:p>
        </w:tc>
        <w:tc>
          <w:tcPr>
            <w:tcW w:w="2083" w:type="dxa"/>
          </w:tcPr>
          <w:p w14:paraId="29FA7501">
            <w:pPr>
              <w:pStyle w:val="16"/>
              <w:rPr>
                <w:rFonts w:hAnsi="宋体"/>
                <w:color w:val="auto"/>
                <w:szCs w:val="21"/>
                <w:highlight w:val="none"/>
              </w:rPr>
            </w:pPr>
          </w:p>
        </w:tc>
        <w:tc>
          <w:tcPr>
            <w:tcW w:w="2229" w:type="dxa"/>
          </w:tcPr>
          <w:p w14:paraId="5B77DB18">
            <w:pPr>
              <w:pStyle w:val="16"/>
              <w:rPr>
                <w:rFonts w:hAnsi="宋体"/>
                <w:color w:val="auto"/>
                <w:szCs w:val="21"/>
                <w:highlight w:val="none"/>
              </w:rPr>
            </w:pPr>
          </w:p>
        </w:tc>
        <w:tc>
          <w:tcPr>
            <w:tcW w:w="2389" w:type="dxa"/>
          </w:tcPr>
          <w:p w14:paraId="0E262A27">
            <w:pPr>
              <w:pStyle w:val="16"/>
              <w:rPr>
                <w:rFonts w:hAnsi="宋体"/>
                <w:color w:val="auto"/>
                <w:szCs w:val="21"/>
                <w:highlight w:val="none"/>
              </w:rPr>
            </w:pPr>
          </w:p>
        </w:tc>
        <w:tc>
          <w:tcPr>
            <w:tcW w:w="956" w:type="dxa"/>
          </w:tcPr>
          <w:p w14:paraId="507F40C1">
            <w:pPr>
              <w:pStyle w:val="16"/>
              <w:rPr>
                <w:rFonts w:hAnsi="宋体"/>
                <w:color w:val="auto"/>
                <w:szCs w:val="21"/>
                <w:highlight w:val="none"/>
              </w:rPr>
            </w:pPr>
          </w:p>
        </w:tc>
        <w:tc>
          <w:tcPr>
            <w:tcW w:w="1214" w:type="dxa"/>
          </w:tcPr>
          <w:p w14:paraId="4623D9AB">
            <w:pPr>
              <w:pStyle w:val="16"/>
              <w:rPr>
                <w:rFonts w:hAnsi="宋体"/>
                <w:color w:val="auto"/>
                <w:szCs w:val="21"/>
                <w:highlight w:val="none"/>
              </w:rPr>
            </w:pPr>
          </w:p>
        </w:tc>
      </w:tr>
      <w:tr w14:paraId="2031F6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7DC1C599">
            <w:pPr>
              <w:pStyle w:val="16"/>
              <w:rPr>
                <w:rFonts w:hAnsi="宋体"/>
                <w:color w:val="auto"/>
                <w:szCs w:val="21"/>
                <w:highlight w:val="none"/>
              </w:rPr>
            </w:pPr>
          </w:p>
        </w:tc>
        <w:tc>
          <w:tcPr>
            <w:tcW w:w="2083" w:type="dxa"/>
          </w:tcPr>
          <w:p w14:paraId="2564B989">
            <w:pPr>
              <w:pStyle w:val="16"/>
              <w:rPr>
                <w:rFonts w:hAnsi="宋体"/>
                <w:color w:val="auto"/>
                <w:szCs w:val="21"/>
                <w:highlight w:val="none"/>
              </w:rPr>
            </w:pPr>
          </w:p>
        </w:tc>
        <w:tc>
          <w:tcPr>
            <w:tcW w:w="2229" w:type="dxa"/>
          </w:tcPr>
          <w:p w14:paraId="3FB9F972">
            <w:pPr>
              <w:pStyle w:val="16"/>
              <w:rPr>
                <w:rFonts w:hAnsi="宋体"/>
                <w:color w:val="auto"/>
                <w:szCs w:val="21"/>
                <w:highlight w:val="none"/>
              </w:rPr>
            </w:pPr>
          </w:p>
        </w:tc>
        <w:tc>
          <w:tcPr>
            <w:tcW w:w="2389" w:type="dxa"/>
          </w:tcPr>
          <w:p w14:paraId="7DE8E388">
            <w:pPr>
              <w:pStyle w:val="16"/>
              <w:rPr>
                <w:rFonts w:hAnsi="宋体"/>
                <w:color w:val="auto"/>
                <w:szCs w:val="21"/>
                <w:highlight w:val="none"/>
              </w:rPr>
            </w:pPr>
          </w:p>
        </w:tc>
        <w:tc>
          <w:tcPr>
            <w:tcW w:w="956" w:type="dxa"/>
          </w:tcPr>
          <w:p w14:paraId="413EF8BD">
            <w:pPr>
              <w:pStyle w:val="16"/>
              <w:rPr>
                <w:rFonts w:hAnsi="宋体"/>
                <w:color w:val="auto"/>
                <w:szCs w:val="21"/>
                <w:highlight w:val="none"/>
              </w:rPr>
            </w:pPr>
          </w:p>
        </w:tc>
        <w:tc>
          <w:tcPr>
            <w:tcW w:w="1214" w:type="dxa"/>
          </w:tcPr>
          <w:p w14:paraId="4A9DB343">
            <w:pPr>
              <w:pStyle w:val="16"/>
              <w:rPr>
                <w:rFonts w:hAnsi="宋体"/>
                <w:color w:val="auto"/>
                <w:szCs w:val="21"/>
                <w:highlight w:val="none"/>
              </w:rPr>
            </w:pPr>
          </w:p>
        </w:tc>
      </w:tr>
      <w:tr w14:paraId="344E04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0A43ED0C">
            <w:pPr>
              <w:pStyle w:val="16"/>
              <w:rPr>
                <w:rFonts w:hAnsi="宋体"/>
                <w:color w:val="auto"/>
                <w:szCs w:val="21"/>
                <w:highlight w:val="none"/>
              </w:rPr>
            </w:pPr>
          </w:p>
        </w:tc>
        <w:tc>
          <w:tcPr>
            <w:tcW w:w="2083" w:type="dxa"/>
          </w:tcPr>
          <w:p w14:paraId="1148A896">
            <w:pPr>
              <w:pStyle w:val="16"/>
              <w:rPr>
                <w:rFonts w:hAnsi="宋体"/>
                <w:color w:val="auto"/>
                <w:szCs w:val="21"/>
                <w:highlight w:val="none"/>
              </w:rPr>
            </w:pPr>
          </w:p>
        </w:tc>
        <w:tc>
          <w:tcPr>
            <w:tcW w:w="2229" w:type="dxa"/>
          </w:tcPr>
          <w:p w14:paraId="59A0E4D1">
            <w:pPr>
              <w:pStyle w:val="16"/>
              <w:rPr>
                <w:rFonts w:hAnsi="宋体"/>
                <w:color w:val="auto"/>
                <w:szCs w:val="21"/>
                <w:highlight w:val="none"/>
              </w:rPr>
            </w:pPr>
          </w:p>
        </w:tc>
        <w:tc>
          <w:tcPr>
            <w:tcW w:w="2389" w:type="dxa"/>
          </w:tcPr>
          <w:p w14:paraId="0467C71A">
            <w:pPr>
              <w:pStyle w:val="16"/>
              <w:rPr>
                <w:rFonts w:hAnsi="宋体"/>
                <w:color w:val="auto"/>
                <w:szCs w:val="21"/>
                <w:highlight w:val="none"/>
              </w:rPr>
            </w:pPr>
          </w:p>
        </w:tc>
        <w:tc>
          <w:tcPr>
            <w:tcW w:w="956" w:type="dxa"/>
          </w:tcPr>
          <w:p w14:paraId="25058521">
            <w:pPr>
              <w:pStyle w:val="16"/>
              <w:rPr>
                <w:rFonts w:hAnsi="宋体"/>
                <w:color w:val="auto"/>
                <w:szCs w:val="21"/>
                <w:highlight w:val="none"/>
              </w:rPr>
            </w:pPr>
          </w:p>
        </w:tc>
        <w:tc>
          <w:tcPr>
            <w:tcW w:w="1214" w:type="dxa"/>
          </w:tcPr>
          <w:p w14:paraId="7C010FA4">
            <w:pPr>
              <w:pStyle w:val="16"/>
              <w:rPr>
                <w:rFonts w:hAnsi="宋体"/>
                <w:color w:val="auto"/>
                <w:szCs w:val="21"/>
                <w:highlight w:val="none"/>
              </w:rPr>
            </w:pPr>
          </w:p>
        </w:tc>
      </w:tr>
      <w:tr w14:paraId="1ADA6A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515CC29C">
            <w:pPr>
              <w:pStyle w:val="16"/>
              <w:rPr>
                <w:rFonts w:hAnsi="宋体"/>
                <w:color w:val="auto"/>
                <w:szCs w:val="21"/>
                <w:highlight w:val="none"/>
              </w:rPr>
            </w:pPr>
          </w:p>
        </w:tc>
        <w:tc>
          <w:tcPr>
            <w:tcW w:w="2083" w:type="dxa"/>
          </w:tcPr>
          <w:p w14:paraId="1BBE2ADF">
            <w:pPr>
              <w:pStyle w:val="16"/>
              <w:rPr>
                <w:rFonts w:hAnsi="宋体"/>
                <w:color w:val="auto"/>
                <w:szCs w:val="21"/>
                <w:highlight w:val="none"/>
              </w:rPr>
            </w:pPr>
          </w:p>
        </w:tc>
        <w:tc>
          <w:tcPr>
            <w:tcW w:w="2229" w:type="dxa"/>
          </w:tcPr>
          <w:p w14:paraId="0B99F3FD">
            <w:pPr>
              <w:pStyle w:val="16"/>
              <w:rPr>
                <w:rFonts w:hAnsi="宋体"/>
                <w:color w:val="auto"/>
                <w:szCs w:val="21"/>
                <w:highlight w:val="none"/>
              </w:rPr>
            </w:pPr>
          </w:p>
        </w:tc>
        <w:tc>
          <w:tcPr>
            <w:tcW w:w="2389" w:type="dxa"/>
          </w:tcPr>
          <w:p w14:paraId="317CF35F">
            <w:pPr>
              <w:pStyle w:val="16"/>
              <w:rPr>
                <w:rFonts w:hAnsi="宋体"/>
                <w:color w:val="auto"/>
                <w:szCs w:val="21"/>
                <w:highlight w:val="none"/>
              </w:rPr>
            </w:pPr>
          </w:p>
        </w:tc>
        <w:tc>
          <w:tcPr>
            <w:tcW w:w="956" w:type="dxa"/>
          </w:tcPr>
          <w:p w14:paraId="6B472017">
            <w:pPr>
              <w:pStyle w:val="16"/>
              <w:rPr>
                <w:rFonts w:hAnsi="宋体"/>
                <w:color w:val="auto"/>
                <w:szCs w:val="21"/>
                <w:highlight w:val="none"/>
              </w:rPr>
            </w:pPr>
          </w:p>
        </w:tc>
        <w:tc>
          <w:tcPr>
            <w:tcW w:w="1214" w:type="dxa"/>
          </w:tcPr>
          <w:p w14:paraId="108297E8">
            <w:pPr>
              <w:pStyle w:val="16"/>
              <w:rPr>
                <w:rFonts w:hAnsi="宋体"/>
                <w:color w:val="auto"/>
                <w:szCs w:val="21"/>
                <w:highlight w:val="none"/>
              </w:rPr>
            </w:pPr>
          </w:p>
        </w:tc>
      </w:tr>
      <w:tr w14:paraId="2CE02B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306C44F6">
            <w:pPr>
              <w:pStyle w:val="16"/>
              <w:rPr>
                <w:rFonts w:hAnsi="宋体"/>
                <w:color w:val="auto"/>
                <w:szCs w:val="21"/>
                <w:highlight w:val="none"/>
              </w:rPr>
            </w:pPr>
          </w:p>
        </w:tc>
        <w:tc>
          <w:tcPr>
            <w:tcW w:w="2083" w:type="dxa"/>
          </w:tcPr>
          <w:p w14:paraId="3C9C296E">
            <w:pPr>
              <w:pStyle w:val="16"/>
              <w:rPr>
                <w:rFonts w:hAnsi="宋体"/>
                <w:color w:val="auto"/>
                <w:szCs w:val="21"/>
                <w:highlight w:val="none"/>
              </w:rPr>
            </w:pPr>
          </w:p>
        </w:tc>
        <w:tc>
          <w:tcPr>
            <w:tcW w:w="2229" w:type="dxa"/>
          </w:tcPr>
          <w:p w14:paraId="0DCF1742">
            <w:pPr>
              <w:pStyle w:val="16"/>
              <w:rPr>
                <w:rFonts w:hAnsi="宋体"/>
                <w:color w:val="auto"/>
                <w:szCs w:val="21"/>
                <w:highlight w:val="none"/>
              </w:rPr>
            </w:pPr>
          </w:p>
        </w:tc>
        <w:tc>
          <w:tcPr>
            <w:tcW w:w="2389" w:type="dxa"/>
          </w:tcPr>
          <w:p w14:paraId="2FE4A4D6">
            <w:pPr>
              <w:pStyle w:val="16"/>
              <w:rPr>
                <w:rFonts w:hAnsi="宋体"/>
                <w:color w:val="auto"/>
                <w:szCs w:val="21"/>
                <w:highlight w:val="none"/>
              </w:rPr>
            </w:pPr>
          </w:p>
        </w:tc>
        <w:tc>
          <w:tcPr>
            <w:tcW w:w="956" w:type="dxa"/>
          </w:tcPr>
          <w:p w14:paraId="0D8BC536">
            <w:pPr>
              <w:pStyle w:val="16"/>
              <w:rPr>
                <w:rFonts w:hAnsi="宋体"/>
                <w:color w:val="auto"/>
                <w:szCs w:val="21"/>
                <w:highlight w:val="none"/>
              </w:rPr>
            </w:pPr>
          </w:p>
        </w:tc>
        <w:tc>
          <w:tcPr>
            <w:tcW w:w="1214" w:type="dxa"/>
          </w:tcPr>
          <w:p w14:paraId="15794893">
            <w:pPr>
              <w:pStyle w:val="16"/>
              <w:rPr>
                <w:rFonts w:hAnsi="宋体"/>
                <w:color w:val="auto"/>
                <w:szCs w:val="21"/>
                <w:highlight w:val="none"/>
              </w:rPr>
            </w:pPr>
          </w:p>
        </w:tc>
      </w:tr>
      <w:tr w14:paraId="609DB0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0" w:hRule="atLeast"/>
          <w:jc w:val="center"/>
        </w:trPr>
        <w:tc>
          <w:tcPr>
            <w:tcW w:w="1065" w:type="dxa"/>
          </w:tcPr>
          <w:p w14:paraId="7ACDF872">
            <w:pPr>
              <w:pStyle w:val="16"/>
              <w:rPr>
                <w:rFonts w:hAnsi="宋体"/>
                <w:color w:val="auto"/>
                <w:szCs w:val="21"/>
                <w:highlight w:val="none"/>
              </w:rPr>
            </w:pPr>
          </w:p>
        </w:tc>
        <w:tc>
          <w:tcPr>
            <w:tcW w:w="2083" w:type="dxa"/>
          </w:tcPr>
          <w:p w14:paraId="6840240D">
            <w:pPr>
              <w:pStyle w:val="16"/>
              <w:rPr>
                <w:rFonts w:hAnsi="宋体"/>
                <w:color w:val="auto"/>
                <w:szCs w:val="21"/>
                <w:highlight w:val="none"/>
              </w:rPr>
            </w:pPr>
          </w:p>
        </w:tc>
        <w:tc>
          <w:tcPr>
            <w:tcW w:w="2229" w:type="dxa"/>
          </w:tcPr>
          <w:p w14:paraId="5B3051D9">
            <w:pPr>
              <w:pStyle w:val="16"/>
              <w:rPr>
                <w:rFonts w:hAnsi="宋体"/>
                <w:color w:val="auto"/>
                <w:szCs w:val="21"/>
                <w:highlight w:val="none"/>
              </w:rPr>
            </w:pPr>
          </w:p>
        </w:tc>
        <w:tc>
          <w:tcPr>
            <w:tcW w:w="2389" w:type="dxa"/>
          </w:tcPr>
          <w:p w14:paraId="75A716D7">
            <w:pPr>
              <w:pStyle w:val="16"/>
              <w:rPr>
                <w:rFonts w:hAnsi="宋体"/>
                <w:color w:val="auto"/>
                <w:szCs w:val="21"/>
                <w:highlight w:val="none"/>
              </w:rPr>
            </w:pPr>
          </w:p>
        </w:tc>
        <w:tc>
          <w:tcPr>
            <w:tcW w:w="956" w:type="dxa"/>
          </w:tcPr>
          <w:p w14:paraId="545A9063">
            <w:pPr>
              <w:pStyle w:val="16"/>
              <w:rPr>
                <w:rFonts w:hAnsi="宋体"/>
                <w:color w:val="auto"/>
                <w:szCs w:val="21"/>
                <w:highlight w:val="none"/>
              </w:rPr>
            </w:pPr>
          </w:p>
        </w:tc>
        <w:tc>
          <w:tcPr>
            <w:tcW w:w="1214" w:type="dxa"/>
          </w:tcPr>
          <w:p w14:paraId="639E3385">
            <w:pPr>
              <w:pStyle w:val="16"/>
              <w:rPr>
                <w:rFonts w:hAnsi="宋体"/>
                <w:color w:val="auto"/>
                <w:szCs w:val="21"/>
                <w:highlight w:val="none"/>
              </w:rPr>
            </w:pPr>
          </w:p>
        </w:tc>
      </w:tr>
    </w:tbl>
    <w:p w14:paraId="63846B1F">
      <w:pPr>
        <w:pStyle w:val="16"/>
        <w:rPr>
          <w:rFonts w:hAnsi="宋体"/>
          <w:color w:val="auto"/>
          <w:szCs w:val="21"/>
          <w:highlight w:val="none"/>
        </w:rPr>
      </w:pPr>
    </w:p>
    <w:p w14:paraId="4F180442">
      <w:pPr>
        <w:pStyle w:val="16"/>
        <w:spacing w:line="360" w:lineRule="auto"/>
        <w:rPr>
          <w:rFonts w:hAnsi="宋体"/>
          <w:color w:val="auto"/>
          <w:szCs w:val="21"/>
          <w:highlight w:val="none"/>
        </w:rPr>
      </w:pPr>
      <w:r>
        <w:rPr>
          <w:rFonts w:hint="eastAsia" w:hAnsi="宋体"/>
          <w:color w:val="auto"/>
          <w:szCs w:val="21"/>
          <w:highlight w:val="none"/>
        </w:rPr>
        <w:t>应邀谈判人</w:t>
      </w:r>
      <w:r>
        <w:rPr>
          <w:rFonts w:hint="eastAsia" w:hAnsi="宋体"/>
          <w:color w:val="auto"/>
          <w:szCs w:val="21"/>
          <w:highlight w:val="none"/>
          <w:lang w:eastAsia="zh-CN"/>
        </w:rPr>
        <w:t>法定</w:t>
      </w:r>
      <w:r>
        <w:rPr>
          <w:rFonts w:hint="eastAsia" w:hAnsi="宋体"/>
          <w:color w:val="auto"/>
          <w:szCs w:val="21"/>
          <w:highlight w:val="none"/>
        </w:rPr>
        <w:t>代表</w:t>
      </w:r>
      <w:r>
        <w:rPr>
          <w:rFonts w:hint="eastAsia" w:hAnsi="宋体"/>
          <w:color w:val="auto"/>
          <w:szCs w:val="21"/>
          <w:highlight w:val="none"/>
          <w:lang w:eastAsia="zh-CN"/>
        </w:rPr>
        <w:t>人</w:t>
      </w:r>
      <w:r>
        <w:rPr>
          <w:rFonts w:hint="eastAsia" w:hAnsi="宋体"/>
          <w:color w:val="auto"/>
          <w:szCs w:val="21"/>
          <w:highlight w:val="none"/>
        </w:rPr>
        <w:t>签字：____________________________</w:t>
      </w:r>
    </w:p>
    <w:p w14:paraId="2F7B442C">
      <w:pPr>
        <w:pStyle w:val="16"/>
        <w:spacing w:line="360" w:lineRule="auto"/>
        <w:rPr>
          <w:rFonts w:hAnsi="宋体"/>
          <w:color w:val="auto"/>
          <w:szCs w:val="21"/>
          <w:highlight w:val="none"/>
          <w:u w:val="single"/>
        </w:rPr>
      </w:pPr>
      <w:r>
        <w:rPr>
          <w:rFonts w:hint="eastAsia" w:hAnsi="宋体"/>
          <w:color w:val="auto"/>
          <w:szCs w:val="21"/>
          <w:highlight w:val="none"/>
        </w:rPr>
        <w:t xml:space="preserve">应邀谈判人(盖章):   </w:t>
      </w:r>
      <w:r>
        <w:rPr>
          <w:rFonts w:hAnsi="宋体"/>
          <w:color w:val="auto"/>
          <w:szCs w:val="21"/>
          <w:highlight w:val="none"/>
          <w:u w:val="single"/>
        </w:rPr>
        <w:tab/>
      </w:r>
      <w:r>
        <w:rPr>
          <w:rFonts w:hint="eastAsia" w:hAnsi="宋体"/>
          <w:color w:val="auto"/>
          <w:szCs w:val="21"/>
          <w:highlight w:val="none"/>
          <w:u w:val="single"/>
          <w:lang w:val="en-US" w:eastAsia="zh-CN"/>
        </w:rPr>
        <w:t xml:space="preserve">                </w:t>
      </w:r>
      <w:r>
        <w:rPr>
          <w:rFonts w:hAnsi="宋体"/>
          <w:color w:val="auto"/>
          <w:szCs w:val="21"/>
          <w:highlight w:val="none"/>
          <w:u w:val="single"/>
        </w:rPr>
        <w:tab/>
      </w:r>
    </w:p>
    <w:p w14:paraId="4577A9C2">
      <w:pPr>
        <w:pStyle w:val="16"/>
        <w:rPr>
          <w:rFonts w:hAnsi="宋体"/>
          <w:color w:val="auto"/>
          <w:szCs w:val="21"/>
          <w:highlight w:val="none"/>
          <w:u w:val="single"/>
        </w:rPr>
      </w:pPr>
    </w:p>
    <w:p w14:paraId="189D07FB">
      <w:pPr>
        <w:pStyle w:val="16"/>
        <w:rPr>
          <w:rFonts w:hAnsi="宋体"/>
          <w:color w:val="auto"/>
          <w:szCs w:val="21"/>
          <w:highlight w:val="none"/>
          <w:u w:val="single"/>
        </w:rPr>
      </w:pPr>
    </w:p>
    <w:p w14:paraId="32AC0B0E">
      <w:pPr>
        <w:pStyle w:val="16"/>
        <w:rPr>
          <w:rFonts w:hAnsi="宋体"/>
          <w:color w:val="auto"/>
          <w:szCs w:val="21"/>
          <w:highlight w:val="none"/>
          <w:u w:val="single"/>
        </w:rPr>
      </w:pPr>
    </w:p>
    <w:p w14:paraId="49713B01">
      <w:pPr>
        <w:pStyle w:val="3"/>
        <w:keepNext/>
        <w:keepLines/>
        <w:pageBreakBefore/>
        <w:widowControl w:val="0"/>
        <w:kinsoku/>
        <w:wordWrap/>
        <w:overflowPunct/>
        <w:topLinePunct w:val="0"/>
        <w:autoSpaceDE/>
        <w:autoSpaceDN/>
        <w:bidi w:val="0"/>
        <w:adjustRightInd/>
        <w:snapToGrid/>
        <w:spacing w:before="0" w:after="0" w:line="416" w:lineRule="auto"/>
        <w:jc w:val="center"/>
        <w:textAlignment w:val="auto"/>
        <w:rPr>
          <w:rFonts w:ascii="宋体" w:hAnsi="宋体"/>
          <w:color w:val="auto"/>
          <w:sz w:val="28"/>
          <w:szCs w:val="28"/>
          <w:highlight w:val="none"/>
        </w:rPr>
      </w:pPr>
      <w:bookmarkStart w:id="53" w:name="_Toc13711"/>
      <w:r>
        <w:rPr>
          <w:rFonts w:hint="eastAsia" w:ascii="宋体" w:hAnsi="宋体"/>
          <w:color w:val="auto"/>
          <w:sz w:val="28"/>
          <w:szCs w:val="28"/>
          <w:highlight w:val="none"/>
        </w:rPr>
        <w:t>附件</w:t>
      </w:r>
      <w:r>
        <w:rPr>
          <w:rFonts w:hint="eastAsia" w:ascii="宋体" w:hAnsi="宋体"/>
          <w:color w:val="auto"/>
          <w:sz w:val="28"/>
          <w:szCs w:val="28"/>
          <w:highlight w:val="none"/>
          <w:lang w:val="en-US" w:eastAsia="zh-CN"/>
        </w:rPr>
        <w:t>2</w:t>
      </w:r>
      <w:r>
        <w:rPr>
          <w:rFonts w:hint="eastAsia" w:ascii="宋体" w:hAnsi="宋体"/>
          <w:color w:val="auto"/>
          <w:sz w:val="28"/>
          <w:szCs w:val="28"/>
          <w:highlight w:val="none"/>
        </w:rPr>
        <w:t>技术规格偏离表</w:t>
      </w:r>
      <w:bookmarkEnd w:id="53"/>
    </w:p>
    <w:p w14:paraId="5333723B">
      <w:pPr>
        <w:pStyle w:val="16"/>
        <w:rPr>
          <w:rFonts w:hAnsi="宋体"/>
          <w:color w:val="auto"/>
          <w:szCs w:val="21"/>
          <w:highlight w:val="none"/>
        </w:rPr>
      </w:pPr>
      <w:r>
        <w:rPr>
          <w:rFonts w:hint="eastAsia" w:hAnsi="宋体"/>
          <w:color w:val="auto"/>
          <w:szCs w:val="21"/>
          <w:highlight w:val="none"/>
        </w:rPr>
        <w:t>项目名称：</w:t>
      </w:r>
    </w:p>
    <w:p w14:paraId="4AE0C0DC">
      <w:pPr>
        <w:pStyle w:val="16"/>
        <w:rPr>
          <w:rFonts w:hAnsi="宋体"/>
          <w:color w:val="auto"/>
          <w:szCs w:val="21"/>
          <w:highlight w:val="none"/>
        </w:rPr>
      </w:pPr>
      <w:r>
        <w:rPr>
          <w:rFonts w:hint="eastAsia" w:hAnsi="宋体"/>
          <w:color w:val="auto"/>
          <w:szCs w:val="21"/>
          <w:highlight w:val="none"/>
        </w:rPr>
        <w:t xml:space="preserve">项目编号: </w:t>
      </w:r>
    </w:p>
    <w:tbl>
      <w:tblPr>
        <w:tblStyle w:val="34"/>
        <w:tblW w:w="997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14"/>
        <w:gridCol w:w="1391"/>
        <w:gridCol w:w="2385"/>
        <w:gridCol w:w="1589"/>
        <w:gridCol w:w="1391"/>
        <w:gridCol w:w="993"/>
        <w:gridCol w:w="1314"/>
      </w:tblGrid>
      <w:tr w14:paraId="683672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914" w:type="dxa"/>
            <w:vAlign w:val="center"/>
          </w:tcPr>
          <w:p w14:paraId="660437F0">
            <w:pPr>
              <w:pStyle w:val="16"/>
              <w:jc w:val="center"/>
              <w:rPr>
                <w:rFonts w:hAnsi="宋体"/>
                <w:color w:val="auto"/>
                <w:szCs w:val="21"/>
                <w:highlight w:val="none"/>
              </w:rPr>
            </w:pPr>
            <w:r>
              <w:rPr>
                <w:rFonts w:hint="eastAsia" w:hAnsi="宋体"/>
                <w:color w:val="auto"/>
                <w:szCs w:val="21"/>
                <w:highlight w:val="none"/>
              </w:rPr>
              <w:t>序号</w:t>
            </w:r>
          </w:p>
        </w:tc>
        <w:tc>
          <w:tcPr>
            <w:tcW w:w="1391" w:type="dxa"/>
            <w:vAlign w:val="center"/>
          </w:tcPr>
          <w:p w14:paraId="6CD526A0">
            <w:pPr>
              <w:pStyle w:val="16"/>
              <w:jc w:val="center"/>
              <w:rPr>
                <w:rFonts w:hAnsi="宋体"/>
                <w:color w:val="auto"/>
                <w:szCs w:val="21"/>
                <w:highlight w:val="none"/>
              </w:rPr>
            </w:pPr>
            <w:r>
              <w:rPr>
                <w:rFonts w:hint="eastAsia" w:hAnsi="宋体"/>
                <w:color w:val="auto"/>
                <w:szCs w:val="21"/>
                <w:highlight w:val="none"/>
              </w:rPr>
              <w:t>项目名称</w:t>
            </w:r>
          </w:p>
        </w:tc>
        <w:tc>
          <w:tcPr>
            <w:tcW w:w="2385" w:type="dxa"/>
            <w:vAlign w:val="center"/>
          </w:tcPr>
          <w:p w14:paraId="12240100">
            <w:pPr>
              <w:pStyle w:val="16"/>
              <w:jc w:val="center"/>
              <w:rPr>
                <w:rFonts w:hAnsi="宋体"/>
                <w:color w:val="auto"/>
                <w:szCs w:val="21"/>
                <w:highlight w:val="none"/>
              </w:rPr>
            </w:pPr>
            <w:r>
              <w:rPr>
                <w:rFonts w:hint="eastAsia" w:hAnsi="宋体"/>
                <w:color w:val="auto"/>
                <w:szCs w:val="21"/>
                <w:highlight w:val="none"/>
              </w:rPr>
              <w:t>谈判文件</w:t>
            </w:r>
          </w:p>
          <w:p w14:paraId="578B236A">
            <w:pPr>
              <w:pStyle w:val="16"/>
              <w:jc w:val="center"/>
              <w:rPr>
                <w:rFonts w:hAnsi="宋体"/>
                <w:color w:val="auto"/>
                <w:szCs w:val="21"/>
                <w:highlight w:val="none"/>
              </w:rPr>
            </w:pPr>
            <w:r>
              <w:rPr>
                <w:rFonts w:hint="eastAsia" w:hAnsi="宋体"/>
                <w:color w:val="auto"/>
                <w:szCs w:val="21"/>
                <w:highlight w:val="none"/>
              </w:rPr>
              <w:t>条款号</w:t>
            </w:r>
          </w:p>
        </w:tc>
        <w:tc>
          <w:tcPr>
            <w:tcW w:w="1589" w:type="dxa"/>
            <w:vAlign w:val="center"/>
          </w:tcPr>
          <w:p w14:paraId="2E009C21">
            <w:pPr>
              <w:pStyle w:val="16"/>
              <w:jc w:val="center"/>
              <w:rPr>
                <w:rFonts w:hAnsi="宋体"/>
                <w:color w:val="auto"/>
                <w:szCs w:val="21"/>
                <w:highlight w:val="none"/>
              </w:rPr>
            </w:pPr>
            <w:r>
              <w:rPr>
                <w:rFonts w:hint="eastAsia" w:hAnsi="宋体"/>
                <w:color w:val="auto"/>
                <w:szCs w:val="21"/>
                <w:highlight w:val="none"/>
              </w:rPr>
              <w:t>谈判文件规格</w:t>
            </w:r>
          </w:p>
        </w:tc>
        <w:tc>
          <w:tcPr>
            <w:tcW w:w="1391" w:type="dxa"/>
            <w:vAlign w:val="center"/>
          </w:tcPr>
          <w:p w14:paraId="6DAB208A">
            <w:pPr>
              <w:pStyle w:val="16"/>
              <w:jc w:val="center"/>
              <w:rPr>
                <w:rFonts w:hAnsi="宋体"/>
                <w:color w:val="auto"/>
                <w:szCs w:val="21"/>
                <w:highlight w:val="none"/>
              </w:rPr>
            </w:pPr>
            <w:r>
              <w:rPr>
                <w:rFonts w:hint="eastAsia" w:hAnsi="宋体"/>
                <w:color w:val="auto"/>
                <w:szCs w:val="21"/>
                <w:highlight w:val="none"/>
              </w:rPr>
              <w:t>响应规格</w:t>
            </w:r>
          </w:p>
        </w:tc>
        <w:tc>
          <w:tcPr>
            <w:tcW w:w="993" w:type="dxa"/>
            <w:vAlign w:val="center"/>
          </w:tcPr>
          <w:p w14:paraId="2DB22CBA">
            <w:pPr>
              <w:pStyle w:val="16"/>
              <w:jc w:val="center"/>
              <w:rPr>
                <w:rFonts w:hAnsi="宋体"/>
                <w:color w:val="auto"/>
                <w:szCs w:val="21"/>
                <w:highlight w:val="none"/>
              </w:rPr>
            </w:pPr>
            <w:r>
              <w:rPr>
                <w:rFonts w:hint="eastAsia" w:hAnsi="宋体"/>
                <w:color w:val="auto"/>
                <w:szCs w:val="21"/>
                <w:highlight w:val="none"/>
              </w:rPr>
              <w:t>偏离</w:t>
            </w:r>
          </w:p>
        </w:tc>
        <w:tc>
          <w:tcPr>
            <w:tcW w:w="1314" w:type="dxa"/>
            <w:vAlign w:val="center"/>
          </w:tcPr>
          <w:p w14:paraId="5D20F158">
            <w:pPr>
              <w:pStyle w:val="16"/>
              <w:jc w:val="center"/>
              <w:rPr>
                <w:rFonts w:hAnsi="宋体"/>
                <w:color w:val="auto"/>
                <w:szCs w:val="21"/>
                <w:highlight w:val="none"/>
              </w:rPr>
            </w:pPr>
            <w:r>
              <w:rPr>
                <w:rFonts w:hint="eastAsia" w:hAnsi="宋体"/>
                <w:color w:val="auto"/>
                <w:szCs w:val="21"/>
                <w:highlight w:val="none"/>
              </w:rPr>
              <w:t>说明</w:t>
            </w:r>
          </w:p>
        </w:tc>
      </w:tr>
      <w:tr w14:paraId="3D3F04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3944C3B3">
            <w:pPr>
              <w:pStyle w:val="16"/>
              <w:rPr>
                <w:rFonts w:hAnsi="宋体"/>
                <w:color w:val="auto"/>
                <w:szCs w:val="21"/>
                <w:highlight w:val="none"/>
              </w:rPr>
            </w:pPr>
          </w:p>
        </w:tc>
        <w:tc>
          <w:tcPr>
            <w:tcW w:w="1391" w:type="dxa"/>
          </w:tcPr>
          <w:p w14:paraId="070DEA16">
            <w:pPr>
              <w:pStyle w:val="16"/>
              <w:rPr>
                <w:rFonts w:hAnsi="宋体"/>
                <w:color w:val="auto"/>
                <w:szCs w:val="21"/>
                <w:highlight w:val="none"/>
              </w:rPr>
            </w:pPr>
          </w:p>
        </w:tc>
        <w:tc>
          <w:tcPr>
            <w:tcW w:w="2385" w:type="dxa"/>
          </w:tcPr>
          <w:p w14:paraId="5DDC07FC">
            <w:pPr>
              <w:pStyle w:val="16"/>
              <w:rPr>
                <w:rFonts w:hAnsi="宋体"/>
                <w:color w:val="auto"/>
                <w:szCs w:val="21"/>
                <w:highlight w:val="none"/>
              </w:rPr>
            </w:pPr>
          </w:p>
        </w:tc>
        <w:tc>
          <w:tcPr>
            <w:tcW w:w="1589" w:type="dxa"/>
          </w:tcPr>
          <w:p w14:paraId="3B6050EB">
            <w:pPr>
              <w:pStyle w:val="16"/>
              <w:rPr>
                <w:rFonts w:hAnsi="宋体"/>
                <w:color w:val="auto"/>
                <w:szCs w:val="21"/>
                <w:highlight w:val="none"/>
              </w:rPr>
            </w:pPr>
          </w:p>
        </w:tc>
        <w:tc>
          <w:tcPr>
            <w:tcW w:w="1391" w:type="dxa"/>
          </w:tcPr>
          <w:p w14:paraId="6754D22E">
            <w:pPr>
              <w:pStyle w:val="16"/>
              <w:rPr>
                <w:rFonts w:hAnsi="宋体"/>
                <w:color w:val="auto"/>
                <w:szCs w:val="21"/>
                <w:highlight w:val="none"/>
              </w:rPr>
            </w:pPr>
          </w:p>
        </w:tc>
        <w:tc>
          <w:tcPr>
            <w:tcW w:w="993" w:type="dxa"/>
          </w:tcPr>
          <w:p w14:paraId="5F139C09">
            <w:pPr>
              <w:pStyle w:val="16"/>
              <w:rPr>
                <w:rFonts w:hAnsi="宋体"/>
                <w:color w:val="auto"/>
                <w:szCs w:val="21"/>
                <w:highlight w:val="none"/>
              </w:rPr>
            </w:pPr>
          </w:p>
        </w:tc>
        <w:tc>
          <w:tcPr>
            <w:tcW w:w="1314" w:type="dxa"/>
          </w:tcPr>
          <w:p w14:paraId="146D761F">
            <w:pPr>
              <w:pStyle w:val="16"/>
              <w:rPr>
                <w:rFonts w:hAnsi="宋体"/>
                <w:color w:val="auto"/>
                <w:szCs w:val="21"/>
                <w:highlight w:val="none"/>
              </w:rPr>
            </w:pPr>
          </w:p>
        </w:tc>
      </w:tr>
      <w:tr w14:paraId="0CFE5A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64FA3E1C">
            <w:pPr>
              <w:pStyle w:val="16"/>
              <w:rPr>
                <w:rFonts w:hAnsi="宋体"/>
                <w:color w:val="auto"/>
                <w:szCs w:val="21"/>
                <w:highlight w:val="none"/>
              </w:rPr>
            </w:pPr>
          </w:p>
        </w:tc>
        <w:tc>
          <w:tcPr>
            <w:tcW w:w="1391" w:type="dxa"/>
          </w:tcPr>
          <w:p w14:paraId="3D20825A">
            <w:pPr>
              <w:pStyle w:val="16"/>
              <w:rPr>
                <w:rFonts w:hAnsi="宋体"/>
                <w:color w:val="auto"/>
                <w:szCs w:val="21"/>
                <w:highlight w:val="none"/>
              </w:rPr>
            </w:pPr>
          </w:p>
        </w:tc>
        <w:tc>
          <w:tcPr>
            <w:tcW w:w="2385" w:type="dxa"/>
          </w:tcPr>
          <w:p w14:paraId="1D8EF708">
            <w:pPr>
              <w:pStyle w:val="16"/>
              <w:rPr>
                <w:rFonts w:hAnsi="宋体"/>
                <w:color w:val="auto"/>
                <w:szCs w:val="21"/>
                <w:highlight w:val="none"/>
              </w:rPr>
            </w:pPr>
          </w:p>
        </w:tc>
        <w:tc>
          <w:tcPr>
            <w:tcW w:w="1589" w:type="dxa"/>
          </w:tcPr>
          <w:p w14:paraId="7652F17A">
            <w:pPr>
              <w:pStyle w:val="16"/>
              <w:rPr>
                <w:rFonts w:hAnsi="宋体"/>
                <w:color w:val="auto"/>
                <w:szCs w:val="21"/>
                <w:highlight w:val="none"/>
              </w:rPr>
            </w:pPr>
          </w:p>
        </w:tc>
        <w:tc>
          <w:tcPr>
            <w:tcW w:w="1391" w:type="dxa"/>
          </w:tcPr>
          <w:p w14:paraId="1CB867EF">
            <w:pPr>
              <w:pStyle w:val="16"/>
              <w:rPr>
                <w:rFonts w:hAnsi="宋体"/>
                <w:color w:val="auto"/>
                <w:szCs w:val="21"/>
                <w:highlight w:val="none"/>
              </w:rPr>
            </w:pPr>
          </w:p>
        </w:tc>
        <w:tc>
          <w:tcPr>
            <w:tcW w:w="993" w:type="dxa"/>
          </w:tcPr>
          <w:p w14:paraId="3A2EC139">
            <w:pPr>
              <w:pStyle w:val="16"/>
              <w:rPr>
                <w:rFonts w:hAnsi="宋体"/>
                <w:color w:val="auto"/>
                <w:szCs w:val="21"/>
                <w:highlight w:val="none"/>
              </w:rPr>
            </w:pPr>
          </w:p>
        </w:tc>
        <w:tc>
          <w:tcPr>
            <w:tcW w:w="1314" w:type="dxa"/>
          </w:tcPr>
          <w:p w14:paraId="6DE8C5C0">
            <w:pPr>
              <w:pStyle w:val="16"/>
              <w:rPr>
                <w:rFonts w:hAnsi="宋体"/>
                <w:color w:val="auto"/>
                <w:szCs w:val="21"/>
                <w:highlight w:val="none"/>
              </w:rPr>
            </w:pPr>
          </w:p>
        </w:tc>
      </w:tr>
      <w:tr w14:paraId="4B61A9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749C0088">
            <w:pPr>
              <w:pStyle w:val="16"/>
              <w:rPr>
                <w:rFonts w:hAnsi="宋体"/>
                <w:color w:val="auto"/>
                <w:szCs w:val="21"/>
                <w:highlight w:val="none"/>
              </w:rPr>
            </w:pPr>
          </w:p>
        </w:tc>
        <w:tc>
          <w:tcPr>
            <w:tcW w:w="1391" w:type="dxa"/>
          </w:tcPr>
          <w:p w14:paraId="7FAD90F4">
            <w:pPr>
              <w:pStyle w:val="16"/>
              <w:rPr>
                <w:rFonts w:hAnsi="宋体"/>
                <w:color w:val="auto"/>
                <w:szCs w:val="21"/>
                <w:highlight w:val="none"/>
              </w:rPr>
            </w:pPr>
          </w:p>
        </w:tc>
        <w:tc>
          <w:tcPr>
            <w:tcW w:w="2385" w:type="dxa"/>
          </w:tcPr>
          <w:p w14:paraId="0FC352AE">
            <w:pPr>
              <w:pStyle w:val="16"/>
              <w:rPr>
                <w:rFonts w:hAnsi="宋体"/>
                <w:color w:val="auto"/>
                <w:szCs w:val="21"/>
                <w:highlight w:val="none"/>
              </w:rPr>
            </w:pPr>
          </w:p>
        </w:tc>
        <w:tc>
          <w:tcPr>
            <w:tcW w:w="1589" w:type="dxa"/>
          </w:tcPr>
          <w:p w14:paraId="6DE1695C">
            <w:pPr>
              <w:pStyle w:val="16"/>
              <w:rPr>
                <w:rFonts w:hAnsi="宋体"/>
                <w:color w:val="auto"/>
                <w:szCs w:val="21"/>
                <w:highlight w:val="none"/>
              </w:rPr>
            </w:pPr>
          </w:p>
        </w:tc>
        <w:tc>
          <w:tcPr>
            <w:tcW w:w="1391" w:type="dxa"/>
          </w:tcPr>
          <w:p w14:paraId="7314606B">
            <w:pPr>
              <w:pStyle w:val="16"/>
              <w:rPr>
                <w:rFonts w:hAnsi="宋体"/>
                <w:color w:val="auto"/>
                <w:szCs w:val="21"/>
                <w:highlight w:val="none"/>
              </w:rPr>
            </w:pPr>
          </w:p>
        </w:tc>
        <w:tc>
          <w:tcPr>
            <w:tcW w:w="993" w:type="dxa"/>
          </w:tcPr>
          <w:p w14:paraId="5C0F5CE9">
            <w:pPr>
              <w:pStyle w:val="16"/>
              <w:rPr>
                <w:rFonts w:hAnsi="宋体"/>
                <w:color w:val="auto"/>
                <w:szCs w:val="21"/>
                <w:highlight w:val="none"/>
              </w:rPr>
            </w:pPr>
          </w:p>
        </w:tc>
        <w:tc>
          <w:tcPr>
            <w:tcW w:w="1314" w:type="dxa"/>
          </w:tcPr>
          <w:p w14:paraId="0D16F923">
            <w:pPr>
              <w:pStyle w:val="16"/>
              <w:rPr>
                <w:rFonts w:hAnsi="宋体"/>
                <w:color w:val="auto"/>
                <w:szCs w:val="21"/>
                <w:highlight w:val="none"/>
              </w:rPr>
            </w:pPr>
          </w:p>
        </w:tc>
      </w:tr>
      <w:tr w14:paraId="6BD08E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01F83EC5">
            <w:pPr>
              <w:pStyle w:val="16"/>
              <w:rPr>
                <w:rFonts w:hAnsi="宋体"/>
                <w:color w:val="auto"/>
                <w:szCs w:val="21"/>
                <w:highlight w:val="none"/>
              </w:rPr>
            </w:pPr>
          </w:p>
        </w:tc>
        <w:tc>
          <w:tcPr>
            <w:tcW w:w="1391" w:type="dxa"/>
          </w:tcPr>
          <w:p w14:paraId="26A305BB">
            <w:pPr>
              <w:pStyle w:val="16"/>
              <w:rPr>
                <w:rFonts w:hAnsi="宋体"/>
                <w:color w:val="auto"/>
                <w:szCs w:val="21"/>
                <w:highlight w:val="none"/>
              </w:rPr>
            </w:pPr>
          </w:p>
        </w:tc>
        <w:tc>
          <w:tcPr>
            <w:tcW w:w="2385" w:type="dxa"/>
          </w:tcPr>
          <w:p w14:paraId="23625EEF">
            <w:pPr>
              <w:pStyle w:val="16"/>
              <w:rPr>
                <w:rFonts w:hAnsi="宋体"/>
                <w:color w:val="auto"/>
                <w:szCs w:val="21"/>
                <w:highlight w:val="none"/>
              </w:rPr>
            </w:pPr>
          </w:p>
        </w:tc>
        <w:tc>
          <w:tcPr>
            <w:tcW w:w="1589" w:type="dxa"/>
          </w:tcPr>
          <w:p w14:paraId="413E6873">
            <w:pPr>
              <w:pStyle w:val="16"/>
              <w:rPr>
                <w:rFonts w:hAnsi="宋体"/>
                <w:color w:val="auto"/>
                <w:szCs w:val="21"/>
                <w:highlight w:val="none"/>
              </w:rPr>
            </w:pPr>
          </w:p>
        </w:tc>
        <w:tc>
          <w:tcPr>
            <w:tcW w:w="1391" w:type="dxa"/>
          </w:tcPr>
          <w:p w14:paraId="486DEA45">
            <w:pPr>
              <w:pStyle w:val="16"/>
              <w:rPr>
                <w:rFonts w:hAnsi="宋体"/>
                <w:color w:val="auto"/>
                <w:szCs w:val="21"/>
                <w:highlight w:val="none"/>
              </w:rPr>
            </w:pPr>
          </w:p>
        </w:tc>
        <w:tc>
          <w:tcPr>
            <w:tcW w:w="993" w:type="dxa"/>
          </w:tcPr>
          <w:p w14:paraId="2C633A0B">
            <w:pPr>
              <w:pStyle w:val="16"/>
              <w:rPr>
                <w:rFonts w:hAnsi="宋体"/>
                <w:color w:val="auto"/>
                <w:szCs w:val="21"/>
                <w:highlight w:val="none"/>
              </w:rPr>
            </w:pPr>
          </w:p>
        </w:tc>
        <w:tc>
          <w:tcPr>
            <w:tcW w:w="1314" w:type="dxa"/>
          </w:tcPr>
          <w:p w14:paraId="1DFD3652">
            <w:pPr>
              <w:pStyle w:val="16"/>
              <w:rPr>
                <w:rFonts w:hAnsi="宋体"/>
                <w:color w:val="auto"/>
                <w:szCs w:val="21"/>
                <w:highlight w:val="none"/>
              </w:rPr>
            </w:pPr>
          </w:p>
        </w:tc>
      </w:tr>
      <w:tr w14:paraId="01B3D5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40448161">
            <w:pPr>
              <w:pStyle w:val="16"/>
              <w:rPr>
                <w:rFonts w:hAnsi="宋体"/>
                <w:color w:val="auto"/>
                <w:szCs w:val="21"/>
                <w:highlight w:val="none"/>
              </w:rPr>
            </w:pPr>
          </w:p>
        </w:tc>
        <w:tc>
          <w:tcPr>
            <w:tcW w:w="1391" w:type="dxa"/>
          </w:tcPr>
          <w:p w14:paraId="28DBCFED">
            <w:pPr>
              <w:pStyle w:val="16"/>
              <w:rPr>
                <w:rFonts w:hAnsi="宋体"/>
                <w:color w:val="auto"/>
                <w:szCs w:val="21"/>
                <w:highlight w:val="none"/>
              </w:rPr>
            </w:pPr>
          </w:p>
        </w:tc>
        <w:tc>
          <w:tcPr>
            <w:tcW w:w="2385" w:type="dxa"/>
          </w:tcPr>
          <w:p w14:paraId="7A0C4861">
            <w:pPr>
              <w:pStyle w:val="16"/>
              <w:rPr>
                <w:rFonts w:hAnsi="宋体"/>
                <w:color w:val="auto"/>
                <w:szCs w:val="21"/>
                <w:highlight w:val="none"/>
              </w:rPr>
            </w:pPr>
          </w:p>
        </w:tc>
        <w:tc>
          <w:tcPr>
            <w:tcW w:w="1589" w:type="dxa"/>
          </w:tcPr>
          <w:p w14:paraId="5DA333BD">
            <w:pPr>
              <w:pStyle w:val="16"/>
              <w:rPr>
                <w:rFonts w:hAnsi="宋体"/>
                <w:color w:val="auto"/>
                <w:szCs w:val="21"/>
                <w:highlight w:val="none"/>
              </w:rPr>
            </w:pPr>
          </w:p>
        </w:tc>
        <w:tc>
          <w:tcPr>
            <w:tcW w:w="1391" w:type="dxa"/>
          </w:tcPr>
          <w:p w14:paraId="312B1AA5">
            <w:pPr>
              <w:pStyle w:val="16"/>
              <w:rPr>
                <w:rFonts w:hAnsi="宋体"/>
                <w:color w:val="auto"/>
                <w:szCs w:val="21"/>
                <w:highlight w:val="none"/>
              </w:rPr>
            </w:pPr>
          </w:p>
        </w:tc>
        <w:tc>
          <w:tcPr>
            <w:tcW w:w="993" w:type="dxa"/>
          </w:tcPr>
          <w:p w14:paraId="1FF10560">
            <w:pPr>
              <w:pStyle w:val="16"/>
              <w:rPr>
                <w:rFonts w:hAnsi="宋体"/>
                <w:color w:val="auto"/>
                <w:szCs w:val="21"/>
                <w:highlight w:val="none"/>
              </w:rPr>
            </w:pPr>
          </w:p>
        </w:tc>
        <w:tc>
          <w:tcPr>
            <w:tcW w:w="1314" w:type="dxa"/>
          </w:tcPr>
          <w:p w14:paraId="16B03505">
            <w:pPr>
              <w:pStyle w:val="16"/>
              <w:rPr>
                <w:rFonts w:hAnsi="宋体"/>
                <w:color w:val="auto"/>
                <w:szCs w:val="21"/>
                <w:highlight w:val="none"/>
              </w:rPr>
            </w:pPr>
          </w:p>
        </w:tc>
      </w:tr>
      <w:tr w14:paraId="54F185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4209A044">
            <w:pPr>
              <w:pStyle w:val="16"/>
              <w:rPr>
                <w:rFonts w:hAnsi="宋体"/>
                <w:color w:val="auto"/>
                <w:szCs w:val="21"/>
                <w:highlight w:val="none"/>
              </w:rPr>
            </w:pPr>
          </w:p>
        </w:tc>
        <w:tc>
          <w:tcPr>
            <w:tcW w:w="1391" w:type="dxa"/>
          </w:tcPr>
          <w:p w14:paraId="7957C234">
            <w:pPr>
              <w:pStyle w:val="16"/>
              <w:rPr>
                <w:rFonts w:hAnsi="宋体"/>
                <w:color w:val="auto"/>
                <w:szCs w:val="21"/>
                <w:highlight w:val="none"/>
              </w:rPr>
            </w:pPr>
          </w:p>
        </w:tc>
        <w:tc>
          <w:tcPr>
            <w:tcW w:w="2385" w:type="dxa"/>
          </w:tcPr>
          <w:p w14:paraId="722D7A8E">
            <w:pPr>
              <w:pStyle w:val="16"/>
              <w:rPr>
                <w:rFonts w:hAnsi="宋体"/>
                <w:color w:val="auto"/>
                <w:szCs w:val="21"/>
                <w:highlight w:val="none"/>
              </w:rPr>
            </w:pPr>
          </w:p>
        </w:tc>
        <w:tc>
          <w:tcPr>
            <w:tcW w:w="1589" w:type="dxa"/>
          </w:tcPr>
          <w:p w14:paraId="19120F58">
            <w:pPr>
              <w:pStyle w:val="16"/>
              <w:rPr>
                <w:rFonts w:hAnsi="宋体"/>
                <w:color w:val="auto"/>
                <w:szCs w:val="21"/>
                <w:highlight w:val="none"/>
              </w:rPr>
            </w:pPr>
          </w:p>
        </w:tc>
        <w:tc>
          <w:tcPr>
            <w:tcW w:w="1391" w:type="dxa"/>
          </w:tcPr>
          <w:p w14:paraId="5132E1C2">
            <w:pPr>
              <w:pStyle w:val="16"/>
              <w:rPr>
                <w:rFonts w:hAnsi="宋体"/>
                <w:color w:val="auto"/>
                <w:szCs w:val="21"/>
                <w:highlight w:val="none"/>
              </w:rPr>
            </w:pPr>
          </w:p>
        </w:tc>
        <w:tc>
          <w:tcPr>
            <w:tcW w:w="993" w:type="dxa"/>
          </w:tcPr>
          <w:p w14:paraId="035C2F10">
            <w:pPr>
              <w:pStyle w:val="16"/>
              <w:rPr>
                <w:rFonts w:hAnsi="宋体"/>
                <w:color w:val="auto"/>
                <w:szCs w:val="21"/>
                <w:highlight w:val="none"/>
              </w:rPr>
            </w:pPr>
          </w:p>
        </w:tc>
        <w:tc>
          <w:tcPr>
            <w:tcW w:w="1314" w:type="dxa"/>
          </w:tcPr>
          <w:p w14:paraId="6D024652">
            <w:pPr>
              <w:pStyle w:val="16"/>
              <w:rPr>
                <w:rFonts w:hAnsi="宋体"/>
                <w:color w:val="auto"/>
                <w:szCs w:val="21"/>
                <w:highlight w:val="none"/>
              </w:rPr>
            </w:pPr>
          </w:p>
        </w:tc>
      </w:tr>
      <w:tr w14:paraId="6E44EC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29600859">
            <w:pPr>
              <w:pStyle w:val="16"/>
              <w:rPr>
                <w:rFonts w:hAnsi="宋体"/>
                <w:color w:val="auto"/>
                <w:szCs w:val="21"/>
                <w:highlight w:val="none"/>
              </w:rPr>
            </w:pPr>
          </w:p>
        </w:tc>
        <w:tc>
          <w:tcPr>
            <w:tcW w:w="1391" w:type="dxa"/>
          </w:tcPr>
          <w:p w14:paraId="3EF4706F">
            <w:pPr>
              <w:pStyle w:val="16"/>
              <w:rPr>
                <w:rFonts w:hAnsi="宋体"/>
                <w:color w:val="auto"/>
                <w:szCs w:val="21"/>
                <w:highlight w:val="none"/>
              </w:rPr>
            </w:pPr>
          </w:p>
        </w:tc>
        <w:tc>
          <w:tcPr>
            <w:tcW w:w="2385" w:type="dxa"/>
          </w:tcPr>
          <w:p w14:paraId="1FF67043">
            <w:pPr>
              <w:pStyle w:val="16"/>
              <w:rPr>
                <w:rFonts w:hAnsi="宋体"/>
                <w:color w:val="auto"/>
                <w:szCs w:val="21"/>
                <w:highlight w:val="none"/>
              </w:rPr>
            </w:pPr>
          </w:p>
        </w:tc>
        <w:tc>
          <w:tcPr>
            <w:tcW w:w="1589" w:type="dxa"/>
          </w:tcPr>
          <w:p w14:paraId="4F9FD403">
            <w:pPr>
              <w:pStyle w:val="16"/>
              <w:rPr>
                <w:rFonts w:hAnsi="宋体"/>
                <w:color w:val="auto"/>
                <w:szCs w:val="21"/>
                <w:highlight w:val="none"/>
              </w:rPr>
            </w:pPr>
          </w:p>
        </w:tc>
        <w:tc>
          <w:tcPr>
            <w:tcW w:w="1391" w:type="dxa"/>
          </w:tcPr>
          <w:p w14:paraId="61343842">
            <w:pPr>
              <w:pStyle w:val="16"/>
              <w:rPr>
                <w:rFonts w:hAnsi="宋体"/>
                <w:color w:val="auto"/>
                <w:szCs w:val="21"/>
                <w:highlight w:val="none"/>
              </w:rPr>
            </w:pPr>
          </w:p>
        </w:tc>
        <w:tc>
          <w:tcPr>
            <w:tcW w:w="993" w:type="dxa"/>
          </w:tcPr>
          <w:p w14:paraId="01A2841E">
            <w:pPr>
              <w:pStyle w:val="16"/>
              <w:rPr>
                <w:rFonts w:hAnsi="宋体"/>
                <w:color w:val="auto"/>
                <w:szCs w:val="21"/>
                <w:highlight w:val="none"/>
              </w:rPr>
            </w:pPr>
          </w:p>
        </w:tc>
        <w:tc>
          <w:tcPr>
            <w:tcW w:w="1314" w:type="dxa"/>
          </w:tcPr>
          <w:p w14:paraId="3374117C">
            <w:pPr>
              <w:pStyle w:val="16"/>
              <w:rPr>
                <w:rFonts w:hAnsi="宋体"/>
                <w:color w:val="auto"/>
                <w:szCs w:val="21"/>
                <w:highlight w:val="none"/>
              </w:rPr>
            </w:pPr>
          </w:p>
        </w:tc>
      </w:tr>
      <w:tr w14:paraId="4A57D8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5A32F62B">
            <w:pPr>
              <w:pStyle w:val="16"/>
              <w:rPr>
                <w:rFonts w:hAnsi="宋体"/>
                <w:color w:val="auto"/>
                <w:szCs w:val="21"/>
                <w:highlight w:val="none"/>
              </w:rPr>
            </w:pPr>
          </w:p>
        </w:tc>
        <w:tc>
          <w:tcPr>
            <w:tcW w:w="1391" w:type="dxa"/>
          </w:tcPr>
          <w:p w14:paraId="3C2D2ECD">
            <w:pPr>
              <w:pStyle w:val="16"/>
              <w:rPr>
                <w:rFonts w:hAnsi="宋体"/>
                <w:color w:val="auto"/>
                <w:szCs w:val="21"/>
                <w:highlight w:val="none"/>
              </w:rPr>
            </w:pPr>
          </w:p>
        </w:tc>
        <w:tc>
          <w:tcPr>
            <w:tcW w:w="2385" w:type="dxa"/>
          </w:tcPr>
          <w:p w14:paraId="5E948C3E">
            <w:pPr>
              <w:pStyle w:val="16"/>
              <w:rPr>
                <w:rFonts w:hAnsi="宋体"/>
                <w:color w:val="auto"/>
                <w:szCs w:val="21"/>
                <w:highlight w:val="none"/>
              </w:rPr>
            </w:pPr>
          </w:p>
        </w:tc>
        <w:tc>
          <w:tcPr>
            <w:tcW w:w="1589" w:type="dxa"/>
          </w:tcPr>
          <w:p w14:paraId="6DEC1DC8">
            <w:pPr>
              <w:pStyle w:val="16"/>
              <w:rPr>
                <w:rFonts w:hAnsi="宋体"/>
                <w:color w:val="auto"/>
                <w:szCs w:val="21"/>
                <w:highlight w:val="none"/>
              </w:rPr>
            </w:pPr>
          </w:p>
        </w:tc>
        <w:tc>
          <w:tcPr>
            <w:tcW w:w="1391" w:type="dxa"/>
          </w:tcPr>
          <w:p w14:paraId="6DCED9E6">
            <w:pPr>
              <w:pStyle w:val="16"/>
              <w:rPr>
                <w:rFonts w:hAnsi="宋体"/>
                <w:color w:val="auto"/>
                <w:szCs w:val="21"/>
                <w:highlight w:val="none"/>
              </w:rPr>
            </w:pPr>
          </w:p>
        </w:tc>
        <w:tc>
          <w:tcPr>
            <w:tcW w:w="993" w:type="dxa"/>
          </w:tcPr>
          <w:p w14:paraId="7D08A728">
            <w:pPr>
              <w:pStyle w:val="16"/>
              <w:rPr>
                <w:rFonts w:hAnsi="宋体"/>
                <w:color w:val="auto"/>
                <w:szCs w:val="21"/>
                <w:highlight w:val="none"/>
              </w:rPr>
            </w:pPr>
          </w:p>
        </w:tc>
        <w:tc>
          <w:tcPr>
            <w:tcW w:w="1314" w:type="dxa"/>
          </w:tcPr>
          <w:p w14:paraId="3C5D0997">
            <w:pPr>
              <w:pStyle w:val="16"/>
              <w:rPr>
                <w:rFonts w:hAnsi="宋体"/>
                <w:color w:val="auto"/>
                <w:szCs w:val="21"/>
                <w:highlight w:val="none"/>
              </w:rPr>
            </w:pPr>
          </w:p>
        </w:tc>
      </w:tr>
      <w:tr w14:paraId="7C8B43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14" w:type="dxa"/>
          </w:tcPr>
          <w:p w14:paraId="5087F42A">
            <w:pPr>
              <w:pStyle w:val="16"/>
              <w:rPr>
                <w:rFonts w:hAnsi="宋体"/>
                <w:color w:val="auto"/>
                <w:szCs w:val="21"/>
                <w:highlight w:val="none"/>
              </w:rPr>
            </w:pPr>
          </w:p>
        </w:tc>
        <w:tc>
          <w:tcPr>
            <w:tcW w:w="1391" w:type="dxa"/>
          </w:tcPr>
          <w:p w14:paraId="5757ACA6">
            <w:pPr>
              <w:pStyle w:val="16"/>
              <w:rPr>
                <w:rFonts w:hAnsi="宋体"/>
                <w:color w:val="auto"/>
                <w:szCs w:val="21"/>
                <w:highlight w:val="none"/>
              </w:rPr>
            </w:pPr>
          </w:p>
        </w:tc>
        <w:tc>
          <w:tcPr>
            <w:tcW w:w="2385" w:type="dxa"/>
          </w:tcPr>
          <w:p w14:paraId="2E0CF4DD">
            <w:pPr>
              <w:pStyle w:val="16"/>
              <w:rPr>
                <w:rFonts w:hAnsi="宋体"/>
                <w:color w:val="auto"/>
                <w:szCs w:val="21"/>
                <w:highlight w:val="none"/>
              </w:rPr>
            </w:pPr>
          </w:p>
        </w:tc>
        <w:tc>
          <w:tcPr>
            <w:tcW w:w="1589" w:type="dxa"/>
          </w:tcPr>
          <w:p w14:paraId="42BB12FE">
            <w:pPr>
              <w:pStyle w:val="16"/>
              <w:rPr>
                <w:rFonts w:hAnsi="宋体"/>
                <w:color w:val="auto"/>
                <w:szCs w:val="21"/>
                <w:highlight w:val="none"/>
              </w:rPr>
            </w:pPr>
          </w:p>
        </w:tc>
        <w:tc>
          <w:tcPr>
            <w:tcW w:w="1391" w:type="dxa"/>
          </w:tcPr>
          <w:p w14:paraId="4B7A8930">
            <w:pPr>
              <w:pStyle w:val="16"/>
              <w:rPr>
                <w:rFonts w:hAnsi="宋体"/>
                <w:color w:val="auto"/>
                <w:szCs w:val="21"/>
                <w:highlight w:val="none"/>
              </w:rPr>
            </w:pPr>
          </w:p>
        </w:tc>
        <w:tc>
          <w:tcPr>
            <w:tcW w:w="993" w:type="dxa"/>
          </w:tcPr>
          <w:p w14:paraId="25408A32">
            <w:pPr>
              <w:pStyle w:val="16"/>
              <w:rPr>
                <w:rFonts w:hAnsi="宋体"/>
                <w:color w:val="auto"/>
                <w:szCs w:val="21"/>
                <w:highlight w:val="none"/>
              </w:rPr>
            </w:pPr>
          </w:p>
        </w:tc>
        <w:tc>
          <w:tcPr>
            <w:tcW w:w="1314" w:type="dxa"/>
          </w:tcPr>
          <w:p w14:paraId="72A9D19E">
            <w:pPr>
              <w:pStyle w:val="16"/>
              <w:rPr>
                <w:rFonts w:hAnsi="宋体"/>
                <w:color w:val="auto"/>
                <w:szCs w:val="21"/>
                <w:highlight w:val="none"/>
              </w:rPr>
            </w:pPr>
          </w:p>
        </w:tc>
      </w:tr>
      <w:tr w14:paraId="375AA5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56DF8AEB">
            <w:pPr>
              <w:pStyle w:val="16"/>
              <w:rPr>
                <w:rFonts w:hAnsi="宋体"/>
                <w:color w:val="auto"/>
                <w:szCs w:val="21"/>
                <w:highlight w:val="none"/>
              </w:rPr>
            </w:pPr>
          </w:p>
        </w:tc>
        <w:tc>
          <w:tcPr>
            <w:tcW w:w="1391" w:type="dxa"/>
          </w:tcPr>
          <w:p w14:paraId="40B706EF">
            <w:pPr>
              <w:pStyle w:val="16"/>
              <w:rPr>
                <w:rFonts w:hAnsi="宋体"/>
                <w:color w:val="auto"/>
                <w:szCs w:val="21"/>
                <w:highlight w:val="none"/>
              </w:rPr>
            </w:pPr>
          </w:p>
        </w:tc>
        <w:tc>
          <w:tcPr>
            <w:tcW w:w="2385" w:type="dxa"/>
          </w:tcPr>
          <w:p w14:paraId="163615BD">
            <w:pPr>
              <w:pStyle w:val="16"/>
              <w:rPr>
                <w:rFonts w:hAnsi="宋体"/>
                <w:color w:val="auto"/>
                <w:szCs w:val="21"/>
                <w:highlight w:val="none"/>
              </w:rPr>
            </w:pPr>
          </w:p>
        </w:tc>
        <w:tc>
          <w:tcPr>
            <w:tcW w:w="1589" w:type="dxa"/>
          </w:tcPr>
          <w:p w14:paraId="536A0D6E">
            <w:pPr>
              <w:pStyle w:val="16"/>
              <w:rPr>
                <w:rFonts w:hAnsi="宋体"/>
                <w:color w:val="auto"/>
                <w:szCs w:val="21"/>
                <w:highlight w:val="none"/>
              </w:rPr>
            </w:pPr>
          </w:p>
        </w:tc>
        <w:tc>
          <w:tcPr>
            <w:tcW w:w="1391" w:type="dxa"/>
          </w:tcPr>
          <w:p w14:paraId="35BD4ECD">
            <w:pPr>
              <w:pStyle w:val="16"/>
              <w:rPr>
                <w:rFonts w:hAnsi="宋体"/>
                <w:color w:val="auto"/>
                <w:szCs w:val="21"/>
                <w:highlight w:val="none"/>
              </w:rPr>
            </w:pPr>
          </w:p>
        </w:tc>
        <w:tc>
          <w:tcPr>
            <w:tcW w:w="993" w:type="dxa"/>
          </w:tcPr>
          <w:p w14:paraId="3C358F2E">
            <w:pPr>
              <w:pStyle w:val="16"/>
              <w:rPr>
                <w:rFonts w:hAnsi="宋体"/>
                <w:color w:val="auto"/>
                <w:szCs w:val="21"/>
                <w:highlight w:val="none"/>
              </w:rPr>
            </w:pPr>
          </w:p>
        </w:tc>
        <w:tc>
          <w:tcPr>
            <w:tcW w:w="1314" w:type="dxa"/>
          </w:tcPr>
          <w:p w14:paraId="240755D1">
            <w:pPr>
              <w:pStyle w:val="16"/>
              <w:rPr>
                <w:rFonts w:hAnsi="宋体"/>
                <w:color w:val="auto"/>
                <w:szCs w:val="21"/>
                <w:highlight w:val="none"/>
              </w:rPr>
            </w:pPr>
          </w:p>
        </w:tc>
      </w:tr>
      <w:tr w14:paraId="53BF85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14" w:type="dxa"/>
          </w:tcPr>
          <w:p w14:paraId="4D49E57E">
            <w:pPr>
              <w:pStyle w:val="16"/>
              <w:rPr>
                <w:rFonts w:hAnsi="宋体"/>
                <w:color w:val="auto"/>
                <w:szCs w:val="21"/>
                <w:highlight w:val="none"/>
              </w:rPr>
            </w:pPr>
          </w:p>
        </w:tc>
        <w:tc>
          <w:tcPr>
            <w:tcW w:w="1391" w:type="dxa"/>
          </w:tcPr>
          <w:p w14:paraId="32EF9AF2">
            <w:pPr>
              <w:pStyle w:val="16"/>
              <w:rPr>
                <w:rFonts w:hAnsi="宋体"/>
                <w:color w:val="auto"/>
                <w:szCs w:val="21"/>
                <w:highlight w:val="none"/>
              </w:rPr>
            </w:pPr>
          </w:p>
        </w:tc>
        <w:tc>
          <w:tcPr>
            <w:tcW w:w="2385" w:type="dxa"/>
          </w:tcPr>
          <w:p w14:paraId="75125AC4">
            <w:pPr>
              <w:pStyle w:val="16"/>
              <w:rPr>
                <w:rFonts w:hAnsi="宋体"/>
                <w:color w:val="auto"/>
                <w:szCs w:val="21"/>
                <w:highlight w:val="none"/>
              </w:rPr>
            </w:pPr>
          </w:p>
        </w:tc>
        <w:tc>
          <w:tcPr>
            <w:tcW w:w="1589" w:type="dxa"/>
          </w:tcPr>
          <w:p w14:paraId="16159CF0">
            <w:pPr>
              <w:pStyle w:val="16"/>
              <w:rPr>
                <w:rFonts w:hAnsi="宋体"/>
                <w:color w:val="auto"/>
                <w:szCs w:val="21"/>
                <w:highlight w:val="none"/>
              </w:rPr>
            </w:pPr>
          </w:p>
        </w:tc>
        <w:tc>
          <w:tcPr>
            <w:tcW w:w="1391" w:type="dxa"/>
          </w:tcPr>
          <w:p w14:paraId="4271B05E">
            <w:pPr>
              <w:pStyle w:val="16"/>
              <w:rPr>
                <w:rFonts w:hAnsi="宋体"/>
                <w:color w:val="auto"/>
                <w:szCs w:val="21"/>
                <w:highlight w:val="none"/>
              </w:rPr>
            </w:pPr>
          </w:p>
        </w:tc>
        <w:tc>
          <w:tcPr>
            <w:tcW w:w="993" w:type="dxa"/>
          </w:tcPr>
          <w:p w14:paraId="6DC2E988">
            <w:pPr>
              <w:pStyle w:val="16"/>
              <w:rPr>
                <w:rFonts w:hAnsi="宋体"/>
                <w:color w:val="auto"/>
                <w:szCs w:val="21"/>
                <w:highlight w:val="none"/>
              </w:rPr>
            </w:pPr>
          </w:p>
        </w:tc>
        <w:tc>
          <w:tcPr>
            <w:tcW w:w="1314" w:type="dxa"/>
          </w:tcPr>
          <w:p w14:paraId="2E39998E">
            <w:pPr>
              <w:pStyle w:val="16"/>
              <w:rPr>
                <w:rFonts w:hAnsi="宋体"/>
                <w:color w:val="auto"/>
                <w:szCs w:val="21"/>
                <w:highlight w:val="none"/>
              </w:rPr>
            </w:pPr>
          </w:p>
        </w:tc>
      </w:tr>
      <w:tr w14:paraId="299F6A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6DE71431">
            <w:pPr>
              <w:pStyle w:val="16"/>
              <w:rPr>
                <w:rFonts w:hAnsi="宋体"/>
                <w:color w:val="auto"/>
                <w:szCs w:val="21"/>
                <w:highlight w:val="none"/>
              </w:rPr>
            </w:pPr>
          </w:p>
        </w:tc>
        <w:tc>
          <w:tcPr>
            <w:tcW w:w="1391" w:type="dxa"/>
          </w:tcPr>
          <w:p w14:paraId="264BC8B2">
            <w:pPr>
              <w:pStyle w:val="16"/>
              <w:rPr>
                <w:rFonts w:hAnsi="宋体"/>
                <w:color w:val="auto"/>
                <w:szCs w:val="21"/>
                <w:highlight w:val="none"/>
              </w:rPr>
            </w:pPr>
          </w:p>
        </w:tc>
        <w:tc>
          <w:tcPr>
            <w:tcW w:w="2385" w:type="dxa"/>
          </w:tcPr>
          <w:p w14:paraId="6A10007E">
            <w:pPr>
              <w:pStyle w:val="16"/>
              <w:rPr>
                <w:rFonts w:hAnsi="宋体"/>
                <w:color w:val="auto"/>
                <w:szCs w:val="21"/>
                <w:highlight w:val="none"/>
              </w:rPr>
            </w:pPr>
          </w:p>
        </w:tc>
        <w:tc>
          <w:tcPr>
            <w:tcW w:w="1589" w:type="dxa"/>
          </w:tcPr>
          <w:p w14:paraId="74563C47">
            <w:pPr>
              <w:pStyle w:val="16"/>
              <w:rPr>
                <w:rFonts w:hAnsi="宋体"/>
                <w:color w:val="auto"/>
                <w:szCs w:val="21"/>
                <w:highlight w:val="none"/>
              </w:rPr>
            </w:pPr>
          </w:p>
        </w:tc>
        <w:tc>
          <w:tcPr>
            <w:tcW w:w="1391" w:type="dxa"/>
          </w:tcPr>
          <w:p w14:paraId="2CB7EA3C">
            <w:pPr>
              <w:pStyle w:val="16"/>
              <w:rPr>
                <w:rFonts w:hAnsi="宋体"/>
                <w:color w:val="auto"/>
                <w:szCs w:val="21"/>
                <w:highlight w:val="none"/>
              </w:rPr>
            </w:pPr>
          </w:p>
        </w:tc>
        <w:tc>
          <w:tcPr>
            <w:tcW w:w="993" w:type="dxa"/>
          </w:tcPr>
          <w:p w14:paraId="50DF1C41">
            <w:pPr>
              <w:pStyle w:val="16"/>
              <w:rPr>
                <w:rFonts w:hAnsi="宋体"/>
                <w:color w:val="auto"/>
                <w:szCs w:val="21"/>
                <w:highlight w:val="none"/>
              </w:rPr>
            </w:pPr>
          </w:p>
        </w:tc>
        <w:tc>
          <w:tcPr>
            <w:tcW w:w="1314" w:type="dxa"/>
          </w:tcPr>
          <w:p w14:paraId="7C792E2A">
            <w:pPr>
              <w:pStyle w:val="16"/>
              <w:rPr>
                <w:rFonts w:hAnsi="宋体"/>
                <w:color w:val="auto"/>
                <w:szCs w:val="21"/>
                <w:highlight w:val="none"/>
              </w:rPr>
            </w:pPr>
          </w:p>
        </w:tc>
      </w:tr>
      <w:tr w14:paraId="06DDD0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14" w:type="dxa"/>
          </w:tcPr>
          <w:p w14:paraId="75CAD268">
            <w:pPr>
              <w:pStyle w:val="16"/>
              <w:rPr>
                <w:rFonts w:hAnsi="宋体"/>
                <w:color w:val="auto"/>
                <w:szCs w:val="21"/>
                <w:highlight w:val="none"/>
              </w:rPr>
            </w:pPr>
          </w:p>
        </w:tc>
        <w:tc>
          <w:tcPr>
            <w:tcW w:w="1391" w:type="dxa"/>
          </w:tcPr>
          <w:p w14:paraId="38CFC6D7">
            <w:pPr>
              <w:pStyle w:val="16"/>
              <w:rPr>
                <w:rFonts w:hAnsi="宋体"/>
                <w:color w:val="auto"/>
                <w:szCs w:val="21"/>
                <w:highlight w:val="none"/>
              </w:rPr>
            </w:pPr>
          </w:p>
        </w:tc>
        <w:tc>
          <w:tcPr>
            <w:tcW w:w="2385" w:type="dxa"/>
          </w:tcPr>
          <w:p w14:paraId="23131739">
            <w:pPr>
              <w:pStyle w:val="16"/>
              <w:rPr>
                <w:rFonts w:hAnsi="宋体"/>
                <w:color w:val="auto"/>
                <w:szCs w:val="21"/>
                <w:highlight w:val="none"/>
              </w:rPr>
            </w:pPr>
          </w:p>
        </w:tc>
        <w:tc>
          <w:tcPr>
            <w:tcW w:w="1589" w:type="dxa"/>
          </w:tcPr>
          <w:p w14:paraId="60F0EA20">
            <w:pPr>
              <w:pStyle w:val="16"/>
              <w:rPr>
                <w:rFonts w:hAnsi="宋体"/>
                <w:color w:val="auto"/>
                <w:szCs w:val="21"/>
                <w:highlight w:val="none"/>
              </w:rPr>
            </w:pPr>
          </w:p>
        </w:tc>
        <w:tc>
          <w:tcPr>
            <w:tcW w:w="1391" w:type="dxa"/>
          </w:tcPr>
          <w:p w14:paraId="4AC78D45">
            <w:pPr>
              <w:pStyle w:val="16"/>
              <w:rPr>
                <w:rFonts w:hAnsi="宋体"/>
                <w:color w:val="auto"/>
                <w:szCs w:val="21"/>
                <w:highlight w:val="none"/>
              </w:rPr>
            </w:pPr>
          </w:p>
        </w:tc>
        <w:tc>
          <w:tcPr>
            <w:tcW w:w="993" w:type="dxa"/>
          </w:tcPr>
          <w:p w14:paraId="0AF8FCBE">
            <w:pPr>
              <w:pStyle w:val="16"/>
              <w:rPr>
                <w:rFonts w:hAnsi="宋体"/>
                <w:color w:val="auto"/>
                <w:szCs w:val="21"/>
                <w:highlight w:val="none"/>
              </w:rPr>
            </w:pPr>
          </w:p>
        </w:tc>
        <w:tc>
          <w:tcPr>
            <w:tcW w:w="1314" w:type="dxa"/>
          </w:tcPr>
          <w:p w14:paraId="2913281D">
            <w:pPr>
              <w:pStyle w:val="16"/>
              <w:rPr>
                <w:rFonts w:hAnsi="宋体"/>
                <w:color w:val="auto"/>
                <w:szCs w:val="21"/>
                <w:highlight w:val="none"/>
              </w:rPr>
            </w:pPr>
          </w:p>
        </w:tc>
      </w:tr>
      <w:tr w14:paraId="1B726F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09B40004">
            <w:pPr>
              <w:pStyle w:val="16"/>
              <w:rPr>
                <w:rFonts w:hAnsi="宋体"/>
                <w:color w:val="auto"/>
                <w:szCs w:val="21"/>
                <w:highlight w:val="none"/>
              </w:rPr>
            </w:pPr>
          </w:p>
        </w:tc>
        <w:tc>
          <w:tcPr>
            <w:tcW w:w="1391" w:type="dxa"/>
          </w:tcPr>
          <w:p w14:paraId="7C46782D">
            <w:pPr>
              <w:pStyle w:val="16"/>
              <w:rPr>
                <w:rFonts w:hAnsi="宋体"/>
                <w:color w:val="auto"/>
                <w:szCs w:val="21"/>
                <w:highlight w:val="none"/>
              </w:rPr>
            </w:pPr>
          </w:p>
        </w:tc>
        <w:tc>
          <w:tcPr>
            <w:tcW w:w="2385" w:type="dxa"/>
          </w:tcPr>
          <w:p w14:paraId="111AD378">
            <w:pPr>
              <w:pStyle w:val="16"/>
              <w:rPr>
                <w:rFonts w:hAnsi="宋体"/>
                <w:color w:val="auto"/>
                <w:szCs w:val="21"/>
                <w:highlight w:val="none"/>
              </w:rPr>
            </w:pPr>
          </w:p>
        </w:tc>
        <w:tc>
          <w:tcPr>
            <w:tcW w:w="1589" w:type="dxa"/>
          </w:tcPr>
          <w:p w14:paraId="31BE4EBA">
            <w:pPr>
              <w:pStyle w:val="16"/>
              <w:rPr>
                <w:rFonts w:hAnsi="宋体"/>
                <w:color w:val="auto"/>
                <w:szCs w:val="21"/>
                <w:highlight w:val="none"/>
              </w:rPr>
            </w:pPr>
          </w:p>
        </w:tc>
        <w:tc>
          <w:tcPr>
            <w:tcW w:w="1391" w:type="dxa"/>
          </w:tcPr>
          <w:p w14:paraId="06EC2ACA">
            <w:pPr>
              <w:pStyle w:val="16"/>
              <w:rPr>
                <w:rFonts w:hAnsi="宋体"/>
                <w:color w:val="auto"/>
                <w:szCs w:val="21"/>
                <w:highlight w:val="none"/>
              </w:rPr>
            </w:pPr>
          </w:p>
        </w:tc>
        <w:tc>
          <w:tcPr>
            <w:tcW w:w="993" w:type="dxa"/>
          </w:tcPr>
          <w:p w14:paraId="3862E331">
            <w:pPr>
              <w:pStyle w:val="16"/>
              <w:rPr>
                <w:rFonts w:hAnsi="宋体"/>
                <w:color w:val="auto"/>
                <w:szCs w:val="21"/>
                <w:highlight w:val="none"/>
              </w:rPr>
            </w:pPr>
          </w:p>
        </w:tc>
        <w:tc>
          <w:tcPr>
            <w:tcW w:w="1314" w:type="dxa"/>
          </w:tcPr>
          <w:p w14:paraId="395D38EF">
            <w:pPr>
              <w:pStyle w:val="16"/>
              <w:rPr>
                <w:rFonts w:hAnsi="宋体"/>
                <w:color w:val="auto"/>
                <w:szCs w:val="21"/>
                <w:highlight w:val="none"/>
              </w:rPr>
            </w:pPr>
          </w:p>
        </w:tc>
      </w:tr>
      <w:tr w14:paraId="79B89C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1" w:hRule="atLeast"/>
          <w:jc w:val="center"/>
        </w:trPr>
        <w:tc>
          <w:tcPr>
            <w:tcW w:w="914" w:type="dxa"/>
          </w:tcPr>
          <w:p w14:paraId="3EE1EFA0">
            <w:pPr>
              <w:pStyle w:val="16"/>
              <w:rPr>
                <w:rFonts w:hAnsi="宋体"/>
                <w:color w:val="auto"/>
                <w:szCs w:val="21"/>
                <w:highlight w:val="none"/>
              </w:rPr>
            </w:pPr>
          </w:p>
        </w:tc>
        <w:tc>
          <w:tcPr>
            <w:tcW w:w="1391" w:type="dxa"/>
          </w:tcPr>
          <w:p w14:paraId="0DEDB375">
            <w:pPr>
              <w:pStyle w:val="16"/>
              <w:rPr>
                <w:rFonts w:hAnsi="宋体"/>
                <w:color w:val="auto"/>
                <w:szCs w:val="21"/>
                <w:highlight w:val="none"/>
              </w:rPr>
            </w:pPr>
          </w:p>
        </w:tc>
        <w:tc>
          <w:tcPr>
            <w:tcW w:w="2385" w:type="dxa"/>
          </w:tcPr>
          <w:p w14:paraId="0091417A">
            <w:pPr>
              <w:pStyle w:val="16"/>
              <w:rPr>
                <w:rFonts w:hAnsi="宋体"/>
                <w:color w:val="auto"/>
                <w:szCs w:val="21"/>
                <w:highlight w:val="none"/>
              </w:rPr>
            </w:pPr>
          </w:p>
        </w:tc>
        <w:tc>
          <w:tcPr>
            <w:tcW w:w="1589" w:type="dxa"/>
          </w:tcPr>
          <w:p w14:paraId="3315FF63">
            <w:pPr>
              <w:pStyle w:val="16"/>
              <w:rPr>
                <w:rFonts w:hAnsi="宋体"/>
                <w:color w:val="auto"/>
                <w:szCs w:val="21"/>
                <w:highlight w:val="none"/>
              </w:rPr>
            </w:pPr>
          </w:p>
        </w:tc>
        <w:tc>
          <w:tcPr>
            <w:tcW w:w="1391" w:type="dxa"/>
          </w:tcPr>
          <w:p w14:paraId="1D1F4052">
            <w:pPr>
              <w:pStyle w:val="16"/>
              <w:rPr>
                <w:rFonts w:hAnsi="宋体"/>
                <w:color w:val="auto"/>
                <w:szCs w:val="21"/>
                <w:highlight w:val="none"/>
              </w:rPr>
            </w:pPr>
          </w:p>
        </w:tc>
        <w:tc>
          <w:tcPr>
            <w:tcW w:w="993" w:type="dxa"/>
          </w:tcPr>
          <w:p w14:paraId="1707CC8C">
            <w:pPr>
              <w:pStyle w:val="16"/>
              <w:rPr>
                <w:rFonts w:hAnsi="宋体"/>
                <w:color w:val="auto"/>
                <w:szCs w:val="21"/>
                <w:highlight w:val="none"/>
              </w:rPr>
            </w:pPr>
          </w:p>
        </w:tc>
        <w:tc>
          <w:tcPr>
            <w:tcW w:w="1314" w:type="dxa"/>
          </w:tcPr>
          <w:p w14:paraId="10060F19">
            <w:pPr>
              <w:pStyle w:val="16"/>
              <w:rPr>
                <w:rFonts w:hAnsi="宋体"/>
                <w:color w:val="auto"/>
                <w:szCs w:val="21"/>
                <w:highlight w:val="none"/>
              </w:rPr>
            </w:pPr>
          </w:p>
        </w:tc>
      </w:tr>
    </w:tbl>
    <w:p w14:paraId="40504100">
      <w:pPr>
        <w:pStyle w:val="16"/>
        <w:rPr>
          <w:rFonts w:hAnsi="宋体"/>
          <w:color w:val="auto"/>
          <w:szCs w:val="21"/>
          <w:highlight w:val="none"/>
        </w:rPr>
      </w:pPr>
    </w:p>
    <w:p w14:paraId="2FD2DFA7">
      <w:pPr>
        <w:pStyle w:val="16"/>
        <w:rPr>
          <w:rFonts w:hAnsi="宋体"/>
          <w:color w:val="auto"/>
          <w:szCs w:val="21"/>
          <w:highlight w:val="none"/>
        </w:rPr>
      </w:pPr>
    </w:p>
    <w:p w14:paraId="648D12C3">
      <w:pPr>
        <w:pStyle w:val="16"/>
        <w:spacing w:line="360" w:lineRule="auto"/>
        <w:jc w:val="left"/>
        <w:rPr>
          <w:rFonts w:hAnsi="宋体"/>
          <w:color w:val="auto"/>
          <w:szCs w:val="21"/>
          <w:highlight w:val="none"/>
        </w:rPr>
      </w:pPr>
      <w:r>
        <w:rPr>
          <w:rFonts w:hint="eastAsia" w:hAnsi="宋体"/>
          <w:color w:val="auto"/>
          <w:szCs w:val="21"/>
          <w:highlight w:val="none"/>
        </w:rPr>
        <w:t>应邀谈判人</w:t>
      </w:r>
      <w:r>
        <w:rPr>
          <w:rFonts w:hint="eastAsia" w:hAnsi="宋体"/>
          <w:color w:val="auto"/>
          <w:szCs w:val="21"/>
          <w:highlight w:val="none"/>
          <w:lang w:eastAsia="zh-CN"/>
        </w:rPr>
        <w:t>授权</w:t>
      </w:r>
      <w:r>
        <w:rPr>
          <w:rFonts w:hint="eastAsia" w:hAnsi="宋体"/>
          <w:color w:val="auto"/>
          <w:szCs w:val="21"/>
          <w:highlight w:val="none"/>
        </w:rPr>
        <w:t>代表</w:t>
      </w:r>
      <w:r>
        <w:rPr>
          <w:rFonts w:hint="eastAsia" w:hAnsi="宋体"/>
          <w:color w:val="auto"/>
          <w:szCs w:val="21"/>
          <w:highlight w:val="none"/>
          <w:lang w:eastAsia="zh-CN"/>
        </w:rPr>
        <w:t>人</w:t>
      </w:r>
      <w:r>
        <w:rPr>
          <w:rFonts w:hint="eastAsia" w:hAnsi="宋体"/>
          <w:color w:val="auto"/>
          <w:szCs w:val="21"/>
          <w:highlight w:val="none"/>
        </w:rPr>
        <w:t>签字：____________________</w:t>
      </w:r>
    </w:p>
    <w:p w14:paraId="4A6A8E03">
      <w:pPr>
        <w:spacing w:line="360" w:lineRule="auto"/>
        <w:jc w:val="left"/>
        <w:outlineLvl w:val="1"/>
        <w:rPr>
          <w:rFonts w:hint="default" w:hAnsi="宋体" w:eastAsia="宋体"/>
          <w:color w:val="auto"/>
          <w:szCs w:val="21"/>
          <w:highlight w:val="none"/>
          <w:u w:val="single"/>
          <w:lang w:val="en-US" w:eastAsia="zh-CN"/>
        </w:rPr>
      </w:pPr>
      <w:r>
        <w:rPr>
          <w:rFonts w:hint="eastAsia" w:hAnsi="宋体"/>
          <w:color w:val="auto"/>
          <w:szCs w:val="21"/>
          <w:highlight w:val="none"/>
        </w:rPr>
        <w:t>应邀谈判人(盖章):</w:t>
      </w:r>
      <w:r>
        <w:rPr>
          <w:rFonts w:hAnsi="宋体"/>
          <w:color w:val="auto"/>
          <w:szCs w:val="21"/>
          <w:highlight w:val="none"/>
          <w:u w:val="single"/>
        </w:rPr>
        <w:tab/>
      </w:r>
      <w:r>
        <w:rPr>
          <w:rFonts w:hint="eastAsia" w:hAnsi="宋体"/>
          <w:color w:val="auto"/>
          <w:szCs w:val="21"/>
          <w:highlight w:val="none"/>
          <w:u w:val="single"/>
          <w:lang w:val="en-US" w:eastAsia="zh-CN"/>
        </w:rPr>
        <w:t xml:space="preserve">                              </w:t>
      </w:r>
    </w:p>
    <w:p w14:paraId="34B473C5">
      <w:pPr>
        <w:rPr>
          <w:rFonts w:hint="eastAsia"/>
          <w:color w:val="auto"/>
          <w:highlight w:val="none"/>
        </w:rPr>
      </w:pPr>
    </w:p>
    <w:p w14:paraId="729064A0">
      <w:pPr>
        <w:pStyle w:val="16"/>
        <w:ind w:firstLine="2731" w:firstLineChars="850"/>
        <w:rPr>
          <w:rFonts w:hint="eastAsia" w:hAnsi="宋体"/>
          <w:b/>
          <w:bCs/>
          <w:color w:val="auto"/>
          <w:sz w:val="32"/>
          <w:szCs w:val="32"/>
          <w:highlight w:val="none"/>
        </w:rPr>
      </w:pPr>
    </w:p>
    <w:p w14:paraId="0148F5BF">
      <w:pPr>
        <w:rPr>
          <w:rFonts w:hint="eastAsia" w:hAnsi="宋体"/>
          <w:b/>
          <w:bCs/>
          <w:color w:val="auto"/>
          <w:sz w:val="32"/>
          <w:szCs w:val="32"/>
          <w:highlight w:val="none"/>
          <w:lang w:val="en-US" w:eastAsia="zh-CN"/>
        </w:rPr>
      </w:pPr>
      <w:r>
        <w:rPr>
          <w:rFonts w:hint="eastAsia" w:hAnsi="宋体"/>
          <w:b/>
          <w:bCs/>
          <w:color w:val="auto"/>
          <w:sz w:val="32"/>
          <w:szCs w:val="32"/>
          <w:highlight w:val="none"/>
          <w:lang w:val="en-US" w:eastAsia="zh-CN"/>
        </w:rPr>
        <w:br w:type="page"/>
      </w:r>
    </w:p>
    <w:p w14:paraId="662E3D76">
      <w:pPr>
        <w:shd w:val="clear" w:color="auto" w:fill="auto"/>
        <w:spacing w:line="400" w:lineRule="exact"/>
        <w:jc w:val="center"/>
        <w:rPr>
          <w:rFonts w:hint="eastAsia" w:hAnsi="宋体"/>
          <w:b/>
          <w:bCs/>
          <w:color w:val="auto"/>
          <w:sz w:val="32"/>
          <w:szCs w:val="32"/>
          <w:highlight w:val="none"/>
          <w:lang w:val="en-US" w:eastAsia="zh-CN"/>
        </w:rPr>
      </w:pPr>
      <w:r>
        <w:rPr>
          <w:rFonts w:hint="eastAsia" w:hAnsi="宋体"/>
          <w:b/>
          <w:bCs/>
          <w:color w:val="auto"/>
          <w:sz w:val="32"/>
          <w:szCs w:val="32"/>
          <w:highlight w:val="none"/>
          <w:lang w:val="en-US" w:eastAsia="zh-CN"/>
        </w:rPr>
        <w:t>九、服务承诺</w:t>
      </w:r>
    </w:p>
    <w:p w14:paraId="56FA38C9">
      <w:pPr>
        <w:pStyle w:val="12"/>
        <w:rPr>
          <w:rFonts w:hint="eastAsia"/>
          <w:color w:val="auto"/>
          <w:highlight w:val="none"/>
          <w:lang w:val="en-US" w:eastAsia="zh-CN"/>
        </w:rPr>
      </w:pPr>
    </w:p>
    <w:p w14:paraId="0EFD3552">
      <w:pPr>
        <w:pStyle w:val="12"/>
        <w:rPr>
          <w:rFonts w:hint="eastAsia"/>
          <w:color w:val="auto"/>
          <w:highlight w:val="none"/>
          <w:lang w:val="en-US" w:eastAsia="zh-CN"/>
        </w:rPr>
      </w:pPr>
    </w:p>
    <w:p w14:paraId="12FCE8A5">
      <w:pPr>
        <w:jc w:val="center"/>
        <w:rPr>
          <w:rFonts w:hint="eastAsia" w:hAnsi="宋体"/>
          <w:b/>
          <w:bCs/>
          <w:color w:val="auto"/>
          <w:sz w:val="32"/>
          <w:szCs w:val="32"/>
          <w:highlight w:val="none"/>
          <w:lang w:val="en-US" w:eastAsia="zh-CN"/>
        </w:rPr>
      </w:pPr>
      <w:r>
        <w:rPr>
          <w:rFonts w:hint="eastAsia" w:hAnsi="宋体"/>
          <w:b/>
          <w:bCs/>
          <w:color w:val="auto"/>
          <w:sz w:val="32"/>
          <w:szCs w:val="32"/>
          <w:highlight w:val="none"/>
          <w:lang w:val="en-US" w:eastAsia="zh-CN"/>
        </w:rPr>
        <w:t xml:space="preserve">   </w:t>
      </w:r>
      <w:r>
        <w:rPr>
          <w:rFonts w:hint="eastAsia" w:hAnsi="宋体"/>
          <w:b/>
          <w:bCs/>
          <w:color w:val="auto"/>
          <w:sz w:val="28"/>
          <w:szCs w:val="28"/>
          <w:highlight w:val="none"/>
          <w:lang w:val="en-US" w:eastAsia="zh-CN"/>
        </w:rPr>
        <w:t>格式自拟</w:t>
      </w:r>
    </w:p>
    <w:p w14:paraId="66AE1091">
      <w:pPr>
        <w:rPr>
          <w:rFonts w:hint="eastAsia" w:hAnsi="宋体"/>
          <w:b/>
          <w:bCs/>
          <w:color w:val="auto"/>
          <w:sz w:val="32"/>
          <w:szCs w:val="32"/>
          <w:highlight w:val="none"/>
          <w:lang w:val="en-US" w:eastAsia="zh-CN"/>
        </w:rPr>
      </w:pPr>
      <w:r>
        <w:rPr>
          <w:rFonts w:hint="eastAsia" w:hAnsi="宋体"/>
          <w:b/>
          <w:bCs/>
          <w:color w:val="auto"/>
          <w:sz w:val="32"/>
          <w:szCs w:val="32"/>
          <w:highlight w:val="none"/>
          <w:lang w:val="en-US" w:eastAsia="zh-CN"/>
        </w:rPr>
        <w:br w:type="page"/>
      </w:r>
    </w:p>
    <w:p w14:paraId="638F25B5">
      <w:pPr>
        <w:pStyle w:val="16"/>
        <w:keepNext w:val="0"/>
        <w:keepLines w:val="0"/>
        <w:pageBreakBefore w:val="0"/>
        <w:widowControl w:val="0"/>
        <w:kinsoku/>
        <w:wordWrap/>
        <w:overflowPunct/>
        <w:topLinePunct w:val="0"/>
        <w:autoSpaceDE/>
        <w:autoSpaceDN/>
        <w:bidi w:val="0"/>
        <w:adjustRightInd/>
        <w:snapToGrid/>
        <w:spacing w:line="360" w:lineRule="auto"/>
        <w:ind w:firstLine="3052" w:firstLineChars="950"/>
        <w:textAlignment w:val="auto"/>
        <w:rPr>
          <w:rFonts w:hint="default" w:hAnsi="宋体" w:eastAsia="宋体"/>
          <w:b/>
          <w:bCs/>
          <w:color w:val="auto"/>
          <w:sz w:val="32"/>
          <w:szCs w:val="32"/>
          <w:highlight w:val="none"/>
          <w:lang w:val="en-US" w:eastAsia="zh-CN"/>
        </w:rPr>
      </w:pPr>
      <w:r>
        <w:rPr>
          <w:rFonts w:hint="eastAsia" w:hAnsi="宋体"/>
          <w:b/>
          <w:bCs/>
          <w:color w:val="auto"/>
          <w:sz w:val="32"/>
          <w:szCs w:val="32"/>
          <w:highlight w:val="none"/>
          <w:lang w:val="en-US" w:eastAsia="zh-CN"/>
        </w:rPr>
        <w:t>十、项目实施人员一览表</w:t>
      </w:r>
    </w:p>
    <w:tbl>
      <w:tblPr>
        <w:tblStyle w:val="34"/>
        <w:tblW w:w="99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631"/>
        <w:gridCol w:w="1955"/>
        <w:gridCol w:w="1149"/>
        <w:gridCol w:w="1653"/>
        <w:gridCol w:w="2606"/>
      </w:tblGrid>
      <w:tr w14:paraId="08CD2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21ED06E7">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color w:val="auto"/>
                <w:szCs w:val="21"/>
                <w:highlight w:val="none"/>
              </w:rPr>
            </w:pPr>
            <w:bookmarkStart w:id="54" w:name="_Toc20117"/>
            <w:bookmarkStart w:id="55" w:name="_Toc8931"/>
            <w:r>
              <w:rPr>
                <w:rFonts w:hint="eastAsia" w:ascii="宋体" w:hAnsi="宋体" w:cs="宋体"/>
                <w:color w:val="auto"/>
                <w:szCs w:val="21"/>
                <w:highlight w:val="none"/>
              </w:rPr>
              <w:t>序号</w:t>
            </w:r>
          </w:p>
        </w:tc>
        <w:tc>
          <w:tcPr>
            <w:tcW w:w="1631" w:type="dxa"/>
            <w:vAlign w:val="center"/>
          </w:tcPr>
          <w:p w14:paraId="78B6DEF9">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姓名</w:t>
            </w:r>
          </w:p>
        </w:tc>
        <w:tc>
          <w:tcPr>
            <w:tcW w:w="1955" w:type="dxa"/>
            <w:vAlign w:val="center"/>
          </w:tcPr>
          <w:p w14:paraId="77BBEB9B">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在本项目中的职务</w:t>
            </w:r>
          </w:p>
        </w:tc>
        <w:tc>
          <w:tcPr>
            <w:tcW w:w="1149" w:type="dxa"/>
            <w:vAlign w:val="center"/>
          </w:tcPr>
          <w:p w14:paraId="364FF965">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年龄</w:t>
            </w:r>
          </w:p>
        </w:tc>
        <w:tc>
          <w:tcPr>
            <w:tcW w:w="1653" w:type="dxa"/>
            <w:vAlign w:val="center"/>
          </w:tcPr>
          <w:p w14:paraId="3FE0C68C">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工作年限</w:t>
            </w:r>
          </w:p>
        </w:tc>
        <w:tc>
          <w:tcPr>
            <w:tcW w:w="2606" w:type="dxa"/>
            <w:vAlign w:val="center"/>
          </w:tcPr>
          <w:p w14:paraId="041D5405">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身份证号</w:t>
            </w:r>
          </w:p>
        </w:tc>
      </w:tr>
      <w:tr w14:paraId="51CFF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1A84E2B1">
            <w:pPr>
              <w:spacing w:line="360" w:lineRule="auto"/>
              <w:jc w:val="center"/>
              <w:rPr>
                <w:rFonts w:ascii="宋体" w:hAnsi="宋体" w:cs="宋体"/>
                <w:color w:val="auto"/>
                <w:szCs w:val="21"/>
                <w:highlight w:val="none"/>
              </w:rPr>
            </w:pPr>
          </w:p>
        </w:tc>
        <w:tc>
          <w:tcPr>
            <w:tcW w:w="1631" w:type="dxa"/>
            <w:vAlign w:val="center"/>
          </w:tcPr>
          <w:p w14:paraId="653270A8">
            <w:pPr>
              <w:spacing w:line="360" w:lineRule="auto"/>
              <w:jc w:val="center"/>
              <w:rPr>
                <w:rFonts w:ascii="宋体" w:hAnsi="宋体" w:cs="宋体"/>
                <w:color w:val="auto"/>
                <w:szCs w:val="21"/>
                <w:highlight w:val="none"/>
              </w:rPr>
            </w:pPr>
          </w:p>
        </w:tc>
        <w:tc>
          <w:tcPr>
            <w:tcW w:w="1955" w:type="dxa"/>
            <w:vAlign w:val="center"/>
          </w:tcPr>
          <w:p w14:paraId="0A329D0F">
            <w:pPr>
              <w:spacing w:line="360" w:lineRule="auto"/>
              <w:jc w:val="center"/>
              <w:rPr>
                <w:rFonts w:ascii="宋体" w:hAnsi="宋体" w:cs="宋体"/>
                <w:color w:val="auto"/>
                <w:szCs w:val="21"/>
                <w:highlight w:val="none"/>
              </w:rPr>
            </w:pPr>
          </w:p>
        </w:tc>
        <w:tc>
          <w:tcPr>
            <w:tcW w:w="1149" w:type="dxa"/>
            <w:vAlign w:val="center"/>
          </w:tcPr>
          <w:p w14:paraId="43EAE4A7">
            <w:pPr>
              <w:adjustRightInd w:val="0"/>
              <w:snapToGrid w:val="0"/>
              <w:jc w:val="center"/>
              <w:rPr>
                <w:color w:val="auto"/>
                <w:sz w:val="23"/>
                <w:szCs w:val="23"/>
                <w:highlight w:val="none"/>
              </w:rPr>
            </w:pPr>
          </w:p>
        </w:tc>
        <w:tc>
          <w:tcPr>
            <w:tcW w:w="1653" w:type="dxa"/>
            <w:vAlign w:val="center"/>
          </w:tcPr>
          <w:p w14:paraId="3268AD68">
            <w:pPr>
              <w:spacing w:line="360" w:lineRule="auto"/>
              <w:jc w:val="center"/>
              <w:rPr>
                <w:rFonts w:ascii="宋体" w:hAnsi="宋体" w:cs="宋体"/>
                <w:color w:val="auto"/>
                <w:szCs w:val="21"/>
                <w:highlight w:val="none"/>
              </w:rPr>
            </w:pPr>
          </w:p>
        </w:tc>
        <w:tc>
          <w:tcPr>
            <w:tcW w:w="2606" w:type="dxa"/>
            <w:vAlign w:val="center"/>
          </w:tcPr>
          <w:p w14:paraId="582B3EB9">
            <w:pPr>
              <w:spacing w:line="360" w:lineRule="auto"/>
              <w:jc w:val="center"/>
              <w:rPr>
                <w:rFonts w:ascii="宋体" w:hAnsi="宋体" w:cs="宋体"/>
                <w:color w:val="auto"/>
                <w:szCs w:val="21"/>
                <w:highlight w:val="none"/>
              </w:rPr>
            </w:pPr>
          </w:p>
        </w:tc>
      </w:tr>
      <w:tr w14:paraId="6F965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60A2DED8">
            <w:pPr>
              <w:spacing w:line="360" w:lineRule="auto"/>
              <w:jc w:val="center"/>
              <w:rPr>
                <w:rFonts w:ascii="宋体" w:hAnsi="宋体" w:cs="宋体"/>
                <w:color w:val="auto"/>
                <w:szCs w:val="21"/>
                <w:highlight w:val="none"/>
              </w:rPr>
            </w:pPr>
          </w:p>
        </w:tc>
        <w:tc>
          <w:tcPr>
            <w:tcW w:w="1631" w:type="dxa"/>
            <w:vAlign w:val="center"/>
          </w:tcPr>
          <w:p w14:paraId="7E78D439">
            <w:pPr>
              <w:spacing w:line="360" w:lineRule="auto"/>
              <w:jc w:val="center"/>
              <w:rPr>
                <w:rFonts w:ascii="宋体" w:hAnsi="宋体" w:cs="宋体"/>
                <w:color w:val="auto"/>
                <w:szCs w:val="21"/>
                <w:highlight w:val="none"/>
              </w:rPr>
            </w:pPr>
          </w:p>
        </w:tc>
        <w:tc>
          <w:tcPr>
            <w:tcW w:w="1955" w:type="dxa"/>
            <w:vAlign w:val="center"/>
          </w:tcPr>
          <w:p w14:paraId="4E814163">
            <w:pPr>
              <w:spacing w:line="360" w:lineRule="auto"/>
              <w:jc w:val="center"/>
              <w:rPr>
                <w:rFonts w:ascii="宋体" w:hAnsi="宋体" w:cs="宋体"/>
                <w:color w:val="auto"/>
                <w:szCs w:val="21"/>
                <w:highlight w:val="none"/>
              </w:rPr>
            </w:pPr>
          </w:p>
        </w:tc>
        <w:tc>
          <w:tcPr>
            <w:tcW w:w="1149" w:type="dxa"/>
            <w:vAlign w:val="center"/>
          </w:tcPr>
          <w:p w14:paraId="314C24D4">
            <w:pPr>
              <w:adjustRightInd w:val="0"/>
              <w:snapToGrid w:val="0"/>
              <w:jc w:val="center"/>
              <w:rPr>
                <w:color w:val="auto"/>
                <w:sz w:val="23"/>
                <w:szCs w:val="23"/>
                <w:highlight w:val="none"/>
              </w:rPr>
            </w:pPr>
          </w:p>
        </w:tc>
        <w:tc>
          <w:tcPr>
            <w:tcW w:w="1653" w:type="dxa"/>
            <w:vAlign w:val="center"/>
          </w:tcPr>
          <w:p w14:paraId="2F272E9D">
            <w:pPr>
              <w:spacing w:line="360" w:lineRule="auto"/>
              <w:jc w:val="center"/>
              <w:rPr>
                <w:rFonts w:ascii="宋体" w:hAnsi="宋体" w:cs="宋体"/>
                <w:color w:val="auto"/>
                <w:szCs w:val="21"/>
                <w:highlight w:val="none"/>
              </w:rPr>
            </w:pPr>
          </w:p>
        </w:tc>
        <w:tc>
          <w:tcPr>
            <w:tcW w:w="2606" w:type="dxa"/>
            <w:vAlign w:val="center"/>
          </w:tcPr>
          <w:p w14:paraId="52B4C2F4">
            <w:pPr>
              <w:spacing w:line="360" w:lineRule="auto"/>
              <w:jc w:val="center"/>
              <w:rPr>
                <w:rFonts w:ascii="宋体" w:hAnsi="宋体" w:cs="宋体"/>
                <w:color w:val="auto"/>
                <w:szCs w:val="21"/>
                <w:highlight w:val="none"/>
              </w:rPr>
            </w:pPr>
          </w:p>
        </w:tc>
      </w:tr>
      <w:tr w14:paraId="3300D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36976503">
            <w:pPr>
              <w:spacing w:line="360" w:lineRule="auto"/>
              <w:jc w:val="center"/>
              <w:rPr>
                <w:rFonts w:ascii="宋体" w:hAnsi="宋体" w:cs="宋体"/>
                <w:color w:val="auto"/>
                <w:szCs w:val="21"/>
                <w:highlight w:val="none"/>
              </w:rPr>
            </w:pPr>
          </w:p>
        </w:tc>
        <w:tc>
          <w:tcPr>
            <w:tcW w:w="1631" w:type="dxa"/>
            <w:vAlign w:val="center"/>
          </w:tcPr>
          <w:p w14:paraId="373B6728">
            <w:pPr>
              <w:spacing w:line="360" w:lineRule="auto"/>
              <w:jc w:val="center"/>
              <w:rPr>
                <w:rFonts w:ascii="宋体" w:hAnsi="宋体" w:cs="宋体"/>
                <w:color w:val="auto"/>
                <w:szCs w:val="21"/>
                <w:highlight w:val="none"/>
              </w:rPr>
            </w:pPr>
          </w:p>
        </w:tc>
        <w:tc>
          <w:tcPr>
            <w:tcW w:w="1955" w:type="dxa"/>
            <w:vAlign w:val="center"/>
          </w:tcPr>
          <w:p w14:paraId="3F192D7B">
            <w:pPr>
              <w:spacing w:line="360" w:lineRule="auto"/>
              <w:jc w:val="center"/>
              <w:rPr>
                <w:rFonts w:ascii="宋体" w:hAnsi="宋体" w:cs="宋体"/>
                <w:color w:val="auto"/>
                <w:szCs w:val="21"/>
                <w:highlight w:val="none"/>
              </w:rPr>
            </w:pPr>
          </w:p>
        </w:tc>
        <w:tc>
          <w:tcPr>
            <w:tcW w:w="1149" w:type="dxa"/>
            <w:vAlign w:val="center"/>
          </w:tcPr>
          <w:p w14:paraId="74884961">
            <w:pPr>
              <w:adjustRightInd w:val="0"/>
              <w:snapToGrid w:val="0"/>
              <w:jc w:val="center"/>
              <w:rPr>
                <w:color w:val="auto"/>
                <w:sz w:val="23"/>
                <w:szCs w:val="23"/>
                <w:highlight w:val="none"/>
              </w:rPr>
            </w:pPr>
          </w:p>
        </w:tc>
        <w:tc>
          <w:tcPr>
            <w:tcW w:w="1653" w:type="dxa"/>
            <w:vAlign w:val="center"/>
          </w:tcPr>
          <w:p w14:paraId="6F1E78DE">
            <w:pPr>
              <w:spacing w:line="360" w:lineRule="auto"/>
              <w:jc w:val="center"/>
              <w:rPr>
                <w:rFonts w:ascii="宋体" w:hAnsi="宋体" w:cs="宋体"/>
                <w:color w:val="auto"/>
                <w:szCs w:val="21"/>
                <w:highlight w:val="none"/>
              </w:rPr>
            </w:pPr>
          </w:p>
        </w:tc>
        <w:tc>
          <w:tcPr>
            <w:tcW w:w="2606" w:type="dxa"/>
            <w:vAlign w:val="center"/>
          </w:tcPr>
          <w:p w14:paraId="759526ED">
            <w:pPr>
              <w:spacing w:line="360" w:lineRule="auto"/>
              <w:jc w:val="center"/>
              <w:rPr>
                <w:rFonts w:ascii="宋体" w:hAnsi="宋体" w:cs="宋体"/>
                <w:color w:val="auto"/>
                <w:szCs w:val="21"/>
                <w:highlight w:val="none"/>
              </w:rPr>
            </w:pPr>
          </w:p>
        </w:tc>
      </w:tr>
      <w:tr w14:paraId="5019A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410713E5">
            <w:pPr>
              <w:spacing w:line="360" w:lineRule="auto"/>
              <w:jc w:val="center"/>
              <w:rPr>
                <w:rFonts w:ascii="宋体" w:hAnsi="宋体" w:cs="宋体"/>
                <w:color w:val="auto"/>
                <w:szCs w:val="21"/>
                <w:highlight w:val="none"/>
              </w:rPr>
            </w:pPr>
          </w:p>
        </w:tc>
        <w:tc>
          <w:tcPr>
            <w:tcW w:w="1631" w:type="dxa"/>
            <w:vAlign w:val="center"/>
          </w:tcPr>
          <w:p w14:paraId="46AD3B7E">
            <w:pPr>
              <w:spacing w:line="360" w:lineRule="auto"/>
              <w:jc w:val="center"/>
              <w:rPr>
                <w:rFonts w:ascii="宋体" w:hAnsi="宋体" w:cs="宋体"/>
                <w:color w:val="auto"/>
                <w:szCs w:val="21"/>
                <w:highlight w:val="none"/>
              </w:rPr>
            </w:pPr>
          </w:p>
        </w:tc>
        <w:tc>
          <w:tcPr>
            <w:tcW w:w="1955" w:type="dxa"/>
            <w:vAlign w:val="center"/>
          </w:tcPr>
          <w:p w14:paraId="5ABADB2C">
            <w:pPr>
              <w:spacing w:line="360" w:lineRule="auto"/>
              <w:jc w:val="center"/>
              <w:rPr>
                <w:rFonts w:ascii="宋体" w:hAnsi="宋体" w:cs="宋体"/>
                <w:color w:val="auto"/>
                <w:szCs w:val="21"/>
                <w:highlight w:val="none"/>
              </w:rPr>
            </w:pPr>
          </w:p>
        </w:tc>
        <w:tc>
          <w:tcPr>
            <w:tcW w:w="1149" w:type="dxa"/>
            <w:vAlign w:val="center"/>
          </w:tcPr>
          <w:p w14:paraId="3CAEA914">
            <w:pPr>
              <w:adjustRightInd w:val="0"/>
              <w:snapToGrid w:val="0"/>
              <w:jc w:val="center"/>
              <w:rPr>
                <w:color w:val="auto"/>
                <w:sz w:val="23"/>
                <w:szCs w:val="23"/>
                <w:highlight w:val="none"/>
              </w:rPr>
            </w:pPr>
          </w:p>
        </w:tc>
        <w:tc>
          <w:tcPr>
            <w:tcW w:w="1653" w:type="dxa"/>
            <w:vAlign w:val="center"/>
          </w:tcPr>
          <w:p w14:paraId="656339DA">
            <w:pPr>
              <w:spacing w:line="360" w:lineRule="auto"/>
              <w:jc w:val="center"/>
              <w:rPr>
                <w:rFonts w:ascii="宋体" w:hAnsi="宋体" w:cs="宋体"/>
                <w:color w:val="auto"/>
                <w:szCs w:val="21"/>
                <w:highlight w:val="none"/>
              </w:rPr>
            </w:pPr>
          </w:p>
        </w:tc>
        <w:tc>
          <w:tcPr>
            <w:tcW w:w="2606" w:type="dxa"/>
            <w:vAlign w:val="center"/>
          </w:tcPr>
          <w:p w14:paraId="44C6B3D0">
            <w:pPr>
              <w:spacing w:line="360" w:lineRule="auto"/>
              <w:jc w:val="center"/>
              <w:rPr>
                <w:rFonts w:ascii="宋体" w:hAnsi="宋体" w:cs="宋体"/>
                <w:color w:val="auto"/>
                <w:szCs w:val="21"/>
                <w:highlight w:val="none"/>
              </w:rPr>
            </w:pPr>
          </w:p>
        </w:tc>
      </w:tr>
      <w:tr w14:paraId="6A029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77D8D1E2">
            <w:pPr>
              <w:spacing w:line="360" w:lineRule="auto"/>
              <w:jc w:val="center"/>
              <w:rPr>
                <w:rFonts w:ascii="宋体" w:hAnsi="宋体" w:cs="宋体"/>
                <w:color w:val="auto"/>
                <w:szCs w:val="21"/>
                <w:highlight w:val="none"/>
              </w:rPr>
            </w:pPr>
          </w:p>
        </w:tc>
        <w:tc>
          <w:tcPr>
            <w:tcW w:w="1631" w:type="dxa"/>
            <w:vAlign w:val="center"/>
          </w:tcPr>
          <w:p w14:paraId="0B6F20C1">
            <w:pPr>
              <w:spacing w:line="360" w:lineRule="auto"/>
              <w:jc w:val="center"/>
              <w:rPr>
                <w:rFonts w:ascii="宋体" w:hAnsi="宋体" w:cs="宋体"/>
                <w:color w:val="auto"/>
                <w:szCs w:val="21"/>
                <w:highlight w:val="none"/>
              </w:rPr>
            </w:pPr>
          </w:p>
        </w:tc>
        <w:tc>
          <w:tcPr>
            <w:tcW w:w="1955" w:type="dxa"/>
            <w:vAlign w:val="center"/>
          </w:tcPr>
          <w:p w14:paraId="6949A3AF">
            <w:pPr>
              <w:spacing w:line="360" w:lineRule="auto"/>
              <w:jc w:val="center"/>
              <w:rPr>
                <w:rFonts w:ascii="宋体" w:hAnsi="宋体" w:cs="宋体"/>
                <w:color w:val="auto"/>
                <w:szCs w:val="21"/>
                <w:highlight w:val="none"/>
              </w:rPr>
            </w:pPr>
          </w:p>
        </w:tc>
        <w:tc>
          <w:tcPr>
            <w:tcW w:w="1149" w:type="dxa"/>
            <w:vAlign w:val="center"/>
          </w:tcPr>
          <w:p w14:paraId="47665265">
            <w:pPr>
              <w:adjustRightInd w:val="0"/>
              <w:snapToGrid w:val="0"/>
              <w:jc w:val="center"/>
              <w:rPr>
                <w:color w:val="auto"/>
                <w:sz w:val="23"/>
                <w:szCs w:val="23"/>
                <w:highlight w:val="none"/>
              </w:rPr>
            </w:pPr>
          </w:p>
        </w:tc>
        <w:tc>
          <w:tcPr>
            <w:tcW w:w="1653" w:type="dxa"/>
            <w:vAlign w:val="center"/>
          </w:tcPr>
          <w:p w14:paraId="5086F98A">
            <w:pPr>
              <w:spacing w:line="360" w:lineRule="auto"/>
              <w:jc w:val="center"/>
              <w:rPr>
                <w:rFonts w:ascii="宋体" w:hAnsi="宋体" w:cs="宋体"/>
                <w:color w:val="auto"/>
                <w:szCs w:val="21"/>
                <w:highlight w:val="none"/>
              </w:rPr>
            </w:pPr>
          </w:p>
        </w:tc>
        <w:tc>
          <w:tcPr>
            <w:tcW w:w="2606" w:type="dxa"/>
            <w:vAlign w:val="center"/>
          </w:tcPr>
          <w:p w14:paraId="6E5C179E">
            <w:pPr>
              <w:spacing w:line="360" w:lineRule="auto"/>
              <w:jc w:val="center"/>
              <w:rPr>
                <w:rFonts w:ascii="宋体" w:hAnsi="宋体" w:cs="宋体"/>
                <w:color w:val="auto"/>
                <w:szCs w:val="21"/>
                <w:highlight w:val="none"/>
              </w:rPr>
            </w:pPr>
          </w:p>
        </w:tc>
      </w:tr>
      <w:tr w14:paraId="68240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2704BB35">
            <w:pPr>
              <w:spacing w:line="360" w:lineRule="auto"/>
              <w:jc w:val="center"/>
              <w:rPr>
                <w:rFonts w:ascii="宋体" w:hAnsi="宋体" w:cs="宋体"/>
                <w:color w:val="auto"/>
                <w:szCs w:val="21"/>
                <w:highlight w:val="none"/>
              </w:rPr>
            </w:pPr>
          </w:p>
        </w:tc>
        <w:tc>
          <w:tcPr>
            <w:tcW w:w="1631" w:type="dxa"/>
            <w:vAlign w:val="center"/>
          </w:tcPr>
          <w:p w14:paraId="643BD1F6">
            <w:pPr>
              <w:spacing w:line="360" w:lineRule="auto"/>
              <w:jc w:val="center"/>
              <w:rPr>
                <w:rFonts w:ascii="宋体" w:hAnsi="宋体" w:cs="宋体"/>
                <w:color w:val="auto"/>
                <w:szCs w:val="21"/>
                <w:highlight w:val="none"/>
              </w:rPr>
            </w:pPr>
          </w:p>
        </w:tc>
        <w:tc>
          <w:tcPr>
            <w:tcW w:w="1955" w:type="dxa"/>
            <w:vAlign w:val="center"/>
          </w:tcPr>
          <w:p w14:paraId="74E289FB">
            <w:pPr>
              <w:spacing w:line="360" w:lineRule="auto"/>
              <w:jc w:val="center"/>
              <w:rPr>
                <w:rFonts w:hint="eastAsia" w:ascii="宋体" w:hAnsi="宋体" w:cs="宋体"/>
                <w:color w:val="auto"/>
                <w:szCs w:val="21"/>
                <w:highlight w:val="none"/>
              </w:rPr>
            </w:pPr>
          </w:p>
        </w:tc>
        <w:tc>
          <w:tcPr>
            <w:tcW w:w="1149" w:type="dxa"/>
            <w:vAlign w:val="center"/>
          </w:tcPr>
          <w:p w14:paraId="75446939">
            <w:pPr>
              <w:spacing w:line="360" w:lineRule="auto"/>
              <w:jc w:val="center"/>
              <w:rPr>
                <w:rFonts w:ascii="宋体" w:hAnsi="宋体" w:cs="宋体"/>
                <w:color w:val="auto"/>
                <w:szCs w:val="21"/>
                <w:highlight w:val="none"/>
              </w:rPr>
            </w:pPr>
          </w:p>
        </w:tc>
        <w:tc>
          <w:tcPr>
            <w:tcW w:w="1653" w:type="dxa"/>
            <w:vAlign w:val="center"/>
          </w:tcPr>
          <w:p w14:paraId="12C7FE5E">
            <w:pPr>
              <w:spacing w:line="360" w:lineRule="auto"/>
              <w:jc w:val="center"/>
              <w:rPr>
                <w:rFonts w:hint="eastAsia" w:ascii="宋体" w:hAnsi="宋体" w:cs="宋体"/>
                <w:color w:val="auto"/>
                <w:szCs w:val="21"/>
                <w:highlight w:val="none"/>
              </w:rPr>
            </w:pPr>
          </w:p>
        </w:tc>
        <w:tc>
          <w:tcPr>
            <w:tcW w:w="2606" w:type="dxa"/>
            <w:vAlign w:val="center"/>
          </w:tcPr>
          <w:p w14:paraId="77BEABD2">
            <w:pPr>
              <w:spacing w:line="360" w:lineRule="auto"/>
              <w:jc w:val="center"/>
              <w:rPr>
                <w:rFonts w:ascii="宋体" w:hAnsi="宋体" w:cs="宋体"/>
                <w:color w:val="auto"/>
                <w:szCs w:val="21"/>
                <w:highlight w:val="none"/>
              </w:rPr>
            </w:pPr>
          </w:p>
        </w:tc>
      </w:tr>
      <w:tr w14:paraId="381BE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34BF6E8F">
            <w:pPr>
              <w:spacing w:line="360" w:lineRule="auto"/>
              <w:jc w:val="center"/>
              <w:rPr>
                <w:rFonts w:ascii="宋体" w:hAnsi="宋体" w:cs="宋体"/>
                <w:color w:val="auto"/>
                <w:szCs w:val="21"/>
                <w:highlight w:val="none"/>
              </w:rPr>
            </w:pPr>
          </w:p>
        </w:tc>
        <w:tc>
          <w:tcPr>
            <w:tcW w:w="1631" w:type="dxa"/>
            <w:vAlign w:val="center"/>
          </w:tcPr>
          <w:p w14:paraId="2430630F">
            <w:pPr>
              <w:spacing w:line="360" w:lineRule="auto"/>
              <w:jc w:val="center"/>
              <w:rPr>
                <w:rFonts w:ascii="宋体" w:hAnsi="宋体" w:cs="宋体"/>
                <w:color w:val="auto"/>
                <w:szCs w:val="21"/>
                <w:highlight w:val="none"/>
              </w:rPr>
            </w:pPr>
          </w:p>
        </w:tc>
        <w:tc>
          <w:tcPr>
            <w:tcW w:w="1955" w:type="dxa"/>
            <w:vAlign w:val="center"/>
          </w:tcPr>
          <w:p w14:paraId="442B985E">
            <w:pPr>
              <w:spacing w:line="360" w:lineRule="auto"/>
              <w:jc w:val="center"/>
              <w:rPr>
                <w:rFonts w:ascii="宋体" w:hAnsi="宋体" w:cs="宋体"/>
                <w:color w:val="auto"/>
                <w:szCs w:val="21"/>
                <w:highlight w:val="none"/>
              </w:rPr>
            </w:pPr>
          </w:p>
        </w:tc>
        <w:tc>
          <w:tcPr>
            <w:tcW w:w="1149" w:type="dxa"/>
            <w:vAlign w:val="center"/>
          </w:tcPr>
          <w:p w14:paraId="22C4E304">
            <w:pPr>
              <w:spacing w:line="360" w:lineRule="auto"/>
              <w:jc w:val="center"/>
              <w:rPr>
                <w:rFonts w:ascii="宋体" w:hAnsi="宋体" w:cs="宋体"/>
                <w:color w:val="auto"/>
                <w:szCs w:val="21"/>
                <w:highlight w:val="none"/>
              </w:rPr>
            </w:pPr>
          </w:p>
        </w:tc>
        <w:tc>
          <w:tcPr>
            <w:tcW w:w="1653" w:type="dxa"/>
            <w:vAlign w:val="center"/>
          </w:tcPr>
          <w:p w14:paraId="5B56ED02">
            <w:pPr>
              <w:spacing w:line="360" w:lineRule="auto"/>
              <w:jc w:val="center"/>
              <w:rPr>
                <w:rFonts w:ascii="宋体" w:hAnsi="宋体" w:cs="宋体"/>
                <w:color w:val="auto"/>
                <w:szCs w:val="21"/>
                <w:highlight w:val="none"/>
              </w:rPr>
            </w:pPr>
          </w:p>
        </w:tc>
        <w:tc>
          <w:tcPr>
            <w:tcW w:w="2606" w:type="dxa"/>
            <w:vAlign w:val="center"/>
          </w:tcPr>
          <w:p w14:paraId="5E06C80C">
            <w:pPr>
              <w:spacing w:line="360" w:lineRule="auto"/>
              <w:jc w:val="center"/>
              <w:rPr>
                <w:rFonts w:ascii="宋体" w:hAnsi="宋体" w:cs="宋体"/>
                <w:color w:val="auto"/>
                <w:szCs w:val="21"/>
                <w:highlight w:val="none"/>
              </w:rPr>
            </w:pPr>
          </w:p>
        </w:tc>
      </w:tr>
      <w:tr w14:paraId="0B298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580F67E4">
            <w:pPr>
              <w:spacing w:line="360" w:lineRule="auto"/>
              <w:jc w:val="center"/>
              <w:rPr>
                <w:rFonts w:ascii="宋体" w:hAnsi="宋体" w:cs="宋体"/>
                <w:color w:val="auto"/>
                <w:szCs w:val="21"/>
                <w:highlight w:val="none"/>
              </w:rPr>
            </w:pPr>
          </w:p>
        </w:tc>
        <w:tc>
          <w:tcPr>
            <w:tcW w:w="1631" w:type="dxa"/>
            <w:vAlign w:val="center"/>
          </w:tcPr>
          <w:p w14:paraId="12AD1FE9">
            <w:pPr>
              <w:spacing w:line="360" w:lineRule="auto"/>
              <w:jc w:val="center"/>
              <w:rPr>
                <w:rFonts w:ascii="宋体" w:hAnsi="宋体" w:cs="宋体"/>
                <w:color w:val="auto"/>
                <w:szCs w:val="21"/>
                <w:highlight w:val="none"/>
              </w:rPr>
            </w:pPr>
          </w:p>
        </w:tc>
        <w:tc>
          <w:tcPr>
            <w:tcW w:w="1955" w:type="dxa"/>
            <w:vAlign w:val="center"/>
          </w:tcPr>
          <w:p w14:paraId="4F8E8C9C">
            <w:pPr>
              <w:spacing w:line="360" w:lineRule="auto"/>
              <w:jc w:val="center"/>
              <w:rPr>
                <w:rFonts w:ascii="宋体" w:hAnsi="宋体" w:cs="宋体"/>
                <w:color w:val="auto"/>
                <w:szCs w:val="21"/>
                <w:highlight w:val="none"/>
              </w:rPr>
            </w:pPr>
          </w:p>
        </w:tc>
        <w:tc>
          <w:tcPr>
            <w:tcW w:w="1149" w:type="dxa"/>
            <w:vAlign w:val="center"/>
          </w:tcPr>
          <w:p w14:paraId="749A9B79">
            <w:pPr>
              <w:spacing w:line="360" w:lineRule="auto"/>
              <w:jc w:val="center"/>
              <w:rPr>
                <w:rFonts w:ascii="宋体" w:hAnsi="宋体" w:cs="宋体"/>
                <w:color w:val="auto"/>
                <w:szCs w:val="21"/>
                <w:highlight w:val="none"/>
              </w:rPr>
            </w:pPr>
          </w:p>
        </w:tc>
        <w:tc>
          <w:tcPr>
            <w:tcW w:w="1653" w:type="dxa"/>
            <w:vAlign w:val="center"/>
          </w:tcPr>
          <w:p w14:paraId="53628E22">
            <w:pPr>
              <w:spacing w:line="360" w:lineRule="auto"/>
              <w:jc w:val="center"/>
              <w:rPr>
                <w:rFonts w:ascii="宋体" w:hAnsi="宋体" w:cs="宋体"/>
                <w:color w:val="auto"/>
                <w:szCs w:val="21"/>
                <w:highlight w:val="none"/>
              </w:rPr>
            </w:pPr>
          </w:p>
        </w:tc>
        <w:tc>
          <w:tcPr>
            <w:tcW w:w="2606" w:type="dxa"/>
            <w:vAlign w:val="center"/>
          </w:tcPr>
          <w:p w14:paraId="12BC6938">
            <w:pPr>
              <w:spacing w:line="360" w:lineRule="auto"/>
              <w:jc w:val="center"/>
              <w:rPr>
                <w:rFonts w:ascii="宋体" w:hAnsi="宋体" w:cs="宋体"/>
                <w:color w:val="auto"/>
                <w:szCs w:val="21"/>
                <w:highlight w:val="none"/>
              </w:rPr>
            </w:pPr>
          </w:p>
        </w:tc>
      </w:tr>
      <w:tr w14:paraId="1289C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424AB279">
            <w:pPr>
              <w:spacing w:line="360" w:lineRule="auto"/>
              <w:jc w:val="center"/>
              <w:rPr>
                <w:rFonts w:ascii="宋体" w:hAnsi="宋体" w:cs="宋体"/>
                <w:color w:val="auto"/>
                <w:szCs w:val="21"/>
                <w:highlight w:val="none"/>
              </w:rPr>
            </w:pPr>
          </w:p>
        </w:tc>
        <w:tc>
          <w:tcPr>
            <w:tcW w:w="1631" w:type="dxa"/>
            <w:vAlign w:val="center"/>
          </w:tcPr>
          <w:p w14:paraId="1A2BCA7D">
            <w:pPr>
              <w:spacing w:line="360" w:lineRule="auto"/>
              <w:jc w:val="center"/>
              <w:rPr>
                <w:rFonts w:ascii="宋体" w:hAnsi="宋体" w:cs="宋体"/>
                <w:color w:val="auto"/>
                <w:szCs w:val="21"/>
                <w:highlight w:val="none"/>
              </w:rPr>
            </w:pPr>
          </w:p>
        </w:tc>
        <w:tc>
          <w:tcPr>
            <w:tcW w:w="1955" w:type="dxa"/>
            <w:vAlign w:val="center"/>
          </w:tcPr>
          <w:p w14:paraId="7B262826">
            <w:pPr>
              <w:spacing w:line="360" w:lineRule="auto"/>
              <w:jc w:val="center"/>
              <w:rPr>
                <w:rFonts w:ascii="宋体" w:hAnsi="宋体" w:cs="宋体"/>
                <w:color w:val="auto"/>
                <w:szCs w:val="21"/>
                <w:highlight w:val="none"/>
              </w:rPr>
            </w:pPr>
          </w:p>
        </w:tc>
        <w:tc>
          <w:tcPr>
            <w:tcW w:w="1149" w:type="dxa"/>
            <w:vAlign w:val="center"/>
          </w:tcPr>
          <w:p w14:paraId="4F2992B7">
            <w:pPr>
              <w:spacing w:line="360" w:lineRule="auto"/>
              <w:jc w:val="center"/>
              <w:rPr>
                <w:rFonts w:ascii="宋体" w:hAnsi="宋体" w:cs="宋体"/>
                <w:color w:val="auto"/>
                <w:szCs w:val="21"/>
                <w:highlight w:val="none"/>
              </w:rPr>
            </w:pPr>
          </w:p>
        </w:tc>
        <w:tc>
          <w:tcPr>
            <w:tcW w:w="1653" w:type="dxa"/>
            <w:vAlign w:val="center"/>
          </w:tcPr>
          <w:p w14:paraId="7E4380B3">
            <w:pPr>
              <w:spacing w:line="360" w:lineRule="auto"/>
              <w:jc w:val="center"/>
              <w:rPr>
                <w:rFonts w:ascii="宋体" w:hAnsi="宋体" w:cs="宋体"/>
                <w:color w:val="auto"/>
                <w:szCs w:val="21"/>
                <w:highlight w:val="none"/>
              </w:rPr>
            </w:pPr>
          </w:p>
        </w:tc>
        <w:tc>
          <w:tcPr>
            <w:tcW w:w="2606" w:type="dxa"/>
            <w:vAlign w:val="center"/>
          </w:tcPr>
          <w:p w14:paraId="2F82CBA7">
            <w:pPr>
              <w:spacing w:line="360" w:lineRule="auto"/>
              <w:jc w:val="center"/>
              <w:rPr>
                <w:rFonts w:ascii="宋体" w:hAnsi="宋体" w:cs="宋体"/>
                <w:color w:val="auto"/>
                <w:szCs w:val="21"/>
                <w:highlight w:val="none"/>
              </w:rPr>
            </w:pPr>
          </w:p>
        </w:tc>
      </w:tr>
      <w:tr w14:paraId="1C7A1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4B965E77">
            <w:pPr>
              <w:spacing w:line="360" w:lineRule="auto"/>
              <w:jc w:val="center"/>
              <w:rPr>
                <w:rFonts w:ascii="宋体" w:hAnsi="宋体" w:cs="宋体"/>
                <w:color w:val="auto"/>
                <w:szCs w:val="21"/>
                <w:highlight w:val="none"/>
              </w:rPr>
            </w:pPr>
          </w:p>
        </w:tc>
        <w:tc>
          <w:tcPr>
            <w:tcW w:w="1631" w:type="dxa"/>
            <w:vAlign w:val="center"/>
          </w:tcPr>
          <w:p w14:paraId="707A0B25">
            <w:pPr>
              <w:spacing w:line="360" w:lineRule="auto"/>
              <w:jc w:val="center"/>
              <w:rPr>
                <w:rFonts w:ascii="宋体" w:hAnsi="宋体" w:cs="宋体"/>
                <w:color w:val="auto"/>
                <w:szCs w:val="21"/>
                <w:highlight w:val="none"/>
              </w:rPr>
            </w:pPr>
          </w:p>
        </w:tc>
        <w:tc>
          <w:tcPr>
            <w:tcW w:w="1955" w:type="dxa"/>
            <w:vAlign w:val="center"/>
          </w:tcPr>
          <w:p w14:paraId="307F480A">
            <w:pPr>
              <w:spacing w:line="360" w:lineRule="auto"/>
              <w:jc w:val="center"/>
              <w:rPr>
                <w:rFonts w:ascii="宋体" w:hAnsi="宋体" w:cs="宋体"/>
                <w:color w:val="auto"/>
                <w:szCs w:val="21"/>
                <w:highlight w:val="none"/>
              </w:rPr>
            </w:pPr>
          </w:p>
        </w:tc>
        <w:tc>
          <w:tcPr>
            <w:tcW w:w="1149" w:type="dxa"/>
            <w:vAlign w:val="center"/>
          </w:tcPr>
          <w:p w14:paraId="0AAF70A7">
            <w:pPr>
              <w:spacing w:line="360" w:lineRule="auto"/>
              <w:jc w:val="center"/>
              <w:rPr>
                <w:rFonts w:ascii="宋体" w:hAnsi="宋体" w:cs="宋体"/>
                <w:color w:val="auto"/>
                <w:szCs w:val="21"/>
                <w:highlight w:val="none"/>
              </w:rPr>
            </w:pPr>
          </w:p>
        </w:tc>
        <w:tc>
          <w:tcPr>
            <w:tcW w:w="1653" w:type="dxa"/>
            <w:vAlign w:val="center"/>
          </w:tcPr>
          <w:p w14:paraId="22423065">
            <w:pPr>
              <w:spacing w:line="360" w:lineRule="auto"/>
              <w:jc w:val="center"/>
              <w:rPr>
                <w:rFonts w:ascii="宋体" w:hAnsi="宋体" w:cs="宋体"/>
                <w:color w:val="auto"/>
                <w:szCs w:val="21"/>
                <w:highlight w:val="none"/>
              </w:rPr>
            </w:pPr>
          </w:p>
        </w:tc>
        <w:tc>
          <w:tcPr>
            <w:tcW w:w="2606" w:type="dxa"/>
            <w:vAlign w:val="center"/>
          </w:tcPr>
          <w:p w14:paraId="1A272E9E">
            <w:pPr>
              <w:spacing w:line="360" w:lineRule="auto"/>
              <w:jc w:val="center"/>
              <w:rPr>
                <w:rFonts w:ascii="宋体" w:hAnsi="宋体" w:cs="宋体"/>
                <w:color w:val="auto"/>
                <w:szCs w:val="21"/>
                <w:highlight w:val="none"/>
              </w:rPr>
            </w:pPr>
          </w:p>
        </w:tc>
      </w:tr>
      <w:tr w14:paraId="45D9F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1B524A23">
            <w:pPr>
              <w:spacing w:line="360" w:lineRule="auto"/>
              <w:jc w:val="center"/>
              <w:rPr>
                <w:rFonts w:ascii="宋体" w:hAnsi="宋体" w:cs="宋体"/>
                <w:color w:val="auto"/>
                <w:szCs w:val="21"/>
                <w:highlight w:val="none"/>
              </w:rPr>
            </w:pPr>
          </w:p>
        </w:tc>
        <w:tc>
          <w:tcPr>
            <w:tcW w:w="1631" w:type="dxa"/>
            <w:vAlign w:val="center"/>
          </w:tcPr>
          <w:p w14:paraId="63F6C6ED">
            <w:pPr>
              <w:spacing w:line="360" w:lineRule="auto"/>
              <w:jc w:val="center"/>
              <w:rPr>
                <w:rFonts w:ascii="宋体" w:hAnsi="宋体" w:cs="宋体"/>
                <w:color w:val="auto"/>
                <w:szCs w:val="21"/>
                <w:highlight w:val="none"/>
              </w:rPr>
            </w:pPr>
          </w:p>
        </w:tc>
        <w:tc>
          <w:tcPr>
            <w:tcW w:w="1955" w:type="dxa"/>
            <w:vAlign w:val="center"/>
          </w:tcPr>
          <w:p w14:paraId="4808EDAC">
            <w:pPr>
              <w:spacing w:line="360" w:lineRule="auto"/>
              <w:jc w:val="center"/>
              <w:rPr>
                <w:rFonts w:ascii="宋体" w:hAnsi="宋体" w:cs="宋体"/>
                <w:color w:val="auto"/>
                <w:szCs w:val="21"/>
                <w:highlight w:val="none"/>
              </w:rPr>
            </w:pPr>
          </w:p>
        </w:tc>
        <w:tc>
          <w:tcPr>
            <w:tcW w:w="1149" w:type="dxa"/>
            <w:vAlign w:val="center"/>
          </w:tcPr>
          <w:p w14:paraId="62192285">
            <w:pPr>
              <w:spacing w:line="360" w:lineRule="auto"/>
              <w:jc w:val="center"/>
              <w:rPr>
                <w:rFonts w:ascii="宋体" w:hAnsi="宋体" w:cs="宋体"/>
                <w:color w:val="auto"/>
                <w:szCs w:val="21"/>
                <w:highlight w:val="none"/>
              </w:rPr>
            </w:pPr>
          </w:p>
        </w:tc>
        <w:tc>
          <w:tcPr>
            <w:tcW w:w="1653" w:type="dxa"/>
            <w:vAlign w:val="center"/>
          </w:tcPr>
          <w:p w14:paraId="2F3F1EE0">
            <w:pPr>
              <w:spacing w:line="360" w:lineRule="auto"/>
              <w:jc w:val="center"/>
              <w:rPr>
                <w:rFonts w:ascii="宋体" w:hAnsi="宋体" w:cs="宋体"/>
                <w:color w:val="auto"/>
                <w:szCs w:val="21"/>
                <w:highlight w:val="none"/>
              </w:rPr>
            </w:pPr>
          </w:p>
        </w:tc>
        <w:tc>
          <w:tcPr>
            <w:tcW w:w="2606" w:type="dxa"/>
            <w:vAlign w:val="center"/>
          </w:tcPr>
          <w:p w14:paraId="4C709B5C">
            <w:pPr>
              <w:spacing w:line="360" w:lineRule="auto"/>
              <w:jc w:val="center"/>
              <w:rPr>
                <w:rFonts w:ascii="宋体" w:hAnsi="宋体" w:cs="宋体"/>
                <w:color w:val="auto"/>
                <w:szCs w:val="21"/>
                <w:highlight w:val="none"/>
              </w:rPr>
            </w:pPr>
          </w:p>
        </w:tc>
      </w:tr>
      <w:tr w14:paraId="52901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51E4F620">
            <w:pPr>
              <w:spacing w:line="360" w:lineRule="auto"/>
              <w:jc w:val="center"/>
              <w:rPr>
                <w:rFonts w:ascii="宋体" w:hAnsi="宋体" w:cs="宋体"/>
                <w:color w:val="auto"/>
                <w:szCs w:val="21"/>
                <w:highlight w:val="none"/>
              </w:rPr>
            </w:pPr>
          </w:p>
        </w:tc>
        <w:tc>
          <w:tcPr>
            <w:tcW w:w="1631" w:type="dxa"/>
            <w:vAlign w:val="center"/>
          </w:tcPr>
          <w:p w14:paraId="26BC35BA">
            <w:pPr>
              <w:spacing w:line="360" w:lineRule="auto"/>
              <w:jc w:val="center"/>
              <w:rPr>
                <w:rFonts w:ascii="宋体" w:hAnsi="宋体" w:cs="宋体"/>
                <w:color w:val="auto"/>
                <w:szCs w:val="21"/>
                <w:highlight w:val="none"/>
              </w:rPr>
            </w:pPr>
          </w:p>
        </w:tc>
        <w:tc>
          <w:tcPr>
            <w:tcW w:w="1955" w:type="dxa"/>
            <w:vAlign w:val="center"/>
          </w:tcPr>
          <w:p w14:paraId="026A5B59">
            <w:pPr>
              <w:spacing w:line="360" w:lineRule="auto"/>
              <w:jc w:val="center"/>
              <w:rPr>
                <w:rFonts w:ascii="宋体" w:hAnsi="宋体" w:cs="宋体"/>
                <w:color w:val="auto"/>
                <w:szCs w:val="21"/>
                <w:highlight w:val="none"/>
              </w:rPr>
            </w:pPr>
          </w:p>
        </w:tc>
        <w:tc>
          <w:tcPr>
            <w:tcW w:w="1149" w:type="dxa"/>
            <w:vAlign w:val="center"/>
          </w:tcPr>
          <w:p w14:paraId="574743F4">
            <w:pPr>
              <w:spacing w:line="360" w:lineRule="auto"/>
              <w:jc w:val="center"/>
              <w:rPr>
                <w:rFonts w:ascii="宋体" w:hAnsi="宋体" w:cs="宋体"/>
                <w:color w:val="auto"/>
                <w:szCs w:val="21"/>
                <w:highlight w:val="none"/>
              </w:rPr>
            </w:pPr>
          </w:p>
        </w:tc>
        <w:tc>
          <w:tcPr>
            <w:tcW w:w="1653" w:type="dxa"/>
            <w:vAlign w:val="center"/>
          </w:tcPr>
          <w:p w14:paraId="4005EE8F">
            <w:pPr>
              <w:spacing w:line="360" w:lineRule="auto"/>
              <w:jc w:val="center"/>
              <w:rPr>
                <w:rFonts w:ascii="宋体" w:hAnsi="宋体" w:cs="宋体"/>
                <w:color w:val="auto"/>
                <w:szCs w:val="21"/>
                <w:highlight w:val="none"/>
              </w:rPr>
            </w:pPr>
          </w:p>
        </w:tc>
        <w:tc>
          <w:tcPr>
            <w:tcW w:w="2606" w:type="dxa"/>
            <w:vAlign w:val="center"/>
          </w:tcPr>
          <w:p w14:paraId="2EED6F45">
            <w:pPr>
              <w:spacing w:line="360" w:lineRule="auto"/>
              <w:jc w:val="center"/>
              <w:rPr>
                <w:rFonts w:ascii="宋体" w:hAnsi="宋体" w:cs="宋体"/>
                <w:color w:val="auto"/>
                <w:szCs w:val="21"/>
                <w:highlight w:val="none"/>
              </w:rPr>
            </w:pPr>
          </w:p>
        </w:tc>
      </w:tr>
      <w:tr w14:paraId="13F72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0E797107">
            <w:pPr>
              <w:spacing w:line="360" w:lineRule="auto"/>
              <w:jc w:val="center"/>
              <w:rPr>
                <w:rFonts w:ascii="宋体" w:hAnsi="宋体" w:cs="宋体"/>
                <w:color w:val="auto"/>
                <w:szCs w:val="21"/>
                <w:highlight w:val="none"/>
              </w:rPr>
            </w:pPr>
          </w:p>
        </w:tc>
        <w:tc>
          <w:tcPr>
            <w:tcW w:w="1631" w:type="dxa"/>
            <w:vAlign w:val="center"/>
          </w:tcPr>
          <w:p w14:paraId="77D098B3">
            <w:pPr>
              <w:spacing w:line="360" w:lineRule="auto"/>
              <w:jc w:val="center"/>
              <w:rPr>
                <w:rFonts w:ascii="宋体" w:hAnsi="宋体" w:cs="宋体"/>
                <w:color w:val="auto"/>
                <w:szCs w:val="21"/>
                <w:highlight w:val="none"/>
              </w:rPr>
            </w:pPr>
          </w:p>
        </w:tc>
        <w:tc>
          <w:tcPr>
            <w:tcW w:w="1955" w:type="dxa"/>
            <w:vAlign w:val="center"/>
          </w:tcPr>
          <w:p w14:paraId="694FD314">
            <w:pPr>
              <w:spacing w:line="360" w:lineRule="auto"/>
              <w:jc w:val="center"/>
              <w:rPr>
                <w:rFonts w:ascii="宋体" w:hAnsi="宋体" w:cs="宋体"/>
                <w:color w:val="auto"/>
                <w:szCs w:val="21"/>
                <w:highlight w:val="none"/>
              </w:rPr>
            </w:pPr>
          </w:p>
        </w:tc>
        <w:tc>
          <w:tcPr>
            <w:tcW w:w="1149" w:type="dxa"/>
            <w:vAlign w:val="center"/>
          </w:tcPr>
          <w:p w14:paraId="6E264EC9">
            <w:pPr>
              <w:spacing w:line="360" w:lineRule="auto"/>
              <w:jc w:val="center"/>
              <w:rPr>
                <w:rFonts w:ascii="宋体" w:hAnsi="宋体" w:cs="宋体"/>
                <w:color w:val="auto"/>
                <w:szCs w:val="21"/>
                <w:highlight w:val="none"/>
              </w:rPr>
            </w:pPr>
          </w:p>
        </w:tc>
        <w:tc>
          <w:tcPr>
            <w:tcW w:w="1653" w:type="dxa"/>
            <w:vAlign w:val="center"/>
          </w:tcPr>
          <w:p w14:paraId="13DB0CD0">
            <w:pPr>
              <w:spacing w:line="360" w:lineRule="auto"/>
              <w:jc w:val="center"/>
              <w:rPr>
                <w:rFonts w:ascii="宋体" w:hAnsi="宋体" w:cs="宋体"/>
                <w:color w:val="auto"/>
                <w:szCs w:val="21"/>
                <w:highlight w:val="none"/>
              </w:rPr>
            </w:pPr>
          </w:p>
        </w:tc>
        <w:tc>
          <w:tcPr>
            <w:tcW w:w="2606" w:type="dxa"/>
            <w:vAlign w:val="center"/>
          </w:tcPr>
          <w:p w14:paraId="3468BBED">
            <w:pPr>
              <w:spacing w:line="360" w:lineRule="auto"/>
              <w:jc w:val="center"/>
              <w:rPr>
                <w:rFonts w:ascii="宋体" w:hAnsi="宋体" w:cs="宋体"/>
                <w:color w:val="auto"/>
                <w:szCs w:val="21"/>
                <w:highlight w:val="none"/>
              </w:rPr>
            </w:pPr>
          </w:p>
        </w:tc>
      </w:tr>
      <w:tr w14:paraId="3F401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4BFC9AC0">
            <w:pPr>
              <w:spacing w:line="360" w:lineRule="auto"/>
              <w:jc w:val="center"/>
              <w:rPr>
                <w:rFonts w:ascii="宋体" w:hAnsi="宋体" w:cs="宋体"/>
                <w:color w:val="auto"/>
                <w:szCs w:val="21"/>
                <w:highlight w:val="none"/>
              </w:rPr>
            </w:pPr>
          </w:p>
        </w:tc>
        <w:tc>
          <w:tcPr>
            <w:tcW w:w="1631" w:type="dxa"/>
            <w:vAlign w:val="center"/>
          </w:tcPr>
          <w:p w14:paraId="77DDFEDD">
            <w:pPr>
              <w:spacing w:line="360" w:lineRule="auto"/>
              <w:jc w:val="center"/>
              <w:rPr>
                <w:rFonts w:ascii="宋体" w:hAnsi="宋体" w:cs="宋体"/>
                <w:color w:val="auto"/>
                <w:szCs w:val="21"/>
                <w:highlight w:val="none"/>
              </w:rPr>
            </w:pPr>
          </w:p>
        </w:tc>
        <w:tc>
          <w:tcPr>
            <w:tcW w:w="1955" w:type="dxa"/>
            <w:vAlign w:val="center"/>
          </w:tcPr>
          <w:p w14:paraId="39661B44">
            <w:pPr>
              <w:spacing w:line="360" w:lineRule="auto"/>
              <w:jc w:val="center"/>
              <w:rPr>
                <w:rFonts w:ascii="宋体" w:hAnsi="宋体" w:cs="宋体"/>
                <w:color w:val="auto"/>
                <w:szCs w:val="21"/>
                <w:highlight w:val="none"/>
              </w:rPr>
            </w:pPr>
          </w:p>
        </w:tc>
        <w:tc>
          <w:tcPr>
            <w:tcW w:w="1149" w:type="dxa"/>
            <w:vAlign w:val="center"/>
          </w:tcPr>
          <w:p w14:paraId="7AECC986">
            <w:pPr>
              <w:spacing w:line="360" w:lineRule="auto"/>
              <w:jc w:val="center"/>
              <w:rPr>
                <w:rFonts w:ascii="宋体" w:hAnsi="宋体" w:cs="宋体"/>
                <w:color w:val="auto"/>
                <w:szCs w:val="21"/>
                <w:highlight w:val="none"/>
              </w:rPr>
            </w:pPr>
          </w:p>
        </w:tc>
        <w:tc>
          <w:tcPr>
            <w:tcW w:w="1653" w:type="dxa"/>
            <w:vAlign w:val="center"/>
          </w:tcPr>
          <w:p w14:paraId="11A5015D">
            <w:pPr>
              <w:spacing w:line="360" w:lineRule="auto"/>
              <w:jc w:val="center"/>
              <w:rPr>
                <w:rFonts w:ascii="宋体" w:hAnsi="宋体" w:cs="宋体"/>
                <w:color w:val="auto"/>
                <w:szCs w:val="21"/>
                <w:highlight w:val="none"/>
              </w:rPr>
            </w:pPr>
          </w:p>
        </w:tc>
        <w:tc>
          <w:tcPr>
            <w:tcW w:w="2606" w:type="dxa"/>
            <w:vAlign w:val="center"/>
          </w:tcPr>
          <w:p w14:paraId="5A458752">
            <w:pPr>
              <w:spacing w:line="360" w:lineRule="auto"/>
              <w:jc w:val="center"/>
              <w:rPr>
                <w:rFonts w:ascii="宋体" w:hAnsi="宋体" w:cs="宋体"/>
                <w:color w:val="auto"/>
                <w:szCs w:val="21"/>
                <w:highlight w:val="none"/>
              </w:rPr>
            </w:pPr>
          </w:p>
        </w:tc>
      </w:tr>
      <w:tr w14:paraId="71DBD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2B16B3AF">
            <w:pPr>
              <w:spacing w:line="360" w:lineRule="auto"/>
              <w:jc w:val="center"/>
              <w:rPr>
                <w:rFonts w:ascii="宋体" w:hAnsi="宋体" w:cs="宋体"/>
                <w:color w:val="auto"/>
                <w:szCs w:val="21"/>
                <w:highlight w:val="none"/>
              </w:rPr>
            </w:pPr>
          </w:p>
        </w:tc>
        <w:tc>
          <w:tcPr>
            <w:tcW w:w="1631" w:type="dxa"/>
            <w:vAlign w:val="center"/>
          </w:tcPr>
          <w:p w14:paraId="6A3DD7AF">
            <w:pPr>
              <w:spacing w:line="360" w:lineRule="auto"/>
              <w:jc w:val="center"/>
              <w:rPr>
                <w:rFonts w:ascii="宋体" w:hAnsi="宋体" w:cs="宋体"/>
                <w:color w:val="auto"/>
                <w:szCs w:val="21"/>
                <w:highlight w:val="none"/>
              </w:rPr>
            </w:pPr>
          </w:p>
        </w:tc>
        <w:tc>
          <w:tcPr>
            <w:tcW w:w="1955" w:type="dxa"/>
            <w:vAlign w:val="center"/>
          </w:tcPr>
          <w:p w14:paraId="0F53F146">
            <w:pPr>
              <w:spacing w:line="360" w:lineRule="auto"/>
              <w:jc w:val="center"/>
              <w:rPr>
                <w:rFonts w:ascii="宋体" w:hAnsi="宋体" w:cs="宋体"/>
                <w:color w:val="auto"/>
                <w:szCs w:val="21"/>
                <w:highlight w:val="none"/>
              </w:rPr>
            </w:pPr>
          </w:p>
        </w:tc>
        <w:tc>
          <w:tcPr>
            <w:tcW w:w="1149" w:type="dxa"/>
            <w:vAlign w:val="center"/>
          </w:tcPr>
          <w:p w14:paraId="5B5CF080">
            <w:pPr>
              <w:spacing w:line="360" w:lineRule="auto"/>
              <w:jc w:val="center"/>
              <w:rPr>
                <w:rFonts w:ascii="宋体" w:hAnsi="宋体" w:cs="宋体"/>
                <w:color w:val="auto"/>
                <w:szCs w:val="21"/>
                <w:highlight w:val="none"/>
              </w:rPr>
            </w:pPr>
          </w:p>
        </w:tc>
        <w:tc>
          <w:tcPr>
            <w:tcW w:w="1653" w:type="dxa"/>
            <w:vAlign w:val="center"/>
          </w:tcPr>
          <w:p w14:paraId="295D277D">
            <w:pPr>
              <w:spacing w:line="360" w:lineRule="auto"/>
              <w:jc w:val="center"/>
              <w:rPr>
                <w:rFonts w:ascii="宋体" w:hAnsi="宋体" w:cs="宋体"/>
                <w:color w:val="auto"/>
                <w:szCs w:val="21"/>
                <w:highlight w:val="none"/>
              </w:rPr>
            </w:pPr>
          </w:p>
        </w:tc>
        <w:tc>
          <w:tcPr>
            <w:tcW w:w="2606" w:type="dxa"/>
            <w:vAlign w:val="center"/>
          </w:tcPr>
          <w:p w14:paraId="4F0567AA">
            <w:pPr>
              <w:spacing w:line="360" w:lineRule="auto"/>
              <w:jc w:val="center"/>
              <w:rPr>
                <w:rFonts w:ascii="宋体" w:hAnsi="宋体" w:cs="宋体"/>
                <w:color w:val="auto"/>
                <w:szCs w:val="21"/>
                <w:highlight w:val="none"/>
              </w:rPr>
            </w:pPr>
          </w:p>
        </w:tc>
      </w:tr>
      <w:tr w14:paraId="5E621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32A2669D">
            <w:pPr>
              <w:spacing w:line="360" w:lineRule="auto"/>
              <w:jc w:val="center"/>
              <w:rPr>
                <w:rFonts w:ascii="宋体" w:hAnsi="宋体" w:cs="宋体"/>
                <w:color w:val="auto"/>
                <w:szCs w:val="21"/>
                <w:highlight w:val="none"/>
              </w:rPr>
            </w:pPr>
          </w:p>
        </w:tc>
        <w:tc>
          <w:tcPr>
            <w:tcW w:w="1631" w:type="dxa"/>
            <w:vAlign w:val="center"/>
          </w:tcPr>
          <w:p w14:paraId="468933E3">
            <w:pPr>
              <w:spacing w:line="360" w:lineRule="auto"/>
              <w:jc w:val="center"/>
              <w:rPr>
                <w:rFonts w:ascii="宋体" w:hAnsi="宋体" w:cs="宋体"/>
                <w:color w:val="auto"/>
                <w:szCs w:val="21"/>
                <w:highlight w:val="none"/>
              </w:rPr>
            </w:pPr>
          </w:p>
        </w:tc>
        <w:tc>
          <w:tcPr>
            <w:tcW w:w="1955" w:type="dxa"/>
            <w:vAlign w:val="center"/>
          </w:tcPr>
          <w:p w14:paraId="42129EBC">
            <w:pPr>
              <w:spacing w:line="360" w:lineRule="auto"/>
              <w:jc w:val="center"/>
              <w:rPr>
                <w:rFonts w:ascii="宋体" w:hAnsi="宋体" w:cs="宋体"/>
                <w:color w:val="auto"/>
                <w:szCs w:val="21"/>
                <w:highlight w:val="none"/>
              </w:rPr>
            </w:pPr>
          </w:p>
        </w:tc>
        <w:tc>
          <w:tcPr>
            <w:tcW w:w="1149" w:type="dxa"/>
            <w:vAlign w:val="center"/>
          </w:tcPr>
          <w:p w14:paraId="2226AFF8">
            <w:pPr>
              <w:spacing w:line="360" w:lineRule="auto"/>
              <w:jc w:val="center"/>
              <w:rPr>
                <w:rFonts w:ascii="宋体" w:hAnsi="宋体" w:cs="宋体"/>
                <w:color w:val="auto"/>
                <w:szCs w:val="21"/>
                <w:highlight w:val="none"/>
              </w:rPr>
            </w:pPr>
          </w:p>
        </w:tc>
        <w:tc>
          <w:tcPr>
            <w:tcW w:w="1653" w:type="dxa"/>
            <w:vAlign w:val="center"/>
          </w:tcPr>
          <w:p w14:paraId="57896693">
            <w:pPr>
              <w:spacing w:line="360" w:lineRule="auto"/>
              <w:jc w:val="center"/>
              <w:rPr>
                <w:rFonts w:ascii="宋体" w:hAnsi="宋体" w:cs="宋体"/>
                <w:color w:val="auto"/>
                <w:szCs w:val="21"/>
                <w:highlight w:val="none"/>
              </w:rPr>
            </w:pPr>
          </w:p>
        </w:tc>
        <w:tc>
          <w:tcPr>
            <w:tcW w:w="2606" w:type="dxa"/>
            <w:vAlign w:val="center"/>
          </w:tcPr>
          <w:p w14:paraId="4D59CE10">
            <w:pPr>
              <w:spacing w:line="360" w:lineRule="auto"/>
              <w:jc w:val="center"/>
              <w:rPr>
                <w:rFonts w:ascii="宋体" w:hAnsi="宋体" w:cs="宋体"/>
                <w:color w:val="auto"/>
                <w:szCs w:val="21"/>
                <w:highlight w:val="none"/>
              </w:rPr>
            </w:pPr>
          </w:p>
        </w:tc>
      </w:tr>
    </w:tbl>
    <w:p w14:paraId="013E1A61">
      <w:pPr>
        <w:spacing w:line="360" w:lineRule="auto"/>
        <w:jc w:val="center"/>
        <w:outlineLvl w:val="2"/>
        <w:rPr>
          <w:rStyle w:val="65"/>
          <w:rFonts w:hint="eastAsia" w:ascii="宋体" w:hAnsi="宋体" w:eastAsia="宋体" w:cs="宋体"/>
          <w:color w:val="auto"/>
          <w:sz w:val="28"/>
          <w:szCs w:val="28"/>
          <w:highlight w:val="none"/>
        </w:rPr>
      </w:pPr>
    </w:p>
    <w:p w14:paraId="7B2B544F">
      <w:pPr>
        <w:spacing w:line="360" w:lineRule="auto"/>
        <w:jc w:val="center"/>
        <w:outlineLvl w:val="2"/>
        <w:rPr>
          <w:rStyle w:val="65"/>
          <w:rFonts w:hint="eastAsia" w:ascii="宋体" w:hAnsi="宋体" w:eastAsia="宋体" w:cs="宋体"/>
          <w:color w:val="auto"/>
          <w:sz w:val="28"/>
          <w:szCs w:val="28"/>
          <w:highlight w:val="none"/>
        </w:rPr>
      </w:pPr>
    </w:p>
    <w:p w14:paraId="5E8A3AF1">
      <w:pPr>
        <w:spacing w:line="360" w:lineRule="auto"/>
        <w:jc w:val="center"/>
        <w:outlineLvl w:val="2"/>
        <w:rPr>
          <w:rStyle w:val="65"/>
          <w:rFonts w:hint="eastAsia" w:ascii="宋体" w:hAnsi="宋体" w:eastAsia="宋体" w:cs="宋体"/>
          <w:color w:val="auto"/>
          <w:sz w:val="28"/>
          <w:szCs w:val="28"/>
          <w:highlight w:val="none"/>
        </w:rPr>
      </w:pPr>
    </w:p>
    <w:p w14:paraId="385BDACF">
      <w:pPr>
        <w:spacing w:line="360" w:lineRule="auto"/>
        <w:jc w:val="center"/>
        <w:outlineLvl w:val="2"/>
        <w:rPr>
          <w:rStyle w:val="65"/>
          <w:rFonts w:hint="eastAsia" w:ascii="宋体" w:hAnsi="宋体" w:eastAsia="宋体" w:cs="宋体"/>
          <w:color w:val="auto"/>
          <w:sz w:val="28"/>
          <w:szCs w:val="28"/>
          <w:highlight w:val="none"/>
        </w:rPr>
      </w:pPr>
    </w:p>
    <w:p w14:paraId="365E8A35">
      <w:pPr>
        <w:spacing w:line="360" w:lineRule="auto"/>
        <w:jc w:val="center"/>
        <w:outlineLvl w:val="2"/>
        <w:rPr>
          <w:rStyle w:val="65"/>
          <w:rFonts w:hint="eastAsia" w:ascii="宋体" w:hAnsi="宋体" w:eastAsia="宋体" w:cs="宋体"/>
          <w:color w:val="auto"/>
          <w:sz w:val="28"/>
          <w:szCs w:val="28"/>
          <w:highlight w:val="none"/>
        </w:rPr>
      </w:pPr>
    </w:p>
    <w:p w14:paraId="51ECFB96">
      <w:pPr>
        <w:spacing w:line="360" w:lineRule="auto"/>
        <w:jc w:val="center"/>
        <w:outlineLvl w:val="2"/>
        <w:rPr>
          <w:rStyle w:val="65"/>
          <w:rFonts w:hint="eastAsia" w:ascii="宋体" w:hAnsi="宋体" w:eastAsia="宋体" w:cs="宋体"/>
          <w:color w:val="auto"/>
          <w:sz w:val="28"/>
          <w:szCs w:val="28"/>
          <w:highlight w:val="none"/>
        </w:rPr>
      </w:pPr>
    </w:p>
    <w:p w14:paraId="68741DDD">
      <w:pPr>
        <w:rPr>
          <w:rStyle w:val="65"/>
          <w:rFonts w:hint="eastAsia" w:ascii="宋体" w:hAnsi="宋体" w:eastAsia="宋体" w:cs="宋体"/>
          <w:color w:val="auto"/>
          <w:sz w:val="28"/>
          <w:szCs w:val="28"/>
          <w:highlight w:val="none"/>
          <w:lang w:val="en-US" w:eastAsia="zh-CN"/>
        </w:rPr>
      </w:pPr>
      <w:r>
        <w:rPr>
          <w:rStyle w:val="65"/>
          <w:rFonts w:hint="eastAsia" w:ascii="宋体" w:hAnsi="宋体" w:eastAsia="宋体" w:cs="宋体"/>
          <w:color w:val="auto"/>
          <w:sz w:val="28"/>
          <w:szCs w:val="28"/>
          <w:highlight w:val="none"/>
          <w:lang w:val="en-US" w:eastAsia="zh-CN"/>
        </w:rPr>
        <w:br w:type="page"/>
      </w:r>
    </w:p>
    <w:p w14:paraId="28472B41">
      <w:pPr>
        <w:spacing w:line="360" w:lineRule="auto"/>
        <w:jc w:val="center"/>
        <w:outlineLvl w:val="2"/>
        <w:rPr>
          <w:rStyle w:val="65"/>
          <w:rFonts w:hint="eastAsia" w:ascii="宋体" w:hAnsi="宋体" w:eastAsia="宋体" w:cs="宋体"/>
          <w:color w:val="auto"/>
          <w:sz w:val="28"/>
          <w:szCs w:val="28"/>
          <w:highlight w:val="none"/>
        </w:rPr>
      </w:pPr>
      <w:r>
        <w:rPr>
          <w:rStyle w:val="65"/>
          <w:rFonts w:hint="eastAsia" w:asciiTheme="majorEastAsia" w:hAnsiTheme="majorEastAsia" w:eastAsiaTheme="majorEastAsia" w:cstheme="majorEastAsia"/>
          <w:color w:val="auto"/>
          <w:sz w:val="28"/>
          <w:szCs w:val="28"/>
          <w:highlight w:val="none"/>
          <w:lang w:val="en-US" w:eastAsia="zh-CN"/>
        </w:rPr>
        <w:t>十一、</w:t>
      </w:r>
      <w:r>
        <w:rPr>
          <w:rStyle w:val="65"/>
          <w:rFonts w:hint="eastAsia" w:ascii="宋体" w:hAnsi="宋体" w:eastAsia="宋体" w:cs="宋体"/>
          <w:color w:val="auto"/>
          <w:sz w:val="28"/>
          <w:szCs w:val="28"/>
          <w:highlight w:val="none"/>
          <w:lang w:val="en-US" w:eastAsia="zh-CN"/>
        </w:rPr>
        <w:t>供应商</w:t>
      </w:r>
      <w:r>
        <w:rPr>
          <w:rStyle w:val="65"/>
          <w:rFonts w:hint="eastAsia" w:ascii="宋体" w:hAnsi="宋体" w:eastAsia="宋体" w:cs="宋体"/>
          <w:color w:val="auto"/>
          <w:sz w:val="28"/>
          <w:szCs w:val="28"/>
          <w:highlight w:val="none"/>
          <w:lang w:eastAsia="zh-CN"/>
        </w:rPr>
        <w:t>（</w:t>
      </w:r>
      <w:r>
        <w:rPr>
          <w:rStyle w:val="65"/>
          <w:rFonts w:hint="eastAsia" w:ascii="宋体" w:hAnsi="宋体" w:eastAsia="宋体" w:cs="宋体"/>
          <w:color w:val="auto"/>
          <w:sz w:val="28"/>
          <w:szCs w:val="28"/>
          <w:highlight w:val="none"/>
          <w:lang w:val="en-US" w:eastAsia="zh-CN"/>
        </w:rPr>
        <w:t>2022年至今</w:t>
      </w:r>
      <w:r>
        <w:rPr>
          <w:rStyle w:val="65"/>
          <w:rFonts w:hint="eastAsia" w:ascii="宋体" w:hAnsi="宋体" w:eastAsia="宋体" w:cs="宋体"/>
          <w:color w:val="auto"/>
          <w:sz w:val="28"/>
          <w:szCs w:val="28"/>
          <w:highlight w:val="none"/>
          <w:lang w:eastAsia="zh-CN"/>
        </w:rPr>
        <w:t>）</w:t>
      </w:r>
      <w:r>
        <w:rPr>
          <w:rStyle w:val="65"/>
          <w:rFonts w:hint="eastAsia" w:ascii="宋体" w:hAnsi="宋体" w:eastAsia="宋体" w:cs="宋体"/>
          <w:color w:val="auto"/>
          <w:sz w:val="28"/>
          <w:szCs w:val="28"/>
          <w:highlight w:val="none"/>
        </w:rPr>
        <w:t>完成的类似项目情况表</w:t>
      </w:r>
      <w:bookmarkEnd w:id="54"/>
    </w:p>
    <w:bookmarkEnd w:id="55"/>
    <w:tbl>
      <w:tblPr>
        <w:tblStyle w:val="34"/>
        <w:tblW w:w="94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1713"/>
        <w:gridCol w:w="2170"/>
        <w:gridCol w:w="1590"/>
        <w:gridCol w:w="1445"/>
        <w:gridCol w:w="1649"/>
      </w:tblGrid>
      <w:tr w14:paraId="321CF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jc w:val="center"/>
        </w:trPr>
        <w:tc>
          <w:tcPr>
            <w:tcW w:w="862" w:type="dxa"/>
            <w:vAlign w:val="center"/>
          </w:tcPr>
          <w:p w14:paraId="437ED071">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序号</w:t>
            </w:r>
          </w:p>
        </w:tc>
        <w:tc>
          <w:tcPr>
            <w:tcW w:w="1713" w:type="dxa"/>
            <w:vAlign w:val="center"/>
          </w:tcPr>
          <w:p w14:paraId="381D5BBF">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采购人</w:t>
            </w:r>
          </w:p>
        </w:tc>
        <w:tc>
          <w:tcPr>
            <w:tcW w:w="2170" w:type="dxa"/>
            <w:vAlign w:val="center"/>
          </w:tcPr>
          <w:p w14:paraId="44AC60E1">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项目名称</w:t>
            </w:r>
          </w:p>
        </w:tc>
        <w:tc>
          <w:tcPr>
            <w:tcW w:w="1590" w:type="dxa"/>
            <w:vAlign w:val="center"/>
          </w:tcPr>
          <w:p w14:paraId="651D3338">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 xml:space="preserve">合同金额 </w:t>
            </w:r>
          </w:p>
          <w:p w14:paraId="5213C775">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 xml:space="preserve"> (人民币)</w:t>
            </w:r>
          </w:p>
        </w:tc>
        <w:tc>
          <w:tcPr>
            <w:tcW w:w="1445" w:type="dxa"/>
            <w:vAlign w:val="center"/>
          </w:tcPr>
          <w:p w14:paraId="2EF451A4">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签订时间</w:t>
            </w:r>
          </w:p>
        </w:tc>
        <w:tc>
          <w:tcPr>
            <w:tcW w:w="1649" w:type="dxa"/>
            <w:vAlign w:val="center"/>
          </w:tcPr>
          <w:p w14:paraId="2A57EF1A">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lang w:eastAsia="zh-CN"/>
              </w:rPr>
              <w:t>合同履行期限</w:t>
            </w:r>
          </w:p>
        </w:tc>
      </w:tr>
      <w:tr w14:paraId="6E587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vAlign w:val="center"/>
          </w:tcPr>
          <w:p w14:paraId="7F6301CE">
            <w:pPr>
              <w:spacing w:line="360" w:lineRule="auto"/>
              <w:rPr>
                <w:rFonts w:hint="eastAsia" w:ascii="宋体" w:hAnsi="宋体"/>
                <w:b/>
                <w:bCs/>
                <w:color w:val="auto"/>
                <w:sz w:val="24"/>
                <w:highlight w:val="none"/>
              </w:rPr>
            </w:pPr>
          </w:p>
        </w:tc>
        <w:tc>
          <w:tcPr>
            <w:tcW w:w="1713" w:type="dxa"/>
            <w:vAlign w:val="center"/>
          </w:tcPr>
          <w:p w14:paraId="66B54CCB">
            <w:pPr>
              <w:spacing w:line="360" w:lineRule="auto"/>
              <w:rPr>
                <w:rFonts w:hint="eastAsia" w:ascii="宋体" w:hAnsi="宋体"/>
                <w:b/>
                <w:bCs/>
                <w:color w:val="auto"/>
                <w:szCs w:val="21"/>
                <w:highlight w:val="none"/>
              </w:rPr>
            </w:pPr>
          </w:p>
        </w:tc>
        <w:tc>
          <w:tcPr>
            <w:tcW w:w="2170" w:type="dxa"/>
            <w:vAlign w:val="center"/>
          </w:tcPr>
          <w:p w14:paraId="68D9C52D">
            <w:pPr>
              <w:spacing w:line="360" w:lineRule="auto"/>
              <w:rPr>
                <w:rFonts w:hint="eastAsia" w:ascii="宋体" w:hAnsi="宋体"/>
                <w:b/>
                <w:bCs/>
                <w:color w:val="auto"/>
                <w:szCs w:val="21"/>
                <w:highlight w:val="none"/>
              </w:rPr>
            </w:pPr>
          </w:p>
        </w:tc>
        <w:tc>
          <w:tcPr>
            <w:tcW w:w="1590" w:type="dxa"/>
            <w:vAlign w:val="center"/>
          </w:tcPr>
          <w:p w14:paraId="72A79D8F">
            <w:pPr>
              <w:spacing w:line="360" w:lineRule="auto"/>
              <w:rPr>
                <w:rFonts w:hint="eastAsia" w:ascii="宋体" w:hAnsi="宋体"/>
                <w:b/>
                <w:bCs/>
                <w:color w:val="auto"/>
                <w:szCs w:val="21"/>
                <w:highlight w:val="none"/>
              </w:rPr>
            </w:pPr>
          </w:p>
        </w:tc>
        <w:tc>
          <w:tcPr>
            <w:tcW w:w="1445" w:type="dxa"/>
          </w:tcPr>
          <w:p w14:paraId="741857DE">
            <w:pPr>
              <w:pStyle w:val="75"/>
              <w:spacing w:before="145"/>
              <w:rPr>
                <w:rFonts w:ascii="宋体" w:hAnsi="宋体" w:cs="宋体"/>
                <w:color w:val="auto"/>
                <w:szCs w:val="21"/>
                <w:highlight w:val="none"/>
              </w:rPr>
            </w:pPr>
          </w:p>
        </w:tc>
        <w:tc>
          <w:tcPr>
            <w:tcW w:w="1649" w:type="dxa"/>
            <w:vAlign w:val="center"/>
          </w:tcPr>
          <w:p w14:paraId="736043E1">
            <w:pPr>
              <w:spacing w:line="360" w:lineRule="auto"/>
              <w:rPr>
                <w:rFonts w:hint="eastAsia" w:ascii="宋体" w:hAnsi="宋体"/>
                <w:bCs/>
                <w:color w:val="auto"/>
                <w:szCs w:val="21"/>
                <w:highlight w:val="none"/>
              </w:rPr>
            </w:pPr>
          </w:p>
        </w:tc>
      </w:tr>
      <w:tr w14:paraId="2FD23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vAlign w:val="center"/>
          </w:tcPr>
          <w:p w14:paraId="765724AC">
            <w:pPr>
              <w:spacing w:line="360" w:lineRule="auto"/>
              <w:rPr>
                <w:rFonts w:hint="eastAsia" w:ascii="宋体" w:hAnsi="宋体"/>
                <w:b/>
                <w:bCs/>
                <w:color w:val="auto"/>
                <w:sz w:val="24"/>
                <w:highlight w:val="none"/>
              </w:rPr>
            </w:pPr>
          </w:p>
        </w:tc>
        <w:tc>
          <w:tcPr>
            <w:tcW w:w="1713" w:type="dxa"/>
            <w:vAlign w:val="center"/>
          </w:tcPr>
          <w:p w14:paraId="5393B4B6">
            <w:pPr>
              <w:spacing w:line="360" w:lineRule="auto"/>
              <w:rPr>
                <w:rFonts w:hint="eastAsia" w:ascii="宋体" w:hAnsi="宋体"/>
                <w:b/>
                <w:bCs/>
                <w:color w:val="auto"/>
                <w:szCs w:val="21"/>
                <w:highlight w:val="none"/>
              </w:rPr>
            </w:pPr>
          </w:p>
        </w:tc>
        <w:tc>
          <w:tcPr>
            <w:tcW w:w="2170" w:type="dxa"/>
            <w:vAlign w:val="center"/>
          </w:tcPr>
          <w:p w14:paraId="2257D51A">
            <w:pPr>
              <w:spacing w:line="360" w:lineRule="auto"/>
              <w:rPr>
                <w:rFonts w:hint="eastAsia" w:ascii="宋体" w:hAnsi="宋体"/>
                <w:b/>
                <w:bCs/>
                <w:color w:val="auto"/>
                <w:szCs w:val="21"/>
                <w:highlight w:val="none"/>
              </w:rPr>
            </w:pPr>
          </w:p>
        </w:tc>
        <w:tc>
          <w:tcPr>
            <w:tcW w:w="1590" w:type="dxa"/>
            <w:vAlign w:val="center"/>
          </w:tcPr>
          <w:p w14:paraId="138AE7A5">
            <w:pPr>
              <w:spacing w:line="360" w:lineRule="auto"/>
              <w:rPr>
                <w:rFonts w:hint="eastAsia" w:ascii="宋体" w:hAnsi="宋体"/>
                <w:b/>
                <w:bCs/>
                <w:color w:val="auto"/>
                <w:sz w:val="24"/>
                <w:highlight w:val="none"/>
              </w:rPr>
            </w:pPr>
          </w:p>
        </w:tc>
        <w:tc>
          <w:tcPr>
            <w:tcW w:w="1445" w:type="dxa"/>
          </w:tcPr>
          <w:p w14:paraId="46D14F65">
            <w:pPr>
              <w:spacing w:line="360" w:lineRule="auto"/>
              <w:jc w:val="left"/>
              <w:rPr>
                <w:rFonts w:hint="eastAsia" w:ascii="宋体" w:hAnsi="宋体"/>
                <w:b/>
                <w:bCs/>
                <w:color w:val="auto"/>
                <w:szCs w:val="21"/>
                <w:highlight w:val="none"/>
              </w:rPr>
            </w:pPr>
          </w:p>
        </w:tc>
        <w:tc>
          <w:tcPr>
            <w:tcW w:w="1649" w:type="dxa"/>
            <w:vAlign w:val="center"/>
          </w:tcPr>
          <w:p w14:paraId="48E68B34">
            <w:pPr>
              <w:spacing w:line="360" w:lineRule="auto"/>
              <w:rPr>
                <w:rFonts w:hint="eastAsia" w:ascii="宋体" w:hAnsi="宋体"/>
                <w:b/>
                <w:bCs/>
                <w:color w:val="auto"/>
                <w:sz w:val="24"/>
                <w:highlight w:val="none"/>
              </w:rPr>
            </w:pPr>
          </w:p>
        </w:tc>
      </w:tr>
      <w:tr w14:paraId="311DE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763134B3">
            <w:pPr>
              <w:spacing w:line="360" w:lineRule="auto"/>
              <w:jc w:val="left"/>
              <w:rPr>
                <w:rFonts w:hint="eastAsia" w:ascii="宋体" w:hAnsi="宋体"/>
                <w:b/>
                <w:bCs/>
                <w:color w:val="auto"/>
                <w:sz w:val="24"/>
                <w:highlight w:val="none"/>
              </w:rPr>
            </w:pPr>
          </w:p>
        </w:tc>
        <w:tc>
          <w:tcPr>
            <w:tcW w:w="1713" w:type="dxa"/>
          </w:tcPr>
          <w:p w14:paraId="2062183C">
            <w:pPr>
              <w:spacing w:line="360" w:lineRule="auto"/>
              <w:jc w:val="left"/>
              <w:rPr>
                <w:rFonts w:hint="eastAsia" w:ascii="宋体" w:hAnsi="宋体"/>
                <w:b/>
                <w:bCs/>
                <w:color w:val="auto"/>
                <w:sz w:val="24"/>
                <w:highlight w:val="none"/>
              </w:rPr>
            </w:pPr>
          </w:p>
        </w:tc>
        <w:tc>
          <w:tcPr>
            <w:tcW w:w="2170" w:type="dxa"/>
          </w:tcPr>
          <w:p w14:paraId="75F05C06">
            <w:pPr>
              <w:spacing w:line="360" w:lineRule="auto"/>
              <w:jc w:val="left"/>
              <w:rPr>
                <w:rFonts w:hint="eastAsia" w:ascii="宋体" w:hAnsi="宋体"/>
                <w:b/>
                <w:bCs/>
                <w:color w:val="auto"/>
                <w:sz w:val="24"/>
                <w:highlight w:val="none"/>
              </w:rPr>
            </w:pPr>
          </w:p>
        </w:tc>
        <w:tc>
          <w:tcPr>
            <w:tcW w:w="1590" w:type="dxa"/>
          </w:tcPr>
          <w:p w14:paraId="7141B83B">
            <w:pPr>
              <w:spacing w:line="360" w:lineRule="auto"/>
              <w:jc w:val="left"/>
              <w:rPr>
                <w:rFonts w:hint="eastAsia" w:ascii="宋体" w:hAnsi="宋体"/>
                <w:b/>
                <w:bCs/>
                <w:color w:val="auto"/>
                <w:sz w:val="24"/>
                <w:highlight w:val="none"/>
              </w:rPr>
            </w:pPr>
          </w:p>
        </w:tc>
        <w:tc>
          <w:tcPr>
            <w:tcW w:w="1445" w:type="dxa"/>
          </w:tcPr>
          <w:p w14:paraId="7E844704">
            <w:pPr>
              <w:spacing w:line="360" w:lineRule="auto"/>
              <w:jc w:val="left"/>
              <w:rPr>
                <w:rFonts w:hint="eastAsia" w:ascii="宋体" w:hAnsi="宋体"/>
                <w:b/>
                <w:bCs/>
                <w:color w:val="auto"/>
                <w:sz w:val="24"/>
                <w:highlight w:val="none"/>
              </w:rPr>
            </w:pPr>
          </w:p>
        </w:tc>
        <w:tc>
          <w:tcPr>
            <w:tcW w:w="1649" w:type="dxa"/>
          </w:tcPr>
          <w:p w14:paraId="2E6A2940">
            <w:pPr>
              <w:spacing w:line="360" w:lineRule="auto"/>
              <w:jc w:val="left"/>
              <w:rPr>
                <w:rFonts w:hint="eastAsia" w:ascii="宋体" w:hAnsi="宋体"/>
                <w:b/>
                <w:bCs/>
                <w:color w:val="auto"/>
                <w:sz w:val="24"/>
                <w:highlight w:val="none"/>
              </w:rPr>
            </w:pPr>
          </w:p>
        </w:tc>
      </w:tr>
      <w:tr w14:paraId="447C8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71C97371">
            <w:pPr>
              <w:spacing w:line="360" w:lineRule="auto"/>
              <w:jc w:val="left"/>
              <w:rPr>
                <w:rFonts w:hint="eastAsia" w:ascii="宋体" w:hAnsi="宋体"/>
                <w:b/>
                <w:bCs/>
                <w:color w:val="auto"/>
                <w:sz w:val="24"/>
                <w:highlight w:val="none"/>
              </w:rPr>
            </w:pPr>
          </w:p>
        </w:tc>
        <w:tc>
          <w:tcPr>
            <w:tcW w:w="1713" w:type="dxa"/>
          </w:tcPr>
          <w:p w14:paraId="2CE3682D">
            <w:pPr>
              <w:spacing w:line="360" w:lineRule="auto"/>
              <w:jc w:val="left"/>
              <w:rPr>
                <w:rFonts w:hint="eastAsia" w:ascii="宋体" w:hAnsi="宋体"/>
                <w:b/>
                <w:bCs/>
                <w:color w:val="auto"/>
                <w:sz w:val="24"/>
                <w:highlight w:val="none"/>
              </w:rPr>
            </w:pPr>
          </w:p>
        </w:tc>
        <w:tc>
          <w:tcPr>
            <w:tcW w:w="2170" w:type="dxa"/>
          </w:tcPr>
          <w:p w14:paraId="16A5F92F">
            <w:pPr>
              <w:spacing w:line="360" w:lineRule="auto"/>
              <w:jc w:val="left"/>
              <w:rPr>
                <w:rFonts w:hint="eastAsia" w:ascii="宋体" w:hAnsi="宋体"/>
                <w:b/>
                <w:bCs/>
                <w:color w:val="auto"/>
                <w:sz w:val="24"/>
                <w:highlight w:val="none"/>
              </w:rPr>
            </w:pPr>
          </w:p>
        </w:tc>
        <w:tc>
          <w:tcPr>
            <w:tcW w:w="1590" w:type="dxa"/>
          </w:tcPr>
          <w:p w14:paraId="3AF414CA">
            <w:pPr>
              <w:spacing w:line="360" w:lineRule="auto"/>
              <w:jc w:val="left"/>
              <w:rPr>
                <w:rFonts w:hint="eastAsia" w:ascii="宋体" w:hAnsi="宋体"/>
                <w:b/>
                <w:bCs/>
                <w:color w:val="auto"/>
                <w:sz w:val="24"/>
                <w:highlight w:val="none"/>
              </w:rPr>
            </w:pPr>
          </w:p>
        </w:tc>
        <w:tc>
          <w:tcPr>
            <w:tcW w:w="1445" w:type="dxa"/>
          </w:tcPr>
          <w:p w14:paraId="1F6B44DD">
            <w:pPr>
              <w:pStyle w:val="75"/>
              <w:rPr>
                <w:rFonts w:ascii="宋体" w:hAnsi="宋体" w:cs="宋体"/>
                <w:color w:val="auto"/>
                <w:szCs w:val="21"/>
                <w:highlight w:val="none"/>
              </w:rPr>
            </w:pPr>
          </w:p>
        </w:tc>
        <w:tc>
          <w:tcPr>
            <w:tcW w:w="1649" w:type="dxa"/>
          </w:tcPr>
          <w:p w14:paraId="002972BB">
            <w:pPr>
              <w:spacing w:line="360" w:lineRule="auto"/>
              <w:jc w:val="left"/>
              <w:rPr>
                <w:rFonts w:hint="eastAsia" w:ascii="宋体" w:hAnsi="宋体"/>
                <w:b/>
                <w:bCs/>
                <w:color w:val="auto"/>
                <w:sz w:val="24"/>
                <w:highlight w:val="none"/>
              </w:rPr>
            </w:pPr>
          </w:p>
        </w:tc>
      </w:tr>
      <w:tr w14:paraId="17068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7D9C4218">
            <w:pPr>
              <w:spacing w:line="360" w:lineRule="auto"/>
              <w:jc w:val="left"/>
              <w:rPr>
                <w:rFonts w:hint="eastAsia" w:ascii="宋体" w:hAnsi="宋体"/>
                <w:b/>
                <w:bCs/>
                <w:color w:val="auto"/>
                <w:sz w:val="24"/>
                <w:highlight w:val="none"/>
              </w:rPr>
            </w:pPr>
          </w:p>
        </w:tc>
        <w:tc>
          <w:tcPr>
            <w:tcW w:w="1713" w:type="dxa"/>
          </w:tcPr>
          <w:p w14:paraId="377507B4">
            <w:pPr>
              <w:spacing w:line="360" w:lineRule="auto"/>
              <w:jc w:val="left"/>
              <w:rPr>
                <w:rFonts w:hint="eastAsia" w:ascii="宋体" w:hAnsi="宋体"/>
                <w:b/>
                <w:bCs/>
                <w:color w:val="auto"/>
                <w:sz w:val="24"/>
                <w:highlight w:val="none"/>
              </w:rPr>
            </w:pPr>
          </w:p>
        </w:tc>
        <w:tc>
          <w:tcPr>
            <w:tcW w:w="2170" w:type="dxa"/>
          </w:tcPr>
          <w:p w14:paraId="38B70579">
            <w:pPr>
              <w:spacing w:line="360" w:lineRule="auto"/>
              <w:jc w:val="left"/>
              <w:rPr>
                <w:rFonts w:hint="eastAsia" w:ascii="宋体" w:hAnsi="宋体"/>
                <w:b/>
                <w:bCs/>
                <w:color w:val="auto"/>
                <w:sz w:val="24"/>
                <w:highlight w:val="none"/>
              </w:rPr>
            </w:pPr>
          </w:p>
        </w:tc>
        <w:tc>
          <w:tcPr>
            <w:tcW w:w="1590" w:type="dxa"/>
          </w:tcPr>
          <w:p w14:paraId="00C6DCE4">
            <w:pPr>
              <w:pStyle w:val="75"/>
              <w:spacing w:before="2"/>
              <w:rPr>
                <w:rFonts w:hint="eastAsia" w:ascii="宋体" w:hAnsi="宋体" w:cs="宋体"/>
                <w:b/>
                <w:bCs/>
                <w:color w:val="auto"/>
                <w:szCs w:val="21"/>
                <w:highlight w:val="none"/>
              </w:rPr>
            </w:pPr>
          </w:p>
        </w:tc>
        <w:tc>
          <w:tcPr>
            <w:tcW w:w="1445" w:type="dxa"/>
          </w:tcPr>
          <w:p w14:paraId="0A015740">
            <w:pPr>
              <w:spacing w:line="360" w:lineRule="auto"/>
              <w:jc w:val="left"/>
              <w:rPr>
                <w:rFonts w:hint="eastAsia" w:ascii="宋体" w:hAnsi="宋体"/>
                <w:b/>
                <w:bCs/>
                <w:color w:val="auto"/>
                <w:sz w:val="24"/>
                <w:highlight w:val="none"/>
              </w:rPr>
            </w:pPr>
          </w:p>
        </w:tc>
        <w:tc>
          <w:tcPr>
            <w:tcW w:w="1649" w:type="dxa"/>
          </w:tcPr>
          <w:p w14:paraId="0A91F16B">
            <w:pPr>
              <w:spacing w:line="360" w:lineRule="auto"/>
              <w:jc w:val="left"/>
              <w:rPr>
                <w:rFonts w:hint="eastAsia" w:ascii="宋体" w:hAnsi="宋体"/>
                <w:b/>
                <w:bCs/>
                <w:color w:val="auto"/>
                <w:sz w:val="24"/>
                <w:highlight w:val="none"/>
              </w:rPr>
            </w:pPr>
          </w:p>
        </w:tc>
      </w:tr>
      <w:tr w14:paraId="06D7C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7FDF3DCB">
            <w:pPr>
              <w:spacing w:line="360" w:lineRule="auto"/>
              <w:jc w:val="left"/>
              <w:rPr>
                <w:rFonts w:hint="eastAsia" w:ascii="宋体" w:hAnsi="宋体"/>
                <w:b/>
                <w:bCs/>
                <w:color w:val="auto"/>
                <w:sz w:val="24"/>
                <w:highlight w:val="none"/>
              </w:rPr>
            </w:pPr>
          </w:p>
        </w:tc>
        <w:tc>
          <w:tcPr>
            <w:tcW w:w="1713" w:type="dxa"/>
          </w:tcPr>
          <w:p w14:paraId="0FFA89B2">
            <w:pPr>
              <w:spacing w:line="360" w:lineRule="auto"/>
              <w:jc w:val="left"/>
              <w:rPr>
                <w:rFonts w:hint="eastAsia" w:ascii="宋体" w:hAnsi="宋体"/>
                <w:b/>
                <w:bCs/>
                <w:color w:val="auto"/>
                <w:sz w:val="24"/>
                <w:highlight w:val="none"/>
              </w:rPr>
            </w:pPr>
          </w:p>
        </w:tc>
        <w:tc>
          <w:tcPr>
            <w:tcW w:w="2170" w:type="dxa"/>
          </w:tcPr>
          <w:p w14:paraId="2D3F6C84">
            <w:pPr>
              <w:spacing w:line="360" w:lineRule="auto"/>
              <w:jc w:val="left"/>
              <w:rPr>
                <w:rFonts w:hint="eastAsia" w:ascii="宋体" w:hAnsi="宋体"/>
                <w:b/>
                <w:bCs/>
                <w:color w:val="auto"/>
                <w:sz w:val="24"/>
                <w:highlight w:val="none"/>
              </w:rPr>
            </w:pPr>
          </w:p>
        </w:tc>
        <w:tc>
          <w:tcPr>
            <w:tcW w:w="1590" w:type="dxa"/>
          </w:tcPr>
          <w:p w14:paraId="31DE6CAE">
            <w:pPr>
              <w:spacing w:line="360" w:lineRule="auto"/>
              <w:jc w:val="left"/>
              <w:rPr>
                <w:rFonts w:hint="eastAsia" w:ascii="宋体" w:hAnsi="宋体"/>
                <w:b/>
                <w:bCs/>
                <w:color w:val="auto"/>
                <w:sz w:val="24"/>
                <w:highlight w:val="none"/>
              </w:rPr>
            </w:pPr>
          </w:p>
        </w:tc>
        <w:tc>
          <w:tcPr>
            <w:tcW w:w="1445" w:type="dxa"/>
            <w:vAlign w:val="center"/>
          </w:tcPr>
          <w:p w14:paraId="7BDE0D5F">
            <w:pPr>
              <w:pStyle w:val="75"/>
              <w:rPr>
                <w:rFonts w:ascii="宋体" w:hAnsi="宋体" w:cs="宋体"/>
                <w:color w:val="auto"/>
                <w:szCs w:val="21"/>
                <w:highlight w:val="none"/>
              </w:rPr>
            </w:pPr>
          </w:p>
        </w:tc>
        <w:tc>
          <w:tcPr>
            <w:tcW w:w="1649" w:type="dxa"/>
          </w:tcPr>
          <w:p w14:paraId="460CAB67">
            <w:pPr>
              <w:spacing w:line="360" w:lineRule="auto"/>
              <w:jc w:val="left"/>
              <w:rPr>
                <w:rFonts w:hint="eastAsia" w:ascii="宋体" w:hAnsi="宋体"/>
                <w:b/>
                <w:bCs/>
                <w:color w:val="auto"/>
                <w:sz w:val="24"/>
                <w:highlight w:val="none"/>
              </w:rPr>
            </w:pPr>
          </w:p>
        </w:tc>
      </w:tr>
      <w:tr w14:paraId="0C81B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454B5C8B">
            <w:pPr>
              <w:spacing w:line="360" w:lineRule="auto"/>
              <w:jc w:val="left"/>
              <w:rPr>
                <w:rFonts w:hint="eastAsia" w:ascii="宋体" w:hAnsi="宋体"/>
                <w:b/>
                <w:bCs/>
                <w:color w:val="auto"/>
                <w:sz w:val="24"/>
                <w:highlight w:val="none"/>
              </w:rPr>
            </w:pPr>
          </w:p>
        </w:tc>
        <w:tc>
          <w:tcPr>
            <w:tcW w:w="1713" w:type="dxa"/>
          </w:tcPr>
          <w:p w14:paraId="10CD9131">
            <w:pPr>
              <w:spacing w:line="360" w:lineRule="auto"/>
              <w:jc w:val="left"/>
              <w:rPr>
                <w:rFonts w:hint="eastAsia" w:ascii="宋体" w:hAnsi="宋体"/>
                <w:b/>
                <w:bCs/>
                <w:color w:val="auto"/>
                <w:sz w:val="24"/>
                <w:highlight w:val="none"/>
              </w:rPr>
            </w:pPr>
          </w:p>
        </w:tc>
        <w:tc>
          <w:tcPr>
            <w:tcW w:w="2170" w:type="dxa"/>
          </w:tcPr>
          <w:p w14:paraId="247488FF">
            <w:pPr>
              <w:spacing w:line="360" w:lineRule="auto"/>
              <w:jc w:val="left"/>
              <w:rPr>
                <w:rFonts w:hint="eastAsia" w:ascii="宋体" w:hAnsi="宋体"/>
                <w:b/>
                <w:bCs/>
                <w:color w:val="auto"/>
                <w:sz w:val="24"/>
                <w:highlight w:val="none"/>
              </w:rPr>
            </w:pPr>
          </w:p>
        </w:tc>
        <w:tc>
          <w:tcPr>
            <w:tcW w:w="1590" w:type="dxa"/>
          </w:tcPr>
          <w:p w14:paraId="1EDB06FC">
            <w:pPr>
              <w:spacing w:line="360" w:lineRule="auto"/>
              <w:jc w:val="left"/>
              <w:rPr>
                <w:rFonts w:hint="eastAsia" w:ascii="宋体" w:hAnsi="宋体"/>
                <w:b/>
                <w:bCs/>
                <w:color w:val="auto"/>
                <w:sz w:val="24"/>
                <w:highlight w:val="none"/>
              </w:rPr>
            </w:pPr>
          </w:p>
        </w:tc>
        <w:tc>
          <w:tcPr>
            <w:tcW w:w="1445" w:type="dxa"/>
          </w:tcPr>
          <w:p w14:paraId="3059A2DD">
            <w:pPr>
              <w:pStyle w:val="75"/>
              <w:spacing w:before="146"/>
              <w:rPr>
                <w:rFonts w:ascii="宋体" w:hAnsi="宋体" w:cs="宋体"/>
                <w:color w:val="auto"/>
                <w:szCs w:val="21"/>
                <w:highlight w:val="none"/>
              </w:rPr>
            </w:pPr>
          </w:p>
        </w:tc>
        <w:tc>
          <w:tcPr>
            <w:tcW w:w="1649" w:type="dxa"/>
          </w:tcPr>
          <w:p w14:paraId="009948E0">
            <w:pPr>
              <w:spacing w:line="360" w:lineRule="auto"/>
              <w:jc w:val="left"/>
              <w:rPr>
                <w:rFonts w:hint="eastAsia" w:ascii="宋体" w:hAnsi="宋体"/>
                <w:b/>
                <w:bCs/>
                <w:color w:val="auto"/>
                <w:sz w:val="24"/>
                <w:highlight w:val="none"/>
              </w:rPr>
            </w:pPr>
          </w:p>
        </w:tc>
      </w:tr>
      <w:tr w14:paraId="34022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2F4CCAAC">
            <w:pPr>
              <w:spacing w:line="360" w:lineRule="auto"/>
              <w:jc w:val="left"/>
              <w:rPr>
                <w:rFonts w:hint="eastAsia" w:ascii="宋体" w:hAnsi="宋体"/>
                <w:b/>
                <w:bCs/>
                <w:color w:val="auto"/>
                <w:sz w:val="24"/>
                <w:highlight w:val="none"/>
              </w:rPr>
            </w:pPr>
          </w:p>
        </w:tc>
        <w:tc>
          <w:tcPr>
            <w:tcW w:w="1713" w:type="dxa"/>
          </w:tcPr>
          <w:p w14:paraId="7AF84B7B">
            <w:pPr>
              <w:spacing w:line="360" w:lineRule="auto"/>
              <w:jc w:val="left"/>
              <w:rPr>
                <w:rFonts w:hint="eastAsia" w:ascii="宋体" w:hAnsi="宋体"/>
                <w:b/>
                <w:bCs/>
                <w:color w:val="auto"/>
                <w:sz w:val="24"/>
                <w:highlight w:val="none"/>
              </w:rPr>
            </w:pPr>
          </w:p>
        </w:tc>
        <w:tc>
          <w:tcPr>
            <w:tcW w:w="2170" w:type="dxa"/>
          </w:tcPr>
          <w:p w14:paraId="452843F6">
            <w:pPr>
              <w:spacing w:line="360" w:lineRule="auto"/>
              <w:jc w:val="left"/>
              <w:rPr>
                <w:rFonts w:hint="eastAsia" w:ascii="宋体" w:hAnsi="宋体"/>
                <w:b/>
                <w:bCs/>
                <w:color w:val="auto"/>
                <w:sz w:val="24"/>
                <w:highlight w:val="none"/>
              </w:rPr>
            </w:pPr>
          </w:p>
        </w:tc>
        <w:tc>
          <w:tcPr>
            <w:tcW w:w="1590" w:type="dxa"/>
          </w:tcPr>
          <w:p w14:paraId="24CE7EC7">
            <w:pPr>
              <w:spacing w:line="360" w:lineRule="auto"/>
              <w:jc w:val="left"/>
              <w:rPr>
                <w:rFonts w:hint="eastAsia" w:ascii="宋体" w:hAnsi="宋体"/>
                <w:b/>
                <w:bCs/>
                <w:color w:val="auto"/>
                <w:sz w:val="24"/>
                <w:highlight w:val="none"/>
              </w:rPr>
            </w:pPr>
          </w:p>
        </w:tc>
        <w:tc>
          <w:tcPr>
            <w:tcW w:w="1445" w:type="dxa"/>
          </w:tcPr>
          <w:p w14:paraId="18ECA683">
            <w:pPr>
              <w:spacing w:line="360" w:lineRule="auto"/>
              <w:jc w:val="left"/>
              <w:rPr>
                <w:rFonts w:hint="eastAsia" w:ascii="宋体" w:hAnsi="宋体"/>
                <w:b/>
                <w:bCs/>
                <w:color w:val="auto"/>
                <w:sz w:val="24"/>
                <w:highlight w:val="none"/>
              </w:rPr>
            </w:pPr>
          </w:p>
        </w:tc>
        <w:tc>
          <w:tcPr>
            <w:tcW w:w="1649" w:type="dxa"/>
          </w:tcPr>
          <w:p w14:paraId="7880E03F">
            <w:pPr>
              <w:spacing w:line="360" w:lineRule="auto"/>
              <w:jc w:val="left"/>
              <w:rPr>
                <w:rFonts w:hint="eastAsia" w:ascii="宋体" w:hAnsi="宋体"/>
                <w:b/>
                <w:bCs/>
                <w:color w:val="auto"/>
                <w:sz w:val="24"/>
                <w:highlight w:val="none"/>
              </w:rPr>
            </w:pPr>
          </w:p>
        </w:tc>
      </w:tr>
      <w:tr w14:paraId="2DA78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62" w:type="dxa"/>
          </w:tcPr>
          <w:p w14:paraId="1B8EAAC6">
            <w:pPr>
              <w:spacing w:line="360" w:lineRule="auto"/>
              <w:jc w:val="left"/>
              <w:rPr>
                <w:rFonts w:hint="eastAsia" w:ascii="宋体" w:hAnsi="宋体"/>
                <w:b/>
                <w:bCs/>
                <w:color w:val="auto"/>
                <w:sz w:val="24"/>
                <w:highlight w:val="none"/>
              </w:rPr>
            </w:pPr>
          </w:p>
        </w:tc>
        <w:tc>
          <w:tcPr>
            <w:tcW w:w="1713" w:type="dxa"/>
          </w:tcPr>
          <w:p w14:paraId="0B7A25FB">
            <w:pPr>
              <w:spacing w:line="360" w:lineRule="auto"/>
              <w:jc w:val="left"/>
              <w:rPr>
                <w:rFonts w:hint="eastAsia" w:ascii="宋体" w:hAnsi="宋体"/>
                <w:b/>
                <w:bCs/>
                <w:color w:val="auto"/>
                <w:sz w:val="24"/>
                <w:highlight w:val="none"/>
              </w:rPr>
            </w:pPr>
          </w:p>
        </w:tc>
        <w:tc>
          <w:tcPr>
            <w:tcW w:w="2170" w:type="dxa"/>
          </w:tcPr>
          <w:p w14:paraId="17AABB66">
            <w:pPr>
              <w:spacing w:line="360" w:lineRule="auto"/>
              <w:jc w:val="left"/>
              <w:rPr>
                <w:rFonts w:hint="eastAsia" w:ascii="宋体" w:hAnsi="宋体"/>
                <w:b/>
                <w:bCs/>
                <w:color w:val="auto"/>
                <w:sz w:val="24"/>
                <w:highlight w:val="none"/>
              </w:rPr>
            </w:pPr>
          </w:p>
        </w:tc>
        <w:tc>
          <w:tcPr>
            <w:tcW w:w="1590" w:type="dxa"/>
          </w:tcPr>
          <w:p w14:paraId="48FBE869">
            <w:pPr>
              <w:spacing w:line="360" w:lineRule="auto"/>
              <w:jc w:val="left"/>
              <w:rPr>
                <w:rFonts w:hint="eastAsia" w:ascii="宋体" w:hAnsi="宋体"/>
                <w:b/>
                <w:bCs/>
                <w:color w:val="auto"/>
                <w:sz w:val="24"/>
                <w:highlight w:val="none"/>
              </w:rPr>
            </w:pPr>
          </w:p>
        </w:tc>
        <w:tc>
          <w:tcPr>
            <w:tcW w:w="1445" w:type="dxa"/>
          </w:tcPr>
          <w:p w14:paraId="1DA39576">
            <w:pPr>
              <w:spacing w:line="360" w:lineRule="auto"/>
              <w:jc w:val="left"/>
              <w:rPr>
                <w:rFonts w:hint="eastAsia" w:ascii="宋体" w:hAnsi="宋体"/>
                <w:b/>
                <w:bCs/>
                <w:color w:val="auto"/>
                <w:sz w:val="24"/>
                <w:highlight w:val="none"/>
              </w:rPr>
            </w:pPr>
          </w:p>
        </w:tc>
        <w:tc>
          <w:tcPr>
            <w:tcW w:w="1649" w:type="dxa"/>
          </w:tcPr>
          <w:p w14:paraId="6D21C197">
            <w:pPr>
              <w:spacing w:line="360" w:lineRule="auto"/>
              <w:jc w:val="left"/>
              <w:rPr>
                <w:rFonts w:hint="eastAsia" w:ascii="宋体" w:hAnsi="宋体"/>
                <w:b/>
                <w:bCs/>
                <w:color w:val="auto"/>
                <w:sz w:val="24"/>
                <w:highlight w:val="none"/>
              </w:rPr>
            </w:pPr>
          </w:p>
        </w:tc>
      </w:tr>
    </w:tbl>
    <w:p w14:paraId="3EC6A49C">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附：合同或中标（成交）通知书复印件</w:t>
      </w:r>
    </w:p>
    <w:p w14:paraId="7E699006">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注：1.</w:t>
      </w:r>
      <w:r>
        <w:rPr>
          <w:rFonts w:hint="eastAsia" w:ascii="宋体" w:hAnsi="宋体"/>
          <w:color w:val="auto"/>
          <w:szCs w:val="21"/>
          <w:highlight w:val="none"/>
          <w:lang w:val="en-US" w:eastAsia="zh-CN"/>
        </w:rPr>
        <w:t>供应商</w:t>
      </w:r>
      <w:r>
        <w:rPr>
          <w:rFonts w:hint="eastAsia" w:ascii="宋体" w:hAnsi="宋体"/>
          <w:color w:val="auto"/>
          <w:szCs w:val="21"/>
          <w:highlight w:val="none"/>
        </w:rPr>
        <w:t>应根据</w:t>
      </w:r>
      <w:r>
        <w:rPr>
          <w:rFonts w:hint="eastAsia" w:ascii="宋体" w:hAnsi="宋体"/>
          <w:color w:val="auto"/>
          <w:szCs w:val="21"/>
          <w:highlight w:val="none"/>
          <w:lang w:val="en-US" w:eastAsia="zh-CN"/>
        </w:rPr>
        <w:t>供应商</w:t>
      </w:r>
      <w:r>
        <w:rPr>
          <w:rFonts w:hint="eastAsia" w:ascii="宋体" w:hAnsi="宋体"/>
          <w:color w:val="auto"/>
          <w:szCs w:val="21"/>
          <w:highlight w:val="none"/>
        </w:rPr>
        <w:t>须知要求在本表后附相关证明材料。</w:t>
      </w:r>
    </w:p>
    <w:p w14:paraId="3C00D086">
      <w:pPr>
        <w:pStyle w:val="53"/>
        <w:rPr>
          <w:rFonts w:hint="eastAsia" w:hAnsi="宋体"/>
          <w:b/>
          <w:bCs/>
          <w:color w:val="auto"/>
          <w:sz w:val="32"/>
          <w:szCs w:val="32"/>
          <w:highlight w:val="none"/>
        </w:rPr>
      </w:pPr>
    </w:p>
    <w:p w14:paraId="29959146">
      <w:pPr>
        <w:pStyle w:val="53"/>
        <w:rPr>
          <w:rFonts w:hint="eastAsia" w:hAnsi="宋体"/>
          <w:b/>
          <w:bCs/>
          <w:color w:val="auto"/>
          <w:sz w:val="32"/>
          <w:szCs w:val="32"/>
          <w:highlight w:val="none"/>
        </w:rPr>
      </w:pPr>
    </w:p>
    <w:p w14:paraId="375B4E8F">
      <w:pPr>
        <w:pStyle w:val="53"/>
        <w:rPr>
          <w:rFonts w:hint="eastAsia" w:hAnsi="宋体"/>
          <w:b/>
          <w:bCs/>
          <w:color w:val="auto"/>
          <w:sz w:val="32"/>
          <w:szCs w:val="32"/>
          <w:highlight w:val="none"/>
        </w:rPr>
      </w:pPr>
    </w:p>
    <w:p w14:paraId="552FA2A4">
      <w:pPr>
        <w:pStyle w:val="53"/>
        <w:rPr>
          <w:rFonts w:hint="eastAsia" w:hAnsi="宋体"/>
          <w:b/>
          <w:bCs/>
          <w:color w:val="auto"/>
          <w:sz w:val="32"/>
          <w:szCs w:val="32"/>
          <w:highlight w:val="none"/>
        </w:rPr>
      </w:pPr>
    </w:p>
    <w:p w14:paraId="3375EFF2">
      <w:pPr>
        <w:spacing w:line="360" w:lineRule="auto"/>
        <w:jc w:val="center"/>
        <w:outlineLvl w:val="2"/>
        <w:rPr>
          <w:rStyle w:val="65"/>
          <w:rFonts w:hint="eastAsia" w:ascii="宋体" w:hAnsi="宋体" w:eastAsia="宋体" w:cs="宋体"/>
          <w:color w:val="auto"/>
          <w:sz w:val="28"/>
          <w:szCs w:val="28"/>
          <w:highlight w:val="none"/>
          <w:lang w:val="en-US" w:eastAsia="zh-CN"/>
        </w:rPr>
      </w:pPr>
    </w:p>
    <w:p w14:paraId="37DC07E5">
      <w:pPr>
        <w:spacing w:line="360" w:lineRule="auto"/>
        <w:jc w:val="center"/>
        <w:outlineLvl w:val="2"/>
        <w:rPr>
          <w:rStyle w:val="65"/>
          <w:rFonts w:hint="eastAsia" w:ascii="宋体" w:hAnsi="宋体" w:eastAsia="宋体" w:cs="宋体"/>
          <w:color w:val="auto"/>
          <w:sz w:val="28"/>
          <w:szCs w:val="28"/>
          <w:highlight w:val="none"/>
          <w:lang w:val="en-US" w:eastAsia="zh-CN"/>
        </w:rPr>
      </w:pPr>
    </w:p>
    <w:p w14:paraId="7EC40684">
      <w:pPr>
        <w:spacing w:line="360" w:lineRule="auto"/>
        <w:jc w:val="center"/>
        <w:outlineLvl w:val="2"/>
        <w:rPr>
          <w:rStyle w:val="65"/>
          <w:rFonts w:hint="eastAsia" w:ascii="宋体" w:hAnsi="宋体" w:eastAsia="宋体" w:cs="宋体"/>
          <w:color w:val="auto"/>
          <w:sz w:val="28"/>
          <w:szCs w:val="28"/>
          <w:highlight w:val="none"/>
          <w:lang w:val="en-US" w:eastAsia="zh-CN"/>
        </w:rPr>
      </w:pPr>
    </w:p>
    <w:p w14:paraId="61AA0FD2">
      <w:pPr>
        <w:pStyle w:val="12"/>
        <w:rPr>
          <w:rStyle w:val="65"/>
          <w:rFonts w:hint="eastAsia" w:ascii="宋体" w:hAnsi="宋体" w:eastAsia="宋体" w:cs="宋体"/>
          <w:color w:val="auto"/>
          <w:sz w:val="28"/>
          <w:szCs w:val="28"/>
          <w:highlight w:val="none"/>
          <w:lang w:val="en-US" w:eastAsia="zh-CN"/>
        </w:rPr>
      </w:pPr>
    </w:p>
    <w:p w14:paraId="1DDC3B9F">
      <w:pPr>
        <w:pStyle w:val="9"/>
        <w:rPr>
          <w:rFonts w:hint="eastAsia"/>
          <w:color w:val="auto"/>
          <w:highlight w:val="none"/>
          <w:lang w:val="en-US" w:eastAsia="zh-CN"/>
        </w:rPr>
      </w:pPr>
    </w:p>
    <w:p w14:paraId="54D20E22">
      <w:pPr>
        <w:numPr>
          <w:ilvl w:val="0"/>
          <w:numId w:val="12"/>
        </w:numPr>
        <w:spacing w:line="360" w:lineRule="auto"/>
        <w:jc w:val="center"/>
        <w:outlineLvl w:val="2"/>
        <w:rPr>
          <w:rStyle w:val="65"/>
          <w:rFonts w:hint="eastAsia" w:asciiTheme="majorEastAsia" w:hAnsiTheme="majorEastAsia" w:eastAsiaTheme="majorEastAsia" w:cstheme="majorEastAsia"/>
          <w:color w:val="auto"/>
          <w:sz w:val="30"/>
          <w:szCs w:val="30"/>
          <w:highlight w:val="none"/>
          <w:lang w:val="en-US" w:eastAsia="zh-CN"/>
        </w:rPr>
      </w:pPr>
      <w:r>
        <w:rPr>
          <w:rStyle w:val="65"/>
          <w:rFonts w:hint="eastAsia" w:asciiTheme="majorEastAsia" w:hAnsiTheme="majorEastAsia" w:eastAsiaTheme="majorEastAsia" w:cstheme="majorEastAsia"/>
          <w:color w:val="auto"/>
          <w:sz w:val="30"/>
          <w:szCs w:val="30"/>
          <w:highlight w:val="none"/>
        </w:rPr>
        <w:t>服务</w:t>
      </w:r>
      <w:r>
        <w:rPr>
          <w:rStyle w:val="65"/>
          <w:rFonts w:hint="eastAsia" w:asciiTheme="majorEastAsia" w:hAnsiTheme="majorEastAsia" w:eastAsiaTheme="majorEastAsia" w:cstheme="majorEastAsia"/>
          <w:color w:val="auto"/>
          <w:sz w:val="30"/>
          <w:szCs w:val="30"/>
          <w:highlight w:val="none"/>
          <w:lang w:val="en-US" w:eastAsia="zh-CN"/>
        </w:rPr>
        <w:t>方案</w:t>
      </w:r>
    </w:p>
    <w:p w14:paraId="26017FE2">
      <w:pPr>
        <w:pStyle w:val="12"/>
        <w:numPr>
          <w:ilvl w:val="0"/>
          <w:numId w:val="0"/>
        </w:numPr>
        <w:rPr>
          <w:rFonts w:hint="eastAsia"/>
          <w:color w:val="auto"/>
          <w:highlight w:val="none"/>
          <w:lang w:val="en-US" w:eastAsia="zh-CN"/>
        </w:rPr>
      </w:pPr>
    </w:p>
    <w:p w14:paraId="79FBC6A4">
      <w:pPr>
        <w:shd w:val="clear" w:color="auto"/>
        <w:spacing w:after="240" w:line="360" w:lineRule="atLeast"/>
        <w:ind w:firstLine="480"/>
        <w:jc w:val="center"/>
        <w:rPr>
          <w:rFonts w:ascii="宋体" w:hAnsi="宋体"/>
          <w:b/>
          <w:bCs/>
          <w:color w:val="auto"/>
          <w:kern w:val="0"/>
          <w:sz w:val="24"/>
          <w:szCs w:val="24"/>
          <w:highlight w:val="none"/>
        </w:rPr>
      </w:pPr>
      <w:r>
        <w:rPr>
          <w:rFonts w:hint="eastAsia" w:ascii="宋体" w:hAnsi="宋体"/>
          <w:b/>
          <w:bCs/>
          <w:color w:val="auto"/>
          <w:kern w:val="0"/>
          <w:sz w:val="24"/>
          <w:szCs w:val="24"/>
          <w:highlight w:val="none"/>
        </w:rPr>
        <w:t>格式自拟</w:t>
      </w:r>
    </w:p>
    <w:p w14:paraId="5AC13172">
      <w:pPr>
        <w:spacing w:line="360" w:lineRule="auto"/>
        <w:jc w:val="center"/>
        <w:rPr>
          <w:rFonts w:hint="eastAsia" w:ascii="宋体" w:hAnsi="宋体" w:cs="宋体"/>
          <w:b/>
          <w:color w:val="auto"/>
          <w:sz w:val="28"/>
          <w:szCs w:val="28"/>
          <w:highlight w:val="none"/>
        </w:rPr>
      </w:pPr>
    </w:p>
    <w:p w14:paraId="152FC6EA">
      <w:pPr>
        <w:spacing w:line="360" w:lineRule="auto"/>
        <w:jc w:val="center"/>
        <w:rPr>
          <w:rFonts w:hint="eastAsia" w:ascii="宋体" w:hAnsi="宋体" w:cs="宋体"/>
          <w:b/>
          <w:color w:val="auto"/>
          <w:sz w:val="28"/>
          <w:szCs w:val="28"/>
          <w:highlight w:val="none"/>
        </w:rPr>
      </w:pPr>
    </w:p>
    <w:p w14:paraId="2C80EC1D">
      <w:pPr>
        <w:spacing w:line="360" w:lineRule="auto"/>
        <w:jc w:val="center"/>
        <w:rPr>
          <w:rFonts w:hint="eastAsia" w:ascii="宋体" w:hAnsi="宋体" w:cs="宋体"/>
          <w:b/>
          <w:color w:val="auto"/>
          <w:sz w:val="28"/>
          <w:szCs w:val="28"/>
          <w:highlight w:val="none"/>
        </w:rPr>
      </w:pPr>
    </w:p>
    <w:p w14:paraId="5AF68603">
      <w:pPr>
        <w:spacing w:line="360" w:lineRule="auto"/>
        <w:jc w:val="center"/>
        <w:rPr>
          <w:rFonts w:hint="eastAsia" w:ascii="宋体" w:hAnsi="宋体" w:cs="宋体"/>
          <w:b/>
          <w:color w:val="auto"/>
          <w:sz w:val="28"/>
          <w:szCs w:val="28"/>
          <w:highlight w:val="none"/>
        </w:rPr>
      </w:pPr>
    </w:p>
    <w:p w14:paraId="1FAF6717">
      <w:pPr>
        <w:pStyle w:val="12"/>
        <w:rPr>
          <w:rFonts w:hint="eastAsia" w:ascii="宋体" w:hAnsi="宋体" w:cs="宋体"/>
          <w:b/>
          <w:color w:val="auto"/>
          <w:sz w:val="28"/>
          <w:szCs w:val="28"/>
          <w:highlight w:val="none"/>
        </w:rPr>
      </w:pPr>
    </w:p>
    <w:p w14:paraId="4FF711AA">
      <w:pPr>
        <w:pStyle w:val="12"/>
        <w:rPr>
          <w:rFonts w:hint="eastAsia" w:ascii="宋体" w:hAnsi="宋体" w:cs="宋体"/>
          <w:b/>
          <w:color w:val="auto"/>
          <w:sz w:val="28"/>
          <w:szCs w:val="28"/>
          <w:highlight w:val="none"/>
        </w:rPr>
      </w:pPr>
    </w:p>
    <w:p w14:paraId="44F89577">
      <w:pPr>
        <w:pStyle w:val="12"/>
        <w:rPr>
          <w:rFonts w:hint="eastAsia" w:ascii="宋体" w:hAnsi="宋体" w:cs="宋体"/>
          <w:b/>
          <w:color w:val="auto"/>
          <w:sz w:val="28"/>
          <w:szCs w:val="28"/>
          <w:highlight w:val="none"/>
        </w:rPr>
      </w:pPr>
    </w:p>
    <w:p w14:paraId="3B8D0621">
      <w:pPr>
        <w:pStyle w:val="12"/>
        <w:rPr>
          <w:rFonts w:hint="eastAsia" w:ascii="宋体" w:hAnsi="宋体" w:cs="宋体"/>
          <w:b/>
          <w:color w:val="auto"/>
          <w:sz w:val="28"/>
          <w:szCs w:val="28"/>
          <w:highlight w:val="none"/>
        </w:rPr>
      </w:pPr>
    </w:p>
    <w:p w14:paraId="4598C6DC">
      <w:pPr>
        <w:pStyle w:val="12"/>
        <w:rPr>
          <w:rFonts w:hint="eastAsia" w:ascii="宋体" w:hAnsi="宋体" w:cs="宋体"/>
          <w:b/>
          <w:color w:val="auto"/>
          <w:sz w:val="28"/>
          <w:szCs w:val="28"/>
          <w:highlight w:val="none"/>
        </w:rPr>
      </w:pPr>
    </w:p>
    <w:p w14:paraId="583F08B7">
      <w:pPr>
        <w:pStyle w:val="12"/>
        <w:rPr>
          <w:rFonts w:hint="eastAsia" w:ascii="宋体" w:hAnsi="宋体" w:cs="宋体"/>
          <w:b/>
          <w:color w:val="auto"/>
          <w:sz w:val="28"/>
          <w:szCs w:val="28"/>
          <w:highlight w:val="none"/>
        </w:rPr>
      </w:pPr>
    </w:p>
    <w:p w14:paraId="711E7689">
      <w:pPr>
        <w:pStyle w:val="12"/>
        <w:rPr>
          <w:rFonts w:hint="eastAsia" w:ascii="宋体" w:hAnsi="宋体" w:cs="宋体"/>
          <w:b/>
          <w:color w:val="auto"/>
          <w:sz w:val="28"/>
          <w:szCs w:val="28"/>
          <w:highlight w:val="none"/>
        </w:rPr>
      </w:pPr>
    </w:p>
    <w:p w14:paraId="4F3D6385">
      <w:pPr>
        <w:pStyle w:val="12"/>
        <w:rPr>
          <w:rFonts w:hint="eastAsia" w:ascii="宋体" w:hAnsi="宋体" w:cs="宋体"/>
          <w:b/>
          <w:color w:val="auto"/>
          <w:sz w:val="28"/>
          <w:szCs w:val="28"/>
          <w:highlight w:val="none"/>
        </w:rPr>
      </w:pPr>
    </w:p>
    <w:p w14:paraId="09EA1251">
      <w:pPr>
        <w:pStyle w:val="12"/>
        <w:rPr>
          <w:rFonts w:hint="eastAsia" w:ascii="宋体" w:hAnsi="宋体" w:cs="宋体"/>
          <w:b/>
          <w:color w:val="auto"/>
          <w:sz w:val="28"/>
          <w:szCs w:val="28"/>
          <w:highlight w:val="none"/>
        </w:rPr>
      </w:pPr>
    </w:p>
    <w:p w14:paraId="2445D845">
      <w:pPr>
        <w:pStyle w:val="12"/>
        <w:rPr>
          <w:rFonts w:hint="eastAsia" w:ascii="宋体" w:hAnsi="宋体" w:cs="宋体"/>
          <w:b/>
          <w:color w:val="auto"/>
          <w:sz w:val="28"/>
          <w:szCs w:val="28"/>
          <w:highlight w:val="none"/>
        </w:rPr>
      </w:pPr>
    </w:p>
    <w:p w14:paraId="579D0476">
      <w:pPr>
        <w:pStyle w:val="12"/>
        <w:rPr>
          <w:rFonts w:hint="eastAsia" w:ascii="宋体" w:hAnsi="宋体" w:cs="宋体"/>
          <w:b/>
          <w:color w:val="auto"/>
          <w:sz w:val="28"/>
          <w:szCs w:val="28"/>
          <w:highlight w:val="none"/>
        </w:rPr>
      </w:pPr>
    </w:p>
    <w:p w14:paraId="4BDA1E5D">
      <w:pPr>
        <w:pStyle w:val="12"/>
        <w:rPr>
          <w:rFonts w:hint="eastAsia" w:ascii="宋体" w:hAnsi="宋体" w:cs="宋体"/>
          <w:b/>
          <w:color w:val="auto"/>
          <w:sz w:val="28"/>
          <w:szCs w:val="28"/>
          <w:highlight w:val="none"/>
        </w:rPr>
      </w:pPr>
    </w:p>
    <w:p w14:paraId="6C9E68C7">
      <w:pPr>
        <w:pStyle w:val="12"/>
        <w:rPr>
          <w:rFonts w:hint="eastAsia" w:ascii="宋体" w:hAnsi="宋体" w:cs="宋体"/>
          <w:b/>
          <w:color w:val="auto"/>
          <w:sz w:val="28"/>
          <w:szCs w:val="28"/>
          <w:highlight w:val="none"/>
        </w:rPr>
      </w:pPr>
    </w:p>
    <w:p w14:paraId="506EBB00">
      <w:pPr>
        <w:pStyle w:val="12"/>
        <w:rPr>
          <w:rFonts w:hint="eastAsia" w:ascii="宋体" w:hAnsi="宋体" w:cs="宋体"/>
          <w:b/>
          <w:color w:val="auto"/>
          <w:sz w:val="28"/>
          <w:szCs w:val="28"/>
          <w:highlight w:val="none"/>
        </w:rPr>
      </w:pPr>
    </w:p>
    <w:p w14:paraId="1867FFD1">
      <w:pPr>
        <w:pStyle w:val="12"/>
        <w:rPr>
          <w:rFonts w:hint="eastAsia" w:ascii="宋体" w:hAnsi="宋体" w:cs="宋体"/>
          <w:b/>
          <w:color w:val="auto"/>
          <w:sz w:val="28"/>
          <w:szCs w:val="28"/>
          <w:highlight w:val="none"/>
        </w:rPr>
      </w:pPr>
    </w:p>
    <w:p w14:paraId="3564F7EA">
      <w:pPr>
        <w:pStyle w:val="12"/>
        <w:rPr>
          <w:rFonts w:hint="eastAsia" w:ascii="宋体" w:hAnsi="宋体" w:cs="宋体"/>
          <w:b/>
          <w:color w:val="auto"/>
          <w:sz w:val="28"/>
          <w:szCs w:val="28"/>
          <w:highlight w:val="none"/>
        </w:rPr>
      </w:pPr>
    </w:p>
    <w:p w14:paraId="44034D8E">
      <w:pPr>
        <w:pStyle w:val="12"/>
        <w:rPr>
          <w:rFonts w:hint="eastAsia" w:ascii="宋体" w:hAnsi="宋体" w:cs="宋体"/>
          <w:b/>
          <w:color w:val="auto"/>
          <w:sz w:val="28"/>
          <w:szCs w:val="28"/>
          <w:highlight w:val="none"/>
        </w:rPr>
      </w:pPr>
    </w:p>
    <w:p w14:paraId="5825F4EC">
      <w:pPr>
        <w:pStyle w:val="12"/>
        <w:rPr>
          <w:rFonts w:hint="eastAsia" w:ascii="宋体" w:hAnsi="宋体" w:cs="宋体"/>
          <w:b/>
          <w:color w:val="auto"/>
          <w:sz w:val="28"/>
          <w:szCs w:val="28"/>
          <w:highlight w:val="none"/>
        </w:rPr>
      </w:pPr>
    </w:p>
    <w:p w14:paraId="17961574">
      <w:pPr>
        <w:pStyle w:val="12"/>
        <w:rPr>
          <w:rFonts w:hint="eastAsia" w:ascii="宋体" w:hAnsi="宋体" w:cs="宋体"/>
          <w:b/>
          <w:color w:val="auto"/>
          <w:sz w:val="28"/>
          <w:szCs w:val="28"/>
          <w:highlight w:val="none"/>
        </w:rPr>
      </w:pPr>
    </w:p>
    <w:p w14:paraId="105C1083">
      <w:pPr>
        <w:pStyle w:val="12"/>
        <w:rPr>
          <w:rFonts w:hint="eastAsia" w:ascii="宋体" w:hAnsi="宋体" w:cs="宋体"/>
          <w:b/>
          <w:color w:val="auto"/>
          <w:sz w:val="28"/>
          <w:szCs w:val="28"/>
          <w:highlight w:val="none"/>
        </w:rPr>
      </w:pPr>
    </w:p>
    <w:p w14:paraId="447873C2">
      <w:pPr>
        <w:rPr>
          <w:color w:val="auto"/>
          <w:sz w:val="32"/>
          <w:szCs w:val="32"/>
          <w:highlight w:val="none"/>
        </w:rPr>
      </w:pPr>
      <w:r>
        <w:rPr>
          <w:color w:val="auto"/>
          <w:sz w:val="32"/>
          <w:szCs w:val="32"/>
          <w:highlight w:val="none"/>
        </w:rPr>
        <w:br w:type="page"/>
      </w:r>
    </w:p>
    <w:p w14:paraId="6C66B110">
      <w:pPr>
        <w:jc w:val="center"/>
        <w:rPr>
          <w:rStyle w:val="65"/>
          <w:rFonts w:hint="eastAsia" w:ascii="宋体" w:hAnsi="宋体" w:eastAsia="宋体" w:cs="宋体"/>
          <w:color w:val="auto"/>
          <w:sz w:val="28"/>
          <w:szCs w:val="28"/>
          <w:highlight w:val="none"/>
          <w:lang w:val="en-US" w:eastAsia="zh-CN"/>
        </w:rPr>
      </w:pPr>
    </w:p>
    <w:p w14:paraId="0A98AB57">
      <w:pPr>
        <w:jc w:val="center"/>
        <w:rPr>
          <w:rFonts w:hint="eastAsia" w:ascii="宋体" w:hAnsi="宋体" w:eastAsia="宋体" w:cs="宋体"/>
          <w:color w:val="auto"/>
          <w:sz w:val="32"/>
          <w:szCs w:val="32"/>
          <w:highlight w:val="none"/>
          <w:lang w:eastAsia="zh-CN"/>
        </w:rPr>
      </w:pPr>
      <w:r>
        <w:rPr>
          <w:rStyle w:val="65"/>
          <w:rFonts w:hint="eastAsia" w:ascii="宋体" w:hAnsi="宋体" w:eastAsia="宋体" w:cs="宋体"/>
          <w:color w:val="auto"/>
          <w:sz w:val="28"/>
          <w:szCs w:val="28"/>
          <w:highlight w:val="none"/>
          <w:lang w:val="en-US" w:eastAsia="zh-CN"/>
        </w:rPr>
        <w:t>十三、供应商可结合本项目自身情况自行提交其它相关证明材料</w:t>
      </w:r>
    </w:p>
    <w:p w14:paraId="00C6620F">
      <w:pPr>
        <w:jc w:val="center"/>
        <w:rPr>
          <w:rFonts w:hint="eastAsia" w:hAnsi="宋体"/>
          <w:b/>
          <w:bCs/>
          <w:color w:val="auto"/>
          <w:sz w:val="28"/>
          <w:szCs w:val="28"/>
          <w:highlight w:val="none"/>
          <w:lang w:val="en-US" w:eastAsia="zh-CN"/>
        </w:rPr>
      </w:pPr>
    </w:p>
    <w:p w14:paraId="111D5B83">
      <w:pPr>
        <w:jc w:val="center"/>
        <w:rPr>
          <w:color w:val="auto"/>
          <w:sz w:val="32"/>
          <w:szCs w:val="32"/>
          <w:highlight w:val="none"/>
        </w:rPr>
      </w:pPr>
      <w:r>
        <w:rPr>
          <w:rFonts w:hint="eastAsia" w:hAnsi="宋体"/>
          <w:b/>
          <w:bCs/>
          <w:color w:val="auto"/>
          <w:sz w:val="28"/>
          <w:szCs w:val="28"/>
          <w:highlight w:val="none"/>
          <w:lang w:val="en-US" w:eastAsia="zh-CN"/>
        </w:rPr>
        <w:t>格式自拟</w:t>
      </w:r>
    </w:p>
    <w:p w14:paraId="4930815A">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4883A967">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7BBB0603">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30BA371D">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5121AAE5">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030B3D68">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2BCD4812">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523774B1">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6EA4A610">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0F8CE1C4">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0DEA575B">
      <w:pPr>
        <w:rPr>
          <w:color w:val="auto"/>
          <w:sz w:val="30"/>
          <w:szCs w:val="30"/>
          <w:highlight w:val="none"/>
        </w:rPr>
      </w:pPr>
    </w:p>
    <w:p w14:paraId="0D359BFC">
      <w:pPr>
        <w:rPr>
          <w:color w:val="auto"/>
          <w:sz w:val="30"/>
          <w:szCs w:val="30"/>
          <w:highlight w:val="none"/>
        </w:rPr>
      </w:pPr>
    </w:p>
    <w:p w14:paraId="2EDB2B87">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2DBDDF93">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3470D8BE">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5D31AD34">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27359E66">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207A5BCF">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3C76AB76">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6134EF9E">
      <w:pPr>
        <w:rPr>
          <w:color w:val="auto"/>
          <w:highlight w:val="none"/>
        </w:rPr>
      </w:pPr>
    </w:p>
    <w:p w14:paraId="3903E4A7">
      <w:pPr>
        <w:spacing w:before="191" w:line="225" w:lineRule="auto"/>
        <w:ind w:left="2229"/>
        <w:outlineLvl w:val="1"/>
        <w:rPr>
          <w:rFonts w:ascii="宋体" w:hAnsi="宋体" w:eastAsia="宋体" w:cs="宋体"/>
          <w:sz w:val="35"/>
          <w:szCs w:val="35"/>
        </w:rPr>
      </w:pPr>
      <w:r>
        <w:rPr>
          <w:rFonts w:ascii="宋体" w:hAnsi="宋体" w:eastAsia="宋体" w:cs="宋体"/>
          <w:b/>
          <w:bCs/>
          <w:spacing w:val="2"/>
          <w:sz w:val="35"/>
          <w:szCs w:val="35"/>
        </w:rPr>
        <w:t>中小企业声明函（货物）</w:t>
      </w:r>
    </w:p>
    <w:p w14:paraId="21747CBE">
      <w:pPr>
        <w:spacing w:line="275" w:lineRule="auto"/>
        <w:rPr>
          <w:rFonts w:ascii="Arial"/>
          <w:sz w:val="21"/>
        </w:rPr>
      </w:pPr>
    </w:p>
    <w:p w14:paraId="42ED384C">
      <w:pPr>
        <w:spacing w:line="275" w:lineRule="auto"/>
        <w:rPr>
          <w:rFonts w:ascii="Arial"/>
          <w:sz w:val="21"/>
        </w:rPr>
      </w:pPr>
    </w:p>
    <w:p w14:paraId="45C764AF">
      <w:pPr>
        <w:pStyle w:val="12"/>
        <w:spacing w:before="101" w:line="306" w:lineRule="auto"/>
        <w:ind w:left="36" w:right="184" w:firstLine="640"/>
        <w:jc w:val="both"/>
      </w:pPr>
      <w:r>
        <w:rPr>
          <w:spacing w:val="8"/>
        </w:rPr>
        <w:t>本公司（联合体）郑重声明，根据《政府采购促进中小</w:t>
      </w:r>
      <w:r>
        <w:rPr>
          <w:spacing w:val="12"/>
        </w:rPr>
        <w:t xml:space="preserve"> </w:t>
      </w:r>
      <w:r>
        <w:rPr>
          <w:spacing w:val="4"/>
        </w:rPr>
        <w:t>企业发展管理办法》（财库</w:t>
      </w:r>
      <w:r>
        <w:rPr>
          <w:rFonts w:ascii="宋体" w:hAnsi="宋体" w:eastAsia="宋体" w:cs="宋体"/>
          <w:spacing w:val="4"/>
        </w:rPr>
        <w:t>﹝</w:t>
      </w:r>
      <w:r>
        <w:rPr>
          <w:spacing w:val="4"/>
        </w:rPr>
        <w:t>2020</w:t>
      </w:r>
      <w:r>
        <w:rPr>
          <w:rFonts w:ascii="宋体" w:hAnsi="宋体" w:eastAsia="宋体" w:cs="宋体"/>
          <w:spacing w:val="4"/>
        </w:rPr>
        <w:t>﹞</w:t>
      </w:r>
      <w:r>
        <w:rPr>
          <w:spacing w:val="4"/>
        </w:rPr>
        <w:t>46</w:t>
      </w:r>
      <w:r>
        <w:rPr>
          <w:spacing w:val="-44"/>
        </w:rPr>
        <w:t xml:space="preserve"> </w:t>
      </w:r>
      <w:r>
        <w:rPr>
          <w:spacing w:val="4"/>
        </w:rPr>
        <w:t>号）的规</w:t>
      </w:r>
      <w:r>
        <w:rPr>
          <w:spacing w:val="3"/>
        </w:rPr>
        <w:t>定，本公司</w:t>
      </w:r>
      <w:r>
        <w:t xml:space="preserve"> </w:t>
      </w:r>
      <w:r>
        <w:rPr>
          <w:spacing w:val="-1"/>
        </w:rPr>
        <w:t>（联合体）参加</w:t>
      </w:r>
      <w:r>
        <w:rPr>
          <w:i/>
          <w:iCs/>
          <w:spacing w:val="-1"/>
          <w:sz w:val="33"/>
          <w:szCs w:val="33"/>
          <w:u w:val="single" w:color="auto"/>
        </w:rPr>
        <w:t>（单位名称）</w:t>
      </w:r>
      <w:r>
        <w:rPr>
          <w:spacing w:val="-1"/>
        </w:rPr>
        <w:t>的</w:t>
      </w:r>
      <w:r>
        <w:rPr>
          <w:i/>
          <w:iCs/>
          <w:spacing w:val="-1"/>
          <w:sz w:val="33"/>
          <w:szCs w:val="33"/>
          <w:u w:val="single" w:color="auto"/>
        </w:rPr>
        <w:t>（项目名称）</w:t>
      </w:r>
      <w:r>
        <w:rPr>
          <w:spacing w:val="-1"/>
        </w:rPr>
        <w:t>采购活动，提</w:t>
      </w:r>
      <w:r>
        <w:rPr>
          <w:spacing w:val="11"/>
        </w:rPr>
        <w:t xml:space="preserve"> </w:t>
      </w:r>
      <w:r>
        <w:rPr>
          <w:spacing w:val="21"/>
        </w:rPr>
        <w:t>供的货物全部由符合政策要求的中小企业制造。相关企业</w:t>
      </w:r>
      <w:r>
        <w:rPr>
          <w:spacing w:val="5"/>
        </w:rPr>
        <w:t xml:space="preserve"> </w:t>
      </w:r>
      <w:r>
        <w:rPr>
          <w:spacing w:val="8"/>
        </w:rPr>
        <w:t>（含联合体中的中小企业、签订分包意向协议的中小企业）</w:t>
      </w:r>
      <w:r>
        <w:rPr>
          <w:spacing w:val="1"/>
        </w:rPr>
        <w:t xml:space="preserve"> </w:t>
      </w:r>
      <w:r>
        <w:rPr>
          <w:spacing w:val="5"/>
        </w:rPr>
        <w:t>的具体情况如下：</w:t>
      </w:r>
    </w:p>
    <w:p w14:paraId="76CFF018">
      <w:pPr>
        <w:pStyle w:val="12"/>
        <w:spacing w:before="3" w:line="272" w:lineRule="auto"/>
        <w:ind w:left="35" w:firstLine="654"/>
      </w:pPr>
      <w:r>
        <w:rPr>
          <w:spacing w:val="-10"/>
        </w:rPr>
        <w:t>1.</w:t>
      </w:r>
      <w:r>
        <w:rPr>
          <w:spacing w:val="-10"/>
          <w:sz w:val="33"/>
          <w:szCs w:val="33"/>
          <w:u w:val="single" w:color="auto"/>
        </w:rPr>
        <w:t xml:space="preserve"> </w:t>
      </w:r>
      <w:r>
        <w:rPr>
          <w:i/>
          <w:iCs/>
          <w:spacing w:val="-10"/>
          <w:sz w:val="33"/>
          <w:szCs w:val="33"/>
          <w:u w:val="single" w:color="auto"/>
        </w:rPr>
        <w:t>（标的名称</w:t>
      </w:r>
      <w:r>
        <w:rPr>
          <w:i/>
          <w:iCs/>
          <w:spacing w:val="-7"/>
          <w:sz w:val="33"/>
          <w:szCs w:val="33"/>
          <w:u w:val="single" w:color="auto"/>
        </w:rPr>
        <w:t>）</w:t>
      </w:r>
      <w:r>
        <w:rPr>
          <w:spacing w:val="-96"/>
          <w:sz w:val="33"/>
          <w:szCs w:val="33"/>
          <w:u w:val="single" w:color="auto"/>
        </w:rPr>
        <w:t xml:space="preserve"> </w:t>
      </w:r>
      <w:r>
        <w:rPr>
          <w:spacing w:val="-7"/>
        </w:rPr>
        <w:t>，</w:t>
      </w:r>
      <w:r>
        <w:rPr>
          <w:spacing w:val="-10"/>
        </w:rPr>
        <w:t>属于</w:t>
      </w:r>
      <w:r>
        <w:rPr>
          <w:i/>
          <w:iCs/>
          <w:spacing w:val="-10"/>
          <w:sz w:val="33"/>
          <w:szCs w:val="33"/>
          <w:u w:val="single" w:color="auto"/>
        </w:rPr>
        <w:t>（采购文件中明确的所</w:t>
      </w:r>
      <w:r>
        <w:rPr>
          <w:i/>
          <w:iCs/>
          <w:spacing w:val="-11"/>
          <w:sz w:val="33"/>
          <w:szCs w:val="33"/>
          <w:u w:val="single" w:color="auto"/>
        </w:rPr>
        <w:t>属行业</w:t>
      </w:r>
      <w:r>
        <w:rPr>
          <w:i/>
          <w:iCs/>
          <w:spacing w:val="-11"/>
          <w:sz w:val="33"/>
          <w:szCs w:val="33"/>
        </w:rPr>
        <w:t>）</w:t>
      </w:r>
      <w:r>
        <w:rPr>
          <w:sz w:val="33"/>
          <w:szCs w:val="33"/>
        </w:rPr>
        <w:t xml:space="preserve"> </w:t>
      </w:r>
      <w:r>
        <w:rPr>
          <w:i/>
          <w:iCs/>
          <w:spacing w:val="4"/>
          <w:sz w:val="33"/>
          <w:szCs w:val="33"/>
          <w:u w:val="single" w:color="auto"/>
        </w:rPr>
        <w:t>行业</w:t>
      </w:r>
      <w:r>
        <w:rPr>
          <w:spacing w:val="4"/>
        </w:rPr>
        <w:t>；制造商为</w:t>
      </w:r>
      <w:r>
        <w:rPr>
          <w:spacing w:val="-149"/>
        </w:rPr>
        <w:t xml:space="preserve"> </w:t>
      </w:r>
      <w:r>
        <w:rPr>
          <w:spacing w:val="-142"/>
          <w:sz w:val="33"/>
          <w:szCs w:val="33"/>
          <w:u w:val="single" w:color="auto"/>
        </w:rPr>
        <w:t xml:space="preserve"> </w:t>
      </w:r>
      <w:r>
        <w:rPr>
          <w:i/>
          <w:iCs/>
          <w:spacing w:val="4"/>
          <w:sz w:val="33"/>
          <w:szCs w:val="33"/>
          <w:u w:val="single" w:color="auto"/>
        </w:rPr>
        <w:t>（企业名称</w:t>
      </w:r>
      <w:r>
        <w:rPr>
          <w:i/>
          <w:iCs/>
          <w:spacing w:val="-72"/>
          <w:sz w:val="33"/>
          <w:szCs w:val="33"/>
          <w:u w:val="single" w:color="auto"/>
        </w:rPr>
        <w:t>）</w:t>
      </w:r>
      <w:r>
        <w:rPr>
          <w:spacing w:val="-72"/>
        </w:rPr>
        <w:t>，</w:t>
      </w:r>
      <w:r>
        <w:rPr>
          <w:spacing w:val="4"/>
        </w:rPr>
        <w:t>从业人员</w:t>
      </w:r>
      <w:r>
        <w:rPr>
          <w:spacing w:val="-151"/>
        </w:rPr>
        <w:t xml:space="preserve"> </w:t>
      </w:r>
      <w:r>
        <w:rPr>
          <w:spacing w:val="10"/>
          <w:u w:val="single" w:color="auto"/>
        </w:rPr>
        <w:t xml:space="preserve">      </w:t>
      </w:r>
      <w:r>
        <w:rPr>
          <w:spacing w:val="-127"/>
        </w:rPr>
        <w:t xml:space="preserve"> </w:t>
      </w:r>
      <w:r>
        <w:rPr>
          <w:spacing w:val="4"/>
        </w:rPr>
        <w:t>人，营业收</w:t>
      </w:r>
      <w:r>
        <w:t xml:space="preserve">  </w:t>
      </w:r>
      <w:r>
        <w:rPr>
          <w:spacing w:val="-4"/>
        </w:rPr>
        <w:t>入为</w:t>
      </w:r>
      <w:r>
        <w:rPr>
          <w:spacing w:val="-151"/>
        </w:rPr>
        <w:t xml:space="preserve"> </w:t>
      </w:r>
      <w:r>
        <w:rPr>
          <w:spacing w:val="4"/>
          <w:u w:val="single" w:color="auto"/>
        </w:rPr>
        <w:t xml:space="preserve">    </w:t>
      </w:r>
      <w:r>
        <w:rPr>
          <w:spacing w:val="-128"/>
        </w:rPr>
        <w:t xml:space="preserve"> </w:t>
      </w:r>
      <w:r>
        <w:rPr>
          <w:spacing w:val="-4"/>
        </w:rPr>
        <w:t>万元，资产总额为</w:t>
      </w:r>
      <w:r>
        <w:rPr>
          <w:spacing w:val="-155"/>
        </w:rPr>
        <w:t xml:space="preserve"> </w:t>
      </w:r>
      <w:r>
        <w:rPr>
          <w:spacing w:val="5"/>
          <w:u w:val="single" w:color="auto"/>
        </w:rPr>
        <w:t xml:space="preserve">    </w:t>
      </w:r>
      <w:r>
        <w:rPr>
          <w:spacing w:val="-130"/>
        </w:rPr>
        <w:t xml:space="preserve"> </w:t>
      </w:r>
      <w:r>
        <w:rPr>
          <w:spacing w:val="-4"/>
        </w:rPr>
        <w:t>万元</w:t>
      </w:r>
      <w:r>
        <w:rPr>
          <w:spacing w:val="-38"/>
          <w:position w:val="16"/>
          <w:sz w:val="16"/>
          <w:szCs w:val="16"/>
        </w:rPr>
        <w:t xml:space="preserve"> </w:t>
      </w:r>
      <w:r>
        <w:rPr>
          <w:spacing w:val="-4"/>
        </w:rPr>
        <w:t>，属于</w:t>
      </w:r>
      <w:r>
        <w:rPr>
          <w:i/>
          <w:iCs/>
          <w:spacing w:val="-4"/>
          <w:sz w:val="33"/>
          <w:szCs w:val="33"/>
          <w:u w:val="single" w:color="auto"/>
        </w:rPr>
        <w:t>（中型企业、小</w:t>
      </w:r>
      <w:r>
        <w:rPr>
          <w:sz w:val="33"/>
          <w:szCs w:val="33"/>
        </w:rPr>
        <w:t xml:space="preserve">  </w:t>
      </w:r>
      <w:r>
        <w:rPr>
          <w:i/>
          <w:iCs/>
          <w:spacing w:val="-9"/>
          <w:sz w:val="33"/>
          <w:szCs w:val="33"/>
          <w:u w:val="single" w:color="auto"/>
        </w:rPr>
        <w:t>型企业、微型企业</w:t>
      </w:r>
      <w:r>
        <w:rPr>
          <w:i/>
          <w:iCs/>
          <w:spacing w:val="-90"/>
          <w:sz w:val="33"/>
          <w:szCs w:val="33"/>
        </w:rPr>
        <w:t>）</w:t>
      </w:r>
      <w:r>
        <w:rPr>
          <w:spacing w:val="-90"/>
        </w:rPr>
        <w:t>；</w:t>
      </w:r>
    </w:p>
    <w:p w14:paraId="0B35E136">
      <w:pPr>
        <w:pStyle w:val="12"/>
        <w:spacing w:before="133" w:line="272" w:lineRule="auto"/>
        <w:ind w:left="46" w:firstLine="623"/>
      </w:pPr>
      <w:r>
        <w:rPr>
          <w:spacing w:val="-10"/>
        </w:rPr>
        <w:t>2.</w:t>
      </w:r>
      <w:r>
        <w:rPr>
          <w:spacing w:val="-10"/>
          <w:sz w:val="33"/>
          <w:szCs w:val="33"/>
          <w:u w:val="single" w:color="auto"/>
        </w:rPr>
        <w:t xml:space="preserve"> </w:t>
      </w:r>
      <w:r>
        <w:rPr>
          <w:i/>
          <w:iCs/>
          <w:spacing w:val="-10"/>
          <w:sz w:val="33"/>
          <w:szCs w:val="33"/>
          <w:u w:val="single" w:color="auto"/>
        </w:rPr>
        <w:t>（标的名称</w:t>
      </w:r>
      <w:r>
        <w:rPr>
          <w:i/>
          <w:iCs/>
          <w:spacing w:val="1"/>
          <w:sz w:val="33"/>
          <w:szCs w:val="33"/>
          <w:u w:val="single" w:color="auto"/>
        </w:rPr>
        <w:t>）</w:t>
      </w:r>
      <w:r>
        <w:rPr>
          <w:spacing w:val="-96"/>
          <w:sz w:val="33"/>
          <w:szCs w:val="33"/>
          <w:u w:val="single" w:color="auto"/>
        </w:rPr>
        <w:t xml:space="preserve"> </w:t>
      </w:r>
      <w:r>
        <w:rPr>
          <w:spacing w:val="1"/>
        </w:rPr>
        <w:t>，</w:t>
      </w:r>
      <w:r>
        <w:rPr>
          <w:spacing w:val="-10"/>
        </w:rPr>
        <w:t>属于</w:t>
      </w:r>
      <w:r>
        <w:rPr>
          <w:i/>
          <w:iCs/>
          <w:spacing w:val="-10"/>
          <w:sz w:val="33"/>
          <w:szCs w:val="33"/>
          <w:u w:val="single" w:color="auto"/>
        </w:rPr>
        <w:t>（采购文件中明确的所属行业</w:t>
      </w:r>
      <w:r>
        <w:rPr>
          <w:i/>
          <w:iCs/>
          <w:spacing w:val="-10"/>
          <w:sz w:val="33"/>
          <w:szCs w:val="33"/>
        </w:rPr>
        <w:t>）</w:t>
      </w:r>
      <w:r>
        <w:rPr>
          <w:sz w:val="33"/>
          <w:szCs w:val="33"/>
        </w:rPr>
        <w:t xml:space="preserve"> </w:t>
      </w:r>
      <w:r>
        <w:rPr>
          <w:i/>
          <w:iCs/>
          <w:spacing w:val="4"/>
          <w:sz w:val="33"/>
          <w:szCs w:val="33"/>
          <w:u w:val="single" w:color="auto"/>
        </w:rPr>
        <w:t>行业</w:t>
      </w:r>
      <w:r>
        <w:rPr>
          <w:spacing w:val="4"/>
        </w:rPr>
        <w:t>；制造商为</w:t>
      </w:r>
      <w:r>
        <w:rPr>
          <w:spacing w:val="-148"/>
        </w:rPr>
        <w:t xml:space="preserve"> </w:t>
      </w:r>
      <w:r>
        <w:rPr>
          <w:spacing w:val="-142"/>
          <w:sz w:val="33"/>
          <w:szCs w:val="33"/>
          <w:u w:val="single" w:color="auto"/>
        </w:rPr>
        <w:t xml:space="preserve"> </w:t>
      </w:r>
      <w:r>
        <w:rPr>
          <w:i/>
          <w:iCs/>
          <w:spacing w:val="4"/>
          <w:sz w:val="33"/>
          <w:szCs w:val="33"/>
          <w:u w:val="single" w:color="auto"/>
        </w:rPr>
        <w:t>（企业名称</w:t>
      </w:r>
      <w:r>
        <w:rPr>
          <w:i/>
          <w:iCs/>
          <w:spacing w:val="-71"/>
          <w:sz w:val="33"/>
          <w:szCs w:val="33"/>
          <w:u w:val="single" w:color="auto"/>
        </w:rPr>
        <w:t>）</w:t>
      </w:r>
      <w:r>
        <w:rPr>
          <w:spacing w:val="-71"/>
        </w:rPr>
        <w:t>，</w:t>
      </w:r>
      <w:r>
        <w:rPr>
          <w:spacing w:val="4"/>
        </w:rPr>
        <w:t>从业人员</w:t>
      </w:r>
      <w:r>
        <w:rPr>
          <w:spacing w:val="-148"/>
        </w:rPr>
        <w:t xml:space="preserve"> </w:t>
      </w:r>
      <w:r>
        <w:rPr>
          <w:spacing w:val="10"/>
          <w:u w:val="single" w:color="auto"/>
        </w:rPr>
        <w:t xml:space="preserve">    </w:t>
      </w:r>
      <w:r>
        <w:rPr>
          <w:spacing w:val="-128"/>
        </w:rPr>
        <w:t xml:space="preserve"> </w:t>
      </w:r>
      <w:r>
        <w:rPr>
          <w:spacing w:val="4"/>
        </w:rPr>
        <w:t>人，营业收入</w:t>
      </w:r>
      <w:r>
        <w:t xml:space="preserve">  为</w:t>
      </w:r>
      <w:r>
        <w:rPr>
          <w:spacing w:val="-153"/>
        </w:rPr>
        <w:t xml:space="preserve"> </w:t>
      </w:r>
      <w:r>
        <w:rPr>
          <w:spacing w:val="5"/>
          <w:u w:val="single" w:color="auto"/>
        </w:rPr>
        <w:t xml:space="preserve">    </w:t>
      </w:r>
      <w:r>
        <w:rPr>
          <w:spacing w:val="-131"/>
        </w:rPr>
        <w:t xml:space="preserve"> </w:t>
      </w:r>
      <w:r>
        <w:t>万元，资产总额为</w:t>
      </w:r>
      <w:r>
        <w:rPr>
          <w:spacing w:val="-154"/>
        </w:rPr>
        <w:t xml:space="preserve"> </w:t>
      </w:r>
      <w:r>
        <w:rPr>
          <w:spacing w:val="5"/>
          <w:u w:val="single" w:color="auto"/>
        </w:rPr>
        <w:t xml:space="preserve">    </w:t>
      </w:r>
      <w:r>
        <w:rPr>
          <w:spacing w:val="-131"/>
        </w:rPr>
        <w:t xml:space="preserve"> </w:t>
      </w:r>
      <w:r>
        <w:t>万元，属于</w:t>
      </w:r>
      <w:r>
        <w:rPr>
          <w:i/>
          <w:iCs/>
          <w:sz w:val="33"/>
          <w:szCs w:val="33"/>
          <w:u w:val="single" w:color="auto"/>
        </w:rPr>
        <w:t>（中型企业、小型</w:t>
      </w:r>
      <w:r>
        <w:rPr>
          <w:sz w:val="33"/>
          <w:szCs w:val="33"/>
        </w:rPr>
        <w:t xml:space="preserve">  </w:t>
      </w:r>
      <w:r>
        <w:rPr>
          <w:i/>
          <w:iCs/>
          <w:spacing w:val="-10"/>
          <w:sz w:val="33"/>
          <w:szCs w:val="33"/>
          <w:u w:val="single" w:color="auto"/>
        </w:rPr>
        <w:t>企业、微型企业</w:t>
      </w:r>
      <w:r>
        <w:rPr>
          <w:i/>
          <w:iCs/>
          <w:spacing w:val="-89"/>
          <w:w w:val="99"/>
          <w:sz w:val="33"/>
          <w:szCs w:val="33"/>
        </w:rPr>
        <w:t>）</w:t>
      </w:r>
      <w:r>
        <w:rPr>
          <w:spacing w:val="-89"/>
          <w:w w:val="99"/>
        </w:rPr>
        <w:t>；</w:t>
      </w:r>
    </w:p>
    <w:p w14:paraId="46E4AEF3">
      <w:pPr>
        <w:pStyle w:val="12"/>
        <w:spacing w:before="132" w:line="504" w:lineRule="exact"/>
        <w:ind w:left="688"/>
      </w:pPr>
      <w:r>
        <w:rPr>
          <w:spacing w:val="-8"/>
          <w:position w:val="4"/>
        </w:rPr>
        <w:t>……</w:t>
      </w:r>
    </w:p>
    <w:p w14:paraId="643CA588">
      <w:pPr>
        <w:pStyle w:val="12"/>
        <w:spacing w:before="15" w:line="310" w:lineRule="auto"/>
        <w:ind w:left="35" w:right="187" w:firstLine="678"/>
      </w:pPr>
      <w:r>
        <w:rPr>
          <w:spacing w:val="7"/>
        </w:rPr>
        <w:t>以上企业，不属于大企业的分支机构，不存</w:t>
      </w:r>
      <w:r>
        <w:rPr>
          <w:spacing w:val="6"/>
        </w:rPr>
        <w:t>在控股股东</w:t>
      </w:r>
      <w:r>
        <w:t xml:space="preserve"> </w:t>
      </w:r>
      <w:r>
        <w:rPr>
          <w:spacing w:val="8"/>
        </w:rPr>
        <w:t>为大企业的情形，也不存在与大企业的负责人为同一人的情</w:t>
      </w:r>
      <w:r>
        <w:rPr>
          <w:spacing w:val="15"/>
        </w:rPr>
        <w:t xml:space="preserve"> </w:t>
      </w:r>
      <w:r>
        <w:rPr>
          <w:spacing w:val="-7"/>
        </w:rPr>
        <w:t>形。</w:t>
      </w:r>
    </w:p>
    <w:p w14:paraId="583E5159">
      <w:pPr>
        <w:pStyle w:val="12"/>
        <w:spacing w:before="3" w:line="308" w:lineRule="auto"/>
        <w:ind w:left="45" w:right="189" w:firstLine="636"/>
      </w:pPr>
      <w:r>
        <w:rPr>
          <w:spacing w:val="8"/>
        </w:rPr>
        <w:t>本企业对上述声明内容的真实性负责。如有虚假，将依</w:t>
      </w:r>
      <w:r>
        <w:rPr>
          <w:spacing w:val="2"/>
        </w:rPr>
        <w:t xml:space="preserve"> </w:t>
      </w:r>
      <w:r>
        <w:rPr>
          <w:spacing w:val="4"/>
        </w:rPr>
        <w:t>法承担相应责任。</w:t>
      </w:r>
    </w:p>
    <w:p w14:paraId="69DC5DD4">
      <w:pPr>
        <w:pStyle w:val="12"/>
        <w:spacing w:before="34" w:line="226" w:lineRule="auto"/>
        <w:ind w:left="3876"/>
      </w:pPr>
      <w:r>
        <w:rPr>
          <w:spacing w:val="6"/>
        </w:rPr>
        <w:t>企业名称（盖章</w:t>
      </w:r>
      <w:r>
        <w:rPr>
          <w:spacing w:val="-84"/>
        </w:rPr>
        <w:t>）：</w:t>
      </w:r>
    </w:p>
    <w:p w14:paraId="3A4E62F4">
      <w:pPr>
        <w:pStyle w:val="12"/>
        <w:spacing w:before="159" w:line="229" w:lineRule="auto"/>
        <w:ind w:left="3942"/>
      </w:pPr>
      <w:bookmarkStart w:id="56" w:name="bookmark1"/>
      <w:bookmarkEnd w:id="56"/>
      <w:r>
        <w:t>日期：</w:t>
      </w:r>
    </w:p>
    <w:p w14:paraId="04B7B1F0">
      <w:pPr>
        <w:pStyle w:val="16"/>
        <w:shd w:val="clear"/>
        <w:spacing w:line="500" w:lineRule="exact"/>
        <w:rPr>
          <w:rFonts w:hAnsi="宋体"/>
          <w:b/>
          <w:color w:val="auto"/>
          <w:sz w:val="30"/>
          <w:szCs w:val="30"/>
          <w:highlight w:val="none"/>
        </w:rPr>
      </w:pPr>
    </w:p>
    <w:p w14:paraId="5F343F36">
      <w:pPr>
        <w:pStyle w:val="52"/>
        <w:shd w:val="clear"/>
        <w:rPr>
          <w:rFonts w:hAnsi="宋体"/>
          <w:b/>
          <w:color w:val="auto"/>
          <w:sz w:val="30"/>
          <w:szCs w:val="30"/>
          <w:highlight w:val="none"/>
        </w:rPr>
      </w:pPr>
    </w:p>
    <w:sectPr>
      <w:footerReference r:id="rId8" w:type="default"/>
      <w:pgSz w:w="11906" w:h="16838"/>
      <w:pgMar w:top="1134" w:right="992" w:bottom="1134" w:left="1134" w:header="851" w:footer="992"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69258">
    <w:pPr>
      <w:pStyle w:val="2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6C020">
    <w:pPr>
      <w:pStyle w:val="20"/>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0C4DC">
    <w:pPr>
      <w:pStyle w:val="20"/>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7E233E1">
                          <w:pPr>
                            <w:pStyle w:val="20"/>
                          </w:pPr>
                          <w:r>
                            <w:fldChar w:fldCharType="begin"/>
                          </w:r>
                          <w:r>
                            <w:instrText xml:space="preserve"> PAGE  \* MERGEFORMAT </w:instrText>
                          </w:r>
                          <w:r>
                            <w:fldChar w:fldCharType="separate"/>
                          </w:r>
                          <w:r>
                            <w:t>13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57E233E1">
                    <w:pPr>
                      <w:pStyle w:val="20"/>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369F6">
    <w:pPr>
      <w:tabs>
        <w:tab w:val="left" w:pos="3180"/>
      </w:tabs>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A0AF67">
                          <w:pPr>
                            <w:pStyle w:val="20"/>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5A0AF67">
                    <w:pPr>
                      <w:pStyle w:val="20"/>
                    </w:pPr>
                    <w:r>
                      <w:fldChar w:fldCharType="begin"/>
                    </w:r>
                    <w:r>
                      <w:instrText xml:space="preserve"> PAGE  \* MERGEFORMAT </w:instrText>
                    </w:r>
                    <w:r>
                      <w:fldChar w:fldCharType="separate"/>
                    </w:r>
                    <w:r>
                      <w:t>9</w:t>
                    </w:r>
                    <w:r>
                      <w:fldChar w:fldCharType="end"/>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1130300</wp:posOffset>
              </wp:positionH>
              <wp:positionV relativeFrom="page">
                <wp:posOffset>9627235</wp:posOffset>
              </wp:positionV>
              <wp:extent cx="4748530" cy="305435"/>
              <wp:effectExtent l="0" t="0" r="0" b="0"/>
              <wp:wrapNone/>
              <wp:docPr id="4" name="文本框 4"/>
              <wp:cNvGraphicFramePr/>
              <a:graphic xmlns:a="http://schemas.openxmlformats.org/drawingml/2006/main">
                <a:graphicData uri="http://schemas.microsoft.com/office/word/2010/wordprocessingShape">
                  <wps:wsp>
                    <wps:cNvSpPr txBox="1"/>
                    <wps:spPr>
                      <a:xfrm>
                        <a:off x="0" y="0"/>
                        <a:ext cx="4748530" cy="305435"/>
                      </a:xfrm>
                      <a:prstGeom prst="rect">
                        <a:avLst/>
                      </a:prstGeom>
                      <a:noFill/>
                      <a:ln>
                        <a:noFill/>
                      </a:ln>
                    </wps:spPr>
                    <wps:txbx>
                      <w:txbxContent>
                        <w:p w14:paraId="31418726">
                          <w:pPr>
                            <w:spacing w:before="5"/>
                            <w:ind w:left="20" w:right="0" w:firstLine="0"/>
                            <w:jc w:val="left"/>
                            <w:rPr>
                              <w:rFonts w:hint="eastAsia" w:ascii="宋体" w:eastAsia="宋体"/>
                              <w:sz w:val="18"/>
                            </w:rPr>
                          </w:pPr>
                        </w:p>
                        <w:p w14:paraId="5F734511">
                          <w:pPr>
                            <w:spacing w:before="8"/>
                            <w:ind w:left="866" w:right="0" w:firstLine="0"/>
                            <w:jc w:val="center"/>
                            <w:rPr>
                              <w:rFonts w:hint="default" w:ascii="Calibri" w:eastAsia="宋体"/>
                              <w:sz w:val="18"/>
                              <w:lang w:val="en-US" w:eastAsia="zh-CN"/>
                            </w:rPr>
                          </w:pPr>
                        </w:p>
                      </w:txbxContent>
                    </wps:txbx>
                    <wps:bodyPr lIns="0" tIns="0" rIns="0" bIns="0" upright="1"/>
                  </wps:wsp>
                </a:graphicData>
              </a:graphic>
            </wp:anchor>
          </w:drawing>
        </mc:Choice>
        <mc:Fallback>
          <w:pict>
            <v:shape id="_x0000_s1026" o:spid="_x0000_s1026" o:spt="202" type="#_x0000_t202" style="position:absolute;left:0pt;margin-left:89pt;margin-top:758.05pt;height:24.05pt;width:373.9pt;mso-position-horizontal-relative:page;mso-position-vertical-relative:page;z-index:-251657216;mso-width-relative:page;mso-height-relative:page;" filled="f" stroked="f" coordsize="21600,21600" o:gfxdata="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j5qhXaAAAADQEAAA8AAAAAAAAAAQAgAAAAIgAAAGRycy9kb3ducmV2LnhtbFBL&#10;AQIUABQAAAAIAIdO4kAQ2467uwEAAHIDAAAOAAAAAAAAAAEAIAAAACkBAABkcnMvZTJvRG9jLnht&#10;bFBLBQYAAAAABgAGAFkBAABWBQAAAAA=&#10;">
              <v:fill on="f" focussize="0,0"/>
              <v:stroke on="f"/>
              <v:imagedata o:title=""/>
              <o:lock v:ext="edit" aspectratio="f"/>
              <v:textbox inset="0mm,0mm,0mm,0mm">
                <w:txbxContent>
                  <w:p w14:paraId="31418726">
                    <w:pPr>
                      <w:spacing w:before="5"/>
                      <w:ind w:left="20" w:right="0" w:firstLine="0"/>
                      <w:jc w:val="left"/>
                      <w:rPr>
                        <w:rFonts w:hint="eastAsia" w:ascii="宋体" w:eastAsia="宋体"/>
                        <w:sz w:val="18"/>
                      </w:rPr>
                    </w:pPr>
                  </w:p>
                  <w:p w14:paraId="5F734511">
                    <w:pPr>
                      <w:spacing w:before="8"/>
                      <w:ind w:left="866" w:right="0" w:firstLine="0"/>
                      <w:jc w:val="center"/>
                      <w:rPr>
                        <w:rFonts w:hint="default" w:ascii="Calibri" w:eastAsia="宋体"/>
                        <w:sz w:val="18"/>
                        <w:lang w:val="en-US" w:eastAsia="zh-CN"/>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97431">
    <w:pPr>
      <w:tabs>
        <w:tab w:val="left" w:pos="3180"/>
      </w:tabs>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7322E4">
                          <w:pPr>
                            <w:pStyle w:val="20"/>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27322E4">
                    <w:pPr>
                      <w:pStyle w:val="20"/>
                    </w:pPr>
                    <w:r>
                      <w:fldChar w:fldCharType="begin"/>
                    </w:r>
                    <w:r>
                      <w:instrText xml:space="preserve"> PAGE  \* MERGEFORMAT </w:instrText>
                    </w:r>
                    <w:r>
                      <w:fldChar w:fldCharType="separate"/>
                    </w:r>
                    <w:r>
                      <w:t>9</w:t>
                    </w:r>
                    <w:r>
                      <w:fldChar w:fldCharType="end"/>
                    </w:r>
                  </w:p>
                </w:txbxContent>
              </v:textbox>
            </v:shape>
          </w:pict>
        </mc:Fallback>
      </mc:AlternateContent>
    </w:r>
    <w:r>
      <mc:AlternateContent>
        <mc:Choice Requires="wps">
          <w:drawing>
            <wp:anchor distT="0" distB="0" distL="114300" distR="114300" simplePos="0" relativeHeight="251662336" behindDoc="1" locked="0" layoutInCell="1" allowOverlap="1">
              <wp:simplePos x="0" y="0"/>
              <wp:positionH relativeFrom="page">
                <wp:posOffset>1130300</wp:posOffset>
              </wp:positionH>
              <wp:positionV relativeFrom="page">
                <wp:posOffset>9627235</wp:posOffset>
              </wp:positionV>
              <wp:extent cx="4748530" cy="30543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748530" cy="305435"/>
                      </a:xfrm>
                      <a:prstGeom prst="rect">
                        <a:avLst/>
                      </a:prstGeom>
                      <a:noFill/>
                      <a:ln>
                        <a:noFill/>
                      </a:ln>
                    </wps:spPr>
                    <wps:txbx>
                      <w:txbxContent>
                        <w:p w14:paraId="10B2B003">
                          <w:pPr>
                            <w:spacing w:before="5"/>
                            <w:ind w:left="20" w:right="0" w:firstLine="0"/>
                            <w:jc w:val="left"/>
                            <w:rPr>
                              <w:rFonts w:hint="eastAsia" w:ascii="宋体" w:eastAsia="宋体"/>
                              <w:sz w:val="18"/>
                            </w:rPr>
                          </w:pPr>
                        </w:p>
                        <w:p w14:paraId="02D86F96">
                          <w:pPr>
                            <w:spacing w:before="8"/>
                            <w:ind w:left="866" w:right="0" w:firstLine="0"/>
                            <w:jc w:val="center"/>
                            <w:rPr>
                              <w:rFonts w:hint="default" w:ascii="Calibri" w:eastAsia="宋体"/>
                              <w:sz w:val="18"/>
                              <w:lang w:val="en-US" w:eastAsia="zh-CN"/>
                            </w:rPr>
                          </w:pPr>
                        </w:p>
                      </w:txbxContent>
                    </wps:txbx>
                    <wps:bodyPr lIns="0" tIns="0" rIns="0" bIns="0" upright="1"/>
                  </wps:wsp>
                </a:graphicData>
              </a:graphic>
            </wp:anchor>
          </w:drawing>
        </mc:Choice>
        <mc:Fallback>
          <w:pict>
            <v:shape id="_x0000_s1026" o:spid="_x0000_s1026" o:spt="202" type="#_x0000_t202" style="position:absolute;left:0pt;margin-left:89pt;margin-top:758.05pt;height:24.05pt;width:373.9pt;mso-position-horizontal-relative:page;mso-position-vertical-relative:page;z-index:-251654144;mso-width-relative:page;mso-height-relative:page;" filled="f" stroked="f" coordsize="21600,21600" o:gfxdata="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j5qhXaAAAADQEAAA8AAAAAAAAAAQAgAAAAIgAAAGRycy9kb3ducmV2LnhtbFBL&#10;AQIUABQAAAAIAIdO4kD9HVG0uwEAAHIDAAAOAAAAAAAAAAEAIAAAACkBAABkcnMvZTJvRG9jLnht&#10;bFBLBQYAAAAABgAGAFkBAABWBQAAAAA=&#10;">
              <v:fill on="f" focussize="0,0"/>
              <v:stroke on="f"/>
              <v:imagedata o:title=""/>
              <o:lock v:ext="edit" aspectratio="f"/>
              <v:textbox inset="0mm,0mm,0mm,0mm">
                <w:txbxContent>
                  <w:p w14:paraId="10B2B003">
                    <w:pPr>
                      <w:spacing w:before="5"/>
                      <w:ind w:left="20" w:right="0" w:firstLine="0"/>
                      <w:jc w:val="left"/>
                      <w:rPr>
                        <w:rFonts w:hint="eastAsia" w:ascii="宋体" w:eastAsia="宋体"/>
                        <w:sz w:val="18"/>
                      </w:rPr>
                    </w:pPr>
                  </w:p>
                  <w:p w14:paraId="02D86F96">
                    <w:pPr>
                      <w:spacing w:before="8"/>
                      <w:ind w:left="866" w:right="0" w:firstLine="0"/>
                      <w:jc w:val="center"/>
                      <w:rPr>
                        <w:rFonts w:hint="default" w:ascii="Calibri" w:eastAsia="宋体"/>
                        <w:sz w:val="18"/>
                        <w:lang w:val="en-US"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92D31">
    <w:pPr>
      <w:pStyle w:val="2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859803"/>
    <w:multiLevelType w:val="singleLevel"/>
    <w:tmpl w:val="91859803"/>
    <w:lvl w:ilvl="0" w:tentative="0">
      <w:start w:val="28"/>
      <w:numFmt w:val="decimal"/>
      <w:suff w:val="nothing"/>
      <w:lvlText w:val="%1．"/>
      <w:lvlJc w:val="left"/>
    </w:lvl>
  </w:abstractNum>
  <w:abstractNum w:abstractNumId="1">
    <w:nsid w:val="93980444"/>
    <w:multiLevelType w:val="singleLevel"/>
    <w:tmpl w:val="93980444"/>
    <w:lvl w:ilvl="0" w:tentative="0">
      <w:start w:val="2"/>
      <w:numFmt w:val="chineseCounting"/>
      <w:suff w:val="space"/>
      <w:lvlText w:val="(%1)"/>
      <w:lvlJc w:val="left"/>
      <w:rPr>
        <w:rFonts w:hint="eastAsia"/>
      </w:rPr>
    </w:lvl>
  </w:abstractNum>
  <w:abstractNum w:abstractNumId="2">
    <w:nsid w:val="CE06F564"/>
    <w:multiLevelType w:val="singleLevel"/>
    <w:tmpl w:val="CE06F564"/>
    <w:lvl w:ilvl="0" w:tentative="0">
      <w:start w:val="3"/>
      <w:numFmt w:val="chineseCounting"/>
      <w:suff w:val="space"/>
      <w:lvlText w:val="第%1章"/>
      <w:lvlJc w:val="left"/>
      <w:rPr>
        <w:rFonts w:hint="eastAsia"/>
      </w:rPr>
    </w:lvl>
  </w:abstractNum>
  <w:abstractNum w:abstractNumId="3">
    <w:nsid w:val="DEAC7FC1"/>
    <w:multiLevelType w:val="singleLevel"/>
    <w:tmpl w:val="DEAC7FC1"/>
    <w:lvl w:ilvl="0" w:tentative="0">
      <w:start w:val="17"/>
      <w:numFmt w:val="decimal"/>
      <w:suff w:val="nothing"/>
      <w:lvlText w:val="%1．"/>
      <w:lvlJc w:val="left"/>
    </w:lvl>
  </w:abstractNum>
  <w:abstractNum w:abstractNumId="4">
    <w:nsid w:val="E8726809"/>
    <w:multiLevelType w:val="singleLevel"/>
    <w:tmpl w:val="E8726809"/>
    <w:lvl w:ilvl="0" w:tentative="0">
      <w:start w:val="12"/>
      <w:numFmt w:val="chineseCounting"/>
      <w:suff w:val="nothing"/>
      <w:lvlText w:val="%1、"/>
      <w:lvlJc w:val="left"/>
      <w:rPr>
        <w:rFonts w:hint="eastAsia"/>
      </w:rPr>
    </w:lvl>
  </w:abstractNum>
  <w:abstractNum w:abstractNumId="5">
    <w:nsid w:val="F3AF199D"/>
    <w:multiLevelType w:val="singleLevel"/>
    <w:tmpl w:val="F3AF199D"/>
    <w:lvl w:ilvl="0" w:tentative="0">
      <w:start w:val="1"/>
      <w:numFmt w:val="decimal"/>
      <w:suff w:val="nothing"/>
      <w:lvlText w:val="（%1）"/>
      <w:lvlJc w:val="left"/>
    </w:lvl>
  </w:abstractNum>
  <w:abstractNum w:abstractNumId="6">
    <w:nsid w:val="00000001"/>
    <w:multiLevelType w:val="singleLevel"/>
    <w:tmpl w:val="00000001"/>
    <w:lvl w:ilvl="0" w:tentative="0">
      <w:start w:val="1"/>
      <w:numFmt w:val="decimal"/>
      <w:suff w:val="nothing"/>
      <w:lvlText w:val="（%1）"/>
      <w:lvlJc w:val="left"/>
    </w:lvl>
  </w:abstractNum>
  <w:abstractNum w:abstractNumId="7">
    <w:nsid w:val="1A793D42"/>
    <w:multiLevelType w:val="multilevel"/>
    <w:tmpl w:val="1A793D42"/>
    <w:lvl w:ilvl="0" w:tentative="0">
      <w:start w:val="1"/>
      <w:numFmt w:val="japaneseCounting"/>
      <w:lvlText w:val="第%1条"/>
      <w:lvlJc w:val="left"/>
      <w:pPr>
        <w:tabs>
          <w:tab w:val="left" w:pos="1253"/>
        </w:tabs>
        <w:ind w:left="1253" w:hanging="840"/>
      </w:pPr>
      <w:rPr>
        <w:rFonts w:hint="default"/>
      </w:rPr>
    </w:lvl>
    <w:lvl w:ilvl="1" w:tentative="0">
      <w:start w:val="1"/>
      <w:numFmt w:val="lowerLetter"/>
      <w:lvlText w:val="%2)"/>
      <w:lvlJc w:val="left"/>
      <w:pPr>
        <w:tabs>
          <w:tab w:val="left" w:pos="1253"/>
        </w:tabs>
        <w:ind w:left="1253" w:hanging="420"/>
      </w:pPr>
    </w:lvl>
    <w:lvl w:ilvl="2" w:tentative="0">
      <w:start w:val="1"/>
      <w:numFmt w:val="lowerRoman"/>
      <w:pStyle w:val="84"/>
      <w:lvlText w:val="%3."/>
      <w:lvlJc w:val="right"/>
      <w:pPr>
        <w:tabs>
          <w:tab w:val="left" w:pos="1673"/>
        </w:tabs>
        <w:ind w:left="1673" w:hanging="420"/>
      </w:pPr>
    </w:lvl>
    <w:lvl w:ilvl="3" w:tentative="0">
      <w:start w:val="1"/>
      <w:numFmt w:val="decimal"/>
      <w:lvlText w:val="%4."/>
      <w:lvlJc w:val="left"/>
      <w:pPr>
        <w:tabs>
          <w:tab w:val="left" w:pos="2093"/>
        </w:tabs>
        <w:ind w:left="2093" w:hanging="420"/>
      </w:pPr>
    </w:lvl>
    <w:lvl w:ilvl="4" w:tentative="0">
      <w:start w:val="1"/>
      <w:numFmt w:val="lowerLetter"/>
      <w:lvlText w:val="%5)"/>
      <w:lvlJc w:val="left"/>
      <w:pPr>
        <w:tabs>
          <w:tab w:val="left" w:pos="2513"/>
        </w:tabs>
        <w:ind w:left="2513" w:hanging="420"/>
      </w:pPr>
    </w:lvl>
    <w:lvl w:ilvl="5" w:tentative="0">
      <w:start w:val="1"/>
      <w:numFmt w:val="lowerRoman"/>
      <w:pStyle w:val="86"/>
      <w:lvlText w:val="%6."/>
      <w:lvlJc w:val="right"/>
      <w:pPr>
        <w:tabs>
          <w:tab w:val="left" w:pos="2933"/>
        </w:tabs>
        <w:ind w:left="2933" w:hanging="420"/>
      </w:pPr>
    </w:lvl>
    <w:lvl w:ilvl="6" w:tentative="0">
      <w:start w:val="1"/>
      <w:numFmt w:val="decimal"/>
      <w:pStyle w:val="92"/>
      <w:lvlText w:val="%7."/>
      <w:lvlJc w:val="left"/>
      <w:pPr>
        <w:tabs>
          <w:tab w:val="left" w:pos="3353"/>
        </w:tabs>
        <w:ind w:left="3353" w:hanging="420"/>
      </w:pPr>
    </w:lvl>
    <w:lvl w:ilvl="7" w:tentative="0">
      <w:start w:val="1"/>
      <w:numFmt w:val="lowerLetter"/>
      <w:lvlText w:val="%8)"/>
      <w:lvlJc w:val="left"/>
      <w:pPr>
        <w:tabs>
          <w:tab w:val="left" w:pos="3773"/>
        </w:tabs>
        <w:ind w:left="3773" w:hanging="420"/>
      </w:pPr>
    </w:lvl>
    <w:lvl w:ilvl="8" w:tentative="0">
      <w:start w:val="1"/>
      <w:numFmt w:val="lowerRoman"/>
      <w:lvlText w:val="%9."/>
      <w:lvlJc w:val="right"/>
      <w:pPr>
        <w:tabs>
          <w:tab w:val="left" w:pos="4193"/>
        </w:tabs>
        <w:ind w:left="4193" w:hanging="420"/>
      </w:pPr>
    </w:lvl>
  </w:abstractNum>
  <w:abstractNum w:abstractNumId="8">
    <w:nsid w:val="42D7692D"/>
    <w:multiLevelType w:val="multilevel"/>
    <w:tmpl w:val="42D7692D"/>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9">
    <w:nsid w:val="5AD450A8"/>
    <w:multiLevelType w:val="singleLevel"/>
    <w:tmpl w:val="5AD450A8"/>
    <w:lvl w:ilvl="0" w:tentative="0">
      <w:start w:val="2"/>
      <w:numFmt w:val="decimal"/>
      <w:suff w:val="space"/>
      <w:lvlText w:val="%1."/>
      <w:lvlJc w:val="left"/>
    </w:lvl>
  </w:abstractNum>
  <w:abstractNum w:abstractNumId="10">
    <w:nsid w:val="5AD45148"/>
    <w:multiLevelType w:val="singleLevel"/>
    <w:tmpl w:val="5AD45148"/>
    <w:lvl w:ilvl="0" w:tentative="0">
      <w:start w:val="4"/>
      <w:numFmt w:val="decimal"/>
      <w:suff w:val="nothing"/>
      <w:lvlText w:val="%1．"/>
      <w:lvlJc w:val="left"/>
    </w:lvl>
  </w:abstractNum>
  <w:abstractNum w:abstractNumId="11">
    <w:nsid w:val="5DFB4682"/>
    <w:multiLevelType w:val="singleLevel"/>
    <w:tmpl w:val="5DFB4682"/>
    <w:lvl w:ilvl="0" w:tentative="0">
      <w:start w:val="15"/>
      <w:numFmt w:val="decimal"/>
      <w:suff w:val="space"/>
      <w:lvlText w:val="%1."/>
      <w:lvlJc w:val="left"/>
    </w:lvl>
  </w:abstractNum>
  <w:num w:numId="1">
    <w:abstractNumId w:val="7"/>
  </w:num>
  <w:num w:numId="2">
    <w:abstractNumId w:val="5"/>
  </w:num>
  <w:num w:numId="3">
    <w:abstractNumId w:val="11"/>
  </w:num>
  <w:num w:numId="4">
    <w:abstractNumId w:val="2"/>
  </w:num>
  <w:num w:numId="5">
    <w:abstractNumId w:val="8"/>
  </w:num>
  <w:num w:numId="6">
    <w:abstractNumId w:val="6"/>
  </w:num>
  <w:num w:numId="7">
    <w:abstractNumId w:val="3"/>
  </w:num>
  <w:num w:numId="8">
    <w:abstractNumId w:val="0"/>
  </w:num>
  <w:num w:numId="9">
    <w:abstractNumId w:val="9"/>
  </w:num>
  <w:num w:numId="10">
    <w:abstractNumId w:val="10"/>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xYTQyZDk3NDk1NWNkN2FiZDI0MTJmNzc2MDcxY2YifQ=="/>
  </w:docVars>
  <w:rsids>
    <w:rsidRoot w:val="00F92138"/>
    <w:rsid w:val="000011ED"/>
    <w:rsid w:val="00003035"/>
    <w:rsid w:val="000034A6"/>
    <w:rsid w:val="00003A29"/>
    <w:rsid w:val="00003B4C"/>
    <w:rsid w:val="00003D90"/>
    <w:rsid w:val="000040FD"/>
    <w:rsid w:val="00004538"/>
    <w:rsid w:val="00004CC8"/>
    <w:rsid w:val="00004F9B"/>
    <w:rsid w:val="00005143"/>
    <w:rsid w:val="00005950"/>
    <w:rsid w:val="000066EE"/>
    <w:rsid w:val="00006F9F"/>
    <w:rsid w:val="00006FC2"/>
    <w:rsid w:val="0000722A"/>
    <w:rsid w:val="0000775B"/>
    <w:rsid w:val="00007BC6"/>
    <w:rsid w:val="00007F75"/>
    <w:rsid w:val="00007F96"/>
    <w:rsid w:val="0001073E"/>
    <w:rsid w:val="00011006"/>
    <w:rsid w:val="00011968"/>
    <w:rsid w:val="0001269E"/>
    <w:rsid w:val="000127AC"/>
    <w:rsid w:val="0001284A"/>
    <w:rsid w:val="00012D46"/>
    <w:rsid w:val="000139C8"/>
    <w:rsid w:val="000139E0"/>
    <w:rsid w:val="00013C2B"/>
    <w:rsid w:val="00013F2B"/>
    <w:rsid w:val="00014528"/>
    <w:rsid w:val="00014830"/>
    <w:rsid w:val="00014B3F"/>
    <w:rsid w:val="00014CBF"/>
    <w:rsid w:val="00014F8C"/>
    <w:rsid w:val="000150F7"/>
    <w:rsid w:val="0001546F"/>
    <w:rsid w:val="000157C0"/>
    <w:rsid w:val="00016778"/>
    <w:rsid w:val="00020386"/>
    <w:rsid w:val="0002071A"/>
    <w:rsid w:val="00020D44"/>
    <w:rsid w:val="000212EE"/>
    <w:rsid w:val="00021F89"/>
    <w:rsid w:val="000222E5"/>
    <w:rsid w:val="00022A04"/>
    <w:rsid w:val="00022E8C"/>
    <w:rsid w:val="00022F6B"/>
    <w:rsid w:val="00023CCC"/>
    <w:rsid w:val="00024377"/>
    <w:rsid w:val="0002468E"/>
    <w:rsid w:val="000247AF"/>
    <w:rsid w:val="00024BB8"/>
    <w:rsid w:val="00024C60"/>
    <w:rsid w:val="00024F8B"/>
    <w:rsid w:val="000253B5"/>
    <w:rsid w:val="000254AC"/>
    <w:rsid w:val="000259A8"/>
    <w:rsid w:val="00026E34"/>
    <w:rsid w:val="00026F35"/>
    <w:rsid w:val="0002714F"/>
    <w:rsid w:val="00030708"/>
    <w:rsid w:val="00030C53"/>
    <w:rsid w:val="0003130B"/>
    <w:rsid w:val="000320B9"/>
    <w:rsid w:val="0003224D"/>
    <w:rsid w:val="000325F4"/>
    <w:rsid w:val="00032678"/>
    <w:rsid w:val="00032FF8"/>
    <w:rsid w:val="000335B6"/>
    <w:rsid w:val="00033DAF"/>
    <w:rsid w:val="0003439C"/>
    <w:rsid w:val="000343BC"/>
    <w:rsid w:val="00034E06"/>
    <w:rsid w:val="000351B3"/>
    <w:rsid w:val="00035402"/>
    <w:rsid w:val="000355E5"/>
    <w:rsid w:val="00035820"/>
    <w:rsid w:val="00035910"/>
    <w:rsid w:val="00035A5C"/>
    <w:rsid w:val="00035DF7"/>
    <w:rsid w:val="000403AE"/>
    <w:rsid w:val="00040940"/>
    <w:rsid w:val="00041076"/>
    <w:rsid w:val="000412A5"/>
    <w:rsid w:val="0004167F"/>
    <w:rsid w:val="00041ED4"/>
    <w:rsid w:val="000421A5"/>
    <w:rsid w:val="000421C8"/>
    <w:rsid w:val="000426E2"/>
    <w:rsid w:val="00042770"/>
    <w:rsid w:val="000427AB"/>
    <w:rsid w:val="00042DAE"/>
    <w:rsid w:val="00042E6D"/>
    <w:rsid w:val="0004314D"/>
    <w:rsid w:val="00043BC9"/>
    <w:rsid w:val="000447C7"/>
    <w:rsid w:val="00044975"/>
    <w:rsid w:val="00044E5F"/>
    <w:rsid w:val="0004528E"/>
    <w:rsid w:val="00045A41"/>
    <w:rsid w:val="00045B84"/>
    <w:rsid w:val="00046EF7"/>
    <w:rsid w:val="000477E5"/>
    <w:rsid w:val="00047EB0"/>
    <w:rsid w:val="00050027"/>
    <w:rsid w:val="00050162"/>
    <w:rsid w:val="00050664"/>
    <w:rsid w:val="000506B3"/>
    <w:rsid w:val="00050B4B"/>
    <w:rsid w:val="00050EC4"/>
    <w:rsid w:val="000512E9"/>
    <w:rsid w:val="0005137F"/>
    <w:rsid w:val="00051847"/>
    <w:rsid w:val="00052011"/>
    <w:rsid w:val="000520B6"/>
    <w:rsid w:val="000528D6"/>
    <w:rsid w:val="00052DC5"/>
    <w:rsid w:val="00053080"/>
    <w:rsid w:val="000536C4"/>
    <w:rsid w:val="00054966"/>
    <w:rsid w:val="00054C87"/>
    <w:rsid w:val="00055449"/>
    <w:rsid w:val="00055BF1"/>
    <w:rsid w:val="00055E73"/>
    <w:rsid w:val="00056190"/>
    <w:rsid w:val="00056AB7"/>
    <w:rsid w:val="00057438"/>
    <w:rsid w:val="00057B1A"/>
    <w:rsid w:val="000600A2"/>
    <w:rsid w:val="000600AC"/>
    <w:rsid w:val="00060163"/>
    <w:rsid w:val="000606D6"/>
    <w:rsid w:val="00060B78"/>
    <w:rsid w:val="00061151"/>
    <w:rsid w:val="00061194"/>
    <w:rsid w:val="0006269C"/>
    <w:rsid w:val="00062E7A"/>
    <w:rsid w:val="00062F9E"/>
    <w:rsid w:val="0006385F"/>
    <w:rsid w:val="00065160"/>
    <w:rsid w:val="00065639"/>
    <w:rsid w:val="00065A4D"/>
    <w:rsid w:val="000665E4"/>
    <w:rsid w:val="00067111"/>
    <w:rsid w:val="000675B5"/>
    <w:rsid w:val="0007107E"/>
    <w:rsid w:val="00071465"/>
    <w:rsid w:val="00071B5D"/>
    <w:rsid w:val="000723E2"/>
    <w:rsid w:val="00072883"/>
    <w:rsid w:val="000731C2"/>
    <w:rsid w:val="00073222"/>
    <w:rsid w:val="00073617"/>
    <w:rsid w:val="000738B6"/>
    <w:rsid w:val="00074167"/>
    <w:rsid w:val="00074AB7"/>
    <w:rsid w:val="00074DD4"/>
    <w:rsid w:val="0007565A"/>
    <w:rsid w:val="00077644"/>
    <w:rsid w:val="0007788B"/>
    <w:rsid w:val="00077FF6"/>
    <w:rsid w:val="00080266"/>
    <w:rsid w:val="0008063A"/>
    <w:rsid w:val="00081346"/>
    <w:rsid w:val="000815D9"/>
    <w:rsid w:val="00081FD1"/>
    <w:rsid w:val="000820F8"/>
    <w:rsid w:val="00082451"/>
    <w:rsid w:val="00082704"/>
    <w:rsid w:val="00082EA8"/>
    <w:rsid w:val="00082FEC"/>
    <w:rsid w:val="000834F3"/>
    <w:rsid w:val="00084A11"/>
    <w:rsid w:val="00085C7F"/>
    <w:rsid w:val="000870D2"/>
    <w:rsid w:val="00087A27"/>
    <w:rsid w:val="000910C5"/>
    <w:rsid w:val="00091791"/>
    <w:rsid w:val="00091B99"/>
    <w:rsid w:val="0009243F"/>
    <w:rsid w:val="0009290A"/>
    <w:rsid w:val="000945EF"/>
    <w:rsid w:val="0009553A"/>
    <w:rsid w:val="000965CD"/>
    <w:rsid w:val="00096861"/>
    <w:rsid w:val="00096AD2"/>
    <w:rsid w:val="00096CEF"/>
    <w:rsid w:val="000A0119"/>
    <w:rsid w:val="000A073C"/>
    <w:rsid w:val="000A0E08"/>
    <w:rsid w:val="000A0FD6"/>
    <w:rsid w:val="000A1C45"/>
    <w:rsid w:val="000A1DE2"/>
    <w:rsid w:val="000A2D55"/>
    <w:rsid w:val="000A37A2"/>
    <w:rsid w:val="000A4C9D"/>
    <w:rsid w:val="000A5169"/>
    <w:rsid w:val="000A5C45"/>
    <w:rsid w:val="000A60A3"/>
    <w:rsid w:val="000A6CD2"/>
    <w:rsid w:val="000A74D2"/>
    <w:rsid w:val="000A7625"/>
    <w:rsid w:val="000B010C"/>
    <w:rsid w:val="000B06A3"/>
    <w:rsid w:val="000B1865"/>
    <w:rsid w:val="000B2456"/>
    <w:rsid w:val="000B3BC8"/>
    <w:rsid w:val="000B411D"/>
    <w:rsid w:val="000B414E"/>
    <w:rsid w:val="000B4180"/>
    <w:rsid w:val="000B429B"/>
    <w:rsid w:val="000B5ACF"/>
    <w:rsid w:val="000B62C2"/>
    <w:rsid w:val="000B647B"/>
    <w:rsid w:val="000B6631"/>
    <w:rsid w:val="000B6A3F"/>
    <w:rsid w:val="000B6DEE"/>
    <w:rsid w:val="000B72A4"/>
    <w:rsid w:val="000B7385"/>
    <w:rsid w:val="000B7939"/>
    <w:rsid w:val="000B7B41"/>
    <w:rsid w:val="000C018F"/>
    <w:rsid w:val="000C0406"/>
    <w:rsid w:val="000C0A08"/>
    <w:rsid w:val="000C1576"/>
    <w:rsid w:val="000C16C7"/>
    <w:rsid w:val="000C18B9"/>
    <w:rsid w:val="000C1C13"/>
    <w:rsid w:val="000C2478"/>
    <w:rsid w:val="000C2C4E"/>
    <w:rsid w:val="000C2CBC"/>
    <w:rsid w:val="000C31E4"/>
    <w:rsid w:val="000C35F0"/>
    <w:rsid w:val="000C566C"/>
    <w:rsid w:val="000C59F6"/>
    <w:rsid w:val="000C5FC6"/>
    <w:rsid w:val="000C6144"/>
    <w:rsid w:val="000C628D"/>
    <w:rsid w:val="000C6905"/>
    <w:rsid w:val="000C699F"/>
    <w:rsid w:val="000C70F5"/>
    <w:rsid w:val="000C7259"/>
    <w:rsid w:val="000C7DC0"/>
    <w:rsid w:val="000D06C8"/>
    <w:rsid w:val="000D093D"/>
    <w:rsid w:val="000D11A7"/>
    <w:rsid w:val="000D11E7"/>
    <w:rsid w:val="000D1B37"/>
    <w:rsid w:val="000D40AF"/>
    <w:rsid w:val="000D47DB"/>
    <w:rsid w:val="000D519C"/>
    <w:rsid w:val="000D5333"/>
    <w:rsid w:val="000D5B37"/>
    <w:rsid w:val="000D5BC2"/>
    <w:rsid w:val="000D5C96"/>
    <w:rsid w:val="000D6062"/>
    <w:rsid w:val="000D63FC"/>
    <w:rsid w:val="000D671D"/>
    <w:rsid w:val="000D6D5C"/>
    <w:rsid w:val="000D6F1A"/>
    <w:rsid w:val="000E00A8"/>
    <w:rsid w:val="000E0628"/>
    <w:rsid w:val="000E1051"/>
    <w:rsid w:val="000E12EE"/>
    <w:rsid w:val="000E1EA9"/>
    <w:rsid w:val="000E1ECA"/>
    <w:rsid w:val="000E3274"/>
    <w:rsid w:val="000E3298"/>
    <w:rsid w:val="000E3460"/>
    <w:rsid w:val="000E3594"/>
    <w:rsid w:val="000E3A19"/>
    <w:rsid w:val="000E4F78"/>
    <w:rsid w:val="000E5069"/>
    <w:rsid w:val="000E6957"/>
    <w:rsid w:val="000E7700"/>
    <w:rsid w:val="000E7BC8"/>
    <w:rsid w:val="000F0191"/>
    <w:rsid w:val="000F1113"/>
    <w:rsid w:val="000F1327"/>
    <w:rsid w:val="000F25BC"/>
    <w:rsid w:val="000F264A"/>
    <w:rsid w:val="000F350A"/>
    <w:rsid w:val="000F3517"/>
    <w:rsid w:val="000F364A"/>
    <w:rsid w:val="000F3D0D"/>
    <w:rsid w:val="000F56C7"/>
    <w:rsid w:val="000F61C1"/>
    <w:rsid w:val="000F6817"/>
    <w:rsid w:val="00100D7E"/>
    <w:rsid w:val="0010195A"/>
    <w:rsid w:val="00102A52"/>
    <w:rsid w:val="0010326D"/>
    <w:rsid w:val="00103301"/>
    <w:rsid w:val="00103999"/>
    <w:rsid w:val="00103AB1"/>
    <w:rsid w:val="00104B81"/>
    <w:rsid w:val="001058BC"/>
    <w:rsid w:val="00106740"/>
    <w:rsid w:val="00107DBE"/>
    <w:rsid w:val="00111003"/>
    <w:rsid w:val="0011113A"/>
    <w:rsid w:val="0011141A"/>
    <w:rsid w:val="00111A2D"/>
    <w:rsid w:val="00112099"/>
    <w:rsid w:val="00112C90"/>
    <w:rsid w:val="00112E81"/>
    <w:rsid w:val="00112F5B"/>
    <w:rsid w:val="00113733"/>
    <w:rsid w:val="00113956"/>
    <w:rsid w:val="00114B86"/>
    <w:rsid w:val="00114BAC"/>
    <w:rsid w:val="00114E7F"/>
    <w:rsid w:val="00115670"/>
    <w:rsid w:val="0011594D"/>
    <w:rsid w:val="00116607"/>
    <w:rsid w:val="0011671E"/>
    <w:rsid w:val="00117824"/>
    <w:rsid w:val="00120802"/>
    <w:rsid w:val="00120DF7"/>
    <w:rsid w:val="00122B0C"/>
    <w:rsid w:val="00122F62"/>
    <w:rsid w:val="001249A4"/>
    <w:rsid w:val="00124BC6"/>
    <w:rsid w:val="001260F4"/>
    <w:rsid w:val="001270F9"/>
    <w:rsid w:val="00127500"/>
    <w:rsid w:val="00127BFE"/>
    <w:rsid w:val="00127F67"/>
    <w:rsid w:val="00130436"/>
    <w:rsid w:val="00130EFA"/>
    <w:rsid w:val="00131192"/>
    <w:rsid w:val="0013119D"/>
    <w:rsid w:val="00131596"/>
    <w:rsid w:val="001315FD"/>
    <w:rsid w:val="00131842"/>
    <w:rsid w:val="00131B68"/>
    <w:rsid w:val="0013205C"/>
    <w:rsid w:val="00134AC2"/>
    <w:rsid w:val="00134D87"/>
    <w:rsid w:val="0013633F"/>
    <w:rsid w:val="00137254"/>
    <w:rsid w:val="001373DE"/>
    <w:rsid w:val="001377AE"/>
    <w:rsid w:val="00137BD4"/>
    <w:rsid w:val="00140FCC"/>
    <w:rsid w:val="00141B28"/>
    <w:rsid w:val="001435BC"/>
    <w:rsid w:val="00143961"/>
    <w:rsid w:val="00143DED"/>
    <w:rsid w:val="00144977"/>
    <w:rsid w:val="00145C6E"/>
    <w:rsid w:val="00146D13"/>
    <w:rsid w:val="0014785A"/>
    <w:rsid w:val="00147BDA"/>
    <w:rsid w:val="001500A3"/>
    <w:rsid w:val="00150583"/>
    <w:rsid w:val="00150737"/>
    <w:rsid w:val="00150E00"/>
    <w:rsid w:val="00150E78"/>
    <w:rsid w:val="001518A6"/>
    <w:rsid w:val="00151C92"/>
    <w:rsid w:val="00151D76"/>
    <w:rsid w:val="00151D82"/>
    <w:rsid w:val="001520C4"/>
    <w:rsid w:val="00152141"/>
    <w:rsid w:val="00152580"/>
    <w:rsid w:val="001531D5"/>
    <w:rsid w:val="00153C33"/>
    <w:rsid w:val="00153E77"/>
    <w:rsid w:val="00154142"/>
    <w:rsid w:val="001552FB"/>
    <w:rsid w:val="00155E4D"/>
    <w:rsid w:val="001563CA"/>
    <w:rsid w:val="00157CF4"/>
    <w:rsid w:val="00157D8C"/>
    <w:rsid w:val="001602DB"/>
    <w:rsid w:val="00160B58"/>
    <w:rsid w:val="001615FE"/>
    <w:rsid w:val="00161F11"/>
    <w:rsid w:val="001628D1"/>
    <w:rsid w:val="001635EC"/>
    <w:rsid w:val="00163AF5"/>
    <w:rsid w:val="00164A32"/>
    <w:rsid w:val="00166155"/>
    <w:rsid w:val="00166459"/>
    <w:rsid w:val="001666A4"/>
    <w:rsid w:val="00166B5D"/>
    <w:rsid w:val="00170546"/>
    <w:rsid w:val="001708D7"/>
    <w:rsid w:val="00170B3B"/>
    <w:rsid w:val="00170E23"/>
    <w:rsid w:val="00170E6F"/>
    <w:rsid w:val="00171E9E"/>
    <w:rsid w:val="0017230F"/>
    <w:rsid w:val="00172BF4"/>
    <w:rsid w:val="0017330B"/>
    <w:rsid w:val="0017446B"/>
    <w:rsid w:val="00174B67"/>
    <w:rsid w:val="00174FF0"/>
    <w:rsid w:val="0017506B"/>
    <w:rsid w:val="0017569B"/>
    <w:rsid w:val="00175FAB"/>
    <w:rsid w:val="001766AA"/>
    <w:rsid w:val="00176EAE"/>
    <w:rsid w:val="00177137"/>
    <w:rsid w:val="001776FB"/>
    <w:rsid w:val="00177C81"/>
    <w:rsid w:val="001808E2"/>
    <w:rsid w:val="00180BEC"/>
    <w:rsid w:val="00181A3A"/>
    <w:rsid w:val="00181CCB"/>
    <w:rsid w:val="00182C8C"/>
    <w:rsid w:val="0018350F"/>
    <w:rsid w:val="00184BEB"/>
    <w:rsid w:val="00185033"/>
    <w:rsid w:val="00186156"/>
    <w:rsid w:val="00186411"/>
    <w:rsid w:val="001875C3"/>
    <w:rsid w:val="00187FC4"/>
    <w:rsid w:val="001902AC"/>
    <w:rsid w:val="001902E5"/>
    <w:rsid w:val="0019071A"/>
    <w:rsid w:val="00190C4B"/>
    <w:rsid w:val="001910FC"/>
    <w:rsid w:val="0019110D"/>
    <w:rsid w:val="0019184C"/>
    <w:rsid w:val="00191864"/>
    <w:rsid w:val="001920F4"/>
    <w:rsid w:val="00192B99"/>
    <w:rsid w:val="00193724"/>
    <w:rsid w:val="00193D99"/>
    <w:rsid w:val="00194596"/>
    <w:rsid w:val="0019486F"/>
    <w:rsid w:val="0019498B"/>
    <w:rsid w:val="00195D79"/>
    <w:rsid w:val="0019621C"/>
    <w:rsid w:val="00196416"/>
    <w:rsid w:val="00196CD1"/>
    <w:rsid w:val="00197043"/>
    <w:rsid w:val="00197505"/>
    <w:rsid w:val="001A04FC"/>
    <w:rsid w:val="001A093E"/>
    <w:rsid w:val="001A0987"/>
    <w:rsid w:val="001A162C"/>
    <w:rsid w:val="001A1766"/>
    <w:rsid w:val="001A190A"/>
    <w:rsid w:val="001A1F39"/>
    <w:rsid w:val="001A24C7"/>
    <w:rsid w:val="001A305D"/>
    <w:rsid w:val="001A331F"/>
    <w:rsid w:val="001A365F"/>
    <w:rsid w:val="001A3996"/>
    <w:rsid w:val="001A3AEF"/>
    <w:rsid w:val="001A3EF0"/>
    <w:rsid w:val="001A3FAA"/>
    <w:rsid w:val="001A4474"/>
    <w:rsid w:val="001A493C"/>
    <w:rsid w:val="001A50C7"/>
    <w:rsid w:val="001A55F6"/>
    <w:rsid w:val="001A5AC4"/>
    <w:rsid w:val="001A69BB"/>
    <w:rsid w:val="001A7DAA"/>
    <w:rsid w:val="001B02A1"/>
    <w:rsid w:val="001B03B2"/>
    <w:rsid w:val="001B0531"/>
    <w:rsid w:val="001B07BA"/>
    <w:rsid w:val="001B0CE4"/>
    <w:rsid w:val="001B0E49"/>
    <w:rsid w:val="001B0E7E"/>
    <w:rsid w:val="001B0E82"/>
    <w:rsid w:val="001B1BB1"/>
    <w:rsid w:val="001B1CB6"/>
    <w:rsid w:val="001B2025"/>
    <w:rsid w:val="001B22C7"/>
    <w:rsid w:val="001B29D5"/>
    <w:rsid w:val="001B2AB6"/>
    <w:rsid w:val="001B321D"/>
    <w:rsid w:val="001B414D"/>
    <w:rsid w:val="001B49CB"/>
    <w:rsid w:val="001B621F"/>
    <w:rsid w:val="001B674A"/>
    <w:rsid w:val="001B6E90"/>
    <w:rsid w:val="001B737B"/>
    <w:rsid w:val="001B73A3"/>
    <w:rsid w:val="001B7408"/>
    <w:rsid w:val="001B7B77"/>
    <w:rsid w:val="001B7CFB"/>
    <w:rsid w:val="001C0629"/>
    <w:rsid w:val="001C1729"/>
    <w:rsid w:val="001C2BB8"/>
    <w:rsid w:val="001C2D35"/>
    <w:rsid w:val="001C3D12"/>
    <w:rsid w:val="001C45AC"/>
    <w:rsid w:val="001C4807"/>
    <w:rsid w:val="001C5609"/>
    <w:rsid w:val="001C701F"/>
    <w:rsid w:val="001C72C5"/>
    <w:rsid w:val="001C745C"/>
    <w:rsid w:val="001C750F"/>
    <w:rsid w:val="001C77CF"/>
    <w:rsid w:val="001C7893"/>
    <w:rsid w:val="001C78AD"/>
    <w:rsid w:val="001C79B7"/>
    <w:rsid w:val="001D027B"/>
    <w:rsid w:val="001D0660"/>
    <w:rsid w:val="001D0A3C"/>
    <w:rsid w:val="001D1074"/>
    <w:rsid w:val="001D17FB"/>
    <w:rsid w:val="001D1A40"/>
    <w:rsid w:val="001D1BD9"/>
    <w:rsid w:val="001D1ED9"/>
    <w:rsid w:val="001D2354"/>
    <w:rsid w:val="001D42E9"/>
    <w:rsid w:val="001D482B"/>
    <w:rsid w:val="001D4B5E"/>
    <w:rsid w:val="001D4CDA"/>
    <w:rsid w:val="001D5413"/>
    <w:rsid w:val="001D5EEB"/>
    <w:rsid w:val="001D6933"/>
    <w:rsid w:val="001D6FBD"/>
    <w:rsid w:val="001D7210"/>
    <w:rsid w:val="001D7894"/>
    <w:rsid w:val="001D7BC1"/>
    <w:rsid w:val="001D7D78"/>
    <w:rsid w:val="001E067D"/>
    <w:rsid w:val="001E0862"/>
    <w:rsid w:val="001E148F"/>
    <w:rsid w:val="001E1A98"/>
    <w:rsid w:val="001E1B12"/>
    <w:rsid w:val="001E1D12"/>
    <w:rsid w:val="001E2396"/>
    <w:rsid w:val="001E23BF"/>
    <w:rsid w:val="001E275B"/>
    <w:rsid w:val="001E2862"/>
    <w:rsid w:val="001E294B"/>
    <w:rsid w:val="001E2DE6"/>
    <w:rsid w:val="001E31C4"/>
    <w:rsid w:val="001E3609"/>
    <w:rsid w:val="001E3693"/>
    <w:rsid w:val="001E3F45"/>
    <w:rsid w:val="001E696A"/>
    <w:rsid w:val="001E6D2F"/>
    <w:rsid w:val="001E7E7A"/>
    <w:rsid w:val="001F0C2C"/>
    <w:rsid w:val="001F1440"/>
    <w:rsid w:val="001F1853"/>
    <w:rsid w:val="001F2422"/>
    <w:rsid w:val="001F3A64"/>
    <w:rsid w:val="001F3AD9"/>
    <w:rsid w:val="001F4687"/>
    <w:rsid w:val="001F46E0"/>
    <w:rsid w:val="001F4DEF"/>
    <w:rsid w:val="001F5997"/>
    <w:rsid w:val="001F5AA1"/>
    <w:rsid w:val="001F5B60"/>
    <w:rsid w:val="001F5C11"/>
    <w:rsid w:val="001F60AC"/>
    <w:rsid w:val="001F651B"/>
    <w:rsid w:val="001F662E"/>
    <w:rsid w:val="001F7215"/>
    <w:rsid w:val="001F7340"/>
    <w:rsid w:val="001F7506"/>
    <w:rsid w:val="001F7F8D"/>
    <w:rsid w:val="00200316"/>
    <w:rsid w:val="0020050E"/>
    <w:rsid w:val="002009E4"/>
    <w:rsid w:val="0020195A"/>
    <w:rsid w:val="00201B25"/>
    <w:rsid w:val="002027EF"/>
    <w:rsid w:val="00203A55"/>
    <w:rsid w:val="00206225"/>
    <w:rsid w:val="0020757A"/>
    <w:rsid w:val="00207C8F"/>
    <w:rsid w:val="00210B09"/>
    <w:rsid w:val="0021125C"/>
    <w:rsid w:val="002114BA"/>
    <w:rsid w:val="00211C13"/>
    <w:rsid w:val="00212626"/>
    <w:rsid w:val="00212989"/>
    <w:rsid w:val="00212D38"/>
    <w:rsid w:val="0021351A"/>
    <w:rsid w:val="002138FE"/>
    <w:rsid w:val="002149B2"/>
    <w:rsid w:val="00214CC2"/>
    <w:rsid w:val="00215408"/>
    <w:rsid w:val="00216AEA"/>
    <w:rsid w:val="00217054"/>
    <w:rsid w:val="00217AE5"/>
    <w:rsid w:val="00217E9A"/>
    <w:rsid w:val="00220E32"/>
    <w:rsid w:val="00221495"/>
    <w:rsid w:val="00221888"/>
    <w:rsid w:val="00222708"/>
    <w:rsid w:val="002229B0"/>
    <w:rsid w:val="00222A36"/>
    <w:rsid w:val="00223A51"/>
    <w:rsid w:val="00223F00"/>
    <w:rsid w:val="0022446D"/>
    <w:rsid w:val="00224C89"/>
    <w:rsid w:val="002260AD"/>
    <w:rsid w:val="002261F8"/>
    <w:rsid w:val="00226478"/>
    <w:rsid w:val="002278CE"/>
    <w:rsid w:val="00230DFF"/>
    <w:rsid w:val="00230F9C"/>
    <w:rsid w:val="002325AE"/>
    <w:rsid w:val="002326F2"/>
    <w:rsid w:val="00232DC8"/>
    <w:rsid w:val="00232EBF"/>
    <w:rsid w:val="00234641"/>
    <w:rsid w:val="00234BD6"/>
    <w:rsid w:val="002359C3"/>
    <w:rsid w:val="00235ADD"/>
    <w:rsid w:val="00235F89"/>
    <w:rsid w:val="00236F91"/>
    <w:rsid w:val="002373E5"/>
    <w:rsid w:val="00237602"/>
    <w:rsid w:val="002404EA"/>
    <w:rsid w:val="0024074A"/>
    <w:rsid w:val="0024096E"/>
    <w:rsid w:val="002418B1"/>
    <w:rsid w:val="00241A5C"/>
    <w:rsid w:val="00241DE1"/>
    <w:rsid w:val="0024232F"/>
    <w:rsid w:val="00242832"/>
    <w:rsid w:val="00243476"/>
    <w:rsid w:val="002435E0"/>
    <w:rsid w:val="00243931"/>
    <w:rsid w:val="002439A1"/>
    <w:rsid w:val="00243F0E"/>
    <w:rsid w:val="002441BE"/>
    <w:rsid w:val="00246233"/>
    <w:rsid w:val="002464F0"/>
    <w:rsid w:val="002469A3"/>
    <w:rsid w:val="00246B1C"/>
    <w:rsid w:val="002473EC"/>
    <w:rsid w:val="00247D80"/>
    <w:rsid w:val="00250FB6"/>
    <w:rsid w:val="0025111D"/>
    <w:rsid w:val="002517A2"/>
    <w:rsid w:val="00251D2B"/>
    <w:rsid w:val="00251E7B"/>
    <w:rsid w:val="002528CC"/>
    <w:rsid w:val="00252F05"/>
    <w:rsid w:val="002539A8"/>
    <w:rsid w:val="002540FA"/>
    <w:rsid w:val="002542B9"/>
    <w:rsid w:val="002544BE"/>
    <w:rsid w:val="00254894"/>
    <w:rsid w:val="002549A9"/>
    <w:rsid w:val="00255066"/>
    <w:rsid w:val="002550EB"/>
    <w:rsid w:val="00255D59"/>
    <w:rsid w:val="002567EF"/>
    <w:rsid w:val="0026033B"/>
    <w:rsid w:val="00260586"/>
    <w:rsid w:val="0026067E"/>
    <w:rsid w:val="00261358"/>
    <w:rsid w:val="00261387"/>
    <w:rsid w:val="00261D25"/>
    <w:rsid w:val="00262975"/>
    <w:rsid w:val="00262AE0"/>
    <w:rsid w:val="00264CD6"/>
    <w:rsid w:val="0026510C"/>
    <w:rsid w:val="00265323"/>
    <w:rsid w:val="00265494"/>
    <w:rsid w:val="00266A44"/>
    <w:rsid w:val="002677CB"/>
    <w:rsid w:val="00270BD0"/>
    <w:rsid w:val="00271315"/>
    <w:rsid w:val="00273203"/>
    <w:rsid w:val="002735AA"/>
    <w:rsid w:val="0027385D"/>
    <w:rsid w:val="00273AC7"/>
    <w:rsid w:val="00273C4D"/>
    <w:rsid w:val="002748B6"/>
    <w:rsid w:val="00275602"/>
    <w:rsid w:val="00276424"/>
    <w:rsid w:val="0027652D"/>
    <w:rsid w:val="00276941"/>
    <w:rsid w:val="00277138"/>
    <w:rsid w:val="00277F33"/>
    <w:rsid w:val="00280EB0"/>
    <w:rsid w:val="0028132C"/>
    <w:rsid w:val="002814A0"/>
    <w:rsid w:val="00281DD3"/>
    <w:rsid w:val="00281F76"/>
    <w:rsid w:val="00282A80"/>
    <w:rsid w:val="00282E89"/>
    <w:rsid w:val="00283F81"/>
    <w:rsid w:val="0028443A"/>
    <w:rsid w:val="002845B3"/>
    <w:rsid w:val="002846FC"/>
    <w:rsid w:val="00284C41"/>
    <w:rsid w:val="00285132"/>
    <w:rsid w:val="00285367"/>
    <w:rsid w:val="0028552C"/>
    <w:rsid w:val="00285C28"/>
    <w:rsid w:val="00285FD5"/>
    <w:rsid w:val="0028611C"/>
    <w:rsid w:val="002866DB"/>
    <w:rsid w:val="00286ED8"/>
    <w:rsid w:val="00287372"/>
    <w:rsid w:val="00287D3E"/>
    <w:rsid w:val="002903F9"/>
    <w:rsid w:val="00291373"/>
    <w:rsid w:val="00291B3C"/>
    <w:rsid w:val="00291DB8"/>
    <w:rsid w:val="002920EB"/>
    <w:rsid w:val="002922EE"/>
    <w:rsid w:val="00292C08"/>
    <w:rsid w:val="00292E18"/>
    <w:rsid w:val="00293705"/>
    <w:rsid w:val="00293D04"/>
    <w:rsid w:val="00293F3A"/>
    <w:rsid w:val="00294639"/>
    <w:rsid w:val="00294D8B"/>
    <w:rsid w:val="00295A96"/>
    <w:rsid w:val="00295DBE"/>
    <w:rsid w:val="002962DA"/>
    <w:rsid w:val="002964DD"/>
    <w:rsid w:val="00296AFF"/>
    <w:rsid w:val="00296C8E"/>
    <w:rsid w:val="00297E0C"/>
    <w:rsid w:val="002A0B6A"/>
    <w:rsid w:val="002A1103"/>
    <w:rsid w:val="002A16F4"/>
    <w:rsid w:val="002A2251"/>
    <w:rsid w:val="002A25A4"/>
    <w:rsid w:val="002A2C3B"/>
    <w:rsid w:val="002A415D"/>
    <w:rsid w:val="002A49B2"/>
    <w:rsid w:val="002A610A"/>
    <w:rsid w:val="002A671A"/>
    <w:rsid w:val="002A685E"/>
    <w:rsid w:val="002A6A6B"/>
    <w:rsid w:val="002A6CE9"/>
    <w:rsid w:val="002A725F"/>
    <w:rsid w:val="002A75D1"/>
    <w:rsid w:val="002B00FA"/>
    <w:rsid w:val="002B04A2"/>
    <w:rsid w:val="002B055D"/>
    <w:rsid w:val="002B08D1"/>
    <w:rsid w:val="002B0D00"/>
    <w:rsid w:val="002B10E6"/>
    <w:rsid w:val="002B124E"/>
    <w:rsid w:val="002B1707"/>
    <w:rsid w:val="002B1778"/>
    <w:rsid w:val="002B1B61"/>
    <w:rsid w:val="002B210E"/>
    <w:rsid w:val="002B2940"/>
    <w:rsid w:val="002B2BB3"/>
    <w:rsid w:val="002B300C"/>
    <w:rsid w:val="002B3057"/>
    <w:rsid w:val="002B37A6"/>
    <w:rsid w:val="002B4887"/>
    <w:rsid w:val="002B4889"/>
    <w:rsid w:val="002B488E"/>
    <w:rsid w:val="002B52D5"/>
    <w:rsid w:val="002B539B"/>
    <w:rsid w:val="002B587F"/>
    <w:rsid w:val="002B58E0"/>
    <w:rsid w:val="002B594C"/>
    <w:rsid w:val="002B594F"/>
    <w:rsid w:val="002B6695"/>
    <w:rsid w:val="002B6C1E"/>
    <w:rsid w:val="002B792B"/>
    <w:rsid w:val="002C050A"/>
    <w:rsid w:val="002C05D9"/>
    <w:rsid w:val="002C071F"/>
    <w:rsid w:val="002C1042"/>
    <w:rsid w:val="002C13B0"/>
    <w:rsid w:val="002C2330"/>
    <w:rsid w:val="002C2468"/>
    <w:rsid w:val="002C2D77"/>
    <w:rsid w:val="002C3A89"/>
    <w:rsid w:val="002C3E9D"/>
    <w:rsid w:val="002C4A94"/>
    <w:rsid w:val="002C4F1A"/>
    <w:rsid w:val="002C5FBF"/>
    <w:rsid w:val="002C6330"/>
    <w:rsid w:val="002C6460"/>
    <w:rsid w:val="002C6A88"/>
    <w:rsid w:val="002C6E6B"/>
    <w:rsid w:val="002C70DC"/>
    <w:rsid w:val="002C7464"/>
    <w:rsid w:val="002D03D5"/>
    <w:rsid w:val="002D0694"/>
    <w:rsid w:val="002D0DCB"/>
    <w:rsid w:val="002D0E51"/>
    <w:rsid w:val="002D0E6F"/>
    <w:rsid w:val="002D1B57"/>
    <w:rsid w:val="002D207F"/>
    <w:rsid w:val="002D21F9"/>
    <w:rsid w:val="002D2E7E"/>
    <w:rsid w:val="002D2EC2"/>
    <w:rsid w:val="002D308D"/>
    <w:rsid w:val="002D30E8"/>
    <w:rsid w:val="002D3E37"/>
    <w:rsid w:val="002D492C"/>
    <w:rsid w:val="002D4F40"/>
    <w:rsid w:val="002D4F88"/>
    <w:rsid w:val="002D51D8"/>
    <w:rsid w:val="002D6A91"/>
    <w:rsid w:val="002D6CAE"/>
    <w:rsid w:val="002D752F"/>
    <w:rsid w:val="002D7BBF"/>
    <w:rsid w:val="002E00B9"/>
    <w:rsid w:val="002E0D85"/>
    <w:rsid w:val="002E0DA4"/>
    <w:rsid w:val="002E120D"/>
    <w:rsid w:val="002E161B"/>
    <w:rsid w:val="002E1BB9"/>
    <w:rsid w:val="002E30DE"/>
    <w:rsid w:val="002E4355"/>
    <w:rsid w:val="002E4B42"/>
    <w:rsid w:val="002E54DC"/>
    <w:rsid w:val="002E5BE6"/>
    <w:rsid w:val="002E626C"/>
    <w:rsid w:val="002E6298"/>
    <w:rsid w:val="002E7C47"/>
    <w:rsid w:val="002F0582"/>
    <w:rsid w:val="002F094F"/>
    <w:rsid w:val="002F0AD1"/>
    <w:rsid w:val="002F0C93"/>
    <w:rsid w:val="002F103F"/>
    <w:rsid w:val="002F106F"/>
    <w:rsid w:val="002F13FB"/>
    <w:rsid w:val="002F148C"/>
    <w:rsid w:val="002F1B5E"/>
    <w:rsid w:val="002F2007"/>
    <w:rsid w:val="002F20F5"/>
    <w:rsid w:val="002F338D"/>
    <w:rsid w:val="002F3892"/>
    <w:rsid w:val="002F3FD1"/>
    <w:rsid w:val="002F4FAC"/>
    <w:rsid w:val="002F5017"/>
    <w:rsid w:val="002F5092"/>
    <w:rsid w:val="002F558C"/>
    <w:rsid w:val="002F5A67"/>
    <w:rsid w:val="002F6F79"/>
    <w:rsid w:val="002F72CE"/>
    <w:rsid w:val="002F7800"/>
    <w:rsid w:val="002F7D3C"/>
    <w:rsid w:val="002F7EAD"/>
    <w:rsid w:val="002F7EBC"/>
    <w:rsid w:val="003002E1"/>
    <w:rsid w:val="00301EF9"/>
    <w:rsid w:val="00301F57"/>
    <w:rsid w:val="0030227A"/>
    <w:rsid w:val="003022B7"/>
    <w:rsid w:val="00302447"/>
    <w:rsid w:val="00304E68"/>
    <w:rsid w:val="003054A6"/>
    <w:rsid w:val="003056FA"/>
    <w:rsid w:val="0030577F"/>
    <w:rsid w:val="0030584C"/>
    <w:rsid w:val="003061C1"/>
    <w:rsid w:val="003064E0"/>
    <w:rsid w:val="003067E7"/>
    <w:rsid w:val="00307047"/>
    <w:rsid w:val="003071E5"/>
    <w:rsid w:val="003071FC"/>
    <w:rsid w:val="00307877"/>
    <w:rsid w:val="00307E0A"/>
    <w:rsid w:val="00310576"/>
    <w:rsid w:val="00310A6D"/>
    <w:rsid w:val="00310AB1"/>
    <w:rsid w:val="003122E4"/>
    <w:rsid w:val="00312732"/>
    <w:rsid w:val="00312BE8"/>
    <w:rsid w:val="00312C96"/>
    <w:rsid w:val="0031356C"/>
    <w:rsid w:val="00313701"/>
    <w:rsid w:val="00313752"/>
    <w:rsid w:val="0031417D"/>
    <w:rsid w:val="003146F7"/>
    <w:rsid w:val="0031471A"/>
    <w:rsid w:val="003150F5"/>
    <w:rsid w:val="00315648"/>
    <w:rsid w:val="00315F77"/>
    <w:rsid w:val="00316A33"/>
    <w:rsid w:val="00317090"/>
    <w:rsid w:val="00317092"/>
    <w:rsid w:val="00317A07"/>
    <w:rsid w:val="00317EE0"/>
    <w:rsid w:val="00317FCA"/>
    <w:rsid w:val="0032058C"/>
    <w:rsid w:val="00320CB8"/>
    <w:rsid w:val="00321001"/>
    <w:rsid w:val="00321555"/>
    <w:rsid w:val="00322415"/>
    <w:rsid w:val="00323F4D"/>
    <w:rsid w:val="00324447"/>
    <w:rsid w:val="003248ED"/>
    <w:rsid w:val="00324A96"/>
    <w:rsid w:val="00324CE2"/>
    <w:rsid w:val="003254B9"/>
    <w:rsid w:val="003276EA"/>
    <w:rsid w:val="00327A92"/>
    <w:rsid w:val="0033068B"/>
    <w:rsid w:val="00330892"/>
    <w:rsid w:val="00330B62"/>
    <w:rsid w:val="00332235"/>
    <w:rsid w:val="0033292A"/>
    <w:rsid w:val="00332A5B"/>
    <w:rsid w:val="00332D9F"/>
    <w:rsid w:val="003330C9"/>
    <w:rsid w:val="00333FF9"/>
    <w:rsid w:val="00334466"/>
    <w:rsid w:val="00334522"/>
    <w:rsid w:val="003347F7"/>
    <w:rsid w:val="00334DB9"/>
    <w:rsid w:val="003360B0"/>
    <w:rsid w:val="00336A86"/>
    <w:rsid w:val="0033748B"/>
    <w:rsid w:val="00337543"/>
    <w:rsid w:val="003377CD"/>
    <w:rsid w:val="0034003B"/>
    <w:rsid w:val="00340602"/>
    <w:rsid w:val="00340AA4"/>
    <w:rsid w:val="00340E87"/>
    <w:rsid w:val="00341D1A"/>
    <w:rsid w:val="0034382F"/>
    <w:rsid w:val="00343A60"/>
    <w:rsid w:val="00343DAD"/>
    <w:rsid w:val="0034459D"/>
    <w:rsid w:val="00344FAF"/>
    <w:rsid w:val="00345AB4"/>
    <w:rsid w:val="00345B3B"/>
    <w:rsid w:val="00346660"/>
    <w:rsid w:val="00347266"/>
    <w:rsid w:val="00351383"/>
    <w:rsid w:val="003517B3"/>
    <w:rsid w:val="00351DA2"/>
    <w:rsid w:val="00352459"/>
    <w:rsid w:val="003525B9"/>
    <w:rsid w:val="003529F2"/>
    <w:rsid w:val="00352CF0"/>
    <w:rsid w:val="00352F87"/>
    <w:rsid w:val="0035318E"/>
    <w:rsid w:val="0035352F"/>
    <w:rsid w:val="00353880"/>
    <w:rsid w:val="00354331"/>
    <w:rsid w:val="00354A81"/>
    <w:rsid w:val="00354DE4"/>
    <w:rsid w:val="00354F5A"/>
    <w:rsid w:val="00355773"/>
    <w:rsid w:val="003557BD"/>
    <w:rsid w:val="00355F3E"/>
    <w:rsid w:val="003564D1"/>
    <w:rsid w:val="00356587"/>
    <w:rsid w:val="00356693"/>
    <w:rsid w:val="00356F60"/>
    <w:rsid w:val="00357C89"/>
    <w:rsid w:val="00360775"/>
    <w:rsid w:val="00360AC2"/>
    <w:rsid w:val="003621AD"/>
    <w:rsid w:val="0036262E"/>
    <w:rsid w:val="00362EDB"/>
    <w:rsid w:val="0036300A"/>
    <w:rsid w:val="003631DD"/>
    <w:rsid w:val="00363E94"/>
    <w:rsid w:val="0036421E"/>
    <w:rsid w:val="003643C6"/>
    <w:rsid w:val="003644E2"/>
    <w:rsid w:val="00364966"/>
    <w:rsid w:val="00364FA3"/>
    <w:rsid w:val="003658AD"/>
    <w:rsid w:val="00365CE6"/>
    <w:rsid w:val="00366433"/>
    <w:rsid w:val="0036670C"/>
    <w:rsid w:val="00367089"/>
    <w:rsid w:val="00370510"/>
    <w:rsid w:val="00370FC8"/>
    <w:rsid w:val="00371C3C"/>
    <w:rsid w:val="0037218F"/>
    <w:rsid w:val="003721E4"/>
    <w:rsid w:val="00373063"/>
    <w:rsid w:val="00373290"/>
    <w:rsid w:val="003736CA"/>
    <w:rsid w:val="003738CD"/>
    <w:rsid w:val="00373911"/>
    <w:rsid w:val="00373FCA"/>
    <w:rsid w:val="00374260"/>
    <w:rsid w:val="00374277"/>
    <w:rsid w:val="003749EE"/>
    <w:rsid w:val="00374ABB"/>
    <w:rsid w:val="003755FB"/>
    <w:rsid w:val="00376209"/>
    <w:rsid w:val="0037665E"/>
    <w:rsid w:val="003776C6"/>
    <w:rsid w:val="0037780B"/>
    <w:rsid w:val="0037785F"/>
    <w:rsid w:val="003778F7"/>
    <w:rsid w:val="00377991"/>
    <w:rsid w:val="00377A59"/>
    <w:rsid w:val="00380511"/>
    <w:rsid w:val="00380537"/>
    <w:rsid w:val="00380B28"/>
    <w:rsid w:val="00380F81"/>
    <w:rsid w:val="00381476"/>
    <w:rsid w:val="003817C0"/>
    <w:rsid w:val="003822E4"/>
    <w:rsid w:val="003828C9"/>
    <w:rsid w:val="00383485"/>
    <w:rsid w:val="00384272"/>
    <w:rsid w:val="003847DA"/>
    <w:rsid w:val="003848EA"/>
    <w:rsid w:val="00384D75"/>
    <w:rsid w:val="00385542"/>
    <w:rsid w:val="0038567A"/>
    <w:rsid w:val="00385913"/>
    <w:rsid w:val="00385C65"/>
    <w:rsid w:val="003860B0"/>
    <w:rsid w:val="0038672D"/>
    <w:rsid w:val="0038691F"/>
    <w:rsid w:val="00387903"/>
    <w:rsid w:val="00387BF7"/>
    <w:rsid w:val="003900D2"/>
    <w:rsid w:val="003914E7"/>
    <w:rsid w:val="0039172E"/>
    <w:rsid w:val="00391DB7"/>
    <w:rsid w:val="00393FFE"/>
    <w:rsid w:val="003941C9"/>
    <w:rsid w:val="003944C7"/>
    <w:rsid w:val="00394BA2"/>
    <w:rsid w:val="00395428"/>
    <w:rsid w:val="00395754"/>
    <w:rsid w:val="00395E1E"/>
    <w:rsid w:val="003963FF"/>
    <w:rsid w:val="00396D1A"/>
    <w:rsid w:val="00397909"/>
    <w:rsid w:val="003A1003"/>
    <w:rsid w:val="003A12FD"/>
    <w:rsid w:val="003A27B2"/>
    <w:rsid w:val="003A2C4F"/>
    <w:rsid w:val="003A2EF8"/>
    <w:rsid w:val="003A30E9"/>
    <w:rsid w:val="003A326F"/>
    <w:rsid w:val="003A4696"/>
    <w:rsid w:val="003A4B51"/>
    <w:rsid w:val="003A4C33"/>
    <w:rsid w:val="003A618B"/>
    <w:rsid w:val="003A7105"/>
    <w:rsid w:val="003A721C"/>
    <w:rsid w:val="003A7FE7"/>
    <w:rsid w:val="003B0604"/>
    <w:rsid w:val="003B09AB"/>
    <w:rsid w:val="003B1487"/>
    <w:rsid w:val="003B1AFA"/>
    <w:rsid w:val="003B1D6E"/>
    <w:rsid w:val="003B1E8D"/>
    <w:rsid w:val="003B1FA4"/>
    <w:rsid w:val="003B22E9"/>
    <w:rsid w:val="003B274A"/>
    <w:rsid w:val="003B2832"/>
    <w:rsid w:val="003B3319"/>
    <w:rsid w:val="003B3482"/>
    <w:rsid w:val="003B3A2A"/>
    <w:rsid w:val="003B3BEE"/>
    <w:rsid w:val="003B3CA1"/>
    <w:rsid w:val="003B46AA"/>
    <w:rsid w:val="003B4932"/>
    <w:rsid w:val="003B4F2D"/>
    <w:rsid w:val="003B52F5"/>
    <w:rsid w:val="003B53AE"/>
    <w:rsid w:val="003B5AEE"/>
    <w:rsid w:val="003B5E6F"/>
    <w:rsid w:val="003B5F62"/>
    <w:rsid w:val="003B6314"/>
    <w:rsid w:val="003B714B"/>
    <w:rsid w:val="003B73F6"/>
    <w:rsid w:val="003B7AD0"/>
    <w:rsid w:val="003C012F"/>
    <w:rsid w:val="003C08FD"/>
    <w:rsid w:val="003C1D54"/>
    <w:rsid w:val="003C1FC2"/>
    <w:rsid w:val="003C2144"/>
    <w:rsid w:val="003C23EC"/>
    <w:rsid w:val="003C2655"/>
    <w:rsid w:val="003C28B3"/>
    <w:rsid w:val="003C36F7"/>
    <w:rsid w:val="003C38FE"/>
    <w:rsid w:val="003C3E6A"/>
    <w:rsid w:val="003C4284"/>
    <w:rsid w:val="003C4F4F"/>
    <w:rsid w:val="003C6FDC"/>
    <w:rsid w:val="003D06F5"/>
    <w:rsid w:val="003D08E9"/>
    <w:rsid w:val="003D0BD8"/>
    <w:rsid w:val="003D1188"/>
    <w:rsid w:val="003D1735"/>
    <w:rsid w:val="003D1AAE"/>
    <w:rsid w:val="003D2AE9"/>
    <w:rsid w:val="003D2E4C"/>
    <w:rsid w:val="003D38EF"/>
    <w:rsid w:val="003D3C2D"/>
    <w:rsid w:val="003D4AB4"/>
    <w:rsid w:val="003D57E5"/>
    <w:rsid w:val="003D59EF"/>
    <w:rsid w:val="003D63A3"/>
    <w:rsid w:val="003D7129"/>
    <w:rsid w:val="003D7200"/>
    <w:rsid w:val="003D76C8"/>
    <w:rsid w:val="003D7856"/>
    <w:rsid w:val="003D7E78"/>
    <w:rsid w:val="003E0168"/>
    <w:rsid w:val="003E0CE7"/>
    <w:rsid w:val="003E1081"/>
    <w:rsid w:val="003E11EA"/>
    <w:rsid w:val="003E136C"/>
    <w:rsid w:val="003E2231"/>
    <w:rsid w:val="003E255E"/>
    <w:rsid w:val="003E2978"/>
    <w:rsid w:val="003E2AE2"/>
    <w:rsid w:val="003E4DB8"/>
    <w:rsid w:val="003E4DDE"/>
    <w:rsid w:val="003E4FFB"/>
    <w:rsid w:val="003E570D"/>
    <w:rsid w:val="003E6AD5"/>
    <w:rsid w:val="003E6D0F"/>
    <w:rsid w:val="003E6E0C"/>
    <w:rsid w:val="003E6E53"/>
    <w:rsid w:val="003E7FE0"/>
    <w:rsid w:val="003F25B5"/>
    <w:rsid w:val="003F2FD6"/>
    <w:rsid w:val="003F3900"/>
    <w:rsid w:val="003F4A6B"/>
    <w:rsid w:val="003F4B1E"/>
    <w:rsid w:val="003F4D30"/>
    <w:rsid w:val="003F5251"/>
    <w:rsid w:val="003F56DF"/>
    <w:rsid w:val="003F621C"/>
    <w:rsid w:val="003F693D"/>
    <w:rsid w:val="003F6ADD"/>
    <w:rsid w:val="003F75B1"/>
    <w:rsid w:val="003F7665"/>
    <w:rsid w:val="00400FED"/>
    <w:rsid w:val="004010C2"/>
    <w:rsid w:val="00401738"/>
    <w:rsid w:val="00401857"/>
    <w:rsid w:val="004018D3"/>
    <w:rsid w:val="004026D7"/>
    <w:rsid w:val="00402D5A"/>
    <w:rsid w:val="00403081"/>
    <w:rsid w:val="00403474"/>
    <w:rsid w:val="00403F22"/>
    <w:rsid w:val="0040446F"/>
    <w:rsid w:val="00404959"/>
    <w:rsid w:val="00404B7C"/>
    <w:rsid w:val="004068FF"/>
    <w:rsid w:val="0041110A"/>
    <w:rsid w:val="004111C5"/>
    <w:rsid w:val="00411896"/>
    <w:rsid w:val="00411EE3"/>
    <w:rsid w:val="00411EFF"/>
    <w:rsid w:val="00412BB6"/>
    <w:rsid w:val="004130E1"/>
    <w:rsid w:val="00413825"/>
    <w:rsid w:val="00414CE8"/>
    <w:rsid w:val="00415893"/>
    <w:rsid w:val="004159F1"/>
    <w:rsid w:val="00416428"/>
    <w:rsid w:val="004164DB"/>
    <w:rsid w:val="004165C0"/>
    <w:rsid w:val="004202B0"/>
    <w:rsid w:val="00420FD3"/>
    <w:rsid w:val="00421392"/>
    <w:rsid w:val="00421683"/>
    <w:rsid w:val="0042214E"/>
    <w:rsid w:val="00422557"/>
    <w:rsid w:val="004225AD"/>
    <w:rsid w:val="004232C9"/>
    <w:rsid w:val="00423BD8"/>
    <w:rsid w:val="00423CD9"/>
    <w:rsid w:val="004240AD"/>
    <w:rsid w:val="0042472C"/>
    <w:rsid w:val="004255E8"/>
    <w:rsid w:val="00425A93"/>
    <w:rsid w:val="00425C3E"/>
    <w:rsid w:val="00425FF3"/>
    <w:rsid w:val="0042635D"/>
    <w:rsid w:val="00426807"/>
    <w:rsid w:val="00426D48"/>
    <w:rsid w:val="0042722B"/>
    <w:rsid w:val="004277D4"/>
    <w:rsid w:val="00431139"/>
    <w:rsid w:val="00431E9B"/>
    <w:rsid w:val="00431F3B"/>
    <w:rsid w:val="0043207F"/>
    <w:rsid w:val="0043264E"/>
    <w:rsid w:val="004326D6"/>
    <w:rsid w:val="00432989"/>
    <w:rsid w:val="00432E0C"/>
    <w:rsid w:val="004331FE"/>
    <w:rsid w:val="0043320B"/>
    <w:rsid w:val="00433281"/>
    <w:rsid w:val="0043389B"/>
    <w:rsid w:val="00433A4E"/>
    <w:rsid w:val="00433ECD"/>
    <w:rsid w:val="00433EE0"/>
    <w:rsid w:val="0043415B"/>
    <w:rsid w:val="00434615"/>
    <w:rsid w:val="00434719"/>
    <w:rsid w:val="00434C62"/>
    <w:rsid w:val="00434CC9"/>
    <w:rsid w:val="00435B52"/>
    <w:rsid w:val="00435C20"/>
    <w:rsid w:val="00437DF8"/>
    <w:rsid w:val="00440062"/>
    <w:rsid w:val="00440B74"/>
    <w:rsid w:val="00440C3C"/>
    <w:rsid w:val="00441316"/>
    <w:rsid w:val="0044146C"/>
    <w:rsid w:val="00442192"/>
    <w:rsid w:val="00442AC3"/>
    <w:rsid w:val="00442EF9"/>
    <w:rsid w:val="00442FC0"/>
    <w:rsid w:val="0044361E"/>
    <w:rsid w:val="00443857"/>
    <w:rsid w:val="0044479E"/>
    <w:rsid w:val="00444B3E"/>
    <w:rsid w:val="004455A1"/>
    <w:rsid w:val="004466E0"/>
    <w:rsid w:val="00446F56"/>
    <w:rsid w:val="0044747B"/>
    <w:rsid w:val="00447F91"/>
    <w:rsid w:val="004504FB"/>
    <w:rsid w:val="00450651"/>
    <w:rsid w:val="00450E8F"/>
    <w:rsid w:val="00450EC3"/>
    <w:rsid w:val="00452523"/>
    <w:rsid w:val="004528CD"/>
    <w:rsid w:val="00452988"/>
    <w:rsid w:val="0045325D"/>
    <w:rsid w:val="00454507"/>
    <w:rsid w:val="00454520"/>
    <w:rsid w:val="004545DC"/>
    <w:rsid w:val="004548A5"/>
    <w:rsid w:val="0045554E"/>
    <w:rsid w:val="0045584A"/>
    <w:rsid w:val="00455D02"/>
    <w:rsid w:val="0045611F"/>
    <w:rsid w:val="004563E1"/>
    <w:rsid w:val="00456531"/>
    <w:rsid w:val="00456816"/>
    <w:rsid w:val="00457095"/>
    <w:rsid w:val="0045742A"/>
    <w:rsid w:val="00460321"/>
    <w:rsid w:val="00460F11"/>
    <w:rsid w:val="00461556"/>
    <w:rsid w:val="004618A6"/>
    <w:rsid w:val="0046298E"/>
    <w:rsid w:val="00462E06"/>
    <w:rsid w:val="004636C5"/>
    <w:rsid w:val="00463DD3"/>
    <w:rsid w:val="00463F67"/>
    <w:rsid w:val="0046402B"/>
    <w:rsid w:val="00464531"/>
    <w:rsid w:val="00464764"/>
    <w:rsid w:val="00464BC4"/>
    <w:rsid w:val="0046500D"/>
    <w:rsid w:val="00465194"/>
    <w:rsid w:val="0046570D"/>
    <w:rsid w:val="004659A0"/>
    <w:rsid w:val="00465B5C"/>
    <w:rsid w:val="00466288"/>
    <w:rsid w:val="004662BE"/>
    <w:rsid w:val="00466584"/>
    <w:rsid w:val="00466F16"/>
    <w:rsid w:val="00467468"/>
    <w:rsid w:val="004674D6"/>
    <w:rsid w:val="00467CCB"/>
    <w:rsid w:val="00467FD7"/>
    <w:rsid w:val="004707EA"/>
    <w:rsid w:val="00470AB7"/>
    <w:rsid w:val="00471A93"/>
    <w:rsid w:val="00471CC9"/>
    <w:rsid w:val="00471D1E"/>
    <w:rsid w:val="0047250E"/>
    <w:rsid w:val="00473319"/>
    <w:rsid w:val="004733AB"/>
    <w:rsid w:val="0047402B"/>
    <w:rsid w:val="00474110"/>
    <w:rsid w:val="004748CF"/>
    <w:rsid w:val="00474953"/>
    <w:rsid w:val="00475495"/>
    <w:rsid w:val="004754F6"/>
    <w:rsid w:val="00475B26"/>
    <w:rsid w:val="00476469"/>
    <w:rsid w:val="00476A0C"/>
    <w:rsid w:val="00477688"/>
    <w:rsid w:val="00477A6B"/>
    <w:rsid w:val="00477F35"/>
    <w:rsid w:val="00477F44"/>
    <w:rsid w:val="0048054C"/>
    <w:rsid w:val="00480692"/>
    <w:rsid w:val="00480ACA"/>
    <w:rsid w:val="00481660"/>
    <w:rsid w:val="00481836"/>
    <w:rsid w:val="00482D78"/>
    <w:rsid w:val="00482E50"/>
    <w:rsid w:val="004847DC"/>
    <w:rsid w:val="00484AE4"/>
    <w:rsid w:val="004853B5"/>
    <w:rsid w:val="00485530"/>
    <w:rsid w:val="00485D15"/>
    <w:rsid w:val="00485E6C"/>
    <w:rsid w:val="004860BF"/>
    <w:rsid w:val="00486213"/>
    <w:rsid w:val="00486272"/>
    <w:rsid w:val="004866F8"/>
    <w:rsid w:val="00487425"/>
    <w:rsid w:val="004879F8"/>
    <w:rsid w:val="0049044A"/>
    <w:rsid w:val="00490BC9"/>
    <w:rsid w:val="00491201"/>
    <w:rsid w:val="004914C9"/>
    <w:rsid w:val="00491986"/>
    <w:rsid w:val="0049317F"/>
    <w:rsid w:val="0049425A"/>
    <w:rsid w:val="0049512F"/>
    <w:rsid w:val="004951E8"/>
    <w:rsid w:val="00495306"/>
    <w:rsid w:val="00495870"/>
    <w:rsid w:val="00496135"/>
    <w:rsid w:val="0049709A"/>
    <w:rsid w:val="00497203"/>
    <w:rsid w:val="00497584"/>
    <w:rsid w:val="00497DA7"/>
    <w:rsid w:val="004A0015"/>
    <w:rsid w:val="004A0703"/>
    <w:rsid w:val="004A099B"/>
    <w:rsid w:val="004A0E06"/>
    <w:rsid w:val="004A0F6D"/>
    <w:rsid w:val="004A20F4"/>
    <w:rsid w:val="004A2483"/>
    <w:rsid w:val="004A2B3E"/>
    <w:rsid w:val="004A33EF"/>
    <w:rsid w:val="004A36C8"/>
    <w:rsid w:val="004A3C30"/>
    <w:rsid w:val="004A42BF"/>
    <w:rsid w:val="004A48D2"/>
    <w:rsid w:val="004A49DE"/>
    <w:rsid w:val="004A626F"/>
    <w:rsid w:val="004A639C"/>
    <w:rsid w:val="004A6A66"/>
    <w:rsid w:val="004A6D62"/>
    <w:rsid w:val="004A7053"/>
    <w:rsid w:val="004A74F2"/>
    <w:rsid w:val="004A7715"/>
    <w:rsid w:val="004A792F"/>
    <w:rsid w:val="004A7AD3"/>
    <w:rsid w:val="004A7C77"/>
    <w:rsid w:val="004B05E0"/>
    <w:rsid w:val="004B0609"/>
    <w:rsid w:val="004B111D"/>
    <w:rsid w:val="004B20D1"/>
    <w:rsid w:val="004B20F7"/>
    <w:rsid w:val="004B25E8"/>
    <w:rsid w:val="004B2926"/>
    <w:rsid w:val="004B2D60"/>
    <w:rsid w:val="004B310C"/>
    <w:rsid w:val="004B36E7"/>
    <w:rsid w:val="004B3B37"/>
    <w:rsid w:val="004B438B"/>
    <w:rsid w:val="004B4CE0"/>
    <w:rsid w:val="004B560B"/>
    <w:rsid w:val="004B5623"/>
    <w:rsid w:val="004B67EA"/>
    <w:rsid w:val="004C1AF2"/>
    <w:rsid w:val="004C287D"/>
    <w:rsid w:val="004C3147"/>
    <w:rsid w:val="004C3DC1"/>
    <w:rsid w:val="004C4576"/>
    <w:rsid w:val="004C59AE"/>
    <w:rsid w:val="004C59DB"/>
    <w:rsid w:val="004C657B"/>
    <w:rsid w:val="004C69FE"/>
    <w:rsid w:val="004C6C56"/>
    <w:rsid w:val="004C6DF5"/>
    <w:rsid w:val="004C7474"/>
    <w:rsid w:val="004C7579"/>
    <w:rsid w:val="004C78AA"/>
    <w:rsid w:val="004D00E2"/>
    <w:rsid w:val="004D0560"/>
    <w:rsid w:val="004D0D46"/>
    <w:rsid w:val="004D1168"/>
    <w:rsid w:val="004D13F1"/>
    <w:rsid w:val="004D1B79"/>
    <w:rsid w:val="004D2288"/>
    <w:rsid w:val="004D26B2"/>
    <w:rsid w:val="004D2E45"/>
    <w:rsid w:val="004D400B"/>
    <w:rsid w:val="004D4F3A"/>
    <w:rsid w:val="004D5F44"/>
    <w:rsid w:val="004D626C"/>
    <w:rsid w:val="004D6774"/>
    <w:rsid w:val="004D689B"/>
    <w:rsid w:val="004D6992"/>
    <w:rsid w:val="004D7F6E"/>
    <w:rsid w:val="004E0623"/>
    <w:rsid w:val="004E13C6"/>
    <w:rsid w:val="004E1590"/>
    <w:rsid w:val="004E2164"/>
    <w:rsid w:val="004E21D0"/>
    <w:rsid w:val="004E2D83"/>
    <w:rsid w:val="004E3A1A"/>
    <w:rsid w:val="004E4F3B"/>
    <w:rsid w:val="004E54D1"/>
    <w:rsid w:val="004E564C"/>
    <w:rsid w:val="004E678D"/>
    <w:rsid w:val="004E6BFC"/>
    <w:rsid w:val="004E7AF4"/>
    <w:rsid w:val="004F167F"/>
    <w:rsid w:val="004F1F2E"/>
    <w:rsid w:val="004F2BDA"/>
    <w:rsid w:val="004F2DED"/>
    <w:rsid w:val="004F38B0"/>
    <w:rsid w:val="004F4518"/>
    <w:rsid w:val="004F4B71"/>
    <w:rsid w:val="004F4DCF"/>
    <w:rsid w:val="004F4EA9"/>
    <w:rsid w:val="004F5503"/>
    <w:rsid w:val="004F5B5D"/>
    <w:rsid w:val="004F6A46"/>
    <w:rsid w:val="004F7D30"/>
    <w:rsid w:val="004F7D70"/>
    <w:rsid w:val="00500494"/>
    <w:rsid w:val="005006D0"/>
    <w:rsid w:val="00500B11"/>
    <w:rsid w:val="00501300"/>
    <w:rsid w:val="00502852"/>
    <w:rsid w:val="0050354F"/>
    <w:rsid w:val="0050380A"/>
    <w:rsid w:val="00503B49"/>
    <w:rsid w:val="005040B1"/>
    <w:rsid w:val="00506A5B"/>
    <w:rsid w:val="00506A8E"/>
    <w:rsid w:val="00506B82"/>
    <w:rsid w:val="00506C0D"/>
    <w:rsid w:val="00506F69"/>
    <w:rsid w:val="00507668"/>
    <w:rsid w:val="0050795C"/>
    <w:rsid w:val="00507C30"/>
    <w:rsid w:val="005102F7"/>
    <w:rsid w:val="005104AC"/>
    <w:rsid w:val="00511AA3"/>
    <w:rsid w:val="00511B13"/>
    <w:rsid w:val="0051250D"/>
    <w:rsid w:val="005136D9"/>
    <w:rsid w:val="00513961"/>
    <w:rsid w:val="005148C6"/>
    <w:rsid w:val="0051528C"/>
    <w:rsid w:val="0051653A"/>
    <w:rsid w:val="005168BA"/>
    <w:rsid w:val="00516EFC"/>
    <w:rsid w:val="0051701A"/>
    <w:rsid w:val="00517654"/>
    <w:rsid w:val="00521419"/>
    <w:rsid w:val="00521A27"/>
    <w:rsid w:val="00523698"/>
    <w:rsid w:val="00523AF4"/>
    <w:rsid w:val="00523DED"/>
    <w:rsid w:val="00524607"/>
    <w:rsid w:val="00525283"/>
    <w:rsid w:val="00527E88"/>
    <w:rsid w:val="0053000B"/>
    <w:rsid w:val="005300EC"/>
    <w:rsid w:val="00530671"/>
    <w:rsid w:val="00531755"/>
    <w:rsid w:val="005320DF"/>
    <w:rsid w:val="00532170"/>
    <w:rsid w:val="005324E8"/>
    <w:rsid w:val="00532525"/>
    <w:rsid w:val="005331A5"/>
    <w:rsid w:val="00533911"/>
    <w:rsid w:val="00533DA2"/>
    <w:rsid w:val="00533FA6"/>
    <w:rsid w:val="0053477E"/>
    <w:rsid w:val="0053485C"/>
    <w:rsid w:val="00535170"/>
    <w:rsid w:val="0053517B"/>
    <w:rsid w:val="0053771F"/>
    <w:rsid w:val="0054078D"/>
    <w:rsid w:val="00542ECA"/>
    <w:rsid w:val="00543A01"/>
    <w:rsid w:val="00543EBE"/>
    <w:rsid w:val="00544AC1"/>
    <w:rsid w:val="00545485"/>
    <w:rsid w:val="00545A48"/>
    <w:rsid w:val="00545C05"/>
    <w:rsid w:val="005462E9"/>
    <w:rsid w:val="0054683F"/>
    <w:rsid w:val="00546F9D"/>
    <w:rsid w:val="005477D2"/>
    <w:rsid w:val="0054781F"/>
    <w:rsid w:val="00547F5A"/>
    <w:rsid w:val="005502D8"/>
    <w:rsid w:val="00550CB8"/>
    <w:rsid w:val="00550DCC"/>
    <w:rsid w:val="00551A1F"/>
    <w:rsid w:val="00551B72"/>
    <w:rsid w:val="005527DB"/>
    <w:rsid w:val="00553502"/>
    <w:rsid w:val="00554091"/>
    <w:rsid w:val="00554F63"/>
    <w:rsid w:val="00555043"/>
    <w:rsid w:val="0055516F"/>
    <w:rsid w:val="005556E8"/>
    <w:rsid w:val="005557BA"/>
    <w:rsid w:val="00555A1A"/>
    <w:rsid w:val="00555C94"/>
    <w:rsid w:val="00556B24"/>
    <w:rsid w:val="005571DC"/>
    <w:rsid w:val="00557333"/>
    <w:rsid w:val="005574F9"/>
    <w:rsid w:val="00560B28"/>
    <w:rsid w:val="00560BF3"/>
    <w:rsid w:val="00560C55"/>
    <w:rsid w:val="00561932"/>
    <w:rsid w:val="00561B3B"/>
    <w:rsid w:val="00562E26"/>
    <w:rsid w:val="005630A2"/>
    <w:rsid w:val="00563344"/>
    <w:rsid w:val="00563ADF"/>
    <w:rsid w:val="00563D56"/>
    <w:rsid w:val="0056413B"/>
    <w:rsid w:val="00564A34"/>
    <w:rsid w:val="00564B49"/>
    <w:rsid w:val="00566165"/>
    <w:rsid w:val="0056637D"/>
    <w:rsid w:val="005667F0"/>
    <w:rsid w:val="0056685A"/>
    <w:rsid w:val="00566F00"/>
    <w:rsid w:val="00567885"/>
    <w:rsid w:val="00567C8C"/>
    <w:rsid w:val="00567E91"/>
    <w:rsid w:val="0057147F"/>
    <w:rsid w:val="00571815"/>
    <w:rsid w:val="005718DE"/>
    <w:rsid w:val="0057249C"/>
    <w:rsid w:val="00572672"/>
    <w:rsid w:val="00573325"/>
    <w:rsid w:val="005734AA"/>
    <w:rsid w:val="00573B5F"/>
    <w:rsid w:val="00573C75"/>
    <w:rsid w:val="00573D25"/>
    <w:rsid w:val="005743BB"/>
    <w:rsid w:val="00575238"/>
    <w:rsid w:val="005755EF"/>
    <w:rsid w:val="00575E5F"/>
    <w:rsid w:val="005761D1"/>
    <w:rsid w:val="00576449"/>
    <w:rsid w:val="00576B85"/>
    <w:rsid w:val="0058037F"/>
    <w:rsid w:val="00580D88"/>
    <w:rsid w:val="00581D29"/>
    <w:rsid w:val="0058202B"/>
    <w:rsid w:val="005828EE"/>
    <w:rsid w:val="00582CAE"/>
    <w:rsid w:val="00582D53"/>
    <w:rsid w:val="00583A51"/>
    <w:rsid w:val="005843B6"/>
    <w:rsid w:val="0058457F"/>
    <w:rsid w:val="00584684"/>
    <w:rsid w:val="005860E0"/>
    <w:rsid w:val="00586389"/>
    <w:rsid w:val="00586DC2"/>
    <w:rsid w:val="00586EAB"/>
    <w:rsid w:val="00590B18"/>
    <w:rsid w:val="00591E32"/>
    <w:rsid w:val="0059337D"/>
    <w:rsid w:val="005935FF"/>
    <w:rsid w:val="00593FBE"/>
    <w:rsid w:val="00593FED"/>
    <w:rsid w:val="00594BF5"/>
    <w:rsid w:val="00594D30"/>
    <w:rsid w:val="005952C0"/>
    <w:rsid w:val="005954A7"/>
    <w:rsid w:val="005958E0"/>
    <w:rsid w:val="00595A13"/>
    <w:rsid w:val="00595E63"/>
    <w:rsid w:val="005963B8"/>
    <w:rsid w:val="00596B02"/>
    <w:rsid w:val="00596C29"/>
    <w:rsid w:val="00597363"/>
    <w:rsid w:val="0059798D"/>
    <w:rsid w:val="005A0291"/>
    <w:rsid w:val="005A0479"/>
    <w:rsid w:val="005A27AA"/>
    <w:rsid w:val="005A31C8"/>
    <w:rsid w:val="005A32DD"/>
    <w:rsid w:val="005A3AAB"/>
    <w:rsid w:val="005A3D63"/>
    <w:rsid w:val="005A3E1E"/>
    <w:rsid w:val="005A3E49"/>
    <w:rsid w:val="005A3FF5"/>
    <w:rsid w:val="005A4468"/>
    <w:rsid w:val="005A44F8"/>
    <w:rsid w:val="005A4A8D"/>
    <w:rsid w:val="005A5700"/>
    <w:rsid w:val="005A611F"/>
    <w:rsid w:val="005A6607"/>
    <w:rsid w:val="005A6982"/>
    <w:rsid w:val="005B04AD"/>
    <w:rsid w:val="005B0CAC"/>
    <w:rsid w:val="005B0CC2"/>
    <w:rsid w:val="005B1267"/>
    <w:rsid w:val="005B1D61"/>
    <w:rsid w:val="005B2238"/>
    <w:rsid w:val="005B2487"/>
    <w:rsid w:val="005B2956"/>
    <w:rsid w:val="005B2AB9"/>
    <w:rsid w:val="005B3011"/>
    <w:rsid w:val="005B339F"/>
    <w:rsid w:val="005B3C27"/>
    <w:rsid w:val="005B459A"/>
    <w:rsid w:val="005B5063"/>
    <w:rsid w:val="005B581F"/>
    <w:rsid w:val="005B668C"/>
    <w:rsid w:val="005B6BA3"/>
    <w:rsid w:val="005B7B44"/>
    <w:rsid w:val="005C0401"/>
    <w:rsid w:val="005C0571"/>
    <w:rsid w:val="005C08AA"/>
    <w:rsid w:val="005C096B"/>
    <w:rsid w:val="005C182C"/>
    <w:rsid w:val="005C1C5B"/>
    <w:rsid w:val="005C22C5"/>
    <w:rsid w:val="005C2755"/>
    <w:rsid w:val="005C3AC8"/>
    <w:rsid w:val="005C494D"/>
    <w:rsid w:val="005C4C84"/>
    <w:rsid w:val="005C5350"/>
    <w:rsid w:val="005C53CF"/>
    <w:rsid w:val="005C5CF5"/>
    <w:rsid w:val="005C6194"/>
    <w:rsid w:val="005C6410"/>
    <w:rsid w:val="005C658B"/>
    <w:rsid w:val="005C6EF6"/>
    <w:rsid w:val="005C70DB"/>
    <w:rsid w:val="005C72B8"/>
    <w:rsid w:val="005C76CA"/>
    <w:rsid w:val="005C76DF"/>
    <w:rsid w:val="005C7959"/>
    <w:rsid w:val="005C7A73"/>
    <w:rsid w:val="005D094B"/>
    <w:rsid w:val="005D0D5B"/>
    <w:rsid w:val="005D1EFB"/>
    <w:rsid w:val="005D2A02"/>
    <w:rsid w:val="005D2B24"/>
    <w:rsid w:val="005D332D"/>
    <w:rsid w:val="005D350D"/>
    <w:rsid w:val="005D3E04"/>
    <w:rsid w:val="005D3FDC"/>
    <w:rsid w:val="005D44EC"/>
    <w:rsid w:val="005D5855"/>
    <w:rsid w:val="005D670C"/>
    <w:rsid w:val="005D6DF3"/>
    <w:rsid w:val="005D6F31"/>
    <w:rsid w:val="005D7036"/>
    <w:rsid w:val="005D7A54"/>
    <w:rsid w:val="005E0D41"/>
    <w:rsid w:val="005E16F3"/>
    <w:rsid w:val="005E1B6B"/>
    <w:rsid w:val="005E245A"/>
    <w:rsid w:val="005E2728"/>
    <w:rsid w:val="005E29A9"/>
    <w:rsid w:val="005E2B22"/>
    <w:rsid w:val="005E2E11"/>
    <w:rsid w:val="005E380B"/>
    <w:rsid w:val="005E3BC9"/>
    <w:rsid w:val="005E3C27"/>
    <w:rsid w:val="005E3C8B"/>
    <w:rsid w:val="005E4677"/>
    <w:rsid w:val="005E4B50"/>
    <w:rsid w:val="005E58D2"/>
    <w:rsid w:val="005E58D6"/>
    <w:rsid w:val="005E5BC0"/>
    <w:rsid w:val="005E61ED"/>
    <w:rsid w:val="005E6287"/>
    <w:rsid w:val="005E62B7"/>
    <w:rsid w:val="005E6326"/>
    <w:rsid w:val="005E71C3"/>
    <w:rsid w:val="005F0BC8"/>
    <w:rsid w:val="005F0CDE"/>
    <w:rsid w:val="005F118F"/>
    <w:rsid w:val="005F2164"/>
    <w:rsid w:val="005F2331"/>
    <w:rsid w:val="005F3EA7"/>
    <w:rsid w:val="005F440B"/>
    <w:rsid w:val="005F5466"/>
    <w:rsid w:val="005F58A2"/>
    <w:rsid w:val="005F6301"/>
    <w:rsid w:val="005F6CE9"/>
    <w:rsid w:val="005F78EB"/>
    <w:rsid w:val="0060020D"/>
    <w:rsid w:val="00600641"/>
    <w:rsid w:val="006006CE"/>
    <w:rsid w:val="006012A1"/>
    <w:rsid w:val="00602DBD"/>
    <w:rsid w:val="00603115"/>
    <w:rsid w:val="00603300"/>
    <w:rsid w:val="00603762"/>
    <w:rsid w:val="00603D87"/>
    <w:rsid w:val="006049FC"/>
    <w:rsid w:val="00605C21"/>
    <w:rsid w:val="00610B42"/>
    <w:rsid w:val="006114AE"/>
    <w:rsid w:val="006121BB"/>
    <w:rsid w:val="006122A8"/>
    <w:rsid w:val="00612C36"/>
    <w:rsid w:val="00612EA4"/>
    <w:rsid w:val="00612F83"/>
    <w:rsid w:val="006143EF"/>
    <w:rsid w:val="0061534C"/>
    <w:rsid w:val="00615619"/>
    <w:rsid w:val="00615AE9"/>
    <w:rsid w:val="006160CB"/>
    <w:rsid w:val="00616B0B"/>
    <w:rsid w:val="00617108"/>
    <w:rsid w:val="0061734B"/>
    <w:rsid w:val="00617D5C"/>
    <w:rsid w:val="006203C0"/>
    <w:rsid w:val="0062078F"/>
    <w:rsid w:val="006216EB"/>
    <w:rsid w:val="00621831"/>
    <w:rsid w:val="00621AB5"/>
    <w:rsid w:val="006228D3"/>
    <w:rsid w:val="00622A8C"/>
    <w:rsid w:val="00622F56"/>
    <w:rsid w:val="00623035"/>
    <w:rsid w:val="006235AB"/>
    <w:rsid w:val="006241AC"/>
    <w:rsid w:val="0062469F"/>
    <w:rsid w:val="00624E9C"/>
    <w:rsid w:val="00626A4B"/>
    <w:rsid w:val="00627868"/>
    <w:rsid w:val="00627C33"/>
    <w:rsid w:val="00632450"/>
    <w:rsid w:val="00632639"/>
    <w:rsid w:val="00632CF9"/>
    <w:rsid w:val="00632D60"/>
    <w:rsid w:val="00632E6F"/>
    <w:rsid w:val="0063329F"/>
    <w:rsid w:val="00634583"/>
    <w:rsid w:val="00634E7E"/>
    <w:rsid w:val="00634E9E"/>
    <w:rsid w:val="006364AE"/>
    <w:rsid w:val="00636CDB"/>
    <w:rsid w:val="00636DBA"/>
    <w:rsid w:val="006373AC"/>
    <w:rsid w:val="00637FA9"/>
    <w:rsid w:val="00640610"/>
    <w:rsid w:val="006427E0"/>
    <w:rsid w:val="006435A3"/>
    <w:rsid w:val="00645341"/>
    <w:rsid w:val="006460B2"/>
    <w:rsid w:val="00646E62"/>
    <w:rsid w:val="006475B9"/>
    <w:rsid w:val="006477F6"/>
    <w:rsid w:val="00650AD1"/>
    <w:rsid w:val="00651104"/>
    <w:rsid w:val="0065139B"/>
    <w:rsid w:val="00651A7F"/>
    <w:rsid w:val="00652B4B"/>
    <w:rsid w:val="00653CD8"/>
    <w:rsid w:val="00654B7B"/>
    <w:rsid w:val="00655B5F"/>
    <w:rsid w:val="00655DE1"/>
    <w:rsid w:val="0065613D"/>
    <w:rsid w:val="00656874"/>
    <w:rsid w:val="00657D56"/>
    <w:rsid w:val="00657F76"/>
    <w:rsid w:val="00660077"/>
    <w:rsid w:val="0066198E"/>
    <w:rsid w:val="00661EF6"/>
    <w:rsid w:val="00662715"/>
    <w:rsid w:val="00662D25"/>
    <w:rsid w:val="00663080"/>
    <w:rsid w:val="00663372"/>
    <w:rsid w:val="006635F1"/>
    <w:rsid w:val="00664D87"/>
    <w:rsid w:val="00664F1D"/>
    <w:rsid w:val="00666389"/>
    <w:rsid w:val="00667303"/>
    <w:rsid w:val="0066764B"/>
    <w:rsid w:val="00667B73"/>
    <w:rsid w:val="00667BA1"/>
    <w:rsid w:val="006706C3"/>
    <w:rsid w:val="00670ADE"/>
    <w:rsid w:val="0067108B"/>
    <w:rsid w:val="006720F0"/>
    <w:rsid w:val="00672A65"/>
    <w:rsid w:val="00672CF4"/>
    <w:rsid w:val="0067394F"/>
    <w:rsid w:val="006739CC"/>
    <w:rsid w:val="00673E15"/>
    <w:rsid w:val="00673E58"/>
    <w:rsid w:val="0067423F"/>
    <w:rsid w:val="006742F1"/>
    <w:rsid w:val="006749DF"/>
    <w:rsid w:val="00675814"/>
    <w:rsid w:val="00675867"/>
    <w:rsid w:val="006758ED"/>
    <w:rsid w:val="0067684E"/>
    <w:rsid w:val="0067728D"/>
    <w:rsid w:val="0067771A"/>
    <w:rsid w:val="006802C4"/>
    <w:rsid w:val="006810DF"/>
    <w:rsid w:val="00681358"/>
    <w:rsid w:val="00681423"/>
    <w:rsid w:val="006817D9"/>
    <w:rsid w:val="006819EC"/>
    <w:rsid w:val="006820EA"/>
    <w:rsid w:val="00682901"/>
    <w:rsid w:val="006834EB"/>
    <w:rsid w:val="00683B65"/>
    <w:rsid w:val="00684591"/>
    <w:rsid w:val="006845F7"/>
    <w:rsid w:val="006845FB"/>
    <w:rsid w:val="00686797"/>
    <w:rsid w:val="0068689C"/>
    <w:rsid w:val="006872CE"/>
    <w:rsid w:val="0069096E"/>
    <w:rsid w:val="0069159E"/>
    <w:rsid w:val="00691CFA"/>
    <w:rsid w:val="00691D09"/>
    <w:rsid w:val="00692067"/>
    <w:rsid w:val="0069271B"/>
    <w:rsid w:val="00692843"/>
    <w:rsid w:val="006933AA"/>
    <w:rsid w:val="006939D3"/>
    <w:rsid w:val="00693AD8"/>
    <w:rsid w:val="00694090"/>
    <w:rsid w:val="00694785"/>
    <w:rsid w:val="00694F6D"/>
    <w:rsid w:val="006951C4"/>
    <w:rsid w:val="006965AF"/>
    <w:rsid w:val="00696831"/>
    <w:rsid w:val="00696F70"/>
    <w:rsid w:val="00697516"/>
    <w:rsid w:val="006975B7"/>
    <w:rsid w:val="006978B7"/>
    <w:rsid w:val="006A0B48"/>
    <w:rsid w:val="006A20A8"/>
    <w:rsid w:val="006A260F"/>
    <w:rsid w:val="006A27C0"/>
    <w:rsid w:val="006A2C8E"/>
    <w:rsid w:val="006A3B69"/>
    <w:rsid w:val="006A45E7"/>
    <w:rsid w:val="006A4A18"/>
    <w:rsid w:val="006A4FAF"/>
    <w:rsid w:val="006A640B"/>
    <w:rsid w:val="006A6CEF"/>
    <w:rsid w:val="006A7248"/>
    <w:rsid w:val="006A7DE1"/>
    <w:rsid w:val="006B02B9"/>
    <w:rsid w:val="006B03F3"/>
    <w:rsid w:val="006B0475"/>
    <w:rsid w:val="006B0976"/>
    <w:rsid w:val="006B103D"/>
    <w:rsid w:val="006B1255"/>
    <w:rsid w:val="006B12C0"/>
    <w:rsid w:val="006B164D"/>
    <w:rsid w:val="006B18BD"/>
    <w:rsid w:val="006B1993"/>
    <w:rsid w:val="006B22C0"/>
    <w:rsid w:val="006B3A6F"/>
    <w:rsid w:val="006B4898"/>
    <w:rsid w:val="006B4BCF"/>
    <w:rsid w:val="006B56F6"/>
    <w:rsid w:val="006B5BF1"/>
    <w:rsid w:val="006B6027"/>
    <w:rsid w:val="006B6836"/>
    <w:rsid w:val="006B6A0A"/>
    <w:rsid w:val="006B70FE"/>
    <w:rsid w:val="006B7B1A"/>
    <w:rsid w:val="006C01CE"/>
    <w:rsid w:val="006C0277"/>
    <w:rsid w:val="006C046E"/>
    <w:rsid w:val="006C080E"/>
    <w:rsid w:val="006C1434"/>
    <w:rsid w:val="006C1818"/>
    <w:rsid w:val="006C18CA"/>
    <w:rsid w:val="006C29F1"/>
    <w:rsid w:val="006C2CB1"/>
    <w:rsid w:val="006C3921"/>
    <w:rsid w:val="006C3B1D"/>
    <w:rsid w:val="006C4067"/>
    <w:rsid w:val="006C440D"/>
    <w:rsid w:val="006C44AE"/>
    <w:rsid w:val="006C44B0"/>
    <w:rsid w:val="006C5494"/>
    <w:rsid w:val="006C56DD"/>
    <w:rsid w:val="006C5869"/>
    <w:rsid w:val="006C5CC1"/>
    <w:rsid w:val="006C5D48"/>
    <w:rsid w:val="006C6829"/>
    <w:rsid w:val="006C7198"/>
    <w:rsid w:val="006C7D46"/>
    <w:rsid w:val="006D0401"/>
    <w:rsid w:val="006D0C27"/>
    <w:rsid w:val="006D1321"/>
    <w:rsid w:val="006D292A"/>
    <w:rsid w:val="006D29BA"/>
    <w:rsid w:val="006D2A2A"/>
    <w:rsid w:val="006D2B62"/>
    <w:rsid w:val="006D2C49"/>
    <w:rsid w:val="006D30FB"/>
    <w:rsid w:val="006D337A"/>
    <w:rsid w:val="006D34B1"/>
    <w:rsid w:val="006D3B73"/>
    <w:rsid w:val="006D5024"/>
    <w:rsid w:val="006D6622"/>
    <w:rsid w:val="006D6E5E"/>
    <w:rsid w:val="006D7148"/>
    <w:rsid w:val="006D7F93"/>
    <w:rsid w:val="006E0C45"/>
    <w:rsid w:val="006E0D97"/>
    <w:rsid w:val="006E11DE"/>
    <w:rsid w:val="006E2093"/>
    <w:rsid w:val="006E2228"/>
    <w:rsid w:val="006E28C9"/>
    <w:rsid w:val="006E33D2"/>
    <w:rsid w:val="006E349C"/>
    <w:rsid w:val="006E410A"/>
    <w:rsid w:val="006E4AD1"/>
    <w:rsid w:val="006E56C6"/>
    <w:rsid w:val="006E6423"/>
    <w:rsid w:val="006E660D"/>
    <w:rsid w:val="006E7560"/>
    <w:rsid w:val="006E7876"/>
    <w:rsid w:val="006F1373"/>
    <w:rsid w:val="006F199F"/>
    <w:rsid w:val="006F1C20"/>
    <w:rsid w:val="006F21B5"/>
    <w:rsid w:val="006F2E8D"/>
    <w:rsid w:val="006F3283"/>
    <w:rsid w:val="006F330A"/>
    <w:rsid w:val="006F3755"/>
    <w:rsid w:val="006F383D"/>
    <w:rsid w:val="006F4000"/>
    <w:rsid w:val="006F4252"/>
    <w:rsid w:val="006F437A"/>
    <w:rsid w:val="006F4ED1"/>
    <w:rsid w:val="006F53C0"/>
    <w:rsid w:val="006F59D8"/>
    <w:rsid w:val="006F5E90"/>
    <w:rsid w:val="006F646B"/>
    <w:rsid w:val="006F6904"/>
    <w:rsid w:val="006F6A99"/>
    <w:rsid w:val="006F7B02"/>
    <w:rsid w:val="006F7DBF"/>
    <w:rsid w:val="00700E2B"/>
    <w:rsid w:val="00700F3A"/>
    <w:rsid w:val="00701157"/>
    <w:rsid w:val="0070139F"/>
    <w:rsid w:val="00701AFE"/>
    <w:rsid w:val="00702AB7"/>
    <w:rsid w:val="0070387F"/>
    <w:rsid w:val="007039C5"/>
    <w:rsid w:val="007040BB"/>
    <w:rsid w:val="0070436B"/>
    <w:rsid w:val="007044D3"/>
    <w:rsid w:val="0070586A"/>
    <w:rsid w:val="00705B41"/>
    <w:rsid w:val="00705B67"/>
    <w:rsid w:val="00705D69"/>
    <w:rsid w:val="00705FF3"/>
    <w:rsid w:val="00706DDF"/>
    <w:rsid w:val="00706F91"/>
    <w:rsid w:val="007070E9"/>
    <w:rsid w:val="0070724D"/>
    <w:rsid w:val="00707ADB"/>
    <w:rsid w:val="00710566"/>
    <w:rsid w:val="00710C9D"/>
    <w:rsid w:val="0071102D"/>
    <w:rsid w:val="00713000"/>
    <w:rsid w:val="007139B1"/>
    <w:rsid w:val="0071433A"/>
    <w:rsid w:val="007150C2"/>
    <w:rsid w:val="00715B61"/>
    <w:rsid w:val="00716494"/>
    <w:rsid w:val="00716D92"/>
    <w:rsid w:val="00717A6C"/>
    <w:rsid w:val="00717F73"/>
    <w:rsid w:val="00720A27"/>
    <w:rsid w:val="00720A49"/>
    <w:rsid w:val="00721192"/>
    <w:rsid w:val="00721676"/>
    <w:rsid w:val="007219A3"/>
    <w:rsid w:val="00722336"/>
    <w:rsid w:val="00722A3A"/>
    <w:rsid w:val="00722AA4"/>
    <w:rsid w:val="007232FE"/>
    <w:rsid w:val="00725328"/>
    <w:rsid w:val="00725842"/>
    <w:rsid w:val="007272EF"/>
    <w:rsid w:val="007276E6"/>
    <w:rsid w:val="00727EF5"/>
    <w:rsid w:val="007303CA"/>
    <w:rsid w:val="00731689"/>
    <w:rsid w:val="00731922"/>
    <w:rsid w:val="00732236"/>
    <w:rsid w:val="00732F3C"/>
    <w:rsid w:val="0073321A"/>
    <w:rsid w:val="007332CA"/>
    <w:rsid w:val="00733ACA"/>
    <w:rsid w:val="00734179"/>
    <w:rsid w:val="007341A4"/>
    <w:rsid w:val="0073473B"/>
    <w:rsid w:val="00734ACE"/>
    <w:rsid w:val="007351D8"/>
    <w:rsid w:val="00735483"/>
    <w:rsid w:val="00735853"/>
    <w:rsid w:val="00735C51"/>
    <w:rsid w:val="007375A1"/>
    <w:rsid w:val="007378FF"/>
    <w:rsid w:val="00737FEF"/>
    <w:rsid w:val="00740169"/>
    <w:rsid w:val="00740F26"/>
    <w:rsid w:val="00741B0D"/>
    <w:rsid w:val="00742115"/>
    <w:rsid w:val="0074212A"/>
    <w:rsid w:val="00742FAF"/>
    <w:rsid w:val="007433A6"/>
    <w:rsid w:val="00743A2D"/>
    <w:rsid w:val="00743D7A"/>
    <w:rsid w:val="0074415F"/>
    <w:rsid w:val="00744269"/>
    <w:rsid w:val="007445A6"/>
    <w:rsid w:val="007449E9"/>
    <w:rsid w:val="00744F98"/>
    <w:rsid w:val="00745AF6"/>
    <w:rsid w:val="007460E2"/>
    <w:rsid w:val="007474BA"/>
    <w:rsid w:val="0074783C"/>
    <w:rsid w:val="007478E1"/>
    <w:rsid w:val="0074792A"/>
    <w:rsid w:val="0074799E"/>
    <w:rsid w:val="00747FD2"/>
    <w:rsid w:val="007506C7"/>
    <w:rsid w:val="00750A2F"/>
    <w:rsid w:val="00751556"/>
    <w:rsid w:val="00751CCD"/>
    <w:rsid w:val="00751D57"/>
    <w:rsid w:val="007520D4"/>
    <w:rsid w:val="00752560"/>
    <w:rsid w:val="007525B3"/>
    <w:rsid w:val="0075328F"/>
    <w:rsid w:val="00754592"/>
    <w:rsid w:val="00754D20"/>
    <w:rsid w:val="0075512F"/>
    <w:rsid w:val="0075585B"/>
    <w:rsid w:val="00755BDC"/>
    <w:rsid w:val="00755CDE"/>
    <w:rsid w:val="007560A0"/>
    <w:rsid w:val="00756253"/>
    <w:rsid w:val="00756F3B"/>
    <w:rsid w:val="00756FDD"/>
    <w:rsid w:val="00757141"/>
    <w:rsid w:val="00757260"/>
    <w:rsid w:val="00757A59"/>
    <w:rsid w:val="007606A4"/>
    <w:rsid w:val="00761040"/>
    <w:rsid w:val="007614B4"/>
    <w:rsid w:val="00761AD5"/>
    <w:rsid w:val="00761CF1"/>
    <w:rsid w:val="00762842"/>
    <w:rsid w:val="00762CB4"/>
    <w:rsid w:val="007635B5"/>
    <w:rsid w:val="00763ADB"/>
    <w:rsid w:val="00763DCB"/>
    <w:rsid w:val="00764B15"/>
    <w:rsid w:val="0076651C"/>
    <w:rsid w:val="00766B77"/>
    <w:rsid w:val="00767185"/>
    <w:rsid w:val="00767BF9"/>
    <w:rsid w:val="00767EC8"/>
    <w:rsid w:val="0077077E"/>
    <w:rsid w:val="00770C3B"/>
    <w:rsid w:val="00770E74"/>
    <w:rsid w:val="007714CD"/>
    <w:rsid w:val="00771B64"/>
    <w:rsid w:val="007721AB"/>
    <w:rsid w:val="007721F3"/>
    <w:rsid w:val="00772335"/>
    <w:rsid w:val="00772CF4"/>
    <w:rsid w:val="00772E0A"/>
    <w:rsid w:val="0077335E"/>
    <w:rsid w:val="007733FB"/>
    <w:rsid w:val="0077394E"/>
    <w:rsid w:val="00773A7B"/>
    <w:rsid w:val="00776695"/>
    <w:rsid w:val="00776AD5"/>
    <w:rsid w:val="00776F09"/>
    <w:rsid w:val="00777755"/>
    <w:rsid w:val="007777ED"/>
    <w:rsid w:val="007801A2"/>
    <w:rsid w:val="00780CB9"/>
    <w:rsid w:val="00781326"/>
    <w:rsid w:val="00782310"/>
    <w:rsid w:val="007828DB"/>
    <w:rsid w:val="00782942"/>
    <w:rsid w:val="007834C1"/>
    <w:rsid w:val="00783A64"/>
    <w:rsid w:val="00784E5E"/>
    <w:rsid w:val="00786711"/>
    <w:rsid w:val="00786920"/>
    <w:rsid w:val="00787156"/>
    <w:rsid w:val="00787A4B"/>
    <w:rsid w:val="0079012B"/>
    <w:rsid w:val="00790CA3"/>
    <w:rsid w:val="00790D37"/>
    <w:rsid w:val="00790FBF"/>
    <w:rsid w:val="00792185"/>
    <w:rsid w:val="00792361"/>
    <w:rsid w:val="007926AF"/>
    <w:rsid w:val="00792D88"/>
    <w:rsid w:val="00793108"/>
    <w:rsid w:val="0079343F"/>
    <w:rsid w:val="007941C7"/>
    <w:rsid w:val="00794827"/>
    <w:rsid w:val="00794C08"/>
    <w:rsid w:val="007950A7"/>
    <w:rsid w:val="007954CD"/>
    <w:rsid w:val="00796067"/>
    <w:rsid w:val="007961D2"/>
    <w:rsid w:val="0079708F"/>
    <w:rsid w:val="007970DA"/>
    <w:rsid w:val="00797C32"/>
    <w:rsid w:val="00797ECA"/>
    <w:rsid w:val="007A014B"/>
    <w:rsid w:val="007A1CD0"/>
    <w:rsid w:val="007A1FA7"/>
    <w:rsid w:val="007A2C62"/>
    <w:rsid w:val="007A2E5B"/>
    <w:rsid w:val="007A30FB"/>
    <w:rsid w:val="007A38EE"/>
    <w:rsid w:val="007A3CE6"/>
    <w:rsid w:val="007A4B2F"/>
    <w:rsid w:val="007A4C0C"/>
    <w:rsid w:val="007A5820"/>
    <w:rsid w:val="007A59A2"/>
    <w:rsid w:val="007A6349"/>
    <w:rsid w:val="007A7065"/>
    <w:rsid w:val="007A708C"/>
    <w:rsid w:val="007A719D"/>
    <w:rsid w:val="007A7262"/>
    <w:rsid w:val="007B073A"/>
    <w:rsid w:val="007B295B"/>
    <w:rsid w:val="007B383C"/>
    <w:rsid w:val="007B49F3"/>
    <w:rsid w:val="007B4F42"/>
    <w:rsid w:val="007B5023"/>
    <w:rsid w:val="007B56EE"/>
    <w:rsid w:val="007B574A"/>
    <w:rsid w:val="007B5BC9"/>
    <w:rsid w:val="007B6036"/>
    <w:rsid w:val="007B65D9"/>
    <w:rsid w:val="007B6ADD"/>
    <w:rsid w:val="007B7227"/>
    <w:rsid w:val="007B72BC"/>
    <w:rsid w:val="007B74D5"/>
    <w:rsid w:val="007B75B6"/>
    <w:rsid w:val="007B76F3"/>
    <w:rsid w:val="007B78B6"/>
    <w:rsid w:val="007B7950"/>
    <w:rsid w:val="007B7BC9"/>
    <w:rsid w:val="007B7CE2"/>
    <w:rsid w:val="007B7D2E"/>
    <w:rsid w:val="007C0E55"/>
    <w:rsid w:val="007C1251"/>
    <w:rsid w:val="007C1266"/>
    <w:rsid w:val="007C15CF"/>
    <w:rsid w:val="007C19B3"/>
    <w:rsid w:val="007C1B76"/>
    <w:rsid w:val="007C2188"/>
    <w:rsid w:val="007C2358"/>
    <w:rsid w:val="007C2E58"/>
    <w:rsid w:val="007C3277"/>
    <w:rsid w:val="007C3612"/>
    <w:rsid w:val="007C4493"/>
    <w:rsid w:val="007C53E0"/>
    <w:rsid w:val="007C54BD"/>
    <w:rsid w:val="007C5977"/>
    <w:rsid w:val="007C5F1F"/>
    <w:rsid w:val="007C6C01"/>
    <w:rsid w:val="007C755C"/>
    <w:rsid w:val="007D09AE"/>
    <w:rsid w:val="007D1403"/>
    <w:rsid w:val="007D15F0"/>
    <w:rsid w:val="007D2712"/>
    <w:rsid w:val="007D2B78"/>
    <w:rsid w:val="007D3070"/>
    <w:rsid w:val="007D3150"/>
    <w:rsid w:val="007D3515"/>
    <w:rsid w:val="007D38A1"/>
    <w:rsid w:val="007D42BB"/>
    <w:rsid w:val="007D48F2"/>
    <w:rsid w:val="007D5020"/>
    <w:rsid w:val="007D58D4"/>
    <w:rsid w:val="007D6159"/>
    <w:rsid w:val="007D648D"/>
    <w:rsid w:val="007D6C87"/>
    <w:rsid w:val="007D7063"/>
    <w:rsid w:val="007D721B"/>
    <w:rsid w:val="007D7D6C"/>
    <w:rsid w:val="007E1545"/>
    <w:rsid w:val="007E1B59"/>
    <w:rsid w:val="007E1CFB"/>
    <w:rsid w:val="007E2097"/>
    <w:rsid w:val="007E2517"/>
    <w:rsid w:val="007E263D"/>
    <w:rsid w:val="007E2C0E"/>
    <w:rsid w:val="007E3A09"/>
    <w:rsid w:val="007E3B5B"/>
    <w:rsid w:val="007E40C9"/>
    <w:rsid w:val="007E487B"/>
    <w:rsid w:val="007E54B6"/>
    <w:rsid w:val="007E5822"/>
    <w:rsid w:val="007E5BB9"/>
    <w:rsid w:val="007E6444"/>
    <w:rsid w:val="007E64D8"/>
    <w:rsid w:val="007E6AB5"/>
    <w:rsid w:val="007E7C24"/>
    <w:rsid w:val="007F12E3"/>
    <w:rsid w:val="007F21ED"/>
    <w:rsid w:val="007F275D"/>
    <w:rsid w:val="007F3416"/>
    <w:rsid w:val="007F3519"/>
    <w:rsid w:val="007F39B8"/>
    <w:rsid w:val="007F4C99"/>
    <w:rsid w:val="007F4E3B"/>
    <w:rsid w:val="007F5866"/>
    <w:rsid w:val="007F6329"/>
    <w:rsid w:val="007F6A23"/>
    <w:rsid w:val="007F6A7D"/>
    <w:rsid w:val="007F719C"/>
    <w:rsid w:val="0080052E"/>
    <w:rsid w:val="00801047"/>
    <w:rsid w:val="008014CB"/>
    <w:rsid w:val="008014E5"/>
    <w:rsid w:val="008016A8"/>
    <w:rsid w:val="00802B20"/>
    <w:rsid w:val="00802E52"/>
    <w:rsid w:val="008031EB"/>
    <w:rsid w:val="008033C9"/>
    <w:rsid w:val="00804007"/>
    <w:rsid w:val="008049CB"/>
    <w:rsid w:val="008049D5"/>
    <w:rsid w:val="0080505D"/>
    <w:rsid w:val="0080576C"/>
    <w:rsid w:val="008069A3"/>
    <w:rsid w:val="00807056"/>
    <w:rsid w:val="008073BA"/>
    <w:rsid w:val="00807873"/>
    <w:rsid w:val="0081086F"/>
    <w:rsid w:val="00810AEE"/>
    <w:rsid w:val="00811038"/>
    <w:rsid w:val="0081108C"/>
    <w:rsid w:val="00811EAE"/>
    <w:rsid w:val="00812627"/>
    <w:rsid w:val="008127D4"/>
    <w:rsid w:val="00813770"/>
    <w:rsid w:val="00813C7D"/>
    <w:rsid w:val="00814340"/>
    <w:rsid w:val="0081584B"/>
    <w:rsid w:val="0081627B"/>
    <w:rsid w:val="00816A4E"/>
    <w:rsid w:val="0082023F"/>
    <w:rsid w:val="0082025E"/>
    <w:rsid w:val="00820DA8"/>
    <w:rsid w:val="00821B49"/>
    <w:rsid w:val="0082204F"/>
    <w:rsid w:val="0082214E"/>
    <w:rsid w:val="00822FA2"/>
    <w:rsid w:val="00823100"/>
    <w:rsid w:val="00824428"/>
    <w:rsid w:val="00824482"/>
    <w:rsid w:val="008247F2"/>
    <w:rsid w:val="0082493A"/>
    <w:rsid w:val="00825599"/>
    <w:rsid w:val="00825764"/>
    <w:rsid w:val="00825849"/>
    <w:rsid w:val="00825C18"/>
    <w:rsid w:val="00825EFE"/>
    <w:rsid w:val="00830949"/>
    <w:rsid w:val="00831386"/>
    <w:rsid w:val="00832546"/>
    <w:rsid w:val="00832C2B"/>
    <w:rsid w:val="00832C81"/>
    <w:rsid w:val="00832E61"/>
    <w:rsid w:val="00832ED0"/>
    <w:rsid w:val="00832FB0"/>
    <w:rsid w:val="0083389C"/>
    <w:rsid w:val="00834579"/>
    <w:rsid w:val="00835AFC"/>
    <w:rsid w:val="00835FBB"/>
    <w:rsid w:val="0083610D"/>
    <w:rsid w:val="00836FD7"/>
    <w:rsid w:val="008374B7"/>
    <w:rsid w:val="008374EB"/>
    <w:rsid w:val="00837802"/>
    <w:rsid w:val="0084043D"/>
    <w:rsid w:val="00840A4B"/>
    <w:rsid w:val="00840D8C"/>
    <w:rsid w:val="008418D2"/>
    <w:rsid w:val="00842200"/>
    <w:rsid w:val="0084234F"/>
    <w:rsid w:val="00842639"/>
    <w:rsid w:val="00843529"/>
    <w:rsid w:val="00843800"/>
    <w:rsid w:val="00843BD9"/>
    <w:rsid w:val="00843DEA"/>
    <w:rsid w:val="00844682"/>
    <w:rsid w:val="00844C9D"/>
    <w:rsid w:val="00844E93"/>
    <w:rsid w:val="00845A4F"/>
    <w:rsid w:val="00845E2C"/>
    <w:rsid w:val="00845E92"/>
    <w:rsid w:val="00845EC4"/>
    <w:rsid w:val="0084618E"/>
    <w:rsid w:val="00846908"/>
    <w:rsid w:val="008470ED"/>
    <w:rsid w:val="00847307"/>
    <w:rsid w:val="00847919"/>
    <w:rsid w:val="00850140"/>
    <w:rsid w:val="00850DEC"/>
    <w:rsid w:val="00851902"/>
    <w:rsid w:val="00852180"/>
    <w:rsid w:val="00852185"/>
    <w:rsid w:val="00852490"/>
    <w:rsid w:val="00852544"/>
    <w:rsid w:val="008525ED"/>
    <w:rsid w:val="008537E4"/>
    <w:rsid w:val="00853CED"/>
    <w:rsid w:val="0085449D"/>
    <w:rsid w:val="008546E3"/>
    <w:rsid w:val="0085501A"/>
    <w:rsid w:val="008551A1"/>
    <w:rsid w:val="008571C6"/>
    <w:rsid w:val="008577EA"/>
    <w:rsid w:val="00857AD6"/>
    <w:rsid w:val="008608AF"/>
    <w:rsid w:val="00860D85"/>
    <w:rsid w:val="00861A5B"/>
    <w:rsid w:val="008624C9"/>
    <w:rsid w:val="00862971"/>
    <w:rsid w:val="00862F64"/>
    <w:rsid w:val="00863DB9"/>
    <w:rsid w:val="008646A0"/>
    <w:rsid w:val="00864765"/>
    <w:rsid w:val="0086535B"/>
    <w:rsid w:val="00865967"/>
    <w:rsid w:val="00865FCF"/>
    <w:rsid w:val="00866103"/>
    <w:rsid w:val="008663D3"/>
    <w:rsid w:val="00866953"/>
    <w:rsid w:val="00866A32"/>
    <w:rsid w:val="008677A0"/>
    <w:rsid w:val="00867CFE"/>
    <w:rsid w:val="00867DC3"/>
    <w:rsid w:val="00870123"/>
    <w:rsid w:val="008703E8"/>
    <w:rsid w:val="00871031"/>
    <w:rsid w:val="0087134E"/>
    <w:rsid w:val="00871BE5"/>
    <w:rsid w:val="008724C3"/>
    <w:rsid w:val="00872ED3"/>
    <w:rsid w:val="008730E6"/>
    <w:rsid w:val="00873530"/>
    <w:rsid w:val="00873BB2"/>
    <w:rsid w:val="00874D7A"/>
    <w:rsid w:val="00874FE8"/>
    <w:rsid w:val="008751D2"/>
    <w:rsid w:val="008754F3"/>
    <w:rsid w:val="00875CD3"/>
    <w:rsid w:val="00876A3D"/>
    <w:rsid w:val="008775C6"/>
    <w:rsid w:val="00880382"/>
    <w:rsid w:val="008803FD"/>
    <w:rsid w:val="0088057C"/>
    <w:rsid w:val="008807A7"/>
    <w:rsid w:val="008818CD"/>
    <w:rsid w:val="00881C8F"/>
    <w:rsid w:val="0088263C"/>
    <w:rsid w:val="00883149"/>
    <w:rsid w:val="0088365F"/>
    <w:rsid w:val="0088367B"/>
    <w:rsid w:val="0088394C"/>
    <w:rsid w:val="00883D8F"/>
    <w:rsid w:val="0088508D"/>
    <w:rsid w:val="00885BA3"/>
    <w:rsid w:val="00885C25"/>
    <w:rsid w:val="0088633A"/>
    <w:rsid w:val="0088644D"/>
    <w:rsid w:val="008869AA"/>
    <w:rsid w:val="0088701A"/>
    <w:rsid w:val="008873C8"/>
    <w:rsid w:val="00887F51"/>
    <w:rsid w:val="008911B3"/>
    <w:rsid w:val="00891444"/>
    <w:rsid w:val="0089190B"/>
    <w:rsid w:val="00892C79"/>
    <w:rsid w:val="008931EE"/>
    <w:rsid w:val="00893759"/>
    <w:rsid w:val="008941FD"/>
    <w:rsid w:val="00894482"/>
    <w:rsid w:val="008947B3"/>
    <w:rsid w:val="00894E8F"/>
    <w:rsid w:val="0089520C"/>
    <w:rsid w:val="008963EB"/>
    <w:rsid w:val="00896E39"/>
    <w:rsid w:val="00896E96"/>
    <w:rsid w:val="00897D74"/>
    <w:rsid w:val="008A0FC1"/>
    <w:rsid w:val="008A13A0"/>
    <w:rsid w:val="008A184F"/>
    <w:rsid w:val="008A1867"/>
    <w:rsid w:val="008A1FF6"/>
    <w:rsid w:val="008A2CCF"/>
    <w:rsid w:val="008A347B"/>
    <w:rsid w:val="008A4668"/>
    <w:rsid w:val="008A474F"/>
    <w:rsid w:val="008A4F09"/>
    <w:rsid w:val="008A5BE5"/>
    <w:rsid w:val="008A61DF"/>
    <w:rsid w:val="008A6B9B"/>
    <w:rsid w:val="008A6F2A"/>
    <w:rsid w:val="008A7427"/>
    <w:rsid w:val="008A7830"/>
    <w:rsid w:val="008B1A45"/>
    <w:rsid w:val="008B259A"/>
    <w:rsid w:val="008B30FE"/>
    <w:rsid w:val="008B38BB"/>
    <w:rsid w:val="008B40CD"/>
    <w:rsid w:val="008B4EDA"/>
    <w:rsid w:val="008B623C"/>
    <w:rsid w:val="008B6D98"/>
    <w:rsid w:val="008B797A"/>
    <w:rsid w:val="008C0E3B"/>
    <w:rsid w:val="008C12D3"/>
    <w:rsid w:val="008C1E61"/>
    <w:rsid w:val="008C2827"/>
    <w:rsid w:val="008C3098"/>
    <w:rsid w:val="008C31B1"/>
    <w:rsid w:val="008C3394"/>
    <w:rsid w:val="008C34C1"/>
    <w:rsid w:val="008C37BB"/>
    <w:rsid w:val="008C5502"/>
    <w:rsid w:val="008C5624"/>
    <w:rsid w:val="008C596E"/>
    <w:rsid w:val="008C616B"/>
    <w:rsid w:val="008C74BE"/>
    <w:rsid w:val="008C7624"/>
    <w:rsid w:val="008C76BB"/>
    <w:rsid w:val="008C7720"/>
    <w:rsid w:val="008D0765"/>
    <w:rsid w:val="008D0849"/>
    <w:rsid w:val="008D0AE7"/>
    <w:rsid w:val="008D15B5"/>
    <w:rsid w:val="008D1CDA"/>
    <w:rsid w:val="008D2A7E"/>
    <w:rsid w:val="008D2E53"/>
    <w:rsid w:val="008D3D94"/>
    <w:rsid w:val="008D40EB"/>
    <w:rsid w:val="008D4C40"/>
    <w:rsid w:val="008D6298"/>
    <w:rsid w:val="008D71A2"/>
    <w:rsid w:val="008D786F"/>
    <w:rsid w:val="008D78B7"/>
    <w:rsid w:val="008D7E78"/>
    <w:rsid w:val="008E007D"/>
    <w:rsid w:val="008E0083"/>
    <w:rsid w:val="008E1090"/>
    <w:rsid w:val="008E10A4"/>
    <w:rsid w:val="008E1857"/>
    <w:rsid w:val="008E1CA8"/>
    <w:rsid w:val="008E1F41"/>
    <w:rsid w:val="008E236F"/>
    <w:rsid w:val="008E29F9"/>
    <w:rsid w:val="008E2ACF"/>
    <w:rsid w:val="008E2EC3"/>
    <w:rsid w:val="008E316D"/>
    <w:rsid w:val="008E326E"/>
    <w:rsid w:val="008E32A5"/>
    <w:rsid w:val="008E47E4"/>
    <w:rsid w:val="008E49C1"/>
    <w:rsid w:val="008E4F9D"/>
    <w:rsid w:val="008E5297"/>
    <w:rsid w:val="008E6387"/>
    <w:rsid w:val="008E6789"/>
    <w:rsid w:val="008E68AA"/>
    <w:rsid w:val="008E7AB6"/>
    <w:rsid w:val="008F039F"/>
    <w:rsid w:val="008F0700"/>
    <w:rsid w:val="008F15DE"/>
    <w:rsid w:val="008F197F"/>
    <w:rsid w:val="008F20A4"/>
    <w:rsid w:val="008F3A91"/>
    <w:rsid w:val="008F3BA7"/>
    <w:rsid w:val="008F3C05"/>
    <w:rsid w:val="008F45BD"/>
    <w:rsid w:val="008F4869"/>
    <w:rsid w:val="008F4BC0"/>
    <w:rsid w:val="008F4D53"/>
    <w:rsid w:val="008F50FC"/>
    <w:rsid w:val="008F51E9"/>
    <w:rsid w:val="008F61E2"/>
    <w:rsid w:val="008F73D7"/>
    <w:rsid w:val="008F7A1C"/>
    <w:rsid w:val="00900E00"/>
    <w:rsid w:val="0090186C"/>
    <w:rsid w:val="0090195B"/>
    <w:rsid w:val="00901A6F"/>
    <w:rsid w:val="0090224A"/>
    <w:rsid w:val="009032B3"/>
    <w:rsid w:val="00903798"/>
    <w:rsid w:val="00904233"/>
    <w:rsid w:val="009046C3"/>
    <w:rsid w:val="00904EBE"/>
    <w:rsid w:val="00904EE6"/>
    <w:rsid w:val="00905C4B"/>
    <w:rsid w:val="009060A0"/>
    <w:rsid w:val="0090652C"/>
    <w:rsid w:val="009065E7"/>
    <w:rsid w:val="00906C63"/>
    <w:rsid w:val="00906CFE"/>
    <w:rsid w:val="00906EC4"/>
    <w:rsid w:val="00907443"/>
    <w:rsid w:val="009074C8"/>
    <w:rsid w:val="00907ACA"/>
    <w:rsid w:val="00907CCC"/>
    <w:rsid w:val="00907D01"/>
    <w:rsid w:val="00907D68"/>
    <w:rsid w:val="00910498"/>
    <w:rsid w:val="0091066B"/>
    <w:rsid w:val="00910BE7"/>
    <w:rsid w:val="00912677"/>
    <w:rsid w:val="00912BC5"/>
    <w:rsid w:val="00914A02"/>
    <w:rsid w:val="00914F85"/>
    <w:rsid w:val="009150CD"/>
    <w:rsid w:val="00915235"/>
    <w:rsid w:val="0091560E"/>
    <w:rsid w:val="00916792"/>
    <w:rsid w:val="009179D8"/>
    <w:rsid w:val="00917C32"/>
    <w:rsid w:val="009206BA"/>
    <w:rsid w:val="00920C3A"/>
    <w:rsid w:val="0092112E"/>
    <w:rsid w:val="00921250"/>
    <w:rsid w:val="00921626"/>
    <w:rsid w:val="00921F84"/>
    <w:rsid w:val="00923C76"/>
    <w:rsid w:val="0092403A"/>
    <w:rsid w:val="009243B5"/>
    <w:rsid w:val="00924B82"/>
    <w:rsid w:val="00925E7A"/>
    <w:rsid w:val="009266F3"/>
    <w:rsid w:val="00926CAC"/>
    <w:rsid w:val="00926E9E"/>
    <w:rsid w:val="009274F0"/>
    <w:rsid w:val="009277F7"/>
    <w:rsid w:val="0093086E"/>
    <w:rsid w:val="00930DA7"/>
    <w:rsid w:val="00931925"/>
    <w:rsid w:val="00931CA4"/>
    <w:rsid w:val="00931D3F"/>
    <w:rsid w:val="00931F56"/>
    <w:rsid w:val="00932B33"/>
    <w:rsid w:val="00932EB6"/>
    <w:rsid w:val="00933EC7"/>
    <w:rsid w:val="00934198"/>
    <w:rsid w:val="0093469C"/>
    <w:rsid w:val="009360A4"/>
    <w:rsid w:val="009366BF"/>
    <w:rsid w:val="00937962"/>
    <w:rsid w:val="00937A1A"/>
    <w:rsid w:val="00937BA3"/>
    <w:rsid w:val="00940432"/>
    <w:rsid w:val="009405AF"/>
    <w:rsid w:val="00940DD7"/>
    <w:rsid w:val="00941196"/>
    <w:rsid w:val="009411EF"/>
    <w:rsid w:val="0094129C"/>
    <w:rsid w:val="00941504"/>
    <w:rsid w:val="0094161D"/>
    <w:rsid w:val="00941E3D"/>
    <w:rsid w:val="00942297"/>
    <w:rsid w:val="009427E5"/>
    <w:rsid w:val="009428B8"/>
    <w:rsid w:val="00942AC2"/>
    <w:rsid w:val="00943ED7"/>
    <w:rsid w:val="00944BF3"/>
    <w:rsid w:val="00944CA8"/>
    <w:rsid w:val="00944DE9"/>
    <w:rsid w:val="0094537C"/>
    <w:rsid w:val="00945539"/>
    <w:rsid w:val="009456D4"/>
    <w:rsid w:val="009459DF"/>
    <w:rsid w:val="009459FD"/>
    <w:rsid w:val="00945D26"/>
    <w:rsid w:val="00947212"/>
    <w:rsid w:val="0094729E"/>
    <w:rsid w:val="00947D12"/>
    <w:rsid w:val="00950551"/>
    <w:rsid w:val="00950882"/>
    <w:rsid w:val="00953137"/>
    <w:rsid w:val="00953489"/>
    <w:rsid w:val="009544BE"/>
    <w:rsid w:val="00954A16"/>
    <w:rsid w:val="00954A64"/>
    <w:rsid w:val="009551C9"/>
    <w:rsid w:val="009551F6"/>
    <w:rsid w:val="00955883"/>
    <w:rsid w:val="00955F48"/>
    <w:rsid w:val="00957E9B"/>
    <w:rsid w:val="0096066E"/>
    <w:rsid w:val="00960FA3"/>
    <w:rsid w:val="0096106C"/>
    <w:rsid w:val="00961E59"/>
    <w:rsid w:val="00961FCA"/>
    <w:rsid w:val="009627E1"/>
    <w:rsid w:val="009647F1"/>
    <w:rsid w:val="00964891"/>
    <w:rsid w:val="00964CB2"/>
    <w:rsid w:val="00965ED6"/>
    <w:rsid w:val="009662E7"/>
    <w:rsid w:val="00966645"/>
    <w:rsid w:val="009676D6"/>
    <w:rsid w:val="00967B96"/>
    <w:rsid w:val="009705F6"/>
    <w:rsid w:val="00970774"/>
    <w:rsid w:val="00970A2A"/>
    <w:rsid w:val="00970CFC"/>
    <w:rsid w:val="00971A53"/>
    <w:rsid w:val="00971DF3"/>
    <w:rsid w:val="00971E9F"/>
    <w:rsid w:val="009722B2"/>
    <w:rsid w:val="009725E8"/>
    <w:rsid w:val="0097306A"/>
    <w:rsid w:val="00975C8B"/>
    <w:rsid w:val="00977837"/>
    <w:rsid w:val="009779FE"/>
    <w:rsid w:val="009804B7"/>
    <w:rsid w:val="00981829"/>
    <w:rsid w:val="00981E97"/>
    <w:rsid w:val="00982743"/>
    <w:rsid w:val="009833F9"/>
    <w:rsid w:val="009836D3"/>
    <w:rsid w:val="00983A02"/>
    <w:rsid w:val="00983CBD"/>
    <w:rsid w:val="009859D8"/>
    <w:rsid w:val="00986251"/>
    <w:rsid w:val="0098696E"/>
    <w:rsid w:val="00986ACB"/>
    <w:rsid w:val="009878A7"/>
    <w:rsid w:val="00990577"/>
    <w:rsid w:val="00991118"/>
    <w:rsid w:val="00991A81"/>
    <w:rsid w:val="00992596"/>
    <w:rsid w:val="009928DB"/>
    <w:rsid w:val="00992E8D"/>
    <w:rsid w:val="00992FD2"/>
    <w:rsid w:val="009938A8"/>
    <w:rsid w:val="00993955"/>
    <w:rsid w:val="00993BBF"/>
    <w:rsid w:val="009949F1"/>
    <w:rsid w:val="0099587E"/>
    <w:rsid w:val="00995914"/>
    <w:rsid w:val="00995C73"/>
    <w:rsid w:val="00995E21"/>
    <w:rsid w:val="009962A7"/>
    <w:rsid w:val="00996778"/>
    <w:rsid w:val="00996C06"/>
    <w:rsid w:val="00996C83"/>
    <w:rsid w:val="0099700D"/>
    <w:rsid w:val="0099792D"/>
    <w:rsid w:val="009A008F"/>
    <w:rsid w:val="009A191E"/>
    <w:rsid w:val="009A23AA"/>
    <w:rsid w:val="009A2574"/>
    <w:rsid w:val="009A2CCA"/>
    <w:rsid w:val="009A2E47"/>
    <w:rsid w:val="009A2F8B"/>
    <w:rsid w:val="009A32DF"/>
    <w:rsid w:val="009A353E"/>
    <w:rsid w:val="009A368D"/>
    <w:rsid w:val="009A3762"/>
    <w:rsid w:val="009A4EC6"/>
    <w:rsid w:val="009A5218"/>
    <w:rsid w:val="009A538E"/>
    <w:rsid w:val="009A623F"/>
    <w:rsid w:val="009A6492"/>
    <w:rsid w:val="009A79E6"/>
    <w:rsid w:val="009A7C7C"/>
    <w:rsid w:val="009A7DB4"/>
    <w:rsid w:val="009B0A5A"/>
    <w:rsid w:val="009B1844"/>
    <w:rsid w:val="009B1CE9"/>
    <w:rsid w:val="009B27B0"/>
    <w:rsid w:val="009B41E7"/>
    <w:rsid w:val="009B45FA"/>
    <w:rsid w:val="009B5165"/>
    <w:rsid w:val="009B5F9E"/>
    <w:rsid w:val="009B6333"/>
    <w:rsid w:val="009B737A"/>
    <w:rsid w:val="009B789C"/>
    <w:rsid w:val="009C056D"/>
    <w:rsid w:val="009C07D5"/>
    <w:rsid w:val="009C0E4F"/>
    <w:rsid w:val="009C3450"/>
    <w:rsid w:val="009C38DE"/>
    <w:rsid w:val="009C3FF0"/>
    <w:rsid w:val="009C4015"/>
    <w:rsid w:val="009C4AD0"/>
    <w:rsid w:val="009C51B3"/>
    <w:rsid w:val="009C697E"/>
    <w:rsid w:val="009C6D29"/>
    <w:rsid w:val="009C7DAE"/>
    <w:rsid w:val="009D0788"/>
    <w:rsid w:val="009D079B"/>
    <w:rsid w:val="009D0D65"/>
    <w:rsid w:val="009D0DFF"/>
    <w:rsid w:val="009D1D03"/>
    <w:rsid w:val="009D2393"/>
    <w:rsid w:val="009D26D0"/>
    <w:rsid w:val="009D27E2"/>
    <w:rsid w:val="009D3234"/>
    <w:rsid w:val="009D361B"/>
    <w:rsid w:val="009D3620"/>
    <w:rsid w:val="009D4784"/>
    <w:rsid w:val="009D487B"/>
    <w:rsid w:val="009D4A5E"/>
    <w:rsid w:val="009D4DD5"/>
    <w:rsid w:val="009D57C7"/>
    <w:rsid w:val="009D6247"/>
    <w:rsid w:val="009D644C"/>
    <w:rsid w:val="009D6AF2"/>
    <w:rsid w:val="009D7498"/>
    <w:rsid w:val="009D77F8"/>
    <w:rsid w:val="009D7951"/>
    <w:rsid w:val="009E037D"/>
    <w:rsid w:val="009E0477"/>
    <w:rsid w:val="009E07A1"/>
    <w:rsid w:val="009E08D1"/>
    <w:rsid w:val="009E0A8F"/>
    <w:rsid w:val="009E13BD"/>
    <w:rsid w:val="009E1851"/>
    <w:rsid w:val="009E1AE7"/>
    <w:rsid w:val="009E3C65"/>
    <w:rsid w:val="009E3FB2"/>
    <w:rsid w:val="009E44E3"/>
    <w:rsid w:val="009E4544"/>
    <w:rsid w:val="009E479C"/>
    <w:rsid w:val="009E4C47"/>
    <w:rsid w:val="009E5621"/>
    <w:rsid w:val="009E5925"/>
    <w:rsid w:val="009E5B74"/>
    <w:rsid w:val="009E6A56"/>
    <w:rsid w:val="009F01F6"/>
    <w:rsid w:val="009F0548"/>
    <w:rsid w:val="009F065B"/>
    <w:rsid w:val="009F09AE"/>
    <w:rsid w:val="009F2EB8"/>
    <w:rsid w:val="009F34CC"/>
    <w:rsid w:val="009F375E"/>
    <w:rsid w:val="009F3D05"/>
    <w:rsid w:val="009F45AC"/>
    <w:rsid w:val="009F4942"/>
    <w:rsid w:val="009F545F"/>
    <w:rsid w:val="009F54B7"/>
    <w:rsid w:val="009F5981"/>
    <w:rsid w:val="009F600D"/>
    <w:rsid w:val="009F6E78"/>
    <w:rsid w:val="009F7637"/>
    <w:rsid w:val="009F767E"/>
    <w:rsid w:val="00A0026E"/>
    <w:rsid w:val="00A002B2"/>
    <w:rsid w:val="00A002EC"/>
    <w:rsid w:val="00A00352"/>
    <w:rsid w:val="00A003E3"/>
    <w:rsid w:val="00A00E81"/>
    <w:rsid w:val="00A027D2"/>
    <w:rsid w:val="00A02CE4"/>
    <w:rsid w:val="00A02F67"/>
    <w:rsid w:val="00A038B3"/>
    <w:rsid w:val="00A03BCB"/>
    <w:rsid w:val="00A04105"/>
    <w:rsid w:val="00A04BE6"/>
    <w:rsid w:val="00A07721"/>
    <w:rsid w:val="00A100D6"/>
    <w:rsid w:val="00A104F6"/>
    <w:rsid w:val="00A10E9E"/>
    <w:rsid w:val="00A1162C"/>
    <w:rsid w:val="00A12694"/>
    <w:rsid w:val="00A12C70"/>
    <w:rsid w:val="00A12CDB"/>
    <w:rsid w:val="00A132A7"/>
    <w:rsid w:val="00A15429"/>
    <w:rsid w:val="00A15A33"/>
    <w:rsid w:val="00A169FD"/>
    <w:rsid w:val="00A17693"/>
    <w:rsid w:val="00A20EEB"/>
    <w:rsid w:val="00A2186C"/>
    <w:rsid w:val="00A21A94"/>
    <w:rsid w:val="00A2281C"/>
    <w:rsid w:val="00A231CC"/>
    <w:rsid w:val="00A2434E"/>
    <w:rsid w:val="00A24693"/>
    <w:rsid w:val="00A248A6"/>
    <w:rsid w:val="00A249B0"/>
    <w:rsid w:val="00A25623"/>
    <w:rsid w:val="00A25C70"/>
    <w:rsid w:val="00A26028"/>
    <w:rsid w:val="00A26097"/>
    <w:rsid w:val="00A267C9"/>
    <w:rsid w:val="00A26CDC"/>
    <w:rsid w:val="00A30067"/>
    <w:rsid w:val="00A302C2"/>
    <w:rsid w:val="00A30E68"/>
    <w:rsid w:val="00A32422"/>
    <w:rsid w:val="00A3273F"/>
    <w:rsid w:val="00A32875"/>
    <w:rsid w:val="00A32B8E"/>
    <w:rsid w:val="00A34F6C"/>
    <w:rsid w:val="00A3542C"/>
    <w:rsid w:val="00A36F9F"/>
    <w:rsid w:val="00A37110"/>
    <w:rsid w:val="00A375CD"/>
    <w:rsid w:val="00A40109"/>
    <w:rsid w:val="00A40230"/>
    <w:rsid w:val="00A4094F"/>
    <w:rsid w:val="00A42CEC"/>
    <w:rsid w:val="00A42EB5"/>
    <w:rsid w:val="00A42F7D"/>
    <w:rsid w:val="00A44689"/>
    <w:rsid w:val="00A45C6B"/>
    <w:rsid w:val="00A462F5"/>
    <w:rsid w:val="00A46B2E"/>
    <w:rsid w:val="00A4712F"/>
    <w:rsid w:val="00A47456"/>
    <w:rsid w:val="00A47781"/>
    <w:rsid w:val="00A477CB"/>
    <w:rsid w:val="00A477CC"/>
    <w:rsid w:val="00A47E13"/>
    <w:rsid w:val="00A500CA"/>
    <w:rsid w:val="00A50585"/>
    <w:rsid w:val="00A50F20"/>
    <w:rsid w:val="00A51669"/>
    <w:rsid w:val="00A52212"/>
    <w:rsid w:val="00A522B1"/>
    <w:rsid w:val="00A52FCA"/>
    <w:rsid w:val="00A53A3F"/>
    <w:rsid w:val="00A54148"/>
    <w:rsid w:val="00A5553F"/>
    <w:rsid w:val="00A557D3"/>
    <w:rsid w:val="00A55C8C"/>
    <w:rsid w:val="00A560CF"/>
    <w:rsid w:val="00A601E0"/>
    <w:rsid w:val="00A601ED"/>
    <w:rsid w:val="00A60DE4"/>
    <w:rsid w:val="00A610C5"/>
    <w:rsid w:val="00A61B2A"/>
    <w:rsid w:val="00A6274B"/>
    <w:rsid w:val="00A62CAF"/>
    <w:rsid w:val="00A62CEB"/>
    <w:rsid w:val="00A636D4"/>
    <w:rsid w:val="00A638D7"/>
    <w:rsid w:val="00A6390B"/>
    <w:rsid w:val="00A65392"/>
    <w:rsid w:val="00A65597"/>
    <w:rsid w:val="00A65A5E"/>
    <w:rsid w:val="00A65DB0"/>
    <w:rsid w:val="00A65E87"/>
    <w:rsid w:val="00A66035"/>
    <w:rsid w:val="00A664FA"/>
    <w:rsid w:val="00A66C07"/>
    <w:rsid w:val="00A678B2"/>
    <w:rsid w:val="00A70266"/>
    <w:rsid w:val="00A709EE"/>
    <w:rsid w:val="00A70F1F"/>
    <w:rsid w:val="00A71B68"/>
    <w:rsid w:val="00A71C01"/>
    <w:rsid w:val="00A71EEA"/>
    <w:rsid w:val="00A72B21"/>
    <w:rsid w:val="00A73A7B"/>
    <w:rsid w:val="00A75FBB"/>
    <w:rsid w:val="00A760FF"/>
    <w:rsid w:val="00A767C8"/>
    <w:rsid w:val="00A76B07"/>
    <w:rsid w:val="00A76FF4"/>
    <w:rsid w:val="00A770AC"/>
    <w:rsid w:val="00A770F2"/>
    <w:rsid w:val="00A776F6"/>
    <w:rsid w:val="00A778D7"/>
    <w:rsid w:val="00A80852"/>
    <w:rsid w:val="00A80A7C"/>
    <w:rsid w:val="00A817D8"/>
    <w:rsid w:val="00A81C9D"/>
    <w:rsid w:val="00A8211D"/>
    <w:rsid w:val="00A82308"/>
    <w:rsid w:val="00A83E70"/>
    <w:rsid w:val="00A8422D"/>
    <w:rsid w:val="00A8433E"/>
    <w:rsid w:val="00A844E6"/>
    <w:rsid w:val="00A851B5"/>
    <w:rsid w:val="00A854BF"/>
    <w:rsid w:val="00A85583"/>
    <w:rsid w:val="00A85AE8"/>
    <w:rsid w:val="00A85FAE"/>
    <w:rsid w:val="00A86336"/>
    <w:rsid w:val="00A864C8"/>
    <w:rsid w:val="00A865ED"/>
    <w:rsid w:val="00A9001B"/>
    <w:rsid w:val="00A9045D"/>
    <w:rsid w:val="00A90C36"/>
    <w:rsid w:val="00A91CBB"/>
    <w:rsid w:val="00A92028"/>
    <w:rsid w:val="00A9290F"/>
    <w:rsid w:val="00A93471"/>
    <w:rsid w:val="00A944FA"/>
    <w:rsid w:val="00A958E7"/>
    <w:rsid w:val="00A95E4B"/>
    <w:rsid w:val="00A97864"/>
    <w:rsid w:val="00AA0AB6"/>
    <w:rsid w:val="00AA0FBC"/>
    <w:rsid w:val="00AA152C"/>
    <w:rsid w:val="00AA1E31"/>
    <w:rsid w:val="00AA2073"/>
    <w:rsid w:val="00AA25A2"/>
    <w:rsid w:val="00AA260E"/>
    <w:rsid w:val="00AA2653"/>
    <w:rsid w:val="00AA2D5A"/>
    <w:rsid w:val="00AA2F1B"/>
    <w:rsid w:val="00AA3300"/>
    <w:rsid w:val="00AA36D5"/>
    <w:rsid w:val="00AA3823"/>
    <w:rsid w:val="00AA3D71"/>
    <w:rsid w:val="00AA4616"/>
    <w:rsid w:val="00AA468F"/>
    <w:rsid w:val="00AA47CF"/>
    <w:rsid w:val="00AA4CF5"/>
    <w:rsid w:val="00AA5435"/>
    <w:rsid w:val="00AA62ED"/>
    <w:rsid w:val="00AA6331"/>
    <w:rsid w:val="00AA63D2"/>
    <w:rsid w:val="00AA67DE"/>
    <w:rsid w:val="00AA6F19"/>
    <w:rsid w:val="00AA7044"/>
    <w:rsid w:val="00AA72D6"/>
    <w:rsid w:val="00AA7490"/>
    <w:rsid w:val="00AA7883"/>
    <w:rsid w:val="00AB0413"/>
    <w:rsid w:val="00AB0B38"/>
    <w:rsid w:val="00AB0D9F"/>
    <w:rsid w:val="00AB1937"/>
    <w:rsid w:val="00AB2E97"/>
    <w:rsid w:val="00AB3014"/>
    <w:rsid w:val="00AB4216"/>
    <w:rsid w:val="00AB4450"/>
    <w:rsid w:val="00AB5648"/>
    <w:rsid w:val="00AB620D"/>
    <w:rsid w:val="00AB6855"/>
    <w:rsid w:val="00AB69B5"/>
    <w:rsid w:val="00AC05DC"/>
    <w:rsid w:val="00AC1135"/>
    <w:rsid w:val="00AC15A4"/>
    <w:rsid w:val="00AC1FE8"/>
    <w:rsid w:val="00AC236F"/>
    <w:rsid w:val="00AC2440"/>
    <w:rsid w:val="00AC26ED"/>
    <w:rsid w:val="00AC2759"/>
    <w:rsid w:val="00AC2A64"/>
    <w:rsid w:val="00AC2FB2"/>
    <w:rsid w:val="00AC31CA"/>
    <w:rsid w:val="00AC3DB2"/>
    <w:rsid w:val="00AC3E1E"/>
    <w:rsid w:val="00AC48E7"/>
    <w:rsid w:val="00AC52A1"/>
    <w:rsid w:val="00AC52A3"/>
    <w:rsid w:val="00AC5A17"/>
    <w:rsid w:val="00AC70F2"/>
    <w:rsid w:val="00AC7A69"/>
    <w:rsid w:val="00AD03B9"/>
    <w:rsid w:val="00AD04D8"/>
    <w:rsid w:val="00AD0512"/>
    <w:rsid w:val="00AD0BC7"/>
    <w:rsid w:val="00AD13CB"/>
    <w:rsid w:val="00AD16F9"/>
    <w:rsid w:val="00AD2C60"/>
    <w:rsid w:val="00AD2F73"/>
    <w:rsid w:val="00AD3869"/>
    <w:rsid w:val="00AD3A8D"/>
    <w:rsid w:val="00AD3D0E"/>
    <w:rsid w:val="00AD44C9"/>
    <w:rsid w:val="00AD50C9"/>
    <w:rsid w:val="00AD5329"/>
    <w:rsid w:val="00AD66A7"/>
    <w:rsid w:val="00AD6B2F"/>
    <w:rsid w:val="00AD6D99"/>
    <w:rsid w:val="00AD6F66"/>
    <w:rsid w:val="00AD721D"/>
    <w:rsid w:val="00AD799B"/>
    <w:rsid w:val="00AE042E"/>
    <w:rsid w:val="00AE0A16"/>
    <w:rsid w:val="00AE0EF5"/>
    <w:rsid w:val="00AE13A6"/>
    <w:rsid w:val="00AE1F13"/>
    <w:rsid w:val="00AE25C6"/>
    <w:rsid w:val="00AE26F3"/>
    <w:rsid w:val="00AE28AA"/>
    <w:rsid w:val="00AE2BB4"/>
    <w:rsid w:val="00AE3022"/>
    <w:rsid w:val="00AE42B1"/>
    <w:rsid w:val="00AE5638"/>
    <w:rsid w:val="00AE5EF4"/>
    <w:rsid w:val="00AE6D36"/>
    <w:rsid w:val="00AE71D4"/>
    <w:rsid w:val="00AF0405"/>
    <w:rsid w:val="00AF1517"/>
    <w:rsid w:val="00AF157A"/>
    <w:rsid w:val="00AF16EE"/>
    <w:rsid w:val="00AF1DB1"/>
    <w:rsid w:val="00AF20C2"/>
    <w:rsid w:val="00AF30E1"/>
    <w:rsid w:val="00AF3B86"/>
    <w:rsid w:val="00AF41DA"/>
    <w:rsid w:val="00AF4B40"/>
    <w:rsid w:val="00AF50D5"/>
    <w:rsid w:val="00AF54FC"/>
    <w:rsid w:val="00AF5B20"/>
    <w:rsid w:val="00AF5DA5"/>
    <w:rsid w:val="00AF5DD8"/>
    <w:rsid w:val="00AF625A"/>
    <w:rsid w:val="00AF6D0C"/>
    <w:rsid w:val="00AF7031"/>
    <w:rsid w:val="00AF73E7"/>
    <w:rsid w:val="00AF786A"/>
    <w:rsid w:val="00AF7B22"/>
    <w:rsid w:val="00AF7BD3"/>
    <w:rsid w:val="00AF7EEE"/>
    <w:rsid w:val="00AF7F85"/>
    <w:rsid w:val="00B0009C"/>
    <w:rsid w:val="00B0095B"/>
    <w:rsid w:val="00B00E80"/>
    <w:rsid w:val="00B010D4"/>
    <w:rsid w:val="00B01402"/>
    <w:rsid w:val="00B015D1"/>
    <w:rsid w:val="00B016E7"/>
    <w:rsid w:val="00B019F6"/>
    <w:rsid w:val="00B01F8C"/>
    <w:rsid w:val="00B02BFE"/>
    <w:rsid w:val="00B02EC7"/>
    <w:rsid w:val="00B03F8F"/>
    <w:rsid w:val="00B042C2"/>
    <w:rsid w:val="00B044DE"/>
    <w:rsid w:val="00B04E6C"/>
    <w:rsid w:val="00B0625F"/>
    <w:rsid w:val="00B067F5"/>
    <w:rsid w:val="00B07556"/>
    <w:rsid w:val="00B076BD"/>
    <w:rsid w:val="00B07BF8"/>
    <w:rsid w:val="00B1022D"/>
    <w:rsid w:val="00B10B56"/>
    <w:rsid w:val="00B111B6"/>
    <w:rsid w:val="00B11708"/>
    <w:rsid w:val="00B11AD7"/>
    <w:rsid w:val="00B11DB6"/>
    <w:rsid w:val="00B11FFC"/>
    <w:rsid w:val="00B1207F"/>
    <w:rsid w:val="00B122FA"/>
    <w:rsid w:val="00B12B5A"/>
    <w:rsid w:val="00B1301E"/>
    <w:rsid w:val="00B13405"/>
    <w:rsid w:val="00B136A8"/>
    <w:rsid w:val="00B1399D"/>
    <w:rsid w:val="00B14361"/>
    <w:rsid w:val="00B14E1D"/>
    <w:rsid w:val="00B14ED2"/>
    <w:rsid w:val="00B15C0B"/>
    <w:rsid w:val="00B1613B"/>
    <w:rsid w:val="00B16A4B"/>
    <w:rsid w:val="00B17CF7"/>
    <w:rsid w:val="00B20536"/>
    <w:rsid w:val="00B2094B"/>
    <w:rsid w:val="00B21453"/>
    <w:rsid w:val="00B21F72"/>
    <w:rsid w:val="00B226B8"/>
    <w:rsid w:val="00B226FA"/>
    <w:rsid w:val="00B228CF"/>
    <w:rsid w:val="00B22952"/>
    <w:rsid w:val="00B22CAF"/>
    <w:rsid w:val="00B22EBE"/>
    <w:rsid w:val="00B25657"/>
    <w:rsid w:val="00B2578A"/>
    <w:rsid w:val="00B25858"/>
    <w:rsid w:val="00B25FEF"/>
    <w:rsid w:val="00B25FF4"/>
    <w:rsid w:val="00B2645A"/>
    <w:rsid w:val="00B26860"/>
    <w:rsid w:val="00B26AAC"/>
    <w:rsid w:val="00B26BB0"/>
    <w:rsid w:val="00B2713F"/>
    <w:rsid w:val="00B279FA"/>
    <w:rsid w:val="00B30F63"/>
    <w:rsid w:val="00B311E0"/>
    <w:rsid w:val="00B3152E"/>
    <w:rsid w:val="00B31F38"/>
    <w:rsid w:val="00B321C1"/>
    <w:rsid w:val="00B32586"/>
    <w:rsid w:val="00B3339D"/>
    <w:rsid w:val="00B3397B"/>
    <w:rsid w:val="00B33B86"/>
    <w:rsid w:val="00B34411"/>
    <w:rsid w:val="00B34A76"/>
    <w:rsid w:val="00B379CB"/>
    <w:rsid w:val="00B4057A"/>
    <w:rsid w:val="00B408FC"/>
    <w:rsid w:val="00B422AC"/>
    <w:rsid w:val="00B42449"/>
    <w:rsid w:val="00B4273B"/>
    <w:rsid w:val="00B4303F"/>
    <w:rsid w:val="00B4322A"/>
    <w:rsid w:val="00B43572"/>
    <w:rsid w:val="00B435DF"/>
    <w:rsid w:val="00B43DB0"/>
    <w:rsid w:val="00B44223"/>
    <w:rsid w:val="00B44320"/>
    <w:rsid w:val="00B44DBB"/>
    <w:rsid w:val="00B45A20"/>
    <w:rsid w:val="00B45E40"/>
    <w:rsid w:val="00B46179"/>
    <w:rsid w:val="00B461F3"/>
    <w:rsid w:val="00B46262"/>
    <w:rsid w:val="00B4671F"/>
    <w:rsid w:val="00B46C8B"/>
    <w:rsid w:val="00B46F89"/>
    <w:rsid w:val="00B47824"/>
    <w:rsid w:val="00B4795C"/>
    <w:rsid w:val="00B47ABE"/>
    <w:rsid w:val="00B5069E"/>
    <w:rsid w:val="00B50B2A"/>
    <w:rsid w:val="00B51847"/>
    <w:rsid w:val="00B5225E"/>
    <w:rsid w:val="00B52EE9"/>
    <w:rsid w:val="00B53178"/>
    <w:rsid w:val="00B534CD"/>
    <w:rsid w:val="00B543F0"/>
    <w:rsid w:val="00B544DD"/>
    <w:rsid w:val="00B54D47"/>
    <w:rsid w:val="00B55928"/>
    <w:rsid w:val="00B5646E"/>
    <w:rsid w:val="00B577C1"/>
    <w:rsid w:val="00B6170F"/>
    <w:rsid w:val="00B62000"/>
    <w:rsid w:val="00B62695"/>
    <w:rsid w:val="00B62E44"/>
    <w:rsid w:val="00B637D9"/>
    <w:rsid w:val="00B63AC0"/>
    <w:rsid w:val="00B63E7A"/>
    <w:rsid w:val="00B644E8"/>
    <w:rsid w:val="00B649FC"/>
    <w:rsid w:val="00B65F9D"/>
    <w:rsid w:val="00B66FC1"/>
    <w:rsid w:val="00B673EF"/>
    <w:rsid w:val="00B678B1"/>
    <w:rsid w:val="00B67FBB"/>
    <w:rsid w:val="00B709F7"/>
    <w:rsid w:val="00B70A0A"/>
    <w:rsid w:val="00B70A14"/>
    <w:rsid w:val="00B71308"/>
    <w:rsid w:val="00B71892"/>
    <w:rsid w:val="00B72CC9"/>
    <w:rsid w:val="00B72D43"/>
    <w:rsid w:val="00B734E1"/>
    <w:rsid w:val="00B73B25"/>
    <w:rsid w:val="00B740A3"/>
    <w:rsid w:val="00B747F4"/>
    <w:rsid w:val="00B750F3"/>
    <w:rsid w:val="00B75AE5"/>
    <w:rsid w:val="00B75BA4"/>
    <w:rsid w:val="00B76700"/>
    <w:rsid w:val="00B76F0C"/>
    <w:rsid w:val="00B772F7"/>
    <w:rsid w:val="00B775EC"/>
    <w:rsid w:val="00B80014"/>
    <w:rsid w:val="00B80705"/>
    <w:rsid w:val="00B8149C"/>
    <w:rsid w:val="00B821B2"/>
    <w:rsid w:val="00B82380"/>
    <w:rsid w:val="00B8244A"/>
    <w:rsid w:val="00B84003"/>
    <w:rsid w:val="00B858AF"/>
    <w:rsid w:val="00B8631F"/>
    <w:rsid w:val="00B8646D"/>
    <w:rsid w:val="00B86556"/>
    <w:rsid w:val="00B8686A"/>
    <w:rsid w:val="00B86CAA"/>
    <w:rsid w:val="00B876EB"/>
    <w:rsid w:val="00B908B1"/>
    <w:rsid w:val="00B91D78"/>
    <w:rsid w:val="00B923B5"/>
    <w:rsid w:val="00B92620"/>
    <w:rsid w:val="00B92A1A"/>
    <w:rsid w:val="00B92CDC"/>
    <w:rsid w:val="00B933FE"/>
    <w:rsid w:val="00B93ADB"/>
    <w:rsid w:val="00B95212"/>
    <w:rsid w:val="00B95EBD"/>
    <w:rsid w:val="00B95F95"/>
    <w:rsid w:val="00B95FF8"/>
    <w:rsid w:val="00B962D0"/>
    <w:rsid w:val="00B963D7"/>
    <w:rsid w:val="00B96496"/>
    <w:rsid w:val="00B9723E"/>
    <w:rsid w:val="00B97ADB"/>
    <w:rsid w:val="00B97B75"/>
    <w:rsid w:val="00BA0657"/>
    <w:rsid w:val="00BA0A9E"/>
    <w:rsid w:val="00BA0CE3"/>
    <w:rsid w:val="00BA161F"/>
    <w:rsid w:val="00BA17AB"/>
    <w:rsid w:val="00BA1CD2"/>
    <w:rsid w:val="00BA2DA3"/>
    <w:rsid w:val="00BA3295"/>
    <w:rsid w:val="00BA32BB"/>
    <w:rsid w:val="00BA3330"/>
    <w:rsid w:val="00BA3C13"/>
    <w:rsid w:val="00BA3D2F"/>
    <w:rsid w:val="00BA3F4E"/>
    <w:rsid w:val="00BA433C"/>
    <w:rsid w:val="00BA4ACF"/>
    <w:rsid w:val="00BA4C01"/>
    <w:rsid w:val="00BA51DB"/>
    <w:rsid w:val="00BA6761"/>
    <w:rsid w:val="00BA688F"/>
    <w:rsid w:val="00BA6E1A"/>
    <w:rsid w:val="00BA7605"/>
    <w:rsid w:val="00BA7B6B"/>
    <w:rsid w:val="00BA7E10"/>
    <w:rsid w:val="00BB08B1"/>
    <w:rsid w:val="00BB1CF3"/>
    <w:rsid w:val="00BB1EE6"/>
    <w:rsid w:val="00BB2103"/>
    <w:rsid w:val="00BB229A"/>
    <w:rsid w:val="00BB280F"/>
    <w:rsid w:val="00BB2C66"/>
    <w:rsid w:val="00BB2E70"/>
    <w:rsid w:val="00BB3506"/>
    <w:rsid w:val="00BB373C"/>
    <w:rsid w:val="00BB38FF"/>
    <w:rsid w:val="00BB3AD9"/>
    <w:rsid w:val="00BB3B21"/>
    <w:rsid w:val="00BB3B6D"/>
    <w:rsid w:val="00BB3DD4"/>
    <w:rsid w:val="00BB4368"/>
    <w:rsid w:val="00BB4685"/>
    <w:rsid w:val="00BB4B89"/>
    <w:rsid w:val="00BB4BE8"/>
    <w:rsid w:val="00BB4DB4"/>
    <w:rsid w:val="00BB5549"/>
    <w:rsid w:val="00BB5DF7"/>
    <w:rsid w:val="00BB6175"/>
    <w:rsid w:val="00BB6B24"/>
    <w:rsid w:val="00BB6B50"/>
    <w:rsid w:val="00BB6FC8"/>
    <w:rsid w:val="00BB71E0"/>
    <w:rsid w:val="00BB7B0E"/>
    <w:rsid w:val="00BC0041"/>
    <w:rsid w:val="00BC05F9"/>
    <w:rsid w:val="00BC146A"/>
    <w:rsid w:val="00BC15CF"/>
    <w:rsid w:val="00BC18EE"/>
    <w:rsid w:val="00BC1EBA"/>
    <w:rsid w:val="00BC2BD4"/>
    <w:rsid w:val="00BC2F36"/>
    <w:rsid w:val="00BC33F6"/>
    <w:rsid w:val="00BC36C8"/>
    <w:rsid w:val="00BC37C9"/>
    <w:rsid w:val="00BC4744"/>
    <w:rsid w:val="00BC4C6B"/>
    <w:rsid w:val="00BC4E24"/>
    <w:rsid w:val="00BC5995"/>
    <w:rsid w:val="00BC6C92"/>
    <w:rsid w:val="00BC7153"/>
    <w:rsid w:val="00BC7AAF"/>
    <w:rsid w:val="00BD047E"/>
    <w:rsid w:val="00BD061B"/>
    <w:rsid w:val="00BD0F61"/>
    <w:rsid w:val="00BD133B"/>
    <w:rsid w:val="00BD1CBB"/>
    <w:rsid w:val="00BD1D69"/>
    <w:rsid w:val="00BD1FEB"/>
    <w:rsid w:val="00BD221B"/>
    <w:rsid w:val="00BD2720"/>
    <w:rsid w:val="00BD2CD8"/>
    <w:rsid w:val="00BD2D00"/>
    <w:rsid w:val="00BD2D33"/>
    <w:rsid w:val="00BD36DB"/>
    <w:rsid w:val="00BD3804"/>
    <w:rsid w:val="00BD3A28"/>
    <w:rsid w:val="00BD3D06"/>
    <w:rsid w:val="00BD3F68"/>
    <w:rsid w:val="00BD42AF"/>
    <w:rsid w:val="00BD4542"/>
    <w:rsid w:val="00BD4CCA"/>
    <w:rsid w:val="00BD4FC2"/>
    <w:rsid w:val="00BD557D"/>
    <w:rsid w:val="00BD59BF"/>
    <w:rsid w:val="00BD5CE2"/>
    <w:rsid w:val="00BD615D"/>
    <w:rsid w:val="00BD6593"/>
    <w:rsid w:val="00BD66EC"/>
    <w:rsid w:val="00BD6ADC"/>
    <w:rsid w:val="00BD7538"/>
    <w:rsid w:val="00BD7B13"/>
    <w:rsid w:val="00BD7E98"/>
    <w:rsid w:val="00BE0099"/>
    <w:rsid w:val="00BE0227"/>
    <w:rsid w:val="00BE0AF4"/>
    <w:rsid w:val="00BE288A"/>
    <w:rsid w:val="00BE2D44"/>
    <w:rsid w:val="00BE3073"/>
    <w:rsid w:val="00BE3141"/>
    <w:rsid w:val="00BE346F"/>
    <w:rsid w:val="00BE36D3"/>
    <w:rsid w:val="00BE3A6B"/>
    <w:rsid w:val="00BE3F8B"/>
    <w:rsid w:val="00BE4281"/>
    <w:rsid w:val="00BE5AF8"/>
    <w:rsid w:val="00BE5DFF"/>
    <w:rsid w:val="00BE6CBC"/>
    <w:rsid w:val="00BF029F"/>
    <w:rsid w:val="00BF031C"/>
    <w:rsid w:val="00BF0D52"/>
    <w:rsid w:val="00BF156B"/>
    <w:rsid w:val="00BF227C"/>
    <w:rsid w:val="00BF2350"/>
    <w:rsid w:val="00BF27E1"/>
    <w:rsid w:val="00BF2B47"/>
    <w:rsid w:val="00BF3BA3"/>
    <w:rsid w:val="00BF42CA"/>
    <w:rsid w:val="00BF4E03"/>
    <w:rsid w:val="00BF50C0"/>
    <w:rsid w:val="00BF5DB3"/>
    <w:rsid w:val="00BF5E77"/>
    <w:rsid w:val="00BF667C"/>
    <w:rsid w:val="00BF78D5"/>
    <w:rsid w:val="00C0061B"/>
    <w:rsid w:val="00C00C6A"/>
    <w:rsid w:val="00C011CA"/>
    <w:rsid w:val="00C01A76"/>
    <w:rsid w:val="00C024AA"/>
    <w:rsid w:val="00C02A2C"/>
    <w:rsid w:val="00C03BC5"/>
    <w:rsid w:val="00C03DF6"/>
    <w:rsid w:val="00C040A5"/>
    <w:rsid w:val="00C04111"/>
    <w:rsid w:val="00C04342"/>
    <w:rsid w:val="00C04366"/>
    <w:rsid w:val="00C04476"/>
    <w:rsid w:val="00C045C0"/>
    <w:rsid w:val="00C05032"/>
    <w:rsid w:val="00C0515E"/>
    <w:rsid w:val="00C0572A"/>
    <w:rsid w:val="00C05740"/>
    <w:rsid w:val="00C059EE"/>
    <w:rsid w:val="00C05ED7"/>
    <w:rsid w:val="00C0617A"/>
    <w:rsid w:val="00C06D5A"/>
    <w:rsid w:val="00C06F4D"/>
    <w:rsid w:val="00C07280"/>
    <w:rsid w:val="00C0789D"/>
    <w:rsid w:val="00C07BA7"/>
    <w:rsid w:val="00C1054F"/>
    <w:rsid w:val="00C10977"/>
    <w:rsid w:val="00C12018"/>
    <w:rsid w:val="00C15004"/>
    <w:rsid w:val="00C159C3"/>
    <w:rsid w:val="00C15AA6"/>
    <w:rsid w:val="00C15CF2"/>
    <w:rsid w:val="00C15D7A"/>
    <w:rsid w:val="00C15E2D"/>
    <w:rsid w:val="00C1636B"/>
    <w:rsid w:val="00C1685F"/>
    <w:rsid w:val="00C174D3"/>
    <w:rsid w:val="00C17C0F"/>
    <w:rsid w:val="00C20E42"/>
    <w:rsid w:val="00C20FD8"/>
    <w:rsid w:val="00C21489"/>
    <w:rsid w:val="00C223B7"/>
    <w:rsid w:val="00C22635"/>
    <w:rsid w:val="00C2264E"/>
    <w:rsid w:val="00C22D04"/>
    <w:rsid w:val="00C2322B"/>
    <w:rsid w:val="00C23F62"/>
    <w:rsid w:val="00C24BA6"/>
    <w:rsid w:val="00C2514C"/>
    <w:rsid w:val="00C25B28"/>
    <w:rsid w:val="00C262A2"/>
    <w:rsid w:val="00C27148"/>
    <w:rsid w:val="00C27F59"/>
    <w:rsid w:val="00C302AC"/>
    <w:rsid w:val="00C309F6"/>
    <w:rsid w:val="00C326D0"/>
    <w:rsid w:val="00C33604"/>
    <w:rsid w:val="00C33B3A"/>
    <w:rsid w:val="00C3434D"/>
    <w:rsid w:val="00C3460A"/>
    <w:rsid w:val="00C347CA"/>
    <w:rsid w:val="00C34A16"/>
    <w:rsid w:val="00C35248"/>
    <w:rsid w:val="00C36109"/>
    <w:rsid w:val="00C361A3"/>
    <w:rsid w:val="00C3635D"/>
    <w:rsid w:val="00C3666B"/>
    <w:rsid w:val="00C37873"/>
    <w:rsid w:val="00C379E8"/>
    <w:rsid w:val="00C37DE4"/>
    <w:rsid w:val="00C37E0F"/>
    <w:rsid w:val="00C40A28"/>
    <w:rsid w:val="00C40D16"/>
    <w:rsid w:val="00C40D26"/>
    <w:rsid w:val="00C4250C"/>
    <w:rsid w:val="00C42FC0"/>
    <w:rsid w:val="00C43B9E"/>
    <w:rsid w:val="00C44027"/>
    <w:rsid w:val="00C445E7"/>
    <w:rsid w:val="00C4486A"/>
    <w:rsid w:val="00C44C8F"/>
    <w:rsid w:val="00C44ECF"/>
    <w:rsid w:val="00C455AD"/>
    <w:rsid w:val="00C45FBE"/>
    <w:rsid w:val="00C46546"/>
    <w:rsid w:val="00C4674C"/>
    <w:rsid w:val="00C467C8"/>
    <w:rsid w:val="00C4695B"/>
    <w:rsid w:val="00C472A8"/>
    <w:rsid w:val="00C472D1"/>
    <w:rsid w:val="00C47455"/>
    <w:rsid w:val="00C47725"/>
    <w:rsid w:val="00C47C39"/>
    <w:rsid w:val="00C47F22"/>
    <w:rsid w:val="00C51326"/>
    <w:rsid w:val="00C51871"/>
    <w:rsid w:val="00C51C10"/>
    <w:rsid w:val="00C51FEA"/>
    <w:rsid w:val="00C52130"/>
    <w:rsid w:val="00C5216E"/>
    <w:rsid w:val="00C526E5"/>
    <w:rsid w:val="00C52748"/>
    <w:rsid w:val="00C52E49"/>
    <w:rsid w:val="00C5452E"/>
    <w:rsid w:val="00C54EC4"/>
    <w:rsid w:val="00C5528F"/>
    <w:rsid w:val="00C55DD1"/>
    <w:rsid w:val="00C562D2"/>
    <w:rsid w:val="00C56325"/>
    <w:rsid w:val="00C57FC6"/>
    <w:rsid w:val="00C61298"/>
    <w:rsid w:val="00C61AD4"/>
    <w:rsid w:val="00C61EC8"/>
    <w:rsid w:val="00C62508"/>
    <w:rsid w:val="00C62DA8"/>
    <w:rsid w:val="00C62E9A"/>
    <w:rsid w:val="00C630D0"/>
    <w:rsid w:val="00C63443"/>
    <w:rsid w:val="00C6360B"/>
    <w:rsid w:val="00C637D8"/>
    <w:rsid w:val="00C64240"/>
    <w:rsid w:val="00C6437C"/>
    <w:rsid w:val="00C65652"/>
    <w:rsid w:val="00C658E8"/>
    <w:rsid w:val="00C65913"/>
    <w:rsid w:val="00C661AC"/>
    <w:rsid w:val="00C66763"/>
    <w:rsid w:val="00C66822"/>
    <w:rsid w:val="00C67017"/>
    <w:rsid w:val="00C705AD"/>
    <w:rsid w:val="00C70CAD"/>
    <w:rsid w:val="00C70E2A"/>
    <w:rsid w:val="00C71281"/>
    <w:rsid w:val="00C714C2"/>
    <w:rsid w:val="00C71782"/>
    <w:rsid w:val="00C7329C"/>
    <w:rsid w:val="00C7357C"/>
    <w:rsid w:val="00C735B4"/>
    <w:rsid w:val="00C7422E"/>
    <w:rsid w:val="00C742A9"/>
    <w:rsid w:val="00C75F7D"/>
    <w:rsid w:val="00C7653A"/>
    <w:rsid w:val="00C76615"/>
    <w:rsid w:val="00C76E8D"/>
    <w:rsid w:val="00C77124"/>
    <w:rsid w:val="00C772AE"/>
    <w:rsid w:val="00C77584"/>
    <w:rsid w:val="00C80165"/>
    <w:rsid w:val="00C801E5"/>
    <w:rsid w:val="00C818E1"/>
    <w:rsid w:val="00C82A4B"/>
    <w:rsid w:val="00C82F2E"/>
    <w:rsid w:val="00C8329C"/>
    <w:rsid w:val="00C8335B"/>
    <w:rsid w:val="00C836B1"/>
    <w:rsid w:val="00C84056"/>
    <w:rsid w:val="00C84BA7"/>
    <w:rsid w:val="00C85181"/>
    <w:rsid w:val="00C869FA"/>
    <w:rsid w:val="00C86A43"/>
    <w:rsid w:val="00C8741C"/>
    <w:rsid w:val="00C87453"/>
    <w:rsid w:val="00C876CC"/>
    <w:rsid w:val="00C91449"/>
    <w:rsid w:val="00C91C0D"/>
    <w:rsid w:val="00C9221A"/>
    <w:rsid w:val="00C9314B"/>
    <w:rsid w:val="00C9359C"/>
    <w:rsid w:val="00C935EA"/>
    <w:rsid w:val="00C936D4"/>
    <w:rsid w:val="00C93B00"/>
    <w:rsid w:val="00C93D32"/>
    <w:rsid w:val="00C9417F"/>
    <w:rsid w:val="00C941FF"/>
    <w:rsid w:val="00C942B2"/>
    <w:rsid w:val="00C94C2B"/>
    <w:rsid w:val="00C95107"/>
    <w:rsid w:val="00C9518A"/>
    <w:rsid w:val="00C95439"/>
    <w:rsid w:val="00C95ACC"/>
    <w:rsid w:val="00C95E23"/>
    <w:rsid w:val="00C96802"/>
    <w:rsid w:val="00C96CEA"/>
    <w:rsid w:val="00C97119"/>
    <w:rsid w:val="00C97762"/>
    <w:rsid w:val="00CA076B"/>
    <w:rsid w:val="00CA15ED"/>
    <w:rsid w:val="00CA1B4E"/>
    <w:rsid w:val="00CA1DEC"/>
    <w:rsid w:val="00CA229F"/>
    <w:rsid w:val="00CA2984"/>
    <w:rsid w:val="00CA2D98"/>
    <w:rsid w:val="00CA3679"/>
    <w:rsid w:val="00CA381F"/>
    <w:rsid w:val="00CA3A39"/>
    <w:rsid w:val="00CA3E92"/>
    <w:rsid w:val="00CA493D"/>
    <w:rsid w:val="00CA4CDC"/>
    <w:rsid w:val="00CA58C4"/>
    <w:rsid w:val="00CA5C6F"/>
    <w:rsid w:val="00CA6570"/>
    <w:rsid w:val="00CA6920"/>
    <w:rsid w:val="00CA71C4"/>
    <w:rsid w:val="00CA7523"/>
    <w:rsid w:val="00CA7BD4"/>
    <w:rsid w:val="00CB0270"/>
    <w:rsid w:val="00CB0924"/>
    <w:rsid w:val="00CB0E3A"/>
    <w:rsid w:val="00CB1462"/>
    <w:rsid w:val="00CB1685"/>
    <w:rsid w:val="00CB18C4"/>
    <w:rsid w:val="00CB1F59"/>
    <w:rsid w:val="00CB2098"/>
    <w:rsid w:val="00CB2560"/>
    <w:rsid w:val="00CB2F9A"/>
    <w:rsid w:val="00CB3B3F"/>
    <w:rsid w:val="00CB4B70"/>
    <w:rsid w:val="00CB4EBB"/>
    <w:rsid w:val="00CB5494"/>
    <w:rsid w:val="00CB5C05"/>
    <w:rsid w:val="00CB6D56"/>
    <w:rsid w:val="00CB7295"/>
    <w:rsid w:val="00CB7C33"/>
    <w:rsid w:val="00CB7DCA"/>
    <w:rsid w:val="00CC0A90"/>
    <w:rsid w:val="00CC13D2"/>
    <w:rsid w:val="00CC1B59"/>
    <w:rsid w:val="00CC1BD9"/>
    <w:rsid w:val="00CC2401"/>
    <w:rsid w:val="00CC259A"/>
    <w:rsid w:val="00CC2895"/>
    <w:rsid w:val="00CC2EFF"/>
    <w:rsid w:val="00CC3001"/>
    <w:rsid w:val="00CC37FC"/>
    <w:rsid w:val="00CC3F4B"/>
    <w:rsid w:val="00CC4376"/>
    <w:rsid w:val="00CC4D38"/>
    <w:rsid w:val="00CC5364"/>
    <w:rsid w:val="00CC55D3"/>
    <w:rsid w:val="00CC6361"/>
    <w:rsid w:val="00CC6873"/>
    <w:rsid w:val="00CC6A95"/>
    <w:rsid w:val="00CD0836"/>
    <w:rsid w:val="00CD0A1C"/>
    <w:rsid w:val="00CD1318"/>
    <w:rsid w:val="00CD1B16"/>
    <w:rsid w:val="00CD2032"/>
    <w:rsid w:val="00CD2182"/>
    <w:rsid w:val="00CD2480"/>
    <w:rsid w:val="00CD2698"/>
    <w:rsid w:val="00CD2771"/>
    <w:rsid w:val="00CD2C8F"/>
    <w:rsid w:val="00CD2D30"/>
    <w:rsid w:val="00CD459B"/>
    <w:rsid w:val="00CD462B"/>
    <w:rsid w:val="00CD4993"/>
    <w:rsid w:val="00CD5136"/>
    <w:rsid w:val="00CD6611"/>
    <w:rsid w:val="00CD6666"/>
    <w:rsid w:val="00CD6D93"/>
    <w:rsid w:val="00CD6EFC"/>
    <w:rsid w:val="00CD727B"/>
    <w:rsid w:val="00CE087C"/>
    <w:rsid w:val="00CE0955"/>
    <w:rsid w:val="00CE0F99"/>
    <w:rsid w:val="00CE0FC2"/>
    <w:rsid w:val="00CE101E"/>
    <w:rsid w:val="00CE1056"/>
    <w:rsid w:val="00CE1251"/>
    <w:rsid w:val="00CE1533"/>
    <w:rsid w:val="00CE1F19"/>
    <w:rsid w:val="00CE321B"/>
    <w:rsid w:val="00CE321D"/>
    <w:rsid w:val="00CE361F"/>
    <w:rsid w:val="00CE44F1"/>
    <w:rsid w:val="00CE4771"/>
    <w:rsid w:val="00CE5853"/>
    <w:rsid w:val="00CE59FF"/>
    <w:rsid w:val="00CE5E48"/>
    <w:rsid w:val="00CE6D89"/>
    <w:rsid w:val="00CF0030"/>
    <w:rsid w:val="00CF065B"/>
    <w:rsid w:val="00CF08DE"/>
    <w:rsid w:val="00CF0EF0"/>
    <w:rsid w:val="00CF1763"/>
    <w:rsid w:val="00CF3B50"/>
    <w:rsid w:val="00CF3D1A"/>
    <w:rsid w:val="00CF43F4"/>
    <w:rsid w:val="00CF4412"/>
    <w:rsid w:val="00CF4A3E"/>
    <w:rsid w:val="00CF4E2B"/>
    <w:rsid w:val="00CF5166"/>
    <w:rsid w:val="00CF54DC"/>
    <w:rsid w:val="00CF59CF"/>
    <w:rsid w:val="00CF5E56"/>
    <w:rsid w:val="00CF65EC"/>
    <w:rsid w:val="00CF690C"/>
    <w:rsid w:val="00CF770E"/>
    <w:rsid w:val="00CF7F40"/>
    <w:rsid w:val="00CF7F99"/>
    <w:rsid w:val="00D0005A"/>
    <w:rsid w:val="00D01029"/>
    <w:rsid w:val="00D01456"/>
    <w:rsid w:val="00D022ED"/>
    <w:rsid w:val="00D023B1"/>
    <w:rsid w:val="00D025CC"/>
    <w:rsid w:val="00D02659"/>
    <w:rsid w:val="00D02C39"/>
    <w:rsid w:val="00D02C42"/>
    <w:rsid w:val="00D02E00"/>
    <w:rsid w:val="00D0345F"/>
    <w:rsid w:val="00D03575"/>
    <w:rsid w:val="00D03688"/>
    <w:rsid w:val="00D03D6C"/>
    <w:rsid w:val="00D04B64"/>
    <w:rsid w:val="00D05257"/>
    <w:rsid w:val="00D053E3"/>
    <w:rsid w:val="00D0577E"/>
    <w:rsid w:val="00D05A9D"/>
    <w:rsid w:val="00D05AC6"/>
    <w:rsid w:val="00D06355"/>
    <w:rsid w:val="00D06CBC"/>
    <w:rsid w:val="00D0727B"/>
    <w:rsid w:val="00D073E6"/>
    <w:rsid w:val="00D1054C"/>
    <w:rsid w:val="00D1060D"/>
    <w:rsid w:val="00D1087A"/>
    <w:rsid w:val="00D11333"/>
    <w:rsid w:val="00D1155C"/>
    <w:rsid w:val="00D12A92"/>
    <w:rsid w:val="00D12AA5"/>
    <w:rsid w:val="00D12E84"/>
    <w:rsid w:val="00D132C3"/>
    <w:rsid w:val="00D132D2"/>
    <w:rsid w:val="00D1339B"/>
    <w:rsid w:val="00D146F3"/>
    <w:rsid w:val="00D14762"/>
    <w:rsid w:val="00D15061"/>
    <w:rsid w:val="00D15359"/>
    <w:rsid w:val="00D15A4E"/>
    <w:rsid w:val="00D15E74"/>
    <w:rsid w:val="00D1613E"/>
    <w:rsid w:val="00D177BB"/>
    <w:rsid w:val="00D17A18"/>
    <w:rsid w:val="00D20A01"/>
    <w:rsid w:val="00D20C81"/>
    <w:rsid w:val="00D216DD"/>
    <w:rsid w:val="00D2211B"/>
    <w:rsid w:val="00D22F3F"/>
    <w:rsid w:val="00D23013"/>
    <w:rsid w:val="00D244E6"/>
    <w:rsid w:val="00D248E4"/>
    <w:rsid w:val="00D2497E"/>
    <w:rsid w:val="00D24C61"/>
    <w:rsid w:val="00D24CF6"/>
    <w:rsid w:val="00D255B8"/>
    <w:rsid w:val="00D25846"/>
    <w:rsid w:val="00D25F47"/>
    <w:rsid w:val="00D260BD"/>
    <w:rsid w:val="00D26897"/>
    <w:rsid w:val="00D26FF0"/>
    <w:rsid w:val="00D27F5B"/>
    <w:rsid w:val="00D30264"/>
    <w:rsid w:val="00D30536"/>
    <w:rsid w:val="00D31C57"/>
    <w:rsid w:val="00D31E5E"/>
    <w:rsid w:val="00D31E74"/>
    <w:rsid w:val="00D31FD4"/>
    <w:rsid w:val="00D325E5"/>
    <w:rsid w:val="00D33789"/>
    <w:rsid w:val="00D337F6"/>
    <w:rsid w:val="00D33916"/>
    <w:rsid w:val="00D33A23"/>
    <w:rsid w:val="00D33A7B"/>
    <w:rsid w:val="00D34056"/>
    <w:rsid w:val="00D3440E"/>
    <w:rsid w:val="00D349C3"/>
    <w:rsid w:val="00D356D8"/>
    <w:rsid w:val="00D35CEA"/>
    <w:rsid w:val="00D35D02"/>
    <w:rsid w:val="00D36873"/>
    <w:rsid w:val="00D36ADA"/>
    <w:rsid w:val="00D374CA"/>
    <w:rsid w:val="00D402AD"/>
    <w:rsid w:val="00D407F3"/>
    <w:rsid w:val="00D408B8"/>
    <w:rsid w:val="00D41609"/>
    <w:rsid w:val="00D41781"/>
    <w:rsid w:val="00D417B4"/>
    <w:rsid w:val="00D41DA1"/>
    <w:rsid w:val="00D425E0"/>
    <w:rsid w:val="00D430DE"/>
    <w:rsid w:val="00D43547"/>
    <w:rsid w:val="00D44163"/>
    <w:rsid w:val="00D443C4"/>
    <w:rsid w:val="00D44649"/>
    <w:rsid w:val="00D44661"/>
    <w:rsid w:val="00D4471F"/>
    <w:rsid w:val="00D4622E"/>
    <w:rsid w:val="00D46DB4"/>
    <w:rsid w:val="00D46E21"/>
    <w:rsid w:val="00D477DE"/>
    <w:rsid w:val="00D506DF"/>
    <w:rsid w:val="00D508DB"/>
    <w:rsid w:val="00D50DFA"/>
    <w:rsid w:val="00D5160F"/>
    <w:rsid w:val="00D51A2D"/>
    <w:rsid w:val="00D51D1C"/>
    <w:rsid w:val="00D51E1B"/>
    <w:rsid w:val="00D5224A"/>
    <w:rsid w:val="00D52479"/>
    <w:rsid w:val="00D524E6"/>
    <w:rsid w:val="00D5263B"/>
    <w:rsid w:val="00D529F2"/>
    <w:rsid w:val="00D52C3E"/>
    <w:rsid w:val="00D52CC7"/>
    <w:rsid w:val="00D52D40"/>
    <w:rsid w:val="00D53CF4"/>
    <w:rsid w:val="00D546C6"/>
    <w:rsid w:val="00D54BDE"/>
    <w:rsid w:val="00D552CE"/>
    <w:rsid w:val="00D558C8"/>
    <w:rsid w:val="00D55FB0"/>
    <w:rsid w:val="00D569F5"/>
    <w:rsid w:val="00D56A75"/>
    <w:rsid w:val="00D56BA7"/>
    <w:rsid w:val="00D571DB"/>
    <w:rsid w:val="00D57B19"/>
    <w:rsid w:val="00D57D47"/>
    <w:rsid w:val="00D60B19"/>
    <w:rsid w:val="00D60F64"/>
    <w:rsid w:val="00D6133D"/>
    <w:rsid w:val="00D61501"/>
    <w:rsid w:val="00D61C53"/>
    <w:rsid w:val="00D629CE"/>
    <w:rsid w:val="00D630CF"/>
    <w:rsid w:val="00D63642"/>
    <w:rsid w:val="00D63D52"/>
    <w:rsid w:val="00D63DFD"/>
    <w:rsid w:val="00D652D8"/>
    <w:rsid w:val="00D65518"/>
    <w:rsid w:val="00D664B1"/>
    <w:rsid w:val="00D6720F"/>
    <w:rsid w:val="00D676F4"/>
    <w:rsid w:val="00D709B3"/>
    <w:rsid w:val="00D71300"/>
    <w:rsid w:val="00D715BE"/>
    <w:rsid w:val="00D71B4D"/>
    <w:rsid w:val="00D72508"/>
    <w:rsid w:val="00D72511"/>
    <w:rsid w:val="00D72AC4"/>
    <w:rsid w:val="00D72FD8"/>
    <w:rsid w:val="00D737C3"/>
    <w:rsid w:val="00D73896"/>
    <w:rsid w:val="00D74424"/>
    <w:rsid w:val="00D75440"/>
    <w:rsid w:val="00D75BA1"/>
    <w:rsid w:val="00D76DEF"/>
    <w:rsid w:val="00D77186"/>
    <w:rsid w:val="00D77211"/>
    <w:rsid w:val="00D77D94"/>
    <w:rsid w:val="00D80157"/>
    <w:rsid w:val="00D81144"/>
    <w:rsid w:val="00D81510"/>
    <w:rsid w:val="00D815EE"/>
    <w:rsid w:val="00D8202A"/>
    <w:rsid w:val="00D8217C"/>
    <w:rsid w:val="00D821FD"/>
    <w:rsid w:val="00D82217"/>
    <w:rsid w:val="00D82AF6"/>
    <w:rsid w:val="00D83260"/>
    <w:rsid w:val="00D83FFC"/>
    <w:rsid w:val="00D84054"/>
    <w:rsid w:val="00D84206"/>
    <w:rsid w:val="00D84DA6"/>
    <w:rsid w:val="00D86A64"/>
    <w:rsid w:val="00D86B4C"/>
    <w:rsid w:val="00D874D3"/>
    <w:rsid w:val="00D875B3"/>
    <w:rsid w:val="00D876A8"/>
    <w:rsid w:val="00D9004C"/>
    <w:rsid w:val="00D90372"/>
    <w:rsid w:val="00D9153A"/>
    <w:rsid w:val="00D92992"/>
    <w:rsid w:val="00D92A2D"/>
    <w:rsid w:val="00D93641"/>
    <w:rsid w:val="00D939F5"/>
    <w:rsid w:val="00D93BF5"/>
    <w:rsid w:val="00D94C7A"/>
    <w:rsid w:val="00D95328"/>
    <w:rsid w:val="00D95792"/>
    <w:rsid w:val="00D95FE6"/>
    <w:rsid w:val="00D97295"/>
    <w:rsid w:val="00D9773E"/>
    <w:rsid w:val="00D97F77"/>
    <w:rsid w:val="00DA0390"/>
    <w:rsid w:val="00DA0457"/>
    <w:rsid w:val="00DA0635"/>
    <w:rsid w:val="00DA0797"/>
    <w:rsid w:val="00DA0E24"/>
    <w:rsid w:val="00DA12BA"/>
    <w:rsid w:val="00DA1884"/>
    <w:rsid w:val="00DA448E"/>
    <w:rsid w:val="00DA4BA6"/>
    <w:rsid w:val="00DA4F7A"/>
    <w:rsid w:val="00DA5C32"/>
    <w:rsid w:val="00DA6429"/>
    <w:rsid w:val="00DA78EC"/>
    <w:rsid w:val="00DA7A12"/>
    <w:rsid w:val="00DA7B44"/>
    <w:rsid w:val="00DB0BA9"/>
    <w:rsid w:val="00DB22D0"/>
    <w:rsid w:val="00DB2954"/>
    <w:rsid w:val="00DB3B07"/>
    <w:rsid w:val="00DB5249"/>
    <w:rsid w:val="00DB6C8D"/>
    <w:rsid w:val="00DB6F9B"/>
    <w:rsid w:val="00DB7960"/>
    <w:rsid w:val="00DB79DC"/>
    <w:rsid w:val="00DB7C4B"/>
    <w:rsid w:val="00DC0823"/>
    <w:rsid w:val="00DC1322"/>
    <w:rsid w:val="00DC16F4"/>
    <w:rsid w:val="00DC2250"/>
    <w:rsid w:val="00DC2BFE"/>
    <w:rsid w:val="00DC2E2A"/>
    <w:rsid w:val="00DC2FFD"/>
    <w:rsid w:val="00DC4919"/>
    <w:rsid w:val="00DC49F4"/>
    <w:rsid w:val="00DC4AC0"/>
    <w:rsid w:val="00DC5329"/>
    <w:rsid w:val="00DC7993"/>
    <w:rsid w:val="00DD026D"/>
    <w:rsid w:val="00DD0914"/>
    <w:rsid w:val="00DD11D4"/>
    <w:rsid w:val="00DD150F"/>
    <w:rsid w:val="00DD1B46"/>
    <w:rsid w:val="00DD2DEE"/>
    <w:rsid w:val="00DD32F3"/>
    <w:rsid w:val="00DD5A64"/>
    <w:rsid w:val="00DD5EB5"/>
    <w:rsid w:val="00DD60E4"/>
    <w:rsid w:val="00DD6782"/>
    <w:rsid w:val="00DD69A1"/>
    <w:rsid w:val="00DD6D1F"/>
    <w:rsid w:val="00DD73DB"/>
    <w:rsid w:val="00DD7FC7"/>
    <w:rsid w:val="00DE05AF"/>
    <w:rsid w:val="00DE0F5E"/>
    <w:rsid w:val="00DE2425"/>
    <w:rsid w:val="00DE2F71"/>
    <w:rsid w:val="00DE4FE7"/>
    <w:rsid w:val="00DE5262"/>
    <w:rsid w:val="00DE5604"/>
    <w:rsid w:val="00DE5A2C"/>
    <w:rsid w:val="00DE5EAB"/>
    <w:rsid w:val="00DE617A"/>
    <w:rsid w:val="00DE66D1"/>
    <w:rsid w:val="00DE6FDD"/>
    <w:rsid w:val="00DE6FDE"/>
    <w:rsid w:val="00DE7FDA"/>
    <w:rsid w:val="00DF0982"/>
    <w:rsid w:val="00DF1167"/>
    <w:rsid w:val="00DF1348"/>
    <w:rsid w:val="00DF19C8"/>
    <w:rsid w:val="00DF1C82"/>
    <w:rsid w:val="00DF1CAA"/>
    <w:rsid w:val="00DF248A"/>
    <w:rsid w:val="00DF2F6E"/>
    <w:rsid w:val="00DF3944"/>
    <w:rsid w:val="00DF3D67"/>
    <w:rsid w:val="00DF3E04"/>
    <w:rsid w:val="00DF4094"/>
    <w:rsid w:val="00DF412D"/>
    <w:rsid w:val="00DF4FA3"/>
    <w:rsid w:val="00DF5A95"/>
    <w:rsid w:val="00DF622C"/>
    <w:rsid w:val="00DF6BFD"/>
    <w:rsid w:val="00DF7185"/>
    <w:rsid w:val="00DF7C30"/>
    <w:rsid w:val="00E0037A"/>
    <w:rsid w:val="00E004A7"/>
    <w:rsid w:val="00E011F9"/>
    <w:rsid w:val="00E01413"/>
    <w:rsid w:val="00E01700"/>
    <w:rsid w:val="00E017E0"/>
    <w:rsid w:val="00E0273B"/>
    <w:rsid w:val="00E02BC7"/>
    <w:rsid w:val="00E02D0B"/>
    <w:rsid w:val="00E033B0"/>
    <w:rsid w:val="00E03B77"/>
    <w:rsid w:val="00E041CB"/>
    <w:rsid w:val="00E055CB"/>
    <w:rsid w:val="00E05CE9"/>
    <w:rsid w:val="00E06A1E"/>
    <w:rsid w:val="00E070E7"/>
    <w:rsid w:val="00E07224"/>
    <w:rsid w:val="00E075AC"/>
    <w:rsid w:val="00E07A29"/>
    <w:rsid w:val="00E100D5"/>
    <w:rsid w:val="00E105C6"/>
    <w:rsid w:val="00E10F97"/>
    <w:rsid w:val="00E13253"/>
    <w:rsid w:val="00E13425"/>
    <w:rsid w:val="00E14339"/>
    <w:rsid w:val="00E146C6"/>
    <w:rsid w:val="00E1472B"/>
    <w:rsid w:val="00E15BA8"/>
    <w:rsid w:val="00E16366"/>
    <w:rsid w:val="00E163C9"/>
    <w:rsid w:val="00E1640A"/>
    <w:rsid w:val="00E16660"/>
    <w:rsid w:val="00E16ABF"/>
    <w:rsid w:val="00E16C23"/>
    <w:rsid w:val="00E20930"/>
    <w:rsid w:val="00E20A32"/>
    <w:rsid w:val="00E20C6A"/>
    <w:rsid w:val="00E20E74"/>
    <w:rsid w:val="00E21258"/>
    <w:rsid w:val="00E214F0"/>
    <w:rsid w:val="00E221FA"/>
    <w:rsid w:val="00E227E4"/>
    <w:rsid w:val="00E23072"/>
    <w:rsid w:val="00E230DB"/>
    <w:rsid w:val="00E243FA"/>
    <w:rsid w:val="00E24D40"/>
    <w:rsid w:val="00E25260"/>
    <w:rsid w:val="00E25484"/>
    <w:rsid w:val="00E2549B"/>
    <w:rsid w:val="00E25C3C"/>
    <w:rsid w:val="00E25EFD"/>
    <w:rsid w:val="00E26148"/>
    <w:rsid w:val="00E26EB8"/>
    <w:rsid w:val="00E279FA"/>
    <w:rsid w:val="00E27C5C"/>
    <w:rsid w:val="00E27CBB"/>
    <w:rsid w:val="00E27F5F"/>
    <w:rsid w:val="00E304C8"/>
    <w:rsid w:val="00E3059C"/>
    <w:rsid w:val="00E30E41"/>
    <w:rsid w:val="00E30E63"/>
    <w:rsid w:val="00E317FE"/>
    <w:rsid w:val="00E31D61"/>
    <w:rsid w:val="00E32629"/>
    <w:rsid w:val="00E33435"/>
    <w:rsid w:val="00E33895"/>
    <w:rsid w:val="00E3423D"/>
    <w:rsid w:val="00E34613"/>
    <w:rsid w:val="00E347D1"/>
    <w:rsid w:val="00E34EF7"/>
    <w:rsid w:val="00E3510B"/>
    <w:rsid w:val="00E35A3F"/>
    <w:rsid w:val="00E35ABC"/>
    <w:rsid w:val="00E364CD"/>
    <w:rsid w:val="00E365D0"/>
    <w:rsid w:val="00E37632"/>
    <w:rsid w:val="00E37CCC"/>
    <w:rsid w:val="00E4009D"/>
    <w:rsid w:val="00E40880"/>
    <w:rsid w:val="00E428A9"/>
    <w:rsid w:val="00E42AE0"/>
    <w:rsid w:val="00E4316D"/>
    <w:rsid w:val="00E449B2"/>
    <w:rsid w:val="00E45046"/>
    <w:rsid w:val="00E4611A"/>
    <w:rsid w:val="00E47350"/>
    <w:rsid w:val="00E47963"/>
    <w:rsid w:val="00E47D0A"/>
    <w:rsid w:val="00E47DD2"/>
    <w:rsid w:val="00E47F2E"/>
    <w:rsid w:val="00E514CF"/>
    <w:rsid w:val="00E51700"/>
    <w:rsid w:val="00E51F16"/>
    <w:rsid w:val="00E52527"/>
    <w:rsid w:val="00E52BEF"/>
    <w:rsid w:val="00E53BAE"/>
    <w:rsid w:val="00E5410E"/>
    <w:rsid w:val="00E54C0E"/>
    <w:rsid w:val="00E54CAA"/>
    <w:rsid w:val="00E54D5D"/>
    <w:rsid w:val="00E55564"/>
    <w:rsid w:val="00E55A79"/>
    <w:rsid w:val="00E55E07"/>
    <w:rsid w:val="00E55E90"/>
    <w:rsid w:val="00E562B6"/>
    <w:rsid w:val="00E567C1"/>
    <w:rsid w:val="00E5719F"/>
    <w:rsid w:val="00E57832"/>
    <w:rsid w:val="00E578DD"/>
    <w:rsid w:val="00E60BD1"/>
    <w:rsid w:val="00E610CE"/>
    <w:rsid w:val="00E61265"/>
    <w:rsid w:val="00E61967"/>
    <w:rsid w:val="00E61D0D"/>
    <w:rsid w:val="00E62CB7"/>
    <w:rsid w:val="00E62EC8"/>
    <w:rsid w:val="00E634D0"/>
    <w:rsid w:val="00E63FD6"/>
    <w:rsid w:val="00E64822"/>
    <w:rsid w:val="00E64A03"/>
    <w:rsid w:val="00E64A59"/>
    <w:rsid w:val="00E64D72"/>
    <w:rsid w:val="00E65B53"/>
    <w:rsid w:val="00E65B65"/>
    <w:rsid w:val="00E65F34"/>
    <w:rsid w:val="00E66532"/>
    <w:rsid w:val="00E667D6"/>
    <w:rsid w:val="00E672AC"/>
    <w:rsid w:val="00E6762B"/>
    <w:rsid w:val="00E678B6"/>
    <w:rsid w:val="00E6799E"/>
    <w:rsid w:val="00E67DD6"/>
    <w:rsid w:val="00E70719"/>
    <w:rsid w:val="00E7171F"/>
    <w:rsid w:val="00E71A82"/>
    <w:rsid w:val="00E73D19"/>
    <w:rsid w:val="00E74541"/>
    <w:rsid w:val="00E74E45"/>
    <w:rsid w:val="00E753E2"/>
    <w:rsid w:val="00E75E4F"/>
    <w:rsid w:val="00E77CB0"/>
    <w:rsid w:val="00E77DD7"/>
    <w:rsid w:val="00E80CA0"/>
    <w:rsid w:val="00E80D62"/>
    <w:rsid w:val="00E815D8"/>
    <w:rsid w:val="00E81746"/>
    <w:rsid w:val="00E81C55"/>
    <w:rsid w:val="00E81FC9"/>
    <w:rsid w:val="00E836DD"/>
    <w:rsid w:val="00E839AF"/>
    <w:rsid w:val="00E8448C"/>
    <w:rsid w:val="00E8490E"/>
    <w:rsid w:val="00E84F30"/>
    <w:rsid w:val="00E84FCE"/>
    <w:rsid w:val="00E855E1"/>
    <w:rsid w:val="00E85C54"/>
    <w:rsid w:val="00E862D3"/>
    <w:rsid w:val="00E86DF6"/>
    <w:rsid w:val="00E875E0"/>
    <w:rsid w:val="00E901AC"/>
    <w:rsid w:val="00E90488"/>
    <w:rsid w:val="00E90EDC"/>
    <w:rsid w:val="00E91552"/>
    <w:rsid w:val="00E91863"/>
    <w:rsid w:val="00E92004"/>
    <w:rsid w:val="00E928AC"/>
    <w:rsid w:val="00E929A4"/>
    <w:rsid w:val="00E93090"/>
    <w:rsid w:val="00E94C67"/>
    <w:rsid w:val="00E953D1"/>
    <w:rsid w:val="00E95A24"/>
    <w:rsid w:val="00E97110"/>
    <w:rsid w:val="00E97725"/>
    <w:rsid w:val="00E977BC"/>
    <w:rsid w:val="00E97995"/>
    <w:rsid w:val="00EA01F5"/>
    <w:rsid w:val="00EA0299"/>
    <w:rsid w:val="00EA0E17"/>
    <w:rsid w:val="00EA1173"/>
    <w:rsid w:val="00EA130E"/>
    <w:rsid w:val="00EA1391"/>
    <w:rsid w:val="00EA2633"/>
    <w:rsid w:val="00EA2DD7"/>
    <w:rsid w:val="00EA3359"/>
    <w:rsid w:val="00EA3847"/>
    <w:rsid w:val="00EA3916"/>
    <w:rsid w:val="00EA3966"/>
    <w:rsid w:val="00EA3C14"/>
    <w:rsid w:val="00EA3E50"/>
    <w:rsid w:val="00EA4041"/>
    <w:rsid w:val="00EA438A"/>
    <w:rsid w:val="00EA6B4A"/>
    <w:rsid w:val="00EA6FED"/>
    <w:rsid w:val="00EA74C5"/>
    <w:rsid w:val="00EA7CC4"/>
    <w:rsid w:val="00EB0861"/>
    <w:rsid w:val="00EB0E4B"/>
    <w:rsid w:val="00EB0F6A"/>
    <w:rsid w:val="00EB2053"/>
    <w:rsid w:val="00EB319F"/>
    <w:rsid w:val="00EB32C1"/>
    <w:rsid w:val="00EB34DA"/>
    <w:rsid w:val="00EB3A37"/>
    <w:rsid w:val="00EB4B12"/>
    <w:rsid w:val="00EB4D18"/>
    <w:rsid w:val="00EB5876"/>
    <w:rsid w:val="00EB5DF7"/>
    <w:rsid w:val="00EB628E"/>
    <w:rsid w:val="00EB6E25"/>
    <w:rsid w:val="00EB71B1"/>
    <w:rsid w:val="00EB73E8"/>
    <w:rsid w:val="00EB7D0C"/>
    <w:rsid w:val="00EC04D2"/>
    <w:rsid w:val="00EC141A"/>
    <w:rsid w:val="00EC2295"/>
    <w:rsid w:val="00EC23DF"/>
    <w:rsid w:val="00EC270E"/>
    <w:rsid w:val="00EC4943"/>
    <w:rsid w:val="00EC53C8"/>
    <w:rsid w:val="00EC6121"/>
    <w:rsid w:val="00EC6588"/>
    <w:rsid w:val="00EC65AA"/>
    <w:rsid w:val="00EC663D"/>
    <w:rsid w:val="00EC67B9"/>
    <w:rsid w:val="00EC6BED"/>
    <w:rsid w:val="00EC6E71"/>
    <w:rsid w:val="00ED006E"/>
    <w:rsid w:val="00ED03A5"/>
    <w:rsid w:val="00ED0625"/>
    <w:rsid w:val="00ED075E"/>
    <w:rsid w:val="00ED099B"/>
    <w:rsid w:val="00ED1761"/>
    <w:rsid w:val="00ED2874"/>
    <w:rsid w:val="00ED2AC6"/>
    <w:rsid w:val="00ED2B6F"/>
    <w:rsid w:val="00ED2BF1"/>
    <w:rsid w:val="00ED2DF5"/>
    <w:rsid w:val="00ED4683"/>
    <w:rsid w:val="00ED4782"/>
    <w:rsid w:val="00ED54E0"/>
    <w:rsid w:val="00ED5B67"/>
    <w:rsid w:val="00ED5BAB"/>
    <w:rsid w:val="00ED631C"/>
    <w:rsid w:val="00ED6459"/>
    <w:rsid w:val="00ED6AB1"/>
    <w:rsid w:val="00ED73DE"/>
    <w:rsid w:val="00ED742E"/>
    <w:rsid w:val="00ED7C57"/>
    <w:rsid w:val="00EE0266"/>
    <w:rsid w:val="00EE0320"/>
    <w:rsid w:val="00EE1066"/>
    <w:rsid w:val="00EE1551"/>
    <w:rsid w:val="00EE20F2"/>
    <w:rsid w:val="00EE2296"/>
    <w:rsid w:val="00EE3075"/>
    <w:rsid w:val="00EE3726"/>
    <w:rsid w:val="00EE6A80"/>
    <w:rsid w:val="00EE7157"/>
    <w:rsid w:val="00EE73C7"/>
    <w:rsid w:val="00EE743F"/>
    <w:rsid w:val="00EE78F7"/>
    <w:rsid w:val="00EF099E"/>
    <w:rsid w:val="00EF0D91"/>
    <w:rsid w:val="00EF0E0E"/>
    <w:rsid w:val="00EF1E86"/>
    <w:rsid w:val="00EF32EA"/>
    <w:rsid w:val="00EF364A"/>
    <w:rsid w:val="00EF413E"/>
    <w:rsid w:val="00EF4B1F"/>
    <w:rsid w:val="00EF4C69"/>
    <w:rsid w:val="00EF50FF"/>
    <w:rsid w:val="00EF520D"/>
    <w:rsid w:val="00EF54D7"/>
    <w:rsid w:val="00EF5F82"/>
    <w:rsid w:val="00EF62CA"/>
    <w:rsid w:val="00EF6AD9"/>
    <w:rsid w:val="00EF6E6E"/>
    <w:rsid w:val="00EF717E"/>
    <w:rsid w:val="00EF7ED6"/>
    <w:rsid w:val="00F00419"/>
    <w:rsid w:val="00F01522"/>
    <w:rsid w:val="00F02628"/>
    <w:rsid w:val="00F02653"/>
    <w:rsid w:val="00F03368"/>
    <w:rsid w:val="00F0463E"/>
    <w:rsid w:val="00F0494C"/>
    <w:rsid w:val="00F05513"/>
    <w:rsid w:val="00F06205"/>
    <w:rsid w:val="00F06590"/>
    <w:rsid w:val="00F065BF"/>
    <w:rsid w:val="00F0681F"/>
    <w:rsid w:val="00F06A33"/>
    <w:rsid w:val="00F074B6"/>
    <w:rsid w:val="00F0753F"/>
    <w:rsid w:val="00F10941"/>
    <w:rsid w:val="00F11885"/>
    <w:rsid w:val="00F1199D"/>
    <w:rsid w:val="00F11B23"/>
    <w:rsid w:val="00F12435"/>
    <w:rsid w:val="00F12880"/>
    <w:rsid w:val="00F1298A"/>
    <w:rsid w:val="00F139B1"/>
    <w:rsid w:val="00F14284"/>
    <w:rsid w:val="00F144B8"/>
    <w:rsid w:val="00F14A64"/>
    <w:rsid w:val="00F15970"/>
    <w:rsid w:val="00F16141"/>
    <w:rsid w:val="00F16D3F"/>
    <w:rsid w:val="00F1741E"/>
    <w:rsid w:val="00F20170"/>
    <w:rsid w:val="00F203E2"/>
    <w:rsid w:val="00F210E5"/>
    <w:rsid w:val="00F2147C"/>
    <w:rsid w:val="00F21956"/>
    <w:rsid w:val="00F223C3"/>
    <w:rsid w:val="00F22497"/>
    <w:rsid w:val="00F22669"/>
    <w:rsid w:val="00F23316"/>
    <w:rsid w:val="00F23763"/>
    <w:rsid w:val="00F24C76"/>
    <w:rsid w:val="00F24F41"/>
    <w:rsid w:val="00F253FB"/>
    <w:rsid w:val="00F259F8"/>
    <w:rsid w:val="00F2641D"/>
    <w:rsid w:val="00F26D76"/>
    <w:rsid w:val="00F26DD7"/>
    <w:rsid w:val="00F2743F"/>
    <w:rsid w:val="00F274FA"/>
    <w:rsid w:val="00F2776B"/>
    <w:rsid w:val="00F27B74"/>
    <w:rsid w:val="00F27C1E"/>
    <w:rsid w:val="00F30FF0"/>
    <w:rsid w:val="00F31E15"/>
    <w:rsid w:val="00F33261"/>
    <w:rsid w:val="00F33576"/>
    <w:rsid w:val="00F33BC6"/>
    <w:rsid w:val="00F3410F"/>
    <w:rsid w:val="00F350A9"/>
    <w:rsid w:val="00F36531"/>
    <w:rsid w:val="00F372C9"/>
    <w:rsid w:val="00F37B18"/>
    <w:rsid w:val="00F4005E"/>
    <w:rsid w:val="00F4042F"/>
    <w:rsid w:val="00F40B7C"/>
    <w:rsid w:val="00F410FB"/>
    <w:rsid w:val="00F4187B"/>
    <w:rsid w:val="00F41942"/>
    <w:rsid w:val="00F42447"/>
    <w:rsid w:val="00F42DFA"/>
    <w:rsid w:val="00F431D1"/>
    <w:rsid w:val="00F43830"/>
    <w:rsid w:val="00F44082"/>
    <w:rsid w:val="00F44248"/>
    <w:rsid w:val="00F444F9"/>
    <w:rsid w:val="00F44895"/>
    <w:rsid w:val="00F44CB8"/>
    <w:rsid w:val="00F44EE9"/>
    <w:rsid w:val="00F44FE7"/>
    <w:rsid w:val="00F45025"/>
    <w:rsid w:val="00F45CE7"/>
    <w:rsid w:val="00F45CF2"/>
    <w:rsid w:val="00F45D1A"/>
    <w:rsid w:val="00F46F35"/>
    <w:rsid w:val="00F5008F"/>
    <w:rsid w:val="00F500E6"/>
    <w:rsid w:val="00F50260"/>
    <w:rsid w:val="00F5146F"/>
    <w:rsid w:val="00F523DA"/>
    <w:rsid w:val="00F529CE"/>
    <w:rsid w:val="00F52ADD"/>
    <w:rsid w:val="00F52DA7"/>
    <w:rsid w:val="00F52E00"/>
    <w:rsid w:val="00F53E1A"/>
    <w:rsid w:val="00F55208"/>
    <w:rsid w:val="00F55369"/>
    <w:rsid w:val="00F55609"/>
    <w:rsid w:val="00F55A7E"/>
    <w:rsid w:val="00F56387"/>
    <w:rsid w:val="00F56D15"/>
    <w:rsid w:val="00F572B6"/>
    <w:rsid w:val="00F57A16"/>
    <w:rsid w:val="00F6022E"/>
    <w:rsid w:val="00F60E80"/>
    <w:rsid w:val="00F6124A"/>
    <w:rsid w:val="00F61272"/>
    <w:rsid w:val="00F61ACD"/>
    <w:rsid w:val="00F61B48"/>
    <w:rsid w:val="00F62C75"/>
    <w:rsid w:val="00F62CEE"/>
    <w:rsid w:val="00F6401C"/>
    <w:rsid w:val="00F641C5"/>
    <w:rsid w:val="00F643F0"/>
    <w:rsid w:val="00F647F6"/>
    <w:rsid w:val="00F64E62"/>
    <w:rsid w:val="00F65C45"/>
    <w:rsid w:val="00F66B87"/>
    <w:rsid w:val="00F67B05"/>
    <w:rsid w:val="00F7064C"/>
    <w:rsid w:val="00F717BD"/>
    <w:rsid w:val="00F71D8B"/>
    <w:rsid w:val="00F75055"/>
    <w:rsid w:val="00F75405"/>
    <w:rsid w:val="00F7548A"/>
    <w:rsid w:val="00F76B79"/>
    <w:rsid w:val="00F774F0"/>
    <w:rsid w:val="00F776A4"/>
    <w:rsid w:val="00F77F38"/>
    <w:rsid w:val="00F8130A"/>
    <w:rsid w:val="00F8138E"/>
    <w:rsid w:val="00F81DAF"/>
    <w:rsid w:val="00F824FF"/>
    <w:rsid w:val="00F8289C"/>
    <w:rsid w:val="00F828B1"/>
    <w:rsid w:val="00F83E13"/>
    <w:rsid w:val="00F83FCA"/>
    <w:rsid w:val="00F8419D"/>
    <w:rsid w:val="00F844C5"/>
    <w:rsid w:val="00F85BB6"/>
    <w:rsid w:val="00F85C20"/>
    <w:rsid w:val="00F85C73"/>
    <w:rsid w:val="00F863C5"/>
    <w:rsid w:val="00F865F9"/>
    <w:rsid w:val="00F86686"/>
    <w:rsid w:val="00F868DB"/>
    <w:rsid w:val="00F86CF1"/>
    <w:rsid w:val="00F86F4F"/>
    <w:rsid w:val="00F8775F"/>
    <w:rsid w:val="00F87BBF"/>
    <w:rsid w:val="00F904F3"/>
    <w:rsid w:val="00F90C57"/>
    <w:rsid w:val="00F91AA1"/>
    <w:rsid w:val="00F91BA5"/>
    <w:rsid w:val="00F92138"/>
    <w:rsid w:val="00F923BE"/>
    <w:rsid w:val="00F92736"/>
    <w:rsid w:val="00F92E19"/>
    <w:rsid w:val="00F93062"/>
    <w:rsid w:val="00F935DA"/>
    <w:rsid w:val="00F954A0"/>
    <w:rsid w:val="00F9607F"/>
    <w:rsid w:val="00F96730"/>
    <w:rsid w:val="00F96994"/>
    <w:rsid w:val="00F972EC"/>
    <w:rsid w:val="00F97CC0"/>
    <w:rsid w:val="00FA0258"/>
    <w:rsid w:val="00FA178B"/>
    <w:rsid w:val="00FA1BBC"/>
    <w:rsid w:val="00FA1BD5"/>
    <w:rsid w:val="00FA20D0"/>
    <w:rsid w:val="00FA21D2"/>
    <w:rsid w:val="00FA22CE"/>
    <w:rsid w:val="00FA2EDC"/>
    <w:rsid w:val="00FA3669"/>
    <w:rsid w:val="00FA3746"/>
    <w:rsid w:val="00FA3C6C"/>
    <w:rsid w:val="00FA3F93"/>
    <w:rsid w:val="00FA3FBC"/>
    <w:rsid w:val="00FA3FDB"/>
    <w:rsid w:val="00FA53AE"/>
    <w:rsid w:val="00FA58B2"/>
    <w:rsid w:val="00FA5DDC"/>
    <w:rsid w:val="00FA613E"/>
    <w:rsid w:val="00FA616E"/>
    <w:rsid w:val="00FA6E44"/>
    <w:rsid w:val="00FA6EEF"/>
    <w:rsid w:val="00FB0C9E"/>
    <w:rsid w:val="00FB1F30"/>
    <w:rsid w:val="00FB2702"/>
    <w:rsid w:val="00FB332F"/>
    <w:rsid w:val="00FB3B24"/>
    <w:rsid w:val="00FB3DDF"/>
    <w:rsid w:val="00FB46AB"/>
    <w:rsid w:val="00FB4A0C"/>
    <w:rsid w:val="00FB5519"/>
    <w:rsid w:val="00FB56CA"/>
    <w:rsid w:val="00FB6238"/>
    <w:rsid w:val="00FB6571"/>
    <w:rsid w:val="00FB65B9"/>
    <w:rsid w:val="00FB668A"/>
    <w:rsid w:val="00FB7674"/>
    <w:rsid w:val="00FC00CB"/>
    <w:rsid w:val="00FC10E5"/>
    <w:rsid w:val="00FC17B1"/>
    <w:rsid w:val="00FC2140"/>
    <w:rsid w:val="00FC21BC"/>
    <w:rsid w:val="00FC2469"/>
    <w:rsid w:val="00FC343C"/>
    <w:rsid w:val="00FC39A4"/>
    <w:rsid w:val="00FC3A6F"/>
    <w:rsid w:val="00FC4927"/>
    <w:rsid w:val="00FC4950"/>
    <w:rsid w:val="00FC4E5D"/>
    <w:rsid w:val="00FC6162"/>
    <w:rsid w:val="00FC622A"/>
    <w:rsid w:val="00FC6832"/>
    <w:rsid w:val="00FC6B15"/>
    <w:rsid w:val="00FC6F49"/>
    <w:rsid w:val="00FC6FD8"/>
    <w:rsid w:val="00FC7727"/>
    <w:rsid w:val="00FC7E2C"/>
    <w:rsid w:val="00FD0A4D"/>
    <w:rsid w:val="00FD14AA"/>
    <w:rsid w:val="00FD1933"/>
    <w:rsid w:val="00FD19CE"/>
    <w:rsid w:val="00FD1AF2"/>
    <w:rsid w:val="00FD2D65"/>
    <w:rsid w:val="00FD35AB"/>
    <w:rsid w:val="00FD37D3"/>
    <w:rsid w:val="00FD4220"/>
    <w:rsid w:val="00FD43EC"/>
    <w:rsid w:val="00FD4973"/>
    <w:rsid w:val="00FD49C1"/>
    <w:rsid w:val="00FD51CB"/>
    <w:rsid w:val="00FD63F3"/>
    <w:rsid w:val="00FD6559"/>
    <w:rsid w:val="00FE09D4"/>
    <w:rsid w:val="00FE0E43"/>
    <w:rsid w:val="00FE1073"/>
    <w:rsid w:val="00FE2070"/>
    <w:rsid w:val="00FE211B"/>
    <w:rsid w:val="00FE32D6"/>
    <w:rsid w:val="00FE4165"/>
    <w:rsid w:val="00FE42F2"/>
    <w:rsid w:val="00FE4B23"/>
    <w:rsid w:val="00FE56AC"/>
    <w:rsid w:val="00FE5E25"/>
    <w:rsid w:val="00FE625F"/>
    <w:rsid w:val="00FF07B1"/>
    <w:rsid w:val="00FF1B34"/>
    <w:rsid w:val="00FF2039"/>
    <w:rsid w:val="00FF2133"/>
    <w:rsid w:val="00FF2B1C"/>
    <w:rsid w:val="00FF367E"/>
    <w:rsid w:val="00FF5EA0"/>
    <w:rsid w:val="00FF5F74"/>
    <w:rsid w:val="00FF621B"/>
    <w:rsid w:val="00FF7159"/>
    <w:rsid w:val="00FF7232"/>
    <w:rsid w:val="00FF748D"/>
    <w:rsid w:val="01064C9A"/>
    <w:rsid w:val="016A606C"/>
    <w:rsid w:val="017362BD"/>
    <w:rsid w:val="0197393F"/>
    <w:rsid w:val="01B35E3B"/>
    <w:rsid w:val="01E449DA"/>
    <w:rsid w:val="01F306CC"/>
    <w:rsid w:val="023D333D"/>
    <w:rsid w:val="028D5673"/>
    <w:rsid w:val="02C92423"/>
    <w:rsid w:val="02F50D1E"/>
    <w:rsid w:val="03211823"/>
    <w:rsid w:val="03347E88"/>
    <w:rsid w:val="038A5ABF"/>
    <w:rsid w:val="039B16B6"/>
    <w:rsid w:val="039E05DA"/>
    <w:rsid w:val="03D5738D"/>
    <w:rsid w:val="03ED571C"/>
    <w:rsid w:val="03FC3375"/>
    <w:rsid w:val="0431318B"/>
    <w:rsid w:val="04322D1A"/>
    <w:rsid w:val="044F24C5"/>
    <w:rsid w:val="045F1F9F"/>
    <w:rsid w:val="04762137"/>
    <w:rsid w:val="04E82D3F"/>
    <w:rsid w:val="04FE4606"/>
    <w:rsid w:val="055256A1"/>
    <w:rsid w:val="0598753C"/>
    <w:rsid w:val="05A9269D"/>
    <w:rsid w:val="05C20583"/>
    <w:rsid w:val="05F80AA9"/>
    <w:rsid w:val="06533D3B"/>
    <w:rsid w:val="06724784"/>
    <w:rsid w:val="06A905A2"/>
    <w:rsid w:val="06BB7AAC"/>
    <w:rsid w:val="06D46658"/>
    <w:rsid w:val="06FC0676"/>
    <w:rsid w:val="07207B9C"/>
    <w:rsid w:val="07216614"/>
    <w:rsid w:val="07B33255"/>
    <w:rsid w:val="082F789B"/>
    <w:rsid w:val="08396ED3"/>
    <w:rsid w:val="08A05850"/>
    <w:rsid w:val="08A420E1"/>
    <w:rsid w:val="08C120E0"/>
    <w:rsid w:val="08D219B1"/>
    <w:rsid w:val="090128EB"/>
    <w:rsid w:val="0939545A"/>
    <w:rsid w:val="09A53221"/>
    <w:rsid w:val="09B65004"/>
    <w:rsid w:val="0A363A1D"/>
    <w:rsid w:val="0A5E0FEF"/>
    <w:rsid w:val="0A654A44"/>
    <w:rsid w:val="0A8B7514"/>
    <w:rsid w:val="0AAA6709"/>
    <w:rsid w:val="0AB874C4"/>
    <w:rsid w:val="0AC73F32"/>
    <w:rsid w:val="0B4A5116"/>
    <w:rsid w:val="0B6768F3"/>
    <w:rsid w:val="0B7B75D7"/>
    <w:rsid w:val="0BB76C03"/>
    <w:rsid w:val="0BE514A3"/>
    <w:rsid w:val="0C6E2553"/>
    <w:rsid w:val="0C887271"/>
    <w:rsid w:val="0C8B41A2"/>
    <w:rsid w:val="0CEA1C85"/>
    <w:rsid w:val="0D3D36A4"/>
    <w:rsid w:val="0D514AA1"/>
    <w:rsid w:val="0D6C7ACD"/>
    <w:rsid w:val="0D6F1145"/>
    <w:rsid w:val="0D791A19"/>
    <w:rsid w:val="0D9D2076"/>
    <w:rsid w:val="0DAB060F"/>
    <w:rsid w:val="0DCE10D7"/>
    <w:rsid w:val="0E42412C"/>
    <w:rsid w:val="0E5A6D3F"/>
    <w:rsid w:val="0E5E3E03"/>
    <w:rsid w:val="0E794CFD"/>
    <w:rsid w:val="0EC71FEA"/>
    <w:rsid w:val="0ECC1A8E"/>
    <w:rsid w:val="0EE41A9E"/>
    <w:rsid w:val="0F0832FF"/>
    <w:rsid w:val="0F4E618A"/>
    <w:rsid w:val="0F4F5A5E"/>
    <w:rsid w:val="0F505B34"/>
    <w:rsid w:val="0F6032C1"/>
    <w:rsid w:val="0FD71303"/>
    <w:rsid w:val="0FF9647C"/>
    <w:rsid w:val="1012617E"/>
    <w:rsid w:val="102155FB"/>
    <w:rsid w:val="10675755"/>
    <w:rsid w:val="10C5403D"/>
    <w:rsid w:val="10EC5BD9"/>
    <w:rsid w:val="112A6E39"/>
    <w:rsid w:val="117F2E0D"/>
    <w:rsid w:val="118A6265"/>
    <w:rsid w:val="11BC012B"/>
    <w:rsid w:val="11D6041E"/>
    <w:rsid w:val="11E44B84"/>
    <w:rsid w:val="11F358DC"/>
    <w:rsid w:val="11FD7411"/>
    <w:rsid w:val="1220749E"/>
    <w:rsid w:val="12235F3C"/>
    <w:rsid w:val="1237314D"/>
    <w:rsid w:val="123F6455"/>
    <w:rsid w:val="12B65EBF"/>
    <w:rsid w:val="12C44D3D"/>
    <w:rsid w:val="144B099B"/>
    <w:rsid w:val="14512AE0"/>
    <w:rsid w:val="14D7411C"/>
    <w:rsid w:val="14F60EC4"/>
    <w:rsid w:val="14FA4179"/>
    <w:rsid w:val="152A5522"/>
    <w:rsid w:val="153E5E53"/>
    <w:rsid w:val="157A70F8"/>
    <w:rsid w:val="157B78DE"/>
    <w:rsid w:val="157D0B2C"/>
    <w:rsid w:val="158C7A3C"/>
    <w:rsid w:val="15C047FF"/>
    <w:rsid w:val="16486296"/>
    <w:rsid w:val="16C31734"/>
    <w:rsid w:val="17A7775F"/>
    <w:rsid w:val="17B005EC"/>
    <w:rsid w:val="17CA3567"/>
    <w:rsid w:val="1819365B"/>
    <w:rsid w:val="182403C0"/>
    <w:rsid w:val="18285F02"/>
    <w:rsid w:val="182F6ADF"/>
    <w:rsid w:val="188E3A9B"/>
    <w:rsid w:val="18B21D51"/>
    <w:rsid w:val="1936109D"/>
    <w:rsid w:val="194C5989"/>
    <w:rsid w:val="197B7584"/>
    <w:rsid w:val="19932087"/>
    <w:rsid w:val="19BA41C8"/>
    <w:rsid w:val="1A1C66DD"/>
    <w:rsid w:val="1A85424D"/>
    <w:rsid w:val="1AE15806"/>
    <w:rsid w:val="1B496BEE"/>
    <w:rsid w:val="1B813CC4"/>
    <w:rsid w:val="1B9B2CA9"/>
    <w:rsid w:val="1BA749C4"/>
    <w:rsid w:val="1BB27C53"/>
    <w:rsid w:val="1BB66110"/>
    <w:rsid w:val="1BDD4A1B"/>
    <w:rsid w:val="1BEA0EFF"/>
    <w:rsid w:val="1BF246D4"/>
    <w:rsid w:val="1C654B74"/>
    <w:rsid w:val="1CBF0500"/>
    <w:rsid w:val="1CFE11EF"/>
    <w:rsid w:val="1D625DBE"/>
    <w:rsid w:val="1DA8475E"/>
    <w:rsid w:val="1DFE2624"/>
    <w:rsid w:val="1E0064D3"/>
    <w:rsid w:val="1E05605A"/>
    <w:rsid w:val="1E0E0A9A"/>
    <w:rsid w:val="1E171374"/>
    <w:rsid w:val="1E3B2150"/>
    <w:rsid w:val="1E4F2CD5"/>
    <w:rsid w:val="1E805BA0"/>
    <w:rsid w:val="1EDD2072"/>
    <w:rsid w:val="1EE4155E"/>
    <w:rsid w:val="1F506A4C"/>
    <w:rsid w:val="1F6D76F6"/>
    <w:rsid w:val="1FCB4A6E"/>
    <w:rsid w:val="1FCF6663"/>
    <w:rsid w:val="1FE13A05"/>
    <w:rsid w:val="20187138"/>
    <w:rsid w:val="20816028"/>
    <w:rsid w:val="20B43BF1"/>
    <w:rsid w:val="20B80B22"/>
    <w:rsid w:val="2105322D"/>
    <w:rsid w:val="21374DD4"/>
    <w:rsid w:val="214C5BC5"/>
    <w:rsid w:val="21894E00"/>
    <w:rsid w:val="218F0E39"/>
    <w:rsid w:val="21E93AF0"/>
    <w:rsid w:val="220612E3"/>
    <w:rsid w:val="224F3B62"/>
    <w:rsid w:val="229438B4"/>
    <w:rsid w:val="22B742CD"/>
    <w:rsid w:val="22D52DDA"/>
    <w:rsid w:val="234140A5"/>
    <w:rsid w:val="241B0F8E"/>
    <w:rsid w:val="246D6944"/>
    <w:rsid w:val="24922AB1"/>
    <w:rsid w:val="2527378E"/>
    <w:rsid w:val="2530284B"/>
    <w:rsid w:val="25556D82"/>
    <w:rsid w:val="2560751D"/>
    <w:rsid w:val="25803898"/>
    <w:rsid w:val="259D70B9"/>
    <w:rsid w:val="25AF51D6"/>
    <w:rsid w:val="261F644A"/>
    <w:rsid w:val="26BB3CAD"/>
    <w:rsid w:val="26C115E8"/>
    <w:rsid w:val="271D3475"/>
    <w:rsid w:val="272C509E"/>
    <w:rsid w:val="27313F6F"/>
    <w:rsid w:val="27893DAB"/>
    <w:rsid w:val="29415789"/>
    <w:rsid w:val="296E4DB7"/>
    <w:rsid w:val="297A3312"/>
    <w:rsid w:val="29BF7984"/>
    <w:rsid w:val="2A9F183F"/>
    <w:rsid w:val="2AC511FF"/>
    <w:rsid w:val="2B057A12"/>
    <w:rsid w:val="2B137A26"/>
    <w:rsid w:val="2B251B81"/>
    <w:rsid w:val="2B3702A8"/>
    <w:rsid w:val="2B6E5792"/>
    <w:rsid w:val="2B845A69"/>
    <w:rsid w:val="2BC52EF0"/>
    <w:rsid w:val="2BE96C22"/>
    <w:rsid w:val="2BF5404C"/>
    <w:rsid w:val="2C1252C2"/>
    <w:rsid w:val="2C9A0975"/>
    <w:rsid w:val="2CC0413F"/>
    <w:rsid w:val="2D055E1D"/>
    <w:rsid w:val="2D910EBE"/>
    <w:rsid w:val="2DA400CE"/>
    <w:rsid w:val="2DAC2698"/>
    <w:rsid w:val="2DB71FA7"/>
    <w:rsid w:val="2E1D7588"/>
    <w:rsid w:val="2E5C32EB"/>
    <w:rsid w:val="2E684627"/>
    <w:rsid w:val="2E8A42F7"/>
    <w:rsid w:val="2EA14651"/>
    <w:rsid w:val="2EF00020"/>
    <w:rsid w:val="2F180AB4"/>
    <w:rsid w:val="2F334462"/>
    <w:rsid w:val="2F866390"/>
    <w:rsid w:val="2F94153F"/>
    <w:rsid w:val="2FD12CC9"/>
    <w:rsid w:val="2FD41F86"/>
    <w:rsid w:val="3027709A"/>
    <w:rsid w:val="302948E8"/>
    <w:rsid w:val="30294ADC"/>
    <w:rsid w:val="302E770B"/>
    <w:rsid w:val="304C6A88"/>
    <w:rsid w:val="305D7F50"/>
    <w:rsid w:val="31602E24"/>
    <w:rsid w:val="317408E4"/>
    <w:rsid w:val="3182385E"/>
    <w:rsid w:val="31D85206"/>
    <w:rsid w:val="31FA1774"/>
    <w:rsid w:val="32642CEC"/>
    <w:rsid w:val="32B33C46"/>
    <w:rsid w:val="33020093"/>
    <w:rsid w:val="330714FD"/>
    <w:rsid w:val="333C0154"/>
    <w:rsid w:val="33FC7E8C"/>
    <w:rsid w:val="342D2F02"/>
    <w:rsid w:val="34D57D63"/>
    <w:rsid w:val="34F10498"/>
    <w:rsid w:val="352879EB"/>
    <w:rsid w:val="354D6568"/>
    <w:rsid w:val="35B651B7"/>
    <w:rsid w:val="35EE0253"/>
    <w:rsid w:val="369571B1"/>
    <w:rsid w:val="36B64491"/>
    <w:rsid w:val="371B7E5C"/>
    <w:rsid w:val="37980295"/>
    <w:rsid w:val="37A418D8"/>
    <w:rsid w:val="38491261"/>
    <w:rsid w:val="386020D3"/>
    <w:rsid w:val="3865492E"/>
    <w:rsid w:val="386A0217"/>
    <w:rsid w:val="389436BE"/>
    <w:rsid w:val="394A1F2F"/>
    <w:rsid w:val="3A922B1F"/>
    <w:rsid w:val="3AA577FC"/>
    <w:rsid w:val="3BA42EB1"/>
    <w:rsid w:val="3BC938F0"/>
    <w:rsid w:val="3C183D6E"/>
    <w:rsid w:val="3CBC31FE"/>
    <w:rsid w:val="3D347787"/>
    <w:rsid w:val="3D37105D"/>
    <w:rsid w:val="3F7D054B"/>
    <w:rsid w:val="3F850EA5"/>
    <w:rsid w:val="3FA179AA"/>
    <w:rsid w:val="3FD733D9"/>
    <w:rsid w:val="401738F5"/>
    <w:rsid w:val="404855C5"/>
    <w:rsid w:val="40592E84"/>
    <w:rsid w:val="40A86BF9"/>
    <w:rsid w:val="40D951D2"/>
    <w:rsid w:val="41923C46"/>
    <w:rsid w:val="41AA0ACA"/>
    <w:rsid w:val="41B62D5F"/>
    <w:rsid w:val="41E04AE3"/>
    <w:rsid w:val="424C082D"/>
    <w:rsid w:val="426B74AE"/>
    <w:rsid w:val="42BD6EF0"/>
    <w:rsid w:val="42C24FD0"/>
    <w:rsid w:val="42F56341"/>
    <w:rsid w:val="43041412"/>
    <w:rsid w:val="431F392D"/>
    <w:rsid w:val="43364990"/>
    <w:rsid w:val="43417B2B"/>
    <w:rsid w:val="43467BC5"/>
    <w:rsid w:val="437B23A2"/>
    <w:rsid w:val="43BF2D12"/>
    <w:rsid w:val="43EC5115"/>
    <w:rsid w:val="4415055B"/>
    <w:rsid w:val="444878C1"/>
    <w:rsid w:val="445B1741"/>
    <w:rsid w:val="445D5F4C"/>
    <w:rsid w:val="44763F08"/>
    <w:rsid w:val="44817E8C"/>
    <w:rsid w:val="44A105CA"/>
    <w:rsid w:val="44F2662B"/>
    <w:rsid w:val="44FB3862"/>
    <w:rsid w:val="45337009"/>
    <w:rsid w:val="45877724"/>
    <w:rsid w:val="458A0EA3"/>
    <w:rsid w:val="46584C1D"/>
    <w:rsid w:val="465869CB"/>
    <w:rsid w:val="468F4EFD"/>
    <w:rsid w:val="46D7388F"/>
    <w:rsid w:val="47121221"/>
    <w:rsid w:val="4772342A"/>
    <w:rsid w:val="47871971"/>
    <w:rsid w:val="48A0098D"/>
    <w:rsid w:val="48B439FC"/>
    <w:rsid w:val="48C044AF"/>
    <w:rsid w:val="49253917"/>
    <w:rsid w:val="494C5DE0"/>
    <w:rsid w:val="49725FF6"/>
    <w:rsid w:val="499C3B40"/>
    <w:rsid w:val="49BF6D61"/>
    <w:rsid w:val="4A174449"/>
    <w:rsid w:val="4A531BC5"/>
    <w:rsid w:val="4A813F5B"/>
    <w:rsid w:val="4AAB4206"/>
    <w:rsid w:val="4AE403BE"/>
    <w:rsid w:val="4B2B03A0"/>
    <w:rsid w:val="4BB7477B"/>
    <w:rsid w:val="4C10750F"/>
    <w:rsid w:val="4C5D5DD6"/>
    <w:rsid w:val="4CC13AA8"/>
    <w:rsid w:val="4CCE37BE"/>
    <w:rsid w:val="4CFE6137"/>
    <w:rsid w:val="4D160340"/>
    <w:rsid w:val="4D3A3383"/>
    <w:rsid w:val="4D4215BD"/>
    <w:rsid w:val="4D6871A7"/>
    <w:rsid w:val="4D9A561E"/>
    <w:rsid w:val="4DBD6A94"/>
    <w:rsid w:val="4DDC01B9"/>
    <w:rsid w:val="4E277F6E"/>
    <w:rsid w:val="4E83005C"/>
    <w:rsid w:val="4F136B0E"/>
    <w:rsid w:val="4F345A3A"/>
    <w:rsid w:val="4F7F0B09"/>
    <w:rsid w:val="4F83137D"/>
    <w:rsid w:val="4F906609"/>
    <w:rsid w:val="4F9155F1"/>
    <w:rsid w:val="4F98252E"/>
    <w:rsid w:val="4FA9310C"/>
    <w:rsid w:val="4FEE214E"/>
    <w:rsid w:val="505477A0"/>
    <w:rsid w:val="50603B72"/>
    <w:rsid w:val="50987DB7"/>
    <w:rsid w:val="50A9797C"/>
    <w:rsid w:val="50C907DD"/>
    <w:rsid w:val="50FA52A6"/>
    <w:rsid w:val="50FD52B5"/>
    <w:rsid w:val="50FF3F4A"/>
    <w:rsid w:val="510C51B5"/>
    <w:rsid w:val="51243167"/>
    <w:rsid w:val="51263104"/>
    <w:rsid w:val="51297BD8"/>
    <w:rsid w:val="51342574"/>
    <w:rsid w:val="51380E48"/>
    <w:rsid w:val="51B965FC"/>
    <w:rsid w:val="538B2AB6"/>
    <w:rsid w:val="538F3C50"/>
    <w:rsid w:val="539C7FFE"/>
    <w:rsid w:val="53CF796F"/>
    <w:rsid w:val="53D27D64"/>
    <w:rsid w:val="540F2D98"/>
    <w:rsid w:val="54946DD7"/>
    <w:rsid w:val="549A713E"/>
    <w:rsid w:val="549D2738"/>
    <w:rsid w:val="54CD2C7A"/>
    <w:rsid w:val="54DA6115"/>
    <w:rsid w:val="551E2E5D"/>
    <w:rsid w:val="55B32794"/>
    <w:rsid w:val="55CC3702"/>
    <w:rsid w:val="55FE3977"/>
    <w:rsid w:val="56567F07"/>
    <w:rsid w:val="565D54C8"/>
    <w:rsid w:val="568B6889"/>
    <w:rsid w:val="569E48CE"/>
    <w:rsid w:val="56A47B88"/>
    <w:rsid w:val="56C579D5"/>
    <w:rsid w:val="57017A7F"/>
    <w:rsid w:val="571854E6"/>
    <w:rsid w:val="57432F68"/>
    <w:rsid w:val="576631B4"/>
    <w:rsid w:val="578C03FE"/>
    <w:rsid w:val="58145D63"/>
    <w:rsid w:val="58276B45"/>
    <w:rsid w:val="58D740C7"/>
    <w:rsid w:val="58F55856"/>
    <w:rsid w:val="5942717C"/>
    <w:rsid w:val="5953256C"/>
    <w:rsid w:val="5955718D"/>
    <w:rsid w:val="598A6BBE"/>
    <w:rsid w:val="599555A4"/>
    <w:rsid w:val="59AA358A"/>
    <w:rsid w:val="59B140E5"/>
    <w:rsid w:val="59BD32BD"/>
    <w:rsid w:val="59E86B9F"/>
    <w:rsid w:val="5A644C07"/>
    <w:rsid w:val="5A9D6C4B"/>
    <w:rsid w:val="5B6648C7"/>
    <w:rsid w:val="5B7D1A85"/>
    <w:rsid w:val="5BE622C6"/>
    <w:rsid w:val="5C1C4FA9"/>
    <w:rsid w:val="5C4B5C6D"/>
    <w:rsid w:val="5C6A70FC"/>
    <w:rsid w:val="5C8D60EF"/>
    <w:rsid w:val="5CA964D7"/>
    <w:rsid w:val="5D457A78"/>
    <w:rsid w:val="5DC757F8"/>
    <w:rsid w:val="5DFC6D3C"/>
    <w:rsid w:val="5E3209E8"/>
    <w:rsid w:val="5E7524E6"/>
    <w:rsid w:val="5F183E0C"/>
    <w:rsid w:val="5F2413D1"/>
    <w:rsid w:val="5F4A70A7"/>
    <w:rsid w:val="5FF85DB8"/>
    <w:rsid w:val="60151849"/>
    <w:rsid w:val="60743FD5"/>
    <w:rsid w:val="607939D6"/>
    <w:rsid w:val="61295DD7"/>
    <w:rsid w:val="616E707C"/>
    <w:rsid w:val="61A568D9"/>
    <w:rsid w:val="61B409C9"/>
    <w:rsid w:val="61F007AB"/>
    <w:rsid w:val="6203073F"/>
    <w:rsid w:val="620A2C3A"/>
    <w:rsid w:val="621813D1"/>
    <w:rsid w:val="62397BA1"/>
    <w:rsid w:val="624B0278"/>
    <w:rsid w:val="626E0AFD"/>
    <w:rsid w:val="626E2A3F"/>
    <w:rsid w:val="6305285B"/>
    <w:rsid w:val="637A1F7C"/>
    <w:rsid w:val="63A63849"/>
    <w:rsid w:val="64535AA4"/>
    <w:rsid w:val="64646DE3"/>
    <w:rsid w:val="64857BC7"/>
    <w:rsid w:val="649025EF"/>
    <w:rsid w:val="64AA2690"/>
    <w:rsid w:val="64CA35B2"/>
    <w:rsid w:val="65404B54"/>
    <w:rsid w:val="65405C8E"/>
    <w:rsid w:val="655B482F"/>
    <w:rsid w:val="66807B4C"/>
    <w:rsid w:val="66AC783F"/>
    <w:rsid w:val="66CB5338"/>
    <w:rsid w:val="66D60C56"/>
    <w:rsid w:val="670C1B0F"/>
    <w:rsid w:val="67407CEE"/>
    <w:rsid w:val="67544B35"/>
    <w:rsid w:val="678A58F8"/>
    <w:rsid w:val="6791048F"/>
    <w:rsid w:val="67961AC6"/>
    <w:rsid w:val="67B062A6"/>
    <w:rsid w:val="68543FBA"/>
    <w:rsid w:val="68987E30"/>
    <w:rsid w:val="68CD04C2"/>
    <w:rsid w:val="68D914C5"/>
    <w:rsid w:val="68EF3534"/>
    <w:rsid w:val="68FF583F"/>
    <w:rsid w:val="691C0CBD"/>
    <w:rsid w:val="69275234"/>
    <w:rsid w:val="693102DF"/>
    <w:rsid w:val="694751DB"/>
    <w:rsid w:val="69D660B2"/>
    <w:rsid w:val="69E712F3"/>
    <w:rsid w:val="6A0D5DD0"/>
    <w:rsid w:val="6A11270F"/>
    <w:rsid w:val="6A9616BA"/>
    <w:rsid w:val="6B6704AB"/>
    <w:rsid w:val="6B906529"/>
    <w:rsid w:val="6BAE03D4"/>
    <w:rsid w:val="6BC87B69"/>
    <w:rsid w:val="6BD75683"/>
    <w:rsid w:val="6C3867D3"/>
    <w:rsid w:val="6C931E67"/>
    <w:rsid w:val="6CC174CE"/>
    <w:rsid w:val="6CD84F63"/>
    <w:rsid w:val="6CFA6E24"/>
    <w:rsid w:val="6D04740E"/>
    <w:rsid w:val="6D091DD7"/>
    <w:rsid w:val="6D30723A"/>
    <w:rsid w:val="6D3F4260"/>
    <w:rsid w:val="6DA952AB"/>
    <w:rsid w:val="6DDD3ACB"/>
    <w:rsid w:val="6DDE7F68"/>
    <w:rsid w:val="6E170B30"/>
    <w:rsid w:val="6E433451"/>
    <w:rsid w:val="6E66437B"/>
    <w:rsid w:val="6E7D5654"/>
    <w:rsid w:val="6EA823C5"/>
    <w:rsid w:val="6EAB02FA"/>
    <w:rsid w:val="6EEE3E5F"/>
    <w:rsid w:val="6F6B3CB4"/>
    <w:rsid w:val="6F987BE5"/>
    <w:rsid w:val="6FBA5DBC"/>
    <w:rsid w:val="6FC06798"/>
    <w:rsid w:val="6FFE5B18"/>
    <w:rsid w:val="70114A8F"/>
    <w:rsid w:val="705F07D2"/>
    <w:rsid w:val="706601C1"/>
    <w:rsid w:val="70DA1157"/>
    <w:rsid w:val="7135284F"/>
    <w:rsid w:val="71440DA3"/>
    <w:rsid w:val="71A36DE5"/>
    <w:rsid w:val="71CB7E3C"/>
    <w:rsid w:val="720B45E8"/>
    <w:rsid w:val="720D29F1"/>
    <w:rsid w:val="7223471E"/>
    <w:rsid w:val="7224286D"/>
    <w:rsid w:val="72434598"/>
    <w:rsid w:val="72540756"/>
    <w:rsid w:val="72685348"/>
    <w:rsid w:val="72772DE8"/>
    <w:rsid w:val="728135B8"/>
    <w:rsid w:val="72DE1046"/>
    <w:rsid w:val="73886174"/>
    <w:rsid w:val="73965B3A"/>
    <w:rsid w:val="73F1711D"/>
    <w:rsid w:val="73F64F94"/>
    <w:rsid w:val="74393C29"/>
    <w:rsid w:val="745C6968"/>
    <w:rsid w:val="74623ADD"/>
    <w:rsid w:val="74D347D7"/>
    <w:rsid w:val="74E24B72"/>
    <w:rsid w:val="750E26E5"/>
    <w:rsid w:val="750F6D8E"/>
    <w:rsid w:val="752C64EA"/>
    <w:rsid w:val="75532F0F"/>
    <w:rsid w:val="75A23164"/>
    <w:rsid w:val="75B01AD0"/>
    <w:rsid w:val="75D204AB"/>
    <w:rsid w:val="75E1612D"/>
    <w:rsid w:val="760517E8"/>
    <w:rsid w:val="76241587"/>
    <w:rsid w:val="76336927"/>
    <w:rsid w:val="763C1ED6"/>
    <w:rsid w:val="76446D4F"/>
    <w:rsid w:val="765D4CA4"/>
    <w:rsid w:val="7682191D"/>
    <w:rsid w:val="769D3D7B"/>
    <w:rsid w:val="76E41281"/>
    <w:rsid w:val="76E446A4"/>
    <w:rsid w:val="76FE3F87"/>
    <w:rsid w:val="77043E82"/>
    <w:rsid w:val="776E579F"/>
    <w:rsid w:val="777752DD"/>
    <w:rsid w:val="77F90B4B"/>
    <w:rsid w:val="7881708F"/>
    <w:rsid w:val="78821DBA"/>
    <w:rsid w:val="78AC56A2"/>
    <w:rsid w:val="78B249E8"/>
    <w:rsid w:val="78FB6342"/>
    <w:rsid w:val="797B22D6"/>
    <w:rsid w:val="79FC3A25"/>
    <w:rsid w:val="7A1D5D70"/>
    <w:rsid w:val="7A29614B"/>
    <w:rsid w:val="7A942C8A"/>
    <w:rsid w:val="7AAD14D7"/>
    <w:rsid w:val="7AE52177"/>
    <w:rsid w:val="7AE86178"/>
    <w:rsid w:val="7AEC7249"/>
    <w:rsid w:val="7B0B0A66"/>
    <w:rsid w:val="7B65510B"/>
    <w:rsid w:val="7B6624BF"/>
    <w:rsid w:val="7B8C75F4"/>
    <w:rsid w:val="7B9A3006"/>
    <w:rsid w:val="7BA33ADE"/>
    <w:rsid w:val="7BC17BB6"/>
    <w:rsid w:val="7C040259"/>
    <w:rsid w:val="7C8716CA"/>
    <w:rsid w:val="7CD418BF"/>
    <w:rsid w:val="7DB7720D"/>
    <w:rsid w:val="7DBB6EEC"/>
    <w:rsid w:val="7DCE507F"/>
    <w:rsid w:val="7DDE7156"/>
    <w:rsid w:val="7E2A58C2"/>
    <w:rsid w:val="7E8A5A20"/>
    <w:rsid w:val="7EBE20DD"/>
    <w:rsid w:val="7EC86C91"/>
    <w:rsid w:val="7EEA211B"/>
    <w:rsid w:val="7F0D3AEF"/>
    <w:rsid w:val="7F4C2569"/>
    <w:rsid w:val="7F8731B0"/>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6"/>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6"/>
    <w:qFormat/>
    <w:uiPriority w:val="0"/>
    <w:pPr>
      <w:keepNext/>
      <w:keepLines/>
      <w:widowControl/>
      <w:tabs>
        <w:tab w:val="left" w:pos="864"/>
      </w:tabs>
      <w:spacing w:before="280" w:after="290" w:line="376" w:lineRule="auto"/>
      <w:jc w:val="left"/>
      <w:outlineLvl w:val="3"/>
    </w:pPr>
    <w:rPr>
      <w:rFonts w:ascii="Arial" w:hAnsi="Arial" w:eastAsia="黑体"/>
      <w:b/>
      <w:bCs/>
      <w:kern w:val="0"/>
      <w:sz w:val="28"/>
      <w:szCs w:val="28"/>
    </w:rPr>
  </w:style>
  <w:style w:type="paragraph" w:styleId="7">
    <w:name w:val="heading 5"/>
    <w:basedOn w:val="1"/>
    <w:next w:val="1"/>
    <w:semiHidden/>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36">
    <w:name w:val="Default Paragraph Font"/>
    <w:semiHidden/>
    <w:qFormat/>
    <w:uiPriority w:val="0"/>
  </w:style>
  <w:style w:type="table" w:default="1" w:styleId="34">
    <w:name w:val="Normal Table"/>
    <w:semiHidden/>
    <w:qFormat/>
    <w:uiPriority w:val="0"/>
    <w:tblPr>
      <w:tblCellMar>
        <w:top w:w="0" w:type="dxa"/>
        <w:left w:w="108" w:type="dxa"/>
        <w:bottom w:w="0" w:type="dxa"/>
        <w:right w:w="108" w:type="dxa"/>
      </w:tblCellMar>
    </w:tblPr>
  </w:style>
  <w:style w:type="paragraph" w:styleId="6">
    <w:name w:val="Normal Indent"/>
    <w:basedOn w:val="1"/>
    <w:link w:val="59"/>
    <w:qFormat/>
    <w:uiPriority w:val="0"/>
    <w:pPr>
      <w:ind w:firstLine="420"/>
    </w:pPr>
    <w:rPr>
      <w:szCs w:val="20"/>
    </w:rPr>
  </w:style>
  <w:style w:type="paragraph" w:styleId="8">
    <w:name w:val="toc 7"/>
    <w:basedOn w:val="1"/>
    <w:next w:val="1"/>
    <w:qFormat/>
    <w:uiPriority w:val="0"/>
    <w:pPr>
      <w:ind w:left="1260"/>
      <w:jc w:val="left"/>
    </w:pPr>
    <w:rPr>
      <w:rFonts w:ascii="Calibri" w:hAnsi="Calibri" w:cs="Calibri"/>
      <w:sz w:val="18"/>
      <w:szCs w:val="18"/>
    </w:rPr>
  </w:style>
  <w:style w:type="paragraph" w:styleId="9">
    <w:name w:val="index 8"/>
    <w:basedOn w:val="1"/>
    <w:next w:val="1"/>
    <w:unhideWhenUsed/>
    <w:qFormat/>
    <w:uiPriority w:val="99"/>
    <w:pPr>
      <w:ind w:left="1400" w:leftChars="1400"/>
    </w:pPr>
  </w:style>
  <w:style w:type="paragraph" w:styleId="10">
    <w:name w:val="annotation text"/>
    <w:basedOn w:val="1"/>
    <w:link w:val="61"/>
    <w:qFormat/>
    <w:uiPriority w:val="0"/>
    <w:pPr>
      <w:jc w:val="left"/>
    </w:pPr>
  </w:style>
  <w:style w:type="paragraph" w:styleId="11">
    <w:name w:val="Body Text 3"/>
    <w:basedOn w:val="1"/>
    <w:qFormat/>
    <w:uiPriority w:val="0"/>
    <w:pPr>
      <w:spacing w:line="240" w:lineRule="exact"/>
    </w:pPr>
    <w:rPr>
      <w:rFonts w:ascii="宋体" w:hAnsi="宋体"/>
      <w:color w:val="000000"/>
      <w:szCs w:val="21"/>
    </w:rPr>
  </w:style>
  <w:style w:type="paragraph" w:styleId="12">
    <w:name w:val="Body Text"/>
    <w:basedOn w:val="1"/>
    <w:qFormat/>
    <w:uiPriority w:val="0"/>
    <w:pPr>
      <w:spacing w:after="120"/>
    </w:pPr>
  </w:style>
  <w:style w:type="paragraph" w:styleId="13">
    <w:name w:val="Body Text Indent"/>
    <w:basedOn w:val="1"/>
    <w:link w:val="60"/>
    <w:qFormat/>
    <w:uiPriority w:val="0"/>
    <w:pPr>
      <w:spacing w:after="120"/>
      <w:ind w:left="420" w:leftChars="200"/>
    </w:pPr>
  </w:style>
  <w:style w:type="paragraph" w:styleId="14">
    <w:name w:val="toc 5"/>
    <w:basedOn w:val="1"/>
    <w:next w:val="1"/>
    <w:qFormat/>
    <w:uiPriority w:val="0"/>
    <w:pPr>
      <w:ind w:left="840"/>
      <w:jc w:val="left"/>
    </w:pPr>
    <w:rPr>
      <w:rFonts w:ascii="Calibri" w:hAnsi="Calibri" w:cs="Calibri"/>
      <w:sz w:val="18"/>
      <w:szCs w:val="18"/>
    </w:rPr>
  </w:style>
  <w:style w:type="paragraph" w:styleId="15">
    <w:name w:val="toc 3"/>
    <w:basedOn w:val="1"/>
    <w:next w:val="1"/>
    <w:qFormat/>
    <w:uiPriority w:val="39"/>
    <w:pPr>
      <w:ind w:left="420"/>
      <w:jc w:val="left"/>
    </w:pPr>
    <w:rPr>
      <w:rFonts w:ascii="Calibri" w:hAnsi="Calibri" w:cs="Calibri"/>
      <w:i/>
      <w:iCs/>
      <w:sz w:val="20"/>
      <w:szCs w:val="20"/>
    </w:rPr>
  </w:style>
  <w:style w:type="paragraph" w:styleId="16">
    <w:name w:val="Plain Text"/>
    <w:basedOn w:val="1"/>
    <w:link w:val="58"/>
    <w:qFormat/>
    <w:uiPriority w:val="0"/>
    <w:rPr>
      <w:rFonts w:ascii="宋体" w:hAnsi="Courier New"/>
      <w:szCs w:val="20"/>
    </w:rPr>
  </w:style>
  <w:style w:type="paragraph" w:styleId="17">
    <w:name w:val="toc 8"/>
    <w:basedOn w:val="1"/>
    <w:next w:val="1"/>
    <w:qFormat/>
    <w:uiPriority w:val="0"/>
    <w:pPr>
      <w:ind w:left="1470"/>
      <w:jc w:val="left"/>
    </w:pPr>
    <w:rPr>
      <w:rFonts w:ascii="Calibri" w:hAnsi="Calibri" w:cs="Calibri"/>
      <w:sz w:val="18"/>
      <w:szCs w:val="18"/>
    </w:rPr>
  </w:style>
  <w:style w:type="paragraph" w:styleId="18">
    <w:name w:val="Date"/>
    <w:basedOn w:val="1"/>
    <w:next w:val="1"/>
    <w:link w:val="62"/>
    <w:qFormat/>
    <w:uiPriority w:val="0"/>
    <w:pPr>
      <w:ind w:left="100" w:leftChars="2500"/>
    </w:pPr>
  </w:style>
  <w:style w:type="paragraph" w:styleId="19">
    <w:name w:val="Balloon Text"/>
    <w:basedOn w:val="1"/>
    <w:semiHidden/>
    <w:qFormat/>
    <w:uiPriority w:val="0"/>
    <w:rPr>
      <w:sz w:val="18"/>
      <w:szCs w:val="18"/>
    </w:rPr>
  </w:style>
  <w:style w:type="paragraph" w:styleId="20">
    <w:name w:val="footer"/>
    <w:basedOn w:val="1"/>
    <w:link w:val="63"/>
    <w:qFormat/>
    <w:uiPriority w:val="99"/>
    <w:pPr>
      <w:tabs>
        <w:tab w:val="center" w:pos="4153"/>
        <w:tab w:val="right" w:pos="8306"/>
      </w:tabs>
      <w:snapToGrid w:val="0"/>
      <w:jc w:val="left"/>
    </w:pPr>
    <w:rPr>
      <w:sz w:val="18"/>
      <w:szCs w:val="18"/>
    </w:rPr>
  </w:style>
  <w:style w:type="paragraph" w:styleId="2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before="120" w:after="120"/>
      <w:jc w:val="left"/>
    </w:pPr>
    <w:rPr>
      <w:rFonts w:ascii="Calibri" w:hAnsi="Calibri" w:cs="Calibri"/>
      <w:b/>
      <w:bCs/>
      <w:caps/>
      <w:sz w:val="20"/>
      <w:szCs w:val="20"/>
    </w:rPr>
  </w:style>
  <w:style w:type="paragraph" w:styleId="23">
    <w:name w:val="toc 4"/>
    <w:basedOn w:val="1"/>
    <w:next w:val="1"/>
    <w:qFormat/>
    <w:uiPriority w:val="0"/>
    <w:pPr>
      <w:ind w:left="630"/>
      <w:jc w:val="left"/>
    </w:pPr>
    <w:rPr>
      <w:rFonts w:ascii="Calibri" w:hAnsi="Calibri" w:cs="Calibri"/>
      <w:sz w:val="18"/>
      <w:szCs w:val="18"/>
    </w:rPr>
  </w:style>
  <w:style w:type="paragraph" w:styleId="24">
    <w:name w:val="List"/>
    <w:basedOn w:val="1"/>
    <w:qFormat/>
    <w:uiPriority w:val="0"/>
    <w:pPr>
      <w:ind w:left="200" w:hanging="200" w:hangingChars="200"/>
    </w:pPr>
    <w:rPr>
      <w:sz w:val="28"/>
    </w:rPr>
  </w:style>
  <w:style w:type="paragraph" w:styleId="25">
    <w:name w:val="toc 6"/>
    <w:basedOn w:val="1"/>
    <w:next w:val="1"/>
    <w:qFormat/>
    <w:uiPriority w:val="0"/>
    <w:pPr>
      <w:ind w:left="1050"/>
      <w:jc w:val="left"/>
    </w:pPr>
    <w:rPr>
      <w:rFonts w:ascii="Calibri" w:hAnsi="Calibri" w:cs="Calibri"/>
      <w:sz w:val="18"/>
      <w:szCs w:val="18"/>
    </w:rPr>
  </w:style>
  <w:style w:type="paragraph" w:styleId="26">
    <w:name w:val="Body Text Indent 3"/>
    <w:basedOn w:val="1"/>
    <w:qFormat/>
    <w:uiPriority w:val="0"/>
    <w:pPr>
      <w:spacing w:after="120"/>
      <w:ind w:left="420" w:leftChars="200"/>
    </w:pPr>
    <w:rPr>
      <w:rFonts w:ascii="Times New Roman" w:hAnsi="Times New Roman" w:eastAsia="宋体" w:cs="Times New Roman"/>
      <w:kern w:val="0"/>
      <w:sz w:val="16"/>
      <w:szCs w:val="16"/>
    </w:rPr>
  </w:style>
  <w:style w:type="paragraph" w:styleId="27">
    <w:name w:val="toc 2"/>
    <w:basedOn w:val="1"/>
    <w:next w:val="1"/>
    <w:qFormat/>
    <w:uiPriority w:val="39"/>
    <w:pPr>
      <w:ind w:left="210"/>
      <w:jc w:val="left"/>
    </w:pPr>
    <w:rPr>
      <w:rFonts w:ascii="Calibri" w:hAnsi="Calibri" w:cs="Calibri"/>
      <w:smallCaps/>
      <w:sz w:val="20"/>
      <w:szCs w:val="20"/>
    </w:rPr>
  </w:style>
  <w:style w:type="paragraph" w:styleId="28">
    <w:name w:val="toc 9"/>
    <w:basedOn w:val="1"/>
    <w:next w:val="1"/>
    <w:qFormat/>
    <w:uiPriority w:val="0"/>
    <w:pPr>
      <w:ind w:left="1680"/>
      <w:jc w:val="left"/>
    </w:pPr>
    <w:rPr>
      <w:rFonts w:ascii="Calibri" w:hAnsi="Calibri" w:cs="Calibri"/>
      <w:sz w:val="18"/>
      <w:szCs w:val="18"/>
    </w:rPr>
  </w:style>
  <w:style w:type="paragraph" w:styleId="29">
    <w:name w:val="HTML Preformatted"/>
    <w:basedOn w:val="1"/>
    <w:link w:val="6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0">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1">
    <w:name w:val="annotation subject"/>
    <w:basedOn w:val="10"/>
    <w:next w:val="10"/>
    <w:semiHidden/>
    <w:qFormat/>
    <w:uiPriority w:val="0"/>
    <w:rPr>
      <w:b/>
      <w:bCs/>
    </w:rPr>
  </w:style>
  <w:style w:type="paragraph" w:styleId="32">
    <w:name w:val="Body Text First Indent"/>
    <w:basedOn w:val="12"/>
    <w:qFormat/>
    <w:uiPriority w:val="0"/>
    <w:pPr>
      <w:ind w:firstLine="420"/>
    </w:pPr>
    <w:rPr>
      <w:rFonts w:ascii="仿宋_GB2312" w:hAnsi="宋体"/>
      <w:snapToGrid w:val="0"/>
      <w:sz w:val="30"/>
    </w:rPr>
  </w:style>
  <w:style w:type="paragraph" w:styleId="33">
    <w:name w:val="Body Text First Indent 2"/>
    <w:basedOn w:val="13"/>
    <w:qFormat/>
    <w:uiPriority w:val="0"/>
    <w:pPr>
      <w:ind w:firstLine="420" w:firstLineChars="200"/>
    </w:pPr>
  </w:style>
  <w:style w:type="table" w:styleId="35">
    <w:name w:val="Table Grid"/>
    <w:basedOn w:val="3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qFormat/>
    <w:uiPriority w:val="0"/>
    <w:rPr>
      <w:b/>
      <w:bCs/>
    </w:rPr>
  </w:style>
  <w:style w:type="character" w:styleId="38">
    <w:name w:val="page number"/>
    <w:basedOn w:val="36"/>
    <w:qFormat/>
    <w:uiPriority w:val="0"/>
  </w:style>
  <w:style w:type="character" w:styleId="39">
    <w:name w:val="FollowedHyperlink"/>
    <w:qFormat/>
    <w:uiPriority w:val="0"/>
    <w:rPr>
      <w:color w:val="800080"/>
      <w:u w:val="single"/>
    </w:rPr>
  </w:style>
  <w:style w:type="character" w:styleId="40">
    <w:name w:val="Emphasis"/>
    <w:qFormat/>
    <w:uiPriority w:val="20"/>
    <w:rPr>
      <w:color w:val="CC0000"/>
      <w:sz w:val="24"/>
      <w:szCs w:val="24"/>
    </w:rPr>
  </w:style>
  <w:style w:type="character" w:styleId="41">
    <w:name w:val="HTML Definition"/>
    <w:basedOn w:val="36"/>
    <w:qFormat/>
    <w:uiPriority w:val="0"/>
  </w:style>
  <w:style w:type="character" w:styleId="42">
    <w:name w:val="HTML Typewriter"/>
    <w:basedOn w:val="36"/>
    <w:qFormat/>
    <w:uiPriority w:val="0"/>
    <w:rPr>
      <w:rFonts w:hint="default" w:ascii="monospace" w:hAnsi="monospace" w:eastAsia="monospace" w:cs="monospace"/>
      <w:sz w:val="20"/>
    </w:rPr>
  </w:style>
  <w:style w:type="character" w:styleId="43">
    <w:name w:val="HTML Acronym"/>
    <w:basedOn w:val="36"/>
    <w:qFormat/>
    <w:uiPriority w:val="0"/>
  </w:style>
  <w:style w:type="character" w:styleId="44">
    <w:name w:val="HTML Variable"/>
    <w:basedOn w:val="36"/>
    <w:qFormat/>
    <w:uiPriority w:val="0"/>
  </w:style>
  <w:style w:type="character" w:styleId="45">
    <w:name w:val="Hyperlink"/>
    <w:basedOn w:val="36"/>
    <w:qFormat/>
    <w:uiPriority w:val="0"/>
    <w:rPr>
      <w:color w:val="0000FF"/>
      <w:u w:val="single"/>
    </w:rPr>
  </w:style>
  <w:style w:type="character" w:styleId="46">
    <w:name w:val="HTML Code"/>
    <w:basedOn w:val="36"/>
    <w:qFormat/>
    <w:uiPriority w:val="0"/>
    <w:rPr>
      <w:rFonts w:hint="default" w:ascii="monospace" w:hAnsi="monospace" w:eastAsia="monospace" w:cs="monospace"/>
      <w:sz w:val="20"/>
    </w:rPr>
  </w:style>
  <w:style w:type="character" w:styleId="47">
    <w:name w:val="annotation reference"/>
    <w:qFormat/>
    <w:uiPriority w:val="0"/>
    <w:rPr>
      <w:sz w:val="21"/>
      <w:szCs w:val="21"/>
    </w:rPr>
  </w:style>
  <w:style w:type="character" w:styleId="48">
    <w:name w:val="HTML Cite"/>
    <w:basedOn w:val="36"/>
    <w:qFormat/>
    <w:uiPriority w:val="0"/>
  </w:style>
  <w:style w:type="character" w:styleId="49">
    <w:name w:val="HTML Keyboard"/>
    <w:basedOn w:val="36"/>
    <w:qFormat/>
    <w:uiPriority w:val="0"/>
    <w:rPr>
      <w:rFonts w:hint="default" w:ascii="monospace" w:hAnsi="monospace" w:eastAsia="monospace" w:cs="monospace"/>
      <w:sz w:val="20"/>
    </w:rPr>
  </w:style>
  <w:style w:type="character" w:styleId="50">
    <w:name w:val="HTML Sample"/>
    <w:basedOn w:val="36"/>
    <w:qFormat/>
    <w:uiPriority w:val="0"/>
    <w:rPr>
      <w:rFonts w:ascii="monospace" w:hAnsi="monospace" w:eastAsia="monospace" w:cs="monospace"/>
    </w:rPr>
  </w:style>
  <w:style w:type="paragraph" w:customStyle="1" w:styleId="51">
    <w:name w:val="样式 正文11 + 首行缩进:  2 字符"/>
    <w:basedOn w:val="1"/>
    <w:autoRedefine/>
    <w:qFormat/>
    <w:uiPriority w:val="0"/>
    <w:pPr>
      <w:spacing w:line="500" w:lineRule="exact"/>
      <w:ind w:firstLine="560"/>
    </w:pPr>
    <w:rPr>
      <w:color w:val="FF0000"/>
      <w:sz w:val="28"/>
    </w:rPr>
  </w:style>
  <w:style w:type="paragraph" w:customStyle="1" w:styleId="52">
    <w:name w:val="*正文"/>
    <w:basedOn w:val="1"/>
    <w:qFormat/>
    <w:uiPriority w:val="0"/>
    <w:pPr>
      <w:keepNext/>
      <w:keepLines/>
      <w:spacing w:line="360" w:lineRule="auto"/>
      <w:ind w:firstLine="200" w:firstLineChars="200"/>
    </w:pPr>
    <w:rPr>
      <w:rFonts w:ascii="宋体" w:hAnsi="宋体"/>
    </w:rPr>
  </w:style>
  <w:style w:type="paragraph" w:customStyle="1" w:styleId="5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4">
    <w:name w:val="表格文字"/>
    <w:basedOn w:val="1"/>
    <w:next w:val="12"/>
    <w:qFormat/>
    <w:uiPriority w:val="0"/>
    <w:pPr>
      <w:adjustRightInd w:val="0"/>
      <w:spacing w:line="420" w:lineRule="atLeast"/>
      <w:jc w:val="left"/>
      <w:textAlignment w:val="baseline"/>
    </w:pPr>
    <w:rPr>
      <w:kern w:val="0"/>
      <w:szCs w:val="20"/>
    </w:rPr>
  </w:style>
  <w:style w:type="character" w:customStyle="1" w:styleId="55">
    <w:name w:val="标题 1 Char"/>
    <w:link w:val="2"/>
    <w:qFormat/>
    <w:uiPriority w:val="0"/>
    <w:rPr>
      <w:b/>
      <w:bCs/>
      <w:kern w:val="44"/>
      <w:sz w:val="44"/>
      <w:szCs w:val="44"/>
    </w:rPr>
  </w:style>
  <w:style w:type="character" w:customStyle="1" w:styleId="56">
    <w:name w:val="标题 2 Char"/>
    <w:basedOn w:val="36"/>
    <w:link w:val="3"/>
    <w:semiHidden/>
    <w:qFormat/>
    <w:uiPriority w:val="0"/>
    <w:rPr>
      <w:rFonts w:ascii="Cambria" w:hAnsi="Cambria" w:eastAsia="宋体" w:cs="Times New Roman"/>
      <w:b/>
      <w:bCs/>
      <w:kern w:val="2"/>
      <w:sz w:val="32"/>
      <w:szCs w:val="32"/>
    </w:rPr>
  </w:style>
  <w:style w:type="paragraph" w:customStyle="1" w:styleId="57">
    <w:name w:val="样式1"/>
    <w:basedOn w:val="1"/>
    <w:next w:val="7"/>
    <w:qFormat/>
    <w:uiPriority w:val="0"/>
    <w:rPr>
      <w:rFonts w:ascii="宋体" w:hAnsi="宋体"/>
      <w:szCs w:val="21"/>
    </w:rPr>
  </w:style>
  <w:style w:type="character" w:customStyle="1" w:styleId="58">
    <w:name w:val="纯文本 Char"/>
    <w:link w:val="16"/>
    <w:qFormat/>
    <w:uiPriority w:val="0"/>
    <w:rPr>
      <w:rFonts w:ascii="宋体" w:hAnsi="Courier New" w:eastAsia="宋体"/>
      <w:kern w:val="2"/>
      <w:sz w:val="21"/>
      <w:lang w:val="en-US" w:eastAsia="zh-CN" w:bidi="ar-SA"/>
    </w:rPr>
  </w:style>
  <w:style w:type="character" w:customStyle="1" w:styleId="59">
    <w:name w:val="正文缩进 Char"/>
    <w:link w:val="6"/>
    <w:qFormat/>
    <w:uiPriority w:val="0"/>
    <w:rPr>
      <w:kern w:val="2"/>
      <w:sz w:val="21"/>
    </w:rPr>
  </w:style>
  <w:style w:type="character" w:customStyle="1" w:styleId="60">
    <w:name w:val="正文文本缩进 Char"/>
    <w:link w:val="13"/>
    <w:qFormat/>
    <w:uiPriority w:val="0"/>
    <w:rPr>
      <w:kern w:val="2"/>
      <w:sz w:val="21"/>
      <w:szCs w:val="24"/>
    </w:rPr>
  </w:style>
  <w:style w:type="character" w:customStyle="1" w:styleId="61">
    <w:name w:val="批注文字 Char"/>
    <w:link w:val="10"/>
    <w:qFormat/>
    <w:uiPriority w:val="0"/>
    <w:rPr>
      <w:kern w:val="2"/>
      <w:sz w:val="21"/>
      <w:szCs w:val="24"/>
    </w:rPr>
  </w:style>
  <w:style w:type="character" w:customStyle="1" w:styleId="62">
    <w:name w:val="日期 Char"/>
    <w:link w:val="18"/>
    <w:qFormat/>
    <w:uiPriority w:val="0"/>
    <w:rPr>
      <w:kern w:val="2"/>
      <w:sz w:val="21"/>
      <w:szCs w:val="24"/>
    </w:rPr>
  </w:style>
  <w:style w:type="character" w:customStyle="1" w:styleId="63">
    <w:name w:val="页脚 Char"/>
    <w:link w:val="20"/>
    <w:qFormat/>
    <w:uiPriority w:val="99"/>
    <w:rPr>
      <w:kern w:val="2"/>
      <w:sz w:val="18"/>
      <w:szCs w:val="18"/>
    </w:rPr>
  </w:style>
  <w:style w:type="character" w:customStyle="1" w:styleId="64">
    <w:name w:val="HTML 预设格式 Char"/>
    <w:link w:val="29"/>
    <w:qFormat/>
    <w:uiPriority w:val="99"/>
    <w:rPr>
      <w:rFonts w:ascii="宋体" w:hAnsi="宋体" w:cs="宋体"/>
      <w:sz w:val="24"/>
      <w:szCs w:val="24"/>
    </w:rPr>
  </w:style>
  <w:style w:type="character" w:customStyle="1" w:styleId="65">
    <w:name w:val="标题 2 Char1"/>
    <w:qFormat/>
    <w:uiPriority w:val="0"/>
    <w:rPr>
      <w:rFonts w:ascii="Arial" w:hAnsi="Arial" w:eastAsia="黑体" w:cs="Times New Roman"/>
      <w:b/>
      <w:bCs/>
      <w:sz w:val="32"/>
      <w:szCs w:val="32"/>
    </w:rPr>
  </w:style>
  <w:style w:type="character" w:customStyle="1" w:styleId="66">
    <w:name w:val="无间距字符"/>
    <w:link w:val="67"/>
    <w:qFormat/>
    <w:uiPriority w:val="0"/>
    <w:rPr>
      <w:kern w:val="2"/>
      <w:sz w:val="21"/>
      <w:szCs w:val="32"/>
    </w:rPr>
  </w:style>
  <w:style w:type="paragraph" w:customStyle="1" w:styleId="67">
    <w:name w:val="无间距"/>
    <w:basedOn w:val="1"/>
    <w:link w:val="66"/>
    <w:qFormat/>
    <w:uiPriority w:val="0"/>
    <w:rPr>
      <w:szCs w:val="32"/>
    </w:rPr>
  </w:style>
  <w:style w:type="character" w:customStyle="1" w:styleId="68">
    <w:name w:val="纯文本 Char1"/>
    <w:qFormat/>
    <w:uiPriority w:val="0"/>
    <w:rPr>
      <w:rFonts w:ascii="宋体" w:hAnsi="Courier New" w:eastAsia="宋体"/>
      <w:kern w:val="2"/>
      <w:sz w:val="21"/>
      <w:lang w:val="en-US" w:eastAsia="zh-CN" w:bidi="ar-SA"/>
    </w:rPr>
  </w:style>
  <w:style w:type="character" w:customStyle="1" w:styleId="69">
    <w:name w:val="at_4"/>
    <w:basedOn w:val="36"/>
    <w:qFormat/>
    <w:uiPriority w:val="0"/>
  </w:style>
  <w:style w:type="character" w:customStyle="1" w:styleId="70">
    <w:name w:val="正文缩进 Char1"/>
    <w:qFormat/>
    <w:uiPriority w:val="0"/>
    <w:rPr>
      <w:rFonts w:eastAsia="宋体"/>
      <w:kern w:val="2"/>
      <w:sz w:val="21"/>
      <w:lang w:val="en-US" w:eastAsia="zh-CN" w:bidi="ar-SA"/>
    </w:rPr>
  </w:style>
  <w:style w:type="character" w:customStyle="1" w:styleId="71">
    <w:name w:val="HTML 预设格式 Char1"/>
    <w:qFormat/>
    <w:uiPriority w:val="0"/>
    <w:rPr>
      <w:rFonts w:ascii="Courier New" w:hAnsi="Courier New" w:cs="Courier New"/>
      <w:kern w:val="2"/>
    </w:rPr>
  </w:style>
  <w:style w:type="character" w:customStyle="1" w:styleId="72">
    <w:name w:val=" Char Char10"/>
    <w:qFormat/>
    <w:uiPriority w:val="0"/>
    <w:rPr>
      <w:rFonts w:eastAsia="宋体"/>
      <w:kern w:val="2"/>
      <w:sz w:val="21"/>
      <w:szCs w:val="24"/>
      <w:lang w:val="en-US" w:eastAsia="zh-CN" w:bidi="ar-SA"/>
    </w:rPr>
  </w:style>
  <w:style w:type="character" w:customStyle="1" w:styleId="73">
    <w:name w:val="font21"/>
    <w:qFormat/>
    <w:uiPriority w:val="0"/>
    <w:rPr>
      <w:rFonts w:hint="eastAsia" w:ascii="宋体" w:hAnsi="宋体" w:eastAsia="宋体" w:cs="宋体"/>
      <w:color w:val="000000"/>
      <w:sz w:val="20"/>
      <w:szCs w:val="20"/>
      <w:u w:val="none"/>
    </w:rPr>
  </w:style>
  <w:style w:type="character" w:customStyle="1" w:styleId="74">
    <w:name w:val=" Char Char1"/>
    <w:qFormat/>
    <w:uiPriority w:val="0"/>
    <w:rPr>
      <w:rFonts w:ascii="宋体" w:hAnsi="Courier New" w:eastAsia="宋体"/>
      <w:kern w:val="2"/>
      <w:sz w:val="21"/>
      <w:lang w:val="en-US" w:eastAsia="zh-CN" w:bidi="ar-SA"/>
    </w:rPr>
  </w:style>
  <w:style w:type="paragraph" w:customStyle="1" w:styleId="75">
    <w:name w:val="Table Paragraph"/>
    <w:basedOn w:val="1"/>
    <w:qFormat/>
    <w:uiPriority w:val="1"/>
    <w:rPr>
      <w:rFonts w:ascii="Calibri" w:hAnsi="Calibri"/>
    </w:rPr>
  </w:style>
  <w:style w:type="paragraph" w:customStyle="1" w:styleId="76">
    <w:name w:val="Plain Text"/>
    <w:basedOn w:val="1"/>
    <w:qFormat/>
    <w:uiPriority w:val="0"/>
    <w:pPr>
      <w:adjustRightInd w:val="0"/>
      <w:textAlignment w:val="baseline"/>
    </w:pPr>
    <w:rPr>
      <w:rFonts w:ascii="宋体" w:hAnsi="Courier New" w:eastAsia="楷体_GB2312"/>
      <w:sz w:val="26"/>
      <w:szCs w:val="20"/>
    </w:rPr>
  </w:style>
  <w:style w:type="paragraph" w:customStyle="1" w:styleId="77">
    <w:name w:val="彩色列表 - 强调文字颜色 11"/>
    <w:basedOn w:val="1"/>
    <w:qFormat/>
    <w:uiPriority w:val="34"/>
    <w:pPr>
      <w:ind w:firstLine="420" w:firstLineChars="200"/>
    </w:pPr>
  </w:style>
  <w:style w:type="paragraph" w:customStyle="1" w:styleId="78">
    <w:name w:val="Char1 Char Char Char Char Char Char"/>
    <w:basedOn w:val="1"/>
    <w:qFormat/>
    <w:uiPriority w:val="0"/>
    <w:rPr>
      <w:rFonts w:ascii="Tahoma" w:hAnsi="Tahoma"/>
      <w:sz w:val="24"/>
      <w:szCs w:val="20"/>
    </w:rPr>
  </w:style>
  <w:style w:type="paragraph" w:customStyle="1" w:styleId="79">
    <w:name w:val="_Style 5"/>
    <w:qFormat/>
    <w:uiPriority w:val="1"/>
    <w:rPr>
      <w:rFonts w:ascii="Times New Roman" w:hAnsi="Times New Roman" w:eastAsia="宋体" w:cs="Times New Roman"/>
      <w:sz w:val="22"/>
      <w:szCs w:val="22"/>
      <w:lang w:val="en-US" w:eastAsia="zh-CN" w:bidi="ar-SA"/>
    </w:rPr>
  </w:style>
  <w:style w:type="paragraph" w:customStyle="1" w:styleId="80">
    <w:name w:val="列出段落1"/>
    <w:basedOn w:val="1"/>
    <w:qFormat/>
    <w:uiPriority w:val="0"/>
    <w:pPr>
      <w:ind w:firstLine="420" w:firstLineChars="200"/>
    </w:pPr>
    <w:rPr>
      <w:rFonts w:ascii="Calibri" w:hAnsi="Calibri"/>
      <w:szCs w:val="22"/>
    </w:rPr>
  </w:style>
  <w:style w:type="paragraph" w:customStyle="1" w:styleId="81">
    <w:name w:val="BodyText"/>
    <w:basedOn w:val="1"/>
    <w:qFormat/>
    <w:uiPriority w:val="0"/>
    <w:pPr>
      <w:spacing w:after="120"/>
      <w:textAlignment w:val="baseline"/>
    </w:pPr>
  </w:style>
  <w:style w:type="paragraph" w:customStyle="1" w:styleId="82">
    <w:name w:val="List Paragraph"/>
    <w:basedOn w:val="1"/>
    <w:qFormat/>
    <w:uiPriority w:val="34"/>
    <w:pPr>
      <w:ind w:firstLine="420" w:firstLineChars="200"/>
    </w:pPr>
  </w:style>
  <w:style w:type="paragraph" w:customStyle="1" w:styleId="83">
    <w:name w:val="TOC Heading"/>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4">
    <w:name w:val="一级条标题"/>
    <w:basedOn w:val="1"/>
    <w:next w:val="85"/>
    <w:qFormat/>
    <w:uiPriority w:val="0"/>
    <w:pPr>
      <w:widowControl/>
      <w:numPr>
        <w:ilvl w:val="2"/>
        <w:numId w:val="1"/>
      </w:numPr>
      <w:tabs>
        <w:tab w:val="left" w:pos="30"/>
      </w:tabs>
      <w:outlineLvl w:val="2"/>
    </w:pPr>
    <w:rPr>
      <w:rFonts w:ascii="黑体" w:eastAsia="黑体"/>
      <w:kern w:val="0"/>
      <w:szCs w:val="20"/>
    </w:rPr>
  </w:style>
  <w:style w:type="paragraph" w:customStyle="1" w:styleId="8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6">
    <w:name w:val="二级条标题"/>
    <w:basedOn w:val="84"/>
    <w:next w:val="85"/>
    <w:qFormat/>
    <w:uiPriority w:val="0"/>
    <w:pPr>
      <w:numPr>
        <w:ilvl w:val="5"/>
      </w:numPr>
      <w:tabs>
        <w:tab w:val="left" w:pos="2933"/>
      </w:tabs>
      <w:outlineLvl w:val="3"/>
    </w:pPr>
  </w:style>
  <w:style w:type="paragraph" w:customStyle="1" w:styleId="87">
    <w:name w:val="1"/>
    <w:basedOn w:val="1"/>
    <w:next w:val="16"/>
    <w:qFormat/>
    <w:uiPriority w:val="0"/>
    <w:rPr>
      <w:rFonts w:ascii="宋体" w:hAnsi="Courier New"/>
      <w:szCs w:val="20"/>
    </w:rPr>
  </w:style>
  <w:style w:type="paragraph" w:customStyle="1" w:styleId="88">
    <w:name w:val="_Style 29"/>
    <w:basedOn w:val="1"/>
    <w:qFormat/>
    <w:uiPriority w:val="0"/>
    <w:rPr>
      <w:rFonts w:ascii="Tahoma" w:hAnsi="Tahoma"/>
      <w:sz w:val="24"/>
      <w:szCs w:val="20"/>
    </w:rPr>
  </w:style>
  <w:style w:type="paragraph" w:customStyle="1" w:styleId="89">
    <w:name w:val="中等深浅网格 21"/>
    <w:basedOn w:val="1"/>
    <w:qFormat/>
    <w:uiPriority w:val="0"/>
    <w:rPr>
      <w:szCs w:val="32"/>
    </w:rPr>
  </w:style>
  <w:style w:type="paragraph" w:customStyle="1" w:styleId="90">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1">
    <w:name w:val="_Style 1"/>
    <w:basedOn w:val="1"/>
    <w:qFormat/>
    <w:uiPriority w:val="0"/>
    <w:pPr>
      <w:ind w:firstLine="420"/>
    </w:pPr>
    <w:rPr>
      <w:rFonts w:ascii="Calibri" w:hAnsi="Calibri"/>
      <w:kern w:val="1"/>
      <w:szCs w:val="22"/>
    </w:rPr>
  </w:style>
  <w:style w:type="paragraph" w:customStyle="1" w:styleId="92">
    <w:name w:val="三级条标题"/>
    <w:basedOn w:val="86"/>
    <w:next w:val="85"/>
    <w:qFormat/>
    <w:uiPriority w:val="0"/>
    <w:pPr>
      <w:numPr>
        <w:ilvl w:val="6"/>
      </w:numPr>
      <w:tabs>
        <w:tab w:val="left" w:pos="3353"/>
      </w:tabs>
      <w:outlineLvl w:val="4"/>
    </w:pPr>
  </w:style>
  <w:style w:type="character" w:customStyle="1" w:styleId="93">
    <w:name w:val="NormalCharacter"/>
    <w:semiHidden/>
    <w:qFormat/>
    <w:uiPriority w:val="0"/>
  </w:style>
  <w:style w:type="paragraph" w:customStyle="1" w:styleId="94">
    <w:name w:val="Heading2"/>
    <w:basedOn w:val="1"/>
    <w:next w:val="1"/>
    <w:qFormat/>
    <w:uiPriority w:val="0"/>
    <w:pPr>
      <w:keepNext/>
      <w:keepLines/>
      <w:spacing w:before="260" w:after="260" w:line="416" w:lineRule="auto"/>
      <w:ind w:left="-1575"/>
    </w:pPr>
    <w:rPr>
      <w:rFonts w:ascii="Arial" w:hAnsi="Arial" w:eastAsia="黑体" w:cs="Times New Roman"/>
      <w:b/>
      <w:bCs/>
      <w:sz w:val="32"/>
      <w:szCs w:val="32"/>
    </w:rPr>
  </w:style>
  <w:style w:type="paragraph" w:customStyle="1" w:styleId="95">
    <w:name w:val="页脚1"/>
    <w:basedOn w:val="1"/>
    <w:qFormat/>
    <w:uiPriority w:val="0"/>
    <w:pPr>
      <w:tabs>
        <w:tab w:val="center" w:pos="4153"/>
        <w:tab w:val="right" w:pos="8306"/>
      </w:tabs>
      <w:snapToGrid w:val="0"/>
      <w:jc w:val="left"/>
    </w:pPr>
    <w:rPr>
      <w:sz w:val="18"/>
      <w:szCs w:val="18"/>
    </w:rPr>
  </w:style>
  <w:style w:type="character" w:customStyle="1" w:styleId="96">
    <w:name w:val="批注引用1"/>
    <w:qFormat/>
    <w:uiPriority w:val="0"/>
    <w:rPr>
      <w:rFonts w:ascii="Times New Roman" w:hAnsi="Times New Roman" w:eastAsia="宋体" w:cs="Times New Roman"/>
      <w:kern w:val="2"/>
      <w:sz w:val="21"/>
      <w:szCs w:val="24"/>
      <w:lang w:val="en-US" w:eastAsia="zh-CN" w:bidi="ar-SA"/>
    </w:rPr>
  </w:style>
  <w:style w:type="table" w:customStyle="1" w:styleId="97">
    <w:name w:val="Table Normal"/>
    <w:semiHidden/>
    <w:unhideWhenUsed/>
    <w:qFormat/>
    <w:uiPriority w:val="0"/>
    <w:tblPr>
      <w:tblCellMar>
        <w:top w:w="0" w:type="dxa"/>
        <w:left w:w="0" w:type="dxa"/>
        <w:bottom w:w="0" w:type="dxa"/>
        <w:right w:w="0" w:type="dxa"/>
      </w:tblCellMar>
    </w:tblPr>
  </w:style>
  <w:style w:type="paragraph" w:customStyle="1" w:styleId="98">
    <w:name w:val="List Paragraph1"/>
    <w:basedOn w:val="1"/>
    <w:qFormat/>
    <w:uiPriority w:val="0"/>
    <w:pPr>
      <w:ind w:firstLine="420"/>
    </w:pPr>
    <w:rPr>
      <w:rFonts w:ascii="Times New Roman" w:hAnsi="Times New Roman" w:eastAsia="宋体" w:cs="Times New Roman"/>
    </w:rPr>
  </w:style>
  <w:style w:type="paragraph" w:customStyle="1" w:styleId="99">
    <w:name w:val="Body text|1"/>
    <w:basedOn w:val="1"/>
    <w:qFormat/>
    <w:uiPriority w:val="0"/>
    <w:pPr>
      <w:widowControl w:val="0"/>
      <w:shd w:val="clear" w:color="auto" w:fill="auto"/>
      <w:spacing w:line="283" w:lineRule="auto"/>
    </w:pPr>
    <w:rPr>
      <w:rFonts w:ascii="宋体" w:hAnsi="宋体" w:eastAsia="宋体" w:cs="宋体"/>
      <w:u w:val="none"/>
      <w:shd w:val="clear" w:color="auto" w:fill="auto"/>
      <w:lang w:val="zh-TW" w:eastAsia="zh-TW" w:bidi="zh-TW"/>
    </w:rPr>
  </w:style>
  <w:style w:type="character" w:customStyle="1" w:styleId="100">
    <w:name w:val="first-child"/>
    <w:basedOn w:val="36"/>
    <w:qFormat/>
    <w:uiPriority w:val="0"/>
  </w:style>
  <w:style w:type="character" w:customStyle="1" w:styleId="101">
    <w:name w:val="layui-layer-tabnow"/>
    <w:basedOn w:val="36"/>
    <w:qFormat/>
    <w:uiPriority w:val="0"/>
    <w:rPr>
      <w:bdr w:val="single" w:color="CCCCCC" w:sz="4" w:space="0"/>
      <w:shd w:val="clear" w:fill="FFFFFF"/>
    </w:rPr>
  </w:style>
  <w:style w:type="paragraph" w:customStyle="1" w:styleId="102">
    <w:name w:val="样式 标题 3 + (中文) 黑体 小四 非加粗 段前: 7.8 磅 段后: 0 磅 行距: 固定值 20 磅"/>
    <w:basedOn w:val="4"/>
    <w:autoRedefine/>
    <w:qFormat/>
    <w:uiPriority w:val="0"/>
    <w:pPr>
      <w:spacing w:before="0" w:after="0" w:line="400" w:lineRule="exact"/>
    </w:pPr>
    <w:rPr>
      <w:rFonts w:eastAsia="黑体" w:cs="宋体"/>
      <w:b w:val="0"/>
      <w:bCs w:val="0"/>
      <w:sz w:val="24"/>
      <w:szCs w:val="20"/>
    </w:rPr>
  </w:style>
  <w:style w:type="paragraph" w:styleId="103">
    <w:name w:val="No Spacing"/>
    <w:qFormat/>
    <w:uiPriority w:val="1"/>
    <w:pPr>
      <w:widowControl w:val="0"/>
      <w:jc w:val="both"/>
    </w:pPr>
    <w:rPr>
      <w:rFonts w:ascii="Times New Roman" w:hAnsi="Times New Roman" w:eastAsia="宋体" w:cs="Calibri"/>
      <w:kern w:val="2"/>
      <w:sz w:val="21"/>
      <w:szCs w:val="21"/>
      <w:lang w:val="en-US" w:eastAsia="zh-CN" w:bidi="ar-SA"/>
    </w:rPr>
  </w:style>
  <w:style w:type="paragraph" w:customStyle="1" w:styleId="104">
    <w:name w:val="正文1"/>
    <w:basedOn w:val="1"/>
    <w:qFormat/>
    <w:uiPriority w:val="0"/>
    <w:pPr>
      <w:keepNext w:val="0"/>
      <w:keepLines w:val="0"/>
      <w:widowControl/>
      <w:suppressLineNumbers w:val="0"/>
      <w:adjustRightInd w:val="0"/>
      <w:spacing w:beforeAutospacing="0" w:afterAutospacing="0"/>
      <w:ind w:left="0" w:right="0" w:firstLine="200" w:firstLineChars="200"/>
      <w:contextualSpacing/>
      <w:jc w:val="left"/>
    </w:pPr>
    <w:rPr>
      <w:rFonts w:cs="宋体"/>
      <w:lang w:bidi="ar"/>
    </w:rPr>
  </w:style>
  <w:style w:type="paragraph" w:customStyle="1" w:styleId="105">
    <w:name w:val="_Style 12"/>
    <w:next w:val="82"/>
    <w:qFormat/>
    <w:uiPriority w:val="1"/>
    <w:pPr>
      <w:widowControl w:val="0"/>
      <w:ind w:firstLine="420" w:firstLineChars="20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56</Pages>
  <Words>12802</Words>
  <Characters>13997</Characters>
  <Lines>219</Lines>
  <Paragraphs>61</Paragraphs>
  <TotalTime>1</TotalTime>
  <ScaleCrop>false</ScaleCrop>
  <LinksUpToDate>false</LinksUpToDate>
  <CharactersWithSpaces>14229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2021-01-22T08:53:00Z</dcterms:created>
  <dc:creator>微软用户</dc:creator>
  <cp:lastModifiedBy>李 撕 葱</cp:lastModifiedBy>
  <cp:lastPrinted>2023-12-13T00:41:00Z</cp:lastPrinted>
  <dcterms:modified xsi:type="dcterms:W3CDTF">2025-07-06T03:58:12Z</dcterms:modified>
  <dc:title>医疗设备采购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319E41DFDDFA400B800956E851BD2564_13</vt:lpwstr>
  </property>
  <property fmtid="{D5CDD505-2E9C-101B-9397-08002B2CF9AE}" pid="4" name="KSOTemplateDocerSaveRecord">
    <vt:lpwstr>eyJoZGlkIjoiYTEzOTdmNjZmMTNjZTgxYjM4OTEwYTA1NmVmMTIyMDciLCJ1c2VySWQiOiIyMzY4NjYzMDcifQ==</vt:lpwstr>
  </property>
</Properties>
</file>