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10C1B">
      <w:pPr>
        <w:snapToGrid w:val="0"/>
        <w:spacing w:beforeLines="100" w:line="240" w:lineRule="auto"/>
        <w:jc w:val="both"/>
        <w:rPr>
          <w:rFonts w:hint="eastAsia" w:cs="Times New Roman" w:asciiTheme="minorHAnsi" w:hAnsiTheme="minorHAnsi" w:eastAsiaTheme="minorEastAsia"/>
          <w:color w:val="auto"/>
          <w:kern w:val="0"/>
          <w:sz w:val="24"/>
          <w:szCs w:val="24"/>
          <w:lang w:val="en-US" w:eastAsia="zh-CN" w:bidi="ar-SA"/>
        </w:rPr>
      </w:pPr>
      <w:bookmarkStart w:id="0" w:name="_Toc14285"/>
      <w:bookmarkStart w:id="1" w:name="_Toc30213"/>
      <w:bookmarkStart w:id="2" w:name="_Toc247085687"/>
      <w:bookmarkStart w:id="3" w:name="_Toc246996916"/>
      <w:bookmarkStart w:id="4" w:name="_Toc152045527"/>
      <w:bookmarkStart w:id="5" w:name="_Toc144974495"/>
      <w:bookmarkStart w:id="6" w:name="_Toc179632544"/>
      <w:bookmarkStart w:id="7" w:name="_Toc152042303"/>
      <w:bookmarkStart w:id="8" w:name="_Toc246996173"/>
    </w:p>
    <w:p w14:paraId="20BBB202">
      <w:pPr>
        <w:pStyle w:val="20"/>
        <w:jc w:val="center"/>
        <w:rPr>
          <w:rFonts w:hint="eastAsia" w:cs="Times New Roman"/>
          <w:color w:val="auto"/>
          <w:kern w:val="0"/>
          <w:sz w:val="36"/>
          <w:szCs w:val="36"/>
          <w:lang w:val="en-US" w:eastAsia="zh-CN" w:bidi="ar-SA"/>
        </w:rPr>
      </w:pPr>
      <w:r>
        <w:rPr>
          <w:rFonts w:hint="eastAsia" w:cs="Times New Roman"/>
          <w:color w:val="auto"/>
          <w:kern w:val="0"/>
          <w:sz w:val="36"/>
          <w:szCs w:val="36"/>
          <w:lang w:val="en-US" w:eastAsia="zh-CN" w:bidi="ar-SA"/>
        </w:rPr>
        <w:t>吉林电子信息职业技术学院</w:t>
      </w:r>
    </w:p>
    <w:p w14:paraId="2BD5C14F">
      <w:pPr>
        <w:pStyle w:val="20"/>
        <w:jc w:val="center"/>
        <w:rPr>
          <w:rFonts w:hint="default" w:cs="Times New Roman" w:asciiTheme="minorHAnsi" w:hAnsiTheme="minorHAnsi" w:eastAsiaTheme="minorEastAsia"/>
          <w:color w:val="auto"/>
          <w:kern w:val="0"/>
          <w:sz w:val="36"/>
          <w:szCs w:val="36"/>
          <w:lang w:val="en-US" w:eastAsia="zh-CN" w:bidi="ar-SA"/>
        </w:rPr>
      </w:pPr>
      <w:r>
        <w:rPr>
          <w:rFonts w:hint="eastAsia" w:cs="Times New Roman"/>
          <w:color w:val="auto"/>
          <w:kern w:val="0"/>
          <w:sz w:val="36"/>
          <w:szCs w:val="36"/>
          <w:lang w:val="en-US" w:eastAsia="zh-CN" w:bidi="ar-SA"/>
        </w:rPr>
        <w:t>特种作业高/低压电工培训考核实训室项目</w:t>
      </w:r>
    </w:p>
    <w:p w14:paraId="04DE7EBD">
      <w:pPr>
        <w:rPr>
          <w:rFonts w:hint="eastAsia"/>
          <w:color w:val="auto"/>
        </w:rPr>
      </w:pPr>
    </w:p>
    <w:p w14:paraId="0ABF55FF">
      <w:pPr>
        <w:pStyle w:val="42"/>
        <w:rPr>
          <w:rFonts w:hint="eastAsia"/>
        </w:rPr>
      </w:pPr>
    </w:p>
    <w:p w14:paraId="2959E68D">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14:paraId="6C3C589A">
      <w:pPr>
        <w:snapToGrid w:val="0"/>
        <w:jc w:val="center"/>
        <w:rPr>
          <w:rFonts w:hint="eastAsia" w:ascii="宋体" w:hAnsi="宋体"/>
          <w:b/>
          <w:bCs/>
          <w:color w:val="auto"/>
          <w:sz w:val="44"/>
          <w:szCs w:val="44"/>
          <w:lang w:eastAsia="zh-CN"/>
        </w:rPr>
      </w:pPr>
    </w:p>
    <w:p w14:paraId="0952172B">
      <w:pPr>
        <w:snapToGrid w:val="0"/>
        <w:rPr>
          <w:rFonts w:ascii="宋体" w:hAnsi="宋体"/>
          <w:color w:val="auto"/>
          <w:sz w:val="28"/>
          <w:szCs w:val="28"/>
        </w:rPr>
      </w:pPr>
    </w:p>
    <w:p w14:paraId="74E95A02">
      <w:pPr>
        <w:snapToGrid w:val="0"/>
        <w:rPr>
          <w:rFonts w:ascii="宋体" w:hAnsi="宋体"/>
          <w:color w:val="auto"/>
          <w:sz w:val="28"/>
          <w:szCs w:val="28"/>
        </w:rPr>
      </w:pPr>
    </w:p>
    <w:p w14:paraId="43A2DD05">
      <w:pPr>
        <w:snapToGrid w:val="0"/>
        <w:rPr>
          <w:rFonts w:ascii="宋体" w:hAnsi="宋体"/>
          <w:color w:val="auto"/>
          <w:sz w:val="28"/>
          <w:szCs w:val="28"/>
        </w:rPr>
      </w:pPr>
    </w:p>
    <w:p w14:paraId="32E6B4DB">
      <w:pPr>
        <w:pStyle w:val="12"/>
        <w:rPr>
          <w:color w:val="auto"/>
        </w:rPr>
      </w:pPr>
    </w:p>
    <w:p w14:paraId="20AA96C2">
      <w:pPr>
        <w:snapToGrid w:val="0"/>
        <w:rPr>
          <w:rFonts w:ascii="宋体" w:hAnsi="宋体"/>
          <w:color w:val="auto"/>
          <w:sz w:val="28"/>
          <w:szCs w:val="28"/>
        </w:rPr>
      </w:pPr>
    </w:p>
    <w:p w14:paraId="6646AADD">
      <w:pPr>
        <w:pStyle w:val="44"/>
        <w:rPr>
          <w:rFonts w:ascii="宋体" w:hAnsi="宋体"/>
          <w:color w:val="auto"/>
          <w:sz w:val="28"/>
          <w:szCs w:val="28"/>
        </w:rPr>
      </w:pPr>
    </w:p>
    <w:p w14:paraId="2DE4A62A">
      <w:pPr>
        <w:snapToGrid w:val="0"/>
        <w:rPr>
          <w:rFonts w:ascii="宋体" w:hAnsi="宋体"/>
          <w:color w:val="auto"/>
          <w:sz w:val="28"/>
          <w:szCs w:val="28"/>
        </w:rPr>
      </w:pPr>
    </w:p>
    <w:p w14:paraId="35E2FAF9">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14:paraId="430E3526">
      <w:pPr>
        <w:autoSpaceDE w:val="0"/>
        <w:autoSpaceDN w:val="0"/>
        <w:adjustRightInd w:val="0"/>
        <w:snapToGrid w:val="0"/>
        <w:spacing w:line="520" w:lineRule="exact"/>
        <w:ind w:firstLine="1960" w:firstLineChars="700"/>
        <w:jc w:val="both"/>
        <w:outlineLvl w:val="9"/>
        <w:rPr>
          <w:rFonts w:hint="eastAsia" w:ascii="宋体" w:hAnsi="宋体" w:eastAsiaTheme="minorEastAsia"/>
          <w:color w:val="auto"/>
          <w:sz w:val="28"/>
          <w:szCs w:val="28"/>
          <w:highlight w:val="none"/>
          <w:lang w:val="en-US" w:eastAsia="zh-CN"/>
        </w:rPr>
      </w:pPr>
      <w:r>
        <w:rPr>
          <w:rFonts w:hint="eastAsia" w:ascii="宋体" w:hAnsi="宋体"/>
          <w:color w:val="auto"/>
          <w:sz w:val="28"/>
          <w:szCs w:val="28"/>
          <w:highlight w:val="none"/>
          <w:lang w:val="en-US" w:eastAsia="zh-CN"/>
        </w:rPr>
        <w:t>项目</w:t>
      </w:r>
      <w:r>
        <w:rPr>
          <w:rFonts w:hint="eastAsia" w:ascii="宋体" w:hAnsi="宋体"/>
          <w:color w:val="auto"/>
          <w:sz w:val="28"/>
          <w:szCs w:val="28"/>
          <w:highlight w:val="none"/>
        </w:rPr>
        <w:t>编号：</w:t>
      </w:r>
      <w:r>
        <w:rPr>
          <w:rFonts w:hint="eastAsia" w:ascii="宋体" w:hAnsi="宋体"/>
          <w:color w:val="auto"/>
          <w:sz w:val="28"/>
          <w:szCs w:val="28"/>
          <w:highlight w:val="none"/>
          <w:lang w:eastAsia="zh-CN"/>
        </w:rPr>
        <w:t>采购计划-[2025]-06951号-01</w:t>
      </w:r>
    </w:p>
    <w:p w14:paraId="066B3E70">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吉林电子信息职业技术学院</w:t>
      </w:r>
    </w:p>
    <w:p w14:paraId="3CDDCAF3">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吉林亿品工程项目管理有限公司</w:t>
      </w:r>
    </w:p>
    <w:p w14:paraId="6544A724">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14:paraId="1C72C194">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lang w:val="zh-CN"/>
        </w:rPr>
        <w:t>月</w:t>
      </w:r>
    </w:p>
    <w:p w14:paraId="15E09634">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14:paraId="0C9C1C56">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14:paraId="7AD14A93">
      <w:pPr>
        <w:pStyle w:val="44"/>
        <w:rPr>
          <w:color w:val="auto"/>
          <w:lang w:val="zh-CN"/>
        </w:rPr>
      </w:pPr>
    </w:p>
    <w:p w14:paraId="7D7B7AC8">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289B74C1">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475B01A7">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4D63BF46">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67EDBCE">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7F1BAD38">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03C7DC5">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AB98B1D">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14:paraId="1917A4AC">
      <w:pPr>
        <w:autoSpaceDE w:val="0"/>
        <w:autoSpaceDN w:val="0"/>
        <w:adjustRightInd w:val="0"/>
        <w:snapToGrid w:val="0"/>
        <w:spacing w:line="520" w:lineRule="exact"/>
        <w:jc w:val="center"/>
        <w:rPr>
          <w:rFonts w:ascii="宋体" w:hAnsi="宋体"/>
          <w:b/>
          <w:color w:val="auto"/>
          <w:lang w:val="zh-CN"/>
        </w:rPr>
      </w:pPr>
    </w:p>
    <w:p w14:paraId="4B8229C1">
      <w:pPr>
        <w:autoSpaceDE w:val="0"/>
        <w:autoSpaceDN w:val="0"/>
        <w:adjustRightInd w:val="0"/>
        <w:snapToGrid w:val="0"/>
        <w:spacing w:line="520" w:lineRule="exact"/>
        <w:jc w:val="center"/>
        <w:rPr>
          <w:rFonts w:ascii="宋体" w:hAnsi="宋体"/>
          <w:b/>
          <w:color w:val="auto"/>
          <w:lang w:val="zh-CN"/>
        </w:rPr>
      </w:pPr>
    </w:p>
    <w:p w14:paraId="0CAB0D17">
      <w:pPr>
        <w:autoSpaceDE w:val="0"/>
        <w:autoSpaceDN w:val="0"/>
        <w:adjustRightInd w:val="0"/>
        <w:snapToGrid w:val="0"/>
        <w:spacing w:line="520" w:lineRule="exact"/>
        <w:jc w:val="center"/>
        <w:rPr>
          <w:rFonts w:ascii="宋体" w:hAnsi="宋体"/>
          <w:b/>
          <w:color w:val="auto"/>
          <w:lang w:val="zh-CN"/>
        </w:rPr>
      </w:pPr>
    </w:p>
    <w:p w14:paraId="196EDFF4">
      <w:pPr>
        <w:autoSpaceDE w:val="0"/>
        <w:autoSpaceDN w:val="0"/>
        <w:adjustRightInd w:val="0"/>
        <w:snapToGrid w:val="0"/>
        <w:spacing w:line="520" w:lineRule="exact"/>
        <w:jc w:val="center"/>
        <w:rPr>
          <w:rFonts w:ascii="宋体" w:hAnsi="宋体"/>
          <w:b/>
          <w:color w:val="auto"/>
          <w:lang w:val="zh-CN"/>
        </w:rPr>
      </w:pPr>
    </w:p>
    <w:p w14:paraId="443771BC">
      <w:pPr>
        <w:autoSpaceDE w:val="0"/>
        <w:autoSpaceDN w:val="0"/>
        <w:adjustRightInd w:val="0"/>
        <w:snapToGrid w:val="0"/>
        <w:spacing w:line="520" w:lineRule="exact"/>
        <w:jc w:val="center"/>
        <w:rPr>
          <w:rFonts w:ascii="宋体" w:hAnsi="宋体"/>
          <w:b/>
          <w:color w:val="auto"/>
          <w:lang w:val="zh-CN"/>
        </w:rPr>
      </w:pPr>
    </w:p>
    <w:p w14:paraId="3D906B18">
      <w:pPr>
        <w:autoSpaceDE w:val="0"/>
        <w:autoSpaceDN w:val="0"/>
        <w:adjustRightInd w:val="0"/>
        <w:snapToGrid w:val="0"/>
        <w:spacing w:line="520" w:lineRule="exact"/>
        <w:jc w:val="center"/>
        <w:rPr>
          <w:rFonts w:ascii="宋体" w:hAnsi="宋体"/>
          <w:b/>
          <w:color w:val="auto"/>
          <w:lang w:val="zh-CN"/>
        </w:rPr>
      </w:pPr>
    </w:p>
    <w:p w14:paraId="26712F15">
      <w:pPr>
        <w:autoSpaceDE w:val="0"/>
        <w:autoSpaceDN w:val="0"/>
        <w:adjustRightInd w:val="0"/>
        <w:snapToGrid w:val="0"/>
        <w:spacing w:line="520" w:lineRule="exact"/>
        <w:jc w:val="center"/>
        <w:rPr>
          <w:rFonts w:ascii="宋体" w:hAnsi="宋体"/>
          <w:b/>
          <w:color w:val="auto"/>
          <w:lang w:val="zh-CN"/>
        </w:rPr>
      </w:pPr>
    </w:p>
    <w:p w14:paraId="34428654">
      <w:pPr>
        <w:autoSpaceDE w:val="0"/>
        <w:autoSpaceDN w:val="0"/>
        <w:adjustRightInd w:val="0"/>
        <w:snapToGrid w:val="0"/>
        <w:spacing w:line="520" w:lineRule="exact"/>
        <w:jc w:val="center"/>
        <w:rPr>
          <w:rFonts w:ascii="宋体" w:hAnsi="宋体"/>
          <w:b/>
          <w:color w:val="auto"/>
          <w:lang w:val="zh-CN"/>
        </w:rPr>
      </w:pPr>
    </w:p>
    <w:p w14:paraId="57789946">
      <w:pPr>
        <w:autoSpaceDE w:val="0"/>
        <w:autoSpaceDN w:val="0"/>
        <w:adjustRightInd w:val="0"/>
        <w:snapToGrid w:val="0"/>
        <w:spacing w:line="520" w:lineRule="exact"/>
        <w:jc w:val="center"/>
        <w:rPr>
          <w:rFonts w:ascii="宋体" w:hAnsi="宋体"/>
          <w:b/>
          <w:color w:val="auto"/>
          <w:lang w:val="zh-CN"/>
        </w:rPr>
      </w:pPr>
    </w:p>
    <w:p w14:paraId="78DC6258">
      <w:pPr>
        <w:autoSpaceDE w:val="0"/>
        <w:autoSpaceDN w:val="0"/>
        <w:adjustRightInd w:val="0"/>
        <w:snapToGrid w:val="0"/>
        <w:spacing w:line="520" w:lineRule="exact"/>
        <w:jc w:val="center"/>
        <w:rPr>
          <w:rFonts w:ascii="宋体" w:hAnsi="宋体"/>
          <w:b/>
          <w:color w:val="auto"/>
          <w:lang w:val="zh-CN"/>
        </w:rPr>
      </w:pPr>
    </w:p>
    <w:p w14:paraId="7C4A40B8">
      <w:pPr>
        <w:pStyle w:val="3"/>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778CD982">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40"/>
          <w:szCs w:val="40"/>
        </w:rPr>
      </w:pPr>
      <w:bookmarkStart w:id="9" w:name="_Toc1521"/>
      <w:bookmarkStart w:id="10" w:name="_Toc30283"/>
      <w:bookmarkStart w:id="11" w:name="_Toc17815"/>
      <w:bookmarkStart w:id="12" w:name="_Toc30082"/>
      <w:bookmarkStart w:id="13" w:name="_Toc5268"/>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14:paraId="163A16E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14:paraId="415CA7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highlight w:val="none"/>
          <w:lang w:val="en-US" w:eastAsia="zh-CN"/>
        </w:rPr>
        <w:t>吉林电子信息职业技术学院特种作业高/低压电工培训考核实训室项目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14:paraId="6A6E3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28359002"/>
      <w:bookmarkStart w:id="15" w:name="_Toc35393790"/>
      <w:bookmarkStart w:id="16" w:name="_Toc28359079"/>
      <w:bookmarkStart w:id="17" w:name="_Toc35393621"/>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14:paraId="49543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项目编号：采购计划-[2025]-06951号-01；</w:t>
      </w:r>
    </w:p>
    <w:p w14:paraId="7F343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吉林电子信息职业技术学院特种作业高/低压电工培训考核实训室项目；</w:t>
      </w:r>
    </w:p>
    <w:p w14:paraId="59BC8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14:paraId="4A38E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w:t>
      </w:r>
      <w:r>
        <w:rPr>
          <w:rFonts w:hint="eastAsia" w:ascii="宋体" w:hAnsi="宋体" w:eastAsia="宋体" w:cs="宋体"/>
          <w:b w:val="0"/>
          <w:i w:val="0"/>
          <w:caps w:val="0"/>
          <w:color w:val="auto"/>
          <w:spacing w:val="0"/>
          <w:kern w:val="0"/>
          <w:sz w:val="24"/>
          <w:szCs w:val="24"/>
          <w:highlight w:val="none"/>
          <w:lang w:val="en-US" w:eastAsia="zh-CN" w:bidi="ar"/>
        </w:rPr>
        <w:t>任务书编号：采购计划-[2025]-06951号；</w:t>
      </w:r>
    </w:p>
    <w:p w14:paraId="0871D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预算金额(最高限价)：780000 元；</w:t>
      </w:r>
    </w:p>
    <w:p w14:paraId="2AC7B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标包划分：本项目共划分一个包：</w:t>
      </w:r>
    </w:p>
    <w:p w14:paraId="54C64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合同履行期限/供货期：自合同签订之日起 45日内；</w:t>
      </w:r>
    </w:p>
    <w:p w14:paraId="680BD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outlineLvl w:val="9"/>
        <w:rPr>
          <w:rFonts w:hint="default" w:ascii="宋体" w:hAnsi="宋体" w:cs="宋体" w:eastAsiaTheme="minorEastAsia"/>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质量标准：</w:t>
      </w:r>
      <w:r>
        <w:rPr>
          <w:rFonts w:hint="eastAsia" w:ascii="宋体" w:hAnsi="宋体" w:cs="宋体"/>
          <w:b w:val="0"/>
          <w:i w:val="0"/>
          <w:caps w:val="0"/>
          <w:color w:val="auto"/>
          <w:spacing w:val="0"/>
          <w:kern w:val="0"/>
          <w:sz w:val="24"/>
          <w:szCs w:val="24"/>
          <w:highlight w:val="none"/>
          <w:lang w:val="en-US" w:eastAsia="zh-CN" w:bidi="ar"/>
        </w:rPr>
        <w:t>符合国家及相关行业要求的合格标准，</w:t>
      </w:r>
      <w:r>
        <w:rPr>
          <w:rFonts w:hint="eastAsia" w:ascii="宋体" w:hAnsi="宋体" w:cs="宋体"/>
          <w:color w:val="auto"/>
          <w:sz w:val="24"/>
        </w:rPr>
        <w:t>并达到采购人的验收标准</w:t>
      </w:r>
      <w:r>
        <w:rPr>
          <w:rFonts w:hint="eastAsia" w:ascii="宋体" w:hAnsi="宋体" w:cs="宋体"/>
          <w:color w:val="auto"/>
          <w:sz w:val="24"/>
          <w:lang w:eastAsia="zh-CN"/>
        </w:rPr>
        <w:t>；</w:t>
      </w:r>
    </w:p>
    <w:p w14:paraId="4E0012CD">
      <w:pPr>
        <w:widowControl/>
        <w:spacing w:line="360" w:lineRule="auto"/>
        <w:ind w:firstLine="480" w:firstLineChars="200"/>
        <w:outlineLvl w:val="9"/>
        <w:rPr>
          <w:rFonts w:hint="eastAsia" w:eastAsia="宋体"/>
          <w:color w:val="auto"/>
          <w:kern w:val="0"/>
          <w:sz w:val="24"/>
          <w:highlight w:val="none"/>
          <w:lang w:eastAsia="zh-CN" w:bidi="ar"/>
        </w:rPr>
      </w:pPr>
      <w:r>
        <w:rPr>
          <w:rFonts w:hint="eastAsia"/>
          <w:color w:val="auto"/>
          <w:kern w:val="0"/>
          <w:sz w:val="24"/>
          <w:highlight w:val="none"/>
          <w:lang w:val="en-US" w:eastAsia="zh-CN" w:bidi="ar"/>
        </w:rPr>
        <w:t>供货</w:t>
      </w:r>
      <w:r>
        <w:rPr>
          <w:color w:val="auto"/>
          <w:kern w:val="0"/>
          <w:sz w:val="24"/>
          <w:highlight w:val="none"/>
          <w:lang w:bidi="ar"/>
        </w:rPr>
        <w:t>地点：</w:t>
      </w:r>
      <w:r>
        <w:rPr>
          <w:rFonts w:hint="eastAsia"/>
          <w:color w:val="auto"/>
          <w:kern w:val="0"/>
          <w:sz w:val="24"/>
          <w:highlight w:val="none"/>
          <w:lang w:eastAsia="zh-CN" w:bidi="ar"/>
        </w:rPr>
        <w:t>吉林电子信息职业技术学院</w:t>
      </w:r>
      <w:r>
        <w:rPr>
          <w:color w:val="auto"/>
          <w:kern w:val="0"/>
          <w:sz w:val="24"/>
          <w:highlight w:val="none"/>
          <w:lang w:bidi="ar"/>
        </w:rPr>
        <w:t>指定地点</w:t>
      </w:r>
      <w:r>
        <w:rPr>
          <w:rFonts w:hint="eastAsia"/>
          <w:color w:val="auto"/>
          <w:kern w:val="0"/>
          <w:sz w:val="24"/>
          <w:highlight w:val="none"/>
          <w:lang w:eastAsia="zh-CN" w:bidi="ar"/>
        </w:rPr>
        <w:t>；</w:t>
      </w:r>
    </w:p>
    <w:p w14:paraId="7F469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本项目不接受联合体投标</w:t>
      </w:r>
      <w:r>
        <w:rPr>
          <w:rFonts w:hint="eastAsia" w:ascii="宋体" w:hAnsi="宋体" w:eastAsia="宋体" w:cs="宋体"/>
          <w:b w:val="0"/>
          <w:i w:val="0"/>
          <w:caps w:val="0"/>
          <w:color w:val="auto"/>
          <w:spacing w:val="0"/>
          <w:kern w:val="0"/>
          <w:sz w:val="24"/>
          <w:szCs w:val="24"/>
          <w:lang w:val="en-US" w:eastAsia="zh-CN" w:bidi="ar"/>
        </w:rPr>
        <w:t>。</w:t>
      </w:r>
    </w:p>
    <w:p w14:paraId="44E7C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35393791"/>
      <w:bookmarkStart w:id="20" w:name="_Toc35393622"/>
      <w:bookmarkStart w:id="21" w:name="_Toc28359003"/>
      <w:bookmarkStart w:id="22" w:name="_Toc28359080"/>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14:paraId="5E8AB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35393623"/>
      <w:bookmarkStart w:id="24" w:name="_Toc28359004"/>
      <w:bookmarkStart w:id="25" w:name="_Toc28359081"/>
      <w:bookmarkStart w:id="26" w:name="_Toc35393792"/>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14:paraId="1003A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w:t>
      </w:r>
      <w:r>
        <w:rPr>
          <w:rFonts w:hint="eastAsia" w:ascii="宋体" w:hAnsi="宋体" w:eastAsia="宋体" w:cs="宋体"/>
          <w:b w:val="0"/>
          <w:i w:val="0"/>
          <w:caps w:val="0"/>
          <w:color w:val="auto"/>
          <w:spacing w:val="0"/>
          <w:kern w:val="0"/>
          <w:sz w:val="24"/>
          <w:szCs w:val="24"/>
          <w:highlight w:val="none"/>
          <w:lang w:val="en-US" w:eastAsia="zh-CN" w:bidi="ar"/>
        </w:rPr>
        <w:t>本项目非专门面向中小企业采购。</w:t>
      </w:r>
    </w:p>
    <w:p w14:paraId="2F92D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73246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14:paraId="505A4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14:paraId="025B67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（2）投标人提供2024年经会计师事务所或审计机构出具的财务审计报告或提供其基本开户银行在投标截止日前六个月内出具的资信证明（银行出具的存款证明不能替代银行资信证明）；</w:t>
      </w:r>
    </w:p>
    <w:p w14:paraId="22C5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（3）投标人提供近一年（2025年01月至今）任意一个月的依法纳税证明(依法免税的投标人可提供相应文件证明其依法免税)；</w:t>
      </w:r>
    </w:p>
    <w:p w14:paraId="0E92A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（4）投标人提供近一年（2025年01月至今）任意一个月的依法缴纳社会保障资金的证明(依法不需要缴纳社会保障资金的投标人可提供相应文件证明其依法不需要缴纳社会保障资金)；</w:t>
      </w:r>
    </w:p>
    <w:p w14:paraId="3AD9C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14:paraId="1080E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（6）本项目不接受联合体投标，不接受合同分包；</w:t>
      </w:r>
    </w:p>
    <w:p w14:paraId="4C7B1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14:paraId="03DA3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14:paraId="087EA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14:paraId="46732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82"/>
      <w:bookmarkStart w:id="28" w:name="_Toc28359005"/>
      <w:bookmarkStart w:id="29" w:name="_Toc35393793"/>
      <w:bookmarkStart w:id="30" w:name="_Toc35393624"/>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14:paraId="53A2E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14:paraId="0B7BA1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14:paraId="059826E5">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14:paraId="469A3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35393625"/>
      <w:bookmarkStart w:id="32" w:name="_Toc35393794"/>
      <w:bookmarkStart w:id="33" w:name="_Toc28359084"/>
      <w:bookmarkStart w:id="34" w:name="_Toc28359007"/>
    </w:p>
    <w:p w14:paraId="310D712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w:t>
      </w:r>
    </w:p>
    <w:p w14:paraId="630D2527">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2.地点：二道区长春市二道区洋浦大街6669号凯利中心AB栋101开标二室（长春市同晟科技有限公司）</w:t>
      </w:r>
      <w:r>
        <w:rPr>
          <w:rFonts w:hint="eastAsia" w:ascii="宋体" w:hAnsi="宋体" w:cs="宋体"/>
          <w:color w:val="auto"/>
          <w:sz w:val="24"/>
          <w:szCs w:val="24"/>
          <w:highlight w:val="none"/>
          <w:lang w:val="en-US" w:eastAsia="zh-CN"/>
        </w:rPr>
        <w:t>。</w:t>
      </w:r>
    </w:p>
    <w:p w14:paraId="52DA0B42">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14:paraId="52EF230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14:paraId="3D8B8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795"/>
      <w:bookmarkStart w:id="36" w:name="_Toc35393626"/>
    </w:p>
    <w:p w14:paraId="456CDB9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8544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14:paraId="327FDD4E">
      <w:pPr>
        <w:spacing w:line="360" w:lineRule="auto"/>
        <w:ind w:firstLine="480" w:firstLineChars="200"/>
        <w:outlineLvl w:val="9"/>
        <w:rPr>
          <w:rFonts w:hint="eastAsia" w:ascii="宋体" w:hAnsi="宋体" w:eastAsia="宋体" w:cs="宋体"/>
          <w:color w:val="auto"/>
          <w:sz w:val="24"/>
          <w:szCs w:val="24"/>
          <w:highlight w:val="none"/>
        </w:rPr>
      </w:pPr>
      <w:bookmarkStart w:id="37" w:name="_Toc28359085"/>
      <w:bookmarkStart w:id="38" w:name="_Toc35393796"/>
      <w:bookmarkStart w:id="39" w:name="_Toc28359008"/>
      <w:bookmarkStart w:id="40" w:name="_Toc35393627"/>
      <w:r>
        <w:rPr>
          <w:rFonts w:hint="eastAsia" w:ascii="宋体" w:hAnsi="宋体" w:eastAsia="宋体" w:cs="宋体"/>
          <w:color w:val="auto"/>
          <w:sz w:val="24"/>
          <w:szCs w:val="24"/>
          <w:highlight w:val="none"/>
        </w:rPr>
        <w:t>1.本次招标公告在政采云平台（https://www.zcygov.cn/）（同步推送至吉林省公共资源交易公共服务平台、吉林省政府采购网、中国政府采购网）发布；</w:t>
      </w:r>
    </w:p>
    <w:p w14:paraId="4789584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14:paraId="2A4ACFA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14:paraId="61317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14:paraId="7436381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25CC134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名称：吉林电子信息职业技术学院</w:t>
      </w:r>
    </w:p>
    <w:p w14:paraId="7D1FAB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地址：吉林市龙潭区长青路24号</w:t>
      </w:r>
    </w:p>
    <w:p w14:paraId="7551FC4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联系人：张雷</w:t>
      </w:r>
    </w:p>
    <w:p w14:paraId="26A6154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联系电话：15567548123</w:t>
      </w:r>
    </w:p>
    <w:p w14:paraId="4C0C8B5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14:paraId="73050292">
      <w:pPr>
        <w:spacing w:line="360" w:lineRule="auto"/>
        <w:ind w:firstLine="480" w:firstLineChars="200"/>
        <w:rPr>
          <w:rFonts w:hint="eastAsia" w:ascii="宋体" w:hAnsi="宋体" w:eastAsia="宋体" w:cs="宋体"/>
          <w:color w:val="auto"/>
          <w:sz w:val="24"/>
          <w:highlight w:val="none"/>
          <w:lang w:val="en-US" w:eastAsia="zh-CN"/>
        </w:rPr>
      </w:pPr>
      <w:bookmarkStart w:id="41" w:name="_Toc7118"/>
      <w:bookmarkStart w:id="42" w:name="_Toc24773"/>
      <w:bookmarkStart w:id="43" w:name="_Toc19115"/>
      <w:r>
        <w:rPr>
          <w:rFonts w:hint="eastAsia" w:ascii="宋体" w:hAnsi="宋体" w:eastAsia="宋体" w:cs="宋体"/>
          <w:color w:val="auto"/>
          <w:sz w:val="24"/>
          <w:highlight w:val="none"/>
          <w:lang w:val="en-US" w:eastAsia="zh-CN"/>
        </w:rPr>
        <w:t>采购代理机构：吉林亿品工程项目管理有限公司</w:t>
      </w:r>
    </w:p>
    <w:p w14:paraId="7B867EF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联系方式：张舒迪 3024252375@qq.com</w:t>
      </w:r>
    </w:p>
    <w:p w14:paraId="02FFCB5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联系电话：15044059166（办公电话）</w:t>
      </w:r>
    </w:p>
    <w:p w14:paraId="30CAF63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联系地址：长春市高新区华光街与荷园路交汇安联国际1267号-1</w:t>
      </w:r>
    </w:p>
    <w:bookmarkEnd w:id="41"/>
    <w:bookmarkEnd w:id="42"/>
    <w:bookmarkEnd w:id="43"/>
    <w:p w14:paraId="7FC2398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监督部门：吉林省财政厅政府采购管理处</w:t>
      </w:r>
    </w:p>
    <w:p w14:paraId="3636991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55527B2F">
      <w:pPr>
        <w:pStyle w:val="3"/>
        <w:bidi w:val="0"/>
        <w:spacing w:line="240" w:lineRule="auto"/>
        <w:jc w:val="center"/>
        <w:rPr>
          <w:rFonts w:hint="eastAsia"/>
          <w:color w:val="auto"/>
        </w:rPr>
        <w:sectPr>
          <w:headerReference r:id="rId4" w:type="default"/>
          <w:footerReference r:id="rId5" w:type="default"/>
          <w:pgSz w:w="11906" w:h="16838"/>
          <w:pgMar w:top="1134" w:right="1134" w:bottom="1088" w:left="1361" w:header="907" w:footer="794" w:gutter="0"/>
          <w:pgBorders>
            <w:top w:val="none" w:sz="0" w:space="0"/>
            <w:left w:val="none" w:sz="0" w:space="0"/>
            <w:bottom w:val="none" w:sz="0" w:space="0"/>
            <w:right w:val="none" w:sz="0" w:space="0"/>
          </w:pgBorders>
          <w:pgNumType w:fmt="decimal"/>
          <w:cols w:space="720" w:num="1"/>
          <w:docGrid w:type="lines" w:linePitch="312" w:charSpace="0"/>
        </w:sectPr>
      </w:pPr>
      <w:bookmarkStart w:id="44" w:name="_Toc31743"/>
      <w:bookmarkStart w:id="45" w:name="_Toc17878"/>
    </w:p>
    <w:p w14:paraId="07E6C5E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4"/>
      <w:bookmarkEnd w:id="45"/>
    </w:p>
    <w:p w14:paraId="0409277B">
      <w:pPr>
        <w:autoSpaceDE w:val="0"/>
        <w:autoSpaceDN w:val="0"/>
        <w:adjustRightInd w:val="0"/>
        <w:snapToGrid w:val="0"/>
        <w:spacing w:line="240" w:lineRule="auto"/>
        <w:jc w:val="center"/>
        <w:outlineLvl w:val="1"/>
        <w:rPr>
          <w:rFonts w:hint="eastAsia" w:ascii="宋体" w:hAnsi="宋体" w:cs="宋体"/>
          <w:b/>
          <w:color w:val="auto"/>
          <w:sz w:val="30"/>
          <w:lang w:val="zh-CN"/>
        </w:rPr>
      </w:pPr>
      <w:bookmarkStart w:id="46" w:name="_Toc5941"/>
      <w:bookmarkStart w:id="47" w:name="_Toc4273"/>
      <w:bookmarkStart w:id="48" w:name="_Toc31146"/>
      <w:bookmarkStart w:id="49" w:name="_Toc152045528"/>
      <w:bookmarkStart w:id="50" w:name="_Toc179632545"/>
      <w:bookmarkStart w:id="51" w:name="_Toc144974496"/>
      <w:bookmarkStart w:id="52" w:name="_Toc246996917"/>
      <w:bookmarkStart w:id="53" w:name="_Toc247085688"/>
      <w:bookmarkStart w:id="54" w:name="_Toc453756894"/>
      <w:bookmarkStart w:id="55" w:name="_Toc152042304"/>
      <w:bookmarkStart w:id="56" w:name="_Toc246996174"/>
      <w:r>
        <w:rPr>
          <w:rFonts w:hint="eastAsia" w:ascii="宋体" w:hAnsi="宋体" w:cs="宋体"/>
          <w:b/>
          <w:color w:val="auto"/>
          <w:sz w:val="30"/>
          <w:lang w:val="zh-CN"/>
        </w:rPr>
        <w:t>投标须知前附表</w:t>
      </w:r>
      <w:bookmarkEnd w:id="46"/>
      <w:bookmarkEnd w:id="47"/>
    </w:p>
    <w:p w14:paraId="2E983DFF">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8"/>
    <w:bookmarkEnd w:id="49"/>
    <w:bookmarkEnd w:id="50"/>
    <w:bookmarkEnd w:id="51"/>
    <w:bookmarkEnd w:id="52"/>
    <w:bookmarkEnd w:id="53"/>
    <w:bookmarkEnd w:id="54"/>
    <w:bookmarkEnd w:id="55"/>
    <w:bookmarkEnd w:id="56"/>
    <w:tbl>
      <w:tblPr>
        <w:tblStyle w:val="24"/>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963"/>
      </w:tblGrid>
      <w:tr w14:paraId="15A63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2480" w:type="dxa"/>
            <w:gridSpan w:val="2"/>
            <w:tcBorders>
              <w:top w:val="single" w:color="auto" w:sz="12" w:space="0"/>
            </w:tcBorders>
            <w:noWrap w:val="0"/>
            <w:vAlign w:val="center"/>
          </w:tcPr>
          <w:p w14:paraId="14C0536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963" w:type="dxa"/>
            <w:tcBorders>
              <w:top w:val="single" w:color="auto" w:sz="12" w:space="0"/>
            </w:tcBorders>
            <w:noWrap w:val="0"/>
            <w:vAlign w:val="center"/>
          </w:tcPr>
          <w:p w14:paraId="1671176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14:paraId="76BB9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5BD99F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14:paraId="669F40B8">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963" w:type="dxa"/>
            <w:noWrap w:val="0"/>
            <w:vAlign w:val="center"/>
          </w:tcPr>
          <w:p w14:paraId="44BACB4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名称：吉林电子信息职业技术学院</w:t>
            </w:r>
          </w:p>
          <w:p w14:paraId="3FBE3CA1">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地址：吉林市龙潭区长青路24号</w:t>
            </w:r>
          </w:p>
          <w:p w14:paraId="0E50EDF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联系人：张雷</w:t>
            </w:r>
          </w:p>
          <w:p w14:paraId="5A7B8F6C">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联系电话：15567548123</w:t>
            </w:r>
          </w:p>
        </w:tc>
      </w:tr>
      <w:tr w14:paraId="6AD0C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1AB6CBE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14:paraId="5FA459A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963" w:type="dxa"/>
            <w:noWrap w:val="0"/>
            <w:vAlign w:val="center"/>
          </w:tcPr>
          <w:p w14:paraId="3E632F59">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采购代理机构：吉林亿品工程项目管理有限公司</w:t>
            </w:r>
          </w:p>
          <w:p w14:paraId="1D295E25">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联系方式：张舒迪 3024252375@qq.com</w:t>
            </w:r>
          </w:p>
          <w:p w14:paraId="6E251D86">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联系电话：15044059166（办公电话）</w:t>
            </w:r>
          </w:p>
          <w:p w14:paraId="1F22C1EF">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highlight w:val="none"/>
                <w:lang w:val="zh-CN" w:eastAsia="zh-CN"/>
              </w:rPr>
              <w:t>联系地址：长春市高新区华光街与荷园路交汇安联国际1267号-1</w:t>
            </w:r>
          </w:p>
        </w:tc>
      </w:tr>
      <w:tr w14:paraId="7DF7F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E2105F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14:paraId="75DA3A1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14:paraId="75B43B4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963" w:type="dxa"/>
            <w:tcBorders>
              <w:left w:val="single" w:color="auto" w:sz="4" w:space="0"/>
            </w:tcBorders>
            <w:noWrap w:val="0"/>
            <w:vAlign w:val="top"/>
          </w:tcPr>
          <w:p w14:paraId="164F2C38">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14:paraId="288EEF4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rPr>
              <w:t>2.落实政府采购政策需满足的资格要求：</w:t>
            </w:r>
            <w:r>
              <w:rPr>
                <w:rFonts w:hint="eastAsia" w:ascii="宋体" w:hAnsi="宋体"/>
                <w:color w:val="auto"/>
                <w:spacing w:val="6"/>
                <w:sz w:val="21"/>
                <w:szCs w:val="21"/>
                <w:highlight w:val="none"/>
              </w:rPr>
              <w:t>本项目非专门面向中小企业采购。</w:t>
            </w:r>
          </w:p>
          <w:p w14:paraId="4D5C9F3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2C5D1F5B">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14:paraId="79523DE2">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14:paraId="3B73659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w:t>
            </w:r>
            <w:r>
              <w:rPr>
                <w:rFonts w:hint="eastAsia" w:ascii="宋体" w:hAnsi="宋体"/>
                <w:color w:val="auto"/>
                <w:spacing w:val="6"/>
                <w:sz w:val="21"/>
                <w:szCs w:val="21"/>
                <w:lang w:val="en-US" w:eastAsia="zh-CN"/>
              </w:rPr>
              <w:t>4</w:t>
            </w:r>
            <w:r>
              <w:rPr>
                <w:rFonts w:hint="eastAsia" w:ascii="宋体" w:hAnsi="宋体"/>
                <w:color w:val="auto"/>
                <w:spacing w:val="6"/>
                <w:sz w:val="21"/>
                <w:szCs w:val="21"/>
              </w:rPr>
              <w:t>年经会计师事务所或审计机构出具的财务审计报告或提供其基本开户银行在投标截止日前六个月内出具的资信证明（银行出具的存款证明不能替代银行资信证明）；</w:t>
            </w:r>
          </w:p>
          <w:p w14:paraId="779E4E9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w:t>
            </w:r>
            <w:r>
              <w:rPr>
                <w:rFonts w:hint="eastAsia" w:ascii="宋体" w:hAnsi="宋体"/>
                <w:color w:val="auto"/>
                <w:spacing w:val="6"/>
                <w:sz w:val="21"/>
                <w:szCs w:val="21"/>
                <w:lang w:val="en-US" w:eastAsia="zh-CN"/>
              </w:rPr>
              <w:t>5</w:t>
            </w:r>
            <w:r>
              <w:rPr>
                <w:rFonts w:hint="eastAsia" w:ascii="宋体" w:hAnsi="宋体"/>
                <w:color w:val="auto"/>
                <w:spacing w:val="6"/>
                <w:sz w:val="21"/>
                <w:szCs w:val="21"/>
              </w:rPr>
              <w:t>年0</w:t>
            </w:r>
            <w:r>
              <w:rPr>
                <w:rFonts w:hint="eastAsia" w:ascii="宋体" w:hAnsi="宋体"/>
                <w:color w:val="auto"/>
                <w:spacing w:val="6"/>
                <w:sz w:val="21"/>
                <w:szCs w:val="21"/>
                <w:lang w:val="en-US" w:eastAsia="zh-CN"/>
              </w:rPr>
              <w:t>1</w:t>
            </w:r>
            <w:r>
              <w:rPr>
                <w:rFonts w:hint="eastAsia" w:ascii="宋体" w:hAnsi="宋体"/>
                <w:color w:val="auto"/>
                <w:spacing w:val="6"/>
                <w:sz w:val="21"/>
                <w:szCs w:val="21"/>
              </w:rPr>
              <w:t>月至今）任意一个月的依法纳税证明(依法免税的投标人可提供相应文件证明其依法免税)；</w:t>
            </w:r>
          </w:p>
          <w:p w14:paraId="21B6606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w:t>
            </w:r>
            <w:r>
              <w:rPr>
                <w:rFonts w:hint="eastAsia" w:ascii="宋体" w:hAnsi="宋体"/>
                <w:color w:val="auto"/>
                <w:spacing w:val="6"/>
                <w:sz w:val="21"/>
                <w:szCs w:val="21"/>
                <w:lang w:val="en-US" w:eastAsia="zh-CN"/>
              </w:rPr>
              <w:t>5</w:t>
            </w:r>
            <w:r>
              <w:rPr>
                <w:rFonts w:hint="eastAsia" w:ascii="宋体" w:hAnsi="宋体"/>
                <w:color w:val="auto"/>
                <w:spacing w:val="6"/>
                <w:sz w:val="21"/>
                <w:szCs w:val="21"/>
              </w:rPr>
              <w:t>年0</w:t>
            </w:r>
            <w:r>
              <w:rPr>
                <w:rFonts w:hint="eastAsia" w:ascii="宋体" w:hAnsi="宋体"/>
                <w:color w:val="auto"/>
                <w:spacing w:val="6"/>
                <w:sz w:val="21"/>
                <w:szCs w:val="21"/>
                <w:lang w:val="en-US" w:eastAsia="zh-CN"/>
              </w:rPr>
              <w:t>1</w:t>
            </w:r>
            <w:r>
              <w:rPr>
                <w:rFonts w:hint="eastAsia" w:ascii="宋体" w:hAnsi="宋体"/>
                <w:color w:val="auto"/>
                <w:spacing w:val="6"/>
                <w:sz w:val="21"/>
                <w:szCs w:val="21"/>
              </w:rPr>
              <w:t>月至今）任意一个月的依法缴纳社会保障资金的证明(依法不需要缴纳社会保障资金的投标人可提供相应文件证明其依法不需要缴纳社会保障资金)；</w:t>
            </w:r>
          </w:p>
          <w:p w14:paraId="4341C60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14:paraId="7430D49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（6）本项目不接受联合体投标，不接受合同分包；</w:t>
            </w:r>
          </w:p>
          <w:p w14:paraId="0272903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14:paraId="07D012AF">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0AF6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14:paraId="3925FBE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1</w:t>
            </w:r>
          </w:p>
        </w:tc>
        <w:tc>
          <w:tcPr>
            <w:tcW w:w="1798" w:type="dxa"/>
            <w:tcBorders>
              <w:left w:val="single" w:color="auto" w:sz="4" w:space="0"/>
              <w:right w:val="single" w:color="auto" w:sz="4" w:space="0"/>
            </w:tcBorders>
            <w:noWrap w:val="0"/>
            <w:vAlign w:val="center"/>
          </w:tcPr>
          <w:p w14:paraId="3774154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14:paraId="018FC77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963" w:type="dxa"/>
            <w:tcBorders>
              <w:left w:val="single" w:color="auto" w:sz="4" w:space="0"/>
            </w:tcBorders>
            <w:noWrap w:val="0"/>
            <w:vAlign w:val="top"/>
          </w:tcPr>
          <w:p w14:paraId="3CF45E9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val="zh-CN"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r>
              <w:rPr>
                <w:rFonts w:hint="eastAsia" w:ascii="宋体" w:hAnsi="宋体" w:eastAsia="宋体"/>
                <w:color w:val="auto"/>
                <w:spacing w:val="6"/>
                <w:sz w:val="21"/>
                <w:szCs w:val="21"/>
                <w:lang w:eastAsia="zh-CN"/>
              </w:rPr>
              <w:t>。</w:t>
            </w:r>
          </w:p>
        </w:tc>
      </w:tr>
      <w:tr w14:paraId="07D4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5E01014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tcBorders>
              <w:left w:val="single" w:color="auto" w:sz="4" w:space="0"/>
              <w:right w:val="single" w:color="auto" w:sz="4" w:space="0"/>
            </w:tcBorders>
            <w:noWrap w:val="0"/>
            <w:vAlign w:val="center"/>
          </w:tcPr>
          <w:p w14:paraId="0D72DDF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963" w:type="dxa"/>
            <w:tcBorders>
              <w:left w:val="single" w:color="auto" w:sz="4" w:space="0"/>
            </w:tcBorders>
            <w:noWrap w:val="0"/>
            <w:vAlign w:val="center"/>
          </w:tcPr>
          <w:p w14:paraId="2A19A36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eastAsia="宋体"/>
                <w:color w:val="auto"/>
                <w:spacing w:val="6"/>
                <w:sz w:val="21"/>
                <w:szCs w:val="21"/>
                <w:highlight w:val="none"/>
                <w:lang w:eastAsia="zh-CN"/>
              </w:rPr>
              <w:t>技术需求详见</w:t>
            </w:r>
            <w:r>
              <w:rPr>
                <w:rFonts w:hint="eastAsia" w:ascii="宋体" w:hAnsi="宋体" w:eastAsia="宋体"/>
                <w:color w:val="auto"/>
                <w:spacing w:val="6"/>
                <w:sz w:val="21"/>
                <w:szCs w:val="21"/>
                <w:highlight w:val="none"/>
                <w:lang w:val="en-US" w:eastAsia="zh-CN"/>
              </w:rPr>
              <w:t>招标</w:t>
            </w:r>
            <w:r>
              <w:rPr>
                <w:rFonts w:hint="eastAsia" w:ascii="宋体" w:hAnsi="宋体" w:eastAsia="宋体"/>
                <w:color w:val="auto"/>
                <w:spacing w:val="6"/>
                <w:sz w:val="21"/>
                <w:szCs w:val="21"/>
                <w:highlight w:val="none"/>
                <w:lang w:eastAsia="zh-CN"/>
              </w:rPr>
              <w:t>文件文件“第五章技术标准和要求”</w:t>
            </w:r>
          </w:p>
        </w:tc>
      </w:tr>
      <w:tr w14:paraId="6578B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62773B3">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14:paraId="068F3A0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963" w:type="dxa"/>
            <w:tcBorders>
              <w:left w:val="single" w:color="auto" w:sz="4" w:space="0"/>
            </w:tcBorders>
            <w:noWrap w:val="0"/>
            <w:vAlign w:val="center"/>
          </w:tcPr>
          <w:p w14:paraId="111C36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14:paraId="22D3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14:paraId="68D21E4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14:paraId="3CF33A7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14:paraId="709401F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963" w:type="dxa"/>
            <w:tcBorders>
              <w:top w:val="single" w:color="auto" w:sz="4" w:space="0"/>
            </w:tcBorders>
            <w:noWrap w:val="0"/>
            <w:vAlign w:val="center"/>
          </w:tcPr>
          <w:p w14:paraId="220582DB">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default"/>
                <w:color w:val="auto"/>
                <w:lang w:val="en-US" w:eastAsia="zh-CN"/>
              </w:rPr>
            </w:pPr>
            <w:r>
              <w:rPr>
                <w:rFonts w:hint="eastAsia" w:ascii="宋体" w:hAnsi="宋体"/>
                <w:color w:val="auto"/>
                <w:sz w:val="21"/>
                <w:szCs w:val="21"/>
                <w:lang w:val="en-US" w:eastAsia="zh-CN"/>
              </w:rPr>
              <w:t>吉林电子信息职业技术学院特种作业高/低压电工培训考核实训室项目：15600元；</w:t>
            </w:r>
          </w:p>
        </w:tc>
      </w:tr>
      <w:tr w14:paraId="570DC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14:paraId="6A9AE39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14:paraId="58A0EDC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14:paraId="474940C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963" w:type="dxa"/>
            <w:tcBorders>
              <w:top w:val="single" w:color="auto" w:sz="4" w:space="0"/>
            </w:tcBorders>
            <w:noWrap w:val="0"/>
            <w:vAlign w:val="center"/>
          </w:tcPr>
          <w:p w14:paraId="0362FBF1">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14:paraId="7AD597EE">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14:paraId="71D68716">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户名：吉林亿品工程项目管理有限公司</w:t>
            </w:r>
          </w:p>
          <w:p w14:paraId="44727666">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账    号：431901878010902</w:t>
            </w:r>
          </w:p>
          <w:p w14:paraId="7A8C38AB">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开  户  行：招商银行股份有限公司长春分行</w:t>
            </w:r>
          </w:p>
          <w:p w14:paraId="2D8CAF89">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14:paraId="1BA1934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14:paraId="613D93CA">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（2）以保函形式提交投标保证金的，须在开标截止时间前将保函电子版扫描件提交到招标代理机构邮箱（3024252375</w:t>
            </w:r>
            <w:r>
              <w:rPr>
                <w:rFonts w:hint="eastAsia" w:ascii="宋体" w:hAnsi="宋体"/>
                <w:color w:val="auto"/>
                <w:sz w:val="21"/>
                <w:szCs w:val="21"/>
                <w:lang w:eastAsia="zh-CN"/>
              </w:rPr>
              <w:t>@qq.com</w:t>
            </w:r>
            <w:r>
              <w:rPr>
                <w:rFonts w:hint="eastAsia" w:ascii="宋体" w:hAnsi="宋体"/>
                <w:color w:val="auto"/>
                <w:sz w:val="21"/>
                <w:szCs w:val="21"/>
                <w:lang w:val="en-US" w:eastAsia="zh-CN"/>
              </w:rPr>
              <w:t>），原件递交至招标代理机构，复印件装入投标文件中。</w:t>
            </w:r>
          </w:p>
          <w:p w14:paraId="50859107">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14:paraId="05F53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3290A82">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14:paraId="686A7025">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963" w:type="dxa"/>
            <w:noWrap w:val="0"/>
            <w:vAlign w:val="center"/>
          </w:tcPr>
          <w:p w14:paraId="1ACA8811">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14:paraId="49D9E1DF">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14:paraId="2FE2D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BEFB08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14:paraId="7F39F63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投标文件份数</w:t>
            </w:r>
          </w:p>
        </w:tc>
        <w:tc>
          <w:tcPr>
            <w:tcW w:w="6963" w:type="dxa"/>
            <w:noWrap w:val="0"/>
            <w:vAlign w:val="center"/>
          </w:tcPr>
          <w:p w14:paraId="516255FD">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14:paraId="301ECC9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p w14:paraId="25EB37F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纸质版</w:t>
            </w:r>
            <w:r>
              <w:rPr>
                <w:rFonts w:hint="eastAsia" w:ascii="宋体" w:hAnsi="宋体" w:cs="宋体"/>
                <w:color w:val="auto"/>
                <w:sz w:val="21"/>
                <w:szCs w:val="21"/>
                <w:lang w:eastAsia="zh-CN"/>
              </w:rPr>
              <w:t>投标文件</w:t>
            </w:r>
            <w:r>
              <w:rPr>
                <w:rFonts w:hint="eastAsia" w:ascii="宋体" w:hAnsi="宋体" w:cs="宋体"/>
                <w:color w:val="auto"/>
                <w:sz w:val="21"/>
                <w:szCs w:val="21"/>
              </w:rPr>
              <w:t>份数</w:t>
            </w:r>
            <w:r>
              <w:rPr>
                <w:rFonts w:hint="eastAsia" w:ascii="宋体" w:hAnsi="宋体" w:cs="宋体"/>
                <w:color w:val="auto"/>
                <w:sz w:val="21"/>
                <w:szCs w:val="21"/>
                <w:lang w:eastAsia="zh-CN"/>
              </w:rPr>
              <w:t>：</w:t>
            </w:r>
            <w:r>
              <w:rPr>
                <w:rFonts w:hint="eastAsia" w:ascii="宋体" w:hAnsi="宋体" w:cs="宋体"/>
                <w:color w:val="auto"/>
                <w:sz w:val="21"/>
                <w:szCs w:val="21"/>
              </w:rPr>
              <w:t>（</w:t>
            </w:r>
            <w:r>
              <w:rPr>
                <w:rFonts w:hint="eastAsia" w:ascii="宋体" w:hAnsi="宋体" w:cs="宋体"/>
                <w:color w:val="auto"/>
                <w:sz w:val="21"/>
                <w:szCs w:val="21"/>
                <w:lang w:val="en-US" w:eastAsia="zh-CN"/>
              </w:rPr>
              <w:t>无</w:t>
            </w:r>
            <w:r>
              <w:rPr>
                <w:rFonts w:hint="eastAsia" w:ascii="宋体" w:hAnsi="宋体" w:cs="宋体"/>
                <w:color w:val="auto"/>
                <w:sz w:val="21"/>
                <w:szCs w:val="21"/>
              </w:rPr>
              <w:t>）</w:t>
            </w:r>
          </w:p>
        </w:tc>
      </w:tr>
      <w:tr w14:paraId="6732A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14:paraId="69A8837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14:paraId="113A917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963" w:type="dxa"/>
            <w:tcBorders>
              <w:bottom w:val="single" w:color="auto" w:sz="4" w:space="0"/>
            </w:tcBorders>
            <w:noWrap w:val="0"/>
            <w:vAlign w:val="center"/>
          </w:tcPr>
          <w:p w14:paraId="347464D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eastAsia="zh-CN"/>
              </w:rPr>
              <w:t>2025年</w:t>
            </w:r>
            <w:r>
              <w:rPr>
                <w:rFonts w:hint="eastAsia"/>
                <w:color w:val="auto"/>
                <w:highlight w:val="none"/>
                <w:lang w:val="en-US" w:eastAsia="zh-CN"/>
              </w:rPr>
              <w:t>7</w:t>
            </w:r>
            <w:r>
              <w:rPr>
                <w:rFonts w:hint="eastAsia"/>
                <w:color w:val="auto"/>
                <w:highlight w:val="none"/>
                <w:lang w:val="zh-CN" w:eastAsia="zh-CN"/>
              </w:rPr>
              <w:t>月</w:t>
            </w:r>
            <w:r>
              <w:rPr>
                <w:rFonts w:hint="eastAsia"/>
                <w:color w:val="auto"/>
                <w:highlight w:val="none"/>
                <w:lang w:val="en-US" w:eastAsia="zh-CN"/>
              </w:rPr>
              <w:t>29</w:t>
            </w:r>
            <w:r>
              <w:rPr>
                <w:rFonts w:hint="eastAsia"/>
                <w:color w:val="auto"/>
                <w:highlight w:val="none"/>
                <w:lang w:val="zh-CN" w:eastAsia="zh-CN"/>
              </w:rPr>
              <w:t>日</w:t>
            </w:r>
            <w:r>
              <w:rPr>
                <w:rFonts w:hint="eastAsia"/>
                <w:color w:val="auto"/>
                <w:highlight w:val="none"/>
                <w:lang w:val="en-US" w:eastAsia="zh-CN"/>
              </w:rPr>
              <w:t>13</w:t>
            </w:r>
            <w:r>
              <w:rPr>
                <w:rFonts w:hint="eastAsia"/>
                <w:color w:val="auto"/>
                <w:highlight w:val="none"/>
                <w:lang w:val="zh-CN" w:eastAsia="zh-CN"/>
              </w:rPr>
              <w:t>点</w:t>
            </w:r>
            <w:r>
              <w:rPr>
                <w:rFonts w:hint="eastAsia"/>
                <w:color w:val="auto"/>
                <w:highlight w:val="none"/>
                <w:lang w:val="en-US" w:eastAsia="zh-CN"/>
              </w:rPr>
              <w:t>30</w:t>
            </w:r>
            <w:r>
              <w:rPr>
                <w:rFonts w:hint="eastAsia"/>
                <w:color w:val="auto"/>
                <w:highlight w:val="none"/>
                <w:lang w:val="zh-CN" w:eastAsia="zh-CN"/>
              </w:rPr>
              <w:t>分</w:t>
            </w:r>
            <w:r>
              <w:rPr>
                <w:rFonts w:hint="eastAsia"/>
                <w:color w:val="auto"/>
                <w:highlight w:val="none"/>
                <w:lang w:val="zh-CN"/>
              </w:rPr>
              <w:t>(北京时间)</w:t>
            </w:r>
          </w:p>
        </w:tc>
      </w:tr>
      <w:tr w14:paraId="32EA2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14:paraId="01B7EDD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14:paraId="481D777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963" w:type="dxa"/>
            <w:tcBorders>
              <w:top w:val="single" w:color="auto" w:sz="4" w:space="0"/>
            </w:tcBorders>
            <w:noWrap w:val="0"/>
            <w:vAlign w:val="center"/>
          </w:tcPr>
          <w:p w14:paraId="1809E4F2">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eastAsiaTheme="minorEastAsia"/>
                <w:color w:val="auto"/>
                <w:sz w:val="21"/>
                <w:szCs w:val="21"/>
                <w:lang w:eastAsia="zh-CN"/>
              </w:rPr>
            </w:pPr>
            <w:r>
              <w:rPr>
                <w:rFonts w:hint="eastAsia" w:ascii="宋体" w:hAnsi="宋体" w:cs="宋体" w:eastAsiaTheme="minorEastAsia"/>
                <w:color w:val="auto"/>
                <w:sz w:val="21"/>
                <w:szCs w:val="21"/>
                <w:lang w:eastAsia="zh-CN"/>
              </w:rPr>
              <w:t>二道区长春市二道区洋浦大街6669号凯利中心AB栋101开标二室（长春市同晟科技有限公司）</w:t>
            </w:r>
          </w:p>
        </w:tc>
      </w:tr>
      <w:tr w14:paraId="1CC88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A2CD521">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14:paraId="4E0AF8D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14:paraId="495B524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963" w:type="dxa"/>
            <w:tcBorders>
              <w:left w:val="single" w:color="auto" w:sz="4" w:space="0"/>
            </w:tcBorders>
            <w:noWrap w:val="0"/>
            <w:vAlign w:val="center"/>
          </w:tcPr>
          <w:p w14:paraId="2AD694CE">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lang w:val="en-US" w:eastAsia="zh-CN"/>
              </w:rPr>
              <w:t>0-</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人。</w:t>
            </w:r>
          </w:p>
          <w:p w14:paraId="3EC7E5BB">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p>
        </w:tc>
      </w:tr>
      <w:tr w14:paraId="0BCC8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72AAA4D">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330B425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963" w:type="dxa"/>
            <w:tcBorders>
              <w:left w:val="single" w:color="auto" w:sz="4" w:space="0"/>
            </w:tcBorders>
            <w:noWrap w:val="0"/>
            <w:vAlign w:val="center"/>
          </w:tcPr>
          <w:p w14:paraId="210BE96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综合评分</w:t>
            </w:r>
            <w:r>
              <w:rPr>
                <w:rFonts w:hint="eastAsia" w:ascii="宋体" w:hAnsi="宋体" w:cs="宋体"/>
                <w:color w:val="auto"/>
                <w:sz w:val="21"/>
                <w:szCs w:val="21"/>
                <w:highlight w:val="none"/>
              </w:rPr>
              <w:t>法。</w:t>
            </w:r>
          </w:p>
        </w:tc>
      </w:tr>
      <w:tr w14:paraId="3C56A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443" w:type="dxa"/>
            <w:gridSpan w:val="3"/>
            <w:noWrap w:val="0"/>
            <w:vAlign w:val="center"/>
          </w:tcPr>
          <w:p w14:paraId="2749D4F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14:paraId="74413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3D4B0A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5C11A8F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963" w:type="dxa"/>
            <w:tcBorders>
              <w:left w:val="single" w:color="auto" w:sz="4" w:space="0"/>
            </w:tcBorders>
            <w:noWrap w:val="0"/>
            <w:vAlign w:val="top"/>
          </w:tcPr>
          <w:p w14:paraId="202944D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按照招标文件及合同执行。</w:t>
            </w:r>
          </w:p>
        </w:tc>
      </w:tr>
      <w:tr w14:paraId="76015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FB627C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7A73A06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963" w:type="dxa"/>
            <w:tcBorders>
              <w:left w:val="single" w:color="auto" w:sz="4" w:space="0"/>
            </w:tcBorders>
            <w:noWrap w:val="0"/>
            <w:vAlign w:val="center"/>
          </w:tcPr>
          <w:p w14:paraId="08EA193B">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14:paraId="585F4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443" w:type="dxa"/>
            <w:gridSpan w:val="3"/>
            <w:noWrap w:val="0"/>
            <w:vAlign w:val="center"/>
          </w:tcPr>
          <w:p w14:paraId="3FE9DEE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14:paraId="0392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D18365A">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14:paraId="10BB29A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963" w:type="dxa"/>
            <w:tcBorders>
              <w:left w:val="single" w:color="auto" w:sz="4" w:space="0"/>
            </w:tcBorders>
            <w:noWrap w:val="0"/>
            <w:vAlign w:val="center"/>
          </w:tcPr>
          <w:p w14:paraId="795605A7">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不含第五章技术标准和要求中的</w:t>
            </w:r>
            <w:r>
              <w:rPr>
                <w:rFonts w:hint="eastAsia" w:ascii="宋体" w:hAnsi="宋体" w:cs="宋体"/>
                <w:color w:val="auto"/>
                <w:sz w:val="21"/>
                <w:szCs w:val="21"/>
              </w:rPr>
              <w:t>*</w:t>
            </w:r>
            <w:r>
              <w:rPr>
                <w:rFonts w:hint="eastAsia" w:ascii="宋体" w:hAnsi="宋体" w:cs="宋体"/>
                <w:color w:val="auto"/>
                <w:sz w:val="21"/>
                <w:szCs w:val="21"/>
                <w:lang w:val="en-US" w:eastAsia="zh-CN"/>
              </w:rPr>
              <w:t>条款）</w:t>
            </w:r>
            <w:r>
              <w:rPr>
                <w:rFonts w:hint="eastAsia" w:ascii="宋体" w:hAnsi="宋体" w:cs="宋体"/>
                <w:color w:val="auto"/>
                <w:sz w:val="21"/>
                <w:szCs w:val="21"/>
              </w:rPr>
              <w:t>，这些主要条款的任何负偏离将否决其投标。</w:t>
            </w:r>
          </w:p>
        </w:tc>
      </w:tr>
      <w:tr w14:paraId="39F25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AB31290">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14:paraId="4B69C22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963" w:type="dxa"/>
            <w:tcBorders>
              <w:left w:val="single" w:color="auto" w:sz="4" w:space="0"/>
            </w:tcBorders>
            <w:noWrap w:val="0"/>
            <w:vAlign w:val="center"/>
          </w:tcPr>
          <w:p w14:paraId="5B469B8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14:paraId="27116FF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color w:val="auto"/>
                <w:kern w:val="2"/>
                <w:sz w:val="21"/>
                <w:szCs w:val="21"/>
                <w:lang w:val="en-US" w:eastAsia="zh-CN" w:bidi="ar-SA"/>
              </w:rPr>
              <w:t>招标代理服务费向中标人收取，</w:t>
            </w:r>
          </w:p>
          <w:p w14:paraId="0BA3F73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color w:val="auto"/>
                <w:kern w:val="2"/>
                <w:sz w:val="21"/>
                <w:szCs w:val="21"/>
                <w:lang w:val="en-US" w:eastAsia="zh-CN" w:bidi="ar-SA"/>
              </w:rPr>
              <w:t>收取金额为：中标金额×2%</w:t>
            </w:r>
          </w:p>
        </w:tc>
      </w:tr>
      <w:tr w14:paraId="5C49F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38EF5F7">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14:paraId="4A860B33">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963" w:type="dxa"/>
            <w:tcBorders>
              <w:left w:val="single" w:color="auto" w:sz="4" w:space="0"/>
            </w:tcBorders>
            <w:noWrap w:val="0"/>
            <w:vAlign w:val="center"/>
          </w:tcPr>
          <w:p w14:paraId="4F86BA66">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r>
              <w:rPr>
                <w:color w:val="auto"/>
                <w:highlight w:val="none"/>
              </w:rPr>
              <w:br w:type="textWrapping"/>
            </w:r>
            <w:r>
              <w:rPr>
                <w:rFonts w:hint="eastAsia" w:ascii="宋体" w:hAnsi="宋体" w:cs="宋体"/>
                <w:color w:val="auto"/>
                <w:highlight w:val="none"/>
              </w:rPr>
              <w:t>②</w:t>
            </w:r>
            <w:r>
              <w:rPr>
                <w:color w:val="auto"/>
                <w:highlight w:val="none"/>
              </w:rPr>
              <w:t>中国政府采购网(www.ccgp.gov.cn)：政府采购严重违法失信行为信息记录。</w:t>
            </w:r>
            <w:r>
              <w:rPr>
                <w:color w:val="auto"/>
                <w:highlight w:val="none"/>
              </w:rPr>
              <w:br w:type="textWrapping"/>
            </w: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r>
              <w:rPr>
                <w:color w:val="auto"/>
                <w:highlight w:val="none"/>
              </w:rPr>
              <w:br w:type="textWrapping"/>
            </w:r>
            <w:r>
              <w:rPr>
                <w:color w:val="auto"/>
                <w:highlight w:val="none"/>
              </w:rPr>
              <w:t>信用信息查询记录的具体方式：</w:t>
            </w:r>
            <w:r>
              <w:rPr>
                <w:color w:val="auto"/>
                <w:highlight w:val="none"/>
              </w:rPr>
              <w:br w:type="textWrapping"/>
            </w:r>
            <w:r>
              <w:rPr>
                <w:color w:val="auto"/>
                <w:highlight w:val="none"/>
              </w:rPr>
              <w:t>采购人或采购代理机构将按查询截止时点对所有投标人的信用信息进行查询。</w:t>
            </w:r>
            <w:r>
              <w:rPr>
                <w:color w:val="auto"/>
                <w:highlight w:val="none"/>
              </w:rPr>
              <w:br w:type="textWrapping"/>
            </w:r>
            <w:r>
              <w:rPr>
                <w:color w:val="auto"/>
                <w:highlight w:val="none"/>
              </w:rPr>
              <w:t>信用信息的使用规则：</w:t>
            </w:r>
            <w:r>
              <w:rPr>
                <w:color w:val="auto"/>
                <w:highlight w:val="none"/>
              </w:rPr>
              <w:br w:type="textWrapping"/>
            </w:r>
            <w:r>
              <w:rPr>
                <w:color w:val="auto"/>
                <w:highlight w:val="none"/>
              </w:rPr>
              <w:t>对列入失信被执行人、重大税收违法案件当事人名单、政府采购严重违法失信行为记录名单的投标人，投标文件作无效处理。</w:t>
            </w:r>
          </w:p>
        </w:tc>
      </w:tr>
      <w:tr w14:paraId="32ABD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1466557D">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14:paraId="2071861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963" w:type="dxa"/>
            <w:tcBorders>
              <w:left w:val="single" w:color="auto" w:sz="4" w:space="0"/>
            </w:tcBorders>
            <w:noWrap w:val="0"/>
            <w:vAlign w:val="center"/>
          </w:tcPr>
          <w:p w14:paraId="41A8EBB9">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一、有下列情形之一的，属于投标人相互串通投标：</w:t>
            </w:r>
            <w:r>
              <w:rPr>
                <w:rFonts w:hint="eastAsia" w:ascii="宋体" w:hAnsi="宋体"/>
                <w:color w:val="auto"/>
                <w:sz w:val="21"/>
                <w:szCs w:val="21"/>
              </w:rPr>
              <w:br w:type="textWrapping"/>
            </w:r>
            <w:r>
              <w:rPr>
                <w:rFonts w:hint="eastAsia" w:ascii="宋体" w:hAnsi="宋体"/>
                <w:color w:val="auto"/>
                <w:sz w:val="21"/>
                <w:szCs w:val="21"/>
              </w:rPr>
              <w:t>（一）投标人之间协商投标报价等投标文件的实质性内容；</w:t>
            </w:r>
            <w:r>
              <w:rPr>
                <w:rFonts w:hint="eastAsia" w:ascii="宋体" w:hAnsi="宋体"/>
                <w:color w:val="auto"/>
                <w:sz w:val="21"/>
                <w:szCs w:val="21"/>
              </w:rPr>
              <w:br w:type="textWrapping"/>
            </w:r>
            <w:r>
              <w:rPr>
                <w:rFonts w:hint="eastAsia" w:ascii="宋体" w:hAnsi="宋体"/>
                <w:color w:val="auto"/>
                <w:sz w:val="21"/>
                <w:szCs w:val="21"/>
              </w:rPr>
              <w:t>（二）投标人之间约定中标人；</w:t>
            </w:r>
            <w:r>
              <w:rPr>
                <w:rFonts w:hint="eastAsia" w:ascii="宋体" w:hAnsi="宋体"/>
                <w:color w:val="auto"/>
                <w:sz w:val="21"/>
                <w:szCs w:val="21"/>
              </w:rPr>
              <w:br w:type="textWrapping"/>
            </w:r>
            <w:r>
              <w:rPr>
                <w:rFonts w:hint="eastAsia" w:ascii="宋体" w:hAnsi="宋体"/>
                <w:color w:val="auto"/>
                <w:sz w:val="21"/>
                <w:szCs w:val="21"/>
              </w:rPr>
              <w:t>（三）投标人之间约定部分投标人放弃投标或者中标；</w:t>
            </w:r>
            <w:r>
              <w:rPr>
                <w:rFonts w:hint="eastAsia" w:ascii="宋体" w:hAnsi="宋体"/>
                <w:color w:val="auto"/>
                <w:sz w:val="21"/>
                <w:szCs w:val="21"/>
              </w:rPr>
              <w:br w:type="textWrapping"/>
            </w:r>
            <w:r>
              <w:rPr>
                <w:rFonts w:hint="eastAsia" w:ascii="宋体" w:hAnsi="宋体"/>
                <w:color w:val="auto"/>
                <w:sz w:val="21"/>
                <w:szCs w:val="21"/>
              </w:rPr>
              <w:t>（四）属于同一集团、协会、商会等组织成员的投标人按照该组织要求协同投标；</w:t>
            </w:r>
            <w:r>
              <w:rPr>
                <w:rFonts w:hint="eastAsia" w:ascii="宋体" w:hAnsi="宋体"/>
                <w:color w:val="auto"/>
                <w:sz w:val="21"/>
                <w:szCs w:val="21"/>
              </w:rPr>
              <w:br w:type="textWrapping"/>
            </w:r>
            <w:r>
              <w:rPr>
                <w:rFonts w:hint="eastAsia" w:ascii="宋体" w:hAnsi="宋体"/>
                <w:color w:val="auto"/>
                <w:sz w:val="21"/>
                <w:szCs w:val="21"/>
              </w:rPr>
              <w:t>（五）投标人之间为谋取中标或者排斥特定投标人而采取的其他联合行动。</w:t>
            </w:r>
            <w:r>
              <w:rPr>
                <w:rFonts w:hint="eastAsia" w:ascii="宋体" w:hAnsi="宋体"/>
                <w:color w:val="auto"/>
                <w:sz w:val="21"/>
                <w:szCs w:val="21"/>
              </w:rPr>
              <w:br w:type="textWrapping"/>
            </w:r>
            <w:r>
              <w:rPr>
                <w:rFonts w:hint="eastAsia" w:ascii="宋体" w:hAnsi="宋体"/>
                <w:color w:val="auto"/>
                <w:sz w:val="21"/>
                <w:szCs w:val="21"/>
              </w:rPr>
              <w:t>二、有下列情形之一的，视为投标人相互串通投标：</w:t>
            </w:r>
            <w:r>
              <w:rPr>
                <w:rFonts w:hint="eastAsia" w:ascii="宋体" w:hAnsi="宋体"/>
                <w:color w:val="auto"/>
                <w:sz w:val="21"/>
                <w:szCs w:val="21"/>
              </w:rPr>
              <w:br w:type="textWrapping"/>
            </w:r>
            <w:r>
              <w:rPr>
                <w:rFonts w:hint="eastAsia" w:ascii="宋体" w:hAnsi="宋体"/>
                <w:color w:val="auto"/>
                <w:sz w:val="21"/>
                <w:szCs w:val="21"/>
              </w:rPr>
              <w:t>（一）不同投标人的投标文件由同一单位或者个人编制；</w:t>
            </w:r>
            <w:r>
              <w:rPr>
                <w:rFonts w:hint="eastAsia" w:ascii="宋体" w:hAnsi="宋体"/>
                <w:color w:val="auto"/>
                <w:sz w:val="21"/>
                <w:szCs w:val="21"/>
              </w:rPr>
              <w:br w:type="textWrapping"/>
            </w:r>
            <w:r>
              <w:rPr>
                <w:rFonts w:hint="eastAsia" w:ascii="宋体" w:hAnsi="宋体"/>
                <w:color w:val="auto"/>
                <w:sz w:val="21"/>
                <w:szCs w:val="21"/>
              </w:rPr>
              <w:t>（二）不同投标人委托同一单位或者个人办理投标事宜；</w:t>
            </w:r>
            <w:r>
              <w:rPr>
                <w:rFonts w:hint="eastAsia" w:ascii="宋体" w:hAnsi="宋体"/>
                <w:color w:val="auto"/>
                <w:sz w:val="21"/>
                <w:szCs w:val="21"/>
              </w:rPr>
              <w:br w:type="textWrapping"/>
            </w:r>
            <w:r>
              <w:rPr>
                <w:rFonts w:hint="eastAsia" w:ascii="宋体" w:hAnsi="宋体"/>
                <w:color w:val="auto"/>
                <w:sz w:val="21"/>
                <w:szCs w:val="21"/>
              </w:rPr>
              <w:t>（三）不同投标人的投标文件载明的项目管理成员为同一人；</w:t>
            </w:r>
            <w:r>
              <w:rPr>
                <w:rFonts w:hint="eastAsia" w:ascii="宋体" w:hAnsi="宋体"/>
                <w:color w:val="auto"/>
                <w:sz w:val="21"/>
                <w:szCs w:val="21"/>
              </w:rPr>
              <w:br w:type="textWrapping"/>
            </w:r>
            <w:r>
              <w:rPr>
                <w:rFonts w:hint="eastAsia" w:ascii="宋体" w:hAnsi="宋体"/>
                <w:color w:val="auto"/>
                <w:sz w:val="21"/>
                <w:szCs w:val="21"/>
              </w:rPr>
              <w:t>（四）不同投标人的投标文件异常一致或者投标报价呈规律性差异；</w:t>
            </w:r>
            <w:r>
              <w:rPr>
                <w:rFonts w:hint="eastAsia" w:ascii="宋体" w:hAnsi="宋体"/>
                <w:color w:val="auto"/>
                <w:sz w:val="21"/>
                <w:szCs w:val="21"/>
              </w:rPr>
              <w:br w:type="textWrapping"/>
            </w:r>
            <w:r>
              <w:rPr>
                <w:rFonts w:hint="eastAsia" w:ascii="宋体" w:hAnsi="宋体"/>
                <w:color w:val="auto"/>
                <w:sz w:val="21"/>
                <w:szCs w:val="21"/>
              </w:rPr>
              <w:t>（五）不同投标人的投标文件相互混装；</w:t>
            </w:r>
            <w:r>
              <w:rPr>
                <w:rFonts w:hint="eastAsia" w:ascii="宋体" w:hAnsi="宋体"/>
                <w:color w:val="auto"/>
                <w:sz w:val="21"/>
                <w:szCs w:val="21"/>
              </w:rPr>
              <w:br w:type="textWrapping"/>
            </w:r>
            <w:r>
              <w:rPr>
                <w:rFonts w:hint="eastAsia" w:ascii="宋体" w:hAnsi="宋体"/>
                <w:color w:val="auto"/>
                <w:sz w:val="21"/>
                <w:szCs w:val="21"/>
              </w:rPr>
              <w:t>（六）不同投标人的投标保证金从同一单位或者个人的账户转出。</w:t>
            </w:r>
            <w:r>
              <w:rPr>
                <w:rFonts w:hint="eastAsia" w:ascii="宋体" w:hAnsi="宋体"/>
                <w:color w:val="auto"/>
                <w:sz w:val="21"/>
                <w:szCs w:val="21"/>
              </w:rPr>
              <w:br w:type="textWrapping"/>
            </w:r>
            <w:r>
              <w:rPr>
                <w:rFonts w:hint="eastAsia" w:ascii="宋体" w:hAnsi="宋体"/>
                <w:color w:val="auto"/>
                <w:sz w:val="21"/>
                <w:szCs w:val="21"/>
              </w:rPr>
              <w:t>三、有下列情形之一的，属于招标人与投标人串通投标：</w:t>
            </w:r>
            <w:r>
              <w:rPr>
                <w:rFonts w:hint="eastAsia" w:ascii="宋体" w:hAnsi="宋体"/>
                <w:color w:val="auto"/>
                <w:sz w:val="21"/>
                <w:szCs w:val="21"/>
              </w:rPr>
              <w:br w:type="textWrapping"/>
            </w:r>
            <w:r>
              <w:rPr>
                <w:rFonts w:hint="eastAsia" w:ascii="宋体" w:hAnsi="宋体"/>
                <w:color w:val="auto"/>
                <w:sz w:val="21"/>
                <w:szCs w:val="21"/>
              </w:rPr>
              <w:t>（一）招标人在开标前开启投标文件并将有关信息泄露给其他投标人;</w:t>
            </w:r>
            <w:r>
              <w:rPr>
                <w:rFonts w:hint="eastAsia" w:ascii="宋体" w:hAnsi="宋体"/>
                <w:color w:val="auto"/>
                <w:sz w:val="21"/>
                <w:szCs w:val="21"/>
              </w:rPr>
              <w:br w:type="textWrapping"/>
            </w:r>
            <w:r>
              <w:rPr>
                <w:rFonts w:hint="eastAsia" w:ascii="宋体" w:hAnsi="宋体"/>
                <w:color w:val="auto"/>
                <w:sz w:val="21"/>
                <w:szCs w:val="21"/>
              </w:rPr>
              <w:t>（二）招标人直接或者间接向投标人泄露标底、评标委员会成员等信息；</w:t>
            </w:r>
            <w:r>
              <w:rPr>
                <w:rFonts w:hint="eastAsia" w:ascii="宋体" w:hAnsi="宋体"/>
                <w:color w:val="auto"/>
                <w:sz w:val="21"/>
                <w:szCs w:val="21"/>
              </w:rPr>
              <w:br w:type="textWrapping"/>
            </w:r>
            <w:r>
              <w:rPr>
                <w:rFonts w:hint="eastAsia" w:ascii="宋体" w:hAnsi="宋体"/>
                <w:color w:val="auto"/>
                <w:sz w:val="21"/>
                <w:szCs w:val="21"/>
              </w:rPr>
              <w:t>（三）招标人明示或者暗示投标人压低或者抬高投标报价；</w:t>
            </w:r>
            <w:r>
              <w:rPr>
                <w:rFonts w:hint="eastAsia" w:ascii="宋体" w:hAnsi="宋体"/>
                <w:color w:val="auto"/>
                <w:sz w:val="21"/>
                <w:szCs w:val="21"/>
              </w:rPr>
              <w:br w:type="textWrapping"/>
            </w:r>
            <w:r>
              <w:rPr>
                <w:rFonts w:hint="eastAsia" w:ascii="宋体" w:hAnsi="宋体"/>
                <w:color w:val="auto"/>
                <w:sz w:val="21"/>
                <w:szCs w:val="21"/>
              </w:rPr>
              <w:t>（四）招标人授意投标人撤换、修改投标文件；</w:t>
            </w:r>
            <w:r>
              <w:rPr>
                <w:rFonts w:hint="eastAsia" w:ascii="宋体" w:hAnsi="宋体"/>
                <w:color w:val="auto"/>
                <w:sz w:val="21"/>
                <w:szCs w:val="21"/>
              </w:rPr>
              <w:br w:type="textWrapping"/>
            </w:r>
            <w:r>
              <w:rPr>
                <w:rFonts w:hint="eastAsia" w:ascii="宋体" w:hAnsi="宋体"/>
                <w:color w:val="auto"/>
                <w:sz w:val="21"/>
                <w:szCs w:val="21"/>
              </w:rPr>
              <w:t>（五）招标人明示或者暗示投标人为特定投标人中标提供方便；</w:t>
            </w:r>
            <w:r>
              <w:rPr>
                <w:rFonts w:hint="eastAsia" w:ascii="宋体" w:hAnsi="宋体"/>
                <w:color w:val="auto"/>
                <w:sz w:val="21"/>
                <w:szCs w:val="21"/>
              </w:rPr>
              <w:br w:type="textWrapping"/>
            </w:r>
            <w:r>
              <w:rPr>
                <w:rFonts w:hint="eastAsia" w:ascii="宋体" w:hAnsi="宋体"/>
                <w:color w:val="auto"/>
                <w:sz w:val="21"/>
                <w:szCs w:val="21"/>
              </w:rPr>
              <w:t>（六）招标人与投标人为谋求特定投标人中标而采取的其他串通行为。</w:t>
            </w:r>
          </w:p>
        </w:tc>
      </w:tr>
      <w:tr w14:paraId="6EB36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B729F1E">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14:paraId="2545294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963" w:type="dxa"/>
            <w:tcBorders>
              <w:left w:val="single" w:color="auto" w:sz="4" w:space="0"/>
            </w:tcBorders>
            <w:noWrap w:val="0"/>
            <w:vAlign w:val="center"/>
          </w:tcPr>
          <w:p w14:paraId="084C5003">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14:paraId="7A60BCDA">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14:paraId="55A2D85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14:paraId="1FE3919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14:paraId="2C258B78">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14:paraId="4387F10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14:paraId="3731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C323CA1">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14:paraId="0EA5D51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资金来源</w:t>
            </w:r>
          </w:p>
        </w:tc>
        <w:tc>
          <w:tcPr>
            <w:tcW w:w="6963" w:type="dxa"/>
            <w:tcBorders>
              <w:left w:val="single" w:color="auto" w:sz="4" w:space="0"/>
            </w:tcBorders>
            <w:noWrap w:val="0"/>
            <w:vAlign w:val="top"/>
          </w:tcPr>
          <w:p w14:paraId="3D314BB3">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eastAsia="宋体" w:cs="Times New Roman"/>
                <w:color w:val="auto"/>
                <w:kern w:val="2"/>
                <w:szCs w:val="22"/>
                <w:highlight w:val="none"/>
                <w:lang w:val="en-US" w:eastAsia="zh-CN"/>
              </w:rPr>
              <w:t>财政</w:t>
            </w:r>
            <w:r>
              <w:rPr>
                <w:rFonts w:hint="eastAsia" w:eastAsia="宋体" w:cs="Times New Roman"/>
                <w:color w:val="auto"/>
                <w:kern w:val="2"/>
                <w:szCs w:val="22"/>
                <w:highlight w:val="none"/>
              </w:rPr>
              <w:t>资金</w:t>
            </w:r>
          </w:p>
        </w:tc>
      </w:tr>
      <w:tr w14:paraId="32EA1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131CE34">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14:paraId="504AFEC5">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rPr>
              <w:t>采购预算</w:t>
            </w:r>
          </w:p>
        </w:tc>
        <w:tc>
          <w:tcPr>
            <w:tcW w:w="6963" w:type="dxa"/>
            <w:tcBorders>
              <w:left w:val="single" w:color="auto" w:sz="4" w:space="0"/>
            </w:tcBorders>
            <w:noWrap w:val="0"/>
            <w:vAlign w:val="top"/>
          </w:tcPr>
          <w:p w14:paraId="5DEA697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吉林电子信息职业技术学院特种作业高/低压电工培训考核实训室项目：78万元</w:t>
            </w:r>
          </w:p>
          <w:p w14:paraId="2F398B5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投标报价不允许超过本项目的预算金额，超过本项目的预算金额作为无效标处理。</w:t>
            </w:r>
          </w:p>
        </w:tc>
      </w:tr>
      <w:tr w14:paraId="6DCB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ACAE84B">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noWrap w:val="0"/>
            <w:vAlign w:val="center"/>
          </w:tcPr>
          <w:p w14:paraId="6AA6C69A">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14:paraId="1D546F28">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14:paraId="5EFDE1DC">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rPr>
            </w:pPr>
          </w:p>
        </w:tc>
        <w:tc>
          <w:tcPr>
            <w:tcW w:w="6963" w:type="dxa"/>
            <w:tcBorders>
              <w:left w:val="single" w:color="auto" w:sz="4" w:space="0"/>
            </w:tcBorders>
            <w:noWrap w:val="0"/>
            <w:vAlign w:val="center"/>
          </w:tcPr>
          <w:p w14:paraId="07C7584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14:paraId="76AA07A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14:paraId="01ED98E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color w:val="auto"/>
                <w:sz w:val="21"/>
                <w:szCs w:val="21"/>
                <w:lang w:val="en-US" w:eastAsia="zh-CN"/>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14:paraId="2DF8C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5B56F3D">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noWrap w:val="0"/>
            <w:vAlign w:val="center"/>
          </w:tcPr>
          <w:p w14:paraId="3D7D130C">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963" w:type="dxa"/>
            <w:tcBorders>
              <w:left w:val="single" w:color="auto" w:sz="4" w:space="0"/>
            </w:tcBorders>
            <w:noWrap w:val="0"/>
            <w:vAlign w:val="center"/>
          </w:tcPr>
          <w:p w14:paraId="1A8D3F0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14:paraId="1E63D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F71917B">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noWrap w:val="0"/>
            <w:vAlign w:val="center"/>
          </w:tcPr>
          <w:p w14:paraId="055182AE">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w:t>
            </w:r>
          </w:p>
        </w:tc>
        <w:tc>
          <w:tcPr>
            <w:tcW w:w="6963" w:type="dxa"/>
            <w:tcBorders>
              <w:left w:val="single" w:color="auto" w:sz="4" w:space="0"/>
            </w:tcBorders>
            <w:noWrap w:val="0"/>
            <w:vAlign w:val="center"/>
          </w:tcPr>
          <w:p w14:paraId="54D382A6">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在政采云平台（https://www.zcygov.cn/）（同步推送至吉林省公共资源交易公共服务平台、吉林省政府采购网、中国政府采购网）发布，公告期限为1个工作日。</w:t>
            </w:r>
          </w:p>
        </w:tc>
      </w:tr>
      <w:tr w14:paraId="448EA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243C723">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noWrap w:val="0"/>
            <w:vAlign w:val="center"/>
          </w:tcPr>
          <w:p w14:paraId="175EED5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cs="宋体"/>
                <w:color w:val="auto"/>
                <w:sz w:val="21"/>
                <w:szCs w:val="21"/>
              </w:rPr>
            </w:pPr>
            <w:r>
              <w:rPr>
                <w:rFonts w:hint="eastAsia" w:ascii="宋体" w:hAnsi="宋体"/>
                <w:bCs/>
                <w:color w:val="auto"/>
                <w:szCs w:val="21"/>
                <w:highlight w:val="none"/>
                <w:lang w:val="zh-CN"/>
              </w:rPr>
              <w:t>政府采购合同融资</w:t>
            </w:r>
          </w:p>
        </w:tc>
        <w:tc>
          <w:tcPr>
            <w:tcW w:w="6963" w:type="dxa"/>
            <w:tcBorders>
              <w:left w:val="single" w:color="auto" w:sz="4" w:space="0"/>
            </w:tcBorders>
            <w:noWrap w:val="0"/>
            <w:vAlign w:val="center"/>
          </w:tcPr>
          <w:p w14:paraId="5E5B25A5">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color w:val="auto"/>
                <w:sz w:val="21"/>
                <w:szCs w:val="21"/>
                <w:lang w:val="en-US" w:eastAsia="zh-CN"/>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14:paraId="7C140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54A96CDF">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noWrap w:val="0"/>
            <w:vAlign w:val="center"/>
          </w:tcPr>
          <w:p w14:paraId="2C025B0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充分、公平竞争保障措施</w:t>
            </w:r>
          </w:p>
        </w:tc>
        <w:tc>
          <w:tcPr>
            <w:tcW w:w="6963" w:type="dxa"/>
            <w:tcBorders>
              <w:left w:val="single" w:color="auto" w:sz="4" w:space="0"/>
            </w:tcBorders>
            <w:noWrap w:val="0"/>
            <w:vAlign w:val="center"/>
          </w:tcPr>
          <w:p w14:paraId="4E8C9D7C">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14:paraId="3BC00272">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14:paraId="08D7309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14:paraId="2175A12F">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14:paraId="6E9F5A4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14:paraId="530F54A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14:paraId="7711ACA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14:paraId="67BE593F">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14:paraId="2051AAE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14:paraId="0B773DB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14:paraId="667A6EE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14:paraId="40BAC10E">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14:paraId="0710133A">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0D79845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14:paraId="6D800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49" w:hRule="atLeast"/>
          <w:jc w:val="center"/>
        </w:trPr>
        <w:tc>
          <w:tcPr>
            <w:tcW w:w="682" w:type="dxa"/>
            <w:tcBorders>
              <w:right w:val="single" w:color="auto" w:sz="4" w:space="0"/>
            </w:tcBorders>
            <w:noWrap w:val="0"/>
            <w:vAlign w:val="center"/>
          </w:tcPr>
          <w:p w14:paraId="6B0F9A81">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26.13</w:t>
            </w:r>
          </w:p>
        </w:tc>
        <w:tc>
          <w:tcPr>
            <w:tcW w:w="1798" w:type="dxa"/>
            <w:tcBorders>
              <w:left w:val="single" w:color="auto" w:sz="4" w:space="0"/>
              <w:right w:val="single" w:color="auto" w:sz="4" w:space="0"/>
            </w:tcBorders>
            <w:noWrap w:val="0"/>
            <w:vAlign w:val="center"/>
          </w:tcPr>
          <w:p w14:paraId="458ACEA2">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963" w:type="dxa"/>
            <w:tcBorders>
              <w:left w:val="single" w:color="auto" w:sz="4" w:space="0"/>
            </w:tcBorders>
            <w:noWrap w:val="0"/>
            <w:vAlign w:val="top"/>
          </w:tcPr>
          <w:p w14:paraId="08BE7872">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14:paraId="199F4E93">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14:paraId="20235B9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14:paraId="358E65C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14:paraId="06D7D42B">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14:paraId="01102680">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14:paraId="7FE2225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14:paraId="56B52675">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14:paraId="55887268">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14:paraId="0D8A6443">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14:paraId="3061010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14:paraId="1D90987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14:paraId="60361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DA4E203">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noWrap w:val="0"/>
            <w:vAlign w:val="center"/>
          </w:tcPr>
          <w:p w14:paraId="125BB83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宋体" w:hAnsi="宋体" w:cs="宋体" w:eastAsiaTheme="minorEastAsia"/>
                <w:color w:val="auto"/>
                <w:sz w:val="21"/>
                <w:szCs w:val="21"/>
                <w:highlight w:val="none"/>
                <w:lang w:val="en-US" w:eastAsia="zh-CN"/>
              </w:rPr>
            </w:pPr>
            <w:r>
              <w:rPr>
                <w:rFonts w:hint="eastAsia" w:hAnsi="宋体" w:cs="宋体"/>
                <w:color w:val="auto"/>
                <w:kern w:val="2"/>
                <w:sz w:val="21"/>
                <w:szCs w:val="21"/>
                <w:highlight w:val="none"/>
                <w:lang w:val="en-US" w:eastAsia="zh-CN"/>
              </w:rPr>
              <w:t>其他</w:t>
            </w:r>
          </w:p>
        </w:tc>
        <w:tc>
          <w:tcPr>
            <w:tcW w:w="6963" w:type="dxa"/>
            <w:tcBorders>
              <w:left w:val="single" w:color="auto" w:sz="4" w:space="0"/>
            </w:tcBorders>
            <w:noWrap w:val="0"/>
            <w:vAlign w:val="center"/>
          </w:tcPr>
          <w:p w14:paraId="3C014B17">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14:paraId="709E05D3">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ascii="宋体" w:hAnsi="宋体" w:cs="宋体"/>
                <w:color w:val="auto"/>
                <w:sz w:val="21"/>
                <w:szCs w:val="21"/>
                <w:highlight w:val="none"/>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bl>
    <w:p w14:paraId="2337D59C">
      <w:pPr>
        <w:adjustRightInd w:val="0"/>
        <w:snapToGrid w:val="0"/>
        <w:spacing w:line="360" w:lineRule="auto"/>
        <w:jc w:val="center"/>
        <w:rPr>
          <w:rFonts w:hint="eastAsia" w:ascii="宋体" w:hAnsi="宋体" w:eastAsia="宋体" w:cs="宋体"/>
          <w:color w:val="auto"/>
          <w:sz w:val="24"/>
          <w:szCs w:val="24"/>
        </w:rPr>
      </w:pPr>
    </w:p>
    <w:p w14:paraId="27C047CC">
      <w:pPr>
        <w:rPr>
          <w:rFonts w:hint="eastAsia" w:ascii="宋体" w:hAnsi="宋体" w:cs="黑体"/>
          <w:b/>
          <w:bCs/>
          <w:color w:val="auto"/>
          <w:sz w:val="30"/>
          <w:szCs w:val="30"/>
          <w:lang w:val="zh-CN"/>
        </w:rPr>
      </w:pPr>
      <w:bookmarkStart w:id="57" w:name="_Toc13774"/>
      <w:r>
        <w:rPr>
          <w:rFonts w:hint="eastAsia" w:ascii="宋体" w:hAnsi="宋体" w:cs="黑体"/>
          <w:b/>
          <w:bCs/>
          <w:color w:val="auto"/>
          <w:sz w:val="30"/>
          <w:szCs w:val="30"/>
          <w:lang w:val="zh-CN"/>
        </w:rPr>
        <w:br w:type="page"/>
      </w:r>
    </w:p>
    <w:bookmarkEnd w:id="57"/>
    <w:p w14:paraId="540674A3">
      <w:pPr>
        <w:spacing w:before="0" w:after="0" w:line="360" w:lineRule="auto"/>
        <w:jc w:val="center"/>
        <w:outlineLvl w:val="1"/>
        <w:rPr>
          <w:rFonts w:hint="eastAsia" w:ascii="宋体" w:hAnsi="宋体" w:eastAsia="宋体" w:cs="宋体"/>
          <w:b/>
          <w:bCs/>
          <w:color w:val="auto"/>
          <w:sz w:val="24"/>
          <w:szCs w:val="24"/>
        </w:rPr>
      </w:pPr>
      <w:bookmarkStart w:id="58" w:name="_Toc28946"/>
      <w:bookmarkStart w:id="59" w:name="_Toc16450"/>
      <w:bookmarkStart w:id="60" w:name="_Toc16335"/>
      <w:bookmarkStart w:id="61" w:name="_Toc29732"/>
      <w:bookmarkStart w:id="62" w:name="_Toc28340"/>
      <w:bookmarkStart w:id="63" w:name="_Toc24574"/>
      <w:r>
        <w:rPr>
          <w:rFonts w:hint="eastAsia" w:ascii="宋体" w:hAnsi="宋体" w:eastAsia="宋体" w:cs="宋体"/>
          <w:b/>
          <w:bCs/>
          <w:color w:val="auto"/>
          <w:sz w:val="24"/>
          <w:szCs w:val="24"/>
        </w:rPr>
        <w:t>一、总  则</w:t>
      </w:r>
      <w:bookmarkEnd w:id="58"/>
      <w:bookmarkEnd w:id="59"/>
    </w:p>
    <w:p w14:paraId="3FD244F3">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kern w:val="0"/>
          <w:sz w:val="21"/>
          <w:szCs w:val="21"/>
          <w:lang w:val="en-US" w:eastAsia="zh-CN" w:bidi="ar"/>
        </w:rPr>
        <w:t>适用法律：</w:t>
      </w:r>
      <w:r>
        <w:rPr>
          <w:rFonts w:hint="eastAsia" w:ascii="宋体" w:hAnsi="宋体" w:eastAsia="宋体" w:cs="宋体"/>
          <w:color w:val="auto"/>
          <w:kern w:val="0"/>
          <w:sz w:val="21"/>
          <w:szCs w:val="21"/>
          <w:lang w:val="en-US" w:eastAsia="zh-CN" w:bidi="ar"/>
        </w:rPr>
        <w:t>本次招标适用法律法规为《中华人民共和国政府采购法》、《中华人民共和国政府采购法实施条例》、《政府采购服务和服务招标投标管理办法》及政府采购其它相关法规。</w:t>
      </w:r>
    </w:p>
    <w:p w14:paraId="733AD415">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2、采购人、采购代理机构、投标人</w:t>
      </w:r>
    </w:p>
    <w:p w14:paraId="3E482E7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14:paraId="20533DF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系指根据采购人的委托依法办理采购事宜的采购机构（简称“采购人”）</w:t>
      </w:r>
      <w:r>
        <w:rPr>
          <w:rFonts w:hint="eastAsia" w:ascii="宋体" w:hAnsi="宋体" w:eastAsia="宋体" w:cs="宋体"/>
          <w:color w:val="auto"/>
          <w:sz w:val="21"/>
          <w:szCs w:val="21"/>
        </w:rPr>
        <w:t>。</w:t>
      </w:r>
    </w:p>
    <w:p w14:paraId="0ABB6A5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 “采购单位”系指“采购人”和“采购代理机构”的统称。</w:t>
      </w:r>
    </w:p>
    <w:p w14:paraId="64C3CB50">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3、合格投标人</w:t>
      </w:r>
    </w:p>
    <w:p w14:paraId="0D356E2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投标人指领取了招标文件并完成登记备案拟参加投标和向采购人提供相应服务的投标人。</w:t>
      </w:r>
    </w:p>
    <w:p w14:paraId="55B8A1E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14:paraId="31379D8E">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4、投标费用</w:t>
      </w:r>
    </w:p>
    <w:p w14:paraId="276437B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投标人应承担所有与编写和提交投标文件有关的费用，无论投标的结果如何，采购人和采购代理机构在任何情况下均无义务和责任承担这些费用。</w:t>
      </w:r>
    </w:p>
    <w:p w14:paraId="2310C277">
      <w:pPr>
        <w:spacing w:line="360" w:lineRule="auto"/>
        <w:jc w:val="center"/>
        <w:outlineLvl w:val="1"/>
        <w:rPr>
          <w:rFonts w:hint="eastAsia" w:ascii="宋体" w:hAnsi="宋体" w:eastAsia="宋体" w:cs="宋体"/>
          <w:b/>
          <w:color w:val="auto"/>
          <w:sz w:val="21"/>
          <w:szCs w:val="21"/>
        </w:rPr>
      </w:pPr>
      <w:bookmarkStart w:id="64" w:name="_Toc30276"/>
      <w:bookmarkStart w:id="65" w:name="_Toc14446"/>
      <w:r>
        <w:rPr>
          <w:rFonts w:hint="eastAsia" w:ascii="宋体" w:hAnsi="宋体" w:eastAsia="宋体" w:cs="宋体"/>
          <w:b/>
          <w:color w:val="auto"/>
          <w:sz w:val="21"/>
          <w:szCs w:val="21"/>
        </w:rPr>
        <w:t>二、招标文件</w:t>
      </w:r>
      <w:bookmarkEnd w:id="64"/>
      <w:bookmarkEnd w:id="65"/>
    </w:p>
    <w:p w14:paraId="7DBB1B84">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5、招标文件</w:t>
      </w:r>
    </w:p>
    <w:p w14:paraId="0DA4F72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招标文件的构成</w:t>
      </w:r>
    </w:p>
    <w:p w14:paraId="512AC13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第一章  招标公告</w:t>
      </w:r>
    </w:p>
    <w:p w14:paraId="369CE25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第二章  投标人须知</w:t>
      </w:r>
    </w:p>
    <w:p w14:paraId="71689A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第三章  评标办法</w:t>
      </w:r>
    </w:p>
    <w:p w14:paraId="3F46BD8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第四章  合同条款(参考格式)</w:t>
      </w:r>
    </w:p>
    <w:p w14:paraId="3908BB9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第五章  </w:t>
      </w:r>
      <w:r>
        <w:rPr>
          <w:rFonts w:hint="eastAsia" w:ascii="宋体" w:hAnsi="宋体" w:eastAsia="宋体" w:cs="宋体"/>
          <w:color w:val="auto"/>
          <w:sz w:val="21"/>
          <w:szCs w:val="21"/>
          <w:lang w:val="en-US" w:eastAsia="zh-CN"/>
        </w:rPr>
        <w:t>技术标准和要求</w:t>
      </w:r>
    </w:p>
    <w:p w14:paraId="08B66E9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第六章  投标文件构成及格式</w:t>
      </w:r>
    </w:p>
    <w:p w14:paraId="66C2C0B8">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第七章</w:t>
      </w:r>
      <w:r>
        <w:rPr>
          <w:rFonts w:hint="eastAsia" w:ascii="宋体" w:hAnsi="宋体" w:eastAsia="宋体" w:cs="宋体"/>
          <w:color w:val="auto"/>
          <w:sz w:val="21"/>
          <w:szCs w:val="21"/>
          <w:lang w:val="en-US" w:eastAsia="zh-CN"/>
        </w:rPr>
        <w:t xml:space="preserve">  附件</w:t>
      </w:r>
    </w:p>
    <w:p w14:paraId="1A26763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14:paraId="20E0409D">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14:paraId="0CF87B0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6、招标文件的澄清和修改</w:t>
      </w:r>
    </w:p>
    <w:p w14:paraId="51D3918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14:paraId="7CC1A03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6D47C4B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4565445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6.3本项目不召开答疑会。</w:t>
      </w:r>
    </w:p>
    <w:p w14:paraId="4E137BF7">
      <w:pPr>
        <w:spacing w:line="360" w:lineRule="auto"/>
        <w:jc w:val="center"/>
        <w:outlineLvl w:val="1"/>
        <w:rPr>
          <w:rFonts w:hint="eastAsia" w:ascii="宋体" w:hAnsi="宋体" w:eastAsia="宋体" w:cs="宋体"/>
          <w:b/>
          <w:color w:val="auto"/>
          <w:sz w:val="21"/>
          <w:szCs w:val="21"/>
        </w:rPr>
      </w:pPr>
      <w:bookmarkStart w:id="66" w:name="_Toc13388"/>
      <w:bookmarkStart w:id="67" w:name="_Toc19185"/>
      <w:r>
        <w:rPr>
          <w:rFonts w:hint="eastAsia" w:ascii="宋体" w:hAnsi="宋体" w:eastAsia="宋体" w:cs="宋体"/>
          <w:b/>
          <w:color w:val="auto"/>
          <w:sz w:val="21"/>
          <w:szCs w:val="21"/>
        </w:rPr>
        <w:t>三、投标文件</w:t>
      </w:r>
      <w:bookmarkEnd w:id="66"/>
      <w:bookmarkEnd w:id="67"/>
    </w:p>
    <w:p w14:paraId="532996D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7、投标文件的编制</w:t>
      </w:r>
    </w:p>
    <w:p w14:paraId="601EE06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7.1投标语言：投标人的投标文件以及投标人与就有关投标的所有来往函电均应使用中文。(注：投标人所投产品及设备的相关资料非中文文本无效)</w:t>
      </w:r>
    </w:p>
    <w:p w14:paraId="486BF04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7.2计量单位：中华人民共和国法定计量单位。</w:t>
      </w:r>
    </w:p>
    <w:p w14:paraId="5D0899C0">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7.3投标文件应编排有序，并编制文件目录，准确标明文件内容所在位置。</w:t>
      </w:r>
    </w:p>
    <w:p w14:paraId="0EE52B5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8、投标文件构成</w:t>
      </w:r>
    </w:p>
    <w:p w14:paraId="3D062E5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8.1投标人应按照招标文件的规定和要求编制投标文件。投标人编写的投标文件应包括的内容见“第六章投标文件构成及格式”要求。</w:t>
      </w:r>
    </w:p>
    <w:p w14:paraId="6D5D468A">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对于没有格式要求的部分由投标人自行编写</w:t>
      </w:r>
      <w:r>
        <w:rPr>
          <w:rFonts w:hint="eastAsia" w:ascii="宋体" w:hAnsi="宋体" w:eastAsia="宋体" w:cs="宋体"/>
          <w:color w:val="auto"/>
          <w:sz w:val="21"/>
          <w:szCs w:val="21"/>
          <w:lang w:eastAsia="zh-CN"/>
        </w:rPr>
        <w:t>。</w:t>
      </w:r>
    </w:p>
    <w:p w14:paraId="7B44240A">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9、投标报价</w:t>
      </w:r>
    </w:p>
    <w:p w14:paraId="16799A4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9.1报价原则：所有投标均以人民币元为计算单位。</w:t>
      </w:r>
    </w:p>
    <w:p w14:paraId="70D6D9D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9.2投标人所报的价格在合同执行过程中是固定不变的，不得以任何理由予以变更。以可调整的价格提交的投标将作为非响应性投标而予以拒绝。</w:t>
      </w:r>
    </w:p>
    <w:p w14:paraId="4141800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9.3投标人报价应为优惠条件折算后的最终价格。评标过程中不再接受优惠条件的价格折算。</w:t>
      </w:r>
    </w:p>
    <w:p w14:paraId="41348536">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10、投标保证金</w:t>
      </w:r>
    </w:p>
    <w:p w14:paraId="6C88B12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14:paraId="15C46A7F">
      <w:pPr>
        <w:spacing w:line="360" w:lineRule="auto"/>
        <w:ind w:left="13" w:leftChars="6" w:firstLine="464" w:firstLineChars="221"/>
        <w:outlineLvl w:val="9"/>
        <w:rPr>
          <w:rFonts w:hint="eastAsia" w:ascii="宋体" w:hAnsi="宋体" w:eastAsia="宋体" w:cs="宋体"/>
          <w:color w:val="auto"/>
          <w:sz w:val="21"/>
          <w:szCs w:val="21"/>
        </w:rPr>
      </w:pPr>
      <w:r>
        <w:rPr>
          <w:rFonts w:hint="eastAsia" w:ascii="宋体" w:hAnsi="宋体" w:eastAsia="宋体" w:cs="宋体"/>
          <w:color w:val="auto"/>
          <w:sz w:val="21"/>
          <w:szCs w:val="21"/>
        </w:rPr>
        <w:t>10.2投标保证金是为了弥补采购人因投标人的违规行为而蒙受的损失。采购人在因投标人的违规行为而受到损害时将没收投标人的投标保证金作为所受损害的补偿。</w:t>
      </w:r>
    </w:p>
    <w:p w14:paraId="158E03E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10.3投标保证金是投标文件的一个组成部分，没有按要求提交投标保证金的投标，将被视为非响应性投标予以拒绝。</w:t>
      </w:r>
    </w:p>
    <w:p w14:paraId="0E364F0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10.4落标人的投标保证金在中标通知书发出后5个工作日内退还，不计利息。</w:t>
      </w:r>
    </w:p>
    <w:p w14:paraId="465B21D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10.5中标人的投标保证金，在中标人按规定签署合同，并交纳了履约保证金后5个工作日予以退还，不计利息。</w:t>
      </w:r>
    </w:p>
    <w:p w14:paraId="5EC70A4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10.6中标供应商有下列情况之一的，采购人和采购代理机构不予退还其交纳的投标保证金：</w:t>
      </w:r>
    </w:p>
    <w:p w14:paraId="5BF1895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（1）投标人在招标文件规定的投标有效期内撤回其投标；</w:t>
      </w:r>
    </w:p>
    <w:p w14:paraId="2A3D1E1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（2）中标人未按规定提交履约保证金的；</w:t>
      </w:r>
    </w:p>
    <w:p w14:paraId="29B37D8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（3）中标人未按规定时间、地点与采购人签订合同的；</w:t>
      </w:r>
    </w:p>
    <w:p w14:paraId="1DCEB99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（4）投标人存在严重违法行为：如提供虚假材料谋取中标，恶意串通，以及行贿或者提供其他不正当利益等；</w:t>
      </w:r>
    </w:p>
    <w:p w14:paraId="3720703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（5）招标文件规定不予退还投标保证金的其他情形。</w:t>
      </w:r>
    </w:p>
    <w:p w14:paraId="7D31F888">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11、投标有效期</w:t>
      </w:r>
    </w:p>
    <w:p w14:paraId="2B3F6E1D">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14:paraId="51DF0921">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p>
    <w:p w14:paraId="0C41C9F2">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14:paraId="6F401D20">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14:paraId="05C06B32">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14:paraId="2DCCE636">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14:paraId="6DA63EC3">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14:paraId="47ECC218">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14:paraId="5F933797">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章投标文件构成及格式”要求在规定位置进行签署、盖章。投标人的投标文件未按照招标文件要求签署、盖章的，其投标无效。</w:t>
      </w:r>
    </w:p>
    <w:p w14:paraId="15E412E5">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14:paraId="6A174364">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p>
    <w:p w14:paraId="66614B61">
      <w:pPr>
        <w:spacing w:line="360" w:lineRule="auto"/>
        <w:ind w:firstLine="413" w:firstLineChars="196"/>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13、投标文件的修改和撤回</w:t>
      </w:r>
    </w:p>
    <w:p w14:paraId="584EC9B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rPr>
        <w:t>。</w:t>
      </w:r>
    </w:p>
    <w:p w14:paraId="12103C33">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14、投标</w:t>
      </w:r>
    </w:p>
    <w:p w14:paraId="1AE5186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14:paraId="0B3C5AE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14:paraId="40320A3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14:paraId="7A50F34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14:paraId="7CCC3DF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14:paraId="3E19367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14:paraId="1811261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0FD2A95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p>
    <w:p w14:paraId="35E0DD83">
      <w:pPr>
        <w:spacing w:line="360" w:lineRule="auto"/>
        <w:jc w:val="center"/>
        <w:outlineLvl w:val="1"/>
        <w:rPr>
          <w:rFonts w:hint="eastAsia" w:ascii="宋体" w:hAnsi="宋体" w:eastAsia="宋体" w:cs="宋体"/>
          <w:b/>
          <w:bCs/>
          <w:color w:val="auto"/>
          <w:sz w:val="21"/>
          <w:szCs w:val="21"/>
        </w:rPr>
      </w:pPr>
      <w:bookmarkStart w:id="68" w:name="_Toc25429"/>
      <w:bookmarkStart w:id="69" w:name="_Toc3960"/>
      <w:r>
        <w:rPr>
          <w:rFonts w:hint="eastAsia" w:ascii="宋体" w:hAnsi="宋体" w:eastAsia="宋体" w:cs="宋体"/>
          <w:b/>
          <w:bCs/>
          <w:color w:val="auto"/>
          <w:sz w:val="21"/>
          <w:szCs w:val="21"/>
        </w:rPr>
        <w:t>四、开标与评标</w:t>
      </w:r>
      <w:bookmarkEnd w:id="68"/>
      <w:bookmarkEnd w:id="69"/>
    </w:p>
    <w:p w14:paraId="792C2A46">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15、开标</w:t>
      </w:r>
    </w:p>
    <w:p w14:paraId="351D819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14:paraId="392FC93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14:paraId="730F42A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14:paraId="04751F4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14:paraId="2C72BC7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14:paraId="09C6023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14:paraId="6254CF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14:paraId="1CB281F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14:paraId="75DC9CC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14:paraId="123C252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68C7A3C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14:paraId="267680F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14:paraId="05D660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①投标文件在规定的投标截止时间以后送达的；</w:t>
      </w:r>
    </w:p>
    <w:p w14:paraId="326AC90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14:paraId="7902ECC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14:paraId="0252DDD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14:paraId="5D89D6C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14:paraId="6C5478B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首次招标废标后将重新招标，重新招标仍出现本款情形的，按相关规定处理。</w:t>
      </w:r>
    </w:p>
    <w:p w14:paraId="5A47AAAC">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16、评标过程的保密性</w:t>
      </w:r>
    </w:p>
    <w:p w14:paraId="5D6E8E5D">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14:paraId="2EAA005A">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17、评标</w:t>
      </w:r>
    </w:p>
    <w:p w14:paraId="14BB1B2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17.1采购代理机构负责组织评标工作，并履行下列职责：</w:t>
      </w:r>
    </w:p>
    <w:p w14:paraId="78C09772">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（一）核对评审专家身份和采购人代表授权函，对评审专家在政府采购活动中的职责履行情况予以记录，并及时将有关违法违规行为向财政部门报告；</w:t>
      </w:r>
    </w:p>
    <w:p w14:paraId="4ACEDFD4">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（二）宣布评标纪律；</w:t>
      </w:r>
    </w:p>
    <w:p w14:paraId="23B1DD96">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（三）公布投标人名单，告知评审专家应当回避的情形；</w:t>
      </w:r>
    </w:p>
    <w:p w14:paraId="5CFD9B9E">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（四）组织评标委员会推选评标组长，采购人代表不得担任组长；</w:t>
      </w:r>
    </w:p>
    <w:p w14:paraId="7847E916">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（五）在评标期间采取必要的通讯管理措施，保证评标活动不受外界干扰；</w:t>
      </w:r>
    </w:p>
    <w:p w14:paraId="6CBA33E5">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（六）根据评标委员会的要求介绍政府采购相关政策法规、招标文件；</w:t>
      </w:r>
    </w:p>
    <w:p w14:paraId="10D3111C">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（七）维护评标秩序，监督评标委员会依照招标文件规定的评标程序、方法和标准进行独立评审，及时制止和纠正采购人代表、评审专家的倾向性言论或者违法违规行为；</w:t>
      </w:r>
    </w:p>
    <w:p w14:paraId="766EB35D">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（八）核对评标结果，要求评标委员会复核或者书面说明理由，评标委员会拒绝的，应予记录并向本级财政部门报告；</w:t>
      </w:r>
    </w:p>
    <w:p w14:paraId="6ED605FF">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（九）评审工作完成后，按照规定向评审专家支付劳务报酬和异地评审差旅费，不得向评审专家以外的其他人员支付评审劳务报酬；</w:t>
      </w:r>
    </w:p>
    <w:p w14:paraId="6841EC05">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（十）处理与评标有关的其他事项。</w:t>
      </w:r>
    </w:p>
    <w:p w14:paraId="38A49C8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17.2采购人可以在评标前说明项目背景和采购需求，说明内容不得含有歧视性、倾向性意见，不得超出招标文件所述范围。说明应当提交书面材料，并随采购文件一并存档。</w:t>
      </w:r>
    </w:p>
    <w:p w14:paraId="12C1A3D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14:paraId="696444B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采购项目符合下列情形之一的，评标委员会成员人数应当为7人以上单数：</w:t>
      </w:r>
    </w:p>
    <w:p w14:paraId="1740199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（一）采购预算金额在1000万元以上；</w:t>
      </w:r>
    </w:p>
    <w:p w14:paraId="141ED9D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（二）技术复杂；</w:t>
      </w:r>
    </w:p>
    <w:p w14:paraId="4C6CE4F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（三）社会影响较大。</w:t>
      </w:r>
    </w:p>
    <w:p w14:paraId="3D16F18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评标委员会负责具体评标事物，并独立履行下列职责：</w:t>
      </w:r>
    </w:p>
    <w:p w14:paraId="42558C43">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（一）审查、评价投标文件是否符合招标文件的商务、技术等实质性要求；</w:t>
      </w:r>
    </w:p>
    <w:p w14:paraId="7D9B5972">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（二）要求投标人对投标文件有关事项作出澄清或者说明；</w:t>
      </w:r>
    </w:p>
    <w:p w14:paraId="14F9D67C">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（三）对投标文件进行比较和评价；</w:t>
      </w:r>
    </w:p>
    <w:p w14:paraId="2F050EAE">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（四）确定中标候选人名单；</w:t>
      </w:r>
    </w:p>
    <w:p w14:paraId="50A7BD2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（五）向采购人、采购代理机构或者有关部门报告评标中发现的违法行为</w:t>
      </w:r>
      <w:r>
        <w:rPr>
          <w:rFonts w:hint="eastAsia" w:ascii="宋体" w:hAnsi="宋体" w:eastAsia="宋体" w:cs="宋体"/>
          <w:color w:val="auto"/>
          <w:sz w:val="21"/>
          <w:szCs w:val="21"/>
        </w:rPr>
        <w:t>。</w:t>
      </w:r>
    </w:p>
    <w:p w14:paraId="47824C0F">
      <w:pPr>
        <w:spacing w:line="360" w:lineRule="auto"/>
        <w:ind w:firstLine="316" w:firstLineChars="15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18、政府采购进口产品的规定</w:t>
      </w:r>
    </w:p>
    <w:p w14:paraId="4FE0E9A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1559EFE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在中国境内生产或组装的外国品牌产品须标明该产品在中国国内制造厂商名称。否则，按进口产品对待。</w:t>
      </w:r>
    </w:p>
    <w:p w14:paraId="16C2F438">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19、政府强制采购节能产品的规定</w:t>
      </w:r>
    </w:p>
    <w:p w14:paraId="169EEBE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19.1 按照财政部、发展改革委最新发布执行的《节能产品政府采购清单》的规定，《</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需求及技术规格要求》中凡包含强制采购产品的，供应商必须提供列入《节能产品政府采购清单》的产品，否则投标无效。</w:t>
      </w:r>
    </w:p>
    <w:p w14:paraId="2AE52A0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需求及技术规格要求》中包含计算机设备的，供应商必须投标预装正版操作系统软件的计算机产品，否则无效。</w:t>
      </w:r>
    </w:p>
    <w:p w14:paraId="6EEE275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19.2《</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需求及技术规格要求》中包含计算机设备的，投标人必须投标预装正版操作系统软件的计算机产品，否则无效。</w:t>
      </w:r>
    </w:p>
    <w:p w14:paraId="2DFBAAE2">
      <w:pPr>
        <w:spacing w:line="360" w:lineRule="auto"/>
        <w:jc w:val="center"/>
        <w:outlineLvl w:val="1"/>
        <w:rPr>
          <w:rFonts w:hint="eastAsia" w:ascii="宋体" w:hAnsi="宋体" w:eastAsia="宋体" w:cs="宋体"/>
          <w:b/>
          <w:color w:val="auto"/>
          <w:sz w:val="21"/>
          <w:szCs w:val="21"/>
        </w:rPr>
      </w:pPr>
      <w:bookmarkStart w:id="70" w:name="_Toc24025"/>
      <w:bookmarkStart w:id="71" w:name="_Toc19797"/>
      <w:r>
        <w:rPr>
          <w:rFonts w:hint="eastAsia" w:ascii="宋体" w:hAnsi="宋体" w:eastAsia="宋体" w:cs="宋体"/>
          <w:b/>
          <w:color w:val="auto"/>
          <w:sz w:val="21"/>
          <w:szCs w:val="21"/>
        </w:rPr>
        <w:t>五、中标与合同</w:t>
      </w:r>
      <w:bookmarkEnd w:id="70"/>
      <w:bookmarkEnd w:id="71"/>
    </w:p>
    <w:p w14:paraId="0A5BF4C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20、</w:t>
      </w:r>
      <w:bookmarkStart w:id="72" w:name="OLE_LINK3"/>
      <w:r>
        <w:rPr>
          <w:rFonts w:hint="eastAsia" w:ascii="宋体" w:hAnsi="宋体" w:eastAsia="宋体" w:cs="宋体"/>
          <w:b/>
          <w:color w:val="auto"/>
          <w:sz w:val="21"/>
          <w:szCs w:val="21"/>
        </w:rPr>
        <w:t>中标</w:t>
      </w:r>
    </w:p>
    <w:p w14:paraId="0050196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20.1采购代理机构应当在评标结束后2个工作日内将评标报告送采购人。</w:t>
      </w:r>
    </w:p>
    <w:p w14:paraId="1172F91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20.2 采购人应当自收到评标报告之日起5个工作日内，在评标报告确定的中标候选人名单中按顺序确定中标人。中标候选人并列的，采购人可采取随机抽取的方式确定。</w:t>
      </w:r>
    </w:p>
    <w:p w14:paraId="5D31633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20.3采购人在收到评标报告5个工作日内未按评标报告推荐的中标候选人顺序确定中标人，又不能说明合法理由的，视同按评标报告推荐的顺序确定排名第一的中标候选人为中标人。</w:t>
      </w:r>
    </w:p>
    <w:p w14:paraId="295EAC6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20.4采购代理机构应当自评标委员会中标人确定之日起2个工作日内，在省级以上财政部门指定的媒体上公告中标结果，招标文件应当随中标结果同时公告。中标公告期限为1个工作日。</w:t>
      </w:r>
    </w:p>
    <w:p w14:paraId="4DEA7D5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72"/>
    <w:p w14:paraId="6FBE5818">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21、授标时更改数量的权利</w:t>
      </w:r>
    </w:p>
    <w:p w14:paraId="4A69C87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21.1采购人在授予合同时有权在一定幅度内对《</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需求及技术规格》中规定的货物数量和服务予以增加或减少，但不得改变单价和其他条款和条件。</w:t>
      </w:r>
    </w:p>
    <w:p w14:paraId="7A06DA8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394E645C">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22、签订合同</w:t>
      </w:r>
    </w:p>
    <w:p w14:paraId="7062C1D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 中标通知书发出后，采购人不得违法改变中标结果，中标人无正当理由不得放弃中标。</w:t>
      </w:r>
    </w:p>
    <w:p w14:paraId="2A51B4A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14:paraId="570BDF0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22.3采购人不得向中标人提出任何不合理的要求作为签订合同的条件。</w:t>
      </w:r>
    </w:p>
    <w:p w14:paraId="0E9093D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408FC6E4">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23、保密和披露</w:t>
      </w:r>
    </w:p>
    <w:p w14:paraId="55C0EC6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23.1 投标人自购买招标文件之日起，须承诺承担本招标项目下的保密义务，不得将因本次招标获得的信息向第三人外传。</w:t>
      </w:r>
    </w:p>
    <w:p w14:paraId="185351F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23.2 采购人有权将投标人提供的所有资料向其他政府部门或有关的非政府机构负责评审标书的人员或与评标有关的人员披露。</w:t>
      </w:r>
    </w:p>
    <w:p w14:paraId="5A94183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D2D6CD3">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24、质疑和投诉</w:t>
      </w:r>
    </w:p>
    <w:p w14:paraId="056EC83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lang w:val="en-US" w:eastAsia="zh-CN"/>
        </w:rPr>
        <w:t>张舒迪</w:t>
      </w:r>
      <w:r>
        <w:rPr>
          <w:rFonts w:hint="eastAsia" w:ascii="宋体" w:hAnsi="宋体" w:eastAsia="宋体" w:cs="宋体"/>
          <w:color w:val="auto"/>
          <w:sz w:val="21"/>
          <w:szCs w:val="21"/>
          <w:lang w:eastAsia="zh-CN"/>
        </w:rPr>
        <w:t>15044059166</w:t>
      </w:r>
      <w:r>
        <w:rPr>
          <w:rFonts w:hint="eastAsia" w:ascii="宋体" w:hAnsi="宋体" w:eastAsia="宋体" w:cs="宋体"/>
          <w:color w:val="auto"/>
          <w:sz w:val="21"/>
          <w:szCs w:val="21"/>
        </w:rPr>
        <w:t>）投标人对采购人的质疑答复不满意或者采购人未在规定时间内作出答复的，可以在答复期满后十五个工作日内向同级采购监管部门投诉。</w:t>
      </w:r>
    </w:p>
    <w:p w14:paraId="356CFC2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24.2质疑书、投诉书均应明确阐述招标文件、招标过程和中标结果中使自己合法权益受到损害的实质性内容，提供相关事实、依据和证据及其来源或线索，便于有关单位调查、答复和处理。</w:t>
      </w:r>
    </w:p>
    <w:p w14:paraId="320C916E">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25、中标服务费</w:t>
      </w:r>
    </w:p>
    <w:p w14:paraId="6C0B5F2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14:paraId="185323C2">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收取标准：</w:t>
      </w:r>
      <w:r>
        <w:rPr>
          <w:rFonts w:hint="eastAsia" w:ascii="宋体" w:hAnsi="宋体" w:eastAsia="宋体" w:cs="宋体"/>
          <w:color w:val="auto"/>
          <w:sz w:val="21"/>
          <w:szCs w:val="21"/>
          <w:lang w:val="en-US" w:eastAsia="zh-CN"/>
        </w:rPr>
        <w:t>招标代理服务费向中标人收取，</w:t>
      </w:r>
    </w:p>
    <w:p w14:paraId="7689CC07">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lang w:val="en-US" w:eastAsia="zh-CN"/>
        </w:rPr>
        <w:t>收取金额为：中标金额×2%</w:t>
      </w:r>
      <w:r>
        <w:rPr>
          <w:rFonts w:hint="eastAsia"/>
          <w:color w:val="auto"/>
          <w:sz w:val="21"/>
          <w:szCs w:val="21"/>
          <w:lang w:val="zh-CN"/>
        </w:rPr>
        <w:br w:type="page"/>
      </w:r>
    </w:p>
    <w:p w14:paraId="6B7A67FD">
      <w:pPr>
        <w:pStyle w:val="3"/>
        <w:numPr>
          <w:ilvl w:val="0"/>
          <w:numId w:val="1"/>
        </w:numPr>
        <w:bidi w:val="0"/>
        <w:spacing w:line="240" w:lineRule="auto"/>
        <w:jc w:val="center"/>
        <w:rPr>
          <w:rFonts w:hint="eastAsia"/>
          <w:color w:val="auto"/>
        </w:rPr>
      </w:pPr>
      <w:bookmarkStart w:id="73" w:name="_Toc179632627"/>
      <w:bookmarkStart w:id="74" w:name="_Toc247085767"/>
      <w:bookmarkStart w:id="75" w:name="_Toc144974577"/>
      <w:bookmarkStart w:id="76" w:name="_Toc152045609"/>
      <w:bookmarkStart w:id="77" w:name="_Toc152042387"/>
      <w:bookmarkStart w:id="78" w:name="_Toc9393"/>
      <w:bookmarkStart w:id="79" w:name="_Toc246996252"/>
      <w:bookmarkStart w:id="80" w:name="_Toc246996995"/>
      <w:r>
        <w:rPr>
          <w:rFonts w:hint="eastAsia"/>
          <w:color w:val="auto"/>
        </w:rPr>
        <w:t>评标办法</w:t>
      </w:r>
      <w:bookmarkEnd w:id="60"/>
      <w:bookmarkEnd w:id="61"/>
      <w:bookmarkEnd w:id="62"/>
      <w:bookmarkEnd w:id="63"/>
      <w:bookmarkEnd w:id="73"/>
      <w:bookmarkEnd w:id="74"/>
      <w:bookmarkEnd w:id="75"/>
      <w:bookmarkEnd w:id="76"/>
      <w:bookmarkEnd w:id="77"/>
      <w:bookmarkEnd w:id="78"/>
      <w:bookmarkEnd w:id="79"/>
      <w:bookmarkEnd w:id="80"/>
      <w:bookmarkStart w:id="81" w:name="_Toc31131"/>
      <w:bookmarkStart w:id="82" w:name="_Toc32564"/>
      <w:bookmarkStart w:id="83" w:name="_Toc28446"/>
      <w:bookmarkStart w:id="84" w:name="_Toc12089"/>
    </w:p>
    <w:p w14:paraId="38838CED">
      <w:pPr>
        <w:spacing w:line="360" w:lineRule="auto"/>
        <w:ind w:firstLine="480" w:firstLineChars="200"/>
        <w:outlineLvl w:val="9"/>
        <w:rPr>
          <w:rFonts w:hint="eastAsia"/>
          <w:color w:val="auto"/>
          <w:sz w:val="24"/>
          <w:szCs w:val="24"/>
          <w:lang w:val="zh-CN" w:eastAsia="zh-CN"/>
        </w:rPr>
      </w:pPr>
    </w:p>
    <w:p w14:paraId="6C5062FB">
      <w:pPr>
        <w:jc w:val="center"/>
        <w:rPr>
          <w:rFonts w:ascii="宋体" w:hAnsi="宋体"/>
          <w:b/>
          <w:iCs/>
          <w:sz w:val="36"/>
          <w:szCs w:val="36"/>
          <w:lang w:val="en-GB"/>
        </w:rPr>
      </w:pPr>
      <w:r>
        <w:rPr>
          <w:rFonts w:hint="eastAsia" w:ascii="宋体" w:hAnsi="宋体"/>
          <w:b/>
          <w:iCs/>
          <w:sz w:val="36"/>
          <w:szCs w:val="36"/>
          <w:lang w:val="en-GB"/>
        </w:rPr>
        <w:t xml:space="preserve"> 评标办法</w:t>
      </w:r>
    </w:p>
    <w:p w14:paraId="7899C525">
      <w:pPr>
        <w:rPr>
          <w:rFonts w:ascii="宋体" w:hAnsi="宋体"/>
          <w:bCs/>
          <w:sz w:val="24"/>
          <w:szCs w:val="24"/>
        </w:rPr>
      </w:pPr>
    </w:p>
    <w:p w14:paraId="296CE4A3">
      <w:pPr>
        <w:rPr>
          <w:rFonts w:ascii="宋体" w:hAnsi="宋体"/>
          <w:bCs/>
          <w:sz w:val="24"/>
          <w:szCs w:val="24"/>
        </w:rPr>
      </w:pPr>
      <w:r>
        <w:rPr>
          <w:rFonts w:hint="eastAsia" w:ascii="宋体" w:hAnsi="宋体"/>
          <w:bCs/>
          <w:sz w:val="24"/>
          <w:szCs w:val="24"/>
        </w:rPr>
        <w:t>附：评标标准及主要原则方法</w:t>
      </w:r>
    </w:p>
    <w:p w14:paraId="00033D99">
      <w:pPr>
        <w:spacing w:line="460" w:lineRule="exact"/>
        <w:ind w:firstLine="480" w:firstLineChars="200"/>
        <w:rPr>
          <w:rFonts w:ascii="宋体" w:hAnsi="宋体"/>
          <w:color w:val="000000"/>
          <w:sz w:val="24"/>
          <w:szCs w:val="24"/>
        </w:rPr>
      </w:pPr>
      <w:r>
        <w:rPr>
          <w:rFonts w:hint="eastAsia" w:ascii="宋体" w:hAnsi="宋体"/>
          <w:sz w:val="24"/>
          <w:szCs w:val="24"/>
        </w:rPr>
        <w:t>按照《中华人民共和国政府采购法》和《政府采购货物和服务招标投标管理办法》及国家有关部委的联合制定的《评标委员会和评标方法暂行规定》的有关规定，遵循公开、公平、公正和诚实信用的原则，结合本项目的实际情况，制定吉林省吉林中西医结合医院食堂食材采购项目米面油采购招标评标办法。</w:t>
      </w:r>
    </w:p>
    <w:p w14:paraId="2C0A6465">
      <w:pPr>
        <w:pStyle w:val="5"/>
        <w:spacing w:line="460" w:lineRule="exact"/>
        <w:ind w:left="481" w:hanging="481"/>
        <w:rPr>
          <w:rFonts w:ascii="宋体" w:hAnsi="宋体"/>
          <w:b w:val="0"/>
          <w:sz w:val="24"/>
          <w:szCs w:val="24"/>
        </w:rPr>
      </w:pPr>
      <w:r>
        <w:rPr>
          <w:rFonts w:hint="eastAsia" w:ascii="宋体" w:hAnsi="宋体"/>
          <w:b w:val="0"/>
          <w:sz w:val="24"/>
          <w:szCs w:val="24"/>
        </w:rPr>
        <w:t>一、评标程序</w:t>
      </w:r>
    </w:p>
    <w:p w14:paraId="470477CE">
      <w:pPr>
        <w:spacing w:line="460" w:lineRule="exact"/>
        <w:rPr>
          <w:rFonts w:ascii="宋体" w:hAnsi="宋体"/>
          <w:bCs/>
          <w:color w:val="000000"/>
          <w:sz w:val="24"/>
          <w:szCs w:val="24"/>
        </w:rPr>
      </w:pPr>
      <w:r>
        <w:rPr>
          <w:rFonts w:hint="eastAsia" w:ascii="宋体" w:hAnsi="宋体"/>
          <w:bCs/>
          <w:sz w:val="24"/>
          <w:szCs w:val="24"/>
        </w:rPr>
        <w:t>（一）组成评标委员会</w:t>
      </w:r>
    </w:p>
    <w:p w14:paraId="759F2D20">
      <w:pPr>
        <w:spacing w:line="460" w:lineRule="exact"/>
        <w:ind w:firstLine="480" w:firstLineChars="200"/>
        <w:rPr>
          <w:rFonts w:hint="eastAsia" w:ascii="宋体" w:hAnsi="宋体"/>
          <w:sz w:val="24"/>
          <w:szCs w:val="24"/>
        </w:rPr>
      </w:pPr>
      <w:r>
        <w:rPr>
          <w:rFonts w:hint="eastAsia" w:ascii="宋体" w:hAnsi="宋体"/>
          <w:sz w:val="24"/>
          <w:szCs w:val="24"/>
        </w:rPr>
        <w:t>按照国家有关部委及</w:t>
      </w:r>
      <w:r>
        <w:rPr>
          <w:rFonts w:hint="eastAsia" w:ascii="宋体" w:hAnsi="宋体"/>
          <w:sz w:val="24"/>
          <w:szCs w:val="24"/>
          <w:lang w:eastAsia="zh-CN"/>
        </w:rPr>
        <w:t>吉林</w:t>
      </w:r>
      <w:r>
        <w:rPr>
          <w:rFonts w:hint="eastAsia" w:ascii="宋体" w:hAnsi="宋体"/>
          <w:sz w:val="24"/>
          <w:szCs w:val="24"/>
        </w:rPr>
        <w:t>省的相关规定，从专家库中随机抽取技术、经济等方面的专家4人，采购人代表1人，共5人组成评标委员会（以下简称“评委会”）。为保证评标工作的顺利进行，推荐一名</w:t>
      </w:r>
      <w:r>
        <w:rPr>
          <w:rFonts w:hint="eastAsia" w:ascii="宋体" w:hAnsi="宋体"/>
          <w:sz w:val="24"/>
          <w:szCs w:val="24"/>
          <w:lang w:eastAsia="zh-CN"/>
        </w:rPr>
        <w:t>专家</w:t>
      </w:r>
      <w:r>
        <w:rPr>
          <w:rFonts w:hint="eastAsia" w:ascii="宋体" w:hAnsi="宋体"/>
          <w:sz w:val="24"/>
          <w:szCs w:val="24"/>
        </w:rPr>
        <w:t>担任评委会主任，负责评标全面工作。</w:t>
      </w:r>
    </w:p>
    <w:p w14:paraId="7037C337">
      <w:pPr>
        <w:spacing w:line="460" w:lineRule="exact"/>
        <w:ind w:left="359" w:hanging="359"/>
        <w:rPr>
          <w:rFonts w:ascii="宋体" w:hAnsi="宋体"/>
          <w:bCs/>
          <w:color w:val="000000"/>
          <w:sz w:val="24"/>
          <w:szCs w:val="24"/>
        </w:rPr>
      </w:pPr>
      <w:r>
        <w:rPr>
          <w:rFonts w:hint="eastAsia" w:ascii="宋体" w:hAnsi="宋体"/>
          <w:bCs/>
          <w:sz w:val="24"/>
          <w:szCs w:val="24"/>
        </w:rPr>
        <w:t>（二）评审方法：</w:t>
      </w:r>
      <w:r>
        <w:rPr>
          <w:rFonts w:hint="eastAsia" w:ascii="宋体" w:hAnsi="宋体"/>
          <w:bCs/>
          <w:sz w:val="24"/>
          <w:szCs w:val="24"/>
          <w:lang w:val="zh-CN"/>
        </w:rPr>
        <w:t>本项目评标采取技术标加商务标的综合评标法，并按有效投标人的技术标和商务标的综合得分由高到低推荐中标候选人（得分相同，报价低者排序第一）。评标过程中遇到特殊情况，由评标委员会遵循公平、公正原则，采取记名投票方式按照少数服从多数原则决定。</w:t>
      </w:r>
    </w:p>
    <w:p w14:paraId="55F1C603">
      <w:pPr>
        <w:spacing w:line="460" w:lineRule="exact"/>
        <w:ind w:left="359" w:hanging="359"/>
        <w:rPr>
          <w:rFonts w:ascii="宋体" w:hAnsi="宋体"/>
          <w:bCs/>
          <w:color w:val="000000"/>
          <w:sz w:val="24"/>
          <w:szCs w:val="24"/>
        </w:rPr>
      </w:pPr>
      <w:r>
        <w:rPr>
          <w:rFonts w:hint="eastAsia" w:ascii="宋体" w:hAnsi="宋体"/>
          <w:bCs/>
          <w:sz w:val="24"/>
          <w:szCs w:val="24"/>
        </w:rPr>
        <w:t>（三）评标工作</w:t>
      </w:r>
    </w:p>
    <w:p w14:paraId="17B39115">
      <w:pPr>
        <w:spacing w:line="460" w:lineRule="exact"/>
        <w:ind w:firstLine="480" w:firstLineChars="200"/>
        <w:rPr>
          <w:rFonts w:ascii="宋体" w:hAnsi="宋体"/>
          <w:sz w:val="24"/>
          <w:szCs w:val="24"/>
        </w:rPr>
      </w:pPr>
      <w:r>
        <w:rPr>
          <w:rFonts w:hint="eastAsia" w:ascii="宋体" w:hAnsi="宋体"/>
          <w:sz w:val="24"/>
          <w:szCs w:val="24"/>
        </w:rPr>
        <w:t>评标工作应本着客观公正、公平竞争、择优推荐、规范合法的原则进行。本次评标采用综合评分法，评标工作分初步评审和详细评审，初步评审不合格的投标单位不进入详细评审。</w:t>
      </w:r>
    </w:p>
    <w:p w14:paraId="181BBE60">
      <w:pPr>
        <w:spacing w:line="500" w:lineRule="exact"/>
        <w:ind w:left="550" w:hanging="550"/>
        <w:rPr>
          <w:bCs/>
          <w:sz w:val="24"/>
          <w:szCs w:val="24"/>
        </w:rPr>
      </w:pPr>
      <w:r>
        <w:rPr>
          <w:rFonts w:hint="eastAsia"/>
          <w:bCs/>
          <w:sz w:val="24"/>
          <w:szCs w:val="24"/>
        </w:rPr>
        <w:t>（四）确定中标候选人</w:t>
      </w:r>
    </w:p>
    <w:p w14:paraId="55C131D6">
      <w:pPr>
        <w:spacing w:line="500" w:lineRule="exact"/>
        <w:ind w:left="550" w:hanging="550"/>
        <w:rPr>
          <w:bCs/>
          <w:sz w:val="24"/>
          <w:szCs w:val="24"/>
        </w:rPr>
      </w:pPr>
      <w:r>
        <w:rPr>
          <w:rFonts w:hint="eastAsia"/>
          <w:bCs/>
          <w:sz w:val="24"/>
          <w:szCs w:val="24"/>
        </w:rPr>
        <w:t xml:space="preserve">    按最终得分由高到低的顺序推荐预中标候选人前三名。</w:t>
      </w:r>
    </w:p>
    <w:p w14:paraId="46769198">
      <w:pPr>
        <w:spacing w:line="500" w:lineRule="exact"/>
        <w:ind w:left="550" w:hanging="550"/>
        <w:rPr>
          <w:bCs/>
          <w:sz w:val="24"/>
          <w:szCs w:val="24"/>
        </w:rPr>
      </w:pPr>
      <w:r>
        <w:rPr>
          <w:rFonts w:hint="eastAsia"/>
          <w:bCs/>
          <w:sz w:val="24"/>
          <w:szCs w:val="24"/>
        </w:rPr>
        <w:t>（五）初步评审</w:t>
      </w:r>
    </w:p>
    <w:p w14:paraId="72EB8323">
      <w:pPr>
        <w:spacing w:line="460" w:lineRule="exact"/>
        <w:ind w:firstLine="480" w:firstLineChars="200"/>
        <w:rPr>
          <w:rFonts w:hint="eastAsia" w:ascii="宋体" w:hAnsi="宋体"/>
          <w:sz w:val="24"/>
          <w:szCs w:val="24"/>
        </w:rPr>
      </w:pPr>
      <w:r>
        <w:rPr>
          <w:rFonts w:hint="eastAsia" w:ascii="宋体" w:hAnsi="宋体"/>
          <w:sz w:val="24"/>
          <w:szCs w:val="24"/>
        </w:rPr>
        <w:t>1.资格审查。采购人或代理机构对各</w:t>
      </w:r>
      <w:r>
        <w:rPr>
          <w:rFonts w:hint="eastAsia" w:ascii="宋体" w:hAnsi="宋体"/>
          <w:sz w:val="24"/>
          <w:szCs w:val="24"/>
          <w:lang w:eastAsia="zh-CN"/>
        </w:rPr>
        <w:t>投标人</w:t>
      </w:r>
      <w:r>
        <w:rPr>
          <w:rFonts w:hint="eastAsia" w:ascii="宋体" w:hAnsi="宋体"/>
          <w:sz w:val="24"/>
          <w:szCs w:val="24"/>
        </w:rPr>
        <w:t>的资格进行审查。资格审查合格的</w:t>
      </w:r>
      <w:r>
        <w:rPr>
          <w:rFonts w:hint="eastAsia" w:ascii="宋体" w:hAnsi="宋体"/>
          <w:sz w:val="24"/>
          <w:szCs w:val="24"/>
          <w:lang w:eastAsia="zh-CN"/>
        </w:rPr>
        <w:t>投标人</w:t>
      </w:r>
      <w:r>
        <w:rPr>
          <w:rFonts w:hint="eastAsia" w:ascii="宋体" w:hAnsi="宋体"/>
          <w:sz w:val="24"/>
          <w:szCs w:val="24"/>
        </w:rPr>
        <w:t>方可进入符合性审查。不具备招标文件中规定的资格要求的，投标无效。合格</w:t>
      </w:r>
      <w:r>
        <w:rPr>
          <w:rFonts w:hint="eastAsia" w:ascii="宋体" w:hAnsi="宋体"/>
          <w:sz w:val="24"/>
          <w:szCs w:val="24"/>
          <w:lang w:eastAsia="zh-CN"/>
        </w:rPr>
        <w:t>投标人</w:t>
      </w:r>
      <w:r>
        <w:rPr>
          <w:rFonts w:hint="eastAsia" w:ascii="宋体" w:hAnsi="宋体"/>
          <w:sz w:val="24"/>
          <w:szCs w:val="24"/>
        </w:rPr>
        <w:t>不足3家的，不得评标。</w:t>
      </w:r>
    </w:p>
    <w:p w14:paraId="5C2643B5">
      <w:pPr>
        <w:spacing w:line="460" w:lineRule="exact"/>
        <w:ind w:firstLine="480" w:firstLineChars="200"/>
        <w:rPr>
          <w:rFonts w:hint="eastAsia" w:ascii="宋体" w:hAnsi="宋体"/>
          <w:sz w:val="24"/>
          <w:szCs w:val="24"/>
        </w:rPr>
      </w:pPr>
      <w:r>
        <w:rPr>
          <w:rFonts w:hint="eastAsia" w:ascii="宋体" w:hAnsi="宋体"/>
          <w:sz w:val="24"/>
          <w:szCs w:val="24"/>
        </w:rPr>
        <w:t>2.符合性审查。评委会对</w:t>
      </w:r>
      <w:r>
        <w:rPr>
          <w:rFonts w:hint="eastAsia" w:ascii="宋体" w:hAnsi="宋体"/>
          <w:sz w:val="24"/>
          <w:szCs w:val="24"/>
          <w:lang w:eastAsia="zh-CN"/>
        </w:rPr>
        <w:t>投标人</w:t>
      </w:r>
      <w:r>
        <w:rPr>
          <w:rFonts w:hint="eastAsia" w:ascii="宋体" w:hAnsi="宋体"/>
          <w:sz w:val="24"/>
          <w:szCs w:val="24"/>
        </w:rPr>
        <w:t>的投标文件进行符合性审查。符合性审查合格的</w:t>
      </w:r>
      <w:r>
        <w:rPr>
          <w:rFonts w:hint="eastAsia" w:ascii="宋体" w:hAnsi="宋体"/>
          <w:sz w:val="24"/>
          <w:szCs w:val="24"/>
          <w:lang w:eastAsia="zh-CN"/>
        </w:rPr>
        <w:t>投标人</w:t>
      </w:r>
      <w:r>
        <w:rPr>
          <w:rFonts w:hint="eastAsia" w:ascii="宋体" w:hAnsi="宋体"/>
          <w:sz w:val="24"/>
          <w:szCs w:val="24"/>
        </w:rPr>
        <w:t>方可进入详细评审。有一项不符合的，投标无效。</w:t>
      </w:r>
    </w:p>
    <w:p w14:paraId="7CEDF5C5">
      <w:pPr>
        <w:spacing w:line="440" w:lineRule="exact"/>
        <w:ind w:firstLine="480" w:firstLineChars="200"/>
        <w:rPr>
          <w:rFonts w:hint="eastAsia"/>
          <w:bCs/>
          <w:sz w:val="24"/>
          <w:szCs w:val="24"/>
          <w:lang w:val="en-US" w:eastAsia="zh-CN"/>
        </w:rPr>
      </w:pPr>
      <w:r>
        <w:rPr>
          <w:rFonts w:hint="eastAsia"/>
          <w:bCs/>
          <w:sz w:val="24"/>
          <w:szCs w:val="24"/>
          <w:lang w:val="en-US" w:eastAsia="zh-CN"/>
        </w:rPr>
        <w:t>3.详细评审：采用综合评分进行评标， 按最终得分由高到低的顺序推荐预中标候选人前三名。</w:t>
      </w:r>
    </w:p>
    <w:p w14:paraId="2A6F8095">
      <w:pPr>
        <w:spacing w:line="440" w:lineRule="exact"/>
        <w:ind w:firstLine="480" w:firstLineChars="200"/>
        <w:rPr>
          <w:rFonts w:hint="eastAsia"/>
          <w:bCs/>
          <w:sz w:val="24"/>
          <w:szCs w:val="24"/>
          <w:lang w:val="en-US" w:eastAsia="zh-CN"/>
        </w:rPr>
      </w:pPr>
      <w:r>
        <w:rPr>
          <w:rFonts w:hint="eastAsia"/>
          <w:bCs/>
          <w:sz w:val="24"/>
          <w:szCs w:val="24"/>
          <w:lang w:val="en-US" w:eastAsia="zh-CN"/>
        </w:rPr>
        <w:t>3.1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14:paraId="6076A1AC">
      <w:pPr>
        <w:spacing w:line="440" w:lineRule="exact"/>
        <w:ind w:firstLine="480" w:firstLineChars="200"/>
        <w:rPr>
          <w:rFonts w:hint="eastAsia"/>
          <w:bCs/>
          <w:sz w:val="24"/>
          <w:szCs w:val="24"/>
          <w:lang w:val="en-US" w:eastAsia="zh-CN"/>
        </w:rPr>
      </w:pPr>
      <w:r>
        <w:rPr>
          <w:rFonts w:hint="eastAsia"/>
          <w:bCs/>
          <w:sz w:val="24"/>
          <w:szCs w:val="24"/>
          <w:lang w:val="en-US" w:eastAsia="zh-CN"/>
        </w:rPr>
        <w:t xml:space="preserve">3.2投标人书面说明应当签字确认或者加盖公章，否则无效。书面说明的签字确认，由其法定代表人或主要负责人或其授权代表签字确认。 </w:t>
      </w:r>
    </w:p>
    <w:p w14:paraId="3FF49A97">
      <w:pPr>
        <w:spacing w:line="440" w:lineRule="exact"/>
        <w:ind w:firstLine="480" w:firstLineChars="200"/>
        <w:rPr>
          <w:rFonts w:hint="eastAsia"/>
          <w:bCs/>
          <w:sz w:val="24"/>
          <w:szCs w:val="24"/>
          <w:lang w:val="en-US" w:eastAsia="zh-CN"/>
        </w:rPr>
      </w:pPr>
      <w:r>
        <w:rPr>
          <w:rFonts w:hint="eastAsia"/>
          <w:bCs/>
          <w:sz w:val="24"/>
          <w:szCs w:val="24"/>
          <w:lang w:val="en-US" w:eastAsia="zh-CN"/>
        </w:rPr>
        <w:t>3.3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6C92BD84">
      <w:pPr>
        <w:spacing w:line="440" w:lineRule="exact"/>
        <w:ind w:firstLine="480" w:firstLineChars="200"/>
        <w:rPr>
          <w:rFonts w:hint="eastAsia"/>
          <w:bCs/>
          <w:sz w:val="24"/>
          <w:szCs w:val="24"/>
          <w:lang w:val="en-US" w:eastAsia="zh-CN"/>
        </w:rPr>
      </w:pPr>
      <w:r>
        <w:rPr>
          <w:rFonts w:hint="eastAsia"/>
          <w:bCs/>
          <w:sz w:val="24"/>
          <w:szCs w:val="24"/>
          <w:lang w:val="en-US" w:eastAsia="zh-CN"/>
        </w:rPr>
        <w:t>4.评标委员会发现有下列情形之一的，视为投标人串通投标，其投标无效：</w:t>
      </w:r>
    </w:p>
    <w:p w14:paraId="3BF56099">
      <w:pPr>
        <w:spacing w:line="440" w:lineRule="exact"/>
        <w:ind w:firstLine="480" w:firstLineChars="200"/>
        <w:rPr>
          <w:rFonts w:hint="eastAsia"/>
          <w:bCs/>
          <w:sz w:val="24"/>
          <w:szCs w:val="24"/>
          <w:lang w:val="zh-CN" w:eastAsia="zh-CN"/>
        </w:rPr>
      </w:pPr>
      <w:r>
        <w:rPr>
          <w:rFonts w:hint="eastAsia"/>
          <w:bCs/>
          <w:sz w:val="24"/>
          <w:szCs w:val="24"/>
          <w:lang w:val="zh-CN" w:eastAsia="zh-CN"/>
        </w:rPr>
        <w:t>一、有下列情形之一的，属于投标人相互串通投标：</w:t>
      </w:r>
    </w:p>
    <w:p w14:paraId="26D64F6A">
      <w:pPr>
        <w:spacing w:line="440" w:lineRule="exact"/>
        <w:ind w:firstLine="480" w:firstLineChars="200"/>
        <w:rPr>
          <w:rFonts w:hint="eastAsia"/>
          <w:bCs/>
          <w:sz w:val="24"/>
          <w:szCs w:val="24"/>
          <w:lang w:val="zh-CN" w:eastAsia="zh-CN"/>
        </w:rPr>
      </w:pPr>
      <w:r>
        <w:rPr>
          <w:rFonts w:hint="eastAsia"/>
          <w:bCs/>
          <w:sz w:val="24"/>
          <w:szCs w:val="24"/>
          <w:lang w:val="zh-CN" w:eastAsia="zh-CN"/>
        </w:rPr>
        <w:t>（一）投标人之间协商投标报价等投标文件的实质性内容；</w:t>
      </w:r>
    </w:p>
    <w:p w14:paraId="002872C7">
      <w:pPr>
        <w:spacing w:line="440" w:lineRule="exact"/>
        <w:ind w:firstLine="480" w:firstLineChars="200"/>
        <w:rPr>
          <w:rFonts w:hint="eastAsia"/>
          <w:bCs/>
          <w:sz w:val="24"/>
          <w:szCs w:val="24"/>
          <w:lang w:val="zh-CN" w:eastAsia="zh-CN"/>
        </w:rPr>
      </w:pPr>
      <w:r>
        <w:rPr>
          <w:rFonts w:hint="eastAsia"/>
          <w:bCs/>
          <w:sz w:val="24"/>
          <w:szCs w:val="24"/>
          <w:lang w:val="zh-CN" w:eastAsia="zh-CN"/>
        </w:rPr>
        <w:t>（二）投标人之间约定中标人；</w:t>
      </w:r>
    </w:p>
    <w:p w14:paraId="39417F28">
      <w:pPr>
        <w:spacing w:line="440" w:lineRule="exact"/>
        <w:ind w:firstLine="480" w:firstLineChars="200"/>
        <w:rPr>
          <w:rFonts w:hint="eastAsia"/>
          <w:bCs/>
          <w:sz w:val="24"/>
          <w:szCs w:val="24"/>
          <w:lang w:val="zh-CN" w:eastAsia="zh-CN"/>
        </w:rPr>
      </w:pPr>
      <w:r>
        <w:rPr>
          <w:rFonts w:hint="eastAsia"/>
          <w:bCs/>
          <w:sz w:val="24"/>
          <w:szCs w:val="24"/>
          <w:lang w:val="zh-CN" w:eastAsia="zh-CN"/>
        </w:rPr>
        <w:t>（三）投标人之间约定部分投标人放弃投标或者中标；</w:t>
      </w:r>
    </w:p>
    <w:p w14:paraId="0C254A6F">
      <w:pPr>
        <w:spacing w:line="440" w:lineRule="exact"/>
        <w:ind w:firstLine="480" w:firstLineChars="200"/>
        <w:rPr>
          <w:rFonts w:hint="eastAsia"/>
          <w:bCs/>
          <w:sz w:val="24"/>
          <w:szCs w:val="24"/>
          <w:lang w:val="zh-CN" w:eastAsia="zh-CN"/>
        </w:rPr>
      </w:pPr>
      <w:r>
        <w:rPr>
          <w:rFonts w:hint="eastAsia"/>
          <w:bCs/>
          <w:sz w:val="24"/>
          <w:szCs w:val="24"/>
          <w:lang w:val="zh-CN" w:eastAsia="zh-CN"/>
        </w:rPr>
        <w:t>（四）属于同一集团、协会、商会等组织成员的投标人按照该组织要求协同投标；</w:t>
      </w:r>
    </w:p>
    <w:p w14:paraId="4543425D">
      <w:pPr>
        <w:spacing w:line="440" w:lineRule="exact"/>
        <w:ind w:firstLine="480" w:firstLineChars="200"/>
        <w:rPr>
          <w:rFonts w:hint="eastAsia"/>
          <w:bCs/>
          <w:sz w:val="24"/>
          <w:szCs w:val="24"/>
          <w:lang w:val="zh-CN" w:eastAsia="zh-CN"/>
        </w:rPr>
      </w:pPr>
      <w:r>
        <w:rPr>
          <w:rFonts w:hint="eastAsia"/>
          <w:bCs/>
          <w:sz w:val="24"/>
          <w:szCs w:val="24"/>
          <w:lang w:val="zh-CN" w:eastAsia="zh-CN"/>
        </w:rPr>
        <w:t>（五）投标人之间为谋取中标或者排斥特定投标人而采取的其他联合行动。</w:t>
      </w:r>
    </w:p>
    <w:p w14:paraId="0F4CA56D">
      <w:pPr>
        <w:spacing w:line="440" w:lineRule="exact"/>
        <w:ind w:firstLine="480" w:firstLineChars="200"/>
        <w:rPr>
          <w:rFonts w:hint="eastAsia"/>
          <w:bCs/>
          <w:sz w:val="24"/>
          <w:szCs w:val="24"/>
          <w:lang w:val="zh-CN" w:eastAsia="zh-CN"/>
        </w:rPr>
      </w:pPr>
      <w:r>
        <w:rPr>
          <w:rFonts w:hint="eastAsia"/>
          <w:bCs/>
          <w:sz w:val="24"/>
          <w:szCs w:val="24"/>
          <w:lang w:val="zh-CN" w:eastAsia="zh-CN"/>
        </w:rPr>
        <w:t>二、 有下列情形之一的，视为投标人相互串通投标：</w:t>
      </w:r>
    </w:p>
    <w:p w14:paraId="55D92100">
      <w:pPr>
        <w:spacing w:line="440" w:lineRule="exact"/>
        <w:ind w:firstLine="480" w:firstLineChars="200"/>
        <w:rPr>
          <w:rFonts w:hint="eastAsia"/>
          <w:bCs/>
          <w:sz w:val="24"/>
          <w:szCs w:val="24"/>
          <w:lang w:val="zh-CN" w:eastAsia="zh-CN"/>
        </w:rPr>
      </w:pPr>
      <w:r>
        <w:rPr>
          <w:rFonts w:hint="eastAsia"/>
          <w:bCs/>
          <w:sz w:val="24"/>
          <w:szCs w:val="24"/>
          <w:lang w:val="zh-CN" w:eastAsia="zh-CN"/>
        </w:rPr>
        <w:t>（一）不同投标人的投标文件由同一单位或者个人编制；</w:t>
      </w:r>
    </w:p>
    <w:p w14:paraId="5FD0B117">
      <w:pPr>
        <w:spacing w:line="440" w:lineRule="exact"/>
        <w:ind w:firstLine="480" w:firstLineChars="200"/>
        <w:rPr>
          <w:rFonts w:hint="eastAsia"/>
          <w:bCs/>
          <w:sz w:val="24"/>
          <w:szCs w:val="24"/>
          <w:lang w:val="zh-CN" w:eastAsia="zh-CN"/>
        </w:rPr>
      </w:pPr>
      <w:r>
        <w:rPr>
          <w:rFonts w:hint="eastAsia"/>
          <w:bCs/>
          <w:sz w:val="24"/>
          <w:szCs w:val="24"/>
          <w:lang w:val="zh-CN" w:eastAsia="zh-CN"/>
        </w:rPr>
        <w:t>（二）不同投标人委托同一单位或者个人办理投标事宜；</w:t>
      </w:r>
    </w:p>
    <w:p w14:paraId="3463B210">
      <w:pPr>
        <w:spacing w:line="440" w:lineRule="exact"/>
        <w:ind w:firstLine="480" w:firstLineChars="200"/>
        <w:rPr>
          <w:rFonts w:hint="eastAsia"/>
          <w:bCs/>
          <w:sz w:val="24"/>
          <w:szCs w:val="24"/>
          <w:lang w:val="zh-CN" w:eastAsia="zh-CN"/>
        </w:rPr>
      </w:pPr>
      <w:r>
        <w:rPr>
          <w:rFonts w:hint="eastAsia"/>
          <w:bCs/>
          <w:sz w:val="24"/>
          <w:szCs w:val="24"/>
          <w:lang w:val="zh-CN" w:eastAsia="zh-CN"/>
        </w:rPr>
        <w:t>（三）不同投标人的投标文件载明的项目管理成员为同一人；</w:t>
      </w:r>
    </w:p>
    <w:p w14:paraId="4381DF34">
      <w:pPr>
        <w:spacing w:line="440" w:lineRule="exact"/>
        <w:ind w:firstLine="480" w:firstLineChars="200"/>
        <w:rPr>
          <w:rFonts w:hint="eastAsia"/>
          <w:bCs/>
          <w:sz w:val="24"/>
          <w:szCs w:val="24"/>
          <w:lang w:val="zh-CN" w:eastAsia="zh-CN"/>
        </w:rPr>
      </w:pPr>
      <w:r>
        <w:rPr>
          <w:rFonts w:hint="eastAsia"/>
          <w:bCs/>
          <w:sz w:val="24"/>
          <w:szCs w:val="24"/>
          <w:lang w:val="zh-CN" w:eastAsia="zh-CN"/>
        </w:rPr>
        <w:t>（四）不同投标人的投标文件异常一致或者投标报价呈规律性差异；</w:t>
      </w:r>
    </w:p>
    <w:p w14:paraId="5DB641FE">
      <w:pPr>
        <w:spacing w:line="440" w:lineRule="exact"/>
        <w:ind w:firstLine="480" w:firstLineChars="200"/>
        <w:rPr>
          <w:rFonts w:hint="eastAsia"/>
          <w:bCs/>
          <w:sz w:val="24"/>
          <w:szCs w:val="24"/>
          <w:lang w:val="zh-CN" w:eastAsia="zh-CN"/>
        </w:rPr>
      </w:pPr>
      <w:r>
        <w:rPr>
          <w:rFonts w:hint="eastAsia"/>
          <w:bCs/>
          <w:sz w:val="24"/>
          <w:szCs w:val="24"/>
          <w:lang w:val="zh-CN" w:eastAsia="zh-CN"/>
        </w:rPr>
        <w:t>（五）不同投标人的投标文件相互混装；</w:t>
      </w:r>
    </w:p>
    <w:p w14:paraId="32167752">
      <w:pPr>
        <w:spacing w:line="440" w:lineRule="exact"/>
        <w:ind w:firstLine="480" w:firstLineChars="200"/>
        <w:rPr>
          <w:rFonts w:hint="eastAsia"/>
          <w:bCs/>
          <w:sz w:val="24"/>
          <w:szCs w:val="24"/>
          <w:lang w:val="zh-CN" w:eastAsia="zh-CN"/>
        </w:rPr>
      </w:pPr>
      <w:r>
        <w:rPr>
          <w:rFonts w:hint="eastAsia"/>
          <w:bCs/>
          <w:sz w:val="24"/>
          <w:szCs w:val="24"/>
          <w:lang w:val="zh-CN" w:eastAsia="zh-CN"/>
        </w:rPr>
        <w:t>（六）不同投标人的投标保证金从同一单位或者个人的账户转出。</w:t>
      </w:r>
    </w:p>
    <w:p w14:paraId="72DBDE1F">
      <w:pPr>
        <w:spacing w:line="440" w:lineRule="exact"/>
        <w:ind w:firstLine="480" w:firstLineChars="200"/>
        <w:rPr>
          <w:rFonts w:hint="eastAsia"/>
          <w:bCs/>
          <w:sz w:val="24"/>
          <w:szCs w:val="24"/>
          <w:lang w:val="zh-CN" w:eastAsia="zh-CN"/>
        </w:rPr>
      </w:pPr>
      <w:r>
        <w:rPr>
          <w:rFonts w:hint="eastAsia"/>
          <w:bCs/>
          <w:sz w:val="24"/>
          <w:szCs w:val="24"/>
          <w:lang w:val="zh-CN" w:eastAsia="zh-CN"/>
        </w:rPr>
        <w:t>三、有下列情形之一的，属于采购人与投标人串通投标：</w:t>
      </w:r>
    </w:p>
    <w:p w14:paraId="6A7BB873">
      <w:pPr>
        <w:spacing w:line="440" w:lineRule="exact"/>
        <w:ind w:firstLine="480" w:firstLineChars="200"/>
        <w:rPr>
          <w:rFonts w:hint="eastAsia"/>
          <w:bCs/>
          <w:sz w:val="24"/>
          <w:szCs w:val="24"/>
          <w:lang w:val="zh-CN" w:eastAsia="zh-CN"/>
        </w:rPr>
      </w:pPr>
      <w:r>
        <w:rPr>
          <w:rFonts w:hint="eastAsia"/>
          <w:bCs/>
          <w:sz w:val="24"/>
          <w:szCs w:val="24"/>
          <w:lang w:val="zh-CN" w:eastAsia="zh-CN"/>
        </w:rPr>
        <w:t>（一）采购人在开标前开启投标文件并将有关信息泄露给其他投标人;</w:t>
      </w:r>
    </w:p>
    <w:p w14:paraId="13854B2D">
      <w:pPr>
        <w:spacing w:line="440" w:lineRule="exact"/>
        <w:ind w:firstLine="480" w:firstLineChars="200"/>
        <w:rPr>
          <w:rFonts w:hint="eastAsia"/>
          <w:bCs/>
          <w:sz w:val="24"/>
          <w:szCs w:val="24"/>
          <w:lang w:val="zh-CN" w:eastAsia="zh-CN"/>
        </w:rPr>
      </w:pPr>
      <w:r>
        <w:rPr>
          <w:rFonts w:hint="eastAsia"/>
          <w:bCs/>
          <w:sz w:val="24"/>
          <w:szCs w:val="24"/>
          <w:lang w:val="zh-CN" w:eastAsia="zh-CN"/>
        </w:rPr>
        <w:t>（二）采购人直接或者间接向投标人泄露标底、评标委员会成员等信息；</w:t>
      </w:r>
    </w:p>
    <w:p w14:paraId="64015949">
      <w:pPr>
        <w:spacing w:line="440" w:lineRule="exact"/>
        <w:ind w:firstLine="480" w:firstLineChars="200"/>
        <w:rPr>
          <w:rFonts w:hint="eastAsia"/>
          <w:bCs/>
          <w:sz w:val="24"/>
          <w:szCs w:val="24"/>
          <w:lang w:val="zh-CN" w:eastAsia="zh-CN"/>
        </w:rPr>
      </w:pPr>
      <w:r>
        <w:rPr>
          <w:rFonts w:hint="eastAsia"/>
          <w:bCs/>
          <w:sz w:val="24"/>
          <w:szCs w:val="24"/>
          <w:lang w:val="zh-CN" w:eastAsia="zh-CN"/>
        </w:rPr>
        <w:t>（三）采购人明示或者暗示投标人压低或者抬高投标报价；</w:t>
      </w:r>
    </w:p>
    <w:p w14:paraId="2E739D6D">
      <w:pPr>
        <w:spacing w:line="440" w:lineRule="exact"/>
        <w:ind w:firstLine="480" w:firstLineChars="200"/>
        <w:rPr>
          <w:rFonts w:hint="eastAsia"/>
          <w:bCs/>
          <w:sz w:val="24"/>
          <w:szCs w:val="24"/>
          <w:lang w:val="zh-CN" w:eastAsia="zh-CN"/>
        </w:rPr>
      </w:pPr>
      <w:r>
        <w:rPr>
          <w:rFonts w:hint="eastAsia"/>
          <w:bCs/>
          <w:sz w:val="24"/>
          <w:szCs w:val="24"/>
          <w:lang w:val="zh-CN" w:eastAsia="zh-CN"/>
        </w:rPr>
        <w:t>（四）采购人授意投标人撤换、修改投标文件；</w:t>
      </w:r>
    </w:p>
    <w:p w14:paraId="19E1E14C">
      <w:pPr>
        <w:spacing w:line="440" w:lineRule="exact"/>
        <w:ind w:firstLine="480" w:firstLineChars="200"/>
        <w:rPr>
          <w:rFonts w:hint="eastAsia"/>
          <w:bCs/>
          <w:sz w:val="24"/>
          <w:szCs w:val="24"/>
          <w:lang w:val="zh-CN" w:eastAsia="zh-CN"/>
        </w:rPr>
      </w:pPr>
      <w:r>
        <w:rPr>
          <w:rFonts w:hint="eastAsia"/>
          <w:bCs/>
          <w:sz w:val="24"/>
          <w:szCs w:val="24"/>
          <w:lang w:val="zh-CN" w:eastAsia="zh-CN"/>
        </w:rPr>
        <w:t>（五）采购人明示或者暗示投标人为特定投标人中标提供方便；</w:t>
      </w:r>
    </w:p>
    <w:p w14:paraId="0E88B172">
      <w:pPr>
        <w:spacing w:line="440" w:lineRule="exact"/>
        <w:ind w:firstLine="480" w:firstLineChars="200"/>
        <w:rPr>
          <w:rFonts w:hint="eastAsia"/>
          <w:bCs/>
          <w:sz w:val="24"/>
          <w:szCs w:val="24"/>
          <w:lang w:val="zh-CN" w:eastAsia="zh-CN"/>
        </w:rPr>
      </w:pPr>
      <w:r>
        <w:rPr>
          <w:rFonts w:hint="eastAsia"/>
          <w:bCs/>
          <w:sz w:val="24"/>
          <w:szCs w:val="24"/>
          <w:lang w:val="zh-CN" w:eastAsia="zh-CN"/>
        </w:rPr>
        <w:t>（六）采购人与投标人为谋求特定投标人中标而采取的其他串通行为。</w:t>
      </w:r>
    </w:p>
    <w:p w14:paraId="73E7A75C">
      <w:pPr>
        <w:spacing w:line="440" w:lineRule="exact"/>
        <w:ind w:firstLine="480" w:firstLineChars="200"/>
        <w:rPr>
          <w:rFonts w:hint="eastAsia"/>
          <w:bCs/>
          <w:sz w:val="24"/>
          <w:szCs w:val="24"/>
          <w:lang w:val="zh-CN" w:eastAsia="zh-CN"/>
        </w:rPr>
      </w:pPr>
      <w:r>
        <w:rPr>
          <w:rFonts w:hint="eastAsia"/>
          <w:bCs/>
          <w:sz w:val="24"/>
          <w:szCs w:val="24"/>
          <w:lang w:val="zh-CN" w:eastAsia="zh-CN"/>
        </w:rPr>
        <w:t>注：经评标委员会评审合格投标人的家数不足三家，该项目废标，采购人有权委托采购代理机构重新组织招标。</w:t>
      </w:r>
    </w:p>
    <w:p w14:paraId="6CE38ED0">
      <w:pPr>
        <w:spacing w:line="440" w:lineRule="exact"/>
        <w:ind w:firstLine="480" w:firstLineChars="200"/>
        <w:rPr>
          <w:rFonts w:hint="eastAsia"/>
          <w:bCs/>
          <w:sz w:val="24"/>
          <w:szCs w:val="24"/>
          <w:lang w:val="en-US" w:eastAsia="zh-CN"/>
        </w:rPr>
      </w:pPr>
      <w:r>
        <w:rPr>
          <w:rFonts w:hint="eastAsia"/>
          <w:bCs/>
          <w:sz w:val="24"/>
          <w:szCs w:val="24"/>
          <w:lang w:val="en-US" w:eastAsia="zh-CN"/>
        </w:rPr>
        <w:t>5.询标、澄清（必要时）</w:t>
      </w:r>
    </w:p>
    <w:p w14:paraId="14304A86">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lang w:val="zh-CN" w:eastAsia="zh-CN"/>
        </w:rPr>
        <w:t>评标委员会对投标文件需要澄清的问题，采用集体询标方式进行。</w:t>
      </w:r>
    </w:p>
    <w:p w14:paraId="60DE11D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14:paraId="018ED9C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5.3.</w:t>
      </w:r>
      <w:r>
        <w:rPr>
          <w:rFonts w:hint="eastAsia" w:ascii="宋体" w:hAnsi="宋体" w:eastAsia="宋体" w:cs="宋体"/>
          <w:color w:val="auto"/>
          <w:sz w:val="21"/>
          <w:szCs w:val="21"/>
          <w:lang w:val="zh-CN" w:eastAsia="zh-CN"/>
        </w:rPr>
        <w:t>评标委员会将允许修正投标文件中不构成重大偏离的细微偏离，但这些修正应不会对实质上响应招标文件要求的投标人的竞争地位（相互排序）产生不公正的影响。</w:t>
      </w:r>
    </w:p>
    <w:p w14:paraId="7376BAEF">
      <w:pPr>
        <w:spacing w:line="440" w:lineRule="exact"/>
        <w:ind w:firstLine="420" w:firstLineChars="200"/>
        <w:rPr>
          <w:rFonts w:hint="eastAsia"/>
          <w:color w:val="auto"/>
        </w:rPr>
      </w:pP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lang w:val="zh-CN" w:eastAsia="zh-CN"/>
        </w:rPr>
        <w:t>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75D83FEF">
      <w:pPr>
        <w:rPr>
          <w:rFonts w:hint="eastAsia"/>
        </w:rPr>
      </w:pPr>
      <w:r>
        <w:rPr>
          <w:rFonts w:hint="eastAsia"/>
        </w:rPr>
        <w:br w:type="page"/>
      </w:r>
    </w:p>
    <w:p w14:paraId="5243A7D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资格审查表（不满足任何一项审查内容要求，资格审查即为不合格）</w:t>
      </w:r>
    </w:p>
    <w:p w14:paraId="3247BBA3">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开标结束后，采购人或采购代理机构将依法对投标人的资格进行审查，并详细记录。合格投标人不足3家的，不进行评标。</w:t>
      </w:r>
    </w:p>
    <w:p w14:paraId="18868880">
      <w:pPr>
        <w:ind w:left="549" w:hanging="549"/>
        <w:jc w:val="center"/>
        <w:rPr>
          <w:sz w:val="24"/>
          <w:szCs w:val="24"/>
        </w:rPr>
      </w:pPr>
      <w:r>
        <w:rPr>
          <w:rFonts w:hint="eastAsia"/>
          <w:sz w:val="24"/>
          <w:szCs w:val="24"/>
        </w:rPr>
        <w:t>初步评审表</w:t>
      </w:r>
    </w:p>
    <w:p w14:paraId="4F2C6197">
      <w:pPr>
        <w:rPr>
          <w:b/>
          <w:bCs/>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4677"/>
        <w:gridCol w:w="879"/>
      </w:tblGrid>
      <w:tr w14:paraId="6973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31" w:type="dxa"/>
            <w:vAlign w:val="center"/>
          </w:tcPr>
          <w:p w14:paraId="2C1E4151">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名称</w:t>
            </w:r>
          </w:p>
        </w:tc>
        <w:tc>
          <w:tcPr>
            <w:tcW w:w="2410" w:type="dxa"/>
            <w:vAlign w:val="center"/>
          </w:tcPr>
          <w:p w14:paraId="5490DA7C">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评审因素</w:t>
            </w:r>
          </w:p>
        </w:tc>
        <w:tc>
          <w:tcPr>
            <w:tcW w:w="4677" w:type="dxa"/>
            <w:vAlign w:val="center"/>
          </w:tcPr>
          <w:p w14:paraId="28884A2A">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评审标准</w:t>
            </w:r>
          </w:p>
        </w:tc>
        <w:tc>
          <w:tcPr>
            <w:tcW w:w="879" w:type="dxa"/>
            <w:vAlign w:val="center"/>
          </w:tcPr>
          <w:p w14:paraId="7B9A5344">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投标人</w:t>
            </w:r>
          </w:p>
        </w:tc>
      </w:tr>
      <w:tr w14:paraId="1F0B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7F17B939">
            <w:pPr>
              <w:autoSpaceDE w:val="0"/>
              <w:autoSpaceDN w:val="0"/>
              <w:adjustRightInd w:val="0"/>
              <w:spacing w:line="400" w:lineRule="exact"/>
              <w:rPr>
                <w:rFonts w:ascii="宋体" w:hAnsi="宋体" w:cs="宋体"/>
                <w:bCs/>
                <w:lang w:val="zh-CN"/>
              </w:rPr>
            </w:pPr>
          </w:p>
          <w:p w14:paraId="34EDC4D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形</w:t>
            </w:r>
          </w:p>
          <w:p w14:paraId="506A8477">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式</w:t>
            </w:r>
          </w:p>
          <w:p w14:paraId="462A4900">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364A4FF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570B6D42">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4149D056">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tc>
        <w:tc>
          <w:tcPr>
            <w:tcW w:w="2410" w:type="dxa"/>
            <w:vAlign w:val="center"/>
          </w:tcPr>
          <w:p w14:paraId="3E1DC4A8">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投标人名称</w:t>
            </w:r>
          </w:p>
        </w:tc>
        <w:tc>
          <w:tcPr>
            <w:tcW w:w="4677" w:type="dxa"/>
            <w:vAlign w:val="center"/>
          </w:tcPr>
          <w:p w14:paraId="4B97E7E9">
            <w:pPr>
              <w:autoSpaceDE w:val="0"/>
              <w:autoSpaceDN w:val="0"/>
              <w:adjustRightInd w:val="0"/>
              <w:spacing w:line="300" w:lineRule="exact"/>
              <w:rPr>
                <w:rFonts w:ascii="宋体" w:hAnsi="宋体" w:cs="宋体"/>
                <w:bCs/>
              </w:rPr>
            </w:pPr>
            <w:r>
              <w:rPr>
                <w:rFonts w:hint="eastAsia" w:ascii="宋体" w:hAnsi="宋体" w:cs="宋体"/>
                <w:bCs/>
                <w:lang w:val="zh-CN"/>
              </w:rPr>
              <w:t>与营业执照、税务登记证、组织机构代码证一致。</w:t>
            </w:r>
          </w:p>
        </w:tc>
        <w:tc>
          <w:tcPr>
            <w:tcW w:w="879" w:type="dxa"/>
          </w:tcPr>
          <w:p w14:paraId="4450D785">
            <w:pPr>
              <w:autoSpaceDE w:val="0"/>
              <w:autoSpaceDN w:val="0"/>
              <w:adjustRightInd w:val="0"/>
              <w:spacing w:line="300" w:lineRule="exact"/>
              <w:rPr>
                <w:rFonts w:ascii="宋体" w:hAnsi="宋体" w:cs="宋体"/>
                <w:bCs/>
                <w:lang w:val="zh-CN"/>
              </w:rPr>
            </w:pPr>
          </w:p>
        </w:tc>
      </w:tr>
      <w:tr w14:paraId="4CE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02B4401D">
            <w:pPr>
              <w:autoSpaceDE w:val="0"/>
              <w:autoSpaceDN w:val="0"/>
              <w:adjustRightInd w:val="0"/>
              <w:spacing w:line="300" w:lineRule="exact"/>
              <w:jc w:val="center"/>
              <w:rPr>
                <w:rFonts w:ascii="宋体" w:hAnsi="宋体" w:cs="宋体"/>
                <w:bCs/>
                <w:lang w:val="zh-CN"/>
              </w:rPr>
            </w:pPr>
          </w:p>
        </w:tc>
        <w:tc>
          <w:tcPr>
            <w:tcW w:w="2410" w:type="dxa"/>
            <w:vAlign w:val="center"/>
          </w:tcPr>
          <w:p w14:paraId="1844348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投标函签字盖章</w:t>
            </w:r>
          </w:p>
        </w:tc>
        <w:tc>
          <w:tcPr>
            <w:tcW w:w="4677" w:type="dxa"/>
            <w:vAlign w:val="center"/>
          </w:tcPr>
          <w:p w14:paraId="2B87DC08">
            <w:pPr>
              <w:autoSpaceDE w:val="0"/>
              <w:autoSpaceDN w:val="0"/>
              <w:adjustRightInd w:val="0"/>
              <w:spacing w:line="300" w:lineRule="exact"/>
              <w:rPr>
                <w:rFonts w:ascii="宋体" w:hAnsi="宋体" w:cs="宋体"/>
                <w:bCs/>
              </w:rPr>
            </w:pPr>
            <w:r>
              <w:rPr>
                <w:rFonts w:hint="eastAsia" w:ascii="宋体" w:hAnsi="宋体" w:cs="宋体"/>
                <w:bCs/>
                <w:lang w:val="zh-CN"/>
              </w:rPr>
              <w:t>有投标单位印章并经法定代表人签字。</w:t>
            </w:r>
          </w:p>
        </w:tc>
        <w:tc>
          <w:tcPr>
            <w:tcW w:w="879" w:type="dxa"/>
          </w:tcPr>
          <w:p w14:paraId="03A4A410">
            <w:pPr>
              <w:autoSpaceDE w:val="0"/>
              <w:autoSpaceDN w:val="0"/>
              <w:adjustRightInd w:val="0"/>
              <w:spacing w:line="300" w:lineRule="exact"/>
              <w:rPr>
                <w:rFonts w:ascii="宋体" w:hAnsi="宋体" w:cs="宋体"/>
                <w:bCs/>
                <w:lang w:val="zh-CN"/>
              </w:rPr>
            </w:pPr>
          </w:p>
        </w:tc>
      </w:tr>
      <w:tr w14:paraId="60C2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3167FEE6">
            <w:pPr>
              <w:autoSpaceDE w:val="0"/>
              <w:autoSpaceDN w:val="0"/>
              <w:adjustRightInd w:val="0"/>
              <w:spacing w:line="300" w:lineRule="exact"/>
              <w:jc w:val="center"/>
              <w:rPr>
                <w:rFonts w:ascii="宋体" w:hAnsi="宋体" w:cs="宋体"/>
                <w:bCs/>
                <w:lang w:val="zh-CN"/>
              </w:rPr>
            </w:pPr>
          </w:p>
        </w:tc>
        <w:tc>
          <w:tcPr>
            <w:tcW w:w="2410" w:type="dxa"/>
            <w:vAlign w:val="center"/>
          </w:tcPr>
          <w:p w14:paraId="49FD7844">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投标文件格式</w:t>
            </w:r>
          </w:p>
        </w:tc>
        <w:tc>
          <w:tcPr>
            <w:tcW w:w="4677" w:type="dxa"/>
            <w:vAlign w:val="center"/>
          </w:tcPr>
          <w:p w14:paraId="0038E9F5">
            <w:pPr>
              <w:autoSpaceDE w:val="0"/>
              <w:autoSpaceDN w:val="0"/>
              <w:adjustRightInd w:val="0"/>
              <w:spacing w:line="300" w:lineRule="exact"/>
              <w:rPr>
                <w:rFonts w:ascii="宋体" w:hAnsi="宋体" w:cs="宋体"/>
                <w:bCs/>
                <w:lang w:val="zh-CN"/>
              </w:rPr>
            </w:pPr>
            <w:r>
              <w:rPr>
                <w:rFonts w:hint="eastAsia" w:ascii="宋体" w:hAnsi="宋体" w:cs="宋体"/>
                <w:bCs/>
                <w:lang w:val="zh-CN"/>
              </w:rPr>
              <w:t>符合第</w:t>
            </w:r>
            <w:r>
              <w:rPr>
                <w:rFonts w:hint="eastAsia" w:ascii="宋体" w:hAnsi="宋体" w:cs="宋体"/>
                <w:bCs/>
              </w:rPr>
              <w:t>六</w:t>
            </w:r>
            <w:r>
              <w:rPr>
                <w:rFonts w:hint="eastAsia" w:ascii="宋体" w:hAnsi="宋体" w:cs="宋体"/>
                <w:bCs/>
                <w:lang w:val="zh-CN"/>
              </w:rPr>
              <w:t>章“投标文件构成、要求及格式”的要求，按招标文件的要求盖章、签署。</w:t>
            </w:r>
          </w:p>
        </w:tc>
        <w:tc>
          <w:tcPr>
            <w:tcW w:w="879" w:type="dxa"/>
          </w:tcPr>
          <w:p w14:paraId="494D3428">
            <w:pPr>
              <w:autoSpaceDE w:val="0"/>
              <w:autoSpaceDN w:val="0"/>
              <w:adjustRightInd w:val="0"/>
              <w:spacing w:line="300" w:lineRule="exact"/>
              <w:rPr>
                <w:rFonts w:ascii="宋体" w:hAnsi="宋体" w:cs="宋体"/>
                <w:bCs/>
                <w:lang w:val="zh-CN"/>
              </w:rPr>
            </w:pPr>
          </w:p>
        </w:tc>
      </w:tr>
      <w:tr w14:paraId="0F3C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410FD3FE">
            <w:pPr>
              <w:autoSpaceDE w:val="0"/>
              <w:autoSpaceDN w:val="0"/>
              <w:adjustRightInd w:val="0"/>
              <w:spacing w:line="300" w:lineRule="exact"/>
              <w:jc w:val="center"/>
              <w:rPr>
                <w:rFonts w:ascii="宋体" w:hAnsi="宋体" w:cs="宋体"/>
                <w:bCs/>
                <w:lang w:val="zh-CN"/>
              </w:rPr>
            </w:pPr>
          </w:p>
        </w:tc>
        <w:tc>
          <w:tcPr>
            <w:tcW w:w="2410" w:type="dxa"/>
            <w:tcBorders>
              <w:bottom w:val="single" w:color="auto" w:sz="4" w:space="0"/>
            </w:tcBorders>
            <w:vAlign w:val="center"/>
          </w:tcPr>
          <w:p w14:paraId="469BC745">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电子投标文件</w:t>
            </w:r>
          </w:p>
        </w:tc>
        <w:tc>
          <w:tcPr>
            <w:tcW w:w="4677" w:type="dxa"/>
            <w:tcBorders>
              <w:bottom w:val="single" w:color="auto" w:sz="4" w:space="0"/>
            </w:tcBorders>
            <w:vAlign w:val="center"/>
          </w:tcPr>
          <w:p w14:paraId="13EA080D">
            <w:pPr>
              <w:autoSpaceDE w:val="0"/>
              <w:autoSpaceDN w:val="0"/>
              <w:adjustRightInd w:val="0"/>
              <w:spacing w:line="300" w:lineRule="exact"/>
              <w:rPr>
                <w:rFonts w:ascii="宋体" w:hAnsi="宋体" w:cs="宋体"/>
                <w:bCs/>
              </w:rPr>
            </w:pPr>
            <w:r>
              <w:rPr>
                <w:rFonts w:hint="eastAsia" w:ascii="宋体" w:hAnsi="宋体" w:cs="宋体"/>
                <w:bCs/>
                <w:lang w:val="zh-CN"/>
              </w:rPr>
              <w:t>符合第二章投标人须知关于远程不见面开标要</w:t>
            </w:r>
            <w:r>
              <w:rPr>
                <w:rFonts w:hint="eastAsia" w:ascii="宋体" w:hAnsi="宋体" w:cs="宋体"/>
                <w:bCs/>
                <w:lang w:val="en-US" w:eastAsia="zh-CN"/>
              </w:rPr>
              <w:t>求，正确上传电子投标文件</w:t>
            </w:r>
            <w:r>
              <w:rPr>
                <w:rFonts w:hint="eastAsia" w:ascii="宋体" w:hAnsi="宋体" w:cs="宋体"/>
                <w:bCs/>
                <w:lang w:val="zh-CN"/>
              </w:rPr>
              <w:t>。</w:t>
            </w:r>
          </w:p>
        </w:tc>
        <w:tc>
          <w:tcPr>
            <w:tcW w:w="879" w:type="dxa"/>
            <w:tcBorders>
              <w:bottom w:val="single" w:color="auto" w:sz="4" w:space="0"/>
            </w:tcBorders>
          </w:tcPr>
          <w:p w14:paraId="411FDE75">
            <w:pPr>
              <w:autoSpaceDE w:val="0"/>
              <w:autoSpaceDN w:val="0"/>
              <w:adjustRightInd w:val="0"/>
              <w:spacing w:line="300" w:lineRule="exact"/>
              <w:rPr>
                <w:rFonts w:ascii="宋体" w:hAnsi="宋体" w:cs="宋体"/>
                <w:bCs/>
                <w:lang w:val="zh-CN"/>
              </w:rPr>
            </w:pPr>
          </w:p>
        </w:tc>
      </w:tr>
      <w:tr w14:paraId="76F1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continue"/>
            <w:tcBorders>
              <w:bottom w:val="single" w:color="auto" w:sz="4" w:space="0"/>
            </w:tcBorders>
            <w:vAlign w:val="center"/>
          </w:tcPr>
          <w:p w14:paraId="57AECAC4">
            <w:pPr>
              <w:autoSpaceDE w:val="0"/>
              <w:autoSpaceDN w:val="0"/>
              <w:adjustRightInd w:val="0"/>
              <w:spacing w:line="300" w:lineRule="exact"/>
              <w:jc w:val="center"/>
              <w:rPr>
                <w:rFonts w:ascii="宋体" w:hAnsi="宋体" w:cs="宋体"/>
                <w:bCs/>
                <w:lang w:val="zh-CN"/>
              </w:rPr>
            </w:pPr>
          </w:p>
        </w:tc>
        <w:tc>
          <w:tcPr>
            <w:tcW w:w="2410" w:type="dxa"/>
            <w:tcBorders>
              <w:bottom w:val="single" w:color="auto" w:sz="4" w:space="0"/>
            </w:tcBorders>
            <w:vAlign w:val="center"/>
          </w:tcPr>
          <w:p w14:paraId="249D8981">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报价唯一</w:t>
            </w:r>
          </w:p>
        </w:tc>
        <w:tc>
          <w:tcPr>
            <w:tcW w:w="4677" w:type="dxa"/>
            <w:tcBorders>
              <w:bottom w:val="single" w:color="auto" w:sz="4" w:space="0"/>
            </w:tcBorders>
            <w:vAlign w:val="center"/>
          </w:tcPr>
          <w:p w14:paraId="07ED1E0D">
            <w:pPr>
              <w:autoSpaceDE w:val="0"/>
              <w:autoSpaceDN w:val="0"/>
              <w:adjustRightInd w:val="0"/>
              <w:spacing w:line="300" w:lineRule="exact"/>
              <w:rPr>
                <w:rFonts w:ascii="宋体" w:hAnsi="宋体" w:cs="宋体"/>
                <w:bCs/>
                <w:lang w:val="zh-CN"/>
              </w:rPr>
            </w:pPr>
            <w:r>
              <w:rPr>
                <w:rFonts w:hint="eastAsia" w:ascii="宋体" w:hAnsi="宋体" w:cs="宋体"/>
                <w:bCs/>
                <w:lang w:val="zh-CN"/>
              </w:rPr>
              <w:t>只能有一个有效报价。</w:t>
            </w:r>
          </w:p>
        </w:tc>
        <w:tc>
          <w:tcPr>
            <w:tcW w:w="879" w:type="dxa"/>
            <w:tcBorders>
              <w:bottom w:val="single" w:color="auto" w:sz="4" w:space="0"/>
            </w:tcBorders>
          </w:tcPr>
          <w:p w14:paraId="585D2394">
            <w:pPr>
              <w:autoSpaceDE w:val="0"/>
              <w:autoSpaceDN w:val="0"/>
              <w:adjustRightInd w:val="0"/>
              <w:spacing w:line="300" w:lineRule="exact"/>
              <w:rPr>
                <w:rFonts w:ascii="宋体" w:hAnsi="宋体" w:cs="宋体"/>
                <w:bCs/>
                <w:lang w:val="zh-CN"/>
              </w:rPr>
            </w:pPr>
          </w:p>
        </w:tc>
      </w:tr>
      <w:tr w14:paraId="5AF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115F99B4">
            <w:pPr>
              <w:autoSpaceDE w:val="0"/>
              <w:autoSpaceDN w:val="0"/>
              <w:adjustRightInd w:val="0"/>
              <w:spacing w:line="400" w:lineRule="exact"/>
              <w:rPr>
                <w:rFonts w:ascii="宋体" w:hAnsi="宋体" w:cs="宋体"/>
                <w:bCs/>
                <w:lang w:val="zh-CN"/>
              </w:rPr>
            </w:pPr>
          </w:p>
          <w:p w14:paraId="46D52E09">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资</w:t>
            </w:r>
          </w:p>
          <w:p w14:paraId="6384B0F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格</w:t>
            </w:r>
          </w:p>
          <w:p w14:paraId="109A1335">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1A770A9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3C667AB1">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38D7A244">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p w14:paraId="59A2C28B">
            <w:pPr>
              <w:autoSpaceDE w:val="0"/>
              <w:autoSpaceDN w:val="0"/>
              <w:adjustRightInd w:val="0"/>
              <w:spacing w:line="300" w:lineRule="exact"/>
              <w:jc w:val="center"/>
              <w:rPr>
                <w:rFonts w:ascii="宋体" w:hAnsi="宋体" w:cs="宋体"/>
                <w:bCs/>
                <w:lang w:val="zh-CN"/>
              </w:rPr>
            </w:pPr>
          </w:p>
        </w:tc>
        <w:tc>
          <w:tcPr>
            <w:tcW w:w="2410" w:type="dxa"/>
            <w:vAlign w:val="center"/>
          </w:tcPr>
          <w:p w14:paraId="091A35A2">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营业执照</w:t>
            </w:r>
          </w:p>
        </w:tc>
        <w:tc>
          <w:tcPr>
            <w:tcW w:w="4677" w:type="dxa"/>
            <w:vAlign w:val="center"/>
          </w:tcPr>
          <w:p w14:paraId="5906ACA8">
            <w:pPr>
              <w:autoSpaceDE w:val="0"/>
              <w:autoSpaceDN w:val="0"/>
              <w:adjustRightInd w:val="0"/>
              <w:spacing w:line="300" w:lineRule="exact"/>
              <w:rPr>
                <w:rFonts w:ascii="宋体" w:hAnsi="宋体" w:cs="宋体"/>
                <w:bCs/>
                <w:lang w:val="zh-CN"/>
              </w:rPr>
            </w:pPr>
            <w:r>
              <w:rPr>
                <w:rFonts w:hint="eastAsia" w:ascii="宋体" w:hAnsi="宋体" w:cs="宋体"/>
                <w:bCs/>
                <w:lang w:val="zh-CN"/>
              </w:rPr>
              <w:t>具备有效的营业执照。</w:t>
            </w:r>
          </w:p>
        </w:tc>
        <w:tc>
          <w:tcPr>
            <w:tcW w:w="879" w:type="dxa"/>
          </w:tcPr>
          <w:p w14:paraId="3D85D70A">
            <w:pPr>
              <w:autoSpaceDE w:val="0"/>
              <w:autoSpaceDN w:val="0"/>
              <w:adjustRightInd w:val="0"/>
              <w:spacing w:line="300" w:lineRule="exact"/>
              <w:rPr>
                <w:rFonts w:ascii="宋体" w:hAnsi="宋体" w:cs="宋体"/>
                <w:bCs/>
                <w:lang w:val="zh-CN"/>
              </w:rPr>
            </w:pPr>
          </w:p>
        </w:tc>
      </w:tr>
      <w:tr w14:paraId="788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31" w:type="dxa"/>
            <w:vMerge w:val="continue"/>
            <w:vAlign w:val="center"/>
          </w:tcPr>
          <w:p w14:paraId="49EA2807">
            <w:pPr>
              <w:autoSpaceDE w:val="0"/>
              <w:autoSpaceDN w:val="0"/>
              <w:adjustRightInd w:val="0"/>
              <w:spacing w:line="300" w:lineRule="exact"/>
              <w:rPr>
                <w:rFonts w:ascii="宋体" w:hAnsi="宋体" w:cs="宋体"/>
                <w:bCs/>
                <w:lang w:val="zh-CN"/>
              </w:rPr>
            </w:pPr>
          </w:p>
        </w:tc>
        <w:tc>
          <w:tcPr>
            <w:tcW w:w="2410" w:type="dxa"/>
            <w:vAlign w:val="center"/>
          </w:tcPr>
          <w:p w14:paraId="66ACD70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财务状况</w:t>
            </w:r>
          </w:p>
        </w:tc>
        <w:tc>
          <w:tcPr>
            <w:tcW w:w="4677" w:type="dxa"/>
            <w:vAlign w:val="center"/>
          </w:tcPr>
          <w:p w14:paraId="0A2ADD3D">
            <w:pPr>
              <w:autoSpaceDE w:val="0"/>
              <w:autoSpaceDN w:val="0"/>
              <w:adjustRightInd w:val="0"/>
              <w:spacing w:line="300" w:lineRule="exact"/>
              <w:rPr>
                <w:rFonts w:hint="default" w:ascii="宋体" w:hAnsi="宋体" w:eastAsia="宋体" w:cs="宋体"/>
                <w:bCs/>
                <w:lang w:val="en-US" w:eastAsia="zh-CN"/>
              </w:rPr>
            </w:pPr>
            <w:r>
              <w:rPr>
                <w:rFonts w:hint="default" w:ascii="宋体" w:hAnsi="宋体" w:eastAsia="宋体" w:cs="宋体"/>
                <w:bCs/>
                <w:lang w:val="en-US" w:eastAsia="zh-CN"/>
              </w:rPr>
              <w:t>投标人提供202</w:t>
            </w:r>
            <w:r>
              <w:rPr>
                <w:rFonts w:hint="eastAsia" w:ascii="宋体" w:hAnsi="宋体" w:eastAsia="宋体" w:cs="宋体"/>
                <w:bCs/>
                <w:lang w:val="en-US" w:eastAsia="zh-CN"/>
              </w:rPr>
              <w:t>4</w:t>
            </w:r>
            <w:r>
              <w:rPr>
                <w:rFonts w:hint="default" w:ascii="宋体" w:hAnsi="宋体" w:eastAsia="宋体" w:cs="宋体"/>
                <w:bCs/>
                <w:lang w:val="en-US" w:eastAsia="zh-CN"/>
              </w:rPr>
              <w:t>年经会计师事务所或审计机构出具的财务审计报告或提供其基本开户银行在投标截止日前六个月内出具的资信证明（银行出具的存款证明不能替代银行资信证明）</w:t>
            </w:r>
          </w:p>
        </w:tc>
        <w:tc>
          <w:tcPr>
            <w:tcW w:w="879" w:type="dxa"/>
          </w:tcPr>
          <w:p w14:paraId="39D72013">
            <w:pPr>
              <w:autoSpaceDE w:val="0"/>
              <w:autoSpaceDN w:val="0"/>
              <w:adjustRightInd w:val="0"/>
              <w:spacing w:line="300" w:lineRule="exact"/>
              <w:rPr>
                <w:rFonts w:ascii="宋体" w:hAnsi="宋体" w:cs="宋体"/>
                <w:lang w:val="zh-CN"/>
              </w:rPr>
            </w:pPr>
          </w:p>
        </w:tc>
      </w:tr>
      <w:tr w14:paraId="2454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25278A65">
            <w:pPr>
              <w:autoSpaceDE w:val="0"/>
              <w:autoSpaceDN w:val="0"/>
              <w:adjustRightInd w:val="0"/>
              <w:spacing w:line="300" w:lineRule="exact"/>
              <w:rPr>
                <w:rFonts w:ascii="宋体" w:hAnsi="宋体" w:cs="宋体"/>
                <w:bCs/>
                <w:lang w:val="zh-CN"/>
              </w:rPr>
            </w:pPr>
          </w:p>
        </w:tc>
        <w:tc>
          <w:tcPr>
            <w:tcW w:w="2410" w:type="dxa"/>
            <w:vAlign w:val="center"/>
          </w:tcPr>
          <w:p w14:paraId="7484629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法人授权委托书</w:t>
            </w:r>
          </w:p>
        </w:tc>
        <w:tc>
          <w:tcPr>
            <w:tcW w:w="4677" w:type="dxa"/>
            <w:vAlign w:val="center"/>
          </w:tcPr>
          <w:p w14:paraId="14BD94B7">
            <w:pPr>
              <w:autoSpaceDE w:val="0"/>
              <w:autoSpaceDN w:val="0"/>
              <w:adjustRightInd w:val="0"/>
              <w:spacing w:line="300" w:lineRule="exact"/>
              <w:rPr>
                <w:rFonts w:ascii="宋体" w:hAnsi="宋体" w:cs="宋体"/>
                <w:bCs/>
              </w:rPr>
            </w:pPr>
            <w:r>
              <w:rPr>
                <w:rFonts w:hint="eastAsia" w:ascii="宋体" w:hAnsi="宋体" w:cs="宋体"/>
                <w:bCs/>
                <w:lang w:val="zh-CN"/>
              </w:rPr>
              <w:t>非法定代表人亲自投标时提供。</w:t>
            </w:r>
          </w:p>
        </w:tc>
        <w:tc>
          <w:tcPr>
            <w:tcW w:w="879" w:type="dxa"/>
          </w:tcPr>
          <w:p w14:paraId="44EA9542">
            <w:pPr>
              <w:autoSpaceDE w:val="0"/>
              <w:autoSpaceDN w:val="0"/>
              <w:adjustRightInd w:val="0"/>
              <w:spacing w:line="300" w:lineRule="exact"/>
              <w:rPr>
                <w:rFonts w:ascii="宋体" w:hAnsi="宋体" w:cs="宋体"/>
                <w:lang w:val="zh-CN"/>
              </w:rPr>
            </w:pPr>
          </w:p>
        </w:tc>
      </w:tr>
      <w:tr w14:paraId="3D41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4616EDB4">
            <w:pPr>
              <w:autoSpaceDE w:val="0"/>
              <w:autoSpaceDN w:val="0"/>
              <w:adjustRightInd w:val="0"/>
              <w:spacing w:line="300" w:lineRule="exact"/>
              <w:rPr>
                <w:rFonts w:ascii="宋体" w:hAnsi="宋体" w:cs="宋体"/>
                <w:bCs/>
                <w:lang w:val="zh-CN"/>
              </w:rPr>
            </w:pPr>
          </w:p>
        </w:tc>
        <w:tc>
          <w:tcPr>
            <w:tcW w:w="2410" w:type="dxa"/>
            <w:vAlign w:val="center"/>
          </w:tcPr>
          <w:p w14:paraId="5E55FA34">
            <w:pPr>
              <w:autoSpaceDE w:val="0"/>
              <w:autoSpaceDN w:val="0"/>
              <w:adjustRightInd w:val="0"/>
              <w:spacing w:line="300" w:lineRule="exact"/>
              <w:jc w:val="left"/>
              <w:rPr>
                <w:rFonts w:hint="default" w:ascii="宋体" w:hAnsi="宋体" w:cs="宋体" w:eastAsiaTheme="minorEastAsia"/>
                <w:bCs/>
                <w:lang w:val="en-US" w:eastAsia="zh-CN"/>
              </w:rPr>
            </w:pPr>
            <w:r>
              <w:rPr>
                <w:rFonts w:hint="eastAsia" w:ascii="宋体" w:hAnsi="宋体" w:cs="宋体"/>
                <w:bCs/>
                <w:lang w:val="en-US" w:eastAsia="zh-CN"/>
              </w:rPr>
              <w:t>纳税和社保</w:t>
            </w:r>
          </w:p>
        </w:tc>
        <w:tc>
          <w:tcPr>
            <w:tcW w:w="4677" w:type="dxa"/>
            <w:vAlign w:val="center"/>
          </w:tcPr>
          <w:p w14:paraId="08253CD8">
            <w:pPr>
              <w:numPr>
                <w:ilvl w:val="0"/>
                <w:numId w:val="2"/>
              </w:numPr>
              <w:autoSpaceDE w:val="0"/>
              <w:autoSpaceDN w:val="0"/>
              <w:adjustRightInd w:val="0"/>
              <w:spacing w:line="300" w:lineRule="exact"/>
              <w:rPr>
                <w:rFonts w:hint="eastAsia"/>
                <w:color w:val="auto"/>
                <w:highlight w:val="none"/>
                <w:lang w:val="zh-CN"/>
              </w:rPr>
            </w:pPr>
            <w:r>
              <w:rPr>
                <w:rFonts w:hint="eastAsia"/>
                <w:color w:val="auto"/>
                <w:highlight w:val="none"/>
                <w:lang w:val="zh-CN"/>
              </w:rPr>
              <w:t>投标人提供近一年（202</w:t>
            </w:r>
            <w:r>
              <w:rPr>
                <w:rFonts w:hint="eastAsia"/>
                <w:color w:val="auto"/>
                <w:highlight w:val="none"/>
                <w:lang w:val="en-US" w:eastAsia="zh-CN"/>
              </w:rPr>
              <w:t>5</w:t>
            </w:r>
            <w:r>
              <w:rPr>
                <w:rFonts w:hint="eastAsia"/>
                <w:color w:val="auto"/>
                <w:highlight w:val="none"/>
                <w:lang w:val="zh-CN"/>
              </w:rPr>
              <w:t>年0</w:t>
            </w:r>
            <w:r>
              <w:rPr>
                <w:rFonts w:hint="eastAsia"/>
                <w:color w:val="auto"/>
                <w:highlight w:val="none"/>
                <w:lang w:val="en-US" w:eastAsia="zh-CN"/>
              </w:rPr>
              <w:t>1</w:t>
            </w:r>
            <w:r>
              <w:rPr>
                <w:rFonts w:hint="eastAsia"/>
                <w:color w:val="auto"/>
                <w:highlight w:val="none"/>
                <w:lang w:val="zh-CN"/>
              </w:rPr>
              <w:t>月至今）任意一个月的依法纳税证明(依法免税的投标人可提供相应文件证明其依法免税)</w:t>
            </w:r>
          </w:p>
          <w:p w14:paraId="06E96E2F">
            <w:pPr>
              <w:numPr>
                <w:ilvl w:val="0"/>
                <w:numId w:val="2"/>
              </w:numPr>
              <w:autoSpaceDE w:val="0"/>
              <w:autoSpaceDN w:val="0"/>
              <w:adjustRightInd w:val="0"/>
              <w:spacing w:line="300" w:lineRule="exact"/>
              <w:rPr>
                <w:rFonts w:hint="default"/>
                <w:color w:val="auto"/>
                <w:highlight w:val="none"/>
                <w:lang w:val="en-US" w:eastAsia="zh-CN"/>
              </w:rPr>
            </w:pPr>
            <w:r>
              <w:rPr>
                <w:rFonts w:hint="eastAsia"/>
                <w:color w:val="auto"/>
                <w:highlight w:val="none"/>
                <w:lang w:val="zh-CN"/>
              </w:rPr>
              <w:t>投标人提供近一年（202</w:t>
            </w:r>
            <w:r>
              <w:rPr>
                <w:rFonts w:hint="eastAsia"/>
                <w:color w:val="auto"/>
                <w:highlight w:val="none"/>
                <w:lang w:val="en-US" w:eastAsia="zh-CN"/>
              </w:rPr>
              <w:t>5</w:t>
            </w:r>
            <w:r>
              <w:rPr>
                <w:rFonts w:hint="eastAsia"/>
                <w:color w:val="auto"/>
                <w:highlight w:val="none"/>
                <w:lang w:val="zh-CN"/>
              </w:rPr>
              <w:t>年0</w:t>
            </w:r>
            <w:r>
              <w:rPr>
                <w:rFonts w:hint="eastAsia"/>
                <w:color w:val="auto"/>
                <w:highlight w:val="none"/>
                <w:lang w:val="en-US" w:eastAsia="zh-CN"/>
              </w:rPr>
              <w:t>1</w:t>
            </w:r>
            <w:r>
              <w:rPr>
                <w:rFonts w:hint="eastAsia"/>
                <w:color w:val="auto"/>
                <w:highlight w:val="none"/>
                <w:lang w:val="zh-CN"/>
              </w:rPr>
              <w:t>月至今）任意一个月的依法缴纳社会保障资金的证明(依法不需要缴纳社会保障资金的投标人可提供相应文件证明其依法不需要缴纳社会保障资金)</w:t>
            </w:r>
          </w:p>
        </w:tc>
        <w:tc>
          <w:tcPr>
            <w:tcW w:w="879" w:type="dxa"/>
          </w:tcPr>
          <w:p w14:paraId="78929845">
            <w:pPr>
              <w:autoSpaceDE w:val="0"/>
              <w:autoSpaceDN w:val="0"/>
              <w:adjustRightInd w:val="0"/>
              <w:spacing w:line="300" w:lineRule="exact"/>
              <w:rPr>
                <w:rFonts w:ascii="宋体" w:hAnsi="宋体" w:cs="宋体"/>
                <w:lang w:val="zh-CN"/>
              </w:rPr>
            </w:pPr>
          </w:p>
        </w:tc>
      </w:tr>
      <w:tr w14:paraId="011D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0ED82E49">
            <w:pPr>
              <w:autoSpaceDE w:val="0"/>
              <w:autoSpaceDN w:val="0"/>
              <w:adjustRightInd w:val="0"/>
              <w:spacing w:line="300" w:lineRule="exact"/>
              <w:rPr>
                <w:rFonts w:ascii="宋体" w:hAnsi="宋体" w:cs="宋体"/>
                <w:bCs/>
                <w:lang w:val="zh-CN"/>
              </w:rPr>
            </w:pPr>
          </w:p>
        </w:tc>
        <w:tc>
          <w:tcPr>
            <w:tcW w:w="2410" w:type="dxa"/>
            <w:vAlign w:val="center"/>
          </w:tcPr>
          <w:p w14:paraId="0C6FA9DF">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其他要求</w:t>
            </w:r>
          </w:p>
        </w:tc>
        <w:tc>
          <w:tcPr>
            <w:tcW w:w="4677" w:type="dxa"/>
            <w:vAlign w:val="center"/>
          </w:tcPr>
          <w:p w14:paraId="7A6FB390">
            <w:pPr>
              <w:autoSpaceDE w:val="0"/>
              <w:autoSpaceDN w:val="0"/>
              <w:adjustRightInd w:val="0"/>
              <w:spacing w:line="300" w:lineRule="exact"/>
              <w:rPr>
                <w:rFonts w:ascii="宋体" w:hAnsi="宋体" w:cs="宋体"/>
                <w:bCs/>
                <w:color w:val="FF0000"/>
                <w:lang w:val="zh-CN"/>
              </w:rPr>
            </w:pPr>
            <w:r>
              <w:rPr>
                <w:rFonts w:hint="eastAsia" w:ascii="宋体" w:hAnsi="宋体" w:cs="宋体"/>
                <w:bCs/>
                <w:lang w:val="zh-CN"/>
              </w:rPr>
              <w:t xml:space="preserve">1、参加政府采购活动前3年内在经营活动中没有重大违法记录的书面声明。 </w:t>
            </w:r>
            <w:r>
              <w:rPr>
                <w:rFonts w:hint="eastAsia" w:ascii="宋体" w:hAnsi="宋体" w:cs="宋体"/>
                <w:bCs/>
                <w:color w:val="FF0000"/>
                <w:lang w:val="zh-CN"/>
              </w:rPr>
              <w:t xml:space="preserve"> </w:t>
            </w:r>
          </w:p>
          <w:p w14:paraId="66757A5E">
            <w:pPr>
              <w:autoSpaceDE w:val="0"/>
              <w:autoSpaceDN w:val="0"/>
              <w:adjustRightInd w:val="0"/>
              <w:spacing w:line="300" w:lineRule="exact"/>
              <w:rPr>
                <w:rFonts w:ascii="宋体" w:hAnsi="宋体" w:cs="宋体"/>
                <w:bCs/>
                <w:lang w:val="zh-CN"/>
              </w:rPr>
            </w:pPr>
            <w:r>
              <w:rPr>
                <w:rFonts w:hint="eastAsia" w:ascii="宋体" w:hAnsi="宋体" w:cs="宋体"/>
                <w:bCs/>
                <w:lang w:val="en-US" w:eastAsia="zh-CN"/>
              </w:rPr>
              <w:t>2</w:t>
            </w:r>
            <w:r>
              <w:rPr>
                <w:rFonts w:hint="eastAsia" w:ascii="宋体" w:hAnsi="宋体" w:cs="宋体"/>
                <w:bCs/>
                <w:lang w:val="zh-CN"/>
              </w:rPr>
              <w:t>、“中国裁判文书网”“信用中国”“中国政府采购网”</w:t>
            </w:r>
            <w:r>
              <w:rPr>
                <w:rFonts w:hint="eastAsia" w:ascii="宋体" w:hAnsi="宋体" w:cs="宋体"/>
                <w:bCs/>
                <w:lang w:val="en-US" w:eastAsia="zh-CN"/>
              </w:rPr>
              <w:t>查询记录</w:t>
            </w:r>
            <w:r>
              <w:rPr>
                <w:rFonts w:hint="eastAsia" w:ascii="宋体" w:hAnsi="宋体" w:cs="宋体"/>
                <w:bCs/>
                <w:lang w:val="zh-CN"/>
              </w:rPr>
              <w:t>。</w:t>
            </w:r>
            <w:r>
              <w:rPr>
                <w:rFonts w:hint="eastAsia"/>
                <w:color w:val="auto"/>
                <w:highlight w:val="none"/>
              </w:rPr>
              <w:t>查询截止时点：公告发布之日起至投标截止时间</w:t>
            </w:r>
          </w:p>
        </w:tc>
        <w:tc>
          <w:tcPr>
            <w:tcW w:w="879" w:type="dxa"/>
          </w:tcPr>
          <w:p w14:paraId="21CAECAE">
            <w:pPr>
              <w:autoSpaceDE w:val="0"/>
              <w:autoSpaceDN w:val="0"/>
              <w:adjustRightInd w:val="0"/>
              <w:spacing w:line="300" w:lineRule="exact"/>
              <w:rPr>
                <w:rFonts w:ascii="宋体" w:hAnsi="宋体" w:cs="宋体"/>
                <w:lang w:val="zh-CN"/>
              </w:rPr>
            </w:pPr>
          </w:p>
        </w:tc>
      </w:tr>
      <w:tr w14:paraId="779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5A85DB4C">
            <w:pPr>
              <w:autoSpaceDE w:val="0"/>
              <w:autoSpaceDN w:val="0"/>
              <w:adjustRightInd w:val="0"/>
              <w:spacing w:line="400" w:lineRule="exact"/>
              <w:rPr>
                <w:rFonts w:ascii="宋体" w:hAnsi="宋体" w:cs="宋体"/>
                <w:bCs/>
                <w:lang w:val="zh-CN"/>
              </w:rPr>
            </w:pPr>
          </w:p>
          <w:p w14:paraId="0B3AE8E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响</w:t>
            </w:r>
          </w:p>
          <w:p w14:paraId="708A385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应</w:t>
            </w:r>
          </w:p>
          <w:p w14:paraId="09D46FE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性</w:t>
            </w:r>
          </w:p>
          <w:p w14:paraId="1475CFC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229C673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444E885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4D4FA1EE">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p w14:paraId="3AD8AFEC">
            <w:pPr>
              <w:autoSpaceDE w:val="0"/>
              <w:autoSpaceDN w:val="0"/>
              <w:adjustRightInd w:val="0"/>
              <w:spacing w:line="300" w:lineRule="exact"/>
              <w:rPr>
                <w:rFonts w:ascii="宋体" w:hAnsi="宋体" w:cs="宋体"/>
                <w:bCs/>
                <w:lang w:val="zh-CN"/>
              </w:rPr>
            </w:pPr>
          </w:p>
        </w:tc>
        <w:tc>
          <w:tcPr>
            <w:tcW w:w="2410" w:type="dxa"/>
            <w:vAlign w:val="center"/>
          </w:tcPr>
          <w:p w14:paraId="156F6A8E">
            <w:pPr>
              <w:autoSpaceDE w:val="0"/>
              <w:autoSpaceDN w:val="0"/>
              <w:adjustRightInd w:val="0"/>
              <w:spacing w:line="300" w:lineRule="exact"/>
              <w:rPr>
                <w:rFonts w:ascii="宋体" w:hAnsi="宋体" w:cs="宋体"/>
                <w:bCs/>
                <w:lang w:val="zh-CN"/>
              </w:rPr>
            </w:pPr>
            <w:r>
              <w:rPr>
                <w:rFonts w:hint="eastAsia" w:ascii="宋体" w:hAnsi="宋体" w:cs="宋体"/>
                <w:bCs/>
                <w:lang w:val="zh-CN"/>
              </w:rPr>
              <w:t>投标内容</w:t>
            </w:r>
          </w:p>
        </w:tc>
        <w:tc>
          <w:tcPr>
            <w:tcW w:w="4677" w:type="dxa"/>
            <w:vAlign w:val="center"/>
          </w:tcPr>
          <w:p w14:paraId="1F315D11">
            <w:pPr>
              <w:autoSpaceDE w:val="0"/>
              <w:autoSpaceDN w:val="0"/>
              <w:adjustRightInd w:val="0"/>
              <w:spacing w:line="300" w:lineRule="exact"/>
              <w:rPr>
                <w:rFonts w:hint="eastAsia" w:ascii="宋体" w:hAnsi="宋体" w:eastAsia="宋体" w:cs="宋体"/>
                <w:bCs/>
                <w:lang w:eastAsia="zh-CN"/>
              </w:rPr>
            </w:pPr>
            <w:r>
              <w:rPr>
                <w:rFonts w:hint="eastAsia" w:ascii="宋体" w:hAnsi="宋体" w:cs="宋体"/>
                <w:bCs/>
                <w:lang w:val="zh-CN"/>
              </w:rPr>
              <w:t>满足采购人（招标文件）采购需求，无缺项漏项；技术参数满足招标文件第</w:t>
            </w:r>
            <w:r>
              <w:rPr>
                <w:rFonts w:hint="eastAsia" w:ascii="宋体" w:hAnsi="宋体" w:cs="宋体"/>
                <w:bCs/>
                <w:lang w:val="en-US" w:eastAsia="zh-CN"/>
              </w:rPr>
              <w:t>四</w:t>
            </w:r>
            <w:r>
              <w:rPr>
                <w:rFonts w:hint="eastAsia" w:ascii="宋体" w:hAnsi="宋体" w:cs="宋体"/>
                <w:bCs/>
                <w:lang w:val="zh-CN"/>
              </w:rPr>
              <w:t>章“货物需求及要求”</w:t>
            </w:r>
            <w:r>
              <w:rPr>
                <w:rFonts w:hint="eastAsia" w:ascii="宋体" w:hAnsi="宋体" w:cs="宋体"/>
                <w:bCs/>
                <w:lang w:val="en-US" w:eastAsia="zh-CN"/>
              </w:rPr>
              <w:t>的参数不允许负偏离</w:t>
            </w:r>
            <w:r>
              <w:rPr>
                <w:rFonts w:hint="eastAsia" w:ascii="宋体" w:hAnsi="宋体" w:cs="宋体"/>
                <w:bCs/>
                <w:lang w:val="zh-CN" w:eastAsia="zh-CN"/>
              </w:rPr>
              <w:t>。</w:t>
            </w:r>
          </w:p>
        </w:tc>
        <w:tc>
          <w:tcPr>
            <w:tcW w:w="879" w:type="dxa"/>
          </w:tcPr>
          <w:p w14:paraId="3D219678">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r w14:paraId="145F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31" w:type="dxa"/>
            <w:vMerge w:val="continue"/>
          </w:tcPr>
          <w:p w14:paraId="2F579D29">
            <w:pPr>
              <w:autoSpaceDE w:val="0"/>
              <w:autoSpaceDN w:val="0"/>
              <w:adjustRightInd w:val="0"/>
              <w:spacing w:line="300" w:lineRule="exact"/>
              <w:jc w:val="left"/>
              <w:rPr>
                <w:rFonts w:ascii="宋体" w:hAnsi="宋体" w:cs="宋体"/>
                <w:bCs/>
                <w:lang w:val="zh-CN"/>
              </w:rPr>
            </w:pPr>
          </w:p>
        </w:tc>
        <w:tc>
          <w:tcPr>
            <w:tcW w:w="2410" w:type="dxa"/>
            <w:vAlign w:val="center"/>
          </w:tcPr>
          <w:p w14:paraId="58A60FA8">
            <w:pPr>
              <w:pStyle w:val="16"/>
              <w:tabs>
                <w:tab w:val="clear" w:pos="4153"/>
                <w:tab w:val="clear" w:pos="8306"/>
              </w:tabs>
              <w:autoSpaceDE w:val="0"/>
              <w:autoSpaceDN w:val="0"/>
              <w:adjustRightInd w:val="0"/>
              <w:snapToGrid/>
              <w:spacing w:line="300" w:lineRule="exact"/>
              <w:jc w:val="both"/>
              <w:rPr>
                <w:rFonts w:ascii="宋体" w:hAnsi="宋体" w:cs="宋体"/>
                <w:bCs/>
                <w:sz w:val="21"/>
                <w:szCs w:val="21"/>
                <w:lang w:val="zh-CN"/>
              </w:rPr>
            </w:pPr>
            <w:r>
              <w:rPr>
                <w:rFonts w:hint="eastAsia" w:ascii="宋体" w:hAnsi="宋体" w:cs="宋体"/>
                <w:bCs/>
                <w:sz w:val="21"/>
                <w:szCs w:val="21"/>
                <w:lang w:eastAsia="zh-CN"/>
              </w:rPr>
              <w:t>供货</w:t>
            </w:r>
            <w:r>
              <w:rPr>
                <w:rFonts w:hint="eastAsia" w:ascii="宋体" w:hAnsi="宋体" w:cs="宋体"/>
                <w:bCs/>
                <w:sz w:val="21"/>
                <w:szCs w:val="21"/>
                <w:lang w:val="zh-CN"/>
              </w:rPr>
              <w:t>期</w:t>
            </w:r>
          </w:p>
        </w:tc>
        <w:tc>
          <w:tcPr>
            <w:tcW w:w="4677" w:type="dxa"/>
            <w:vAlign w:val="center"/>
          </w:tcPr>
          <w:p w14:paraId="6CC6C036">
            <w:pPr>
              <w:autoSpaceDE w:val="0"/>
              <w:autoSpaceDN w:val="0"/>
              <w:adjustRightInd w:val="0"/>
              <w:spacing w:line="300" w:lineRule="exact"/>
              <w:rPr>
                <w:rFonts w:ascii="宋体" w:hAnsi="宋体" w:cs="宋体"/>
                <w:bCs/>
              </w:rPr>
            </w:pPr>
            <w:r>
              <w:rPr>
                <w:rFonts w:hint="eastAsia" w:ascii="宋体" w:hAnsi="宋体" w:cs="宋体"/>
                <w:bCs/>
              </w:rPr>
              <w:t>自合同签订之日起 45日内</w:t>
            </w:r>
            <w:bookmarkStart w:id="163" w:name="_GoBack"/>
            <w:bookmarkEnd w:id="163"/>
          </w:p>
        </w:tc>
        <w:tc>
          <w:tcPr>
            <w:tcW w:w="879" w:type="dxa"/>
          </w:tcPr>
          <w:p w14:paraId="5760FEF8">
            <w:pPr>
              <w:rPr>
                <w:rFonts w:ascii="宋体" w:hAnsi="宋体" w:cs="宋体"/>
                <w:lang w:val="zh-CN"/>
              </w:rPr>
            </w:pPr>
          </w:p>
          <w:p w14:paraId="0F5B6553">
            <w:pPr>
              <w:rPr>
                <w:rFonts w:ascii="宋体" w:hAnsi="宋体" w:cs="宋体"/>
                <w:lang w:val="zh-CN"/>
              </w:rPr>
            </w:pPr>
          </w:p>
          <w:p w14:paraId="6503C45A">
            <w:pPr>
              <w:autoSpaceDE w:val="0"/>
              <w:autoSpaceDN w:val="0"/>
              <w:adjustRightInd w:val="0"/>
              <w:spacing w:line="300" w:lineRule="exact"/>
              <w:rPr>
                <w:rFonts w:ascii="宋体" w:hAnsi="宋体" w:cs="宋体"/>
                <w:lang w:val="zh-CN"/>
              </w:rPr>
            </w:pPr>
          </w:p>
        </w:tc>
      </w:tr>
      <w:tr w14:paraId="4AAA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5F29360C">
            <w:pPr>
              <w:autoSpaceDE w:val="0"/>
              <w:autoSpaceDN w:val="0"/>
              <w:adjustRightInd w:val="0"/>
              <w:spacing w:line="300" w:lineRule="exact"/>
              <w:jc w:val="left"/>
              <w:rPr>
                <w:rFonts w:ascii="宋体" w:hAnsi="宋体" w:cs="宋体"/>
                <w:bCs/>
                <w:lang w:val="zh-CN"/>
              </w:rPr>
            </w:pPr>
          </w:p>
        </w:tc>
        <w:tc>
          <w:tcPr>
            <w:tcW w:w="2410" w:type="dxa"/>
            <w:vAlign w:val="center"/>
          </w:tcPr>
          <w:p w14:paraId="01271E9F">
            <w:pPr>
              <w:autoSpaceDE w:val="0"/>
              <w:autoSpaceDN w:val="0"/>
              <w:adjustRightInd w:val="0"/>
              <w:spacing w:line="300" w:lineRule="exact"/>
              <w:rPr>
                <w:rFonts w:hint="eastAsia" w:ascii="宋体" w:hAnsi="宋体" w:cs="宋体" w:eastAsiaTheme="minorEastAsia"/>
                <w:bCs/>
                <w:lang w:val="en-US" w:eastAsia="zh-CN"/>
              </w:rPr>
            </w:pPr>
            <w:r>
              <w:rPr>
                <w:rFonts w:hint="eastAsia" w:ascii="宋体" w:hAnsi="宋体" w:cs="宋体"/>
                <w:bCs/>
                <w:lang w:val="en-US" w:eastAsia="zh-CN"/>
              </w:rPr>
              <w:t>质保期</w:t>
            </w:r>
          </w:p>
        </w:tc>
        <w:tc>
          <w:tcPr>
            <w:tcW w:w="4677" w:type="dxa"/>
            <w:vAlign w:val="center"/>
          </w:tcPr>
          <w:p w14:paraId="4CC009EC">
            <w:pPr>
              <w:autoSpaceDE w:val="0"/>
              <w:autoSpaceDN w:val="0"/>
              <w:adjustRightInd w:val="0"/>
              <w:spacing w:line="300" w:lineRule="exact"/>
              <w:rPr>
                <w:rFonts w:hint="default" w:ascii="宋体" w:hAnsi="宋体" w:cs="宋体" w:eastAsiaTheme="minorEastAsia"/>
                <w:bCs/>
                <w:lang w:val="en-US" w:eastAsia="zh-CN"/>
              </w:rPr>
            </w:pPr>
            <w:r>
              <w:rPr>
                <w:rFonts w:hint="eastAsia" w:ascii="宋体" w:hAnsi="宋体" w:cs="宋体"/>
                <w:bCs/>
                <w:lang w:val="en-US" w:eastAsia="zh-CN"/>
              </w:rPr>
              <w:t>1年</w:t>
            </w:r>
          </w:p>
        </w:tc>
        <w:tc>
          <w:tcPr>
            <w:tcW w:w="879" w:type="dxa"/>
          </w:tcPr>
          <w:p w14:paraId="6DB353B3">
            <w:pPr>
              <w:autoSpaceDE w:val="0"/>
              <w:autoSpaceDN w:val="0"/>
              <w:adjustRightInd w:val="0"/>
              <w:spacing w:line="300" w:lineRule="exact"/>
              <w:rPr>
                <w:rFonts w:ascii="宋体" w:hAnsi="宋体" w:cs="宋体"/>
                <w:lang w:val="zh-CN"/>
              </w:rPr>
            </w:pPr>
          </w:p>
        </w:tc>
      </w:tr>
      <w:tr w14:paraId="42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2523D3CC">
            <w:pPr>
              <w:autoSpaceDE w:val="0"/>
              <w:autoSpaceDN w:val="0"/>
              <w:adjustRightInd w:val="0"/>
              <w:spacing w:line="300" w:lineRule="exact"/>
              <w:jc w:val="left"/>
              <w:rPr>
                <w:rFonts w:ascii="宋体" w:hAnsi="宋体" w:cs="宋体"/>
                <w:bCs/>
                <w:lang w:val="zh-CN"/>
              </w:rPr>
            </w:pPr>
          </w:p>
        </w:tc>
        <w:tc>
          <w:tcPr>
            <w:tcW w:w="2410" w:type="dxa"/>
            <w:vAlign w:val="center"/>
          </w:tcPr>
          <w:p w14:paraId="0405953B">
            <w:pPr>
              <w:autoSpaceDE w:val="0"/>
              <w:autoSpaceDN w:val="0"/>
              <w:adjustRightInd w:val="0"/>
              <w:spacing w:line="300" w:lineRule="exact"/>
              <w:rPr>
                <w:rFonts w:hint="eastAsia" w:ascii="宋体" w:hAnsi="宋体" w:cs="宋体"/>
                <w:bCs/>
                <w:lang w:val="zh-CN"/>
              </w:rPr>
            </w:pPr>
            <w:r>
              <w:rPr>
                <w:rFonts w:hint="eastAsia" w:ascii="宋体" w:hAnsi="宋体" w:cs="宋体"/>
                <w:bCs/>
                <w:lang w:val="en-US" w:eastAsia="zh-CN"/>
              </w:rPr>
              <w:t>质量</w:t>
            </w:r>
            <w:r>
              <w:rPr>
                <w:rFonts w:hint="eastAsia" w:ascii="宋体" w:hAnsi="宋体" w:cs="宋体"/>
                <w:bCs/>
                <w:lang w:val="zh-CN" w:eastAsia="zh-CN"/>
              </w:rPr>
              <w:t>标准</w:t>
            </w:r>
          </w:p>
        </w:tc>
        <w:tc>
          <w:tcPr>
            <w:tcW w:w="4677" w:type="dxa"/>
            <w:vAlign w:val="center"/>
          </w:tcPr>
          <w:p w14:paraId="79314B82">
            <w:pPr>
              <w:autoSpaceDE w:val="0"/>
              <w:autoSpaceDN w:val="0"/>
              <w:adjustRightInd w:val="0"/>
              <w:spacing w:line="300" w:lineRule="exact"/>
              <w:rPr>
                <w:rFonts w:hint="eastAsia" w:ascii="宋体" w:hAnsi="宋体" w:cs="宋体"/>
                <w:bCs/>
                <w:lang w:val="zh-CN"/>
              </w:rPr>
            </w:pPr>
            <w:r>
              <w:rPr>
                <w:rFonts w:hint="eastAsia" w:ascii="宋体" w:hAnsi="宋体" w:eastAsia="宋体" w:cs="宋体"/>
                <w:color w:val="auto"/>
                <w:sz w:val="21"/>
                <w:szCs w:val="21"/>
                <w:highlight w:val="none"/>
                <w:lang w:val="en-US" w:eastAsia="zh-CN"/>
              </w:rPr>
              <w:t>符合国家及相关行业要求的合格标准，并达到采购人的验收标准。</w:t>
            </w:r>
          </w:p>
        </w:tc>
        <w:tc>
          <w:tcPr>
            <w:tcW w:w="879" w:type="dxa"/>
          </w:tcPr>
          <w:p w14:paraId="4DBD41D8">
            <w:pPr>
              <w:autoSpaceDE w:val="0"/>
              <w:autoSpaceDN w:val="0"/>
              <w:adjustRightInd w:val="0"/>
              <w:spacing w:line="300" w:lineRule="exact"/>
              <w:rPr>
                <w:rFonts w:ascii="宋体" w:hAnsi="宋体" w:cs="宋体"/>
                <w:lang w:val="zh-CN"/>
              </w:rPr>
            </w:pPr>
          </w:p>
        </w:tc>
      </w:tr>
      <w:tr w14:paraId="5195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3D66D54A">
            <w:pPr>
              <w:autoSpaceDE w:val="0"/>
              <w:autoSpaceDN w:val="0"/>
              <w:adjustRightInd w:val="0"/>
              <w:spacing w:line="300" w:lineRule="exact"/>
              <w:jc w:val="left"/>
              <w:rPr>
                <w:rFonts w:ascii="宋体" w:hAnsi="宋体" w:cs="宋体"/>
                <w:bCs/>
                <w:lang w:val="zh-CN"/>
              </w:rPr>
            </w:pPr>
          </w:p>
        </w:tc>
        <w:tc>
          <w:tcPr>
            <w:tcW w:w="2410" w:type="dxa"/>
            <w:vAlign w:val="center"/>
          </w:tcPr>
          <w:p w14:paraId="623E2F26">
            <w:pPr>
              <w:autoSpaceDE w:val="0"/>
              <w:autoSpaceDN w:val="0"/>
              <w:adjustRightInd w:val="0"/>
              <w:spacing w:line="300" w:lineRule="exact"/>
              <w:rPr>
                <w:rFonts w:ascii="宋体" w:hAnsi="宋体" w:cs="宋体"/>
                <w:bCs/>
                <w:lang w:val="zh-CN"/>
              </w:rPr>
            </w:pPr>
            <w:r>
              <w:rPr>
                <w:rFonts w:hint="eastAsia" w:ascii="宋体" w:hAnsi="宋体" w:cs="宋体"/>
                <w:bCs/>
                <w:lang w:val="zh-CN"/>
              </w:rPr>
              <w:t>投标有效期</w:t>
            </w:r>
          </w:p>
        </w:tc>
        <w:tc>
          <w:tcPr>
            <w:tcW w:w="4677" w:type="dxa"/>
            <w:vAlign w:val="center"/>
          </w:tcPr>
          <w:p w14:paraId="77CD9113">
            <w:pPr>
              <w:autoSpaceDE w:val="0"/>
              <w:autoSpaceDN w:val="0"/>
              <w:adjustRightInd w:val="0"/>
              <w:spacing w:line="300" w:lineRule="exact"/>
              <w:rPr>
                <w:rFonts w:ascii="宋体" w:hAnsi="宋体" w:cs="宋体"/>
                <w:bCs/>
                <w:lang w:val="zh-CN"/>
              </w:rPr>
            </w:pPr>
            <w:r>
              <w:rPr>
                <w:rFonts w:hint="eastAsia" w:ascii="宋体" w:hAnsi="宋体" w:cs="宋体"/>
                <w:bCs/>
                <w:lang w:val="zh-CN"/>
              </w:rPr>
              <w:t>90天。</w:t>
            </w:r>
          </w:p>
        </w:tc>
        <w:tc>
          <w:tcPr>
            <w:tcW w:w="879" w:type="dxa"/>
          </w:tcPr>
          <w:p w14:paraId="120D3AE3">
            <w:pPr>
              <w:autoSpaceDE w:val="0"/>
              <w:autoSpaceDN w:val="0"/>
              <w:adjustRightInd w:val="0"/>
              <w:spacing w:line="300" w:lineRule="exact"/>
              <w:rPr>
                <w:rFonts w:ascii="宋体" w:hAnsi="宋体" w:cs="宋体"/>
                <w:lang w:val="zh-CN"/>
              </w:rPr>
            </w:pPr>
          </w:p>
        </w:tc>
      </w:tr>
      <w:tr w14:paraId="3F68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05566AE0">
            <w:pPr>
              <w:autoSpaceDE w:val="0"/>
              <w:autoSpaceDN w:val="0"/>
              <w:adjustRightInd w:val="0"/>
              <w:spacing w:line="300" w:lineRule="exact"/>
              <w:jc w:val="left"/>
              <w:rPr>
                <w:rFonts w:ascii="宋体" w:hAnsi="宋体" w:cs="宋体"/>
                <w:bCs/>
                <w:lang w:val="zh-CN"/>
              </w:rPr>
            </w:pPr>
          </w:p>
        </w:tc>
        <w:tc>
          <w:tcPr>
            <w:tcW w:w="2410" w:type="dxa"/>
            <w:vAlign w:val="center"/>
          </w:tcPr>
          <w:p w14:paraId="4188459E">
            <w:pPr>
              <w:autoSpaceDE w:val="0"/>
              <w:autoSpaceDN w:val="0"/>
              <w:adjustRightInd w:val="0"/>
              <w:spacing w:line="300" w:lineRule="exact"/>
              <w:rPr>
                <w:rFonts w:ascii="宋体" w:hAnsi="宋体" w:cs="宋体"/>
                <w:bCs/>
                <w:lang w:val="zh-CN"/>
              </w:rPr>
            </w:pPr>
            <w:r>
              <w:rPr>
                <w:rFonts w:hint="eastAsia" w:ascii="宋体" w:hAnsi="宋体" w:cs="宋体"/>
                <w:bCs/>
                <w:lang w:val="zh-CN"/>
              </w:rPr>
              <w:t>投标保证金</w:t>
            </w:r>
          </w:p>
        </w:tc>
        <w:tc>
          <w:tcPr>
            <w:tcW w:w="4677" w:type="dxa"/>
            <w:vAlign w:val="center"/>
          </w:tcPr>
          <w:p w14:paraId="7FE8D5B2">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zh-CN"/>
              </w:rPr>
              <w:t>有缴纳投标保证金凭证原件加盖公章</w:t>
            </w:r>
            <w:r>
              <w:rPr>
                <w:rFonts w:hint="eastAsia" w:ascii="宋体" w:hAnsi="宋体" w:cs="宋体"/>
                <w:bCs/>
                <w:lang w:val="en-US" w:eastAsia="zh-CN"/>
              </w:rPr>
              <w:t>的扫描件</w:t>
            </w:r>
            <w:r>
              <w:rPr>
                <w:rFonts w:hint="eastAsia" w:ascii="宋体" w:hAnsi="宋体" w:cs="宋体"/>
                <w:bCs/>
                <w:lang w:val="zh-CN"/>
              </w:rPr>
              <w:t>，基本账户开户许可证复印件加盖公章【要求件清晰可见】；</w:t>
            </w:r>
            <w:r>
              <w:rPr>
                <w:rFonts w:hint="eastAsia" w:ascii="宋体" w:hAnsi="宋体" w:cs="宋体"/>
                <w:bCs/>
                <w:lang w:val="en-US" w:eastAsia="zh-CN"/>
              </w:rPr>
              <w:t>以电子</w:t>
            </w:r>
            <w:r>
              <w:rPr>
                <w:rFonts w:hint="eastAsia" w:ascii="宋体" w:hAnsi="宋体"/>
                <w:kern w:val="0"/>
              </w:rPr>
              <w:t>保函</w:t>
            </w:r>
            <w:r>
              <w:rPr>
                <w:rFonts w:hint="eastAsia" w:ascii="宋体" w:hAnsi="宋体"/>
                <w:kern w:val="0"/>
                <w:lang w:val="en-US" w:eastAsia="zh-CN"/>
              </w:rPr>
              <w:t>形式递交保证金</w:t>
            </w:r>
            <w:r>
              <w:rPr>
                <w:rFonts w:hint="eastAsia" w:ascii="宋体" w:hAnsi="宋体"/>
                <w:kern w:val="0"/>
              </w:rPr>
              <w:t>的投标人</w:t>
            </w:r>
            <w:r>
              <w:rPr>
                <w:rFonts w:hint="eastAsia" w:ascii="宋体" w:hAnsi="宋体"/>
                <w:kern w:val="0"/>
                <w:lang w:eastAsia="zh-CN"/>
              </w:rPr>
              <w:t>，</w:t>
            </w:r>
            <w:r>
              <w:rPr>
                <w:rFonts w:hint="eastAsia" w:ascii="宋体" w:hAnsi="宋体"/>
                <w:kern w:val="0"/>
                <w:lang w:val="en-US" w:eastAsia="zh-CN"/>
              </w:rPr>
              <w:t>须</w:t>
            </w:r>
            <w:r>
              <w:rPr>
                <w:rFonts w:hint="eastAsia" w:ascii="宋体" w:hAnsi="宋体" w:cs="宋体"/>
                <w:bCs/>
                <w:lang w:val="zh-CN"/>
              </w:rPr>
              <w:t>符合第二章投标人须知</w:t>
            </w:r>
            <w:r>
              <w:rPr>
                <w:rFonts w:hint="eastAsia" w:ascii="宋体" w:hAnsi="宋体" w:cs="宋体"/>
                <w:bCs/>
                <w:lang w:val="en-US" w:eastAsia="zh-CN"/>
              </w:rPr>
              <w:t>中要求。</w:t>
            </w:r>
          </w:p>
        </w:tc>
        <w:tc>
          <w:tcPr>
            <w:tcW w:w="879" w:type="dxa"/>
          </w:tcPr>
          <w:p w14:paraId="13892B23">
            <w:pPr>
              <w:autoSpaceDE w:val="0"/>
              <w:autoSpaceDN w:val="0"/>
              <w:adjustRightInd w:val="0"/>
              <w:spacing w:line="300" w:lineRule="exact"/>
              <w:rPr>
                <w:rFonts w:ascii="宋体" w:hAnsi="宋体" w:cs="宋体"/>
                <w:bCs/>
                <w:lang w:val="zh-CN"/>
              </w:rPr>
            </w:pPr>
          </w:p>
        </w:tc>
      </w:tr>
      <w:tr w14:paraId="6C7C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155CA3E3">
            <w:pPr>
              <w:autoSpaceDE w:val="0"/>
              <w:autoSpaceDN w:val="0"/>
              <w:adjustRightInd w:val="0"/>
              <w:spacing w:line="300" w:lineRule="exact"/>
              <w:jc w:val="left"/>
              <w:rPr>
                <w:rFonts w:ascii="宋体" w:hAnsi="宋体" w:cs="宋体"/>
                <w:bCs/>
                <w:lang w:val="zh-CN"/>
              </w:rPr>
            </w:pPr>
          </w:p>
        </w:tc>
        <w:tc>
          <w:tcPr>
            <w:tcW w:w="2410" w:type="dxa"/>
            <w:vAlign w:val="center"/>
          </w:tcPr>
          <w:p w14:paraId="263F6264">
            <w:pPr>
              <w:autoSpaceDE w:val="0"/>
              <w:autoSpaceDN w:val="0"/>
              <w:adjustRightInd w:val="0"/>
              <w:spacing w:line="300" w:lineRule="exact"/>
              <w:rPr>
                <w:rFonts w:ascii="宋体" w:hAnsi="宋体" w:cs="宋体"/>
                <w:bCs/>
                <w:lang w:val="zh-CN"/>
              </w:rPr>
            </w:pPr>
            <w:r>
              <w:rPr>
                <w:rFonts w:hint="eastAsia" w:ascii="宋体" w:hAnsi="宋体" w:cs="宋体"/>
                <w:bCs/>
                <w:lang w:val="zh-CN"/>
              </w:rPr>
              <w:t>投标报价</w:t>
            </w:r>
          </w:p>
        </w:tc>
        <w:tc>
          <w:tcPr>
            <w:tcW w:w="4677" w:type="dxa"/>
            <w:vAlign w:val="center"/>
          </w:tcPr>
          <w:p w14:paraId="1C8D69DB">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zh-CN"/>
              </w:rPr>
              <w:t>不超过采购预算，超过采购预算的投标报价，其投标将被否决</w:t>
            </w:r>
            <w:r>
              <w:rPr>
                <w:rFonts w:hint="eastAsia" w:ascii="宋体" w:hAnsi="宋体" w:cs="宋体"/>
                <w:bCs/>
                <w:lang w:val="en-US" w:eastAsia="zh-CN"/>
              </w:rPr>
              <w:t>。</w:t>
            </w:r>
          </w:p>
        </w:tc>
        <w:tc>
          <w:tcPr>
            <w:tcW w:w="879" w:type="dxa"/>
          </w:tcPr>
          <w:p w14:paraId="6C82E1AA">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r w14:paraId="330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3EA1AC1B">
            <w:pPr>
              <w:autoSpaceDE w:val="0"/>
              <w:autoSpaceDN w:val="0"/>
              <w:adjustRightInd w:val="0"/>
              <w:spacing w:line="300" w:lineRule="exact"/>
              <w:jc w:val="left"/>
              <w:rPr>
                <w:rFonts w:ascii="宋体" w:hAnsi="宋体" w:cs="宋体"/>
                <w:bCs/>
                <w:lang w:val="zh-CN"/>
              </w:rPr>
            </w:pPr>
          </w:p>
        </w:tc>
        <w:tc>
          <w:tcPr>
            <w:tcW w:w="2410" w:type="dxa"/>
            <w:vAlign w:val="center"/>
          </w:tcPr>
          <w:p w14:paraId="542206AA">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en-US" w:eastAsia="zh-CN"/>
              </w:rPr>
              <w:t>联合体投标</w:t>
            </w:r>
          </w:p>
        </w:tc>
        <w:tc>
          <w:tcPr>
            <w:tcW w:w="4677" w:type="dxa"/>
            <w:vAlign w:val="center"/>
          </w:tcPr>
          <w:p w14:paraId="620BD47A">
            <w:pPr>
              <w:autoSpaceDE w:val="0"/>
              <w:autoSpaceDN w:val="0"/>
              <w:adjustRightInd w:val="0"/>
              <w:spacing w:line="300" w:lineRule="exact"/>
              <w:rPr>
                <w:rFonts w:hint="eastAsia" w:ascii="宋体" w:hAnsi="宋体" w:cs="宋体"/>
                <w:bCs/>
                <w:lang w:val="zh-CN"/>
              </w:rPr>
            </w:pPr>
            <w:r>
              <w:rPr>
                <w:rFonts w:hint="eastAsia" w:ascii="宋体" w:hAnsi="宋体" w:cs="宋体"/>
                <w:bCs/>
                <w:lang w:val="zh-CN"/>
              </w:rPr>
              <w:t>本项目</w:t>
            </w:r>
            <w:r>
              <w:rPr>
                <w:rFonts w:hint="eastAsia" w:ascii="宋体" w:hAnsi="宋体" w:cs="宋体"/>
                <w:bCs/>
                <w:lang w:val="en-US" w:eastAsia="zh-CN"/>
              </w:rPr>
              <w:t>各个标包</w:t>
            </w:r>
            <w:r>
              <w:rPr>
                <w:rFonts w:hint="eastAsia" w:ascii="宋体" w:hAnsi="宋体" w:cs="宋体"/>
                <w:bCs/>
                <w:lang w:val="zh-CN"/>
              </w:rPr>
              <w:t>不接受联合体投标、不允许分包。</w:t>
            </w:r>
          </w:p>
        </w:tc>
        <w:tc>
          <w:tcPr>
            <w:tcW w:w="879" w:type="dxa"/>
          </w:tcPr>
          <w:p w14:paraId="15F16223">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bl>
    <w:p w14:paraId="2EB28C1B">
      <w:pPr>
        <w:ind w:left="549" w:hanging="549"/>
        <w:jc w:val="center"/>
        <w:rPr>
          <w:b/>
          <w:bCs/>
          <w:sz w:val="24"/>
          <w:szCs w:val="24"/>
        </w:rPr>
      </w:pPr>
    </w:p>
    <w:p w14:paraId="76A360E4">
      <w:pPr>
        <w:ind w:left="549" w:hanging="549"/>
        <w:jc w:val="center"/>
        <w:rPr>
          <w:b/>
          <w:bCs/>
          <w:sz w:val="32"/>
        </w:rPr>
      </w:pPr>
    </w:p>
    <w:p w14:paraId="6282404F">
      <w:pPr>
        <w:ind w:left="549" w:hanging="549"/>
        <w:jc w:val="center"/>
        <w:rPr>
          <w:b/>
          <w:bCs/>
          <w:sz w:val="32"/>
        </w:rPr>
      </w:pPr>
    </w:p>
    <w:p w14:paraId="5D243FAA">
      <w:pPr>
        <w:ind w:left="549" w:hanging="549"/>
        <w:jc w:val="center"/>
        <w:rPr>
          <w:b/>
          <w:bCs/>
          <w:sz w:val="32"/>
        </w:rPr>
      </w:pPr>
    </w:p>
    <w:p w14:paraId="680921AF">
      <w:pPr>
        <w:ind w:left="549" w:hanging="549"/>
        <w:jc w:val="center"/>
        <w:rPr>
          <w:b/>
          <w:bCs/>
          <w:sz w:val="32"/>
        </w:rPr>
      </w:pPr>
    </w:p>
    <w:p w14:paraId="62C5B1B8">
      <w:pPr>
        <w:ind w:left="549" w:hanging="549"/>
        <w:jc w:val="center"/>
        <w:rPr>
          <w:b/>
          <w:bCs/>
          <w:sz w:val="32"/>
        </w:rPr>
      </w:pPr>
    </w:p>
    <w:p w14:paraId="46744B8F">
      <w:pPr>
        <w:ind w:left="549" w:hanging="549"/>
        <w:jc w:val="center"/>
        <w:rPr>
          <w:b/>
          <w:bCs/>
          <w:sz w:val="32"/>
        </w:rPr>
      </w:pPr>
    </w:p>
    <w:p w14:paraId="12F209E6">
      <w:pPr>
        <w:ind w:left="549" w:hanging="549"/>
        <w:jc w:val="center"/>
        <w:rPr>
          <w:b/>
          <w:bCs/>
          <w:sz w:val="32"/>
        </w:rPr>
      </w:pPr>
      <w:r>
        <w:rPr>
          <w:b/>
          <w:bCs/>
          <w:sz w:val="32"/>
        </w:rPr>
        <w:br w:type="page"/>
      </w:r>
    </w:p>
    <w:p w14:paraId="13D92A8A">
      <w:pPr>
        <w:ind w:left="549" w:hanging="549"/>
        <w:jc w:val="center"/>
        <w:rPr>
          <w:b/>
          <w:bCs/>
          <w:sz w:val="32"/>
        </w:rPr>
      </w:pPr>
      <w:r>
        <w:rPr>
          <w:rFonts w:hint="eastAsia"/>
          <w:b/>
          <w:bCs/>
          <w:sz w:val="32"/>
        </w:rPr>
        <w:t>项 目 评 分 表</w:t>
      </w:r>
    </w:p>
    <w:p w14:paraId="1784F21D">
      <w:pPr>
        <w:ind w:left="424" w:leftChars="202"/>
        <w:jc w:val="left"/>
      </w:pPr>
      <w:r>
        <w:rPr>
          <w:rFonts w:hint="eastAsia" w:cs="宋体"/>
          <w:bCs/>
        </w:rPr>
        <w:t xml:space="preserve">                                                                                                                                                              </w:t>
      </w:r>
    </w:p>
    <w:p w14:paraId="368FC44F">
      <w:pPr>
        <w:ind w:left="549" w:hanging="549"/>
        <w:jc w:val="center"/>
        <w:rPr>
          <w:rFonts w:ascii="宋体" w:hAnsi="宋体" w:cs="宋体"/>
        </w:rPr>
      </w:pPr>
      <w:r>
        <w:rPr>
          <w:rFonts w:hint="eastAsia" w:ascii="宋体" w:hAnsi="宋体" w:cs="宋体"/>
        </w:rPr>
        <w:t>本项目采用综合打分法，总分为100分，按评审后得分由高到低顺序排列，得分相同的，按投标报价由低到高顺序排列，得分且投标报价相同的，按技术指标优劣顺序排列，由评标委员会确定中标候选人。具体打分方法如下：</w:t>
      </w:r>
    </w:p>
    <w:p w14:paraId="521B9949">
      <w:pPr>
        <w:ind w:left="549" w:hanging="549"/>
        <w:jc w:val="center"/>
        <w:rPr>
          <w:rFonts w:ascii="宋体" w:hAnsi="宋体" w:cs="宋体"/>
        </w:rPr>
      </w:pPr>
    </w:p>
    <w:tbl>
      <w:tblPr>
        <w:tblStyle w:val="24"/>
        <w:tblW w:w="5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0"/>
        <w:gridCol w:w="816"/>
        <w:gridCol w:w="692"/>
        <w:gridCol w:w="8416"/>
      </w:tblGrid>
      <w:tr w14:paraId="04E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2C248B51">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条款号</w:t>
            </w:r>
          </w:p>
        </w:tc>
        <w:tc>
          <w:tcPr>
            <w:tcW w:w="375" w:type="pct"/>
            <w:tcBorders>
              <w:top w:val="single" w:color="auto" w:sz="4" w:space="0"/>
              <w:left w:val="single" w:color="auto" w:sz="4" w:space="0"/>
              <w:bottom w:val="single" w:color="auto" w:sz="4" w:space="0"/>
              <w:right w:val="single" w:color="auto" w:sz="4" w:space="0"/>
            </w:tcBorders>
            <w:vAlign w:val="center"/>
          </w:tcPr>
          <w:p w14:paraId="2EA7136B">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w:t>
            </w:r>
          </w:p>
          <w:p w14:paraId="71BA0C33">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因素</w:t>
            </w:r>
          </w:p>
        </w:tc>
        <w:tc>
          <w:tcPr>
            <w:tcW w:w="319" w:type="pct"/>
            <w:tcBorders>
              <w:top w:val="single" w:color="auto" w:sz="4" w:space="0"/>
              <w:left w:val="single" w:color="auto" w:sz="4" w:space="0"/>
              <w:bottom w:val="single" w:color="auto" w:sz="4" w:space="0"/>
              <w:right w:val="single" w:color="auto" w:sz="4" w:space="0"/>
            </w:tcBorders>
            <w:vAlign w:val="center"/>
          </w:tcPr>
          <w:p w14:paraId="4E6A58F0">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分值</w:t>
            </w:r>
          </w:p>
        </w:tc>
        <w:tc>
          <w:tcPr>
            <w:tcW w:w="3880" w:type="pct"/>
            <w:tcBorders>
              <w:top w:val="single" w:color="auto" w:sz="4" w:space="0"/>
              <w:left w:val="single" w:color="auto" w:sz="4" w:space="0"/>
              <w:bottom w:val="single" w:color="auto" w:sz="4" w:space="0"/>
              <w:right w:val="single" w:color="auto" w:sz="4" w:space="0"/>
            </w:tcBorders>
            <w:vAlign w:val="center"/>
          </w:tcPr>
          <w:p w14:paraId="5BF494D6">
            <w:pPr>
              <w:ind w:firstLine="422" w:firstLineChars="200"/>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评审标准</w:t>
            </w:r>
          </w:p>
        </w:tc>
      </w:tr>
      <w:tr w14:paraId="4968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7A9D50C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价格部分(30分)</w:t>
            </w:r>
          </w:p>
        </w:tc>
        <w:tc>
          <w:tcPr>
            <w:tcW w:w="375" w:type="pct"/>
            <w:tcBorders>
              <w:top w:val="single" w:color="auto" w:sz="4" w:space="0"/>
              <w:left w:val="single" w:color="auto" w:sz="4" w:space="0"/>
              <w:bottom w:val="single" w:color="auto" w:sz="4" w:space="0"/>
              <w:right w:val="single" w:color="auto" w:sz="4" w:space="0"/>
            </w:tcBorders>
            <w:vAlign w:val="center"/>
          </w:tcPr>
          <w:p w14:paraId="1FCB393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19" w:type="pct"/>
            <w:tcBorders>
              <w:top w:val="single" w:color="auto" w:sz="4" w:space="0"/>
              <w:left w:val="single" w:color="auto" w:sz="4" w:space="0"/>
              <w:bottom w:val="single" w:color="auto" w:sz="4" w:space="0"/>
              <w:right w:val="single" w:color="auto" w:sz="4" w:space="0"/>
            </w:tcBorders>
            <w:vAlign w:val="center"/>
          </w:tcPr>
          <w:p w14:paraId="594CB3D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30分</w:t>
            </w:r>
          </w:p>
        </w:tc>
        <w:tc>
          <w:tcPr>
            <w:tcW w:w="3880" w:type="pct"/>
            <w:tcBorders>
              <w:top w:val="single" w:color="auto" w:sz="4" w:space="0"/>
              <w:left w:val="single" w:color="auto" w:sz="4" w:space="0"/>
              <w:bottom w:val="single" w:color="auto" w:sz="4" w:space="0"/>
              <w:right w:val="single" w:color="auto" w:sz="4" w:space="0"/>
            </w:tcBorders>
            <w:vAlign w:val="center"/>
          </w:tcPr>
          <w:p w14:paraId="1F56813F">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1．价格分采用低价优先法计算，即通过资格性和符合性审查且投标价格最低的报价为评标基准价，其价格得分为满分。</w:t>
            </w:r>
          </w:p>
          <w:p w14:paraId="2292AEF8">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2．其他投标人的价格分统一按照下列公式计算：</w:t>
            </w:r>
          </w:p>
          <w:p w14:paraId="0506051C">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投标报价得分=（评标基准价／最终投标报价）×30</w:t>
            </w:r>
          </w:p>
          <w:p w14:paraId="0B500951">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注：价格分计算保留小数点后两位。</w:t>
            </w:r>
          </w:p>
        </w:tc>
      </w:tr>
      <w:tr w14:paraId="33AA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restart"/>
            <w:tcBorders>
              <w:left w:val="single" w:color="auto" w:sz="4" w:space="0"/>
              <w:right w:val="single" w:color="auto" w:sz="4" w:space="0"/>
            </w:tcBorders>
            <w:vAlign w:val="center"/>
          </w:tcPr>
          <w:p w14:paraId="1F30D083">
            <w:pPr>
              <w:pStyle w:val="105"/>
              <w:spacing w:line="360" w:lineRule="auto"/>
              <w:jc w:val="center"/>
              <w:rPr>
                <w:rFonts w:hint="eastAsia" w:ascii="宋体" w:hAnsi="宋体" w:eastAsia="宋体"/>
                <w:bCs/>
                <w:lang w:val="zh-CN"/>
              </w:rPr>
            </w:pPr>
            <w:r>
              <w:rPr>
                <w:rFonts w:hint="eastAsia" w:ascii="宋体" w:hAnsi="宋体" w:eastAsia="宋体"/>
                <w:bCs/>
                <w:lang w:val="zh-CN"/>
              </w:rPr>
              <w:t>技术评分（</w:t>
            </w:r>
            <w:r>
              <w:rPr>
                <w:rFonts w:hint="eastAsia" w:ascii="宋体" w:hAnsi="宋体" w:eastAsia="宋体"/>
                <w:bCs/>
                <w:lang w:val="en-US" w:eastAsia="zh-CN"/>
              </w:rPr>
              <w:t>47</w:t>
            </w:r>
            <w:r>
              <w:rPr>
                <w:rFonts w:hint="eastAsia" w:ascii="宋体" w:hAnsi="宋体" w:eastAsia="宋体"/>
                <w:bCs/>
                <w:lang w:val="zh-CN"/>
              </w:rPr>
              <w:t>分）</w:t>
            </w:r>
          </w:p>
        </w:tc>
        <w:tc>
          <w:tcPr>
            <w:tcW w:w="375" w:type="pct"/>
            <w:vMerge w:val="restart"/>
            <w:tcBorders>
              <w:left w:val="single" w:color="auto" w:sz="4" w:space="0"/>
              <w:right w:val="single" w:color="auto" w:sz="4" w:space="0"/>
            </w:tcBorders>
            <w:vAlign w:val="center"/>
          </w:tcPr>
          <w:p w14:paraId="4A941398">
            <w:pPr>
              <w:spacing w:line="360" w:lineRule="auto"/>
              <w:jc w:val="center"/>
              <w:rPr>
                <w:rFonts w:hint="eastAsia" w:ascii="宋体" w:hAnsi="宋体" w:eastAsia="宋体"/>
                <w:bCs/>
                <w:szCs w:val="21"/>
                <w:lang w:val="zh-CN" w:eastAsia="zh-CN"/>
              </w:rPr>
            </w:pPr>
            <w:r>
              <w:rPr>
                <w:rFonts w:hint="eastAsia" w:ascii="宋体" w:hAnsi="宋体" w:eastAsia="宋体"/>
                <w:bCs/>
                <w:szCs w:val="21"/>
                <w:lang w:val="zh-CN"/>
              </w:rPr>
              <w:t>技术</w:t>
            </w:r>
            <w:r>
              <w:rPr>
                <w:rFonts w:hint="eastAsia" w:ascii="宋体" w:hAnsi="宋体" w:eastAsia="宋体"/>
                <w:bCs/>
                <w:szCs w:val="21"/>
                <w:lang w:val="en-US" w:eastAsia="zh-CN"/>
              </w:rPr>
              <w:t>因素</w:t>
            </w:r>
          </w:p>
        </w:tc>
        <w:tc>
          <w:tcPr>
            <w:tcW w:w="319" w:type="pct"/>
            <w:tcBorders>
              <w:left w:val="single" w:color="auto" w:sz="4" w:space="0"/>
              <w:bottom w:val="single" w:color="auto" w:sz="4" w:space="0"/>
              <w:right w:val="single" w:color="auto" w:sz="4" w:space="0"/>
            </w:tcBorders>
            <w:vAlign w:val="center"/>
          </w:tcPr>
          <w:p w14:paraId="4196FE6B">
            <w:pPr>
              <w:spacing w:line="360" w:lineRule="auto"/>
              <w:jc w:val="center"/>
              <w:rPr>
                <w:rFonts w:hint="default" w:ascii="宋体" w:hAnsi="宋体" w:eastAsia="宋体"/>
                <w:bCs/>
                <w:szCs w:val="21"/>
                <w:lang w:val="en-US" w:eastAsia="zh-CN"/>
              </w:rPr>
            </w:pPr>
            <w:r>
              <w:rPr>
                <w:rFonts w:hint="eastAsia" w:ascii="宋体" w:hAnsi="宋体" w:eastAsia="宋体"/>
                <w:bCs/>
                <w:szCs w:val="21"/>
                <w:lang w:val="en-US" w:eastAsia="zh-CN"/>
              </w:rPr>
              <w:t>23分</w:t>
            </w:r>
          </w:p>
        </w:tc>
        <w:tc>
          <w:tcPr>
            <w:tcW w:w="3880" w:type="pct"/>
            <w:tcBorders>
              <w:top w:val="single" w:color="auto" w:sz="4" w:space="0"/>
              <w:left w:val="single" w:color="auto" w:sz="4" w:space="0"/>
              <w:bottom w:val="single" w:color="auto" w:sz="4" w:space="0"/>
              <w:right w:val="single" w:color="auto" w:sz="4" w:space="0"/>
            </w:tcBorders>
          </w:tcPr>
          <w:p w14:paraId="71EADD72">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产品1</w:t>
            </w:r>
            <w:r>
              <w:rPr>
                <w:rFonts w:hint="eastAsia" w:ascii="宋体" w:hAnsi="宋体" w:eastAsia="宋体" w:cs="宋体"/>
                <w:color w:val="auto"/>
                <w:szCs w:val="21"/>
                <w:highlight w:val="none"/>
                <w:lang w:val="en-US" w:eastAsia="zh-CN"/>
              </w:rPr>
              <w:t>低压电工作业安全技术实操设备</w:t>
            </w:r>
            <w:r>
              <w:rPr>
                <w:rFonts w:hint="eastAsia" w:ascii="宋体" w:hAnsi="宋体" w:eastAsia="宋体" w:cs="宋体"/>
                <w:bCs/>
                <w:szCs w:val="21"/>
                <w:lang w:val="en-US" w:eastAsia="zh-CN"/>
              </w:rPr>
              <w:t>：</w:t>
            </w:r>
          </w:p>
          <w:p w14:paraId="78EA6356">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提供第三方权威检测机构出具的特种作业低压电工作业实操设备检验报告复印件，检测报告需要包含低压电工作业实操考核设备参数相关内容并加盖公章。提供得3分，不提供不得分。</w:t>
            </w:r>
          </w:p>
          <w:p w14:paraId="68E12BA5">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安全保护：漏电动作电流≤30mA ，过流保护。提供产品相关截图并加盖公章。提供得3分，不提供不得分。</w:t>
            </w:r>
          </w:p>
          <w:p w14:paraId="53D50DDE">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设备具备保护元器件和操作者功能。元器件通过导线引到接线端子上，操作者接线时可以在端子上进行接线。提供产品相关截图并加盖公章。提供得3分，不提供不得分。</w:t>
            </w:r>
          </w:p>
          <w:p w14:paraId="4E414FFE">
            <w:pPr>
              <w:numPr>
                <w:ilvl w:val="0"/>
                <w:numId w:val="3"/>
              </w:numPr>
              <w:spacing w:line="360" w:lineRule="auto"/>
              <w:jc w:val="left"/>
              <w:rPr>
                <w:rFonts w:hint="eastAsia" w:ascii="宋体" w:hAnsi="宋体" w:eastAsia="宋体" w:cs="宋体"/>
                <w:bCs/>
                <w:szCs w:val="21"/>
                <w:lang w:val="en-US" w:eastAsia="zh-CN"/>
              </w:rPr>
            </w:pPr>
            <w:r>
              <w:rPr>
                <w:rFonts w:hint="default" w:ascii="宋体" w:hAnsi="宋体" w:eastAsia="宋体" w:cs="宋体"/>
                <w:bCs/>
                <w:szCs w:val="21"/>
                <w:lang w:val="en-US" w:eastAsia="zh-CN"/>
              </w:rPr>
              <w:t>自恢复保险丝（智能保护）</w:t>
            </w:r>
            <w:r>
              <w:rPr>
                <w:rFonts w:hint="eastAsia" w:ascii="宋体" w:hAnsi="宋体" w:eastAsia="宋体" w:cs="宋体"/>
                <w:bCs/>
                <w:szCs w:val="21"/>
                <w:lang w:val="en-US" w:eastAsia="zh-CN"/>
              </w:rPr>
              <w:t>,具备</w:t>
            </w:r>
            <w:r>
              <w:rPr>
                <w:rFonts w:hint="default" w:ascii="宋体" w:hAnsi="宋体" w:eastAsia="宋体" w:cs="宋体"/>
                <w:bCs/>
                <w:szCs w:val="21"/>
                <w:lang w:val="en-US" w:eastAsia="zh-CN"/>
              </w:rPr>
              <w:t>应用场景：交流测量区及关键回路集成 PPTC 自恢复保险丝，针对过载或瞬时短路（如接线错误、负载突变），可毫秒级响应，限制电流至安全范围；故障排除后自动恢复导通，无需人工更换保险丝。</w:t>
            </w:r>
            <w:r>
              <w:rPr>
                <w:rFonts w:hint="eastAsia" w:ascii="宋体" w:hAnsi="宋体" w:eastAsia="宋体" w:cs="宋体"/>
                <w:bCs/>
                <w:szCs w:val="21"/>
                <w:lang w:val="en-US" w:eastAsia="zh-CN"/>
              </w:rPr>
              <w:t>提供产品相关截图并加盖公章。提供得3分，不提供不得分。</w:t>
            </w:r>
          </w:p>
          <w:p w14:paraId="5AA05BD2">
            <w:pPr>
              <w:numPr>
                <w:ilvl w:val="0"/>
                <w:numId w:val="3"/>
              </w:numPr>
              <w:spacing w:line="360" w:lineRule="auto"/>
              <w:jc w:val="left"/>
              <w:rPr>
                <w:rFonts w:hint="eastAsia" w:ascii="宋体" w:hAnsi="宋体" w:eastAsia="宋体" w:cs="宋体"/>
                <w:bCs/>
                <w:szCs w:val="21"/>
                <w:lang w:val="en-US" w:eastAsia="zh-CN"/>
              </w:rPr>
            </w:pPr>
            <w:r>
              <w:rPr>
                <w:rFonts w:hint="default" w:ascii="宋体" w:hAnsi="宋体" w:eastAsia="宋体" w:cs="宋体"/>
                <w:bCs/>
                <w:szCs w:val="21"/>
                <w:lang w:val="en-US" w:eastAsia="zh-CN"/>
              </w:rPr>
              <w:t>为避免知识产权侵权风险以及证明产品的技术先进性、功能真实性，投标人供应的“低压电工作业安全技术实操设备、”</w:t>
            </w:r>
            <w:r>
              <w:rPr>
                <w:rFonts w:hint="eastAsia" w:ascii="宋体" w:hAnsi="宋体" w:eastAsia="宋体" w:cs="宋体"/>
                <w:bCs/>
                <w:szCs w:val="21"/>
                <w:lang w:val="en-US" w:eastAsia="zh-CN"/>
              </w:rPr>
              <w:t>可</w:t>
            </w:r>
            <w:r>
              <w:rPr>
                <w:rFonts w:hint="default" w:ascii="宋体" w:hAnsi="宋体" w:eastAsia="宋体" w:cs="宋体"/>
                <w:bCs/>
                <w:szCs w:val="21"/>
                <w:lang w:val="en-US" w:eastAsia="zh-CN"/>
              </w:rPr>
              <w:t>提供软件著作权证书复印件</w:t>
            </w:r>
            <w:r>
              <w:rPr>
                <w:rFonts w:hint="eastAsia" w:ascii="宋体" w:hAnsi="宋体" w:eastAsia="宋体" w:cs="宋体"/>
                <w:bCs/>
                <w:szCs w:val="21"/>
                <w:lang w:val="en-US" w:eastAsia="zh-CN"/>
              </w:rPr>
              <w:t>并加盖公章。提供得3分，不提供不得分。</w:t>
            </w:r>
          </w:p>
          <w:p w14:paraId="4F0A238D">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产品满足低压电工作业安全技术实际操作下列项目的培训及考试需求： </w:t>
            </w:r>
          </w:p>
          <w:p w14:paraId="71DDBD20">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（1）电动机单向连续运转接线（带点动控制）（K21） </w:t>
            </w:r>
          </w:p>
          <w:p w14:paraId="02F4BD9B">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（2）三相异步电动机正反转运行的接线及安全操作（K22） </w:t>
            </w:r>
          </w:p>
          <w:p w14:paraId="3EEF6B4D">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（3）单相电能表带照明灯的安装及接线（K23） </w:t>
            </w:r>
          </w:p>
          <w:p w14:paraId="1F81E326">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（4）带熔断器（断路器）、仪表、电流互感器的电动机运行控制电路接线（K24） </w:t>
            </w:r>
          </w:p>
          <w:p w14:paraId="25B754CE">
            <w:pPr>
              <w:numPr>
                <w:ilvl w:val="0"/>
                <w:numId w:val="0"/>
              </w:numPr>
              <w:spacing w:line="360" w:lineRule="auto"/>
              <w:ind w:firstLine="210" w:firstLineChars="100"/>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提供产品功能截图或检验报告并加盖公章。每满足1项得2分，最多得8分，不提供不得分。</w:t>
            </w:r>
          </w:p>
        </w:tc>
      </w:tr>
      <w:tr w14:paraId="3B0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424" w:type="pct"/>
            <w:vMerge w:val="continue"/>
            <w:tcBorders>
              <w:left w:val="single" w:color="auto" w:sz="4" w:space="0"/>
              <w:right w:val="single" w:color="auto" w:sz="4" w:space="0"/>
            </w:tcBorders>
            <w:vAlign w:val="center"/>
          </w:tcPr>
          <w:p w14:paraId="1C051139">
            <w:pPr>
              <w:pStyle w:val="105"/>
              <w:spacing w:line="360" w:lineRule="auto"/>
              <w:jc w:val="center"/>
              <w:rPr>
                <w:rFonts w:hint="eastAsia" w:ascii="宋体" w:hAnsi="宋体" w:eastAsia="宋体"/>
                <w:bCs/>
                <w:lang w:val="zh-CN"/>
              </w:rPr>
            </w:pPr>
          </w:p>
        </w:tc>
        <w:tc>
          <w:tcPr>
            <w:tcW w:w="375" w:type="pct"/>
            <w:vMerge w:val="continue"/>
            <w:tcBorders>
              <w:left w:val="single" w:color="auto" w:sz="4" w:space="0"/>
              <w:bottom w:val="single" w:color="auto" w:sz="4" w:space="0"/>
              <w:right w:val="single" w:color="auto" w:sz="4" w:space="0"/>
            </w:tcBorders>
            <w:vAlign w:val="center"/>
          </w:tcPr>
          <w:p w14:paraId="799E49EA">
            <w:pPr>
              <w:spacing w:line="360" w:lineRule="auto"/>
              <w:jc w:val="center"/>
              <w:rPr>
                <w:rFonts w:hint="eastAsia" w:ascii="宋体" w:hAnsi="宋体" w:eastAsia="宋体"/>
                <w:bCs/>
                <w:szCs w:val="21"/>
                <w:lang w:val="zh-CN"/>
              </w:rPr>
            </w:pPr>
          </w:p>
        </w:tc>
        <w:tc>
          <w:tcPr>
            <w:tcW w:w="319" w:type="pct"/>
            <w:tcBorders>
              <w:top w:val="single" w:color="auto" w:sz="4" w:space="0"/>
              <w:left w:val="single" w:color="auto" w:sz="4" w:space="0"/>
              <w:bottom w:val="single" w:color="auto" w:sz="4" w:space="0"/>
              <w:right w:val="single" w:color="auto" w:sz="4" w:space="0"/>
            </w:tcBorders>
            <w:vAlign w:val="center"/>
          </w:tcPr>
          <w:p w14:paraId="526EB780">
            <w:pPr>
              <w:spacing w:line="360" w:lineRule="auto"/>
              <w:jc w:val="center"/>
              <w:rPr>
                <w:rFonts w:hint="default" w:ascii="宋体" w:hAnsi="宋体" w:eastAsia="宋体"/>
                <w:bCs/>
                <w:szCs w:val="21"/>
                <w:lang w:val="en-US" w:eastAsia="zh-CN"/>
              </w:rPr>
            </w:pPr>
            <w:r>
              <w:rPr>
                <w:rFonts w:hint="eastAsia" w:ascii="宋体" w:hAnsi="宋体" w:eastAsia="宋体"/>
                <w:bCs/>
                <w:szCs w:val="21"/>
                <w:lang w:val="en-US" w:eastAsia="zh-CN"/>
              </w:rPr>
              <w:t>24分</w:t>
            </w:r>
          </w:p>
        </w:tc>
        <w:tc>
          <w:tcPr>
            <w:tcW w:w="3880" w:type="pct"/>
            <w:tcBorders>
              <w:top w:val="single" w:color="auto" w:sz="4" w:space="0"/>
              <w:left w:val="single" w:color="auto" w:sz="4" w:space="0"/>
              <w:bottom w:val="single" w:color="auto" w:sz="4" w:space="0"/>
              <w:right w:val="single" w:color="auto" w:sz="4" w:space="0"/>
            </w:tcBorders>
          </w:tcPr>
          <w:p w14:paraId="1F7D644B">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产品2</w:t>
            </w:r>
            <w:r>
              <w:rPr>
                <w:rFonts w:hint="eastAsia" w:ascii="宋体" w:hAnsi="宋体" w:eastAsia="宋体" w:cs="宋体"/>
                <w:color w:val="auto"/>
                <w:szCs w:val="21"/>
                <w:highlight w:val="none"/>
                <w:lang w:val="en-US" w:eastAsia="zh-CN"/>
              </w:rPr>
              <w:t>高压电工作业安全技术实操设备</w:t>
            </w:r>
            <w:r>
              <w:rPr>
                <w:rFonts w:hint="eastAsia" w:ascii="宋体" w:hAnsi="宋体" w:eastAsia="宋体" w:cs="宋体"/>
                <w:bCs/>
                <w:szCs w:val="21"/>
                <w:lang w:val="en-US" w:eastAsia="zh-CN"/>
              </w:rPr>
              <w:t>：</w:t>
            </w:r>
          </w:p>
          <w:p w14:paraId="0F6F1332">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高压电工作业安全技术实操设备提供第三方权威检测机构出具的特种作业高压电工作业实操设备检验报告复印件，检测报告需要包含高压电工作业实操考核设备参数相关内容并加盖公章。提供得3分，不提供不得分。</w:t>
            </w:r>
          </w:p>
          <w:p w14:paraId="7AB91B7A">
            <w:pPr>
              <w:numPr>
                <w:ilvl w:val="0"/>
                <w:numId w:val="4"/>
              </w:numPr>
              <w:spacing w:line="360" w:lineRule="auto"/>
              <w:jc w:val="left"/>
              <w:rPr>
                <w:rFonts w:hint="default" w:ascii="宋体" w:hAnsi="宋体" w:eastAsia="宋体" w:cs="宋体"/>
                <w:bCs/>
                <w:szCs w:val="21"/>
                <w:lang w:val="en-US" w:eastAsia="zh-CN"/>
              </w:rPr>
            </w:pPr>
            <w:r>
              <w:rPr>
                <w:rFonts w:hint="default" w:ascii="宋体" w:hAnsi="宋体" w:eastAsia="宋体" w:cs="宋体"/>
                <w:bCs/>
                <w:szCs w:val="21"/>
                <w:lang w:val="en-US" w:eastAsia="zh-CN"/>
              </w:rPr>
              <w:t>为避免知识产权侵权风险以及证明产品的技术先进性、功能真实性，投标人供应的“</w:t>
            </w:r>
            <w:r>
              <w:rPr>
                <w:rFonts w:hint="eastAsia" w:ascii="宋体" w:hAnsi="宋体" w:eastAsia="宋体" w:cs="宋体"/>
                <w:bCs/>
                <w:szCs w:val="21"/>
                <w:lang w:val="en-US" w:eastAsia="zh-CN"/>
              </w:rPr>
              <w:t>高</w:t>
            </w:r>
            <w:r>
              <w:rPr>
                <w:rFonts w:hint="default" w:ascii="宋体" w:hAnsi="宋体" w:eastAsia="宋体" w:cs="宋体"/>
                <w:bCs/>
                <w:szCs w:val="21"/>
                <w:lang w:val="en-US" w:eastAsia="zh-CN"/>
              </w:rPr>
              <w:t>压电工作业安全技术实操设备、”</w:t>
            </w:r>
            <w:r>
              <w:rPr>
                <w:rFonts w:hint="eastAsia" w:ascii="宋体" w:hAnsi="宋体" w:eastAsia="宋体" w:cs="宋体"/>
                <w:bCs/>
                <w:szCs w:val="21"/>
                <w:lang w:val="en-US" w:eastAsia="zh-CN"/>
              </w:rPr>
              <w:t>可</w:t>
            </w:r>
            <w:r>
              <w:rPr>
                <w:rFonts w:hint="default" w:ascii="宋体" w:hAnsi="宋体" w:eastAsia="宋体" w:cs="宋体"/>
                <w:bCs/>
                <w:szCs w:val="21"/>
                <w:lang w:val="en-US" w:eastAsia="zh-CN"/>
              </w:rPr>
              <w:t>提供软件著作权证书复印件并加盖公章。提供得3分，不提供不得分。</w:t>
            </w:r>
          </w:p>
          <w:p w14:paraId="65F4EC06">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w:t>
            </w:r>
            <w:r>
              <w:rPr>
                <w:rFonts w:hint="default" w:ascii="宋体" w:hAnsi="宋体" w:eastAsia="宋体" w:cs="宋体"/>
                <w:bCs/>
                <w:szCs w:val="21"/>
                <w:lang w:val="en-US" w:eastAsia="zh-CN"/>
              </w:rPr>
              <w:t>安全保护：漏电动作电流≤30mA 过流保护、熔断器保护</w:t>
            </w:r>
            <w:r>
              <w:rPr>
                <w:rFonts w:hint="eastAsia" w:ascii="宋体" w:hAnsi="宋体" w:eastAsia="宋体" w:cs="宋体"/>
                <w:bCs/>
                <w:szCs w:val="21"/>
                <w:lang w:val="en-US" w:eastAsia="zh-CN"/>
              </w:rPr>
              <w:t>；提供产品相关截图并加盖公章。提供得3分，不提供不得分。</w:t>
            </w:r>
          </w:p>
          <w:p w14:paraId="17DA1D64">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K11仪器仪表测量台设备支持扩展功能或开发新实训，操作内容具有典型性和实用性，接触电压电压36V以下，能确保操作者的人身安全。提供产品相关功能截图并加盖公章。提供得3分，不提供不得分。</w:t>
            </w:r>
          </w:p>
          <w:p w14:paraId="7E363340">
            <w:pPr>
              <w:numPr>
                <w:ilvl w:val="0"/>
                <w:numId w:val="4"/>
              </w:numPr>
              <w:spacing w:line="360" w:lineRule="auto"/>
              <w:jc w:val="left"/>
              <w:rPr>
                <w:rFonts w:hint="eastAsia"/>
                <w:lang w:val="en-US" w:eastAsia="zh-CN"/>
              </w:rPr>
            </w:pPr>
            <w:r>
              <w:rPr>
                <w:rFonts w:hint="eastAsia" w:ascii="宋体" w:hAnsi="宋体" w:eastAsia="宋体" w:cs="宋体"/>
                <w:bCs/>
                <w:szCs w:val="21"/>
                <w:lang w:val="en-US" w:eastAsia="zh-CN"/>
              </w:rPr>
              <w:t>K11仪器仪表测量台支持交直流0－36电压可调节，接电阻测量区等，并可测量负载电流值及LED灯包亮度变化，通过可调电阻及功率电阻各类电气系统,并可满足低压电工安全技术实际操作考试标准要求。提供产品相关功能截图并加盖公章。提供得3分，不提供不得分。</w:t>
            </w:r>
          </w:p>
          <w:p w14:paraId="19ACF350">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K11仪器仪表测量台设备支持</w:t>
            </w:r>
            <w:r>
              <w:rPr>
                <w:rFonts w:hint="default" w:ascii="宋体" w:hAnsi="宋体" w:eastAsia="宋体" w:cs="宋体"/>
                <w:bCs/>
                <w:szCs w:val="21"/>
                <w:lang w:val="en-US" w:eastAsia="zh-CN"/>
              </w:rPr>
              <w:t>接地电阻测量区，功率电阻测量区，交直电压测量区</w:t>
            </w:r>
            <w:r>
              <w:rPr>
                <w:rFonts w:hint="eastAsia" w:ascii="宋体" w:hAnsi="宋体" w:eastAsia="宋体" w:cs="宋体"/>
                <w:bCs/>
                <w:szCs w:val="21"/>
                <w:lang w:val="en-US" w:eastAsia="zh-CN"/>
              </w:rPr>
              <w:t>；配备K11实操面板。提供产品相关功能截图并加盖公章。提供得3分，不提供不得分。</w:t>
            </w:r>
          </w:p>
          <w:p w14:paraId="5647ABE1">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w:t>
            </w:r>
            <w:r>
              <w:rPr>
                <w:rFonts w:hint="eastAsia" w:ascii="宋体" w:hAnsi="宋体" w:eastAsia="宋体" w:cs="宋体"/>
                <w:bCs/>
                <w:kern w:val="2"/>
                <w:sz w:val="21"/>
                <w:szCs w:val="21"/>
                <w:lang w:val="en-US" w:eastAsia="zh-CN" w:bidi="ar-SA"/>
              </w:rPr>
              <w:t>低压交流电源：输出3V、6V、12V、24V、36V低压交流电源；</w:t>
            </w:r>
            <w:r>
              <w:rPr>
                <w:rFonts w:hint="eastAsia" w:ascii="宋体" w:hAnsi="宋体" w:eastAsia="宋体" w:cs="宋体"/>
                <w:bCs/>
                <w:szCs w:val="21"/>
                <w:lang w:val="en-US" w:eastAsia="zh-CN"/>
              </w:rPr>
              <w:t>提供产品相关功能截图并加盖公章。提供得3分，不提供不得分。</w:t>
            </w:r>
          </w:p>
          <w:p w14:paraId="2626410D">
            <w:pPr>
              <w:numPr>
                <w:ilvl w:val="0"/>
                <w:numId w:val="4"/>
              </w:numPr>
              <w:spacing w:line="360" w:lineRule="auto"/>
              <w:jc w:val="left"/>
              <w:rPr>
                <w:rFonts w:hint="default"/>
                <w:lang w:val="en-US" w:eastAsia="zh-CN"/>
              </w:rPr>
            </w:pPr>
            <w:r>
              <w:rPr>
                <w:rFonts w:hint="eastAsia" w:ascii="宋体" w:hAnsi="宋体" w:eastAsia="宋体" w:cs="宋体"/>
                <w:bCs/>
                <w:szCs w:val="21"/>
                <w:lang w:val="en-US" w:eastAsia="zh-CN"/>
              </w:rPr>
              <w:t>GGD型固定式低压柜</w:t>
            </w:r>
            <w:bookmarkStart w:id="85" w:name="OLE_LINK1"/>
            <w:r>
              <w:rPr>
                <w:rFonts w:hint="eastAsia" w:ascii="宋体" w:hAnsi="宋体" w:eastAsia="宋体" w:cs="宋体"/>
                <w:bCs/>
                <w:szCs w:val="21"/>
                <w:lang w:val="en-US" w:eastAsia="zh-CN"/>
              </w:rPr>
              <w:t>符合现行标准</w:t>
            </w:r>
            <w:r>
              <w:rPr>
                <w:rFonts w:hint="eastAsia" w:ascii="宋体" w:hAnsi="宋体" w:eastAsia="宋体" w:cs="宋体"/>
                <w:bCs/>
                <w:szCs w:val="21"/>
                <w:lang w:val="en-US" w:eastAsia="zh-CN"/>
              </w:rPr>
              <w:fldChar w:fldCharType="begin"/>
            </w:r>
            <w:r>
              <w:rPr>
                <w:rFonts w:hint="eastAsia" w:ascii="宋体" w:hAnsi="宋体" w:eastAsia="宋体" w:cs="宋体"/>
                <w:bCs/>
                <w:szCs w:val="21"/>
                <w:lang w:val="en-US" w:eastAsia="zh-CN"/>
              </w:rPr>
              <w:instrText xml:space="preserve"> HYPERLINK "javascript:void(0)" </w:instrText>
            </w:r>
            <w:r>
              <w:rPr>
                <w:rFonts w:hint="eastAsia" w:ascii="宋体" w:hAnsi="宋体" w:eastAsia="宋体" w:cs="宋体"/>
                <w:bCs/>
                <w:szCs w:val="21"/>
                <w:lang w:val="en-US" w:eastAsia="zh-CN"/>
              </w:rPr>
              <w:fldChar w:fldCharType="separate"/>
            </w:r>
            <w:r>
              <w:rPr>
                <w:rFonts w:hint="eastAsia" w:ascii="宋体" w:hAnsi="宋体" w:eastAsia="宋体" w:cs="宋体"/>
                <w:bCs/>
                <w:szCs w:val="21"/>
                <w:lang w:val="en-US" w:eastAsia="zh-CN"/>
              </w:rPr>
              <w:t>GB/T 7251</w:t>
            </w:r>
            <w:r>
              <w:rPr>
                <w:rFonts w:hint="eastAsia" w:ascii="宋体" w:hAnsi="宋体" w:eastAsia="宋体" w:cs="宋体"/>
                <w:bCs/>
                <w:szCs w:val="21"/>
                <w:lang w:val="en-US" w:eastAsia="zh-CN"/>
              </w:rPr>
              <w:fldChar w:fldCharType="end"/>
            </w:r>
            <w:r>
              <w:rPr>
                <w:rFonts w:hint="eastAsia" w:ascii="宋体" w:hAnsi="宋体" w:eastAsia="宋体" w:cs="宋体"/>
                <w:bCs/>
                <w:szCs w:val="21"/>
                <w:lang w:val="en-US" w:eastAsia="zh-CN"/>
              </w:rPr>
              <w:t>《</w:t>
            </w:r>
            <w:r>
              <w:rPr>
                <w:rFonts w:hint="eastAsia" w:ascii="宋体" w:hAnsi="宋体" w:eastAsia="宋体" w:cs="宋体"/>
                <w:bCs/>
                <w:szCs w:val="21"/>
                <w:lang w:val="en-US" w:eastAsia="zh-CN"/>
              </w:rPr>
              <w:fldChar w:fldCharType="begin"/>
            </w:r>
            <w:r>
              <w:rPr>
                <w:rFonts w:hint="eastAsia" w:ascii="宋体" w:hAnsi="宋体" w:eastAsia="宋体" w:cs="宋体"/>
                <w:bCs/>
                <w:szCs w:val="21"/>
                <w:lang w:val="en-US" w:eastAsia="zh-CN"/>
              </w:rPr>
              <w:instrText xml:space="preserve"> HYPERLINK "javascript:void(0)" </w:instrText>
            </w:r>
            <w:r>
              <w:rPr>
                <w:rFonts w:hint="eastAsia" w:ascii="宋体" w:hAnsi="宋体" w:eastAsia="宋体" w:cs="宋体"/>
                <w:bCs/>
                <w:szCs w:val="21"/>
                <w:lang w:val="en-US" w:eastAsia="zh-CN"/>
              </w:rPr>
              <w:fldChar w:fldCharType="separate"/>
            </w:r>
            <w:r>
              <w:rPr>
                <w:rFonts w:hint="eastAsia" w:ascii="宋体" w:hAnsi="宋体" w:eastAsia="宋体" w:cs="宋体"/>
                <w:bCs/>
                <w:szCs w:val="21"/>
                <w:lang w:val="en-US" w:eastAsia="zh-CN"/>
              </w:rPr>
              <w:t>低压成套开关设备和控制设备</w:t>
            </w:r>
            <w:r>
              <w:rPr>
                <w:rFonts w:hint="eastAsia" w:ascii="宋体" w:hAnsi="宋体" w:eastAsia="宋体" w:cs="宋体"/>
                <w:bCs/>
                <w:szCs w:val="21"/>
                <w:lang w:val="en-US" w:eastAsia="zh-CN"/>
              </w:rPr>
              <w:fldChar w:fldCharType="end"/>
            </w:r>
            <w:r>
              <w:rPr>
                <w:rFonts w:hint="eastAsia" w:ascii="宋体" w:hAnsi="宋体" w:eastAsia="宋体" w:cs="宋体"/>
                <w:bCs/>
                <w:szCs w:val="21"/>
                <w:lang w:val="en-US" w:eastAsia="zh-CN"/>
              </w:rPr>
              <w:t>》相应部分的要求</w:t>
            </w:r>
            <w:bookmarkEnd w:id="85"/>
            <w:r>
              <w:rPr>
                <w:rFonts w:hint="eastAsia" w:ascii="宋体" w:hAnsi="宋体" w:eastAsia="宋体" w:cs="宋体"/>
                <w:bCs/>
                <w:szCs w:val="21"/>
                <w:lang w:val="en-US" w:eastAsia="zh-CN"/>
              </w:rPr>
              <w:t>。提供产品相关功能截图或者检验报告并加盖公章。提供得3分，不提供不得分。</w:t>
            </w:r>
          </w:p>
        </w:tc>
      </w:tr>
      <w:tr w14:paraId="5FA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restart"/>
            <w:tcBorders>
              <w:top w:val="single" w:color="auto" w:sz="4" w:space="0"/>
              <w:left w:val="single" w:color="auto" w:sz="4" w:space="0"/>
              <w:right w:val="single" w:color="auto" w:sz="4" w:space="0"/>
            </w:tcBorders>
            <w:vAlign w:val="center"/>
          </w:tcPr>
          <w:p w14:paraId="52CC5183">
            <w:pPr>
              <w:snapToGrid w:val="0"/>
              <w:spacing w:line="360" w:lineRule="auto"/>
              <w:ind w:left="119" w:right="119"/>
              <w:jc w:val="center"/>
              <w:rPr>
                <w:rFonts w:asciiTheme="minorEastAsia" w:hAnsiTheme="minorEastAsia" w:eastAsiaTheme="minorEastAsia"/>
                <w:szCs w:val="21"/>
              </w:rPr>
            </w:pPr>
            <w:r>
              <w:rPr>
                <w:rFonts w:hint="eastAsia" w:ascii="宋体" w:hAnsi="宋体" w:eastAsia="宋体"/>
                <w:bCs/>
                <w:szCs w:val="21"/>
                <w:lang w:val="zh-CN"/>
              </w:rPr>
              <w:t>商务评分(</w:t>
            </w:r>
            <w:r>
              <w:rPr>
                <w:rFonts w:hint="eastAsia" w:ascii="宋体" w:hAnsi="宋体" w:eastAsia="宋体"/>
                <w:bCs/>
                <w:szCs w:val="21"/>
              </w:rPr>
              <w:t>2</w:t>
            </w:r>
            <w:r>
              <w:rPr>
                <w:rFonts w:hint="eastAsia" w:ascii="宋体" w:hAnsi="宋体" w:eastAsia="宋体"/>
                <w:bCs/>
                <w:szCs w:val="21"/>
                <w:lang w:val="en-US" w:eastAsia="zh-CN"/>
              </w:rPr>
              <w:t>3</w:t>
            </w:r>
            <w:r>
              <w:rPr>
                <w:rFonts w:hint="eastAsia" w:ascii="宋体" w:hAnsi="宋体" w:eastAsia="宋体"/>
                <w:bCs/>
                <w:szCs w:val="21"/>
                <w:lang w:val="zh-CN"/>
              </w:rPr>
              <w:t>分）</w:t>
            </w:r>
          </w:p>
        </w:tc>
        <w:tc>
          <w:tcPr>
            <w:tcW w:w="375" w:type="pct"/>
            <w:tcBorders>
              <w:top w:val="single" w:color="auto" w:sz="4" w:space="0"/>
              <w:left w:val="single" w:color="auto" w:sz="4" w:space="0"/>
              <w:bottom w:val="single" w:color="auto" w:sz="4" w:space="0"/>
              <w:right w:val="single" w:color="auto" w:sz="4" w:space="0"/>
            </w:tcBorders>
            <w:vAlign w:val="center"/>
          </w:tcPr>
          <w:p w14:paraId="5D52AEAC">
            <w:pPr>
              <w:spacing w:line="360" w:lineRule="auto"/>
              <w:jc w:val="center"/>
              <w:rPr>
                <w:rFonts w:ascii="宋体" w:hAnsi="宋体" w:eastAsia="宋体"/>
                <w:bCs/>
                <w:szCs w:val="21"/>
                <w:lang w:val="zh-CN"/>
              </w:rPr>
            </w:pPr>
            <w:r>
              <w:rPr>
                <w:rFonts w:hint="eastAsia" w:ascii="宋体" w:hAnsi="宋体" w:eastAsia="宋体"/>
                <w:bCs/>
                <w:szCs w:val="21"/>
                <w:lang w:val="zh-CN"/>
              </w:rPr>
              <w:t>类似</w:t>
            </w:r>
          </w:p>
          <w:p w14:paraId="4EB0C0C0">
            <w:pPr>
              <w:spacing w:line="360" w:lineRule="auto"/>
              <w:jc w:val="center"/>
              <w:rPr>
                <w:rFonts w:asciiTheme="minorEastAsia" w:hAnsiTheme="minorEastAsia" w:eastAsiaTheme="minorEastAsia"/>
                <w:szCs w:val="21"/>
              </w:rPr>
            </w:pPr>
            <w:r>
              <w:rPr>
                <w:rFonts w:hint="eastAsia" w:ascii="宋体" w:hAnsi="宋体" w:eastAsia="宋体"/>
                <w:bCs/>
                <w:szCs w:val="21"/>
                <w:lang w:val="zh-CN"/>
              </w:rPr>
              <w:t>业绩</w:t>
            </w:r>
          </w:p>
        </w:tc>
        <w:tc>
          <w:tcPr>
            <w:tcW w:w="319" w:type="pct"/>
            <w:tcBorders>
              <w:top w:val="single" w:color="auto" w:sz="4" w:space="0"/>
              <w:left w:val="single" w:color="auto" w:sz="4" w:space="0"/>
              <w:bottom w:val="single" w:color="auto" w:sz="4" w:space="0"/>
              <w:right w:val="single" w:color="auto" w:sz="4" w:space="0"/>
            </w:tcBorders>
            <w:vAlign w:val="center"/>
          </w:tcPr>
          <w:p w14:paraId="744B32BA">
            <w:pPr>
              <w:spacing w:line="360" w:lineRule="auto"/>
              <w:jc w:val="center"/>
              <w:rPr>
                <w:rFonts w:asciiTheme="minorEastAsia" w:hAnsiTheme="minorEastAsia" w:eastAsiaTheme="minorEastAsia"/>
                <w:szCs w:val="21"/>
              </w:rPr>
            </w:pPr>
            <w:r>
              <w:rPr>
                <w:rFonts w:hint="eastAsia" w:ascii="宋体" w:hAnsi="宋体" w:eastAsia="宋体"/>
                <w:bCs/>
                <w:szCs w:val="21"/>
              </w:rPr>
              <w:t>3</w:t>
            </w:r>
            <w:r>
              <w:rPr>
                <w:rFonts w:hint="eastAsia" w:ascii="宋体" w:hAnsi="宋体" w:eastAsia="宋体"/>
                <w:bCs/>
                <w:szCs w:val="21"/>
                <w:lang w:val="zh-CN"/>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3B847A99">
            <w:pPr>
              <w:spacing w:line="360" w:lineRule="auto"/>
              <w:jc w:val="left"/>
              <w:rPr>
                <w:rFonts w:asciiTheme="minorEastAsia" w:hAnsiTheme="minorEastAsia" w:eastAsiaTheme="minorEastAsia"/>
                <w:szCs w:val="21"/>
              </w:rPr>
            </w:pPr>
            <w:r>
              <w:rPr>
                <w:rFonts w:hint="eastAsia" w:ascii="宋体" w:hAnsi="宋体" w:eastAsia="宋体"/>
                <w:bCs/>
                <w:szCs w:val="21"/>
                <w:highlight w:val="none"/>
                <w:lang w:val="en-US" w:eastAsia="zh-CN"/>
              </w:rPr>
              <w:t>投标人或制造商</w:t>
            </w:r>
            <w:r>
              <w:rPr>
                <w:rFonts w:hint="eastAsia" w:ascii="宋体" w:hAnsi="宋体" w:eastAsia="宋体"/>
                <w:bCs/>
                <w:szCs w:val="21"/>
                <w:lang w:val="zh-CN"/>
              </w:rPr>
              <w:t>近三年(自招标截止之日前 36 个月），以签订合同协议书时间为准) ，提供近三年同类产品（项目）类似业绩，每提供一项业绩得</w:t>
            </w:r>
            <w:r>
              <w:rPr>
                <w:rFonts w:hint="eastAsia" w:ascii="宋体" w:hAnsi="宋体" w:eastAsia="宋体"/>
                <w:bCs/>
                <w:szCs w:val="21"/>
              </w:rPr>
              <w:t>1</w:t>
            </w:r>
            <w:r>
              <w:rPr>
                <w:rFonts w:hint="eastAsia" w:ascii="宋体" w:hAnsi="宋体" w:eastAsia="宋体"/>
                <w:bCs/>
                <w:szCs w:val="21"/>
                <w:lang w:val="zh-CN"/>
              </w:rPr>
              <w:t>分，本项满分为</w:t>
            </w:r>
            <w:r>
              <w:rPr>
                <w:rFonts w:hint="eastAsia" w:ascii="宋体" w:hAnsi="宋体" w:eastAsia="宋体"/>
                <w:bCs/>
                <w:szCs w:val="21"/>
              </w:rPr>
              <w:t>3</w:t>
            </w:r>
            <w:r>
              <w:rPr>
                <w:rFonts w:hint="eastAsia" w:ascii="宋体" w:hAnsi="宋体" w:eastAsia="宋体"/>
                <w:bCs/>
                <w:szCs w:val="21"/>
                <w:lang w:val="zh-CN"/>
              </w:rPr>
              <w:t>分。（提供中标通知书或合同扫描件复印件加盖公章）不提供不得分。</w:t>
            </w:r>
          </w:p>
        </w:tc>
      </w:tr>
      <w:tr w14:paraId="3601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5D7E5F7E">
            <w:pPr>
              <w:snapToGrid w:val="0"/>
              <w:spacing w:line="360" w:lineRule="auto"/>
              <w:ind w:left="119" w:right="119"/>
              <w:jc w:val="center"/>
              <w:rPr>
                <w:rFonts w:asciiTheme="minorEastAsia" w:hAnsiTheme="minorEastAsia" w:eastAsiaTheme="minorEastAsia"/>
                <w:szCs w:val="21"/>
              </w:rPr>
            </w:pPr>
          </w:p>
        </w:tc>
        <w:tc>
          <w:tcPr>
            <w:tcW w:w="375" w:type="pct"/>
            <w:tcBorders>
              <w:top w:val="single" w:color="auto" w:sz="4" w:space="0"/>
              <w:left w:val="single" w:color="auto" w:sz="4" w:space="0"/>
              <w:bottom w:val="single" w:color="auto" w:sz="4" w:space="0"/>
              <w:right w:val="single" w:color="auto" w:sz="4" w:space="0"/>
            </w:tcBorders>
            <w:vAlign w:val="center"/>
          </w:tcPr>
          <w:p w14:paraId="56D72C74">
            <w:pPr>
              <w:spacing w:line="360" w:lineRule="auto"/>
              <w:jc w:val="center"/>
              <w:rPr>
                <w:rFonts w:ascii="宋体" w:hAnsi="宋体" w:eastAsia="宋体"/>
                <w:bCs/>
                <w:szCs w:val="21"/>
                <w:lang w:val="zh-CN"/>
              </w:rPr>
            </w:pPr>
            <w:r>
              <w:rPr>
                <w:rFonts w:hint="eastAsia" w:ascii="宋体" w:hAnsi="宋体" w:eastAsia="宋体"/>
                <w:bCs/>
                <w:szCs w:val="21"/>
                <w:lang w:val="zh-CN"/>
              </w:rPr>
              <w:t>企业</w:t>
            </w:r>
          </w:p>
          <w:p w14:paraId="7ACF4B00">
            <w:pPr>
              <w:spacing w:line="360" w:lineRule="auto"/>
              <w:jc w:val="center"/>
              <w:rPr>
                <w:rFonts w:asciiTheme="minorEastAsia" w:hAnsiTheme="minorEastAsia" w:eastAsiaTheme="minorEastAsia"/>
                <w:szCs w:val="21"/>
              </w:rPr>
            </w:pPr>
            <w:r>
              <w:rPr>
                <w:rFonts w:hint="eastAsia" w:ascii="宋体" w:hAnsi="宋体" w:eastAsia="宋体"/>
                <w:bCs/>
                <w:szCs w:val="21"/>
                <w:lang w:val="zh-CN"/>
              </w:rPr>
              <w:t>信誉</w:t>
            </w:r>
          </w:p>
        </w:tc>
        <w:tc>
          <w:tcPr>
            <w:tcW w:w="319" w:type="pct"/>
            <w:tcBorders>
              <w:top w:val="single" w:color="auto" w:sz="4" w:space="0"/>
              <w:left w:val="single" w:color="auto" w:sz="4" w:space="0"/>
              <w:bottom w:val="single" w:color="auto" w:sz="4" w:space="0"/>
              <w:right w:val="single" w:color="auto" w:sz="4" w:space="0"/>
            </w:tcBorders>
            <w:vAlign w:val="center"/>
          </w:tcPr>
          <w:p w14:paraId="0D9B0E5C">
            <w:pPr>
              <w:spacing w:line="360" w:lineRule="auto"/>
              <w:jc w:val="center"/>
              <w:rPr>
                <w:rFonts w:asciiTheme="minorEastAsia" w:hAnsiTheme="minorEastAsia" w:eastAsiaTheme="minorEastAsia"/>
                <w:szCs w:val="21"/>
              </w:rPr>
            </w:pPr>
            <w:r>
              <w:rPr>
                <w:rFonts w:hint="eastAsia" w:ascii="宋体" w:hAnsi="宋体" w:eastAsia="宋体"/>
                <w:bCs/>
                <w:szCs w:val="21"/>
                <w:lang w:val="zh-CN"/>
              </w:rPr>
              <w:t>3分</w:t>
            </w:r>
          </w:p>
        </w:tc>
        <w:tc>
          <w:tcPr>
            <w:tcW w:w="3880" w:type="pct"/>
            <w:tcBorders>
              <w:top w:val="single" w:color="auto" w:sz="4" w:space="0"/>
              <w:left w:val="single" w:color="auto" w:sz="4" w:space="0"/>
              <w:bottom w:val="single" w:color="auto" w:sz="4" w:space="0"/>
              <w:right w:val="single" w:color="auto" w:sz="4" w:space="0"/>
            </w:tcBorders>
            <w:vAlign w:val="center"/>
          </w:tcPr>
          <w:p w14:paraId="11C255A5">
            <w:pPr>
              <w:spacing w:line="360" w:lineRule="auto"/>
              <w:jc w:val="left"/>
              <w:rPr>
                <w:rFonts w:ascii="宋体" w:hAnsi="宋体" w:eastAsia="宋体"/>
                <w:bCs/>
                <w:color w:val="auto"/>
                <w:szCs w:val="21"/>
                <w:lang w:val="zh-CN"/>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ISO9001质量管理体系认证证书得1分；</w:t>
            </w:r>
          </w:p>
          <w:p w14:paraId="77AD595A">
            <w:pPr>
              <w:spacing w:line="360" w:lineRule="auto"/>
              <w:jc w:val="left"/>
              <w:rPr>
                <w:rFonts w:ascii="宋体" w:hAnsi="宋体" w:eastAsia="宋体"/>
                <w:bCs/>
                <w:color w:val="auto"/>
                <w:szCs w:val="21"/>
                <w:lang w:val="zh-CN"/>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ISO45001职业健康安全管理体系认证证书得1分；</w:t>
            </w:r>
          </w:p>
          <w:p w14:paraId="07AE3BD1">
            <w:pPr>
              <w:spacing w:line="360" w:lineRule="auto"/>
              <w:jc w:val="left"/>
              <w:rPr>
                <w:rFonts w:ascii="宋体" w:hAnsi="宋体" w:eastAsia="宋体"/>
                <w:bCs/>
                <w:color w:val="auto"/>
                <w:szCs w:val="21"/>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ISO14001环境管理体系认证证书得1分。</w:t>
            </w:r>
          </w:p>
          <w:p w14:paraId="15052201">
            <w:pPr>
              <w:spacing w:line="360" w:lineRule="auto"/>
              <w:jc w:val="left"/>
              <w:rPr>
                <w:rFonts w:asciiTheme="minorEastAsia" w:hAnsiTheme="minorEastAsia" w:eastAsiaTheme="minorEastAsia"/>
                <w:color w:val="auto"/>
                <w:szCs w:val="21"/>
              </w:rPr>
            </w:pPr>
            <w:r>
              <w:rPr>
                <w:rFonts w:hint="eastAsia" w:ascii="宋体" w:hAnsi="宋体" w:eastAsia="宋体"/>
                <w:bCs/>
                <w:color w:val="auto"/>
                <w:szCs w:val="21"/>
                <w:lang w:val="zh-CN"/>
              </w:rPr>
              <w:t>（其中证书认证范围必须包含特种作业实操考核实训设备。并须提供有效期内的认证证书复印件及全国认证认可信息公共服务平台（http://cx.cnca.cn/）网站信息截图，并加盖投标人</w:t>
            </w:r>
            <w:r>
              <w:rPr>
                <w:rFonts w:hint="eastAsia" w:ascii="宋体" w:hAnsi="宋体" w:eastAsia="宋体"/>
                <w:bCs/>
                <w:color w:val="auto"/>
                <w:szCs w:val="21"/>
                <w:lang w:val="en-US" w:eastAsia="zh-CN"/>
              </w:rPr>
              <w:t>或制造商</w:t>
            </w:r>
            <w:r>
              <w:rPr>
                <w:rFonts w:hint="eastAsia" w:ascii="宋体" w:hAnsi="宋体" w:eastAsia="宋体"/>
                <w:bCs/>
                <w:color w:val="auto"/>
                <w:szCs w:val="21"/>
                <w:lang w:val="zh-CN"/>
              </w:rPr>
              <w:t>公章）</w:t>
            </w:r>
          </w:p>
        </w:tc>
      </w:tr>
      <w:tr w14:paraId="6258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4026E940">
            <w:pPr>
              <w:snapToGrid w:val="0"/>
              <w:spacing w:line="360" w:lineRule="auto"/>
              <w:ind w:left="119" w:right="119"/>
              <w:jc w:val="center"/>
              <w:rPr>
                <w:rFonts w:asciiTheme="minorEastAsia" w:hAnsiTheme="minorEastAsia" w:eastAsiaTheme="minorEastAsia"/>
                <w:szCs w:val="21"/>
              </w:rPr>
            </w:pPr>
          </w:p>
        </w:tc>
        <w:tc>
          <w:tcPr>
            <w:tcW w:w="375" w:type="pct"/>
            <w:vMerge w:val="restart"/>
            <w:tcBorders>
              <w:top w:val="single" w:color="auto" w:sz="4" w:space="0"/>
              <w:left w:val="single" w:color="auto" w:sz="4" w:space="0"/>
              <w:bottom w:val="single" w:color="auto" w:sz="4" w:space="0"/>
              <w:right w:val="single" w:color="auto" w:sz="4" w:space="0"/>
            </w:tcBorders>
            <w:vAlign w:val="center"/>
          </w:tcPr>
          <w:p w14:paraId="7B3FA1A5">
            <w:pPr>
              <w:spacing w:line="360" w:lineRule="auto"/>
              <w:jc w:val="center"/>
              <w:rPr>
                <w:rFonts w:ascii="宋体" w:hAnsi="宋体" w:eastAsia="宋体"/>
                <w:bCs/>
                <w:szCs w:val="21"/>
                <w:lang w:eastAsia="en-US"/>
              </w:rPr>
            </w:pPr>
            <w:r>
              <w:rPr>
                <w:rFonts w:hint="eastAsia" w:ascii="宋体" w:hAnsi="宋体" w:eastAsia="宋体"/>
                <w:bCs/>
                <w:szCs w:val="21"/>
                <w:lang w:eastAsia="en-US"/>
              </w:rPr>
              <w:t>综合</w:t>
            </w:r>
          </w:p>
          <w:p w14:paraId="44719CBC">
            <w:pPr>
              <w:spacing w:line="360" w:lineRule="auto"/>
              <w:jc w:val="center"/>
              <w:rPr>
                <w:rFonts w:asciiTheme="minorEastAsia" w:hAnsiTheme="minorEastAsia" w:eastAsiaTheme="minorEastAsia"/>
                <w:szCs w:val="21"/>
              </w:rPr>
            </w:pPr>
            <w:r>
              <w:rPr>
                <w:rFonts w:hint="eastAsia" w:ascii="宋体" w:hAnsi="宋体" w:eastAsia="宋体"/>
                <w:bCs/>
                <w:szCs w:val="21"/>
                <w:lang w:eastAsia="en-US"/>
              </w:rPr>
              <w:t>实力</w:t>
            </w:r>
          </w:p>
        </w:tc>
        <w:tc>
          <w:tcPr>
            <w:tcW w:w="319" w:type="pct"/>
            <w:tcBorders>
              <w:top w:val="single" w:color="auto" w:sz="4" w:space="0"/>
              <w:left w:val="single" w:color="auto" w:sz="4" w:space="0"/>
              <w:bottom w:val="single" w:color="auto" w:sz="4" w:space="0"/>
              <w:right w:val="single" w:color="auto" w:sz="4" w:space="0"/>
            </w:tcBorders>
            <w:vAlign w:val="center"/>
          </w:tcPr>
          <w:p w14:paraId="7E93BA91">
            <w:pPr>
              <w:pStyle w:val="106"/>
              <w:widowControl/>
              <w:spacing w:line="360" w:lineRule="auto"/>
              <w:jc w:val="center"/>
              <w:rPr>
                <w:rFonts w:asciiTheme="minorEastAsia" w:hAnsiTheme="minorEastAsia" w:eastAsiaTheme="minorEastAsia"/>
              </w:rPr>
            </w:pPr>
            <w:r>
              <w:rPr>
                <w:rFonts w:hint="eastAsia" w:ascii="宋体" w:hAnsi="宋体" w:cs="宋体"/>
                <w:bCs/>
                <w:lang w:val="en-US" w:eastAsia="zh-CN"/>
              </w:rPr>
              <w:t>2</w:t>
            </w:r>
            <w:r>
              <w:rPr>
                <w:rFonts w:hint="eastAsia" w:ascii="宋体" w:hAnsi="宋体" w:cs="宋体"/>
                <w:bCs/>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6B400B98">
            <w:pPr>
              <w:pStyle w:val="106"/>
              <w:widowControl/>
              <w:spacing w:line="360" w:lineRule="auto"/>
              <w:rPr>
                <w:rFonts w:asciiTheme="minorEastAsia" w:hAnsiTheme="minorEastAsia" w:eastAsiaTheme="minorEastAsia"/>
                <w:color w:val="auto"/>
              </w:rPr>
            </w:pPr>
            <w:r>
              <w:rPr>
                <w:rFonts w:hint="eastAsia" w:ascii="宋体" w:hAnsi="宋体" w:cs="宋体"/>
                <w:bCs/>
                <w:color w:val="auto"/>
                <w:lang w:val="en-US" w:eastAsia="zh-CN"/>
              </w:rPr>
              <w:t>投标人或制造商</w:t>
            </w:r>
            <w:r>
              <w:rPr>
                <w:rFonts w:hint="eastAsia" w:ascii="宋体" w:hAnsi="宋体" w:cs="宋体"/>
                <w:bCs/>
                <w:color w:val="auto"/>
              </w:rPr>
              <w:t>具有高新技术企业认定证书得</w:t>
            </w:r>
            <w:r>
              <w:rPr>
                <w:rFonts w:hint="eastAsia" w:ascii="宋体" w:hAnsi="宋体" w:cs="宋体"/>
                <w:bCs/>
                <w:color w:val="auto"/>
                <w:lang w:val="en-US" w:eastAsia="zh-CN"/>
              </w:rPr>
              <w:t>2</w:t>
            </w:r>
            <w:r>
              <w:rPr>
                <w:rFonts w:hint="eastAsia" w:ascii="宋体" w:hAnsi="宋体" w:cs="宋体"/>
                <w:bCs/>
                <w:color w:val="auto"/>
              </w:rPr>
              <w:t>分，不提供不得分。（提供资质证书复印件并加盖投标人</w:t>
            </w:r>
            <w:r>
              <w:rPr>
                <w:rFonts w:hint="eastAsia" w:ascii="宋体" w:hAnsi="宋体" w:cs="宋体"/>
                <w:bCs/>
                <w:color w:val="auto"/>
                <w:lang w:val="en-US" w:eastAsia="zh-CN"/>
              </w:rPr>
              <w:t>或制造商</w:t>
            </w:r>
            <w:r>
              <w:rPr>
                <w:rFonts w:hint="eastAsia" w:ascii="宋体" w:hAnsi="宋体" w:cs="宋体"/>
                <w:bCs/>
                <w:color w:val="auto"/>
              </w:rPr>
              <w:t>公章）</w:t>
            </w:r>
          </w:p>
        </w:tc>
      </w:tr>
      <w:tr w14:paraId="08B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6B80B717">
            <w:pPr>
              <w:spacing w:line="360" w:lineRule="auto"/>
              <w:jc w:val="left"/>
              <w:rPr>
                <w:rFonts w:asciiTheme="minorEastAsia" w:hAnsiTheme="minorEastAsia" w:eastAsiaTheme="minorEastAsia"/>
                <w:szCs w:val="21"/>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14:paraId="3F714C2B">
            <w:pPr>
              <w:spacing w:line="360" w:lineRule="auto"/>
              <w:jc w:val="left"/>
              <w:rPr>
                <w:rFonts w:asciiTheme="minorEastAsia" w:hAnsiTheme="minorEastAsia" w:eastAsiaTheme="minorEastAsia"/>
                <w:szCs w:val="21"/>
              </w:rPr>
            </w:pPr>
          </w:p>
        </w:tc>
        <w:tc>
          <w:tcPr>
            <w:tcW w:w="319" w:type="pct"/>
            <w:tcBorders>
              <w:top w:val="single" w:color="auto" w:sz="4" w:space="0"/>
              <w:left w:val="single" w:color="auto" w:sz="4" w:space="0"/>
              <w:bottom w:val="single" w:color="auto" w:sz="4" w:space="0"/>
              <w:right w:val="single" w:color="auto" w:sz="4" w:space="0"/>
            </w:tcBorders>
            <w:vAlign w:val="center"/>
          </w:tcPr>
          <w:p w14:paraId="512DC7E2">
            <w:pPr>
              <w:pStyle w:val="93"/>
              <w:spacing w:line="360" w:lineRule="auto"/>
              <w:jc w:val="center"/>
              <w:rPr>
                <w:rFonts w:asciiTheme="minorEastAsia" w:hAnsiTheme="minorEastAsia" w:eastAsiaTheme="minorEastAsia"/>
                <w:sz w:val="21"/>
                <w:szCs w:val="21"/>
              </w:rPr>
            </w:pPr>
            <w:r>
              <w:rPr>
                <w:rFonts w:hint="eastAsia" w:cs="宋体"/>
                <w:bCs/>
                <w:sz w:val="21"/>
                <w:szCs w:val="21"/>
                <w:lang w:val="en-US" w:eastAsia="zh-CN"/>
              </w:rPr>
              <w:t>2</w:t>
            </w:r>
            <w:r>
              <w:rPr>
                <w:rFonts w:hint="eastAsia" w:cs="宋体"/>
                <w:bCs/>
                <w:sz w:val="21"/>
                <w:szCs w:val="21"/>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3AE6B81A">
            <w:pPr>
              <w:pStyle w:val="93"/>
              <w:spacing w:before="62" w:beforeLines="20" w:after="62" w:afterLines="20" w:line="360" w:lineRule="auto"/>
              <w:rPr>
                <w:rFonts w:asciiTheme="minorEastAsia" w:hAnsiTheme="minorEastAsia" w:eastAsiaTheme="minorEastAsia"/>
                <w:color w:val="auto"/>
                <w:sz w:val="21"/>
                <w:szCs w:val="21"/>
              </w:rPr>
            </w:pPr>
            <w:r>
              <w:rPr>
                <w:rFonts w:hint="eastAsia" w:cs="宋体"/>
                <w:bCs/>
                <w:color w:val="auto"/>
                <w:sz w:val="21"/>
                <w:szCs w:val="21"/>
                <w:lang w:val="en-US" w:eastAsia="zh-CN"/>
              </w:rPr>
              <w:t>投标人或制造商</w:t>
            </w:r>
            <w:r>
              <w:rPr>
                <w:rFonts w:hint="eastAsia" w:cs="宋体"/>
                <w:bCs/>
                <w:color w:val="auto"/>
                <w:sz w:val="21"/>
                <w:szCs w:val="21"/>
              </w:rPr>
              <w:t>具有ISO27001信息安全管理体系认证证书得</w:t>
            </w:r>
            <w:r>
              <w:rPr>
                <w:rFonts w:hint="eastAsia" w:cs="宋体"/>
                <w:bCs/>
                <w:color w:val="auto"/>
                <w:sz w:val="21"/>
                <w:szCs w:val="21"/>
                <w:lang w:val="en-US" w:eastAsia="zh-CN"/>
              </w:rPr>
              <w:t>2</w:t>
            </w:r>
            <w:r>
              <w:rPr>
                <w:rFonts w:hint="eastAsia" w:cs="宋体"/>
                <w:bCs/>
                <w:color w:val="auto"/>
                <w:sz w:val="21"/>
                <w:szCs w:val="21"/>
              </w:rPr>
              <w:t>分, 不提供不得分。（须提供有效期内的认证证书复印件及全国认证认可信息公共服务平台（http://cx.cnca.cn/）网站信息截图，并加盖投标人</w:t>
            </w:r>
            <w:r>
              <w:rPr>
                <w:rFonts w:hint="eastAsia" w:cs="宋体"/>
                <w:bCs/>
                <w:color w:val="auto"/>
                <w:sz w:val="21"/>
                <w:szCs w:val="21"/>
                <w:lang w:val="en-US" w:eastAsia="zh-CN"/>
              </w:rPr>
              <w:t>或制造商</w:t>
            </w:r>
            <w:r>
              <w:rPr>
                <w:rFonts w:hint="eastAsia" w:cs="宋体"/>
                <w:bCs/>
                <w:color w:val="auto"/>
                <w:sz w:val="21"/>
                <w:szCs w:val="21"/>
              </w:rPr>
              <w:t>公章）</w:t>
            </w:r>
          </w:p>
        </w:tc>
      </w:tr>
      <w:tr w14:paraId="631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036E07A3">
            <w:pPr>
              <w:spacing w:line="360" w:lineRule="auto"/>
              <w:jc w:val="left"/>
              <w:rPr>
                <w:rFonts w:asciiTheme="minorEastAsia" w:hAnsiTheme="minorEastAsia" w:eastAsiaTheme="minorEastAsia"/>
                <w:szCs w:val="21"/>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14:paraId="1872D898">
            <w:pPr>
              <w:spacing w:line="360" w:lineRule="auto"/>
              <w:jc w:val="left"/>
              <w:rPr>
                <w:rFonts w:asciiTheme="minorEastAsia" w:hAnsiTheme="minorEastAsia" w:eastAsiaTheme="minorEastAsia"/>
                <w:szCs w:val="21"/>
              </w:rPr>
            </w:pPr>
          </w:p>
        </w:tc>
        <w:tc>
          <w:tcPr>
            <w:tcW w:w="319" w:type="pct"/>
            <w:tcBorders>
              <w:top w:val="single" w:color="auto" w:sz="4" w:space="0"/>
              <w:left w:val="single" w:color="auto" w:sz="4" w:space="0"/>
              <w:bottom w:val="single" w:color="auto" w:sz="4" w:space="0"/>
              <w:right w:val="single" w:color="auto" w:sz="4" w:space="0"/>
            </w:tcBorders>
            <w:vAlign w:val="center"/>
          </w:tcPr>
          <w:p w14:paraId="25344846">
            <w:pPr>
              <w:pStyle w:val="93"/>
              <w:spacing w:line="360" w:lineRule="auto"/>
              <w:jc w:val="center"/>
              <w:rPr>
                <w:rFonts w:cs="宋体"/>
                <w:bCs/>
                <w:sz w:val="21"/>
                <w:szCs w:val="21"/>
              </w:rPr>
            </w:pPr>
            <w:r>
              <w:rPr>
                <w:rFonts w:hint="eastAsia" w:cs="宋体"/>
                <w:bCs/>
                <w:sz w:val="21"/>
                <w:szCs w:val="21"/>
                <w:lang w:val="en-US" w:eastAsia="zh-CN"/>
              </w:rPr>
              <w:t>2</w:t>
            </w:r>
            <w:r>
              <w:rPr>
                <w:rFonts w:hint="eastAsia" w:cs="宋体"/>
                <w:bCs/>
                <w:sz w:val="21"/>
                <w:szCs w:val="21"/>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0B51654E">
            <w:pPr>
              <w:pStyle w:val="93"/>
              <w:spacing w:before="62" w:beforeLines="20" w:after="62" w:afterLines="20" w:line="360" w:lineRule="auto"/>
              <w:rPr>
                <w:rFonts w:cs="宋体"/>
                <w:bCs/>
                <w:color w:val="auto"/>
                <w:sz w:val="21"/>
                <w:szCs w:val="21"/>
                <w:lang w:val="zh-CN"/>
              </w:rPr>
            </w:pPr>
            <w:r>
              <w:rPr>
                <w:rFonts w:hint="eastAsia" w:cs="宋体"/>
                <w:bCs/>
                <w:color w:val="auto"/>
                <w:sz w:val="21"/>
                <w:szCs w:val="21"/>
                <w:lang w:val="en-US" w:eastAsia="zh-CN"/>
              </w:rPr>
              <w:t>投标人或制造商需提供通过</w:t>
            </w:r>
            <w:r>
              <w:rPr>
                <w:rFonts w:hint="eastAsia" w:cs="宋体"/>
                <w:bCs/>
                <w:color w:val="auto"/>
                <w:sz w:val="21"/>
                <w:szCs w:val="21"/>
              </w:rPr>
              <w:t>GB/T 27922—2011商品售后服务评价体系评估标准获得五星级认证售后服务认证证书，并且该证书认证范围必须包含特种作业实操考核实训设备，提供得</w:t>
            </w:r>
            <w:r>
              <w:rPr>
                <w:rFonts w:hint="eastAsia" w:cs="宋体"/>
                <w:bCs/>
                <w:color w:val="auto"/>
                <w:sz w:val="21"/>
                <w:szCs w:val="21"/>
                <w:lang w:val="en-US" w:eastAsia="zh-CN"/>
              </w:rPr>
              <w:t>3</w:t>
            </w:r>
            <w:r>
              <w:rPr>
                <w:rFonts w:hint="eastAsia" w:cs="宋体"/>
                <w:bCs/>
                <w:color w:val="auto"/>
                <w:sz w:val="21"/>
                <w:szCs w:val="21"/>
              </w:rPr>
              <w:t>分，不提供不得分。（须提供有效期内的认证证书复印件及全国认证认可信息公共服务平台（http://cx.cnca.cn/）网站信息截图，并加盖投标人</w:t>
            </w:r>
            <w:r>
              <w:rPr>
                <w:rFonts w:hint="eastAsia" w:cs="宋体"/>
                <w:bCs/>
                <w:color w:val="auto"/>
                <w:sz w:val="21"/>
                <w:szCs w:val="21"/>
                <w:lang w:val="en-US" w:eastAsia="zh-CN"/>
              </w:rPr>
              <w:t>或制造商</w:t>
            </w:r>
            <w:r>
              <w:rPr>
                <w:rFonts w:hint="eastAsia" w:cs="宋体"/>
                <w:bCs/>
                <w:color w:val="auto"/>
                <w:sz w:val="21"/>
                <w:szCs w:val="21"/>
              </w:rPr>
              <w:t>公章）</w:t>
            </w:r>
          </w:p>
        </w:tc>
      </w:tr>
      <w:tr w14:paraId="1B82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424" w:type="pct"/>
            <w:vMerge w:val="continue"/>
            <w:tcBorders>
              <w:left w:val="single" w:color="auto" w:sz="4" w:space="0"/>
              <w:right w:val="single" w:color="auto" w:sz="4" w:space="0"/>
            </w:tcBorders>
            <w:vAlign w:val="center"/>
          </w:tcPr>
          <w:p w14:paraId="37A37EDD">
            <w:pPr>
              <w:snapToGrid w:val="0"/>
              <w:spacing w:line="360" w:lineRule="auto"/>
              <w:ind w:left="119" w:right="119"/>
              <w:jc w:val="center"/>
              <w:rPr>
                <w:rFonts w:asciiTheme="minorEastAsia" w:hAnsiTheme="minorEastAsia" w:eastAsiaTheme="minorEastAsia"/>
                <w:szCs w:val="21"/>
              </w:rPr>
            </w:pPr>
          </w:p>
        </w:tc>
        <w:tc>
          <w:tcPr>
            <w:tcW w:w="375" w:type="pct"/>
            <w:vMerge w:val="restart"/>
            <w:tcBorders>
              <w:top w:val="single" w:color="auto" w:sz="4" w:space="0"/>
              <w:left w:val="single" w:color="auto" w:sz="4" w:space="0"/>
              <w:right w:val="single" w:color="auto" w:sz="4" w:space="0"/>
            </w:tcBorders>
            <w:vAlign w:val="center"/>
          </w:tcPr>
          <w:p w14:paraId="257BD066">
            <w:pPr>
              <w:pStyle w:val="105"/>
              <w:spacing w:line="360" w:lineRule="auto"/>
              <w:ind w:right="120"/>
              <w:jc w:val="center"/>
              <w:rPr>
                <w:rFonts w:hint="eastAsia" w:eastAsia="宋体" w:asciiTheme="minorEastAsia" w:hAnsiTheme="minorEastAsia"/>
                <w:lang w:eastAsia="zh-CN"/>
              </w:rPr>
            </w:pPr>
            <w:r>
              <w:rPr>
                <w:rFonts w:hint="eastAsia" w:ascii="宋体" w:hAnsi="宋体" w:eastAsia="宋体"/>
                <w:bCs/>
                <w:lang w:val="zh-CN"/>
              </w:rPr>
              <w:t>售后服务</w:t>
            </w:r>
            <w:r>
              <w:rPr>
                <w:rFonts w:hint="eastAsia" w:ascii="宋体" w:hAnsi="宋体" w:eastAsia="宋体"/>
                <w:bCs/>
                <w:lang w:val="en-US" w:eastAsia="zh-CN"/>
              </w:rPr>
              <w:t>因素</w:t>
            </w:r>
          </w:p>
        </w:tc>
        <w:tc>
          <w:tcPr>
            <w:tcW w:w="319" w:type="pct"/>
            <w:tcBorders>
              <w:top w:val="single" w:color="auto" w:sz="4" w:space="0"/>
              <w:left w:val="single" w:color="auto" w:sz="4" w:space="0"/>
              <w:bottom w:val="single" w:color="auto" w:sz="4" w:space="0"/>
              <w:right w:val="single" w:color="auto" w:sz="4" w:space="0"/>
            </w:tcBorders>
            <w:vAlign w:val="center"/>
          </w:tcPr>
          <w:p w14:paraId="5490C43B">
            <w:pPr>
              <w:pStyle w:val="105"/>
              <w:spacing w:line="360" w:lineRule="auto"/>
              <w:ind w:firstLine="105" w:firstLineChars="50"/>
              <w:jc w:val="center"/>
              <w:rPr>
                <w:rFonts w:hint="default" w:ascii="宋体" w:hAnsi="宋体" w:eastAsia="宋体"/>
                <w:bCs/>
                <w:lang w:val="en-US" w:eastAsia="zh-CN"/>
              </w:rPr>
            </w:pPr>
            <w:r>
              <w:rPr>
                <w:rFonts w:hint="eastAsia" w:ascii="宋体" w:hAnsi="宋体" w:eastAsia="宋体"/>
                <w:bCs/>
                <w:lang w:val="en-US" w:eastAsia="zh-CN"/>
              </w:rPr>
              <w:t>5分</w:t>
            </w:r>
          </w:p>
        </w:tc>
        <w:tc>
          <w:tcPr>
            <w:tcW w:w="3880" w:type="pct"/>
            <w:tcBorders>
              <w:top w:val="single" w:color="auto" w:sz="4" w:space="0"/>
              <w:left w:val="single" w:color="auto" w:sz="4" w:space="0"/>
              <w:bottom w:val="single" w:color="auto" w:sz="4" w:space="0"/>
              <w:right w:val="single" w:color="auto" w:sz="4" w:space="0"/>
            </w:tcBorders>
            <w:vAlign w:val="center"/>
          </w:tcPr>
          <w:p w14:paraId="05117825">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zh-CN" w:eastAsia="zh-CN"/>
              </w:rPr>
              <w:t>根据投标供应商提供的培训服务方案进行评分，需包含以下内</w:t>
            </w:r>
            <w:r>
              <w:rPr>
                <w:rFonts w:hint="default" w:ascii="宋体" w:hAnsi="宋体" w:eastAsia="宋体"/>
                <w:bCs/>
                <w:szCs w:val="21"/>
                <w:lang w:val="zh-CN" w:eastAsia="zh-CN"/>
              </w:rPr>
              <w:t xml:space="preserve">容： </w:t>
            </w:r>
          </w:p>
          <w:p w14:paraId="74537BFF">
            <w:pPr>
              <w:widowControl/>
              <w:kinsoku w:val="0"/>
              <w:autoSpaceDE w:val="0"/>
              <w:autoSpaceDN w:val="0"/>
              <w:adjustRightInd w:val="0"/>
              <w:snapToGrid w:val="0"/>
              <w:spacing w:line="360" w:lineRule="auto"/>
              <w:textAlignment w:val="baseline"/>
              <w:rPr>
                <w:lang w:val="zh-CN"/>
              </w:rPr>
            </w:pPr>
            <w:r>
              <w:rPr>
                <w:rFonts w:hint="default" w:ascii="宋体" w:hAnsi="宋体" w:eastAsia="宋体"/>
                <w:bCs/>
                <w:szCs w:val="21"/>
                <w:lang w:val="zh-CN" w:eastAsia="zh-CN"/>
              </w:rPr>
              <w:t>1、培训的讲解内容。2、培训时间</w:t>
            </w:r>
            <w:r>
              <w:rPr>
                <w:rFonts w:hint="eastAsia" w:ascii="宋体" w:hAnsi="宋体" w:eastAsia="宋体"/>
                <w:bCs/>
                <w:szCs w:val="21"/>
                <w:lang w:val="en-US" w:eastAsia="zh-CN"/>
              </w:rPr>
              <w:t>与计划</w:t>
            </w:r>
            <w:r>
              <w:rPr>
                <w:rFonts w:hint="default" w:ascii="宋体" w:hAnsi="宋体" w:eastAsia="宋体"/>
                <w:bCs/>
                <w:szCs w:val="21"/>
                <w:lang w:val="zh-CN" w:eastAsia="zh-CN"/>
              </w:rPr>
              <w:t>。3、按管理人员、使用人员、技术人员等职能进行的分类培训方案。4、有临时性培训方案。5、</w:t>
            </w:r>
            <w:r>
              <w:rPr>
                <w:rFonts w:hint="eastAsia" w:ascii="宋体" w:hAnsi="宋体" w:eastAsia="宋体"/>
                <w:bCs/>
                <w:szCs w:val="21"/>
                <w:lang w:val="en-US" w:eastAsia="zh-CN"/>
              </w:rPr>
              <w:t>培训交底资料</w:t>
            </w:r>
            <w:r>
              <w:rPr>
                <w:rFonts w:hint="default" w:ascii="宋体" w:hAnsi="宋体" w:eastAsia="宋体"/>
                <w:bCs/>
                <w:szCs w:val="21"/>
                <w:lang w:val="zh-CN" w:eastAsia="zh-CN"/>
              </w:rPr>
              <w:t>。每提供以上一项内容得 1 分，最高得 5 分，不提供不得分。</w:t>
            </w:r>
          </w:p>
        </w:tc>
      </w:tr>
      <w:tr w14:paraId="4A5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2" w:hRule="atLeast"/>
          <w:jc w:val="center"/>
        </w:trPr>
        <w:tc>
          <w:tcPr>
            <w:tcW w:w="424" w:type="pct"/>
            <w:vMerge w:val="continue"/>
            <w:tcBorders>
              <w:left w:val="single" w:color="auto" w:sz="4" w:space="0"/>
              <w:right w:val="single" w:color="auto" w:sz="4" w:space="0"/>
            </w:tcBorders>
            <w:vAlign w:val="center"/>
          </w:tcPr>
          <w:p w14:paraId="6C470F5E">
            <w:pPr>
              <w:snapToGrid w:val="0"/>
              <w:spacing w:line="360" w:lineRule="auto"/>
              <w:ind w:left="119" w:right="119"/>
              <w:jc w:val="center"/>
              <w:rPr>
                <w:rFonts w:asciiTheme="minorEastAsia" w:hAnsiTheme="minorEastAsia" w:eastAsiaTheme="minorEastAsia"/>
                <w:szCs w:val="21"/>
              </w:rPr>
            </w:pPr>
          </w:p>
        </w:tc>
        <w:tc>
          <w:tcPr>
            <w:tcW w:w="375" w:type="pct"/>
            <w:vMerge w:val="continue"/>
            <w:tcBorders>
              <w:left w:val="single" w:color="auto" w:sz="4" w:space="0"/>
              <w:bottom w:val="single" w:color="auto" w:sz="4" w:space="0"/>
              <w:right w:val="single" w:color="auto" w:sz="4" w:space="0"/>
            </w:tcBorders>
            <w:vAlign w:val="center"/>
          </w:tcPr>
          <w:p w14:paraId="5DD46490">
            <w:pPr>
              <w:pStyle w:val="105"/>
              <w:spacing w:line="360" w:lineRule="auto"/>
              <w:ind w:right="120"/>
              <w:jc w:val="center"/>
              <w:rPr>
                <w:rFonts w:hint="eastAsia" w:ascii="宋体" w:hAnsi="宋体" w:eastAsia="宋体"/>
                <w:bCs/>
                <w:lang w:val="zh-CN"/>
              </w:rPr>
            </w:pPr>
          </w:p>
        </w:tc>
        <w:tc>
          <w:tcPr>
            <w:tcW w:w="319" w:type="pct"/>
            <w:tcBorders>
              <w:top w:val="single" w:color="auto" w:sz="4" w:space="0"/>
              <w:left w:val="single" w:color="auto" w:sz="4" w:space="0"/>
              <w:bottom w:val="single" w:color="auto" w:sz="4" w:space="0"/>
              <w:right w:val="single" w:color="auto" w:sz="4" w:space="0"/>
            </w:tcBorders>
            <w:vAlign w:val="center"/>
          </w:tcPr>
          <w:p w14:paraId="7547FA44">
            <w:pPr>
              <w:pStyle w:val="105"/>
              <w:spacing w:line="360" w:lineRule="auto"/>
              <w:ind w:firstLine="105" w:firstLineChars="50"/>
              <w:jc w:val="center"/>
              <w:rPr>
                <w:rFonts w:hint="eastAsia" w:ascii="宋体" w:hAnsi="宋体" w:eastAsia="宋体"/>
                <w:bCs/>
              </w:rPr>
            </w:pPr>
            <w:r>
              <w:rPr>
                <w:rFonts w:hint="eastAsia" w:ascii="宋体" w:hAnsi="宋体" w:eastAsia="宋体"/>
                <w:bCs/>
                <w:lang w:val="en-US" w:eastAsia="zh-CN"/>
              </w:rPr>
              <w:t>6</w:t>
            </w:r>
            <w:r>
              <w:rPr>
                <w:rFonts w:hint="eastAsia" w:ascii="宋体" w:hAnsi="宋体" w:eastAsia="宋体"/>
                <w:bCs/>
                <w:lang w:val="zh-CN"/>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23645AA6">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zh-CN" w:eastAsia="zh-CN"/>
              </w:rPr>
              <w:t>根据投标供应商提供的售后服务方案进行评分，需包含以下内容：</w:t>
            </w:r>
          </w:p>
          <w:p w14:paraId="1C27E340">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en-US" w:eastAsia="zh-CN"/>
              </w:rPr>
              <w:t>1、</w:t>
            </w:r>
            <w:r>
              <w:rPr>
                <w:rFonts w:hint="eastAsia" w:ascii="宋体" w:hAnsi="宋体" w:eastAsia="宋体"/>
                <w:bCs/>
                <w:szCs w:val="21"/>
                <w:lang w:val="zh-CN" w:eastAsia="zh-CN"/>
              </w:rPr>
              <w:t>提供售后服务承诺函。</w:t>
            </w:r>
            <w:r>
              <w:rPr>
                <w:rFonts w:hint="eastAsia" w:ascii="宋体" w:hAnsi="宋体" w:eastAsia="宋体"/>
                <w:bCs/>
                <w:szCs w:val="21"/>
                <w:lang w:val="en-US" w:eastAsia="zh-CN"/>
              </w:rPr>
              <w:t>2、</w:t>
            </w:r>
            <w:r>
              <w:rPr>
                <w:rFonts w:hint="default" w:ascii="宋体" w:hAnsi="宋体" w:eastAsia="宋体"/>
                <w:bCs/>
                <w:szCs w:val="21"/>
                <w:lang w:val="zh-CN" w:eastAsia="zh-CN"/>
              </w:rPr>
              <w:t>售后服务响应机制</w:t>
            </w:r>
            <w:r>
              <w:rPr>
                <w:rFonts w:hint="eastAsia" w:ascii="宋体" w:hAnsi="宋体" w:eastAsia="宋体"/>
                <w:bCs/>
                <w:szCs w:val="21"/>
                <w:lang w:val="zh-CN" w:eastAsia="zh-CN"/>
              </w:rPr>
              <w:t>。</w:t>
            </w:r>
            <w:r>
              <w:rPr>
                <w:rFonts w:hint="eastAsia" w:ascii="宋体" w:hAnsi="宋体" w:eastAsia="宋体"/>
                <w:bCs/>
                <w:szCs w:val="21"/>
                <w:lang w:val="en-US" w:eastAsia="zh-CN"/>
              </w:rPr>
              <w:t>3、</w:t>
            </w:r>
            <w:r>
              <w:rPr>
                <w:rFonts w:hint="eastAsia" w:ascii="宋体" w:hAnsi="宋体" w:eastAsia="宋体"/>
                <w:bCs/>
                <w:szCs w:val="21"/>
                <w:lang w:val="zh-CN" w:eastAsia="zh-CN"/>
              </w:rPr>
              <w:t>售后服务体系。</w:t>
            </w:r>
            <w:r>
              <w:rPr>
                <w:rFonts w:hint="eastAsia" w:ascii="宋体" w:hAnsi="宋体" w:eastAsia="宋体"/>
                <w:bCs/>
                <w:szCs w:val="21"/>
                <w:lang w:val="en-US" w:eastAsia="zh-CN"/>
              </w:rPr>
              <w:t>4、备品备件库存情况。5、售后服务巡检机制。6、</w:t>
            </w:r>
            <w:r>
              <w:rPr>
                <w:rFonts w:hint="default" w:ascii="宋体" w:hAnsi="宋体" w:eastAsia="宋体"/>
                <w:bCs/>
                <w:szCs w:val="21"/>
                <w:lang w:val="zh-CN" w:eastAsia="zh-CN"/>
              </w:rPr>
              <w:t>质保期外售后服务承诺</w:t>
            </w:r>
            <w:r>
              <w:rPr>
                <w:rFonts w:hint="eastAsia" w:ascii="宋体" w:hAnsi="宋体" w:eastAsia="宋体"/>
                <w:bCs/>
                <w:szCs w:val="21"/>
                <w:lang w:val="zh-CN" w:eastAsia="zh-CN"/>
              </w:rPr>
              <w:t>。</w:t>
            </w:r>
            <w:r>
              <w:rPr>
                <w:rFonts w:hint="default" w:ascii="宋体" w:hAnsi="宋体" w:eastAsia="宋体"/>
                <w:bCs/>
                <w:szCs w:val="21"/>
                <w:lang w:val="zh-CN" w:eastAsia="zh-CN"/>
              </w:rPr>
              <w:t xml:space="preserve">每提供一项得 1 分，最高得 </w:t>
            </w:r>
            <w:r>
              <w:rPr>
                <w:rFonts w:hint="eastAsia" w:ascii="宋体" w:hAnsi="宋体" w:eastAsia="宋体"/>
                <w:bCs/>
                <w:szCs w:val="21"/>
                <w:lang w:val="en-US" w:eastAsia="zh-CN"/>
              </w:rPr>
              <w:t>6</w:t>
            </w:r>
            <w:r>
              <w:rPr>
                <w:rFonts w:hint="default" w:ascii="宋体" w:hAnsi="宋体" w:eastAsia="宋体"/>
                <w:bCs/>
                <w:szCs w:val="21"/>
                <w:lang w:val="zh-CN" w:eastAsia="zh-CN"/>
              </w:rPr>
              <w:t xml:space="preserve"> 分，不提供不得分。</w:t>
            </w:r>
          </w:p>
        </w:tc>
      </w:tr>
      <w:tr w14:paraId="205E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pct"/>
            <w:gridSpan w:val="2"/>
            <w:tcBorders>
              <w:left w:val="single" w:color="auto" w:sz="4" w:space="0"/>
              <w:right w:val="single" w:color="auto" w:sz="4" w:space="0"/>
            </w:tcBorders>
            <w:vAlign w:val="center"/>
          </w:tcPr>
          <w:p w14:paraId="5A82C60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319" w:type="pct"/>
            <w:tcBorders>
              <w:top w:val="single" w:color="auto" w:sz="4" w:space="0"/>
              <w:left w:val="single" w:color="auto" w:sz="4" w:space="0"/>
              <w:bottom w:val="single" w:color="auto" w:sz="4" w:space="0"/>
              <w:right w:val="single" w:color="auto" w:sz="4" w:space="0"/>
            </w:tcBorders>
            <w:vAlign w:val="center"/>
          </w:tcPr>
          <w:p w14:paraId="6453F90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3880" w:type="pct"/>
            <w:tcBorders>
              <w:top w:val="single" w:color="auto" w:sz="4" w:space="0"/>
              <w:left w:val="single" w:color="auto" w:sz="4" w:space="0"/>
              <w:bottom w:val="single" w:color="auto" w:sz="4" w:space="0"/>
              <w:right w:val="single" w:color="auto" w:sz="4" w:space="0"/>
            </w:tcBorders>
            <w:vAlign w:val="center"/>
          </w:tcPr>
          <w:p w14:paraId="149E40BD">
            <w:pPr>
              <w:spacing w:line="360" w:lineRule="auto"/>
              <w:jc w:val="center"/>
              <w:rPr>
                <w:rFonts w:asciiTheme="minorEastAsia" w:hAnsiTheme="minorEastAsia" w:eastAsiaTheme="minorEastAsia"/>
                <w:szCs w:val="21"/>
              </w:rPr>
            </w:pPr>
          </w:p>
        </w:tc>
      </w:tr>
    </w:tbl>
    <w:p w14:paraId="19451E4B">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62C491A3">
      <w:pPr>
        <w:numPr>
          <w:ilvl w:val="0"/>
          <w:numId w:val="0"/>
        </w:numPr>
        <w:spacing w:line="24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政府采购政策</w:t>
      </w:r>
    </w:p>
    <w:p w14:paraId="310C6CEB">
      <w:pPr>
        <w:spacing w:line="440" w:lineRule="exact"/>
        <w:ind w:firstLine="420" w:firstLineChars="200"/>
        <w:rPr>
          <w:rFonts w:hint="eastAsia" w:ascii="宋体" w:hAnsi="宋体" w:eastAsia="宋体" w:cs="宋体"/>
          <w:color w:val="auto"/>
          <w:sz w:val="21"/>
          <w:szCs w:val="21"/>
        </w:rPr>
      </w:pPr>
      <w:bookmarkStart w:id="86" w:name="_Toc26551"/>
      <w:r>
        <w:rPr>
          <w:rFonts w:hint="eastAsia" w:ascii="宋体" w:hAnsi="宋体" w:eastAsia="宋体" w:cs="宋体"/>
          <w:color w:val="auto"/>
          <w:sz w:val="21"/>
          <w:szCs w:val="21"/>
          <w:lang w:val="en-US" w:eastAsia="zh-CN"/>
        </w:rPr>
        <w:t xml:space="preserve">3.1小型和微型企业产品价格扣除 </w:t>
      </w:r>
    </w:p>
    <w:p w14:paraId="77B5AC5E">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根据财政部、工业和信息化部印发的《政府采购促进中小企业发展管理办法》（财库[2020]46 号）、《关于进一步加大政府采购支持中小企业力度的通知》（财库〔2022〕19 号）的规定，投标人所投全部产品均为小型、微型企业的，评标价格给予对应价格 10%的扣除，用扣除后的价格参与评审。 </w:t>
      </w:r>
    </w:p>
    <w:p w14:paraId="051F068F">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如允许联合体投标，联合体投标时联合体协议约定小型和微型企业的协议合同金额占到30%以上的，可给予 4%的价格扣除。联合体各方都是小型和微型企业的，可给予 10%的价格扣除。 </w:t>
      </w:r>
    </w:p>
    <w:p w14:paraId="7803646F">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14:paraId="476F238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1AABE765">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监狱企业产品价格扣除 </w:t>
      </w:r>
    </w:p>
    <w:p w14:paraId="4B91CD8C">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1.监狱企业视同小型、微型企业，按上述第（一）条款享受评审中价格扣除。 </w:t>
      </w:r>
    </w:p>
    <w:p w14:paraId="0C670311">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72EBF9E">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3.监狱企业参加政府采购活动时，应当提供由省级以上监狱管理局、戒毒管理局（含新疆生产建设兵团）出具的属于监狱企业的证明文件，否则不予认可。 </w:t>
      </w:r>
    </w:p>
    <w:p w14:paraId="65A75E12">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残疾人福利性单位产品价格扣除 </w:t>
      </w:r>
    </w:p>
    <w:p w14:paraId="15A84EB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1.残疾人福利性单位视同小型、微型企业，按上述第（一）条款享受评审中价格扣除。 </w:t>
      </w:r>
    </w:p>
    <w:p w14:paraId="52A6A8CD">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349A3A05">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投标人同时为小型、微型企业、监狱企业、残疾人福利性单位任两种或以上情况的，评审中只享受一次价格扣除，不重复进行价格扣除。 </w:t>
      </w:r>
    </w:p>
    <w:p w14:paraId="067A2BAD">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3.3节能产品、环境标志产品价格扣除 </w:t>
      </w:r>
    </w:p>
    <w:p w14:paraId="7B8F2E3E">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14:paraId="413E9B8D">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 3%的价格扣除。 </w:t>
      </w:r>
    </w:p>
    <w:p w14:paraId="7C1074B2">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 属于品目清单范围内的节能或环境标志产品，应当提供国家确定的认证机构出具的、处于有效期之内的节能产品或环境标志产品认证证书复印件，并加盖投标人单位的公章。</w:t>
      </w:r>
    </w:p>
    <w:p w14:paraId="1FE805F8">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采购项目中既包含清单中产品也包含非清单中产品的，只对列入清单的产品按其在总报价中所占的比例给予价格扣除。投标产品同时列入上述多个清单的，将上述规定的价格扣除比例叠加后计算价格扣除。</w:t>
      </w:r>
    </w:p>
    <w:p w14:paraId="057B93F9">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3.4其他政策</w:t>
      </w:r>
    </w:p>
    <w:p w14:paraId="35457179">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无线局域网产品政府采购实施意见》（财库〔2005〕366号）文件要求，对于列入《无线局域网认证产品政府采购清单》的产品，对其投标价格给予3%的价格扣除，投标文件内应提供相关证明材料复印件，否则不参与价格扣除。</w:t>
      </w:r>
    </w:p>
    <w:p w14:paraId="43A3B010">
      <w:pPr>
        <w:spacing w:line="440" w:lineRule="exact"/>
        <w:ind w:firstLine="420" w:firstLineChars="200"/>
        <w:rPr>
          <w:rFonts w:hint="eastAsia" w:ascii="宋体" w:hAnsi="宋体" w:eastAsia="宋体" w:cs="宋体"/>
          <w:color w:val="auto"/>
          <w:sz w:val="21"/>
          <w:szCs w:val="21"/>
          <w:lang w:val="en-US" w:eastAsia="zh-CN"/>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1"/>
          <w:szCs w:val="21"/>
          <w:lang w:val="en-US" w:eastAsia="zh-CN"/>
        </w:rPr>
        <w:t>采购项目中既包含清单中产品也包含非清单中产品的，只对列入清单的产品按其在总报价中所占的比例给予价格扣除。投标产品同时列入上述多个清单的，将上述规定的价格扣除比例叠加后计算价格扣除。</w:t>
      </w:r>
    </w:p>
    <w:p w14:paraId="7C3DDD7D">
      <w:pPr>
        <w:pStyle w:val="3"/>
        <w:keepNext w:val="0"/>
        <w:keepLines w:val="0"/>
        <w:spacing w:line="360" w:lineRule="auto"/>
        <w:jc w:val="center"/>
        <w:rPr>
          <w:rFonts w:hint="eastAsia" w:eastAsiaTheme="minorEastAsia"/>
          <w:color w:val="auto"/>
          <w:lang w:eastAsia="zh-CN"/>
        </w:rPr>
      </w:pPr>
      <w:r>
        <w:rPr>
          <w:rFonts w:hint="eastAsia"/>
          <w:color w:val="auto"/>
        </w:rPr>
        <w:t>第四章 合同条款</w:t>
      </w:r>
      <w:bookmarkEnd w:id="81"/>
      <w:bookmarkEnd w:id="82"/>
      <w:bookmarkEnd w:id="83"/>
      <w:bookmarkEnd w:id="84"/>
      <w:r>
        <w:rPr>
          <w:rFonts w:hint="eastAsia"/>
          <w:color w:val="auto"/>
          <w:lang w:eastAsia="zh-CN"/>
        </w:rPr>
        <w:t>（</w:t>
      </w:r>
      <w:r>
        <w:rPr>
          <w:rFonts w:hint="eastAsia"/>
          <w:color w:val="auto"/>
          <w:lang w:val="en-US" w:eastAsia="zh-CN"/>
        </w:rPr>
        <w:t>参考格式</w:t>
      </w:r>
      <w:r>
        <w:rPr>
          <w:rFonts w:hint="eastAsia"/>
          <w:color w:val="auto"/>
          <w:lang w:eastAsia="zh-CN"/>
        </w:rPr>
        <w:t>）</w:t>
      </w:r>
      <w:bookmarkEnd w:id="86"/>
    </w:p>
    <w:p w14:paraId="5309506A">
      <w:pPr>
        <w:spacing w:line="360" w:lineRule="auto"/>
        <w:jc w:val="center"/>
        <w:outlineLvl w:val="0"/>
        <w:rPr>
          <w:rStyle w:val="69"/>
          <w:rFonts w:hint="eastAsia"/>
          <w:color w:val="auto"/>
        </w:rPr>
      </w:pPr>
      <w:bookmarkStart w:id="87" w:name="_Toc246996353"/>
      <w:bookmarkStart w:id="88" w:name="_Toc144974854"/>
      <w:bookmarkStart w:id="89" w:name="_Toc179632804"/>
      <w:bookmarkStart w:id="90" w:name="_Toc16884"/>
      <w:bookmarkStart w:id="91" w:name="_Toc31877"/>
      <w:bookmarkStart w:id="92" w:name="_Toc247085870"/>
      <w:bookmarkStart w:id="93" w:name="_Toc152042574"/>
      <w:bookmarkStart w:id="94" w:name="_Toc1819"/>
      <w:bookmarkStart w:id="95" w:name="_Toc29761"/>
      <w:bookmarkStart w:id="96" w:name="_Toc152045785"/>
      <w:bookmarkStart w:id="97" w:name="_Toc246997096"/>
    </w:p>
    <w:p w14:paraId="630EA168">
      <w:pPr>
        <w:pStyle w:val="4"/>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bookmarkEnd w:id="87"/>
    <w:bookmarkEnd w:id="88"/>
    <w:bookmarkEnd w:id="89"/>
    <w:bookmarkEnd w:id="90"/>
    <w:bookmarkEnd w:id="91"/>
    <w:bookmarkEnd w:id="92"/>
    <w:bookmarkEnd w:id="93"/>
    <w:bookmarkEnd w:id="94"/>
    <w:bookmarkEnd w:id="95"/>
    <w:bookmarkEnd w:id="96"/>
    <w:bookmarkEnd w:id="97"/>
    <w:p w14:paraId="7C8A0F8E">
      <w:pPr>
        <w:pStyle w:val="10"/>
        <w:spacing w:after="0"/>
        <w:jc w:val="center"/>
        <w:rPr>
          <w:rFonts w:ascii="宋体" w:hAnsi="宋体" w:cs="宋体"/>
          <w:b/>
          <w:bCs/>
          <w:spacing w:val="-20"/>
          <w:kern w:val="44"/>
          <w:sz w:val="48"/>
          <w:szCs w:val="48"/>
        </w:rPr>
      </w:pPr>
      <w:bookmarkStart w:id="98" w:name="_Toc3995"/>
      <w:bookmarkStart w:id="99" w:name="_Toc461089032"/>
      <w:bookmarkStart w:id="100" w:name="_Toc26078"/>
      <w:bookmarkStart w:id="101" w:name="_Toc14054"/>
      <w:bookmarkStart w:id="102" w:name="_Toc3606"/>
      <w:bookmarkStart w:id="103" w:name="_Toc6315"/>
      <w:bookmarkStart w:id="104" w:name="_Toc28217"/>
    </w:p>
    <w:p w14:paraId="1FC3AB6C">
      <w:pPr>
        <w:pStyle w:val="10"/>
        <w:spacing w:after="0"/>
        <w:jc w:val="center"/>
        <w:rPr>
          <w:rFonts w:ascii="宋体" w:hAnsi="宋体" w:cs="宋体"/>
          <w:b/>
          <w:bCs/>
          <w:spacing w:val="-20"/>
          <w:kern w:val="44"/>
          <w:sz w:val="48"/>
          <w:szCs w:val="48"/>
        </w:rPr>
      </w:pPr>
    </w:p>
    <w:p w14:paraId="010C5191">
      <w:pPr>
        <w:pStyle w:val="10"/>
        <w:spacing w:after="0"/>
        <w:jc w:val="center"/>
        <w:rPr>
          <w:rFonts w:ascii="宋体" w:hAnsi="宋体" w:cs="宋体"/>
          <w:b/>
          <w:bCs/>
          <w:spacing w:val="-20"/>
          <w:kern w:val="44"/>
          <w:sz w:val="48"/>
          <w:szCs w:val="48"/>
        </w:rPr>
      </w:pPr>
    </w:p>
    <w:p w14:paraId="12700105">
      <w:pPr>
        <w:pStyle w:val="10"/>
        <w:spacing w:after="0"/>
        <w:jc w:val="center"/>
        <w:rPr>
          <w:rFonts w:ascii="宋体" w:hAnsi="宋体" w:cs="宋体"/>
          <w:b/>
          <w:bCs/>
          <w:spacing w:val="-20"/>
          <w:kern w:val="44"/>
          <w:sz w:val="48"/>
          <w:szCs w:val="48"/>
        </w:rPr>
      </w:pPr>
    </w:p>
    <w:p w14:paraId="6DFEB44B">
      <w:pPr>
        <w:pStyle w:val="10"/>
        <w:spacing w:after="0"/>
        <w:jc w:val="center"/>
        <w:rPr>
          <w:rFonts w:ascii="宋体" w:hAnsi="宋体" w:cs="宋体"/>
          <w:b/>
          <w:bCs/>
          <w:spacing w:val="-20"/>
          <w:kern w:val="44"/>
          <w:sz w:val="48"/>
          <w:szCs w:val="48"/>
        </w:rPr>
      </w:pPr>
    </w:p>
    <w:p w14:paraId="0C26CE0C">
      <w:pPr>
        <w:pStyle w:val="1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743ACAF">
      <w:pPr>
        <w:pStyle w:val="10"/>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46345F2">
      <w:pPr>
        <w:rPr>
          <w:rFonts w:ascii="宋体" w:hAnsi="宋体" w:cs="宋体"/>
          <w:b/>
          <w:bCs/>
          <w:spacing w:val="-20"/>
          <w:kern w:val="44"/>
          <w:sz w:val="40"/>
          <w:szCs w:val="40"/>
        </w:rPr>
      </w:pPr>
    </w:p>
    <w:p w14:paraId="484114E4">
      <w:pPr>
        <w:rPr>
          <w:rFonts w:ascii="宋体" w:hAnsi="宋体" w:cs="宋体"/>
          <w:b/>
          <w:bCs/>
          <w:spacing w:val="-20"/>
          <w:kern w:val="44"/>
          <w:sz w:val="40"/>
          <w:szCs w:val="40"/>
        </w:rPr>
      </w:pPr>
    </w:p>
    <w:p w14:paraId="54DE2BB6">
      <w:pPr>
        <w:rPr>
          <w:rFonts w:ascii="宋体" w:hAnsi="宋体" w:cs="宋体"/>
          <w:b/>
          <w:bCs/>
          <w:spacing w:val="-20"/>
          <w:kern w:val="44"/>
          <w:sz w:val="40"/>
          <w:szCs w:val="40"/>
        </w:rPr>
      </w:pPr>
    </w:p>
    <w:p w14:paraId="11EA1C7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4419214">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C9FB6C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B19C4D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725060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A7C0894"/>
    <w:p w14:paraId="4240119D">
      <w:pPr>
        <w:rPr>
          <w:rFonts w:eastAsia="黑体"/>
          <w:sz w:val="44"/>
          <w:szCs w:val="44"/>
        </w:rPr>
      </w:pPr>
      <w:r>
        <w:rPr>
          <w:rFonts w:eastAsia="黑体"/>
          <w:sz w:val="44"/>
          <w:szCs w:val="44"/>
        </w:rPr>
        <w:br w:type="page"/>
      </w:r>
    </w:p>
    <w:p w14:paraId="2CED6463">
      <w:pPr>
        <w:rPr>
          <w:rFonts w:eastAsia="黑体"/>
          <w:sz w:val="44"/>
          <w:szCs w:val="44"/>
        </w:rPr>
      </w:pPr>
    </w:p>
    <w:p w14:paraId="6E37812D">
      <w:pPr>
        <w:rPr>
          <w:rFonts w:eastAsia="黑体"/>
          <w:sz w:val="44"/>
          <w:szCs w:val="44"/>
        </w:rPr>
      </w:pPr>
    </w:p>
    <w:p w14:paraId="0B598194">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A97CBC7">
      <w:pPr>
        <w:ind w:firstLine="640" w:firstLineChars="200"/>
        <w:rPr>
          <w:rFonts w:hint="eastAsia" w:ascii="仿宋_GB2312" w:hAnsi="仿宋_GB2312" w:eastAsia="仿宋_GB2312" w:cs="仿宋_GB2312"/>
          <w:sz w:val="32"/>
          <w:szCs w:val="32"/>
          <w:lang w:val="en-US" w:eastAsia="zh-CN"/>
        </w:rPr>
      </w:pPr>
    </w:p>
    <w:p w14:paraId="6EC6996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BB28C02">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DEE5BA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2245585">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98"/>
    <w:p w14:paraId="412848D4">
      <w:pPr>
        <w:pStyle w:val="4"/>
        <w:adjustRightInd w:val="0"/>
        <w:snapToGrid w:val="0"/>
        <w:spacing w:beforeLines="0" w:line="400" w:lineRule="exact"/>
        <w:jc w:val="center"/>
        <w:rPr>
          <w:rFonts w:hint="eastAsia" w:ascii="黑体" w:hAnsi="黑体" w:eastAsia="黑体"/>
          <w:sz w:val="28"/>
          <w:szCs w:val="28"/>
        </w:rPr>
      </w:pPr>
      <w:bookmarkStart w:id="105" w:name="_Toc22209"/>
    </w:p>
    <w:p w14:paraId="2456C0F0">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5"/>
    </w:p>
    <w:p w14:paraId="19333735">
      <w:pPr>
        <w:pStyle w:val="4"/>
        <w:adjustRightInd w:val="0"/>
        <w:snapToGrid w:val="0"/>
        <w:spacing w:beforeLines="0" w:line="400" w:lineRule="exact"/>
        <w:jc w:val="center"/>
        <w:rPr>
          <w:rFonts w:hint="eastAsia" w:ascii="黑体" w:hAnsi="华文中宋" w:eastAsia="黑体"/>
          <w:b w:val="0"/>
          <w:bCs w:val="0"/>
          <w:sz w:val="28"/>
          <w:szCs w:val="28"/>
        </w:rPr>
      </w:pPr>
    </w:p>
    <w:p w14:paraId="49D4E14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BCB55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DCCC03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234FE8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CE9924">
      <w:pPr>
        <w:spacing w:beforeLines="0" w:line="400" w:lineRule="exact"/>
        <w:rPr>
          <w:rFonts w:hint="default" w:eastAsia="宋体"/>
          <w:lang w:val="en-US" w:eastAsia="zh-CN"/>
        </w:rPr>
      </w:pPr>
    </w:p>
    <w:p w14:paraId="227ADF3B">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81453F1">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3F3B28A">
      <w:pPr>
        <w:pStyle w:val="11"/>
        <w:numPr>
          <w:ilvl w:val="0"/>
          <w:numId w:val="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6F3FFC2">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8388641">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28790D2">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C16702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54AD68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92A72F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0C0FFD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ADC590F">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9E8DE51">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1349A2F">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8BA89AB">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776B645">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7FBF1E2">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B63A8D6">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6543FC81">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87C5CBF">
      <w:pPr>
        <w:pStyle w:val="4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2FDE417">
      <w:pPr>
        <w:pStyle w:val="4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29020FD">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E34ECD2">
      <w:pPr>
        <w:pStyle w:val="4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B7576C6">
      <w:pPr>
        <w:pStyle w:val="4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0DA16F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8137A7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2C511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B126EC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6FAE36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43E4E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5C81D8C">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BB327F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2A0956F">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E9DF118">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8F7C09B">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E9DE70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E183F85">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F89036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69633BA">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2D6794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971F9E3">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1DA092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7790D3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5D2D11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A79631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2DF065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3F5E7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1B8532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101750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9B6140A">
      <w:pPr>
        <w:pStyle w:val="4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B788C7D">
      <w:pPr>
        <w:pStyle w:val="4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4DC348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906BE8">
      <w:pPr>
        <w:pStyle w:val="4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EDD4A19">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E29894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7A573">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189CCC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0500AA6">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3EBCF5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68EBFABF">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81FCB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0F96C0A">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E43D67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B9A3290">
      <w:pPr>
        <w:pStyle w:val="7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5C062F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5895B5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0DAE7B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27F8D5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A20B8FB">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E2C9BCC">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1A1E5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468971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CA68D61">
      <w:pPr>
        <w:pStyle w:val="4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9F4D913">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D80742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3938B1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02E5D1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6D712BD">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2493041">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8145A3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D099BC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386547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F59C3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B0A641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1640BF6">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A4BEEB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64B47F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A847DEF">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66155C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DDDCF03">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9F297A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12EF5A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999727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C3EF99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D134382">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D73FC6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CDBE792">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B1C96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E09BD1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B8F01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CC30C5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40D6D9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E10EF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864FF3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4CE125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2CC83DF">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9FA026B">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140E9A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C56F2B7">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D7288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E060A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6F5B2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F091F5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642278D">
      <w:pPr>
        <w:pStyle w:val="78"/>
        <w:spacing w:beforeLines="0" w:line="400" w:lineRule="exact"/>
      </w:pPr>
    </w:p>
    <w:p w14:paraId="1FCAA65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223CB98">
      <w:pPr>
        <w:rPr>
          <w:rFonts w:hint="eastAsia"/>
        </w:rPr>
      </w:pPr>
      <w:r>
        <w:rPr>
          <w:rFonts w:hint="eastAsia"/>
        </w:rPr>
        <w:br w:type="page"/>
      </w:r>
    </w:p>
    <w:p w14:paraId="56CDAB71">
      <w:pPr>
        <w:pStyle w:val="78"/>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BCD2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44CC17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2621D62">
            <w:pPr>
              <w:adjustRightInd w:val="0"/>
              <w:snapToGrid w:val="0"/>
              <w:spacing w:line="300" w:lineRule="exact"/>
              <w:jc w:val="center"/>
            </w:pPr>
            <w:r>
              <w:rPr>
                <w:szCs w:val="21"/>
              </w:rPr>
              <w:t>乙方</w:t>
            </w:r>
            <w:r>
              <w:rPr>
                <w:rFonts w:hint="eastAsia"/>
                <w:szCs w:val="21"/>
              </w:rPr>
              <w:t>（供应商）</w:t>
            </w:r>
          </w:p>
        </w:tc>
      </w:tr>
      <w:tr w14:paraId="1D75A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7A320C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D66A43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DB138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6D7C69E">
            <w:pPr>
              <w:adjustRightInd w:val="0"/>
              <w:snapToGrid w:val="0"/>
              <w:spacing w:line="300" w:lineRule="exact"/>
              <w:jc w:val="center"/>
              <w:rPr>
                <w:spacing w:val="20"/>
                <w:szCs w:val="21"/>
              </w:rPr>
            </w:pPr>
          </w:p>
        </w:tc>
      </w:tr>
      <w:tr w14:paraId="76FDC3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B16CC06">
            <w:pPr>
              <w:adjustRightInd w:val="0"/>
              <w:snapToGrid w:val="0"/>
              <w:spacing w:line="300" w:lineRule="exact"/>
              <w:jc w:val="center"/>
              <w:rPr>
                <w:szCs w:val="21"/>
              </w:rPr>
            </w:pPr>
            <w:r>
              <w:rPr>
                <w:szCs w:val="21"/>
              </w:rPr>
              <w:t>法定代表人</w:t>
            </w:r>
          </w:p>
          <w:p w14:paraId="052FFF7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68B90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0D20FB6">
            <w:pPr>
              <w:adjustRightInd w:val="0"/>
              <w:snapToGrid w:val="0"/>
              <w:spacing w:line="300" w:lineRule="exact"/>
              <w:jc w:val="center"/>
              <w:rPr>
                <w:szCs w:val="21"/>
              </w:rPr>
            </w:pPr>
            <w:r>
              <w:rPr>
                <w:szCs w:val="21"/>
              </w:rPr>
              <w:t>法定代表人</w:t>
            </w:r>
          </w:p>
          <w:p w14:paraId="652410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E4646AA">
            <w:pPr>
              <w:adjustRightInd w:val="0"/>
              <w:snapToGrid w:val="0"/>
              <w:spacing w:line="300" w:lineRule="exact"/>
              <w:jc w:val="center"/>
              <w:rPr>
                <w:szCs w:val="21"/>
              </w:rPr>
            </w:pPr>
          </w:p>
        </w:tc>
      </w:tr>
      <w:tr w14:paraId="447AD0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3DD3E7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9D71AE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6024E6">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603072E">
            <w:pPr>
              <w:adjustRightInd w:val="0"/>
              <w:snapToGrid w:val="0"/>
              <w:spacing w:line="300" w:lineRule="exact"/>
              <w:jc w:val="center"/>
              <w:rPr>
                <w:spacing w:val="20"/>
                <w:szCs w:val="21"/>
              </w:rPr>
            </w:pPr>
          </w:p>
        </w:tc>
      </w:tr>
      <w:tr w14:paraId="0C6C6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491ED4">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8B0911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3ED9A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C2AC675">
            <w:pPr>
              <w:adjustRightInd w:val="0"/>
              <w:snapToGrid w:val="0"/>
              <w:spacing w:line="300" w:lineRule="exact"/>
              <w:jc w:val="center"/>
              <w:rPr>
                <w:spacing w:val="20"/>
                <w:szCs w:val="21"/>
              </w:rPr>
            </w:pPr>
          </w:p>
        </w:tc>
      </w:tr>
      <w:tr w14:paraId="631D72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E14A64">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91B7D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29187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280C5CE">
            <w:pPr>
              <w:adjustRightInd w:val="0"/>
              <w:snapToGrid w:val="0"/>
              <w:spacing w:line="300" w:lineRule="exact"/>
              <w:jc w:val="center"/>
              <w:rPr>
                <w:spacing w:val="20"/>
                <w:szCs w:val="21"/>
              </w:rPr>
            </w:pPr>
          </w:p>
        </w:tc>
      </w:tr>
      <w:tr w14:paraId="06695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A938F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D3B2F8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6B3051">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7BE4B8B">
            <w:pPr>
              <w:adjustRightInd w:val="0"/>
              <w:snapToGrid w:val="0"/>
              <w:spacing w:line="300" w:lineRule="exact"/>
              <w:jc w:val="center"/>
              <w:rPr>
                <w:spacing w:val="20"/>
                <w:szCs w:val="21"/>
              </w:rPr>
            </w:pPr>
          </w:p>
        </w:tc>
      </w:tr>
      <w:tr w14:paraId="5D2D81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B9EE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5F7966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9613CB">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89EF9A8">
            <w:pPr>
              <w:adjustRightInd w:val="0"/>
              <w:snapToGrid w:val="0"/>
              <w:spacing w:line="300" w:lineRule="exact"/>
              <w:jc w:val="center"/>
              <w:rPr>
                <w:spacing w:val="20"/>
                <w:szCs w:val="21"/>
              </w:rPr>
            </w:pPr>
          </w:p>
        </w:tc>
      </w:tr>
      <w:tr w14:paraId="669DE6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2E9B8">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F5DAD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E3694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B13BF35">
            <w:pPr>
              <w:adjustRightInd w:val="0"/>
              <w:snapToGrid w:val="0"/>
              <w:spacing w:line="300" w:lineRule="exact"/>
              <w:jc w:val="center"/>
              <w:rPr>
                <w:spacing w:val="20"/>
                <w:szCs w:val="21"/>
              </w:rPr>
            </w:pPr>
          </w:p>
        </w:tc>
      </w:tr>
      <w:tr w14:paraId="3FB61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222724">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ACE444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DC6C7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A0438D8">
            <w:pPr>
              <w:adjustRightInd w:val="0"/>
              <w:snapToGrid w:val="0"/>
              <w:spacing w:line="300" w:lineRule="exact"/>
              <w:jc w:val="center"/>
              <w:rPr>
                <w:spacing w:val="20"/>
                <w:szCs w:val="21"/>
              </w:rPr>
            </w:pPr>
          </w:p>
        </w:tc>
      </w:tr>
      <w:tr w14:paraId="09AF26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66D1E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F207D9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8F62DBC">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69217AA">
            <w:pPr>
              <w:adjustRightInd w:val="0"/>
              <w:snapToGrid w:val="0"/>
              <w:spacing w:line="300" w:lineRule="exact"/>
              <w:jc w:val="center"/>
              <w:rPr>
                <w:spacing w:val="20"/>
                <w:szCs w:val="21"/>
              </w:rPr>
            </w:pPr>
          </w:p>
        </w:tc>
      </w:tr>
      <w:tr w14:paraId="495FA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056AE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760EE8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5B70E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5AD2BB9">
            <w:pPr>
              <w:adjustRightInd w:val="0"/>
              <w:snapToGrid w:val="0"/>
              <w:spacing w:line="300" w:lineRule="exact"/>
              <w:jc w:val="center"/>
              <w:rPr>
                <w:spacing w:val="20"/>
                <w:szCs w:val="21"/>
              </w:rPr>
            </w:pPr>
          </w:p>
        </w:tc>
      </w:tr>
      <w:tr w14:paraId="5A23C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DF246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BC8CC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302CA9">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17EF983">
            <w:pPr>
              <w:adjustRightInd w:val="0"/>
              <w:snapToGrid w:val="0"/>
              <w:spacing w:line="300" w:lineRule="exact"/>
              <w:jc w:val="center"/>
              <w:rPr>
                <w:spacing w:val="20"/>
                <w:szCs w:val="21"/>
              </w:rPr>
            </w:pPr>
          </w:p>
        </w:tc>
      </w:tr>
      <w:tr w14:paraId="1FE4B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23D82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438261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B26ED2">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275CE59">
            <w:pPr>
              <w:adjustRightInd w:val="0"/>
              <w:snapToGrid w:val="0"/>
              <w:spacing w:line="300" w:lineRule="exact"/>
              <w:jc w:val="center"/>
              <w:rPr>
                <w:spacing w:val="20"/>
                <w:szCs w:val="21"/>
              </w:rPr>
            </w:pPr>
          </w:p>
        </w:tc>
      </w:tr>
      <w:tr w14:paraId="7FE74C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C83A6B6">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7A541DD">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6" w:name="_Toc27624"/>
      <w:r>
        <w:rPr>
          <w:rFonts w:hint="eastAsia" w:ascii="黑体" w:hAnsi="黑体" w:eastAsia="黑体"/>
          <w:b w:val="0"/>
          <w:bCs w:val="0"/>
          <w:sz w:val="28"/>
          <w:szCs w:val="28"/>
        </w:rPr>
        <w:t>第二节 政府采购合同通用条款</w:t>
      </w:r>
      <w:bookmarkEnd w:id="106"/>
    </w:p>
    <w:p w14:paraId="460FD40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EF38C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01D83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C09B3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8536A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27EF9D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B69D66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94A599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87C701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812C9F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9533CB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CBFED7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B4A747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2EDA864">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392FCC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2FAB626">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FF0053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AF169A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554C5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CDA4C5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5747C8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83834E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0F7620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6EF78F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4AB7E5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8FBD5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7FAF16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73DB981">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37BC5DD">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8C821BB">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E2229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66C9E4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94375A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64F8D9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37EE27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160DFF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16FAA4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C25F2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C3EAF40">
      <w:pPr>
        <w:pStyle w:val="4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84AD9A3">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6EA7A6A">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479DB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96B584B">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B3D4A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B60B5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B5BA2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A4B15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B36DA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DD594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6336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CF1B66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EBA48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6EB912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3409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0045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08C217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1A541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7"/>
      <w:r>
        <w:rPr>
          <w:rFonts w:hint="eastAsia" w:ascii="宋体" w:hAnsi="宋体"/>
          <w:color w:val="auto"/>
          <w:szCs w:val="21"/>
          <w:highlight w:val="none"/>
        </w:rPr>
        <w:t>。</w:t>
      </w:r>
    </w:p>
    <w:p w14:paraId="0A2434E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E2BCCE5">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2E8657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DD806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78E04DB">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0428B66">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631CBE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6778B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525AB1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5A781C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EECE4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78FF2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6E505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77F00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B9813F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92854D6">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9B999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1B49B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AE5B4A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86AB31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52209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3C6A66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FF774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04B527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4E5C2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6659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1B5B7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36C692">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FE1F30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409D1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29E6E0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3537B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CB1D6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86D9678">
      <w:pPr>
        <w:pStyle w:val="4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0177F4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159D8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D101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944FCF8">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2B883A">
      <w:pPr>
        <w:pStyle w:val="4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3ACE779">
      <w:pPr>
        <w:pStyle w:val="4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D785C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9FA71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85FB3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74F70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B735C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53A4C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0D28F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85172B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8224243">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09C6C84">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EF4FE3A">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9DB469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3EF4AB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50C83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4DD34E">
      <w:pPr>
        <w:pStyle w:val="10"/>
        <w:spacing w:after="0" w:line="400" w:lineRule="exact"/>
        <w:ind w:firstLine="602"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A2F86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4DAA113">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DD6CCA">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3573A7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E456238">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9BAAFFC">
      <w:pPr>
        <w:pStyle w:val="4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D0A69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DF0B62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078DCC7">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EE027A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64B162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8" w:name="_Toc20313"/>
    </w:p>
    <w:p w14:paraId="652F6D3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79E4539">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8"/>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0D79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2F42B">
            <w:pPr>
              <w:adjustRightInd w:val="0"/>
              <w:snapToGrid w:val="0"/>
              <w:jc w:val="center"/>
              <w:rPr>
                <w:rFonts w:ascii="宋体" w:hAnsi="宋体"/>
                <w:szCs w:val="21"/>
              </w:rPr>
            </w:pPr>
            <w:r>
              <w:rPr>
                <w:rFonts w:hint="eastAsia" w:ascii="宋体" w:hAnsi="宋体"/>
                <w:szCs w:val="21"/>
              </w:rPr>
              <w:t>第二节</w:t>
            </w:r>
          </w:p>
          <w:p w14:paraId="02BD284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953C77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22714B6">
            <w:pPr>
              <w:adjustRightInd w:val="0"/>
              <w:snapToGrid w:val="0"/>
              <w:jc w:val="left"/>
              <w:rPr>
                <w:rFonts w:ascii="宋体" w:hAnsi="宋体"/>
                <w:szCs w:val="21"/>
              </w:rPr>
            </w:pPr>
          </w:p>
        </w:tc>
      </w:tr>
      <w:tr w14:paraId="3C67A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DB9ECE">
            <w:pPr>
              <w:adjustRightInd w:val="0"/>
              <w:snapToGrid w:val="0"/>
              <w:jc w:val="center"/>
              <w:rPr>
                <w:rFonts w:ascii="宋体" w:hAnsi="宋体"/>
                <w:szCs w:val="21"/>
              </w:rPr>
            </w:pPr>
            <w:r>
              <w:rPr>
                <w:rFonts w:hint="eastAsia" w:ascii="宋体" w:hAnsi="宋体"/>
                <w:szCs w:val="21"/>
              </w:rPr>
              <w:t>第二节</w:t>
            </w:r>
          </w:p>
          <w:p w14:paraId="12C62E81">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D0786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7C3B583">
            <w:pPr>
              <w:adjustRightInd w:val="0"/>
              <w:snapToGrid w:val="0"/>
              <w:jc w:val="left"/>
              <w:rPr>
                <w:rFonts w:ascii="宋体" w:hAnsi="宋体" w:eastAsia="宋体" w:cs="Times New Roman"/>
                <w:kern w:val="2"/>
                <w:sz w:val="21"/>
                <w:szCs w:val="21"/>
                <w:lang w:val="en-US" w:eastAsia="zh-CN" w:bidi="ar-SA"/>
              </w:rPr>
            </w:pPr>
          </w:p>
        </w:tc>
      </w:tr>
      <w:tr w14:paraId="4FFB0E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AA930">
            <w:pPr>
              <w:adjustRightInd w:val="0"/>
              <w:snapToGrid w:val="0"/>
              <w:jc w:val="center"/>
              <w:rPr>
                <w:rFonts w:ascii="宋体" w:hAnsi="宋体"/>
                <w:szCs w:val="21"/>
              </w:rPr>
            </w:pPr>
            <w:r>
              <w:rPr>
                <w:rFonts w:hint="eastAsia" w:ascii="宋体" w:hAnsi="宋体"/>
                <w:szCs w:val="21"/>
              </w:rPr>
              <w:t>第二节</w:t>
            </w:r>
          </w:p>
          <w:p w14:paraId="130B5D83">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063324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C011A27">
            <w:pPr>
              <w:adjustRightInd w:val="0"/>
              <w:snapToGrid w:val="0"/>
              <w:jc w:val="left"/>
              <w:rPr>
                <w:rFonts w:ascii="宋体" w:hAnsi="宋体" w:eastAsia="宋体" w:cs="Times New Roman"/>
                <w:kern w:val="2"/>
                <w:sz w:val="21"/>
                <w:szCs w:val="21"/>
                <w:lang w:val="en-US" w:eastAsia="zh-CN" w:bidi="ar-SA"/>
              </w:rPr>
            </w:pPr>
          </w:p>
        </w:tc>
      </w:tr>
      <w:tr w14:paraId="4FB00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2EFB29">
            <w:pPr>
              <w:adjustRightInd w:val="0"/>
              <w:snapToGrid w:val="0"/>
              <w:jc w:val="center"/>
              <w:rPr>
                <w:rFonts w:ascii="宋体" w:hAnsi="宋体"/>
                <w:szCs w:val="21"/>
              </w:rPr>
            </w:pPr>
            <w:r>
              <w:rPr>
                <w:rFonts w:hint="eastAsia" w:ascii="宋体" w:hAnsi="宋体"/>
                <w:szCs w:val="21"/>
              </w:rPr>
              <w:t>第二节</w:t>
            </w:r>
          </w:p>
          <w:p w14:paraId="18A9A86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FF85D3E">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73B39D3">
            <w:pPr>
              <w:adjustRightInd w:val="0"/>
              <w:snapToGrid w:val="0"/>
              <w:jc w:val="left"/>
              <w:rPr>
                <w:rFonts w:ascii="宋体" w:hAnsi="宋体" w:eastAsia="宋体" w:cs="Times New Roman"/>
                <w:kern w:val="2"/>
                <w:sz w:val="21"/>
                <w:szCs w:val="21"/>
                <w:lang w:val="en-US" w:eastAsia="zh-CN" w:bidi="ar-SA"/>
              </w:rPr>
            </w:pPr>
          </w:p>
        </w:tc>
      </w:tr>
      <w:tr w14:paraId="3E0FD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667CC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7AD41E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BE4F3A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4127F51">
            <w:pPr>
              <w:adjustRightInd w:val="0"/>
              <w:snapToGrid w:val="0"/>
              <w:jc w:val="left"/>
              <w:rPr>
                <w:rFonts w:ascii="宋体" w:hAnsi="宋体" w:eastAsia="宋体" w:cs="Times New Roman"/>
                <w:kern w:val="2"/>
                <w:sz w:val="21"/>
                <w:szCs w:val="21"/>
                <w:lang w:val="en-US" w:eastAsia="zh-CN" w:bidi="ar-SA"/>
              </w:rPr>
            </w:pPr>
          </w:p>
        </w:tc>
      </w:tr>
      <w:tr w14:paraId="49908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90BDB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E53D2EF">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7CC55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850E068">
            <w:pPr>
              <w:adjustRightInd w:val="0"/>
              <w:snapToGrid w:val="0"/>
              <w:jc w:val="left"/>
              <w:rPr>
                <w:rFonts w:ascii="宋体" w:hAnsi="宋体" w:eastAsia="宋体" w:cs="Times New Roman"/>
                <w:kern w:val="2"/>
                <w:sz w:val="21"/>
                <w:szCs w:val="21"/>
                <w:lang w:val="en-US" w:eastAsia="zh-CN" w:bidi="ar-SA"/>
              </w:rPr>
            </w:pPr>
          </w:p>
        </w:tc>
      </w:tr>
      <w:tr w14:paraId="43459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2AF012B">
            <w:pPr>
              <w:adjustRightInd w:val="0"/>
              <w:snapToGrid w:val="0"/>
              <w:jc w:val="center"/>
              <w:rPr>
                <w:rFonts w:ascii="宋体" w:hAnsi="宋体"/>
                <w:szCs w:val="21"/>
              </w:rPr>
            </w:pPr>
            <w:r>
              <w:rPr>
                <w:rFonts w:hint="eastAsia" w:ascii="宋体" w:hAnsi="宋体"/>
                <w:szCs w:val="21"/>
              </w:rPr>
              <w:t>第二节</w:t>
            </w:r>
          </w:p>
          <w:p w14:paraId="44B5B2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EC827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0B15908"/>
        </w:tc>
      </w:tr>
      <w:tr w14:paraId="298C8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D6DF88E">
            <w:pPr>
              <w:adjustRightInd w:val="0"/>
              <w:snapToGrid w:val="0"/>
              <w:jc w:val="center"/>
              <w:rPr>
                <w:rFonts w:hint="eastAsia" w:ascii="宋体" w:hAnsi="宋体"/>
                <w:szCs w:val="21"/>
              </w:rPr>
            </w:pPr>
          </w:p>
        </w:tc>
        <w:tc>
          <w:tcPr>
            <w:tcW w:w="1742" w:type="dxa"/>
            <w:vAlign w:val="center"/>
          </w:tcPr>
          <w:p w14:paraId="412D569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44DA6C1">
            <w:pPr>
              <w:rPr>
                <w:rFonts w:hint="eastAsia"/>
              </w:rPr>
            </w:pPr>
          </w:p>
        </w:tc>
      </w:tr>
      <w:tr w14:paraId="799D8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583C2E">
            <w:pPr>
              <w:adjustRightInd w:val="0"/>
              <w:snapToGrid w:val="0"/>
              <w:jc w:val="center"/>
              <w:rPr>
                <w:rFonts w:ascii="宋体" w:hAnsi="宋体"/>
                <w:szCs w:val="21"/>
              </w:rPr>
            </w:pPr>
            <w:r>
              <w:rPr>
                <w:rFonts w:hint="eastAsia" w:ascii="宋体" w:hAnsi="宋体"/>
                <w:szCs w:val="21"/>
              </w:rPr>
              <w:t>第二节</w:t>
            </w:r>
          </w:p>
          <w:p w14:paraId="52EC818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0C0C8AD">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0A51525">
            <w:pPr>
              <w:rPr>
                <w:rFonts w:hint="eastAsia"/>
              </w:rPr>
            </w:pPr>
          </w:p>
        </w:tc>
      </w:tr>
      <w:tr w14:paraId="376298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0E954C4">
            <w:pPr>
              <w:adjustRightInd w:val="0"/>
              <w:snapToGrid w:val="0"/>
              <w:jc w:val="center"/>
              <w:rPr>
                <w:rFonts w:ascii="宋体" w:hAnsi="宋体"/>
                <w:szCs w:val="21"/>
              </w:rPr>
            </w:pPr>
            <w:r>
              <w:rPr>
                <w:rFonts w:hint="eastAsia" w:ascii="宋体" w:hAnsi="宋体"/>
                <w:szCs w:val="21"/>
              </w:rPr>
              <w:t>第二节</w:t>
            </w:r>
          </w:p>
          <w:p w14:paraId="7920CCA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439B5E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6489F8A">
            <w:pPr>
              <w:rPr>
                <w:rFonts w:hint="eastAsia"/>
              </w:rPr>
            </w:pPr>
          </w:p>
        </w:tc>
      </w:tr>
      <w:tr w14:paraId="74AE2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5604FE">
            <w:pPr>
              <w:adjustRightInd w:val="0"/>
              <w:snapToGrid w:val="0"/>
              <w:jc w:val="center"/>
              <w:rPr>
                <w:rFonts w:ascii="宋体" w:hAnsi="宋体"/>
                <w:szCs w:val="21"/>
              </w:rPr>
            </w:pPr>
            <w:r>
              <w:rPr>
                <w:rFonts w:hint="eastAsia" w:ascii="宋体" w:hAnsi="宋体"/>
                <w:szCs w:val="21"/>
              </w:rPr>
              <w:t>第二节</w:t>
            </w:r>
          </w:p>
          <w:p w14:paraId="4621C13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8B2A5B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58384F1">
            <w:pPr>
              <w:autoSpaceDE w:val="0"/>
              <w:autoSpaceDN w:val="0"/>
              <w:adjustRightInd w:val="0"/>
              <w:snapToGrid w:val="0"/>
              <w:ind w:firstLine="420" w:firstLineChars="200"/>
              <w:jc w:val="left"/>
              <w:rPr>
                <w:rFonts w:ascii="宋体" w:hAnsi="宋体"/>
                <w:szCs w:val="21"/>
              </w:rPr>
            </w:pPr>
          </w:p>
        </w:tc>
      </w:tr>
      <w:tr w14:paraId="2A3F0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29C376">
            <w:pPr>
              <w:adjustRightInd w:val="0"/>
              <w:snapToGrid w:val="0"/>
              <w:jc w:val="center"/>
              <w:rPr>
                <w:rFonts w:ascii="宋体" w:hAnsi="宋体"/>
                <w:szCs w:val="21"/>
              </w:rPr>
            </w:pPr>
            <w:r>
              <w:rPr>
                <w:rFonts w:hint="eastAsia" w:ascii="宋体" w:hAnsi="宋体"/>
                <w:szCs w:val="21"/>
              </w:rPr>
              <w:t>第二节</w:t>
            </w:r>
          </w:p>
          <w:p w14:paraId="4A20650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88E748A">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5EFC735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67FEE44">
            <w:pPr>
              <w:adjustRightInd w:val="0"/>
              <w:snapToGrid w:val="0"/>
              <w:jc w:val="left"/>
              <w:rPr>
                <w:rFonts w:ascii="宋体" w:hAnsi="宋体"/>
                <w:szCs w:val="21"/>
              </w:rPr>
            </w:pPr>
          </w:p>
        </w:tc>
      </w:tr>
      <w:tr w14:paraId="732B9C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FC2D3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F286746">
            <w:pPr>
              <w:pStyle w:val="4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25A35FF">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B3D23B8">
            <w:pPr>
              <w:adjustRightInd w:val="0"/>
              <w:snapToGrid w:val="0"/>
              <w:jc w:val="left"/>
              <w:rPr>
                <w:rFonts w:ascii="宋体" w:hAnsi="宋体"/>
                <w:szCs w:val="21"/>
              </w:rPr>
            </w:pPr>
          </w:p>
        </w:tc>
      </w:tr>
      <w:tr w14:paraId="2AC55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078331">
            <w:pPr>
              <w:adjustRightInd w:val="0"/>
              <w:snapToGrid w:val="0"/>
              <w:jc w:val="center"/>
              <w:rPr>
                <w:rFonts w:ascii="宋体" w:hAnsi="宋体"/>
                <w:szCs w:val="21"/>
              </w:rPr>
            </w:pPr>
            <w:r>
              <w:rPr>
                <w:rFonts w:hint="eastAsia" w:ascii="宋体" w:hAnsi="宋体"/>
                <w:szCs w:val="21"/>
              </w:rPr>
              <w:t>第二节</w:t>
            </w:r>
          </w:p>
          <w:p w14:paraId="19E02E6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BD04BEB">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046D0DE">
            <w:pPr>
              <w:adjustRightInd w:val="0"/>
              <w:snapToGrid w:val="0"/>
              <w:jc w:val="left"/>
              <w:rPr>
                <w:rFonts w:ascii="宋体" w:hAnsi="宋体"/>
                <w:szCs w:val="21"/>
              </w:rPr>
            </w:pPr>
          </w:p>
        </w:tc>
      </w:tr>
      <w:tr w14:paraId="5823C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401160">
            <w:pPr>
              <w:adjustRightInd w:val="0"/>
              <w:snapToGrid w:val="0"/>
              <w:jc w:val="center"/>
              <w:rPr>
                <w:rFonts w:hint="eastAsia" w:ascii="宋体" w:hAnsi="宋体"/>
                <w:szCs w:val="21"/>
              </w:rPr>
            </w:pPr>
            <w:r>
              <w:rPr>
                <w:rFonts w:hint="eastAsia" w:ascii="宋体" w:hAnsi="宋体"/>
                <w:szCs w:val="21"/>
              </w:rPr>
              <w:t>第二节</w:t>
            </w:r>
          </w:p>
          <w:p w14:paraId="09925C5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EB5085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5767D58">
            <w:pPr>
              <w:adjustRightInd w:val="0"/>
              <w:snapToGrid w:val="0"/>
              <w:jc w:val="left"/>
              <w:rPr>
                <w:rFonts w:ascii="宋体" w:hAnsi="宋体"/>
                <w:szCs w:val="21"/>
              </w:rPr>
            </w:pPr>
          </w:p>
        </w:tc>
      </w:tr>
      <w:tr w14:paraId="7189A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9A543A">
            <w:pPr>
              <w:adjustRightInd w:val="0"/>
              <w:snapToGrid w:val="0"/>
              <w:jc w:val="center"/>
              <w:rPr>
                <w:rFonts w:hint="eastAsia" w:ascii="宋体" w:hAnsi="宋体"/>
                <w:szCs w:val="21"/>
              </w:rPr>
            </w:pPr>
            <w:r>
              <w:rPr>
                <w:rFonts w:hint="eastAsia" w:ascii="宋体" w:hAnsi="宋体"/>
                <w:szCs w:val="21"/>
              </w:rPr>
              <w:t>第二节</w:t>
            </w:r>
          </w:p>
          <w:p w14:paraId="51BEEDE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060446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2E3EEF3">
            <w:pPr>
              <w:adjustRightInd w:val="0"/>
              <w:snapToGrid w:val="0"/>
              <w:jc w:val="left"/>
              <w:rPr>
                <w:rFonts w:ascii="宋体" w:hAnsi="宋体"/>
                <w:szCs w:val="21"/>
              </w:rPr>
            </w:pPr>
          </w:p>
        </w:tc>
      </w:tr>
      <w:tr w14:paraId="1C297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A627E82">
            <w:pPr>
              <w:adjustRightInd w:val="0"/>
              <w:snapToGrid w:val="0"/>
              <w:jc w:val="center"/>
              <w:rPr>
                <w:rFonts w:ascii="宋体" w:hAnsi="宋体"/>
                <w:szCs w:val="21"/>
              </w:rPr>
            </w:pPr>
            <w:r>
              <w:rPr>
                <w:rFonts w:hint="eastAsia" w:ascii="宋体" w:hAnsi="宋体"/>
                <w:szCs w:val="21"/>
              </w:rPr>
              <w:t>第二节</w:t>
            </w:r>
          </w:p>
          <w:p w14:paraId="4384BF5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E6D28C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10BDABD">
            <w:pPr>
              <w:adjustRightInd w:val="0"/>
              <w:snapToGrid w:val="0"/>
              <w:jc w:val="left"/>
              <w:rPr>
                <w:rFonts w:ascii="宋体" w:hAnsi="宋体"/>
                <w:szCs w:val="21"/>
              </w:rPr>
            </w:pPr>
          </w:p>
        </w:tc>
      </w:tr>
      <w:tr w14:paraId="24B95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3E70B5">
            <w:pPr>
              <w:adjustRightInd w:val="0"/>
              <w:snapToGrid w:val="0"/>
              <w:jc w:val="center"/>
              <w:rPr>
                <w:rFonts w:ascii="宋体" w:hAnsi="宋体"/>
                <w:szCs w:val="21"/>
              </w:rPr>
            </w:pPr>
            <w:r>
              <w:rPr>
                <w:rFonts w:hint="eastAsia" w:ascii="宋体" w:hAnsi="宋体"/>
                <w:szCs w:val="21"/>
              </w:rPr>
              <w:t>第二节</w:t>
            </w:r>
          </w:p>
          <w:p w14:paraId="596A1BF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5A242B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C919DDE">
            <w:pPr>
              <w:adjustRightInd w:val="0"/>
              <w:snapToGrid w:val="0"/>
              <w:jc w:val="left"/>
              <w:rPr>
                <w:rFonts w:ascii="宋体" w:hAnsi="宋体"/>
                <w:szCs w:val="21"/>
              </w:rPr>
            </w:pPr>
          </w:p>
        </w:tc>
      </w:tr>
      <w:tr w14:paraId="72EC5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A22CC9">
            <w:pPr>
              <w:adjustRightInd w:val="0"/>
              <w:snapToGrid w:val="0"/>
              <w:jc w:val="center"/>
              <w:rPr>
                <w:rFonts w:ascii="宋体" w:hAnsi="宋体"/>
                <w:szCs w:val="21"/>
              </w:rPr>
            </w:pPr>
            <w:r>
              <w:rPr>
                <w:rFonts w:hint="eastAsia" w:ascii="宋体" w:hAnsi="宋体"/>
                <w:szCs w:val="21"/>
              </w:rPr>
              <w:t>第二节</w:t>
            </w:r>
          </w:p>
          <w:p w14:paraId="1FA3584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0E56EC7">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7A5F2BD">
            <w:pPr>
              <w:adjustRightInd w:val="0"/>
              <w:snapToGrid w:val="0"/>
              <w:jc w:val="left"/>
              <w:rPr>
                <w:rFonts w:ascii="宋体" w:hAnsi="宋体"/>
                <w:szCs w:val="21"/>
              </w:rPr>
            </w:pPr>
          </w:p>
        </w:tc>
      </w:tr>
      <w:tr w14:paraId="0DC36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6B0146">
            <w:pPr>
              <w:adjustRightInd w:val="0"/>
              <w:snapToGrid w:val="0"/>
              <w:jc w:val="center"/>
              <w:rPr>
                <w:rFonts w:ascii="宋体" w:hAnsi="宋体"/>
                <w:szCs w:val="21"/>
              </w:rPr>
            </w:pPr>
            <w:r>
              <w:rPr>
                <w:rFonts w:hint="eastAsia" w:ascii="宋体" w:hAnsi="宋体"/>
                <w:szCs w:val="21"/>
              </w:rPr>
              <w:t>第二节</w:t>
            </w:r>
          </w:p>
          <w:p w14:paraId="5C86DB7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16BAC8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C325184">
            <w:pPr>
              <w:adjustRightInd w:val="0"/>
              <w:snapToGrid w:val="0"/>
              <w:jc w:val="left"/>
              <w:rPr>
                <w:rFonts w:ascii="宋体" w:hAnsi="宋体"/>
                <w:szCs w:val="21"/>
              </w:rPr>
            </w:pPr>
          </w:p>
        </w:tc>
      </w:tr>
      <w:tr w14:paraId="73CB0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B069AA">
            <w:pPr>
              <w:adjustRightInd w:val="0"/>
              <w:snapToGrid w:val="0"/>
              <w:jc w:val="center"/>
              <w:rPr>
                <w:rFonts w:ascii="宋体" w:hAnsi="宋体"/>
                <w:szCs w:val="21"/>
              </w:rPr>
            </w:pPr>
            <w:r>
              <w:rPr>
                <w:rFonts w:hint="eastAsia" w:ascii="宋体" w:hAnsi="宋体"/>
                <w:szCs w:val="21"/>
              </w:rPr>
              <w:t>第二节</w:t>
            </w:r>
          </w:p>
          <w:p w14:paraId="32E6050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E6F186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43BD9A6">
            <w:pPr>
              <w:adjustRightInd w:val="0"/>
              <w:snapToGrid w:val="0"/>
              <w:jc w:val="left"/>
              <w:rPr>
                <w:rFonts w:ascii="宋体" w:hAnsi="宋体"/>
                <w:szCs w:val="21"/>
                <w:u w:val="single"/>
              </w:rPr>
            </w:pPr>
          </w:p>
        </w:tc>
      </w:tr>
      <w:tr w14:paraId="2E093A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C6CC08">
            <w:pPr>
              <w:adjustRightInd w:val="0"/>
              <w:snapToGrid w:val="0"/>
              <w:jc w:val="center"/>
              <w:rPr>
                <w:rFonts w:ascii="宋体" w:hAnsi="宋体"/>
                <w:szCs w:val="21"/>
              </w:rPr>
            </w:pPr>
            <w:r>
              <w:rPr>
                <w:rFonts w:hint="eastAsia" w:ascii="宋体" w:hAnsi="宋体"/>
                <w:szCs w:val="21"/>
              </w:rPr>
              <w:t>第二节</w:t>
            </w:r>
          </w:p>
          <w:p w14:paraId="2393770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0709B6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1920D026">
            <w:pPr>
              <w:adjustRightInd w:val="0"/>
              <w:snapToGrid w:val="0"/>
              <w:jc w:val="left"/>
              <w:rPr>
                <w:rFonts w:ascii="宋体" w:hAnsi="宋体"/>
                <w:szCs w:val="21"/>
                <w:u w:val="single"/>
              </w:rPr>
            </w:pPr>
          </w:p>
        </w:tc>
      </w:tr>
      <w:tr w14:paraId="62CEE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5B0AED">
            <w:pPr>
              <w:adjustRightInd w:val="0"/>
              <w:snapToGrid w:val="0"/>
              <w:jc w:val="center"/>
              <w:rPr>
                <w:rFonts w:ascii="宋体" w:hAnsi="宋体"/>
                <w:szCs w:val="21"/>
              </w:rPr>
            </w:pPr>
            <w:r>
              <w:rPr>
                <w:rFonts w:hint="eastAsia" w:ascii="宋体" w:hAnsi="宋体"/>
                <w:szCs w:val="21"/>
              </w:rPr>
              <w:t>第二节</w:t>
            </w:r>
          </w:p>
          <w:p w14:paraId="67BC99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D5AFDEA">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48F048">
            <w:pPr>
              <w:adjustRightInd w:val="0"/>
              <w:snapToGrid w:val="0"/>
              <w:jc w:val="left"/>
              <w:rPr>
                <w:rFonts w:ascii="宋体" w:hAnsi="宋体"/>
                <w:szCs w:val="21"/>
                <w:u w:val="single"/>
              </w:rPr>
            </w:pPr>
          </w:p>
        </w:tc>
      </w:tr>
      <w:tr w14:paraId="1D415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B5CC7DD">
            <w:pPr>
              <w:adjustRightInd w:val="0"/>
              <w:snapToGrid w:val="0"/>
              <w:jc w:val="center"/>
              <w:rPr>
                <w:rFonts w:ascii="宋体" w:hAnsi="宋体"/>
                <w:szCs w:val="21"/>
              </w:rPr>
            </w:pPr>
            <w:r>
              <w:rPr>
                <w:rFonts w:hint="eastAsia" w:ascii="宋体" w:hAnsi="宋体"/>
                <w:szCs w:val="21"/>
              </w:rPr>
              <w:t>第二节</w:t>
            </w:r>
          </w:p>
          <w:p w14:paraId="5087F32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A38F8A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94E1D3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87437F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46524FA">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E815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EBF6B1B">
            <w:pPr>
              <w:adjustRightInd w:val="0"/>
              <w:snapToGrid w:val="0"/>
              <w:jc w:val="center"/>
              <w:rPr>
                <w:rFonts w:ascii="宋体" w:hAnsi="宋体"/>
                <w:szCs w:val="21"/>
              </w:rPr>
            </w:pPr>
            <w:r>
              <w:rPr>
                <w:rFonts w:hint="eastAsia" w:ascii="宋体" w:hAnsi="宋体"/>
                <w:szCs w:val="21"/>
              </w:rPr>
              <w:t>第二节</w:t>
            </w:r>
          </w:p>
          <w:p w14:paraId="024D41F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B9BB38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962AE53">
            <w:pPr>
              <w:adjustRightInd w:val="0"/>
              <w:snapToGrid w:val="0"/>
              <w:jc w:val="left"/>
              <w:rPr>
                <w:rFonts w:hint="default" w:ascii="宋体" w:hAnsi="宋体" w:eastAsia="宋体"/>
                <w:szCs w:val="21"/>
                <w:lang w:val="en-US" w:eastAsia="zh-CN"/>
              </w:rPr>
            </w:pPr>
          </w:p>
        </w:tc>
      </w:tr>
    </w:tbl>
    <w:p w14:paraId="38ADB5A5"/>
    <w:p w14:paraId="220FA0F2"/>
    <w:p w14:paraId="1463A1D3">
      <w:pPr>
        <w:rPr>
          <w:rFonts w:hint="eastAsia"/>
          <w:color w:val="auto"/>
          <w:lang w:val="zh-CN"/>
        </w:rPr>
      </w:pPr>
      <w:r>
        <w:rPr>
          <w:rFonts w:hint="eastAsia"/>
          <w:color w:val="auto"/>
          <w:lang w:val="zh-CN"/>
        </w:rPr>
        <w:br w:type="page"/>
      </w:r>
    </w:p>
    <w:p w14:paraId="54024F38">
      <w:pPr>
        <w:tabs>
          <w:tab w:val="left" w:pos="432"/>
        </w:tabs>
        <w:jc w:val="center"/>
        <w:outlineLvl w:val="0"/>
        <w:rPr>
          <w:rFonts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 xml:space="preserve"> 技术部分</w:t>
      </w:r>
    </w:p>
    <w:p w14:paraId="4190F025">
      <w:pPr>
        <w:rPr>
          <w:color w:val="auto"/>
        </w:rPr>
      </w:pPr>
    </w:p>
    <w:tbl>
      <w:tblPr>
        <w:tblStyle w:val="24"/>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80"/>
        <w:gridCol w:w="5350"/>
        <w:gridCol w:w="700"/>
        <w:gridCol w:w="712"/>
      </w:tblGrid>
      <w:tr w14:paraId="76C3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44098965">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080" w:type="dxa"/>
            <w:noWrap w:val="0"/>
            <w:vAlign w:val="center"/>
          </w:tcPr>
          <w:p w14:paraId="578BB6D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设备</w:t>
            </w:r>
            <w:r>
              <w:rPr>
                <w:rFonts w:hint="eastAsia" w:ascii="宋体" w:hAnsi="宋体" w:eastAsia="宋体" w:cs="宋体"/>
                <w:b/>
                <w:sz w:val="21"/>
                <w:szCs w:val="21"/>
              </w:rPr>
              <w:t>名称</w:t>
            </w:r>
          </w:p>
        </w:tc>
        <w:tc>
          <w:tcPr>
            <w:tcW w:w="5350" w:type="dxa"/>
            <w:noWrap w:val="0"/>
            <w:vAlign w:val="center"/>
          </w:tcPr>
          <w:p w14:paraId="58A368E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功能配置及技术指标要求</w:t>
            </w:r>
          </w:p>
        </w:tc>
        <w:tc>
          <w:tcPr>
            <w:tcW w:w="700" w:type="dxa"/>
            <w:noWrap w:val="0"/>
            <w:vAlign w:val="center"/>
          </w:tcPr>
          <w:p w14:paraId="20BA6E8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12" w:type="dxa"/>
            <w:noWrap w:val="0"/>
            <w:vAlign w:val="center"/>
          </w:tcPr>
          <w:p w14:paraId="79B7B35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r>
      <w:tr w14:paraId="6128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3815B6B0">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kern w:val="0"/>
                <w:szCs w:val="21"/>
                <w:highlight w:val="none"/>
                <w:lang w:val="en-US" w:eastAsia="zh-CN"/>
              </w:rPr>
              <w:t>1</w:t>
            </w:r>
          </w:p>
        </w:tc>
        <w:tc>
          <w:tcPr>
            <w:tcW w:w="1080" w:type="dxa"/>
            <w:noWrap w:val="0"/>
            <w:vAlign w:val="center"/>
          </w:tcPr>
          <w:p w14:paraId="07251D2B">
            <w:pPr>
              <w:spacing w:line="240" w:lineRule="auto"/>
              <w:jc w:val="center"/>
              <w:rPr>
                <w:rFonts w:hint="eastAsia" w:ascii="宋体" w:hAnsi="宋体" w:eastAsia="宋体" w:cs="宋体"/>
                <w:color w:val="000000"/>
                <w:sz w:val="21"/>
                <w:szCs w:val="21"/>
              </w:rPr>
            </w:pPr>
            <w:r>
              <w:rPr>
                <w:rFonts w:hint="eastAsia" w:ascii="宋体" w:hAnsi="宋体" w:eastAsia="宋体" w:cs="宋体"/>
                <w:color w:val="auto"/>
                <w:szCs w:val="21"/>
                <w:highlight w:val="none"/>
                <w:lang w:val="en-US" w:eastAsia="zh-CN"/>
              </w:rPr>
              <w:t>低压电工作业安全技术实操设备</w:t>
            </w:r>
          </w:p>
        </w:tc>
        <w:tc>
          <w:tcPr>
            <w:tcW w:w="5350" w:type="dxa"/>
            <w:noWrap w:val="0"/>
            <w:vAlign w:val="top"/>
          </w:tcPr>
          <w:p w14:paraId="338F979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低压电工作业安全技术实操考核系统</w:t>
            </w:r>
            <w:r>
              <w:rPr>
                <w:rFonts w:hint="eastAsia" w:ascii="宋体" w:hAnsi="宋体" w:eastAsia="宋体" w:cs="宋体"/>
                <w:color w:val="auto"/>
                <w:szCs w:val="21"/>
                <w:highlight w:val="none"/>
                <w:lang w:bidi="ar"/>
              </w:rPr>
              <w:t>主要由4块网孔板、电动机、电源转变组件、操作平台桌</w:t>
            </w:r>
            <w:r>
              <w:rPr>
                <w:rFonts w:hint="eastAsia" w:ascii="宋体" w:hAnsi="宋体" w:eastAsia="宋体" w:cs="宋体"/>
                <w:color w:val="auto"/>
                <w:szCs w:val="21"/>
                <w:highlight w:val="none"/>
                <w:lang w:val="en-US" w:eastAsia="zh-CN" w:bidi="ar"/>
              </w:rPr>
              <w:t>、电工仪表安全使用测试台</w:t>
            </w:r>
            <w:r>
              <w:rPr>
                <w:rFonts w:hint="eastAsia" w:ascii="宋体" w:hAnsi="宋体" w:eastAsia="宋体" w:cs="宋体"/>
                <w:color w:val="auto"/>
                <w:szCs w:val="21"/>
                <w:highlight w:val="none"/>
                <w:lang w:bidi="ar"/>
              </w:rPr>
              <w:t>及相应电工器材</w:t>
            </w:r>
            <w:r>
              <w:rPr>
                <w:rFonts w:hint="eastAsia" w:ascii="宋体" w:hAnsi="宋体" w:eastAsia="宋体" w:cs="宋体"/>
                <w:color w:val="auto"/>
                <w:szCs w:val="21"/>
                <w:highlight w:val="none"/>
                <w:lang w:val="en-US" w:eastAsia="zh-CN" w:bidi="ar"/>
              </w:rPr>
              <w:t>、智慧考场综合实训一体机</w:t>
            </w:r>
            <w:r>
              <w:rPr>
                <w:rFonts w:hint="eastAsia" w:ascii="宋体" w:hAnsi="宋体" w:eastAsia="宋体" w:cs="宋体"/>
                <w:color w:val="auto"/>
                <w:szCs w:val="21"/>
                <w:highlight w:val="none"/>
                <w:lang w:bidi="ar"/>
              </w:rPr>
              <w:t>等组成：</w:t>
            </w:r>
          </w:p>
          <w:p w14:paraId="210A2DC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1、实操网孔板：K21\K22\K23\K24四块网孔板。四块网孔版可自由拆卸和装入实操台框架里，方便水平放置在台面上接插线或者竖直挂着接插线，灵活方便。</w:t>
            </w:r>
          </w:p>
          <w:p w14:paraId="63C7B85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2、三相异步电动机：三相交流AC24V提供电源动力。</w:t>
            </w:r>
          </w:p>
          <w:p w14:paraId="0B93346D">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3、直流稳压稳流电源：电压0-30V连续可调，输出电流2A。</w:t>
            </w:r>
          </w:p>
          <w:p w14:paraId="7BCBADB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4、低压交流电源输出：可同时输出3V、6V、12V、24V、36V。</w:t>
            </w:r>
          </w:p>
          <w:p w14:paraId="03A0ABA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5、提供4四组功率电阻，可用于测量电阻值的练习和考试之用。</w:t>
            </w:r>
          </w:p>
          <w:p w14:paraId="6E335C4E">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6、平台桌子：绿色工作台，配抽屉和置物柜，可放置线缆辅材、电工仪表和工具。</w:t>
            </w:r>
          </w:p>
          <w:p w14:paraId="717F7BD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7、电工器材：标识牌、安全用具、电工仪表及电工线材。</w:t>
            </w:r>
          </w:p>
          <w:p w14:paraId="287E726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8、设备采用优质冷轧钢板成型，表面喷塑处理，设备主要配置实操台一套，有网孔板4件，设置4个工位（前后各2个）。台子有定向脚轮2个，万向脚轮2个。 </w:t>
            </w:r>
          </w:p>
          <w:p w14:paraId="419192DD">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9、实操网孔板顺序可随机组合，确保相邻工位不重复，可多人同时进行考试及培训，最大程度上利用了设备。</w:t>
            </w:r>
          </w:p>
          <w:p w14:paraId="50870EA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10、设备占地面积小，坚固耐用，方便移动。</w:t>
            </w:r>
          </w:p>
          <w:p w14:paraId="3734C68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11、每套设备前、后两面各自都配置了2套网孔板，网孔板背靠背设置，即一套设备同时配置4块网孔板，前、后台面上各自配备1台24V交流电动机（共2台），电机接线口直观，支持三角形接法和星形接法2种方式，可以实时观察电机的转动情况。</w:t>
            </w:r>
          </w:p>
          <w:p w14:paraId="36ADBEB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12、所有的电子元器件均采用真实德力西或其他著名公司生产的国际标准元件，可支持做多种电路考核要求器件，主电路、控制回路通过导线引到接线端子上，配备电工工具及导线辅材。</w:t>
            </w:r>
          </w:p>
          <w:p w14:paraId="524019E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所有元器件，支持学员自主在网孔板上合理地定位布局、安装及拆卸，十分灵活便捷。</w:t>
            </w:r>
          </w:p>
          <w:p w14:paraId="4E0BA2B3">
            <w:pPr>
              <w:widowControl/>
              <w:spacing w:line="240" w:lineRule="auto"/>
              <w:textAlignment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13、实操接线面板使用的电工配件采用的交流真实配件，配件包括三相干式隔离变压器、三相异步电动机、漏电保护器、降压变压器、动力压扣开关、熔断器底座2PIN、熔断器底座3PIN、断路器3P32A、热继电器、暗装墙壁开关、AC24V交流接触器、热继电器、</w:t>
            </w:r>
            <w:r>
              <w:rPr>
                <w:rFonts w:hint="eastAsia" w:ascii="宋体" w:hAnsi="宋体" w:eastAsia="宋体" w:cs="宋体"/>
                <w:color w:val="auto"/>
                <w:highlight w:val="none"/>
              </w:rPr>
              <w:t>螺口灯泡、单相电子式电能表、500V电压测量表、电流互感器、85L17交流毫安表等。</w:t>
            </w:r>
          </w:p>
          <w:p w14:paraId="3DBB87B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14、电工仪表安全使用测试台</w:t>
            </w:r>
            <w:r>
              <w:rPr>
                <w:rFonts w:hint="eastAsia" w:ascii="宋体" w:hAnsi="宋体" w:eastAsia="宋体" w:cs="宋体"/>
                <w:color w:val="auto"/>
                <w:szCs w:val="21"/>
                <w:highlight w:val="none"/>
                <w:lang w:bidi="ar"/>
              </w:rPr>
              <w:t>主要由测试台、电源转变组件、操作平台桌及相应电工器材等组成：</w:t>
            </w:r>
          </w:p>
          <w:p w14:paraId="666CC66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测试台分布着直流回路区、交流回路区、交流电源测量区、接地电阻测试区。提供了万用表、钳流表及接地电阻测试仪测量的使用场景。</w:t>
            </w:r>
          </w:p>
          <w:p w14:paraId="2FF788F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在交流回路区，回路提供AC36V交流电源，由断路器、保险丝、急停开关、螺孔灯泡、可调电阻、指针式交流电压表及可插拔导线组成该交流回路，可做交流电压测量、可调电阻测量、交流电流测量。</w:t>
            </w:r>
          </w:p>
          <w:p w14:paraId="397ECAC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直流回路区，回路可提供0-36V直流电源，通过可调电阻的旋钮调节灯泡亮度并测量各状态电流。由断路器、保险丝、急停开关、螺孔灯泡、可调电阻、指针式直流电压表及可插拔导线组成该直流回路，可做直流电压测量、可调电阻测量、直流电流测量。</w:t>
            </w:r>
          </w:p>
          <w:p w14:paraId="43BCA0F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在交流电源测量区，提供3V、6V、12V、24V、36V多种交流电源输出，可测量各电压值，电流值。</w:t>
            </w:r>
          </w:p>
          <w:p w14:paraId="156A8D7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接地电阻测试区，提供模拟的接地电阻的测量。</w:t>
            </w:r>
          </w:p>
          <w:p w14:paraId="5B062FFA">
            <w:pPr>
              <w:widowControl/>
              <w:spacing w:line="240" w:lineRule="auto"/>
              <w:textAlignment w:val="center"/>
              <w:rPr>
                <w:rFonts w:hint="eastAsia" w:ascii="宋体" w:hAnsi="宋体" w:eastAsia="宋体" w:cs="宋体"/>
                <w:color w:val="auto"/>
                <w:szCs w:val="21"/>
                <w:highlight w:val="none"/>
                <w:lang w:bidi="ar"/>
              </w:rPr>
            </w:pPr>
          </w:p>
          <w:p w14:paraId="1631E124">
            <w:pPr>
              <w:widowControl/>
              <w:spacing w:line="240" w:lineRule="auto"/>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15、智慧考场综合实训一体机参数内容包括：</w:t>
            </w:r>
          </w:p>
          <w:p w14:paraId="01D9A8B3">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一、设备基本参数</w:t>
            </w:r>
          </w:p>
          <w:p w14:paraId="60B6049A">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1、工作电源：AC220V ，50Hz</w:t>
            </w:r>
          </w:p>
          <w:p w14:paraId="7CEC0FB3">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2、空载功耗：≤150W（待实测）；</w:t>
            </w:r>
          </w:p>
          <w:p w14:paraId="0AFACFCA">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工作温度：-10℃～+40℃；</w:t>
            </w:r>
          </w:p>
          <w:p w14:paraId="718E98D2">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相对湿度：≤90%</w:t>
            </w:r>
          </w:p>
          <w:p w14:paraId="65B21D2B">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3、物理参数：</w:t>
            </w:r>
          </w:p>
          <w:p w14:paraId="0B84D6AE">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外形尺寸（长×宽×高）：≤1200mm×650mm×1940mm；</w:t>
            </w:r>
          </w:p>
          <w:p w14:paraId="76D30229">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重量：155±5 Kg；</w:t>
            </w:r>
          </w:p>
          <w:p w14:paraId="1908C86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4、答题触摸显示屏尺寸≥43寸，显示屏分辨率：1920×1080；</w:t>
            </w:r>
          </w:p>
          <w:p w14:paraId="0A5BB234">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处理器不低于I5，运行内存8G，固态硬盘120G；</w:t>
            </w:r>
          </w:p>
          <w:p w14:paraId="09E4BFA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5、实操台（内置PC模块、智能终端数据采集模块组件、</w:t>
            </w:r>
            <w:r>
              <w:rPr>
                <w:rFonts w:hint="eastAsia" w:ascii="宋体" w:hAnsi="宋体" w:eastAsia="宋体" w:cs="宋体"/>
                <w:color w:val="auto"/>
                <w:kern w:val="2"/>
                <w:sz w:val="22"/>
              </w:rPr>
              <w:t>XBox</w:t>
            </w:r>
            <w:r>
              <w:rPr>
                <w:rFonts w:hint="eastAsia" w:ascii="宋体" w:hAnsi="宋体" w:eastAsia="宋体" w:cs="宋体"/>
                <w:color w:val="auto"/>
              </w:rPr>
              <w:t>组件、嵌入金属键盘）；</w:t>
            </w:r>
          </w:p>
          <w:p w14:paraId="1999EE2A">
            <w:pPr>
              <w:spacing w:line="240" w:lineRule="auto"/>
              <w:rPr>
                <w:rFonts w:hint="eastAsia" w:ascii="宋体" w:hAnsi="宋体" w:eastAsia="宋体" w:cs="宋体"/>
                <w:color w:val="auto"/>
              </w:rPr>
            </w:pPr>
            <w:r>
              <w:rPr>
                <w:rFonts w:hint="eastAsia" w:ascii="宋体" w:hAnsi="宋体" w:eastAsia="宋体" w:cs="宋体"/>
                <w:color w:val="auto"/>
              </w:rPr>
              <w:t>6、灭火器组件（含二氧化碳灭火器、干粉灭火器、水基灭火器、沙桶、底座）；</w:t>
            </w:r>
          </w:p>
          <w:p w14:paraId="1A11789D">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二、设备详细参数（软件类）</w:t>
            </w:r>
          </w:p>
          <w:p w14:paraId="73B47E9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在设备执行考试任务时，内置的智能视觉识别系统会基于先进的动态捕捉技术，以毫秒级的响应速度，从不同角度和位置对考生进行实时监测。考试过程中，系统将自动且随机地抓拍 3 张高清照片，并运用时间戳记录与加密存储，随后无缝附于考生成绩单之后。这种防篡改、可追溯的技术手段，为考试的公正性构筑起坚固防线，能有效杜绝各类舞弊行为的发生，确保考试结果的真实可靠。</w:t>
            </w:r>
          </w:p>
          <w:p w14:paraId="4738220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具备刷身份证读取考生身份信息功能。具有进行手动输入姓名、身份证号获取考生身份信息功能，手动输入时，自动弹出软键盘功能，输入时自动检测身份证长度，软键盘支持0-9数字及X字母输入，自带清除及删除功能。</w:t>
            </w:r>
          </w:p>
          <w:p w14:paraId="5B55F78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系统搭载了先进的智能语音交互引擎，具备高度智能化的自动语音播报功能</w:t>
            </w:r>
            <w:r>
              <w:rPr>
                <w:rFonts w:hint="eastAsia" w:ascii="宋体" w:hAnsi="宋体" w:eastAsia="宋体" w:cs="宋体"/>
                <w:color w:val="auto"/>
              </w:rPr>
              <w:t>。</w:t>
            </w:r>
          </w:p>
          <w:p w14:paraId="338A67A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4、可支持手动灵活配置单科目考试时间。</w:t>
            </w:r>
          </w:p>
          <w:p w14:paraId="7647EF5C">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hd w:val="clear" w:color="auto" w:fill="FFFFFF"/>
              </w:rPr>
              <w:t>在练习模式下，系统植入了智能实时反馈机制，凭借先进的算法和数据比对技术，能够在用户完成答题的瞬间，迅速对答案进行精准判定。一旦答案提交，系统会立即以直观、清晰的方式，给予用户关于答题正确与否的即时提示，帮助用户快速了解自身答题情况</w:t>
            </w:r>
            <w:r>
              <w:rPr>
                <w:rFonts w:hint="eastAsia" w:ascii="宋体" w:hAnsi="宋体" w:eastAsia="宋体" w:cs="宋体"/>
                <w:color w:val="auto"/>
              </w:rPr>
              <w:t>。</w:t>
            </w:r>
          </w:p>
          <w:p w14:paraId="1BD23F2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6、切题方式自由，可顺序切题及自由切题方式。</w:t>
            </w:r>
          </w:p>
          <w:p w14:paraId="0FF2F2F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7、系统支持自主选择考试科目、随机选择考试科目两种方式。</w:t>
            </w:r>
          </w:p>
          <w:p w14:paraId="0D57054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8、支持双指拉伸图片可放大、缩小、退出全屏查看方式。</w:t>
            </w:r>
          </w:p>
          <w:p w14:paraId="38D90E2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shd w:val="clear" w:color="auto" w:fill="FFFFFF"/>
              </w:rPr>
              <w:t>在切题时，用户既可以选择顺序切题模式，系统将依照精心编排的逻辑顺序，有条不紊地呈现题目，助力用户循序渐进地深入学习；也能够选用自由切题模式，让答题过程更加自主、高效</w:t>
            </w:r>
            <w:r>
              <w:rPr>
                <w:rFonts w:hint="eastAsia" w:ascii="宋体" w:hAnsi="宋体" w:eastAsia="宋体" w:cs="宋体"/>
                <w:color w:val="auto"/>
              </w:rPr>
              <w:t>。</w:t>
            </w:r>
          </w:p>
          <w:p w14:paraId="7981696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10、每科目考试及练习完成后具备得分统计，用时统计功能。</w:t>
            </w:r>
          </w:p>
          <w:p w14:paraId="5DDF998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11、练习模式下，可自由返回上一科目继续练习功能。</w:t>
            </w:r>
          </w:p>
          <w:p w14:paraId="05BE2B6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shd w:val="clear" w:color="auto" w:fill="FFFFFF"/>
              </w:rPr>
              <w:t>在考核模式中，系统内置了精密且严格的时间管控机制。当单科目考试进入倒计时阶段，系统会以精准的计时算法，实时监控剩余时间。一旦倒计时结束，基于先进的自动化技术，系统将立即启动强制提交程序，自动锁定当前答题状态。</w:t>
            </w:r>
          </w:p>
          <w:p w14:paraId="31BC0EE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13、软件具有考试模式（系统对每一个科目下的子科目随机抽取，进行考试）和培训练习模式（可对每一个科目下的所有子科目自行选择，预览所有答题进行练习）功能。</w:t>
            </w:r>
          </w:p>
          <w:p w14:paraId="2BF71F5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14、根据国家实操考核大纲及地方要求设置补考次数限制功能，设置补考次，默认为2次，可根据考场需求自行设置补考次数，考生可以规定考试次数内进行补考操作，否则不能再进行补考操作。</w:t>
            </w:r>
          </w:p>
          <w:p w14:paraId="6569EF1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15、具有根据考试时间段、身份号模糊查询本机总成绩及得分明细功能，</w:t>
            </w:r>
            <w:r>
              <w:rPr>
                <w:rFonts w:hint="eastAsia" w:ascii="宋体" w:hAnsi="宋体" w:eastAsia="宋体" w:cs="宋体"/>
                <w:color w:val="auto"/>
                <w:shd w:val="clear" w:color="auto" w:fill="FFFFFF"/>
              </w:rPr>
              <w:t>快速定位目标信息</w:t>
            </w:r>
            <w:r>
              <w:rPr>
                <w:rFonts w:hint="eastAsia" w:ascii="宋体" w:hAnsi="宋体" w:eastAsia="宋体" w:cs="宋体"/>
                <w:color w:val="auto"/>
              </w:rPr>
              <w:t>。</w:t>
            </w:r>
          </w:p>
          <w:p w14:paraId="25306A3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shd w:val="clear" w:color="auto" w:fill="FFFFFF"/>
              </w:rPr>
              <w:t>依托先进的云端数据交互技术，无需用户手动操作，系统即可自动监测并抓取最新的题目资源，实现题库内容的即时更新与扩充。</w:t>
            </w:r>
          </w:p>
          <w:p w14:paraId="4669FC1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17、考生成绩本机缓存功能、查询、导出功能。</w:t>
            </w:r>
          </w:p>
          <w:p w14:paraId="768701C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18、支持成绩断点续传功能与人工手动提交功能。</w:t>
            </w:r>
          </w:p>
          <w:p w14:paraId="2F932FCD">
            <w:pPr>
              <w:autoSpaceDE/>
              <w:autoSpaceDN/>
              <w:adjustRightInd/>
              <w:spacing w:line="240" w:lineRule="auto"/>
              <w:ind w:firstLine="482"/>
              <w:rPr>
                <w:rFonts w:hint="eastAsia" w:ascii="宋体" w:hAnsi="宋体" w:eastAsia="宋体" w:cs="宋体"/>
                <w:color w:val="auto"/>
                <w:szCs w:val="21"/>
              </w:rPr>
            </w:pPr>
            <w:r>
              <w:rPr>
                <w:rFonts w:hint="eastAsia" w:ascii="宋体" w:hAnsi="宋体" w:eastAsia="宋体" w:cs="宋体"/>
                <w:color w:val="auto"/>
              </w:rPr>
              <w:t>19</w:t>
            </w:r>
            <w:r>
              <w:rPr>
                <w:rFonts w:hint="eastAsia" w:ascii="宋体" w:hAnsi="宋体" w:eastAsia="宋体" w:cs="宋体"/>
                <w:color w:val="auto"/>
                <w:szCs w:val="21"/>
              </w:rPr>
              <w:t>、3D场景灭火，每次考试，系统在9个3D灭火器里随机抽取6个灭火器，让考生检查：瓶身是否锈蚀、喷嘴是否裂纹、压力阀是否异常、合格证是否异常、日期是否超时。</w:t>
            </w:r>
          </w:p>
          <w:p w14:paraId="23E83966">
            <w:pPr>
              <w:autoSpaceDE/>
              <w:autoSpaceDN/>
              <w:adjustRightInd/>
              <w:spacing w:line="240" w:lineRule="auto"/>
              <w:ind w:firstLine="482"/>
              <w:rPr>
                <w:rFonts w:hint="eastAsia" w:ascii="宋体" w:hAnsi="宋体" w:eastAsia="宋体" w:cs="宋体"/>
                <w:color w:val="auto"/>
              </w:rPr>
            </w:pPr>
            <w:r>
              <w:rPr>
                <w:rFonts w:hint="eastAsia" w:ascii="宋体" w:hAnsi="宋体" w:eastAsia="宋体" w:cs="宋体"/>
                <w:color w:val="auto"/>
                <w:szCs w:val="21"/>
              </w:rPr>
              <w:t>系统提供十余个起火场景动画，考生根据不同起火的类型选择灭火器。选择错误不能灭火、且系统自动判0分并终止考试；选择正确可拿起灭火器对准屏幕的火源进行灭火操作，系统自动判分。</w:t>
            </w:r>
          </w:p>
          <w:p w14:paraId="05E80B3A">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shd w:val="clear" w:color="auto" w:fill="FFFFFF"/>
              </w:rPr>
              <w:t>本系统依托先进的集成架构与智能交互技术，实现了设备功能的高度融合与灵活切换。在同一台智能终端设备上，考生可借助高精度触控界面与智能引导系统，自由选择不同工种，畅享沉浸式的虚拟实训体验。</w:t>
            </w:r>
          </w:p>
          <w:p w14:paraId="1C3EAB9A">
            <w:pPr>
              <w:pStyle w:val="68"/>
              <w:autoSpaceDE/>
              <w:autoSpaceDN/>
              <w:adjustRightInd/>
              <w:spacing w:line="240" w:lineRule="auto"/>
              <w:ind w:firstLine="482" w:firstLineChars="0"/>
              <w:rPr>
                <w:rFonts w:hint="eastAsia" w:ascii="宋体" w:hAnsi="宋体" w:eastAsia="宋体" w:cs="宋体"/>
                <w:color w:val="auto"/>
                <w:shd w:val="clear" w:color="auto" w:fill="FFFFFF"/>
              </w:rPr>
            </w:pPr>
            <w:r>
              <w:rPr>
                <w:rFonts w:hint="eastAsia" w:ascii="宋体" w:hAnsi="宋体" w:eastAsia="宋体" w:cs="宋体"/>
                <w:color w:val="auto"/>
              </w:rPr>
              <w:t>21、</w:t>
            </w:r>
            <w:r>
              <w:rPr>
                <w:rFonts w:hint="eastAsia" w:ascii="宋体" w:hAnsi="宋体" w:eastAsia="宋体" w:cs="宋体"/>
                <w:color w:val="auto"/>
                <w:shd w:val="clear" w:color="auto" w:fill="FFFFFF"/>
              </w:rPr>
              <w:t>可精准实现科目一、科目三的智能考核评估，基于先进算法和多维度数据采集技术，对学员的操作进行全面、细致的分析。同时，配备了灭火器使用及选择模拟与实操教学功能，通过虚拟与现实结合的方式，指导用户科学选择灭火器，并进行沉浸式的使用操作训练，让技能学习更高效、更安全。</w:t>
            </w:r>
          </w:p>
          <w:p w14:paraId="39E7143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22、支持对每个科目的分数占比，考试时间，题目数量做本地化的配置修改。</w:t>
            </w:r>
          </w:p>
          <w:p w14:paraId="09E3755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shd w:val="clear" w:color="auto" w:fill="FFFFFF"/>
              </w:rPr>
              <w:t>深度赋能模拟仿真实操环节。在实操过程中，系统能够对硬件交互的每一个细微步骤进行实时监测与智能分析。精准判断各步骤的操作质量与规范程度，并据此进行科学判分。判分结束后，系统会以直观清晰的界面，将每个步骤的得分结果进行分项展示。</w:t>
            </w:r>
          </w:p>
          <w:p w14:paraId="374EF0F6">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三、设备详细参数（硬件结构类）</w:t>
            </w:r>
          </w:p>
          <w:p w14:paraId="6E647D0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24、</w:t>
            </w:r>
            <w:r>
              <w:rPr>
                <w:rFonts w:hint="eastAsia" w:ascii="宋体" w:hAnsi="宋体" w:eastAsia="宋体" w:cs="宋体"/>
                <w:color w:val="auto"/>
                <w:shd w:val="clear" w:color="auto" w:fill="FFFFFF"/>
              </w:rPr>
              <w:t>机身外观设计巧妙融合了现代美学与科技质感，整体以灰白色为主调，搭配上深邃的墨绿色线条装饰，恰似蕴含着无限能量的科技脉络。这一独特的色调搭配，以其简洁而不失大气的风格，低调中彰显出沉稳内敛的格调，赋予产品一种超越时代的科技美感，尽显高端与品质。</w:t>
            </w:r>
          </w:p>
          <w:p w14:paraId="545017E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25、设备结构采用一体式分模块组合结构设计，数字化智能升级。结构分为：显示分系统（43寸触摸屏）、设备主控分系统、灭火分系统。</w:t>
            </w:r>
          </w:p>
          <w:p w14:paraId="14C4CE98">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⑴一体式机身，空间利用率高，利于考场的布局和节省空间，降低成本；</w:t>
            </w:r>
          </w:p>
          <w:p w14:paraId="6396332A">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⑵模块化保证了系统的可组合性，具有很好的互换性，维修便利；</w:t>
            </w:r>
          </w:p>
          <w:p w14:paraId="56FB1FA3">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⑶结构采用静音万向轮，推拉方便，便于设备的安装、移动；</w:t>
            </w:r>
          </w:p>
          <w:p w14:paraId="3993DF38">
            <w:pPr>
              <w:pStyle w:val="68"/>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⑷主控分系统升级后采用单片机模块，智能化自动采集各个实操动作点的信号，识别评判操作流程的规范性，自动评分；</w:t>
            </w:r>
          </w:p>
          <w:p w14:paraId="7C003408">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26、显示屏为43寸液晶显示屏，可从正面手动调整摄像头的角度，调整为上下60度角，可根据考生的身高来进行调节，以在考试过程中抓拍照片防止代考，及在开考前进行人脸识别。</w:t>
            </w:r>
          </w:p>
          <w:p w14:paraId="14DAD18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27、PC模块化：将主板、CPU、内存条、PC电源、固态硬盘装配在PC模块盒内，做成一个模块，便于批量化生产、成套更换，在售后时可邮寄给客户自行更换，无需售后人员上门，极大降低售后成本。</w:t>
            </w:r>
          </w:p>
          <w:p w14:paraId="1CBCFDEA">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28、在基础的三种灭火器的上增加了沙桶，组成了灭火套件，沙桶倾倒时动画演示出倾倒及灭火的效果。</w:t>
            </w:r>
          </w:p>
          <w:p w14:paraId="43E3902C">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29、内嵌</w:t>
            </w:r>
            <w:r>
              <w:rPr>
                <w:rFonts w:hint="eastAsia" w:ascii="宋体" w:hAnsi="宋体" w:eastAsia="宋体" w:cs="宋体"/>
                <w:color w:val="auto"/>
                <w:kern w:val="2"/>
                <w:sz w:val="22"/>
              </w:rPr>
              <w:t>XBox</w:t>
            </w:r>
            <w:r>
              <w:rPr>
                <w:rFonts w:hint="eastAsia" w:ascii="宋体" w:hAnsi="宋体" w:eastAsia="宋体" w:cs="宋体"/>
                <w:color w:val="auto"/>
              </w:rPr>
              <w:t>组件，可实现灭火侧身、距离、方位的检测。</w:t>
            </w:r>
          </w:p>
          <w:p w14:paraId="1C76FA0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30、</w:t>
            </w:r>
            <w:r>
              <w:rPr>
                <w:rFonts w:hint="eastAsia" w:ascii="宋体" w:hAnsi="宋体" w:eastAsia="宋体" w:cs="宋体"/>
                <w:color w:val="auto"/>
                <w:shd w:val="clear" w:color="auto" w:fill="FFFFFF"/>
              </w:rPr>
              <w:t>台面精心嵌入一体化金属不锈钢键盘，其采用先进的无缝封装工艺，具备卓越的防水、防油、防尘性能，可轻松抵御复杂环境的侵扰，为设备的稳定运行提供坚实保障。在设计上，严格遵循人体工程学原理，每一个按键的布局与触感都经过精心调校，贴合手指的自然弧度，按压反馈灵敏舒适，带来行云流水般的输入体验。</w:t>
            </w:r>
          </w:p>
          <w:p w14:paraId="1B22CDCC">
            <w:pPr>
              <w:widowControl/>
              <w:spacing w:line="240" w:lineRule="auto"/>
              <w:textAlignment w:val="center"/>
              <w:rPr>
                <w:rFonts w:hint="eastAsia" w:ascii="宋体" w:hAnsi="宋体" w:eastAsia="宋体" w:cs="宋体"/>
                <w:color w:val="auto"/>
                <w:szCs w:val="21"/>
                <w:highlight w:val="none"/>
                <w:lang w:val="en-US" w:eastAsia="zh-CN" w:bidi="ar"/>
              </w:rPr>
            </w:pPr>
          </w:p>
          <w:p w14:paraId="14100ADD">
            <w:pPr>
              <w:widowControl/>
              <w:spacing w:line="240" w:lineRule="auto"/>
              <w:textAlignment w:val="center"/>
              <w:rPr>
                <w:rFonts w:hint="eastAsia" w:ascii="宋体" w:hAnsi="宋体" w:eastAsia="宋体" w:cs="宋体"/>
                <w:color w:val="auto"/>
                <w:szCs w:val="21"/>
                <w:highlight w:val="none"/>
                <w:lang w:bidi="ar"/>
              </w:rPr>
            </w:pPr>
          </w:p>
          <w:p w14:paraId="48A993E5">
            <w:pPr>
              <w:widowControl/>
              <w:spacing w:line="240" w:lineRule="auto"/>
              <w:ind w:firstLine="420" w:firstLineChars="0"/>
              <w:rPr>
                <w:rFonts w:hint="eastAsia" w:ascii="宋体" w:hAnsi="宋体" w:eastAsia="宋体" w:cs="宋体"/>
                <w:sz w:val="21"/>
                <w:szCs w:val="21"/>
              </w:rPr>
            </w:pPr>
          </w:p>
        </w:tc>
        <w:tc>
          <w:tcPr>
            <w:tcW w:w="700" w:type="dxa"/>
            <w:noWrap w:val="0"/>
            <w:vAlign w:val="center"/>
          </w:tcPr>
          <w:p w14:paraId="2889606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kern w:val="0"/>
                <w:szCs w:val="21"/>
                <w:highlight w:val="none"/>
                <w:lang w:val="en-US" w:eastAsia="zh-CN"/>
              </w:rPr>
              <w:t>2</w:t>
            </w:r>
          </w:p>
        </w:tc>
        <w:tc>
          <w:tcPr>
            <w:tcW w:w="712" w:type="dxa"/>
            <w:noWrap w:val="0"/>
            <w:vAlign w:val="center"/>
          </w:tcPr>
          <w:p w14:paraId="75D9EEAF">
            <w:pPr>
              <w:spacing w:line="240" w:lineRule="auto"/>
              <w:jc w:val="center"/>
              <w:rPr>
                <w:rFonts w:hint="eastAsia" w:ascii="宋体" w:hAnsi="宋体" w:eastAsia="宋体" w:cs="宋体"/>
                <w:sz w:val="21"/>
                <w:szCs w:val="21"/>
              </w:rPr>
            </w:pPr>
            <w:r>
              <w:rPr>
                <w:rFonts w:hint="eastAsia" w:ascii="宋体" w:hAnsi="宋体" w:eastAsia="宋体" w:cs="宋体"/>
                <w:color w:val="auto"/>
                <w:szCs w:val="21"/>
                <w:highlight w:val="none"/>
                <w:lang w:val="en-US" w:eastAsia="zh-CN"/>
              </w:rPr>
              <w:t>台</w:t>
            </w:r>
          </w:p>
        </w:tc>
      </w:tr>
      <w:tr w14:paraId="4163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70195BDD">
            <w:pPr>
              <w:widowControl/>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Cs w:val="21"/>
                <w:highlight w:val="none"/>
                <w:lang w:val="en-US" w:eastAsia="zh-CN"/>
              </w:rPr>
              <w:t>2</w:t>
            </w:r>
          </w:p>
        </w:tc>
        <w:tc>
          <w:tcPr>
            <w:tcW w:w="1080" w:type="dxa"/>
            <w:noWrap w:val="0"/>
            <w:vAlign w:val="center"/>
          </w:tcPr>
          <w:p w14:paraId="4F45AA7A">
            <w:pPr>
              <w:spacing w:line="240" w:lineRule="auto"/>
              <w:jc w:val="center"/>
              <w:rPr>
                <w:rFonts w:hint="eastAsia" w:ascii="宋体" w:hAnsi="宋体" w:eastAsia="宋体" w:cs="宋体"/>
                <w:color w:val="000000"/>
                <w:sz w:val="21"/>
                <w:szCs w:val="21"/>
              </w:rPr>
            </w:pPr>
            <w:r>
              <w:rPr>
                <w:rFonts w:hint="eastAsia" w:ascii="宋体" w:hAnsi="宋体" w:eastAsia="宋体" w:cs="宋体"/>
                <w:color w:val="auto"/>
                <w:szCs w:val="21"/>
                <w:highlight w:val="none"/>
                <w:lang w:val="en-US" w:eastAsia="zh-CN"/>
              </w:rPr>
              <w:t>高压电工作业安全技术实操设备</w:t>
            </w:r>
          </w:p>
        </w:tc>
        <w:tc>
          <w:tcPr>
            <w:tcW w:w="5350" w:type="dxa"/>
            <w:noWrap w:val="0"/>
            <w:vAlign w:val="top"/>
          </w:tcPr>
          <w:p w14:paraId="7E80273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高压电工作业安全技术实操考核系统</w:t>
            </w:r>
            <w:r>
              <w:rPr>
                <w:rFonts w:hint="eastAsia" w:ascii="宋体" w:hAnsi="宋体" w:eastAsia="宋体" w:cs="宋体"/>
                <w:color w:val="auto"/>
                <w:szCs w:val="21"/>
                <w:highlight w:val="none"/>
              </w:rPr>
              <w:t>主要由1套高压开关柜（进线柜、计量柜、PT柜、出线柜）、柱上变压器、K26/K28实操模块、K27实操模块、K29实操模块、转运小车、高压电工器材</w:t>
            </w:r>
            <w:r>
              <w:rPr>
                <w:rFonts w:hint="eastAsia" w:ascii="宋体" w:hAnsi="宋体" w:eastAsia="宋体" w:cs="宋体"/>
                <w:color w:val="auto"/>
                <w:szCs w:val="21"/>
                <w:highlight w:val="none"/>
                <w:lang w:val="en-US" w:eastAsia="zh-CN"/>
              </w:rPr>
              <w:t>、电工仪表安全使用测试台、智慧考场综合实训一体机</w:t>
            </w:r>
            <w:r>
              <w:rPr>
                <w:rFonts w:hint="eastAsia" w:ascii="宋体" w:hAnsi="宋体" w:eastAsia="宋体" w:cs="宋体"/>
                <w:color w:val="auto"/>
                <w:szCs w:val="21"/>
                <w:highlight w:val="none"/>
              </w:rPr>
              <w:t>等组成：</w:t>
            </w:r>
          </w:p>
          <w:p w14:paraId="4A56CC49">
            <w:pPr>
              <w:spacing w:line="240" w:lineRule="auto"/>
              <w:rPr>
                <w:rFonts w:hint="eastAsia" w:ascii="宋体" w:hAnsi="宋体" w:eastAsia="宋体" w:cs="宋体"/>
                <w:color w:val="auto"/>
                <w:szCs w:val="21"/>
                <w:highlight w:val="none"/>
              </w:rPr>
            </w:pPr>
          </w:p>
          <w:p w14:paraId="616D1518">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1、开关柜体为国标KYN28A-12铠装中置式交流金属封闭开关设备(以下简称开关柜)</w:t>
            </w:r>
            <w:r>
              <w:rPr>
                <w:rFonts w:hint="eastAsia" w:ascii="宋体" w:hAnsi="宋体" w:eastAsia="宋体" w:cs="宋体"/>
                <w:color w:val="auto"/>
                <w:szCs w:val="21"/>
                <w:highlight w:val="none"/>
              </w:rPr>
              <w:t xml:space="preserve"> </w:t>
            </w:r>
          </w:p>
          <w:p w14:paraId="1F8E86F9">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关设备符合EC298《额定电压1KV以上52KV及以下的交流金属封闭开关设备和控制没备》、IEC694(高压开关和控制没备共用条款》，中国GB3906《3-36KV交流金属封闭开关设备》及DIA04《户内交流高压开关柜订货条件》，德国DIN.VDE0670《额定电压1 KV以上的交流开关设备》等标准的要求。</w:t>
            </w:r>
          </w:p>
          <w:p w14:paraId="103875E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(2)产品的外壳完全是由覆铝锌钥板经CNC机床加工多重折弯成形后用螺栓组装而成，具有高强度的抗腐蚀性和机械强度，柜门采用喷塑涂覆，具有较强的抗冲击和耐腐蚀能力。产品外壳具有1P4×级的防护等级。</w:t>
            </w:r>
          </w:p>
          <w:p w14:paraId="5D32CB1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(3)开关柜的主开关可配ABB公司生产的VD4型真空断路器，C3系列固定式负荷开关，同时也可配置多种国产系列真空断路器(如VS1.VHI、VK、ZN28)，以取代国外同类产品。</w:t>
            </w:r>
          </w:p>
          <w:p w14:paraId="5AB6A058">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(4)断路器的裸导体空气绝缘距离均能大于125mmn，复合绝缘大于 60mm。断路器均具有长寿命、高参数、少维护、小体积的优点。</w:t>
            </w:r>
          </w:p>
          <w:p w14:paraId="26B9887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(5)装置中 VS1-12/630 断路器的机械结构可满足学员频繁操作，手车操作室内安装有稳定高导轨，可轻巧地推进或抽出断路器手车；手车室内设计有带自动锁扣，可满足手车断路器与母排侧和电缆侧自动隔离的要求，手车有隔离位置、试验位置及工作位置智能仪表显示，每一位置均设有定位装置。</w:t>
            </w:r>
          </w:p>
          <w:p w14:paraId="3281CD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(6)符合国标要求，具有完整的“五防”功能。</w:t>
            </w:r>
          </w:p>
          <w:p w14:paraId="035216D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(7)开关柜分别配备线路微机保护装置 3 台、高压电动机保护装置1台、变压器保护装置1台；配备智能开关状态显示仪及智能仪表，可真实再现高压配电系统运行场景及故障场景，模拟10KV送电、断路器分合闸、储能等动作发生，以及相关指示灯、10KV电压表、负载电流表显示相应变化。</w:t>
            </w:r>
          </w:p>
          <w:p w14:paraId="0642F97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故障排查模拟装置：可通实操装置实现输电系统中常见故障场景的模拟功能：包含速断电流、干式变压器高温/超高温及油浸式变压器轻瓦斯/重瓦斯、变压器网门未关闭出现网门跳闸等，当故障信号发出后，高压柜的微机保护装置会发出相应的报警和联锁信号，导致断路器跳闸。</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"_真实高压柜故障模拟功能" </w:instrText>
            </w:r>
            <w:r>
              <w:rPr>
                <w:rFonts w:hint="eastAsia" w:ascii="宋体" w:hAnsi="宋体" w:eastAsia="宋体" w:cs="宋体"/>
                <w:color w:val="auto"/>
                <w:szCs w:val="21"/>
                <w:highlight w:val="none"/>
              </w:rPr>
              <w:fldChar w:fldCharType="separate"/>
            </w:r>
            <w:r>
              <w:rPr>
                <w:rStyle w:val="29"/>
                <w:rFonts w:hint="eastAsia" w:ascii="宋体" w:hAnsi="宋体" w:eastAsia="宋体" w:cs="宋体"/>
                <w:color w:val="auto"/>
                <w:szCs w:val="21"/>
                <w:highlight w:val="none"/>
              </w:rPr>
              <w:t>（详情见下章节）</w:t>
            </w:r>
            <w:r>
              <w:rPr>
                <w:rFonts w:hint="eastAsia" w:ascii="宋体" w:hAnsi="宋体" w:eastAsia="宋体" w:cs="宋体"/>
                <w:color w:val="auto"/>
                <w:szCs w:val="21"/>
                <w:highlight w:val="none"/>
              </w:rPr>
              <w:fldChar w:fldCharType="end"/>
            </w:r>
          </w:p>
          <w:p w14:paraId="431A3CF3">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2、高压电工中置柜（出线柜），型号：AH2/KYN28A-12 </w:t>
            </w:r>
          </w:p>
          <w:p w14:paraId="45421D84">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(宽×深×高)：1500mm×800mm×2300mm，允许尺寸偏差士5mm。</w:t>
            </w:r>
          </w:p>
          <w:p w14:paraId="701376BC">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(2)手车式高压真空断路器1台，额定电压12kV;额定电流≥630A。</w:t>
            </w:r>
          </w:p>
          <w:p w14:paraId="083300AA">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(3)接地开关1台。</w:t>
            </w:r>
          </w:p>
          <w:p w14:paraId="6E50EEFC">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(4)开关状态指示仪：额定电压 220V，显示开关状态、小车工作位置/试验位置、断路器位置、接地刀位置、弹簧储能状态、高压带电指示等。</w:t>
            </w:r>
          </w:p>
          <w:p w14:paraId="0E101ED1">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(5)避雷器：额定电压12kV，系统电压10kV，大电流冲击耐受不小于40kA。</w:t>
            </w:r>
          </w:p>
          <w:p w14:paraId="21C9EE61">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微机综合保护装置1台，额定电压：220V，电压测量范围：0～120V，电流测量范围：0～5A，带485通讯接口，保护功能：过流保护、低电压保护、过电压保护、过负荷保护、高温保护、超温保护、轻瓦斯保护、重瓦斯保护、网门跳闸等。</w:t>
            </w:r>
          </w:p>
          <w:p w14:paraId="4E26252D">
            <w:pPr>
              <w:pStyle w:val="2"/>
              <w:spacing w:line="240" w:lineRule="auto"/>
              <w:ind w:firstLine="0"/>
              <w:rPr>
                <w:rFonts w:hint="eastAsia" w:ascii="宋体" w:hAnsi="宋体" w:eastAsia="宋体" w:cs="宋体"/>
                <w:color w:val="auto"/>
                <w:szCs w:val="21"/>
                <w:highlight w:val="none"/>
              </w:rPr>
            </w:pPr>
          </w:p>
          <w:p w14:paraId="62FE794C">
            <w:pPr>
              <w:pStyle w:val="2"/>
              <w:spacing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3、高压电工中置柜（进线柜），型号：AH2/KYN28A-12</w:t>
            </w:r>
          </w:p>
          <w:p w14:paraId="3422FECB">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(宽×深×高)：1500mm×800mm×2300mm，允许尺寸偏差±5mm。</w:t>
            </w:r>
          </w:p>
          <w:p w14:paraId="75AEC32B">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(2)手车式高压真空断路器1台，额定电压12kV，额定电流≥630A。</w:t>
            </w:r>
          </w:p>
          <w:p w14:paraId="44A0F5AF">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(3)开关状态指示仪：额定电压 220V,显示开关状态、小车工作位置/试验位置、断路器位置、弹簧储能状态、高压带电指示等。</w:t>
            </w:r>
          </w:p>
          <w:p w14:paraId="07A44C42">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(4)避雷器：额定电压12kV，系统电压10kV，大电流冲击耐受不小于40kA。</w:t>
            </w:r>
          </w:p>
          <w:p w14:paraId="57B5D0C4">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微机综合保护装置1台，额定电压：220V，电压测量范围：0～120V，电流测量范围：0～5A，带485通讯接口，保护功能：过流保护、低电压保护、过电压保护、过负荷保护、高温保护、超温保护、轻瓦斯保护、重瓦斯保护等。</w:t>
            </w:r>
          </w:p>
          <w:p w14:paraId="4B054A7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4、高压电工中置柜（计量柜），型号：AH2/KYN28A-12</w:t>
            </w:r>
          </w:p>
          <w:p w14:paraId="3FBA2135">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外壳：冷礼板喷塑，尺寸 (宽×深×高)：1500mm×800mm×2300mm，允许尺寸偏差士5mm。</w:t>
            </w:r>
          </w:p>
          <w:p w14:paraId="5D5F2D7E">
            <w:pPr>
              <w:pStyle w:val="2"/>
              <w:spacing w:before="312" w:beforeLines="100" w:after="156" w:afterLines="50" w:line="240" w:lineRule="auto"/>
              <w:ind w:firstLine="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5、高压电工中置柜（PT柜），型号：AH3/KYN28A-12 </w:t>
            </w:r>
          </w:p>
          <w:p w14:paraId="57E2ED30">
            <w:pPr>
              <w:pStyle w:val="2"/>
              <w:adjustRightInd/>
              <w:spacing w:line="24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(宽X深高)：1500mm×800mm×2300mm，允许尺寸偏差士5mm。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(2)PT手车1台，额定电压12kV;额定电流630A。</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(3)电压互感器，额定电压12KV;二次电压100V;单绕组，JDZ10-10 10/0.1KV 0.5级。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(4)开关状态指示仪：额定电压 220V，显示开关状态、小车工作位置/试验位置、高压带电指示等。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(5)避雷器：额定电压12kV，系统电压10kV，大电流冲击耐受不小于40kA。</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(6)微机综合保护装置1台，额定电压：220V，电压测量范围：0～120V，电流测量范围：0～5A，带485通讯接口，保护功能：低电压保护、过电压保护等。</w:t>
            </w:r>
          </w:p>
          <w:p w14:paraId="0D67CCD1">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6、柱上变压器及架空线缆装置</w:t>
            </w:r>
          </w:p>
          <w:p w14:paraId="6970A675">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包含如下配件：</w:t>
            </w:r>
          </w:p>
          <w:p w14:paraId="7345AFE9">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教学变压器1台、跌落式熔断器1套3个、隔离开关3个、避雷器3个，瓷瓶9个、间隔围栏1套、3米高镀锌钢管3根、模拟架空线（挂接地线）1套。</w:t>
            </w:r>
          </w:p>
          <w:p w14:paraId="6752A1C4">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7、K26/K28实操模块：</w:t>
            </w:r>
          </w:p>
          <w:p w14:paraId="49F734FB">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变压器、测试支架平台：</w:t>
            </w:r>
          </w:p>
          <w:p w14:paraId="360AA4CF">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(1)S11-M-10KVA 真实变压器：</w:t>
            </w:r>
          </w:p>
          <w:p w14:paraId="404D490D">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额定容量：10kVA</w:t>
            </w:r>
          </w:p>
          <w:p w14:paraId="7EFF15E1">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额定电压：10000/400V</w:t>
            </w:r>
          </w:p>
          <w:p w14:paraId="05B67554">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相数：3相</w:t>
            </w:r>
          </w:p>
          <w:p w14:paraId="1E47FC40">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(2)油浸式变压器支架平台：</w:t>
            </w:r>
          </w:p>
          <w:p w14:paraId="2A40EBD8">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冷礼板喷塑，尺寸：长600mm，宽450mm，高500mm，底部配有万向轮方便移动。</w:t>
            </w:r>
          </w:p>
          <w:p w14:paraId="0B18034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8、K27实操模块</w:t>
            </w:r>
          </w:p>
          <w:p w14:paraId="287A0B0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(1)国标YJLV22铝芯3×35平方8.7/15KV高压电缆线。</w:t>
            </w:r>
          </w:p>
          <w:p w14:paraId="5A4DF7D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(2)电缆固定线夹，中号 55～75mm²。</w:t>
            </w:r>
          </w:p>
          <w:p w14:paraId="478848A8">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尺寸：长115mm，宽60mm，高52mm</w:t>
            </w:r>
          </w:p>
          <w:p w14:paraId="3022D64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安装孔距82mm，螺丝大小M12</w:t>
            </w:r>
          </w:p>
          <w:p w14:paraId="2E88F885">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可加线缆直径30至60mm</w:t>
            </w:r>
          </w:p>
          <w:p w14:paraId="42856E1B">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（3）防静电工作台</w:t>
            </w:r>
          </w:p>
          <w:p w14:paraId="16F01DD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尺寸约1800×600×750mm</w:t>
            </w:r>
          </w:p>
          <w:p w14:paraId="157D48A0">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实木包边，防滑脚垫，自锁卡扣</w:t>
            </w:r>
          </w:p>
          <w:p w14:paraId="1ECE878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耐磨、抗压、防腐、防静电</w:t>
            </w:r>
          </w:p>
          <w:p w14:paraId="4736A14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9、K29实操模块</w:t>
            </w:r>
          </w:p>
          <w:p w14:paraId="0984A2D3">
            <w:pPr>
              <w:spacing w:line="24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(1)高压架空绝缘电力电缆铝芯1×70，2段。</w:t>
            </w:r>
          </w:p>
          <w:p w14:paraId="65EEC92C">
            <w:pPr>
              <w:pStyle w:val="2"/>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针式陶瓷电力线路绝缘子P-15T，2个，棒式陶瓷支柱绝缘子柱式PS-15/300，2个。</w:t>
            </w:r>
          </w:p>
          <w:p w14:paraId="607870D4">
            <w:pPr>
              <w:pStyle w:val="2"/>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防静电工作台</w:t>
            </w:r>
          </w:p>
          <w:p w14:paraId="4CABB580">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尺寸约1200×600×750mm</w:t>
            </w:r>
          </w:p>
          <w:p w14:paraId="48369CE6">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实木包边，防滑脚垫，自锁卡扣</w:t>
            </w:r>
          </w:p>
          <w:p w14:paraId="0BA0F93B">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耐磨、抗压、防腐、防静电</w:t>
            </w:r>
          </w:p>
          <w:p w14:paraId="3A045CA5">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(4)绝缘子固定支架：</w:t>
            </w:r>
          </w:p>
          <w:p w14:paraId="3863CDAE">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冷礼板喷塑，冷礼板喷塑，尺寸：长700mm，宽354mm，高358mm。</w:t>
            </w:r>
          </w:p>
          <w:p w14:paraId="168A6FBB">
            <w:pPr>
              <w:spacing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10、GGD型低压进线柜</w:t>
            </w:r>
          </w:p>
          <w:p w14:paraId="34E3A8C6">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⑴、设备技术性能</w:t>
            </w:r>
          </w:p>
          <w:p w14:paraId="08F62136">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1）设备供电电源：</w:t>
            </w:r>
          </w:p>
          <w:p w14:paraId="7FFB29F4">
            <w:pPr>
              <w:widowControl/>
              <w:spacing w:line="240" w:lineRule="auto"/>
              <w:ind w:firstLine="420" w:firstLineChars="200"/>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输入电压：三相五线制AC380V±10% ，50Hz </w:t>
            </w:r>
          </w:p>
          <w:p w14:paraId="107EE4F3">
            <w:pPr>
              <w:widowControl/>
              <w:spacing w:line="240" w:lineRule="auto"/>
              <w:ind w:firstLine="420" w:firstLineChars="200"/>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输出电压：三相五线制AC380±10% ，50Hz </w:t>
            </w:r>
          </w:p>
          <w:p w14:paraId="6A30F4D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2）设备功耗： &lt; 500W  </w:t>
            </w:r>
          </w:p>
          <w:p w14:paraId="73F2C29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3）外形尺寸（长×宽×高）：800mm×800mm×2200mm</w:t>
            </w:r>
          </w:p>
          <w:p w14:paraId="0829449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4）重量：&lt; 200Kg</w:t>
            </w:r>
          </w:p>
          <w:p w14:paraId="5743021E">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⑵ 使用环境</w:t>
            </w:r>
          </w:p>
          <w:p w14:paraId="4535C1A2">
            <w:pPr>
              <w:spacing w:line="240"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1）温度：-20℃～+45℃</w:t>
            </w:r>
          </w:p>
          <w:p w14:paraId="49F7DA0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2）相对湿度：≤90%</w:t>
            </w:r>
          </w:p>
          <w:p w14:paraId="0D44555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3）占地空间：2㎡</w:t>
            </w:r>
          </w:p>
          <w:p w14:paraId="52C0DE5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4）设备安装时与垂直面的倾斜度不超过5%</w:t>
            </w:r>
          </w:p>
          <w:p w14:paraId="04D66674">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⑶电气参数</w:t>
            </w:r>
          </w:p>
          <w:p w14:paraId="7BCA951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1）额定电压：380V</w:t>
            </w:r>
          </w:p>
          <w:p w14:paraId="7EFFD6D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2）最高工作电压：380V</w:t>
            </w:r>
          </w:p>
          <w:p w14:paraId="4830753A">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3）额定绝缘电压：690V</w:t>
            </w:r>
          </w:p>
          <w:p w14:paraId="45421E6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4）额定电流：≤4000A</w:t>
            </w:r>
          </w:p>
          <w:p w14:paraId="6AEE539A">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5）额定短路开断电流：50KA</w:t>
            </w:r>
          </w:p>
          <w:p w14:paraId="0C59A59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6）额定短时耐受电流：50（1S）（KA）</w:t>
            </w:r>
          </w:p>
          <w:p w14:paraId="788EE8D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7）额定峰值耐受电流：105KA</w:t>
            </w:r>
          </w:p>
          <w:p w14:paraId="14C79627">
            <w:pPr>
              <w:widowControl/>
              <w:tabs>
                <w:tab w:val="left" w:pos="2365"/>
              </w:tabs>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8）防护等级:IP30</w:t>
            </w:r>
            <w:r>
              <w:rPr>
                <w:rFonts w:hint="eastAsia" w:ascii="宋体" w:hAnsi="宋体" w:eastAsia="宋体" w:cs="宋体"/>
                <w:color w:val="auto"/>
                <w:szCs w:val="21"/>
                <w:highlight w:val="none"/>
                <w:lang w:bidi="ar"/>
              </w:rPr>
              <w:tab/>
            </w:r>
          </w:p>
          <w:p w14:paraId="4F3D5769">
            <w:pPr>
              <w:widowControl/>
              <w:tabs>
                <w:tab w:val="left" w:pos="2365"/>
              </w:tabs>
              <w:spacing w:line="240" w:lineRule="auto"/>
              <w:textAlignment w:val="center"/>
              <w:rPr>
                <w:rFonts w:hint="eastAsia" w:ascii="宋体" w:hAnsi="宋体" w:eastAsia="宋体" w:cs="宋体"/>
                <w:bCs/>
                <w:color w:val="auto"/>
                <w:szCs w:val="44"/>
                <w:highlight w:val="none"/>
              </w:rPr>
            </w:pPr>
            <w:r>
              <w:rPr>
                <w:rFonts w:hint="eastAsia" w:ascii="宋体" w:hAnsi="宋体" w:eastAsia="宋体" w:cs="宋体"/>
                <w:color w:val="auto"/>
                <w:szCs w:val="21"/>
                <w:highlight w:val="none"/>
                <w:lang w:bidi="ar"/>
              </w:rPr>
              <w:t>9）配备了多种安全设备，如过载保护、短路保护、漏电保护、浪涌保护等，保障了电气设备和人员的安全。</w:t>
            </w:r>
          </w:p>
          <w:p w14:paraId="243210AB">
            <w:pPr>
              <w:spacing w:line="240" w:lineRule="auto"/>
              <w:rPr>
                <w:rFonts w:hint="eastAsia" w:ascii="宋体" w:hAnsi="宋体" w:eastAsia="宋体" w:cs="宋体"/>
                <w:bCs/>
                <w:color w:val="auto"/>
                <w:szCs w:val="44"/>
                <w:highlight w:val="none"/>
              </w:rPr>
            </w:pPr>
          </w:p>
          <w:p w14:paraId="01752AA5">
            <w:pPr>
              <w:spacing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11、电工器材</w:t>
            </w:r>
          </w:p>
          <w:p w14:paraId="35B5D1D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标识标牌、全套安全用具、电工仪器及电工线材。</w:t>
            </w:r>
          </w:p>
          <w:p w14:paraId="7E70C0A5">
            <w:pPr>
              <w:spacing w:line="240" w:lineRule="auto"/>
              <w:rPr>
                <w:rFonts w:hint="eastAsia" w:ascii="宋体" w:hAnsi="宋体" w:eastAsia="宋体" w:cs="宋体"/>
                <w:bCs/>
                <w:color w:val="auto"/>
                <w:szCs w:val="21"/>
                <w:highlight w:val="none"/>
              </w:rPr>
            </w:pPr>
          </w:p>
          <w:p w14:paraId="1D42AF9E">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lang w:val="en-US" w:eastAsia="zh-CN" w:bidi="ar"/>
              </w:rPr>
              <w:t>电工仪表安全使用测试台</w:t>
            </w:r>
            <w:r>
              <w:rPr>
                <w:rFonts w:hint="eastAsia" w:ascii="宋体" w:hAnsi="宋体" w:eastAsia="宋体" w:cs="宋体"/>
                <w:color w:val="auto"/>
                <w:szCs w:val="21"/>
                <w:highlight w:val="none"/>
                <w:lang w:bidi="ar"/>
              </w:rPr>
              <w:t>主要由测试台、电源转变组件、操作平台桌及相应电工器材等组成：</w:t>
            </w:r>
          </w:p>
          <w:p w14:paraId="6745285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测试台分布着直流回路区、交流回路区、交流电源测量区、接地电阻测试区。提供了万用表、钳流表及接地电阻测试仪测量的使用场景。</w:t>
            </w:r>
          </w:p>
          <w:p w14:paraId="720E205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在交流回路区，回路提供AC36V交流电源，由断路器、保险丝、急停开关、螺孔灯泡、可调电阻、指针式交流电压表及可插拔导线组成该交流回路，可做交流电压测量、可调电阻测量、交流电流测量。</w:t>
            </w:r>
          </w:p>
          <w:p w14:paraId="1EDB297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直流回路区，回路可提供0-36V直流电源，通过可调电阻的旋钮调节灯泡亮度并测量各状态电流。由断路器、保险丝、急停开关、螺孔灯泡、可调电阻、指针式直流电压表及可插拔导线组成该直流回路，可做直流电压测量、可调电阻测量、直流电流测量。</w:t>
            </w:r>
          </w:p>
          <w:p w14:paraId="65778C0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在交流电源测量区，提供3V、6V、12V、24V、36V多种交流电源输出，可测量各电压值，电流值。</w:t>
            </w:r>
          </w:p>
          <w:p w14:paraId="03C1708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接地电阻测试区，提供模拟的接地电阻的测量。</w:t>
            </w:r>
          </w:p>
          <w:p w14:paraId="5853910B">
            <w:pPr>
              <w:spacing w:line="240" w:lineRule="auto"/>
              <w:rPr>
                <w:rFonts w:hint="eastAsia" w:ascii="宋体" w:hAnsi="宋体" w:eastAsia="宋体" w:cs="宋体"/>
                <w:b/>
                <w:bCs/>
                <w:color w:val="auto"/>
                <w:szCs w:val="21"/>
                <w:highlight w:val="none"/>
                <w:lang w:val="en-US" w:eastAsia="zh-CN"/>
              </w:rPr>
            </w:pPr>
          </w:p>
          <w:p w14:paraId="3E354EED">
            <w:pPr>
              <w:spacing w:line="24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13、智慧考场综合实训一体机参数内容包括：</w:t>
            </w:r>
          </w:p>
          <w:p w14:paraId="41F57E37">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一、设备基本参数</w:t>
            </w:r>
          </w:p>
          <w:p w14:paraId="7CBE411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1、工作电源：AC220V ，50Hz</w:t>
            </w:r>
          </w:p>
          <w:p w14:paraId="3BBDED7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2、空载功耗：≤150W（待实测）；</w:t>
            </w:r>
          </w:p>
          <w:p w14:paraId="7AD4C6DE">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工作温度：-10℃～+40℃；</w:t>
            </w:r>
          </w:p>
          <w:p w14:paraId="771D6D88">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相对湿度：≤90%</w:t>
            </w:r>
          </w:p>
          <w:p w14:paraId="2E9AC501">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3、物理参数：</w:t>
            </w:r>
          </w:p>
          <w:p w14:paraId="308DE2C8">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外形尺寸（长×宽×高）：≤1200mm×650mm×1940mm；</w:t>
            </w:r>
          </w:p>
          <w:p w14:paraId="5F7B2882">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重量：155±5 Kg；</w:t>
            </w:r>
          </w:p>
          <w:p w14:paraId="524D04A1">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4、答题触摸显示屏尺寸≥43寸，显示屏分辨率：1920×1080；</w:t>
            </w:r>
          </w:p>
          <w:p w14:paraId="330548CE">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处理器不低于I5，运行内存8G，固态硬盘120G；</w:t>
            </w:r>
          </w:p>
          <w:p w14:paraId="006BD9BC">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5、实操台（内置PC模块、智能终端数据采集模块组件、</w:t>
            </w:r>
            <w:r>
              <w:rPr>
                <w:rFonts w:hint="eastAsia" w:ascii="宋体" w:hAnsi="宋体" w:eastAsia="宋体" w:cs="宋体"/>
                <w:color w:val="auto"/>
                <w:kern w:val="2"/>
                <w:sz w:val="22"/>
              </w:rPr>
              <w:t>XBox</w:t>
            </w:r>
            <w:r>
              <w:rPr>
                <w:rFonts w:hint="eastAsia" w:ascii="宋体" w:hAnsi="宋体" w:eastAsia="宋体" w:cs="宋体"/>
                <w:color w:val="auto"/>
              </w:rPr>
              <w:t>组件、嵌入金属键盘）；</w:t>
            </w:r>
          </w:p>
          <w:p w14:paraId="18BA3893">
            <w:pPr>
              <w:spacing w:line="240" w:lineRule="auto"/>
              <w:rPr>
                <w:rFonts w:hint="eastAsia" w:ascii="宋体" w:hAnsi="宋体" w:eastAsia="宋体" w:cs="宋体"/>
                <w:color w:val="auto"/>
              </w:rPr>
            </w:pPr>
            <w:r>
              <w:rPr>
                <w:rFonts w:hint="eastAsia" w:ascii="宋体" w:hAnsi="宋体" w:eastAsia="宋体" w:cs="宋体"/>
                <w:color w:val="auto"/>
              </w:rPr>
              <w:t>6、灭火器组件（含二氧化碳灭火器、干粉灭火器、水基灭火器、沙桶、底座）；</w:t>
            </w:r>
          </w:p>
          <w:p w14:paraId="428C0A01">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二、设备详细参数（软件类）</w:t>
            </w:r>
          </w:p>
          <w:p w14:paraId="0BA48CE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在设备执行考试任务时，内置的智能视觉识别系统会基于先进的动态捕捉技术，以毫秒级的响应速度，从不同角度和位置对考生进行实时监测。考试过程中，系统将自动且随机地抓拍 3 张高清照片，并运用时间戳记录与加密存储，随后无缝附于考生成绩单之后。这种防篡改、可追溯的技术手段，为考试的公正性构筑起坚固防线，能有效杜绝各类舞弊行为的发生，确保考试结果的真实可靠。</w:t>
            </w:r>
          </w:p>
          <w:p w14:paraId="7E5AFA7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具备刷身份证读取考生身份信息功能。具有进行手动输入姓名、身份证号获取考生身份信息功能，手动输入时，自动弹出软键盘功能，输入时自动检测身份证长度，软键盘支持0-9数字及X字母输入，自带清除及删除功能。</w:t>
            </w:r>
          </w:p>
          <w:p w14:paraId="1E22B0D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系统搭载了先进的智能语音交互引擎，具备高度智能化的自动语音播报功能</w:t>
            </w:r>
            <w:r>
              <w:rPr>
                <w:rFonts w:hint="eastAsia" w:ascii="宋体" w:hAnsi="宋体" w:eastAsia="宋体" w:cs="宋体"/>
                <w:color w:val="auto"/>
              </w:rPr>
              <w:t>。</w:t>
            </w:r>
          </w:p>
          <w:p w14:paraId="7EEB678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4、可支持手动灵活配置单科目考试时间。</w:t>
            </w:r>
          </w:p>
          <w:p w14:paraId="576C2C0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hd w:val="clear" w:color="auto" w:fill="FFFFFF"/>
              </w:rPr>
              <w:t>在练习模式下，系统植入了智能实时反馈机制，凭借先进的算法和数据比对技术，能够在用户完成答题的瞬间，迅速对答案进行精准判定。一旦答案提交，系统会立即以直观、清晰的方式，给予用户关于答题正确与否的即时提示，帮助用户快速了解自身答题情况</w:t>
            </w:r>
            <w:r>
              <w:rPr>
                <w:rFonts w:hint="eastAsia" w:ascii="宋体" w:hAnsi="宋体" w:eastAsia="宋体" w:cs="宋体"/>
                <w:color w:val="auto"/>
              </w:rPr>
              <w:t>。</w:t>
            </w:r>
          </w:p>
          <w:p w14:paraId="5CC47B3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6、切题方式自由，可顺序切题及自由切题方式。</w:t>
            </w:r>
          </w:p>
          <w:p w14:paraId="4315F88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7、系统支持自主选择考试科目、随机选择考试科目两种方式。</w:t>
            </w:r>
          </w:p>
          <w:p w14:paraId="3668A77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8、支持双指拉伸图片可放大、缩小、退出全屏查看方式。</w:t>
            </w:r>
          </w:p>
          <w:p w14:paraId="7D902BD7">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shd w:val="clear" w:color="auto" w:fill="FFFFFF"/>
              </w:rPr>
              <w:t>在切题时，用户既可以选择顺序切题模式，系统将依照精心编排的逻辑顺序，有条不紊地呈现题目，助力用户循序渐进地深入学习；也能够选用自由切题模式，让答题过程更加自主、高效</w:t>
            </w:r>
            <w:r>
              <w:rPr>
                <w:rFonts w:hint="eastAsia" w:ascii="宋体" w:hAnsi="宋体" w:eastAsia="宋体" w:cs="宋体"/>
                <w:color w:val="auto"/>
              </w:rPr>
              <w:t>。</w:t>
            </w:r>
          </w:p>
          <w:p w14:paraId="1F7EC63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10、每科目考试及练习完成后具备得分统计，用时统计功能。</w:t>
            </w:r>
          </w:p>
          <w:p w14:paraId="4EC037B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11、练习模式下，可自由返回上一科目继续练习功能。</w:t>
            </w:r>
          </w:p>
          <w:p w14:paraId="4F8F047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shd w:val="clear" w:color="auto" w:fill="FFFFFF"/>
              </w:rPr>
              <w:t>在考核模式中，系统内置了精密且严格的时间管控机制。当单科目考试进入倒计时阶段，系统会以精准的计时算法，实时监控剩余时间。一旦倒计时结束，基于先进的自动化技术，系统将立即启动强制提交程序，自动锁定当前答题状态。</w:t>
            </w:r>
          </w:p>
          <w:p w14:paraId="40FB01B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13、软件具有考试模式（系统对每一个科目下的子科目随机抽取，进行考试）和培训练习模式（可对每一个科目下的所有子科目自行选择，预览所有答题进行练习）功能。</w:t>
            </w:r>
          </w:p>
          <w:p w14:paraId="777C001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14、根据国家实操考核大纲及地方要求设置补考次数限制功能，设置补考次，默认为2次，可根据考场需求自行设置补考次数，考生可以规定考试次数内进行补考操作，否则不能再进行补考操作。</w:t>
            </w:r>
          </w:p>
          <w:p w14:paraId="5B1816A4">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15、具有根据考试时间段、身份号模糊查询本机总成绩及得分明细功能，</w:t>
            </w:r>
            <w:r>
              <w:rPr>
                <w:rFonts w:hint="eastAsia" w:ascii="宋体" w:hAnsi="宋体" w:eastAsia="宋体" w:cs="宋体"/>
                <w:color w:val="auto"/>
                <w:shd w:val="clear" w:color="auto" w:fill="FFFFFF"/>
              </w:rPr>
              <w:t>快速定位目标信息</w:t>
            </w:r>
            <w:r>
              <w:rPr>
                <w:rFonts w:hint="eastAsia" w:ascii="宋体" w:hAnsi="宋体" w:eastAsia="宋体" w:cs="宋体"/>
                <w:color w:val="auto"/>
              </w:rPr>
              <w:t>。</w:t>
            </w:r>
          </w:p>
          <w:p w14:paraId="2FAE808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shd w:val="clear" w:color="auto" w:fill="FFFFFF"/>
              </w:rPr>
              <w:t>依托先进的云端数据交互技术，无需用户手动操作，系统即可自动监测并抓取最新的题目资源，实现题库内容的即时更新与扩充。</w:t>
            </w:r>
          </w:p>
          <w:p w14:paraId="2F0C707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17、考生成绩本机缓存功能、查询、导出功能。</w:t>
            </w:r>
          </w:p>
          <w:p w14:paraId="76D785E7">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18、支持成绩断点续传功能与人工手动提交功能。</w:t>
            </w:r>
          </w:p>
          <w:p w14:paraId="73623B7B">
            <w:pPr>
              <w:autoSpaceDE/>
              <w:autoSpaceDN/>
              <w:adjustRightInd/>
              <w:spacing w:line="240" w:lineRule="auto"/>
              <w:ind w:firstLine="482"/>
              <w:rPr>
                <w:rFonts w:hint="eastAsia" w:ascii="宋体" w:hAnsi="宋体" w:eastAsia="宋体" w:cs="宋体"/>
                <w:color w:val="auto"/>
                <w:szCs w:val="21"/>
              </w:rPr>
            </w:pPr>
            <w:r>
              <w:rPr>
                <w:rFonts w:hint="eastAsia" w:ascii="宋体" w:hAnsi="宋体" w:eastAsia="宋体" w:cs="宋体"/>
                <w:color w:val="auto"/>
              </w:rPr>
              <w:t>19</w:t>
            </w:r>
            <w:r>
              <w:rPr>
                <w:rFonts w:hint="eastAsia" w:ascii="宋体" w:hAnsi="宋体" w:eastAsia="宋体" w:cs="宋体"/>
                <w:color w:val="auto"/>
                <w:szCs w:val="21"/>
              </w:rPr>
              <w:t>、3D场景灭火，每次考试，系统在9个3D灭火器里随机抽取6个灭火器，让考生检查：瓶身是否锈蚀、喷嘴是否裂纹、压力阀是否异常、合格证是否异常、日期是否超时。</w:t>
            </w:r>
          </w:p>
          <w:p w14:paraId="262215FD">
            <w:pPr>
              <w:autoSpaceDE/>
              <w:autoSpaceDN/>
              <w:adjustRightInd/>
              <w:spacing w:line="240" w:lineRule="auto"/>
              <w:ind w:firstLine="482"/>
              <w:rPr>
                <w:rFonts w:hint="eastAsia" w:ascii="宋体" w:hAnsi="宋体" w:eastAsia="宋体" w:cs="宋体"/>
                <w:color w:val="auto"/>
              </w:rPr>
            </w:pPr>
            <w:r>
              <w:rPr>
                <w:rFonts w:hint="eastAsia" w:ascii="宋体" w:hAnsi="宋体" w:eastAsia="宋体" w:cs="宋体"/>
                <w:color w:val="auto"/>
                <w:szCs w:val="21"/>
              </w:rPr>
              <w:t>系统提供十余个起火场景动画，考生根据不同起火的类型选择灭火器。选择错误不能灭火、且系统自动判0分并终止考试；选择正确可拿起灭火器对准屏幕的火源进行灭火操作，系统自动判分。</w:t>
            </w:r>
          </w:p>
          <w:p w14:paraId="38DCE60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shd w:val="clear" w:color="auto" w:fill="FFFFFF"/>
              </w:rPr>
              <w:t>本系统依托先进的集成架构与智能交互技术，实现了设备功能的高度融合与灵活切换。在同一台智能终端设备上，考生可借助高精度触控界面与智能引导系统，自由选择不同工种，畅享沉浸式的虚拟实训体验。</w:t>
            </w:r>
          </w:p>
          <w:p w14:paraId="17DFB82C">
            <w:pPr>
              <w:pStyle w:val="68"/>
              <w:autoSpaceDE/>
              <w:autoSpaceDN/>
              <w:adjustRightInd/>
              <w:spacing w:line="240" w:lineRule="auto"/>
              <w:ind w:firstLine="482" w:firstLineChars="0"/>
              <w:rPr>
                <w:rFonts w:hint="eastAsia" w:ascii="宋体" w:hAnsi="宋体" w:eastAsia="宋体" w:cs="宋体"/>
                <w:color w:val="auto"/>
                <w:shd w:val="clear" w:color="auto" w:fill="FFFFFF"/>
              </w:rPr>
            </w:pPr>
            <w:r>
              <w:rPr>
                <w:rFonts w:hint="eastAsia" w:ascii="宋体" w:hAnsi="宋体" w:eastAsia="宋体" w:cs="宋体"/>
                <w:color w:val="auto"/>
              </w:rPr>
              <w:t>21、</w:t>
            </w:r>
            <w:r>
              <w:rPr>
                <w:rFonts w:hint="eastAsia" w:ascii="宋体" w:hAnsi="宋体" w:eastAsia="宋体" w:cs="宋体"/>
                <w:color w:val="auto"/>
                <w:shd w:val="clear" w:color="auto" w:fill="FFFFFF"/>
              </w:rPr>
              <w:t>可精准实现科目一、科目三的智能考核评估，基于先进算法和多维度数据采集技术，对学员的操作进行全面、细致的分析。同时，配备了灭火器使用及选择模拟与实操教学功能，通过虚拟与现实结合的方式，指导用户科学选择灭火器，并进行沉浸式的使用操作训练，让技能学习更高效、更安全。</w:t>
            </w:r>
          </w:p>
          <w:p w14:paraId="662AAEA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22、支持对每个科目的分数占比，考试时间，题目数量做本地化的配置修改。</w:t>
            </w:r>
          </w:p>
          <w:p w14:paraId="646DAA1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shd w:val="clear" w:color="auto" w:fill="FFFFFF"/>
              </w:rPr>
              <w:t>深度赋能模拟仿真实操环节。在实操过程中，系统能够对硬件交互的每一个细微步骤进行实时监测与智能分析。精准判断各步骤的操作质量与规范程度，并据此进行科学判分。判分结束后，系统会以直观清晰的界面，将每个步骤的得分结果进行分项展示。</w:t>
            </w:r>
          </w:p>
          <w:p w14:paraId="4DC827DA">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三、设备详细参数（硬件结构类）</w:t>
            </w:r>
          </w:p>
          <w:p w14:paraId="57A5EA3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24、</w:t>
            </w:r>
            <w:r>
              <w:rPr>
                <w:rFonts w:hint="eastAsia" w:ascii="宋体" w:hAnsi="宋体" w:eastAsia="宋体" w:cs="宋体"/>
                <w:color w:val="auto"/>
                <w:shd w:val="clear" w:color="auto" w:fill="FFFFFF"/>
              </w:rPr>
              <w:t>机身外观设计巧妙融合了现代美学与科技质感，整体以灰白色为主调，搭配上深邃的墨绿色线条装饰，恰似蕴含着无限能量的科技脉络。这一独特的色调搭配，以其简洁而不失大气的风格，低调中彰显出沉稳内敛的格调，赋予产品一种超越时代的科技美感，尽显高端与品质。</w:t>
            </w:r>
          </w:p>
          <w:p w14:paraId="51C8DD88">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25、设备结构采用一体式分模块组合结构设计，数字化智能升级。结构分为：显示分系统（43寸触摸屏）、设备主控分系统、灭火分系统。</w:t>
            </w:r>
          </w:p>
          <w:p w14:paraId="197342C6">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⑴一体式机身，空间利用率高，利于考场的布局和节省空间，降低成本；</w:t>
            </w:r>
          </w:p>
          <w:p w14:paraId="7ED6DF2F">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⑵模块化保证了系统的可组合性，具有很好的互换性，维修便利；</w:t>
            </w:r>
          </w:p>
          <w:p w14:paraId="6BC854DE">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⑶结构采用静音万向轮，推拉方便，便于设备的安装、移动；</w:t>
            </w:r>
          </w:p>
          <w:p w14:paraId="27AEB362">
            <w:pPr>
              <w:pStyle w:val="68"/>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⑷主控分系统升级后采用单片机模块，智能化自动采集各个实操动作点的信号，识别评判操作流程的规范性，自动评分；</w:t>
            </w:r>
          </w:p>
          <w:p w14:paraId="0B935A6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26、显示屏为43寸液晶显示屏，可从正面手动调整摄像头的角度，调整为上下60度角，可根据考生的身高来进行调节，以在考试过程中抓拍照片防止代考，及在开考前进行人脸识别。</w:t>
            </w:r>
          </w:p>
          <w:p w14:paraId="36E1CC3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27、PC模块化：将主板、CPU、内存条、PC电源、固态硬盘装配在PC模块盒内，做成一个模块，便于批量化生产、成套更换，在售后时可邮寄给客户自行更换，无需售后人员上门，极大降低售后成本。</w:t>
            </w:r>
          </w:p>
          <w:p w14:paraId="21AFF88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28、在基础的三种灭火器的上增加了沙桶，组成了灭火套件，沙桶倾倒时动画演示出倾倒及灭火的效果。</w:t>
            </w:r>
          </w:p>
          <w:p w14:paraId="6248088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29、内嵌</w:t>
            </w:r>
            <w:r>
              <w:rPr>
                <w:rFonts w:hint="eastAsia" w:ascii="宋体" w:hAnsi="宋体" w:eastAsia="宋体" w:cs="宋体"/>
                <w:color w:val="auto"/>
                <w:kern w:val="2"/>
                <w:sz w:val="22"/>
              </w:rPr>
              <w:t>XBox</w:t>
            </w:r>
            <w:r>
              <w:rPr>
                <w:rFonts w:hint="eastAsia" w:ascii="宋体" w:hAnsi="宋体" w:eastAsia="宋体" w:cs="宋体"/>
                <w:color w:val="auto"/>
              </w:rPr>
              <w:t>组件，可实现灭火侧身、距离、方位的检测。</w:t>
            </w:r>
          </w:p>
          <w:p w14:paraId="4D4A0BA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30、</w:t>
            </w:r>
            <w:r>
              <w:rPr>
                <w:rFonts w:hint="eastAsia" w:ascii="宋体" w:hAnsi="宋体" w:eastAsia="宋体" w:cs="宋体"/>
                <w:color w:val="auto"/>
                <w:shd w:val="clear" w:color="auto" w:fill="FFFFFF"/>
              </w:rPr>
              <w:t>台面精心嵌入一体化金属不锈钢键盘，其采用先进的无缝封装工艺，具备卓越的防水、防油、防尘性能，可轻松抵御复杂环境的侵扰，为设备的稳定运行提供坚实保障。在设计上，严格遵循人体工程学原理，每一个按键的布局与触感都经过精心调校，贴合手指的自然弧度，按压反馈灵敏舒适，带来行云流水般的输入体验。</w:t>
            </w:r>
          </w:p>
          <w:p w14:paraId="193C87DF">
            <w:pPr>
              <w:numPr>
                <w:ilvl w:val="0"/>
                <w:numId w:val="0"/>
              </w:numPr>
              <w:spacing w:line="240" w:lineRule="auto"/>
              <w:ind w:left="0" w:leftChars="0" w:firstLine="0" w:firstLineChars="0"/>
              <w:rPr>
                <w:rFonts w:hint="eastAsia" w:ascii="宋体" w:hAnsi="宋体" w:eastAsia="宋体" w:cs="宋体"/>
                <w:sz w:val="21"/>
                <w:szCs w:val="21"/>
              </w:rPr>
            </w:pPr>
          </w:p>
        </w:tc>
        <w:tc>
          <w:tcPr>
            <w:tcW w:w="700" w:type="dxa"/>
            <w:noWrap w:val="0"/>
            <w:vAlign w:val="center"/>
          </w:tcPr>
          <w:p w14:paraId="12C94DA2">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auto"/>
                <w:kern w:val="0"/>
                <w:szCs w:val="21"/>
                <w:highlight w:val="none"/>
                <w:lang w:val="en-US" w:eastAsia="zh-CN"/>
              </w:rPr>
              <w:t>2</w:t>
            </w:r>
          </w:p>
        </w:tc>
        <w:tc>
          <w:tcPr>
            <w:tcW w:w="712" w:type="dxa"/>
            <w:noWrap w:val="0"/>
            <w:vAlign w:val="center"/>
          </w:tcPr>
          <w:p w14:paraId="60FB4E04">
            <w:pPr>
              <w:spacing w:line="240" w:lineRule="auto"/>
              <w:jc w:val="center"/>
              <w:rPr>
                <w:rFonts w:hint="eastAsia" w:ascii="宋体" w:hAnsi="宋体" w:eastAsia="宋体" w:cs="宋体"/>
                <w:sz w:val="21"/>
                <w:szCs w:val="21"/>
              </w:rPr>
            </w:pPr>
            <w:r>
              <w:rPr>
                <w:rFonts w:hint="eastAsia" w:ascii="宋体" w:hAnsi="宋体" w:eastAsia="宋体" w:cs="宋体"/>
                <w:color w:val="auto"/>
                <w:szCs w:val="21"/>
                <w:highlight w:val="none"/>
                <w:lang w:val="en-US" w:eastAsia="zh-CN"/>
              </w:rPr>
              <w:t>台</w:t>
            </w:r>
          </w:p>
        </w:tc>
      </w:tr>
    </w:tbl>
    <w:p w14:paraId="2625EB16">
      <w:pPr>
        <w:pStyle w:val="23"/>
        <w:rPr>
          <w:rFonts w:hint="eastAsia"/>
          <w:color w:val="auto"/>
          <w:lang w:val="zh-CN"/>
        </w:rPr>
        <w:sectPr>
          <w:pgSz w:w="11906" w:h="16838"/>
          <w:pgMar w:top="1440" w:right="1080" w:bottom="1440" w:left="1080" w:header="851" w:footer="737" w:gutter="0"/>
          <w:pgNumType w:fmt="decimal"/>
          <w:cols w:space="720" w:num="1"/>
        </w:sectPr>
      </w:pPr>
    </w:p>
    <w:p w14:paraId="6B167372">
      <w:pPr>
        <w:pStyle w:val="3"/>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99"/>
      <w:bookmarkEnd w:id="100"/>
      <w:bookmarkEnd w:id="101"/>
      <w:bookmarkEnd w:id="102"/>
      <w:bookmarkEnd w:id="103"/>
      <w:bookmarkEnd w:id="104"/>
    </w:p>
    <w:p w14:paraId="04A81B3A">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14:paraId="67B473D5">
      <w:pPr>
        <w:spacing w:line="500" w:lineRule="exact"/>
        <w:jc w:val="right"/>
        <w:rPr>
          <w:rFonts w:ascii="宋体" w:hAnsi="宋体"/>
          <w:bCs/>
          <w:color w:val="auto"/>
          <w:sz w:val="32"/>
          <w:szCs w:val="32"/>
          <w:highlight w:val="none"/>
        </w:rPr>
      </w:pPr>
      <w:bookmarkStart w:id="109" w:name="_Toc12438"/>
      <w:bookmarkStart w:id="110" w:name="_Toc1898"/>
      <w:bookmarkStart w:id="111" w:name="_Toc11558"/>
      <w:r>
        <w:rPr>
          <w:rFonts w:hint="eastAsia" w:ascii="宋体" w:hAnsi="宋体"/>
          <w:bCs/>
          <w:color w:val="auto"/>
          <w:sz w:val="32"/>
          <w:szCs w:val="32"/>
          <w:highlight w:val="none"/>
        </w:rPr>
        <w:t>（正本/副本）</w:t>
      </w:r>
    </w:p>
    <w:p w14:paraId="289CA3CB">
      <w:pPr>
        <w:spacing w:line="780" w:lineRule="exact"/>
        <w:jc w:val="center"/>
        <w:rPr>
          <w:rFonts w:ascii="宋体" w:hAnsi="宋体"/>
          <w:b/>
          <w:color w:val="auto"/>
          <w:sz w:val="44"/>
          <w:szCs w:val="44"/>
          <w:highlight w:val="none"/>
        </w:rPr>
      </w:pPr>
    </w:p>
    <w:p w14:paraId="2F0956B9">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w:t>
      </w:r>
    </w:p>
    <w:p w14:paraId="0E96826A">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14:paraId="55102472">
      <w:pPr>
        <w:spacing w:line="500" w:lineRule="exact"/>
        <w:rPr>
          <w:rFonts w:ascii="宋体" w:hAnsi="宋体"/>
          <w:bCs/>
          <w:color w:val="auto"/>
          <w:sz w:val="28"/>
          <w:szCs w:val="28"/>
          <w:highlight w:val="none"/>
        </w:rPr>
      </w:pPr>
    </w:p>
    <w:p w14:paraId="301E9370">
      <w:pPr>
        <w:spacing w:line="500" w:lineRule="exact"/>
        <w:rPr>
          <w:rFonts w:ascii="宋体" w:hAnsi="宋体"/>
          <w:bCs/>
          <w:color w:val="auto"/>
          <w:sz w:val="28"/>
          <w:szCs w:val="28"/>
          <w:highlight w:val="none"/>
        </w:rPr>
      </w:pPr>
    </w:p>
    <w:p w14:paraId="7DF3CB3F">
      <w:pPr>
        <w:spacing w:line="500" w:lineRule="exact"/>
        <w:rPr>
          <w:rFonts w:ascii="宋体" w:hAnsi="宋体"/>
          <w:bCs/>
          <w:color w:val="auto"/>
          <w:sz w:val="28"/>
          <w:szCs w:val="28"/>
          <w:highlight w:val="none"/>
        </w:rPr>
      </w:pPr>
    </w:p>
    <w:p w14:paraId="624C7E02">
      <w:pPr>
        <w:spacing w:line="500" w:lineRule="exact"/>
        <w:rPr>
          <w:rFonts w:ascii="宋体" w:hAnsi="宋体"/>
          <w:bCs/>
          <w:color w:val="auto"/>
          <w:sz w:val="28"/>
          <w:szCs w:val="28"/>
          <w:highlight w:val="none"/>
        </w:rPr>
      </w:pPr>
    </w:p>
    <w:p w14:paraId="44844E15">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14:paraId="38C40D64">
      <w:pPr>
        <w:spacing w:line="500" w:lineRule="exact"/>
        <w:jc w:val="center"/>
        <w:rPr>
          <w:rFonts w:ascii="宋体" w:hAnsi="宋体"/>
          <w:color w:val="auto"/>
          <w:kern w:val="44"/>
          <w:sz w:val="44"/>
          <w:szCs w:val="44"/>
          <w:highlight w:val="none"/>
          <w:lang w:val="zh-CN"/>
        </w:rPr>
      </w:pPr>
    </w:p>
    <w:p w14:paraId="1A1F0C73">
      <w:pPr>
        <w:spacing w:line="500" w:lineRule="exact"/>
        <w:jc w:val="center"/>
        <w:rPr>
          <w:rFonts w:ascii="宋体" w:hAnsi="宋体"/>
          <w:b/>
          <w:color w:val="auto"/>
          <w:sz w:val="32"/>
          <w:szCs w:val="32"/>
          <w:highlight w:val="none"/>
          <w:u w:val="single"/>
        </w:rPr>
      </w:pPr>
    </w:p>
    <w:p w14:paraId="72856F2C">
      <w:pPr>
        <w:spacing w:line="500" w:lineRule="exact"/>
        <w:jc w:val="center"/>
        <w:rPr>
          <w:rFonts w:ascii="宋体" w:hAnsi="宋体"/>
          <w:b/>
          <w:color w:val="auto"/>
          <w:sz w:val="32"/>
          <w:szCs w:val="32"/>
          <w:highlight w:val="none"/>
          <w:u w:val="single"/>
        </w:rPr>
      </w:pPr>
    </w:p>
    <w:p w14:paraId="3833D619">
      <w:pPr>
        <w:spacing w:line="500" w:lineRule="exact"/>
        <w:rPr>
          <w:rFonts w:ascii="宋体" w:hAnsi="宋体"/>
          <w:color w:val="auto"/>
          <w:sz w:val="28"/>
          <w:szCs w:val="28"/>
          <w:highlight w:val="none"/>
        </w:rPr>
      </w:pPr>
    </w:p>
    <w:p w14:paraId="4B8F28D6">
      <w:pPr>
        <w:spacing w:line="500" w:lineRule="exact"/>
        <w:rPr>
          <w:rFonts w:ascii="宋体" w:hAnsi="宋体"/>
          <w:color w:val="auto"/>
          <w:sz w:val="28"/>
          <w:szCs w:val="28"/>
          <w:highlight w:val="none"/>
        </w:rPr>
      </w:pPr>
    </w:p>
    <w:p w14:paraId="06F80F49">
      <w:pPr>
        <w:spacing w:line="500" w:lineRule="exact"/>
        <w:rPr>
          <w:rFonts w:ascii="宋体" w:hAnsi="宋体"/>
          <w:color w:val="auto"/>
          <w:sz w:val="28"/>
          <w:szCs w:val="28"/>
          <w:highlight w:val="none"/>
        </w:rPr>
      </w:pPr>
    </w:p>
    <w:p w14:paraId="2310D27C">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14:paraId="36E7EDAE">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14:paraId="1D531F71">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14:paraId="26CB064E">
      <w:pPr>
        <w:tabs>
          <w:tab w:val="left" w:pos="432"/>
        </w:tabs>
        <w:spacing w:before="0" w:after="0" w:line="360" w:lineRule="auto"/>
        <w:ind w:right="-218" w:rightChars="-104"/>
        <w:jc w:val="both"/>
        <w:outlineLvl w:val="9"/>
        <w:rPr>
          <w:rFonts w:hint="eastAsia" w:ascii="宋体" w:hAnsi="宋体"/>
          <w:color w:val="auto"/>
          <w:sz w:val="28"/>
          <w:szCs w:val="28"/>
          <w:highlight w:val="none"/>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14:paraId="24149FBF">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bookmarkEnd w:id="109"/>
    </w:p>
    <w:p w14:paraId="6019DA62">
      <w:pPr>
        <w:autoSpaceDE w:val="0"/>
        <w:autoSpaceDN w:val="0"/>
        <w:adjustRightInd w:val="0"/>
        <w:outlineLvl w:val="1"/>
        <w:rPr>
          <w:rFonts w:hint="eastAsia" w:ascii="宋体" w:hAnsi="宋体" w:cs="宋体"/>
          <w:color w:val="auto"/>
          <w:sz w:val="24"/>
          <w:highlight w:val="none"/>
          <w:lang w:val="zh-CN"/>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投标人请在目录后方加入评标索引，将《资格审查表》、《符合性审查表》粘贴于此处，并在最右侧加入“页码”栏。</w:t>
      </w:r>
    </w:p>
    <w:p w14:paraId="6796AEDB">
      <w:pPr>
        <w:autoSpaceDE w:val="0"/>
        <w:autoSpaceDN w:val="0"/>
        <w:adjustRightInd w:val="0"/>
        <w:outlineLvl w:val="1"/>
        <w:rPr>
          <w:rFonts w:hint="eastAsia" w:ascii="宋体" w:hAnsi="宋体" w:cs="宋体"/>
          <w:b/>
          <w:color w:val="auto"/>
          <w:sz w:val="24"/>
          <w:lang w:val="zh-CN"/>
        </w:rPr>
      </w:pPr>
      <w:r>
        <w:rPr>
          <w:rFonts w:hint="eastAsia" w:ascii="宋体" w:hAnsi="宋体" w:cs="宋体"/>
          <w:b/>
          <w:color w:val="auto"/>
          <w:sz w:val="24"/>
          <w:lang w:val="zh-CN"/>
        </w:rPr>
        <w:t>格式一</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投标函</w:t>
      </w:r>
      <w:bookmarkEnd w:id="110"/>
      <w:bookmarkEnd w:id="111"/>
    </w:p>
    <w:p w14:paraId="3C01388B">
      <w:pPr>
        <w:autoSpaceDE w:val="0"/>
        <w:autoSpaceDN w:val="0"/>
        <w:adjustRightInd w:val="0"/>
        <w:outlineLvl w:val="9"/>
        <w:rPr>
          <w:rFonts w:hint="eastAsia" w:ascii="宋体" w:hAnsi="宋体" w:cs="宋体"/>
          <w:color w:val="auto"/>
          <w:kern w:val="0"/>
          <w:szCs w:val="21"/>
          <w:u w:val="none"/>
          <w:lang w:val="zh-CN"/>
        </w:rPr>
      </w:pPr>
      <w:r>
        <w:rPr>
          <w:rFonts w:hint="eastAsia" w:ascii="宋体" w:hAnsi="宋体" w:cs="宋体"/>
          <w:color w:val="auto"/>
          <w:kern w:val="0"/>
          <w:szCs w:val="21"/>
          <w:u w:val="none"/>
          <w:lang w:val="zh-CN"/>
        </w:rPr>
        <w:t>吉林电子信息职业技术学院</w:t>
      </w:r>
      <w:r>
        <w:rPr>
          <w:rFonts w:hint="eastAsia" w:ascii="宋体" w:hAnsi="宋体" w:cs="宋体"/>
          <w:color w:val="auto"/>
          <w:kern w:val="0"/>
          <w:szCs w:val="21"/>
          <w:u w:val="none"/>
          <w:lang w:val="zh-CN" w:eastAsia="zh-CN"/>
        </w:rPr>
        <w:t>及吉林亿品工程项目管理有限公司</w:t>
      </w:r>
      <w:r>
        <w:rPr>
          <w:rFonts w:hint="eastAsia" w:ascii="宋体" w:hAnsi="宋体" w:cs="宋体"/>
          <w:color w:val="auto"/>
          <w:kern w:val="0"/>
          <w:szCs w:val="21"/>
          <w:u w:val="none"/>
          <w:lang w:val="zh-CN"/>
        </w:rPr>
        <w:t>：</w:t>
      </w:r>
    </w:p>
    <w:p w14:paraId="27CF72C3">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根据你方</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项目的编号为</w:t>
      </w:r>
      <w:r>
        <w:rPr>
          <w:rFonts w:hint="eastAsia" w:ascii="宋体" w:hAnsi="宋体" w:cs="宋体"/>
          <w:color w:val="auto"/>
          <w:szCs w:val="21"/>
          <w:u w:val="single"/>
          <w:lang w:val="zh-CN"/>
        </w:rPr>
        <w:t xml:space="preserve">     </w:t>
      </w:r>
      <w:r>
        <w:rPr>
          <w:rFonts w:hint="eastAsia" w:ascii="宋体" w:hAnsi="宋体" w:cs="宋体"/>
          <w:color w:val="auto"/>
          <w:szCs w:val="21"/>
          <w:lang w:val="zh-CN"/>
        </w:rPr>
        <w:t>招标文件，我方正式授权的下述签字人</w:t>
      </w:r>
      <w:r>
        <w:rPr>
          <w:rFonts w:hint="eastAsia" w:ascii="宋体" w:hAnsi="宋体" w:cs="宋体"/>
          <w:color w:val="auto"/>
          <w:szCs w:val="21"/>
          <w:u w:val="single"/>
          <w:lang w:val="zh-CN"/>
        </w:rPr>
        <w:t xml:space="preserve">  （姓名和职务）  </w:t>
      </w:r>
      <w:r>
        <w:rPr>
          <w:rFonts w:hint="eastAsia" w:ascii="宋体" w:hAnsi="宋体" w:cs="宋体"/>
          <w:color w:val="auto"/>
          <w:szCs w:val="21"/>
          <w:lang w:val="zh-CN"/>
        </w:rPr>
        <w:t>代表我方</w:t>
      </w:r>
      <w:r>
        <w:rPr>
          <w:rFonts w:hint="eastAsia" w:ascii="宋体" w:hAnsi="宋体" w:cs="宋体"/>
          <w:color w:val="auto"/>
          <w:szCs w:val="21"/>
          <w:u w:val="single"/>
          <w:lang w:val="zh-CN"/>
        </w:rPr>
        <w:t xml:space="preserve">  （投标人的名称）  </w:t>
      </w:r>
      <w:r>
        <w:rPr>
          <w:rFonts w:hint="eastAsia" w:ascii="宋体" w:hAnsi="宋体" w:cs="宋体"/>
          <w:color w:val="auto"/>
          <w:szCs w:val="21"/>
          <w:lang w:val="zh-CN"/>
        </w:rPr>
        <w:t>，按照你方招标文件的规定，提交《投标人须知》要求的全部文件，并保证所提供的全部文件是真实的、有效的和准确的。</w:t>
      </w:r>
    </w:p>
    <w:p w14:paraId="079DBA3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据此函，签字人兹宣布同意如下：</w:t>
      </w:r>
    </w:p>
    <w:p w14:paraId="6C0E202F">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1.按招标文件规定提供服务的投标总价为（大写）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p>
    <w:p w14:paraId="58C22AA1">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2.如果我方中标，我们保证根据招标文件规定履行合同责任和义务。具体服务时间承诺如下：</w:t>
      </w:r>
    </w:p>
    <w:p w14:paraId="1BC0BCED">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en-US" w:eastAsia="zh-CN"/>
        </w:rPr>
        <w:t>______________________________</w:t>
      </w:r>
      <w:r>
        <w:rPr>
          <w:rFonts w:hint="eastAsia" w:ascii="宋体" w:hAnsi="宋体" w:cs="宋体"/>
          <w:color w:val="auto"/>
          <w:szCs w:val="21"/>
          <w:lang w:val="zh-CN"/>
        </w:rPr>
        <w:t>。</w:t>
      </w:r>
    </w:p>
    <w:p w14:paraId="7CC7339C">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3.我方人民币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元的投标保证金与本投标文件同时提交。</w:t>
      </w:r>
    </w:p>
    <w:p w14:paraId="07AFE295">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4.如果我方中标，我方保证按照招标文件规定提交履约保证金，承担履约责任。</w:t>
      </w:r>
    </w:p>
    <w:p w14:paraId="32305CD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5.我们已详细阅读了全部招标文件，包括招标文件的修改、补充文件、参考资料及有关的附件，我们接受招标文件的全部条款和条件，我们知道必须放弃提出含糊不清或误解的问题的权利。</w:t>
      </w:r>
    </w:p>
    <w:p w14:paraId="2AFE0F2F">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6.我们对招标文件关于时限、程序方面的规定没有异议，保证按照招标文件规定的时限和程序参加投标活动。</w:t>
      </w:r>
    </w:p>
    <w:p w14:paraId="1784CE9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7.我们同意在投标人须知规定的开标时间起遵循本投标书，并在投标人须知规定的投标有效期满之前均具有约束力，并有可能中标。</w:t>
      </w:r>
    </w:p>
    <w:p w14:paraId="33C2039F">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8.我们如果在规定的投标有效期内撤回投标，则你方可不予退还我们的投标保证金。</w:t>
      </w:r>
    </w:p>
    <w:p w14:paraId="0595E4F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9.我们保证向你方提供你方可能要求的与本投标有关的任何证据或资料。</w:t>
      </w:r>
    </w:p>
    <w:p w14:paraId="5191B98B">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10.我们完全理解你方不一定要接受最低报价的投标或收到的任何投标。</w:t>
      </w:r>
    </w:p>
    <w:p w14:paraId="1B1A30D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11.本投标自开标之时起90天内有效。</w:t>
      </w:r>
    </w:p>
    <w:p w14:paraId="2DD64DC0">
      <w:pPr>
        <w:tabs>
          <w:tab w:val="left" w:pos="709"/>
        </w:tabs>
        <w:autoSpaceDE w:val="0"/>
        <w:autoSpaceDN w:val="0"/>
        <w:adjustRightInd w:val="0"/>
        <w:ind w:firstLine="482"/>
        <w:outlineLvl w:val="9"/>
        <w:rPr>
          <w:rFonts w:hint="eastAsia" w:ascii="宋体" w:hAnsi="宋体" w:cs="宋体"/>
          <w:color w:val="auto"/>
          <w:kern w:val="0"/>
          <w:szCs w:val="21"/>
          <w:lang w:val="zh-CN"/>
        </w:rPr>
      </w:pPr>
      <w:r>
        <w:rPr>
          <w:rFonts w:hint="eastAsia" w:ascii="宋体" w:hAnsi="宋体" w:cs="宋体"/>
          <w:color w:val="auto"/>
          <w:kern w:val="0"/>
          <w:szCs w:val="21"/>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14:paraId="1E66FBBB">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）提供虚假材料谋取中标、成交的；</w:t>
      </w:r>
    </w:p>
    <w:p w14:paraId="792C806C">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）采取不正当手段诋毁、排挤其他投标人的；</w:t>
      </w:r>
    </w:p>
    <w:p w14:paraId="16A1D1A5">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）与其他投标人、招标机构或者招标单位人员或者其他有关人员恶意串通的；</w:t>
      </w:r>
    </w:p>
    <w:p w14:paraId="383B15C6">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）向评标委员会成员、招标机构或者招标单位人员或者其他有关人员行贿或者提供其他不正当利益的；</w:t>
      </w:r>
    </w:p>
    <w:p w14:paraId="4274DE93">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）被评定中标后无正当理由不与招标人或者招标代理机构订立合同，或者中标后不按招标文件和中标投标人的投标文件订立合同，或者与招标人另行订立背离合同实质性内容的协议的；</w:t>
      </w:r>
    </w:p>
    <w:p w14:paraId="05ED944C">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）将中标项目转让给他人或者将中标项目分包给他人的；</w:t>
      </w:r>
    </w:p>
    <w:p w14:paraId="3613BD7D">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）签订合同后拒绝履行合同义务的；</w:t>
      </w:r>
    </w:p>
    <w:p w14:paraId="3F1C3D43">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）拒绝有关部门监督检查或提供虚假情况的。</w:t>
      </w:r>
    </w:p>
    <w:p w14:paraId="2451CE67">
      <w:pPr>
        <w:autoSpaceDE w:val="0"/>
        <w:autoSpaceDN w:val="0"/>
        <w:adjustRightInd w:val="0"/>
        <w:ind w:firstLine="482"/>
        <w:outlineLvl w:val="9"/>
        <w:rPr>
          <w:rFonts w:hint="eastAsia" w:ascii="宋体" w:hAnsi="宋体" w:cs="宋体"/>
          <w:color w:val="auto"/>
          <w:szCs w:val="21"/>
          <w:u w:val="single"/>
          <w:lang w:val="zh-CN"/>
        </w:rPr>
      </w:pPr>
      <w:r>
        <w:rPr>
          <w:rFonts w:hint="eastAsia" w:ascii="宋体" w:hAnsi="宋体" w:cs="宋体"/>
          <w:color w:val="auto"/>
          <w:szCs w:val="21"/>
          <w:lang w:val="zh-CN"/>
        </w:rPr>
        <w:t>投标人印刷体名称（加盖公章）：</w:t>
      </w:r>
      <w:r>
        <w:rPr>
          <w:rFonts w:hint="eastAsia" w:ascii="宋体" w:hAnsi="宋体" w:cs="宋体"/>
          <w:color w:val="auto"/>
          <w:szCs w:val="21"/>
          <w:u w:val="single"/>
          <w:lang w:val="zh-CN"/>
        </w:rPr>
        <w:t xml:space="preserve">                      </w:t>
      </w:r>
    </w:p>
    <w:p w14:paraId="1A6AFC4F">
      <w:pPr>
        <w:autoSpaceDE w:val="0"/>
        <w:autoSpaceDN w:val="0"/>
        <w:adjustRightInd w:val="0"/>
        <w:ind w:firstLine="482"/>
        <w:outlineLvl w:val="9"/>
        <w:rPr>
          <w:rFonts w:hint="eastAsia" w:ascii="宋体" w:hAnsi="宋体" w:cs="宋体"/>
          <w:color w:val="auto"/>
          <w:szCs w:val="21"/>
          <w:lang w:val="zh-CN"/>
        </w:rPr>
      </w:pPr>
      <w:r>
        <w:rPr>
          <w:rFonts w:hint="eastAsia" w:ascii="宋体" w:hAnsi="宋体" w:cs="宋体"/>
          <w:color w:val="auto"/>
          <w:szCs w:val="21"/>
          <w:lang w:val="zh-CN"/>
        </w:rPr>
        <w:t>单位负责人或授权代理人（签字</w:t>
      </w:r>
      <w:r>
        <w:rPr>
          <w:rFonts w:ascii="宋体" w:hAnsi="宋体" w:cs="宋体"/>
          <w:color w:val="auto"/>
          <w:szCs w:val="21"/>
          <w:lang w:val="zh-CN"/>
        </w:rPr>
        <w:t>或盖章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14:paraId="6BC3EC50">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地址：</w:t>
      </w:r>
      <w:r>
        <w:rPr>
          <w:rFonts w:hint="eastAsia" w:ascii="宋体" w:hAnsi="宋体" w:cs="宋体"/>
          <w:color w:val="auto"/>
          <w:szCs w:val="21"/>
          <w:u w:val="single"/>
          <w:lang w:val="zh-CN"/>
        </w:rPr>
        <w:t xml:space="preserve">                                       </w:t>
      </w:r>
    </w:p>
    <w:p w14:paraId="4FC27780">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电话、传真或电传：</w:t>
      </w:r>
      <w:r>
        <w:rPr>
          <w:rFonts w:hint="eastAsia" w:ascii="宋体" w:hAnsi="宋体" w:cs="宋体"/>
          <w:color w:val="auto"/>
          <w:szCs w:val="21"/>
          <w:u w:val="single"/>
          <w:lang w:val="zh-CN"/>
        </w:rPr>
        <w:t xml:space="preserve">                           </w:t>
      </w:r>
    </w:p>
    <w:p w14:paraId="1CEACD67">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邮政编码：</w:t>
      </w:r>
      <w:r>
        <w:rPr>
          <w:rFonts w:hint="eastAsia" w:ascii="宋体" w:hAnsi="宋体" w:cs="宋体"/>
          <w:color w:val="auto"/>
          <w:szCs w:val="21"/>
          <w:u w:val="single"/>
          <w:lang w:val="zh-CN"/>
        </w:rPr>
        <w:t xml:space="preserve">                                   </w:t>
      </w:r>
    </w:p>
    <w:p w14:paraId="0627BBA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p>
    <w:p w14:paraId="70F2F79E">
      <w:pPr>
        <w:autoSpaceDE w:val="0"/>
        <w:autoSpaceDN w:val="0"/>
        <w:adjustRightInd w:val="0"/>
        <w:ind w:firstLine="480"/>
        <w:outlineLvl w:val="9"/>
        <w:rPr>
          <w:rFonts w:hint="eastAsia" w:ascii="宋体" w:hAnsi="宋体" w:cs="宋体"/>
          <w:color w:val="auto"/>
          <w:szCs w:val="21"/>
          <w:lang w:val="zh-CN"/>
        </w:rPr>
      </w:pPr>
    </w:p>
    <w:p w14:paraId="526A4A29">
      <w:pPr>
        <w:autoSpaceDE w:val="0"/>
        <w:autoSpaceDN w:val="0"/>
        <w:adjustRightInd w:val="0"/>
        <w:ind w:firstLine="472"/>
        <w:outlineLvl w:val="9"/>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14:paraId="74A311EF">
      <w:pPr>
        <w:tabs>
          <w:tab w:val="left" w:pos="4442"/>
        </w:tabs>
        <w:outlineLvl w:val="9"/>
        <w:rPr>
          <w:rFonts w:ascii="宋体" w:hAnsi="宋体" w:cs="宋体"/>
          <w:color w:val="auto"/>
          <w:szCs w:val="21"/>
          <w:lang w:val="zh-CN"/>
        </w:rPr>
      </w:pPr>
      <w:r>
        <w:rPr>
          <w:rFonts w:ascii="宋体" w:hAnsi="宋体" w:cs="宋体"/>
          <w:color w:val="auto"/>
          <w:szCs w:val="21"/>
          <w:lang w:val="zh-CN"/>
        </w:rPr>
        <w:tab/>
      </w:r>
    </w:p>
    <w:p w14:paraId="271AE6F3">
      <w:pPr>
        <w:tabs>
          <w:tab w:val="left" w:pos="4442"/>
        </w:tabs>
        <w:outlineLvl w:val="9"/>
        <w:rPr>
          <w:rFonts w:ascii="宋体" w:hAnsi="宋体" w:cs="宋体"/>
          <w:color w:val="auto"/>
          <w:szCs w:val="21"/>
          <w:lang w:val="zh-CN"/>
        </w:rPr>
        <w:sectPr>
          <w:pgSz w:w="11906" w:h="16838"/>
          <w:pgMar w:top="1440" w:right="1417" w:bottom="1440" w:left="1417"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lang w:val="zh-CN"/>
        </w:rPr>
        <w:tab/>
      </w:r>
    </w:p>
    <w:p w14:paraId="0664E059">
      <w:pPr>
        <w:autoSpaceDE w:val="0"/>
        <w:autoSpaceDN w:val="0"/>
        <w:adjustRightInd w:val="0"/>
        <w:outlineLvl w:val="9"/>
        <w:rPr>
          <w:rFonts w:hint="eastAsia" w:ascii="宋体" w:hAnsi="宋体" w:cs="宋体"/>
          <w:b/>
          <w:color w:val="auto"/>
          <w:sz w:val="24"/>
          <w:lang w:val="zh-CN"/>
        </w:rPr>
        <w:sectPr>
          <w:headerReference r:id="rId10"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771AD847">
      <w:pPr>
        <w:autoSpaceDE w:val="0"/>
        <w:autoSpaceDN w:val="0"/>
        <w:adjustRightInd w:val="0"/>
        <w:outlineLvl w:val="1"/>
        <w:rPr>
          <w:rFonts w:hint="eastAsia" w:ascii="宋体" w:hAnsi="宋体" w:cs="宋体"/>
          <w:b/>
          <w:color w:val="auto"/>
          <w:sz w:val="24"/>
          <w:u w:val="single"/>
          <w:lang w:val="zh-CN"/>
        </w:rPr>
      </w:pPr>
      <w:bookmarkStart w:id="112" w:name="_Toc12567"/>
      <w:bookmarkStart w:id="113" w:name="_Toc29556"/>
      <w:r>
        <w:rPr>
          <w:rFonts w:hint="eastAsia" w:ascii="宋体" w:hAnsi="宋体" w:cs="宋体"/>
          <w:b/>
          <w:color w:val="auto"/>
          <w:sz w:val="24"/>
          <w:lang w:val="zh-CN"/>
        </w:rPr>
        <w:t>格式二</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开标一览表</w:t>
      </w:r>
      <w:bookmarkEnd w:id="112"/>
      <w:bookmarkEnd w:id="113"/>
      <w:r>
        <w:rPr>
          <w:rFonts w:hint="eastAsia" w:ascii="宋体" w:hAnsi="宋体" w:cs="宋体"/>
          <w:b/>
          <w:color w:val="auto"/>
          <w:sz w:val="24"/>
          <w:lang w:val="zh-CN"/>
        </w:rPr>
        <w:t xml:space="preserve"> </w:t>
      </w:r>
    </w:p>
    <w:p w14:paraId="3CDEE2BB">
      <w:pPr>
        <w:autoSpaceDE w:val="0"/>
        <w:autoSpaceDN w:val="0"/>
        <w:adjustRightInd w:val="0"/>
        <w:spacing w:line="360" w:lineRule="auto"/>
        <w:jc w:val="right"/>
        <w:outlineLvl w:val="9"/>
        <w:rPr>
          <w:rFonts w:hint="eastAsia" w:ascii="宋体" w:hAnsi="宋体" w:cs="宋体"/>
          <w:color w:val="auto"/>
          <w:sz w:val="24"/>
          <w:szCs w:val="24"/>
          <w:lang w:val="zh-CN"/>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 xml:space="preserve">  </w:t>
      </w: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 xml:space="preserve">                            </w:t>
      </w:r>
    </w:p>
    <w:tbl>
      <w:tblPr>
        <w:tblStyle w:val="24"/>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14:paraId="05C2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0C886A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14:paraId="3F54965C">
            <w:pPr>
              <w:jc w:val="center"/>
              <w:rPr>
                <w:rFonts w:hint="eastAsia" w:ascii="宋体" w:hAnsi="宋体" w:eastAsia="宋体" w:cs="宋体"/>
                <w:color w:val="auto"/>
                <w:sz w:val="21"/>
                <w:szCs w:val="21"/>
              </w:rPr>
            </w:pPr>
          </w:p>
        </w:tc>
      </w:tr>
      <w:tr w14:paraId="47B6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5B1BCB21">
            <w:pPr>
              <w:pStyle w:val="44"/>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投标报价</w:t>
            </w:r>
            <w:r>
              <w:rPr>
                <w:rFonts w:hint="eastAsia" w:hAnsi="宋体" w:cs="宋体"/>
                <w:color w:val="auto"/>
                <w:kern w:val="2"/>
                <w:sz w:val="21"/>
                <w:szCs w:val="21"/>
                <w:lang w:val="en-US" w:eastAsia="zh-CN" w:bidi="ar-SA"/>
              </w:rPr>
              <w:t>（万元）</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5E96588C">
            <w:pPr>
              <w:jc w:val="left"/>
              <w:rPr>
                <w:rFonts w:hint="eastAsia" w:ascii="宋体" w:hAnsi="宋体" w:eastAsia="宋体" w:cs="宋体"/>
                <w:color w:val="auto"/>
                <w:sz w:val="21"/>
                <w:szCs w:val="21"/>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14:paraId="4C4270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p>
          <w:p w14:paraId="32FF1AA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1DD18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14:paraId="501F8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1F3684D2">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eastAsia="zh-CN"/>
              </w:rPr>
              <w:t>标准</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70EF192">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符合国家及相关行业要求的合格标准，并达到采购人的验收标准</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59076B9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合同履行期限</w:t>
            </w:r>
            <w:r>
              <w:rPr>
                <w:rFonts w:hint="eastAsia" w:ascii="宋体" w:hAnsi="宋体" w:eastAsia="宋体" w:cs="宋体"/>
                <w:color w:val="auto"/>
                <w:sz w:val="21"/>
                <w:szCs w:val="21"/>
                <w:lang w:val="en-US" w:eastAsia="zh-CN"/>
              </w:rPr>
              <w:t>/供货期</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E03532E">
            <w:pPr>
              <w:jc w:val="center"/>
              <w:rPr>
                <w:rFonts w:hint="eastAsia" w:ascii="宋体" w:hAnsi="宋体" w:eastAsia="宋体" w:cs="宋体"/>
                <w:color w:val="auto"/>
                <w:sz w:val="21"/>
                <w:szCs w:val="21"/>
              </w:rPr>
            </w:pPr>
          </w:p>
        </w:tc>
      </w:tr>
      <w:tr w14:paraId="7728E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6AC5EA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14:paraId="273B2E7C">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14:paraId="52A43D96">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14:paraId="0F857D19">
            <w:pPr>
              <w:numPr>
                <w:ilvl w:val="0"/>
                <w:numId w:val="0"/>
              </w:numPr>
              <w:ind w:leftChars="0"/>
              <w:jc w:val="both"/>
              <w:rPr>
                <w:rFonts w:hint="eastAsia" w:ascii="宋体" w:hAnsi="宋体" w:eastAsia="宋体" w:cs="宋体"/>
                <w:b/>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14:paraId="70F81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14:paraId="10500AB3">
            <w:pPr>
              <w:rPr>
                <w:rFonts w:hint="eastAsia" w:ascii="宋体" w:hAnsi="宋体" w:eastAsia="宋体" w:cs="宋体"/>
                <w:color w:val="auto"/>
                <w:sz w:val="21"/>
                <w:szCs w:val="21"/>
              </w:rPr>
            </w:pPr>
          </w:p>
          <w:p w14:paraId="541E0025">
            <w:pPr>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14:paraId="0DCAF39E">
            <w:pPr>
              <w:rPr>
                <w:rFonts w:hint="eastAsia" w:ascii="宋体" w:hAnsi="宋体" w:eastAsia="宋体" w:cs="宋体"/>
                <w:color w:val="auto"/>
                <w:sz w:val="21"/>
                <w:szCs w:val="21"/>
              </w:rPr>
            </w:pPr>
          </w:p>
          <w:p w14:paraId="041604F2">
            <w:pPr>
              <w:rPr>
                <w:rFonts w:hint="eastAsia" w:ascii="宋体" w:hAnsi="宋体" w:eastAsia="宋体" w:cs="宋体"/>
                <w:color w:val="auto"/>
                <w:sz w:val="21"/>
                <w:szCs w:val="21"/>
              </w:rPr>
            </w:pPr>
          </w:p>
          <w:p w14:paraId="405829B6">
            <w:pPr>
              <w:rPr>
                <w:rFonts w:hint="eastAsia" w:ascii="宋体" w:hAnsi="宋体" w:eastAsia="宋体" w:cs="宋体"/>
                <w:color w:val="auto"/>
                <w:sz w:val="21"/>
                <w:szCs w:val="21"/>
              </w:rPr>
            </w:pPr>
          </w:p>
          <w:p w14:paraId="0CC2E1FE">
            <w:pPr>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法定代表人或委托代理人：（签字或盖章）</w:t>
            </w:r>
          </w:p>
          <w:p w14:paraId="529B5452">
            <w:pPr>
              <w:jc w:val="right"/>
              <w:rPr>
                <w:rFonts w:hint="eastAsia" w:ascii="宋体" w:hAnsi="宋体" w:eastAsia="宋体" w:cs="宋体"/>
                <w:color w:val="auto"/>
                <w:sz w:val="21"/>
                <w:szCs w:val="21"/>
              </w:rPr>
            </w:pPr>
            <w:r>
              <w:rPr>
                <w:rFonts w:hint="eastAsia" w:ascii="宋体" w:hAnsi="宋体" w:cs="宋体"/>
                <w:bCs/>
                <w:color w:val="auto"/>
                <w:szCs w:val="21"/>
                <w:lang w:val="zh-CN"/>
              </w:rPr>
              <w:t>年  月   日</w:t>
            </w:r>
          </w:p>
          <w:p w14:paraId="76C22C80">
            <w:pPr>
              <w:rPr>
                <w:rFonts w:hint="eastAsia" w:ascii="宋体" w:hAnsi="宋体" w:eastAsia="宋体" w:cs="宋体"/>
                <w:color w:val="auto"/>
                <w:sz w:val="21"/>
                <w:szCs w:val="21"/>
              </w:rPr>
            </w:pPr>
          </w:p>
        </w:tc>
      </w:tr>
    </w:tbl>
    <w:p w14:paraId="14D5858C">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14:paraId="09EDD0DF">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14:paraId="18CF8A32">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18A7E2B6">
      <w:pPr>
        <w:autoSpaceDE w:val="0"/>
        <w:autoSpaceDN w:val="0"/>
        <w:adjustRightInd w:val="0"/>
        <w:outlineLvl w:val="1"/>
        <w:rPr>
          <w:rFonts w:hint="eastAsia" w:ascii="宋体" w:hAnsi="宋体" w:cs="宋体"/>
          <w:b/>
          <w:color w:val="auto"/>
          <w:sz w:val="24"/>
          <w:lang w:val="zh-CN"/>
        </w:rPr>
      </w:pPr>
      <w:bookmarkStart w:id="114" w:name="_Toc14114"/>
      <w:bookmarkStart w:id="115" w:name="_Toc20872"/>
      <w:r>
        <w:rPr>
          <w:rFonts w:hint="eastAsia" w:ascii="宋体" w:hAnsi="宋体" w:cs="宋体"/>
          <w:b/>
          <w:color w:val="auto"/>
          <w:sz w:val="24"/>
          <w:lang w:val="zh-CN"/>
        </w:rPr>
        <w:t>格式三</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投标人基本情况（加盖投标人公章或有效签署）</w:t>
      </w:r>
      <w:bookmarkEnd w:id="114"/>
      <w:bookmarkEnd w:id="115"/>
    </w:p>
    <w:p w14:paraId="21710873">
      <w:pPr>
        <w:autoSpaceDE w:val="0"/>
        <w:autoSpaceDN w:val="0"/>
        <w:adjustRightInd w:val="0"/>
        <w:spacing w:line="360" w:lineRule="auto"/>
        <w:outlineLvl w:val="9"/>
        <w:rPr>
          <w:rFonts w:hint="eastAsia" w:ascii="宋体" w:hAnsi="宋体" w:cs="宋体"/>
          <w:bCs/>
          <w:color w:val="auto"/>
          <w:szCs w:val="21"/>
          <w:lang w:val="zh-CN"/>
        </w:rPr>
      </w:pPr>
    </w:p>
    <w:p w14:paraId="3F1E672D">
      <w:pPr>
        <w:numPr>
          <w:ilvl w:val="0"/>
          <w:numId w:val="12"/>
        </w:numPr>
        <w:autoSpaceDE w:val="0"/>
        <w:autoSpaceDN w:val="0"/>
        <w:adjustRightInd w:val="0"/>
        <w:spacing w:line="360" w:lineRule="auto"/>
        <w:outlineLvl w:val="9"/>
        <w:rPr>
          <w:rFonts w:hint="eastAsia" w:ascii="宋体" w:hAnsi="宋体" w:cs="宋体"/>
          <w:bCs/>
          <w:color w:val="auto"/>
          <w:szCs w:val="21"/>
          <w:lang w:val="zh-CN"/>
        </w:rPr>
      </w:pPr>
      <w:r>
        <w:rPr>
          <w:rFonts w:hint="eastAsia" w:ascii="宋体" w:hAnsi="宋体" w:cs="宋体"/>
          <w:bCs/>
          <w:color w:val="auto"/>
          <w:szCs w:val="21"/>
          <w:lang w:val="en-US" w:eastAsia="zh-CN"/>
        </w:rPr>
        <w:t>企业介绍：</w:t>
      </w:r>
      <w:r>
        <w:rPr>
          <w:rFonts w:hint="eastAsia" w:ascii="宋体" w:hAnsi="宋体" w:cs="宋体"/>
          <w:bCs/>
          <w:color w:val="auto"/>
          <w:szCs w:val="21"/>
          <w:lang w:val="zh-CN" w:eastAsia="zh-CN"/>
        </w:rPr>
        <w:t>格式自拟</w:t>
      </w:r>
      <w:r>
        <w:rPr>
          <w:rFonts w:hint="eastAsia" w:ascii="宋体" w:hAnsi="宋体" w:cs="宋体"/>
          <w:bCs/>
          <w:color w:val="auto"/>
          <w:szCs w:val="21"/>
          <w:lang w:val="zh-CN"/>
        </w:rPr>
        <w:t>。</w:t>
      </w:r>
    </w:p>
    <w:p w14:paraId="1D4ACAA1">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en-US" w:eastAsia="zh-CN"/>
        </w:rPr>
        <w:t>企业营业执照</w:t>
      </w:r>
    </w:p>
    <w:p w14:paraId="4C30F6F3">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财务要求：投标人提供202</w:t>
      </w:r>
      <w:r>
        <w:rPr>
          <w:rFonts w:hint="eastAsia" w:ascii="宋体" w:hAnsi="宋体" w:cs="宋体"/>
          <w:bCs/>
          <w:color w:val="auto"/>
          <w:szCs w:val="21"/>
          <w:lang w:val="en-US" w:eastAsia="zh-CN"/>
        </w:rPr>
        <w:t>4</w:t>
      </w:r>
      <w:r>
        <w:rPr>
          <w:rFonts w:hint="eastAsia" w:ascii="宋体" w:hAnsi="宋体" w:cs="宋体"/>
          <w:bCs/>
          <w:color w:val="auto"/>
          <w:szCs w:val="21"/>
          <w:lang w:val="zh-CN" w:eastAsia="zh-CN"/>
        </w:rPr>
        <w:t>年经会计师事务所或审计机构出具的财务审计报告或提供其基本开户银行在投标截止日前六个月内出具的资信证明（银行出具的存款证明不能替代银行资信证明）</w:t>
      </w:r>
    </w:p>
    <w:p w14:paraId="24412FEE">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纳税要求：投标人提供近一年（202</w:t>
      </w:r>
      <w:r>
        <w:rPr>
          <w:rFonts w:hint="eastAsia" w:ascii="宋体" w:hAnsi="宋体" w:cs="宋体"/>
          <w:bCs/>
          <w:color w:val="auto"/>
          <w:szCs w:val="21"/>
          <w:lang w:val="en-US" w:eastAsia="zh-CN"/>
        </w:rPr>
        <w:t>5</w:t>
      </w:r>
      <w:r>
        <w:rPr>
          <w:rFonts w:hint="eastAsia" w:ascii="宋体" w:hAnsi="宋体" w:cs="宋体"/>
          <w:bCs/>
          <w:color w:val="auto"/>
          <w:szCs w:val="21"/>
          <w:lang w:val="zh-CN" w:eastAsia="zh-CN"/>
        </w:rPr>
        <w:t>年0</w:t>
      </w:r>
      <w:r>
        <w:rPr>
          <w:rFonts w:hint="eastAsia" w:ascii="宋体" w:hAnsi="宋体" w:cs="宋体"/>
          <w:bCs/>
          <w:color w:val="auto"/>
          <w:szCs w:val="21"/>
          <w:lang w:val="en-US" w:eastAsia="zh-CN"/>
        </w:rPr>
        <w:t>1</w:t>
      </w:r>
      <w:r>
        <w:rPr>
          <w:rFonts w:hint="eastAsia" w:ascii="宋体" w:hAnsi="宋体" w:cs="宋体"/>
          <w:bCs/>
          <w:color w:val="auto"/>
          <w:szCs w:val="21"/>
          <w:lang w:val="zh-CN" w:eastAsia="zh-CN"/>
        </w:rPr>
        <w:t>月至今）任意一个月的依法纳税证明(依法免税的投标人可提供相应文件证明其依法免税)</w:t>
      </w:r>
    </w:p>
    <w:p w14:paraId="23A6C640">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社保要求：投标人提供近一年（202</w:t>
      </w:r>
      <w:r>
        <w:rPr>
          <w:rFonts w:hint="eastAsia" w:ascii="宋体" w:hAnsi="宋体" w:cs="宋体"/>
          <w:bCs/>
          <w:color w:val="auto"/>
          <w:szCs w:val="21"/>
          <w:lang w:val="en-US" w:eastAsia="zh-CN"/>
        </w:rPr>
        <w:t>5</w:t>
      </w:r>
      <w:r>
        <w:rPr>
          <w:rFonts w:hint="eastAsia" w:ascii="宋体" w:hAnsi="宋体" w:cs="宋体"/>
          <w:bCs/>
          <w:color w:val="auto"/>
          <w:szCs w:val="21"/>
          <w:lang w:val="zh-CN" w:eastAsia="zh-CN"/>
        </w:rPr>
        <w:t>年0</w:t>
      </w:r>
      <w:r>
        <w:rPr>
          <w:rFonts w:hint="eastAsia" w:ascii="宋体" w:hAnsi="宋体" w:cs="宋体"/>
          <w:bCs/>
          <w:color w:val="auto"/>
          <w:szCs w:val="21"/>
          <w:lang w:val="en-US" w:eastAsia="zh-CN"/>
        </w:rPr>
        <w:t>1</w:t>
      </w:r>
      <w:r>
        <w:rPr>
          <w:rFonts w:hint="eastAsia" w:ascii="宋体" w:hAnsi="宋体" w:cs="宋体"/>
          <w:bCs/>
          <w:color w:val="auto"/>
          <w:szCs w:val="21"/>
          <w:lang w:val="zh-CN" w:eastAsia="zh-CN"/>
        </w:rPr>
        <w:t>月至今）任意一个月的依法缴纳社会保障资金的证明(依法不需要缴纳社会保障资金的投标人可提供相应文件证明其依法不需要缴纳社会保障资金)</w:t>
      </w:r>
    </w:p>
    <w:p w14:paraId="22927EFA">
      <w:pPr>
        <w:autoSpaceDE w:val="0"/>
        <w:autoSpaceDN w:val="0"/>
        <w:adjustRightInd w:val="0"/>
        <w:outlineLvl w:val="9"/>
        <w:rPr>
          <w:rFonts w:hint="eastAsia" w:ascii="宋体" w:hAnsi="宋体" w:cs="宋体"/>
          <w:color w:val="auto"/>
          <w:sz w:val="24"/>
        </w:rPr>
      </w:pPr>
    </w:p>
    <w:p w14:paraId="02F2F63E">
      <w:pPr>
        <w:autoSpaceDE w:val="0"/>
        <w:autoSpaceDN w:val="0"/>
        <w:adjustRightInd w:val="0"/>
        <w:outlineLvl w:val="9"/>
        <w:rPr>
          <w:rFonts w:hint="eastAsia" w:ascii="宋体" w:hAnsi="宋体" w:cs="宋体"/>
          <w:color w:val="auto"/>
          <w:sz w:val="24"/>
        </w:rPr>
      </w:pPr>
    </w:p>
    <w:p w14:paraId="3796A567">
      <w:pPr>
        <w:autoSpaceDE w:val="0"/>
        <w:autoSpaceDN w:val="0"/>
        <w:adjustRightInd w:val="0"/>
        <w:outlineLvl w:val="9"/>
        <w:rPr>
          <w:rFonts w:hint="eastAsia" w:ascii="宋体" w:hAnsi="宋体" w:cs="宋体"/>
          <w:color w:val="auto"/>
          <w:sz w:val="24"/>
        </w:rPr>
      </w:pPr>
    </w:p>
    <w:p w14:paraId="661FEB65">
      <w:pPr>
        <w:autoSpaceDE w:val="0"/>
        <w:autoSpaceDN w:val="0"/>
        <w:adjustRightInd w:val="0"/>
        <w:outlineLvl w:val="9"/>
        <w:rPr>
          <w:rFonts w:hint="eastAsia" w:ascii="宋体" w:hAnsi="宋体" w:cs="宋体"/>
          <w:color w:val="auto"/>
          <w:sz w:val="24"/>
        </w:rPr>
      </w:pPr>
    </w:p>
    <w:p w14:paraId="0F12AF2D">
      <w:pPr>
        <w:autoSpaceDE w:val="0"/>
        <w:autoSpaceDN w:val="0"/>
        <w:adjustRightInd w:val="0"/>
        <w:outlineLvl w:val="9"/>
        <w:rPr>
          <w:rFonts w:hint="eastAsia" w:ascii="宋体" w:hAnsi="宋体" w:cs="宋体"/>
          <w:color w:val="auto"/>
          <w:sz w:val="24"/>
        </w:rPr>
      </w:pPr>
    </w:p>
    <w:p w14:paraId="6B228A71">
      <w:pPr>
        <w:autoSpaceDE w:val="0"/>
        <w:autoSpaceDN w:val="0"/>
        <w:adjustRightInd w:val="0"/>
        <w:outlineLvl w:val="9"/>
        <w:rPr>
          <w:rFonts w:hint="eastAsia" w:ascii="宋体" w:hAnsi="宋体" w:cs="宋体"/>
          <w:color w:val="auto"/>
          <w:sz w:val="24"/>
        </w:rPr>
      </w:pPr>
    </w:p>
    <w:p w14:paraId="438BBFEB">
      <w:pPr>
        <w:autoSpaceDE w:val="0"/>
        <w:autoSpaceDN w:val="0"/>
        <w:adjustRightInd w:val="0"/>
        <w:outlineLvl w:val="9"/>
        <w:rPr>
          <w:rFonts w:hint="eastAsia" w:ascii="宋体" w:hAnsi="宋体" w:cs="宋体"/>
          <w:color w:val="auto"/>
          <w:sz w:val="24"/>
        </w:rPr>
      </w:pPr>
    </w:p>
    <w:p w14:paraId="5AA498FB">
      <w:pPr>
        <w:autoSpaceDE w:val="0"/>
        <w:autoSpaceDN w:val="0"/>
        <w:adjustRightInd w:val="0"/>
        <w:outlineLvl w:val="9"/>
        <w:rPr>
          <w:rFonts w:hint="eastAsia" w:ascii="宋体" w:hAnsi="宋体" w:cs="宋体"/>
          <w:color w:val="auto"/>
          <w:sz w:val="24"/>
        </w:rPr>
      </w:pPr>
    </w:p>
    <w:p w14:paraId="3680F181">
      <w:pPr>
        <w:autoSpaceDE w:val="0"/>
        <w:autoSpaceDN w:val="0"/>
        <w:adjustRightInd w:val="0"/>
        <w:outlineLvl w:val="9"/>
        <w:rPr>
          <w:rFonts w:hint="eastAsia" w:ascii="宋体" w:hAnsi="宋体" w:cs="宋体"/>
          <w:color w:val="auto"/>
          <w:sz w:val="24"/>
        </w:rPr>
      </w:pPr>
    </w:p>
    <w:p w14:paraId="2E893F8C">
      <w:pPr>
        <w:autoSpaceDE w:val="0"/>
        <w:autoSpaceDN w:val="0"/>
        <w:adjustRightInd w:val="0"/>
        <w:outlineLvl w:val="9"/>
        <w:rPr>
          <w:rFonts w:hint="eastAsia" w:ascii="宋体" w:hAnsi="宋体" w:cs="宋体"/>
          <w:color w:val="auto"/>
          <w:sz w:val="24"/>
        </w:rPr>
      </w:pPr>
    </w:p>
    <w:p w14:paraId="460C4D45">
      <w:pPr>
        <w:autoSpaceDE w:val="0"/>
        <w:autoSpaceDN w:val="0"/>
        <w:adjustRightInd w:val="0"/>
        <w:outlineLvl w:val="9"/>
        <w:rPr>
          <w:rFonts w:hint="eastAsia" w:ascii="宋体" w:hAnsi="宋体" w:cs="宋体"/>
          <w:color w:val="auto"/>
          <w:sz w:val="24"/>
        </w:rPr>
      </w:pPr>
    </w:p>
    <w:p w14:paraId="683A5397">
      <w:pPr>
        <w:autoSpaceDE w:val="0"/>
        <w:autoSpaceDN w:val="0"/>
        <w:adjustRightInd w:val="0"/>
        <w:outlineLvl w:val="9"/>
        <w:rPr>
          <w:rFonts w:hint="eastAsia" w:ascii="宋体" w:hAnsi="宋体" w:cs="宋体"/>
          <w:color w:val="auto"/>
          <w:sz w:val="24"/>
        </w:rPr>
      </w:pPr>
    </w:p>
    <w:p w14:paraId="1405199B">
      <w:pPr>
        <w:autoSpaceDE w:val="0"/>
        <w:autoSpaceDN w:val="0"/>
        <w:adjustRightInd w:val="0"/>
        <w:outlineLvl w:val="9"/>
        <w:rPr>
          <w:rFonts w:hint="eastAsia" w:ascii="宋体" w:hAnsi="宋体" w:cs="宋体"/>
          <w:color w:val="auto"/>
          <w:sz w:val="24"/>
        </w:rPr>
      </w:pPr>
    </w:p>
    <w:p w14:paraId="554A4B32">
      <w:pPr>
        <w:autoSpaceDE w:val="0"/>
        <w:autoSpaceDN w:val="0"/>
        <w:adjustRightInd w:val="0"/>
        <w:outlineLvl w:val="9"/>
        <w:rPr>
          <w:rFonts w:hint="eastAsia" w:ascii="宋体" w:hAnsi="宋体" w:cs="宋体"/>
          <w:color w:val="auto"/>
          <w:sz w:val="24"/>
        </w:rPr>
      </w:pPr>
    </w:p>
    <w:p w14:paraId="730CF3C9">
      <w:pPr>
        <w:autoSpaceDE w:val="0"/>
        <w:autoSpaceDN w:val="0"/>
        <w:adjustRightInd w:val="0"/>
        <w:outlineLvl w:val="9"/>
        <w:rPr>
          <w:rFonts w:hint="eastAsia" w:ascii="宋体" w:hAnsi="宋体" w:cs="宋体"/>
          <w:color w:val="auto"/>
          <w:sz w:val="24"/>
        </w:rPr>
      </w:pPr>
    </w:p>
    <w:p w14:paraId="3CFDE967">
      <w:pPr>
        <w:autoSpaceDE w:val="0"/>
        <w:autoSpaceDN w:val="0"/>
        <w:adjustRightInd w:val="0"/>
        <w:outlineLvl w:val="9"/>
        <w:rPr>
          <w:rFonts w:hint="eastAsia" w:ascii="宋体" w:hAnsi="宋体" w:cs="宋体"/>
          <w:color w:val="auto"/>
          <w:sz w:val="24"/>
        </w:rPr>
      </w:pPr>
    </w:p>
    <w:p w14:paraId="72D05CB7">
      <w:pPr>
        <w:autoSpaceDE w:val="0"/>
        <w:autoSpaceDN w:val="0"/>
        <w:adjustRightInd w:val="0"/>
        <w:outlineLvl w:val="9"/>
        <w:rPr>
          <w:rFonts w:hint="eastAsia" w:ascii="宋体" w:hAnsi="宋体" w:cs="宋体"/>
          <w:color w:val="auto"/>
          <w:sz w:val="24"/>
        </w:rPr>
      </w:pPr>
    </w:p>
    <w:p w14:paraId="1D46A5E0">
      <w:pPr>
        <w:autoSpaceDE w:val="0"/>
        <w:autoSpaceDN w:val="0"/>
        <w:adjustRightInd w:val="0"/>
        <w:outlineLvl w:val="9"/>
        <w:rPr>
          <w:rFonts w:hint="eastAsia" w:ascii="宋体" w:hAnsi="宋体" w:cs="宋体"/>
          <w:color w:val="auto"/>
          <w:sz w:val="24"/>
        </w:rPr>
      </w:pPr>
    </w:p>
    <w:p w14:paraId="6203ABA9">
      <w:pPr>
        <w:autoSpaceDE w:val="0"/>
        <w:autoSpaceDN w:val="0"/>
        <w:adjustRightInd w:val="0"/>
        <w:outlineLvl w:val="9"/>
        <w:rPr>
          <w:rFonts w:hint="eastAsia" w:ascii="宋体" w:hAnsi="宋体" w:cs="宋体"/>
          <w:color w:val="auto"/>
          <w:sz w:val="24"/>
        </w:rPr>
      </w:pPr>
    </w:p>
    <w:p w14:paraId="4EF59D8D">
      <w:pPr>
        <w:autoSpaceDE w:val="0"/>
        <w:autoSpaceDN w:val="0"/>
        <w:adjustRightInd w:val="0"/>
        <w:outlineLvl w:val="9"/>
        <w:rPr>
          <w:rFonts w:hint="eastAsia" w:ascii="宋体" w:hAnsi="宋体" w:cs="宋体"/>
          <w:color w:val="auto"/>
          <w:sz w:val="24"/>
        </w:rPr>
      </w:pPr>
    </w:p>
    <w:p w14:paraId="1B9DC09B">
      <w:pPr>
        <w:autoSpaceDE w:val="0"/>
        <w:autoSpaceDN w:val="0"/>
        <w:adjustRightInd w:val="0"/>
        <w:outlineLvl w:val="9"/>
        <w:rPr>
          <w:rFonts w:hint="eastAsia" w:ascii="宋体" w:hAnsi="宋体" w:cs="宋体"/>
          <w:color w:val="auto"/>
          <w:sz w:val="24"/>
        </w:rPr>
      </w:pPr>
    </w:p>
    <w:p w14:paraId="54B87E57">
      <w:pPr>
        <w:autoSpaceDE w:val="0"/>
        <w:autoSpaceDN w:val="0"/>
        <w:adjustRightInd w:val="0"/>
        <w:outlineLvl w:val="9"/>
        <w:rPr>
          <w:rFonts w:hint="eastAsia" w:ascii="宋体" w:hAnsi="宋体" w:cs="宋体"/>
          <w:color w:val="auto"/>
          <w:sz w:val="24"/>
        </w:rPr>
      </w:pPr>
    </w:p>
    <w:p w14:paraId="2288122F">
      <w:pPr>
        <w:autoSpaceDE w:val="0"/>
        <w:autoSpaceDN w:val="0"/>
        <w:adjustRightInd w:val="0"/>
        <w:outlineLvl w:val="9"/>
        <w:rPr>
          <w:rFonts w:hint="eastAsia" w:ascii="宋体" w:hAnsi="宋体" w:cs="宋体"/>
          <w:color w:val="auto"/>
          <w:sz w:val="24"/>
        </w:rPr>
      </w:pPr>
    </w:p>
    <w:p w14:paraId="3CDBA825">
      <w:pPr>
        <w:autoSpaceDE w:val="0"/>
        <w:autoSpaceDN w:val="0"/>
        <w:adjustRightInd w:val="0"/>
        <w:outlineLvl w:val="9"/>
        <w:rPr>
          <w:rFonts w:hint="eastAsia" w:ascii="宋体" w:hAnsi="宋体" w:cs="宋体"/>
          <w:color w:val="auto"/>
          <w:sz w:val="24"/>
        </w:rPr>
      </w:pPr>
    </w:p>
    <w:p w14:paraId="330DFA64">
      <w:pPr>
        <w:autoSpaceDE w:val="0"/>
        <w:autoSpaceDN w:val="0"/>
        <w:adjustRightInd w:val="0"/>
        <w:outlineLvl w:val="9"/>
        <w:rPr>
          <w:rFonts w:hint="eastAsia" w:ascii="宋体" w:hAnsi="宋体" w:cs="宋体"/>
          <w:color w:val="auto"/>
          <w:sz w:val="24"/>
        </w:rPr>
      </w:pPr>
    </w:p>
    <w:p w14:paraId="6D99FB82">
      <w:pPr>
        <w:autoSpaceDE w:val="0"/>
        <w:autoSpaceDN w:val="0"/>
        <w:adjustRightInd w:val="0"/>
        <w:outlineLvl w:val="9"/>
        <w:rPr>
          <w:rFonts w:hint="eastAsia" w:ascii="宋体" w:hAnsi="宋体" w:cs="宋体"/>
          <w:color w:val="auto"/>
          <w:sz w:val="24"/>
        </w:rPr>
      </w:pPr>
    </w:p>
    <w:p w14:paraId="2C818D7C">
      <w:pPr>
        <w:autoSpaceDE w:val="0"/>
        <w:autoSpaceDN w:val="0"/>
        <w:adjustRightInd w:val="0"/>
        <w:jc w:val="center"/>
        <w:outlineLvl w:val="9"/>
        <w:rPr>
          <w:rFonts w:hint="eastAsia" w:ascii="宋体" w:hAnsi="宋体" w:cs="宋体"/>
          <w:b/>
          <w:color w:val="auto"/>
          <w:sz w:val="24"/>
          <w:lang w:val="zh-CN"/>
        </w:rPr>
      </w:pPr>
    </w:p>
    <w:p w14:paraId="1C68E85E">
      <w:pPr>
        <w:autoSpaceDE w:val="0"/>
        <w:autoSpaceDN w:val="0"/>
        <w:adjustRightInd w:val="0"/>
        <w:jc w:val="left"/>
        <w:outlineLvl w:val="1"/>
        <w:rPr>
          <w:rFonts w:hint="eastAsia" w:ascii="宋体" w:hAnsi="宋体" w:cs="宋体"/>
          <w:b/>
          <w:color w:val="auto"/>
          <w:sz w:val="24"/>
          <w:lang w:val="zh-CN"/>
        </w:rPr>
        <w:sectPr>
          <w:headerReference r:id="rId11" w:type="default"/>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16" w:name="_Toc22598"/>
      <w:bookmarkStart w:id="117" w:name="_Toc125"/>
    </w:p>
    <w:p w14:paraId="458DB1C8">
      <w:pPr>
        <w:autoSpaceDE w:val="0"/>
        <w:autoSpaceDN w:val="0"/>
        <w:adjustRightInd w:val="0"/>
        <w:jc w:val="left"/>
        <w:outlineLvl w:val="1"/>
        <w:rPr>
          <w:rFonts w:hint="eastAsia" w:ascii="宋体" w:hAnsi="宋体" w:cs="宋体"/>
          <w:b/>
          <w:color w:val="auto"/>
          <w:sz w:val="24"/>
        </w:rPr>
      </w:pPr>
      <w:r>
        <w:rPr>
          <w:rFonts w:hint="eastAsia" w:ascii="宋体" w:hAnsi="宋体" w:cs="宋体"/>
          <w:b/>
          <w:color w:val="auto"/>
          <w:sz w:val="24"/>
          <w:lang w:val="zh-CN"/>
        </w:rPr>
        <w:t>格式四</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投标人的资格声明</w:t>
      </w:r>
      <w:bookmarkEnd w:id="116"/>
      <w:bookmarkEnd w:id="117"/>
    </w:p>
    <w:p w14:paraId="0CA50384">
      <w:pPr>
        <w:autoSpaceDE w:val="0"/>
        <w:autoSpaceDN w:val="0"/>
        <w:adjustRightInd w:val="0"/>
        <w:outlineLvl w:val="9"/>
        <w:rPr>
          <w:rFonts w:hint="eastAsia" w:ascii="宋体" w:hAnsi="宋体" w:cs="宋体"/>
          <w:b/>
          <w:color w:val="auto"/>
          <w:sz w:val="24"/>
        </w:rPr>
      </w:pPr>
    </w:p>
    <w:p w14:paraId="6675A3E3">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致吉林亿品工程项目管理有限公司：</w:t>
      </w:r>
    </w:p>
    <w:p w14:paraId="68980D18">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14:paraId="7644F2E7">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14:paraId="29B4E8B0">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14:paraId="0F9A0BD6">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14:paraId="5B607703">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14:paraId="3E63DB11">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14:paraId="355B76EE">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14:paraId="5E7CF3A4">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14:paraId="143EE11B">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14:paraId="7E13A334">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14:paraId="285F8046">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14:paraId="578E1861">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6869E602">
      <w:pPr>
        <w:autoSpaceDE w:val="0"/>
        <w:autoSpaceDN w:val="0"/>
        <w:adjustRightInd w:val="0"/>
        <w:spacing w:line="360" w:lineRule="auto"/>
        <w:ind w:firstLine="480"/>
        <w:outlineLvl w:val="9"/>
        <w:rPr>
          <w:rFonts w:hint="eastAsia" w:ascii="宋体" w:hAnsi="宋体" w:cs="宋体"/>
          <w:color w:val="auto"/>
          <w:szCs w:val="21"/>
        </w:rPr>
      </w:pPr>
    </w:p>
    <w:p w14:paraId="425153CC">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14:paraId="30CA7B0D">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14:paraId="2B8FF276">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14:paraId="4B006F07">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14:paraId="7182F37A">
      <w:pPr>
        <w:autoSpaceDE w:val="0"/>
        <w:autoSpaceDN w:val="0"/>
        <w:adjustRightInd w:val="0"/>
        <w:ind w:firstLine="480"/>
        <w:outlineLvl w:val="9"/>
        <w:rPr>
          <w:rFonts w:hint="eastAsia" w:ascii="宋体" w:hAnsi="宋体" w:cs="宋体"/>
          <w:color w:val="auto"/>
          <w:sz w:val="24"/>
        </w:rPr>
      </w:pPr>
    </w:p>
    <w:p w14:paraId="5857C20D">
      <w:pPr>
        <w:autoSpaceDE w:val="0"/>
        <w:autoSpaceDN w:val="0"/>
        <w:adjustRightInd w:val="0"/>
        <w:outlineLvl w:val="9"/>
        <w:rPr>
          <w:rFonts w:hint="eastAsia" w:ascii="宋体" w:hAnsi="宋体" w:cs="宋体"/>
          <w:b/>
          <w:color w:val="auto"/>
          <w:sz w:val="24"/>
          <w:lang w:val="zh-CN"/>
        </w:rPr>
      </w:pPr>
    </w:p>
    <w:p w14:paraId="07FF9FB5">
      <w:pPr>
        <w:autoSpaceDE w:val="0"/>
        <w:autoSpaceDN w:val="0"/>
        <w:adjustRightInd w:val="0"/>
        <w:outlineLvl w:val="9"/>
        <w:rPr>
          <w:rFonts w:hint="eastAsia" w:ascii="宋体" w:hAnsi="宋体" w:cs="宋体"/>
          <w:b/>
          <w:color w:val="auto"/>
          <w:sz w:val="24"/>
          <w:lang w:val="zh-CN"/>
        </w:rPr>
      </w:pPr>
    </w:p>
    <w:p w14:paraId="1411B48E">
      <w:pPr>
        <w:autoSpaceDE w:val="0"/>
        <w:autoSpaceDN w:val="0"/>
        <w:adjustRightInd w:val="0"/>
        <w:outlineLvl w:val="9"/>
        <w:rPr>
          <w:rFonts w:hint="eastAsia" w:ascii="宋体" w:hAnsi="宋体" w:cs="宋体"/>
          <w:b/>
          <w:color w:val="auto"/>
          <w:sz w:val="24"/>
          <w:lang w:val="zh-CN"/>
        </w:rPr>
      </w:pPr>
    </w:p>
    <w:p w14:paraId="57005DE1">
      <w:pPr>
        <w:autoSpaceDE w:val="0"/>
        <w:autoSpaceDN w:val="0"/>
        <w:adjustRightInd w:val="0"/>
        <w:outlineLvl w:val="9"/>
        <w:rPr>
          <w:rFonts w:hint="eastAsia" w:ascii="宋体" w:hAnsi="宋体" w:cs="宋体"/>
          <w:b/>
          <w:color w:val="auto"/>
          <w:sz w:val="24"/>
          <w:lang w:val="zh-CN"/>
        </w:rPr>
      </w:pPr>
    </w:p>
    <w:p w14:paraId="11976D47">
      <w:pPr>
        <w:autoSpaceDE w:val="0"/>
        <w:autoSpaceDN w:val="0"/>
        <w:adjustRightInd w:val="0"/>
        <w:outlineLvl w:val="9"/>
        <w:rPr>
          <w:rFonts w:hint="eastAsia" w:ascii="宋体" w:hAnsi="宋体" w:cs="宋体"/>
          <w:b/>
          <w:color w:val="auto"/>
          <w:sz w:val="24"/>
          <w:lang w:val="zh-CN"/>
        </w:rPr>
      </w:pPr>
    </w:p>
    <w:p w14:paraId="25FD042A">
      <w:pPr>
        <w:autoSpaceDE w:val="0"/>
        <w:autoSpaceDN w:val="0"/>
        <w:adjustRightInd w:val="0"/>
        <w:outlineLvl w:val="9"/>
        <w:rPr>
          <w:rFonts w:hint="eastAsia" w:ascii="宋体" w:hAnsi="宋体" w:cs="宋体"/>
          <w:b/>
          <w:color w:val="auto"/>
          <w:sz w:val="24"/>
          <w:lang w:val="zh-CN"/>
        </w:rPr>
      </w:pPr>
    </w:p>
    <w:p w14:paraId="225FB608">
      <w:pPr>
        <w:autoSpaceDE w:val="0"/>
        <w:autoSpaceDN w:val="0"/>
        <w:adjustRightInd w:val="0"/>
        <w:outlineLvl w:val="9"/>
        <w:rPr>
          <w:rFonts w:hint="eastAsia" w:ascii="宋体" w:hAnsi="宋体" w:cs="宋体"/>
          <w:b/>
          <w:color w:val="auto"/>
          <w:sz w:val="24"/>
          <w:lang w:val="zh-CN"/>
        </w:rPr>
      </w:pPr>
    </w:p>
    <w:p w14:paraId="061867A9">
      <w:pPr>
        <w:autoSpaceDE w:val="0"/>
        <w:autoSpaceDN w:val="0"/>
        <w:adjustRightInd w:val="0"/>
        <w:outlineLvl w:val="9"/>
        <w:rPr>
          <w:rFonts w:hint="eastAsia" w:ascii="宋体" w:hAnsi="宋体" w:cs="宋体"/>
          <w:b/>
          <w:color w:val="auto"/>
          <w:sz w:val="24"/>
          <w:lang w:val="zh-CN"/>
        </w:rPr>
      </w:pPr>
    </w:p>
    <w:p w14:paraId="6311726E">
      <w:pPr>
        <w:autoSpaceDE w:val="0"/>
        <w:autoSpaceDN w:val="0"/>
        <w:adjustRightInd w:val="0"/>
        <w:outlineLvl w:val="9"/>
        <w:rPr>
          <w:rFonts w:hint="eastAsia" w:ascii="宋体" w:hAnsi="宋体" w:cs="宋体"/>
          <w:b/>
          <w:color w:val="auto"/>
          <w:sz w:val="24"/>
          <w:lang w:val="zh-CN"/>
        </w:rPr>
      </w:pPr>
    </w:p>
    <w:p w14:paraId="1CE9114A">
      <w:pPr>
        <w:autoSpaceDE w:val="0"/>
        <w:autoSpaceDN w:val="0"/>
        <w:adjustRightInd w:val="0"/>
        <w:outlineLvl w:val="9"/>
        <w:rPr>
          <w:rFonts w:hint="eastAsia" w:ascii="宋体" w:hAnsi="宋体" w:cs="宋体"/>
          <w:b/>
          <w:color w:val="auto"/>
          <w:sz w:val="24"/>
          <w:lang w:val="zh-CN"/>
        </w:rPr>
      </w:pPr>
    </w:p>
    <w:p w14:paraId="44C904A8">
      <w:pPr>
        <w:autoSpaceDE w:val="0"/>
        <w:autoSpaceDN w:val="0"/>
        <w:adjustRightInd w:val="0"/>
        <w:outlineLvl w:val="9"/>
        <w:rPr>
          <w:rFonts w:hint="eastAsia" w:ascii="宋体" w:hAnsi="宋体" w:cs="宋体"/>
          <w:b/>
          <w:color w:val="auto"/>
          <w:sz w:val="24"/>
          <w:lang w:val="zh-CN"/>
        </w:rPr>
      </w:pPr>
    </w:p>
    <w:p w14:paraId="7F7EAA90">
      <w:pPr>
        <w:autoSpaceDE w:val="0"/>
        <w:autoSpaceDN w:val="0"/>
        <w:adjustRightInd w:val="0"/>
        <w:jc w:val="left"/>
        <w:outlineLvl w:val="1"/>
        <w:rPr>
          <w:rFonts w:hint="eastAsia" w:ascii="宋体" w:hAnsi="宋体" w:cs="宋体"/>
          <w:b/>
          <w:color w:val="auto"/>
          <w:sz w:val="24"/>
          <w:lang w:val="en-US" w:eastAsia="zh-CN"/>
        </w:rPr>
      </w:pPr>
      <w:bookmarkStart w:id="118" w:name="_Toc9192"/>
      <w:bookmarkStart w:id="119" w:name="_Toc1355"/>
      <w:r>
        <w:rPr>
          <w:rFonts w:hint="eastAsia" w:ascii="宋体" w:hAnsi="宋体" w:cs="宋体"/>
          <w:b/>
          <w:color w:val="auto"/>
          <w:sz w:val="24"/>
          <w:lang w:val="zh-CN"/>
        </w:rPr>
        <w:t>格式五</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单位负责人证明书</w:t>
      </w:r>
      <w:bookmarkEnd w:id="118"/>
    </w:p>
    <w:p w14:paraId="1DC5CA67">
      <w:pPr>
        <w:pStyle w:val="19"/>
        <w:outlineLvl w:val="9"/>
        <w:rPr>
          <w:rFonts w:hint="eastAsia" w:ascii="宋体" w:hAnsi="宋体" w:cs="宋体"/>
          <w:b/>
          <w:color w:val="auto"/>
          <w:sz w:val="24"/>
          <w:lang w:val="en-US" w:eastAsia="zh-CN"/>
        </w:rPr>
      </w:pPr>
    </w:p>
    <w:p w14:paraId="4A75C0F3">
      <w:pPr>
        <w:spacing w:line="360" w:lineRule="auto"/>
        <w:jc w:val="center"/>
        <w:outlineLvl w:val="9"/>
        <w:rPr>
          <w:rFonts w:hint="eastAsia" w:ascii="仿宋_GB2312" w:hAnsi="宋体" w:eastAsia="仿宋_GB2312"/>
          <w:b/>
          <w:color w:val="auto"/>
          <w:sz w:val="24"/>
          <w:szCs w:val="28"/>
        </w:rPr>
      </w:pPr>
      <w:r>
        <w:rPr>
          <w:rFonts w:hint="eastAsia" w:ascii="宋体" w:hAnsi="宋体" w:cs="宋体"/>
          <w:b/>
          <w:color w:val="auto"/>
          <w:sz w:val="24"/>
          <w:szCs w:val="28"/>
        </w:rPr>
        <w:t>单位负责人证明书（格式）</w:t>
      </w:r>
    </w:p>
    <w:p w14:paraId="66C0A934">
      <w:pPr>
        <w:spacing w:line="360" w:lineRule="auto"/>
        <w:jc w:val="center"/>
        <w:outlineLvl w:val="9"/>
        <w:rPr>
          <w:rFonts w:hint="eastAsia" w:ascii="仿宋_GB2312" w:hAnsi="宋体" w:eastAsia="仿宋_GB2312"/>
          <w:color w:val="auto"/>
          <w:sz w:val="24"/>
        </w:rPr>
      </w:pPr>
    </w:p>
    <w:p w14:paraId="206A73A7">
      <w:pPr>
        <w:spacing w:line="360" w:lineRule="auto"/>
        <w:ind w:left="439" w:leftChars="209" w:firstLine="38" w:firstLineChars="16"/>
        <w:jc w:val="left"/>
        <w:outlineLvl w:val="9"/>
        <w:rPr>
          <w:rFonts w:hint="eastAsia" w:ascii="宋体" w:hAnsi="宋体" w:cs="宋体"/>
          <w:color w:val="auto"/>
          <w:sz w:val="24"/>
        </w:rPr>
      </w:pPr>
      <w:r>
        <w:rPr>
          <w:rFonts w:hint="eastAsia" w:ascii="宋体" w:hAnsi="宋体" w:cs="宋体"/>
          <w:color w:val="auto"/>
          <w:sz w:val="24"/>
        </w:rPr>
        <w:t>兹证明：</w:t>
      </w:r>
      <w:r>
        <w:rPr>
          <w:rFonts w:hint="eastAsia" w:ascii="宋体" w:hAnsi="宋体" w:cs="宋体"/>
          <w:color w:val="auto"/>
          <w:sz w:val="24"/>
          <w:u w:val="single"/>
        </w:rPr>
        <w:t xml:space="preserve">            </w:t>
      </w:r>
      <w:r>
        <w:rPr>
          <w:rFonts w:hint="eastAsia" w:ascii="宋体" w:hAnsi="宋体" w:cs="宋体"/>
          <w:color w:val="auto"/>
          <w:sz w:val="24"/>
        </w:rPr>
        <w:t>（被证明人姓名）现任</w:t>
      </w:r>
      <w:r>
        <w:rPr>
          <w:rFonts w:hint="eastAsia" w:ascii="宋体" w:hAnsi="宋体" w:cs="宋体"/>
          <w:color w:val="auto"/>
          <w:sz w:val="24"/>
          <w:u w:val="single"/>
        </w:rPr>
        <w:t xml:space="preserve">            </w:t>
      </w:r>
      <w:r>
        <w:rPr>
          <w:rFonts w:hint="eastAsia" w:ascii="宋体" w:hAnsi="宋体" w:cs="宋体"/>
          <w:color w:val="auto"/>
          <w:sz w:val="24"/>
        </w:rPr>
        <w:t>公司</w:t>
      </w:r>
      <w:r>
        <w:rPr>
          <w:rFonts w:hint="eastAsia" w:ascii="宋体" w:hAnsi="宋体" w:cs="宋体"/>
          <w:color w:val="auto"/>
          <w:sz w:val="24"/>
          <w:u w:val="single"/>
        </w:rPr>
        <w:t xml:space="preserve">              </w:t>
      </w:r>
      <w:r>
        <w:rPr>
          <w:rFonts w:hint="eastAsia" w:ascii="宋体" w:hAnsi="宋体" w:cs="宋体"/>
          <w:color w:val="auto"/>
          <w:sz w:val="24"/>
        </w:rPr>
        <w:t>（职务），系公司的单位负责人。</w:t>
      </w:r>
    </w:p>
    <w:p w14:paraId="499860D2">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特此证明。</w:t>
      </w:r>
    </w:p>
    <w:p w14:paraId="7CE381DD">
      <w:pPr>
        <w:spacing w:line="360" w:lineRule="auto"/>
        <w:ind w:firstLine="480" w:firstLineChars="200"/>
        <w:outlineLvl w:val="9"/>
        <w:rPr>
          <w:rFonts w:hint="eastAsia" w:ascii="宋体" w:hAnsi="宋体" w:cs="宋体"/>
          <w:color w:val="auto"/>
          <w:sz w:val="24"/>
        </w:rPr>
      </w:pPr>
    </w:p>
    <w:p w14:paraId="40B3D96A">
      <w:pPr>
        <w:spacing w:line="360" w:lineRule="auto"/>
        <w:ind w:firstLine="480" w:firstLineChars="200"/>
        <w:outlineLvl w:val="9"/>
        <w:rPr>
          <w:rFonts w:hint="eastAsia" w:ascii="宋体" w:hAnsi="宋体" w:cs="宋体"/>
          <w:color w:val="auto"/>
          <w:sz w:val="24"/>
        </w:rPr>
      </w:pPr>
    </w:p>
    <w:p w14:paraId="6AF1F451">
      <w:pPr>
        <w:spacing w:line="360" w:lineRule="auto"/>
        <w:ind w:firstLine="480" w:firstLineChars="200"/>
        <w:outlineLvl w:val="9"/>
        <w:rPr>
          <w:rFonts w:hint="eastAsia" w:ascii="宋体" w:hAnsi="宋体" w:cs="宋体"/>
          <w:color w:val="auto"/>
          <w:sz w:val="24"/>
        </w:rPr>
      </w:pPr>
    </w:p>
    <w:p w14:paraId="194E0C36">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48A8ED2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地址：</w:t>
      </w:r>
    </w:p>
    <w:p w14:paraId="2BF190B3">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被证明人签字：</w:t>
      </w:r>
    </w:p>
    <w:p w14:paraId="2E7E17E8">
      <w:pPr>
        <w:spacing w:line="360" w:lineRule="auto"/>
        <w:ind w:firstLine="555"/>
        <w:outlineLvl w:val="9"/>
        <w:rPr>
          <w:rFonts w:hint="eastAsia" w:ascii="宋体" w:hAnsi="宋体" w:cs="宋体"/>
          <w:color w:val="auto"/>
          <w:sz w:val="24"/>
        </w:rPr>
      </w:pPr>
    </w:p>
    <w:p w14:paraId="4F961EB3">
      <w:pPr>
        <w:spacing w:line="360" w:lineRule="auto"/>
        <w:outlineLvl w:val="9"/>
        <w:rPr>
          <w:rFonts w:hint="eastAsia" w:ascii="宋体" w:hAnsi="宋体" w:cs="宋体"/>
          <w:color w:val="auto"/>
          <w:sz w:val="24"/>
        </w:rPr>
      </w:pPr>
      <w:r>
        <w:rPr>
          <w:rFonts w:hint="eastAsia" w:ascii="宋体" w:hAnsi="宋体" w:cs="宋体"/>
          <w:color w:val="auto"/>
          <w:sz w:val="24"/>
        </w:rPr>
        <w:t xml:space="preserve">           年   月   日</w:t>
      </w:r>
    </w:p>
    <w:p w14:paraId="25ABA27C">
      <w:pPr>
        <w:pStyle w:val="14"/>
        <w:spacing w:line="360" w:lineRule="auto"/>
        <w:outlineLvl w:val="9"/>
        <w:rPr>
          <w:rFonts w:hint="eastAsia" w:ascii="宋体" w:hAnsi="宋体" w:cs="宋体"/>
          <w:color w:val="auto"/>
          <w:szCs w:val="24"/>
        </w:rPr>
      </w:pPr>
    </w:p>
    <w:p w14:paraId="3EB9FC78">
      <w:pPr>
        <w:spacing w:line="360" w:lineRule="auto"/>
        <w:ind w:firstLine="480" w:firstLineChars="200"/>
        <w:jc w:val="center"/>
        <w:outlineLvl w:val="9"/>
        <w:rPr>
          <w:rFonts w:hint="eastAsia" w:ascii="宋体" w:hAnsi="宋体" w:cs="宋体"/>
          <w:color w:val="auto"/>
          <w:sz w:val="24"/>
          <w:szCs w:val="22"/>
        </w:rPr>
      </w:pPr>
      <w:r>
        <w:rPr>
          <w:rFonts w:hint="eastAsia" w:ascii="宋体" w:hAnsi="宋体" w:cs="宋体"/>
          <w:color w:val="auto"/>
          <w:sz w:val="24"/>
          <w:szCs w:val="22"/>
        </w:rPr>
        <w:t>单位负责人身份证粘贴处</w:t>
      </w:r>
    </w:p>
    <w:p w14:paraId="709FB9E2">
      <w:pPr>
        <w:pStyle w:val="14"/>
        <w:spacing w:line="360" w:lineRule="auto"/>
        <w:outlineLvl w:val="9"/>
        <w:rPr>
          <w:rFonts w:hint="eastAsia" w:ascii="宋体" w:hAnsi="宋体" w:cs="宋体"/>
          <w:color w:val="auto"/>
          <w:szCs w:val="24"/>
        </w:rPr>
      </w:pPr>
    </w:p>
    <w:p w14:paraId="514B915D">
      <w:pPr>
        <w:rPr>
          <w:rFonts w:hint="eastAsia"/>
          <w:color w:val="auto"/>
          <w:lang w:val="en-US" w:eastAsia="zh-CN"/>
        </w:rPr>
        <w:sectPr>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2385ED3F">
      <w:pPr>
        <w:autoSpaceDE w:val="0"/>
        <w:autoSpaceDN w:val="0"/>
        <w:adjustRightInd w:val="0"/>
        <w:jc w:val="left"/>
        <w:outlineLvl w:val="1"/>
        <w:rPr>
          <w:rFonts w:hint="eastAsia" w:ascii="宋体" w:hAnsi="宋体" w:cs="宋体"/>
          <w:b/>
          <w:color w:val="auto"/>
          <w:sz w:val="24"/>
          <w:lang w:val="en-US" w:eastAsia="zh-CN"/>
        </w:rPr>
      </w:pPr>
      <w:bookmarkStart w:id="120" w:name="_Toc17761"/>
      <w:r>
        <w:rPr>
          <w:rFonts w:hint="eastAsia" w:ascii="宋体" w:hAnsi="宋体" w:cs="宋体"/>
          <w:b/>
          <w:color w:val="auto"/>
          <w:sz w:val="24"/>
          <w:lang w:val="zh-CN"/>
        </w:rPr>
        <w:t>格式六</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单位负责人授权书</w:t>
      </w:r>
      <w:bookmarkEnd w:id="120"/>
    </w:p>
    <w:p w14:paraId="5C6D0071">
      <w:pPr>
        <w:autoSpaceDE w:val="0"/>
        <w:autoSpaceDN w:val="0"/>
        <w:adjustRightInd w:val="0"/>
        <w:jc w:val="left"/>
        <w:outlineLvl w:val="9"/>
        <w:rPr>
          <w:rFonts w:hint="eastAsia" w:ascii="宋体" w:hAnsi="宋体" w:cs="宋体"/>
          <w:b/>
          <w:color w:val="auto"/>
          <w:sz w:val="24"/>
          <w:szCs w:val="28"/>
        </w:rPr>
      </w:pPr>
    </w:p>
    <w:p w14:paraId="15D1FE4F">
      <w:pPr>
        <w:autoSpaceDE w:val="0"/>
        <w:autoSpaceDN w:val="0"/>
        <w:adjustRightInd w:val="0"/>
        <w:jc w:val="center"/>
        <w:outlineLvl w:val="9"/>
        <w:rPr>
          <w:rFonts w:hint="eastAsia" w:ascii="宋体" w:hAnsi="宋体" w:cs="宋体"/>
          <w:color w:val="auto"/>
          <w:sz w:val="24"/>
          <w:lang w:val="zh-CN"/>
        </w:rPr>
      </w:pPr>
      <w:r>
        <w:rPr>
          <w:rFonts w:hint="eastAsia" w:ascii="宋体" w:hAnsi="宋体" w:cs="宋体"/>
          <w:b/>
          <w:color w:val="auto"/>
          <w:sz w:val="24"/>
          <w:szCs w:val="28"/>
        </w:rPr>
        <w:t>单位负责人授权书</w:t>
      </w:r>
      <w:r>
        <w:rPr>
          <w:rFonts w:hint="eastAsia" w:ascii="宋体" w:hAnsi="宋体" w:cs="宋体"/>
          <w:color w:val="auto"/>
          <w:sz w:val="24"/>
          <w:lang w:val="zh-CN"/>
        </w:rPr>
        <w:t>（单位负责人投标的可不提供）</w:t>
      </w:r>
      <w:bookmarkEnd w:id="119"/>
    </w:p>
    <w:p w14:paraId="68342DC0">
      <w:pPr>
        <w:autoSpaceDE w:val="0"/>
        <w:autoSpaceDN w:val="0"/>
        <w:adjustRightInd w:val="0"/>
        <w:ind w:firstLine="480"/>
        <w:outlineLvl w:val="9"/>
        <w:rPr>
          <w:rFonts w:hint="eastAsia" w:ascii="宋体" w:hAnsi="宋体" w:cs="宋体"/>
          <w:color w:val="auto"/>
          <w:sz w:val="24"/>
          <w:lang w:val="zh-CN"/>
        </w:rPr>
      </w:pPr>
    </w:p>
    <w:p w14:paraId="06C8475C">
      <w:pPr>
        <w:autoSpaceDE w:val="0"/>
        <w:autoSpaceDN w:val="0"/>
        <w:adjustRightInd w:val="0"/>
        <w:ind w:firstLine="480"/>
        <w:outlineLvl w:val="9"/>
        <w:rPr>
          <w:rFonts w:hint="eastAsia" w:ascii="宋体" w:hAnsi="宋体" w:cs="宋体"/>
          <w:color w:val="auto"/>
          <w:sz w:val="24"/>
          <w:lang w:val="zh-CN"/>
        </w:rPr>
      </w:pPr>
    </w:p>
    <w:p w14:paraId="3EB3B726">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本授权书声明：注册于</w:t>
      </w:r>
      <w:r>
        <w:rPr>
          <w:rFonts w:hint="eastAsia" w:ascii="宋体" w:hAnsi="宋体" w:cs="宋体"/>
          <w:color w:val="auto"/>
          <w:szCs w:val="21"/>
          <w:u w:val="single"/>
          <w:lang w:val="zh-CN"/>
        </w:rPr>
        <w:t xml:space="preserve">  （注册地点）   </w:t>
      </w:r>
      <w:r>
        <w:rPr>
          <w:rFonts w:hint="eastAsia" w:ascii="宋体" w:hAnsi="宋体" w:cs="宋体"/>
          <w:color w:val="auto"/>
          <w:szCs w:val="21"/>
          <w:lang w:val="zh-CN"/>
        </w:rPr>
        <w:t>的</w:t>
      </w:r>
      <w:r>
        <w:rPr>
          <w:rFonts w:hint="eastAsia" w:ascii="宋体" w:hAnsi="宋体" w:cs="宋体"/>
          <w:color w:val="auto"/>
          <w:szCs w:val="21"/>
          <w:u w:val="single"/>
          <w:lang w:val="zh-CN"/>
        </w:rPr>
        <w:t xml:space="preserve">   （投标人名称）   </w:t>
      </w:r>
      <w:r>
        <w:rPr>
          <w:rFonts w:hint="eastAsia" w:ascii="宋体" w:hAnsi="宋体" w:cs="宋体"/>
          <w:color w:val="auto"/>
          <w:szCs w:val="21"/>
          <w:lang w:val="zh-CN"/>
        </w:rPr>
        <w:t>公司的</w:t>
      </w:r>
      <w:r>
        <w:rPr>
          <w:rFonts w:hint="eastAsia" w:ascii="宋体" w:hAnsi="宋体" w:cs="宋体"/>
          <w:color w:val="auto"/>
          <w:szCs w:val="21"/>
          <w:u w:val="single"/>
          <w:lang w:val="zh-CN"/>
        </w:rPr>
        <w:t xml:space="preserve">  （投标人单位负责人或法定代表人姓名、职务）  </w:t>
      </w:r>
      <w:r>
        <w:rPr>
          <w:rFonts w:hint="eastAsia" w:ascii="宋体" w:hAnsi="宋体" w:cs="宋体"/>
          <w:color w:val="auto"/>
          <w:szCs w:val="21"/>
          <w:lang w:val="zh-CN"/>
        </w:rPr>
        <w:t>代表本公司授权</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（被授权人单位名称）</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xml:space="preserve">(被授权人姓名、职务)   </w:t>
      </w:r>
      <w:r>
        <w:rPr>
          <w:rFonts w:hint="eastAsia" w:ascii="宋体" w:hAnsi="宋体" w:cs="宋体"/>
          <w:color w:val="auto"/>
          <w:szCs w:val="21"/>
          <w:lang w:val="zh-CN"/>
        </w:rPr>
        <w:t>为本公司的合法代理人，就</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项目（招标编号   ）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14:paraId="513B0608">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日签字生效，特此声明。</w:t>
      </w:r>
    </w:p>
    <w:p w14:paraId="28539043">
      <w:pPr>
        <w:autoSpaceDE w:val="0"/>
        <w:autoSpaceDN w:val="0"/>
        <w:adjustRightInd w:val="0"/>
        <w:spacing w:line="360" w:lineRule="auto"/>
        <w:ind w:firstLine="480"/>
        <w:outlineLvl w:val="9"/>
        <w:rPr>
          <w:rFonts w:hint="eastAsia" w:ascii="宋体" w:hAnsi="宋体" w:cs="宋体"/>
          <w:color w:val="auto"/>
          <w:szCs w:val="21"/>
          <w:lang w:val="zh-CN"/>
        </w:rPr>
      </w:pPr>
    </w:p>
    <w:p w14:paraId="2C58FB9A">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投标人印刷体名称（加盖公章）：</w:t>
      </w:r>
    </w:p>
    <w:p w14:paraId="6FA3B887">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地址：</w:t>
      </w:r>
    </w:p>
    <w:p w14:paraId="34F6B6B9">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14:paraId="23B4C75A">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被授权人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14:paraId="065BDC9D">
      <w:pPr>
        <w:autoSpaceDE w:val="0"/>
        <w:autoSpaceDN w:val="0"/>
        <w:adjustRightInd w:val="0"/>
        <w:spacing w:line="360" w:lineRule="auto"/>
        <w:ind w:firstLine="495"/>
        <w:outlineLvl w:val="9"/>
        <w:rPr>
          <w:rFonts w:hint="eastAsia" w:ascii="宋体" w:hAnsi="宋体" w:cs="宋体"/>
          <w:color w:val="auto"/>
          <w:szCs w:val="21"/>
          <w:lang w:val="zh-CN"/>
        </w:rPr>
      </w:pPr>
    </w:p>
    <w:p w14:paraId="47387494">
      <w:pPr>
        <w:autoSpaceDE w:val="0"/>
        <w:autoSpaceDN w:val="0"/>
        <w:adjustRightInd w:val="0"/>
        <w:spacing w:line="360" w:lineRule="auto"/>
        <w:ind w:firstLine="472"/>
        <w:outlineLvl w:val="9"/>
        <w:rPr>
          <w:rFonts w:hint="eastAsia" w:ascii="宋体" w:hAnsi="宋体" w:cs="宋体"/>
          <w:color w:val="auto"/>
          <w:szCs w:val="21"/>
          <w:lang w:val="zh-CN"/>
        </w:rPr>
      </w:pPr>
      <w:r>
        <w:rPr>
          <w:rFonts w:hint="eastAsia" w:ascii="宋体" w:hAnsi="宋体" w:cs="宋体"/>
          <w:color w:val="auto"/>
          <w:szCs w:val="21"/>
          <w:lang w:val="zh-CN"/>
        </w:rPr>
        <w:t>请投标人注意：单位负责人授权书必须按规定有效签署和加盖公章。</w:t>
      </w:r>
    </w:p>
    <w:p w14:paraId="70C90340">
      <w:pPr>
        <w:autoSpaceDE w:val="0"/>
        <w:autoSpaceDN w:val="0"/>
        <w:adjustRightInd w:val="0"/>
        <w:spacing w:line="360" w:lineRule="auto"/>
        <w:outlineLvl w:val="9"/>
        <w:rPr>
          <w:rFonts w:hint="eastAsia" w:ascii="宋体" w:hAnsi="宋体" w:cs="宋体"/>
          <w:b/>
          <w:color w:val="auto"/>
          <w:szCs w:val="21"/>
          <w:lang w:val="zh-CN"/>
        </w:rPr>
      </w:pPr>
    </w:p>
    <w:p w14:paraId="36A8D299">
      <w:pPr>
        <w:pStyle w:val="14"/>
        <w:spacing w:line="360" w:lineRule="auto"/>
        <w:jc w:val="center"/>
        <w:rPr>
          <w:color w:val="auto"/>
          <w:szCs w:val="24"/>
          <w:highlight w:val="none"/>
        </w:rPr>
      </w:pPr>
      <w:r>
        <w:rPr>
          <w:color w:val="auto"/>
          <w:sz w:val="21"/>
          <w:szCs w:val="21"/>
          <w:highlight w:val="none"/>
        </w:rPr>
        <w:t>被授权人身份证粘帖处</w:t>
      </w:r>
    </w:p>
    <w:p w14:paraId="0AA76F87">
      <w:pPr>
        <w:autoSpaceDE w:val="0"/>
        <w:autoSpaceDN w:val="0"/>
        <w:adjustRightInd w:val="0"/>
        <w:outlineLvl w:val="9"/>
        <w:rPr>
          <w:rFonts w:hint="eastAsia" w:ascii="宋体" w:hAnsi="宋体" w:cs="宋体"/>
          <w:b/>
          <w:color w:val="auto"/>
          <w:sz w:val="24"/>
          <w:lang w:val="zh-CN"/>
        </w:rPr>
      </w:pPr>
    </w:p>
    <w:p w14:paraId="52556A89">
      <w:pPr>
        <w:autoSpaceDE w:val="0"/>
        <w:autoSpaceDN w:val="0"/>
        <w:adjustRightInd w:val="0"/>
        <w:outlineLvl w:val="9"/>
        <w:rPr>
          <w:rFonts w:hint="eastAsia" w:ascii="宋体" w:hAnsi="宋体" w:cs="宋体"/>
          <w:b/>
          <w:color w:val="auto"/>
          <w:sz w:val="24"/>
          <w:lang w:val="zh-CN"/>
        </w:rPr>
      </w:pPr>
    </w:p>
    <w:p w14:paraId="409D532D">
      <w:pPr>
        <w:autoSpaceDE w:val="0"/>
        <w:autoSpaceDN w:val="0"/>
        <w:adjustRightInd w:val="0"/>
        <w:outlineLvl w:val="9"/>
        <w:rPr>
          <w:rFonts w:hint="eastAsia" w:ascii="宋体" w:hAnsi="宋体" w:cs="宋体"/>
          <w:b/>
          <w:color w:val="auto"/>
          <w:sz w:val="24"/>
          <w:lang w:val="zh-CN"/>
        </w:rPr>
      </w:pPr>
    </w:p>
    <w:p w14:paraId="47A23502">
      <w:pPr>
        <w:autoSpaceDE w:val="0"/>
        <w:autoSpaceDN w:val="0"/>
        <w:adjustRightInd w:val="0"/>
        <w:outlineLvl w:val="9"/>
        <w:rPr>
          <w:rFonts w:hint="eastAsia" w:ascii="宋体" w:hAnsi="宋体" w:cs="宋体"/>
          <w:b/>
          <w:color w:val="auto"/>
          <w:sz w:val="24"/>
          <w:lang w:val="zh-CN"/>
        </w:rPr>
      </w:pPr>
    </w:p>
    <w:p w14:paraId="3F5573EC">
      <w:pPr>
        <w:autoSpaceDE w:val="0"/>
        <w:autoSpaceDN w:val="0"/>
        <w:adjustRightInd w:val="0"/>
        <w:outlineLvl w:val="9"/>
        <w:rPr>
          <w:rFonts w:hint="eastAsia" w:ascii="宋体" w:hAnsi="宋体" w:cs="宋体"/>
          <w:b/>
          <w:color w:val="auto"/>
          <w:sz w:val="24"/>
          <w:lang w:val="zh-CN"/>
        </w:rPr>
      </w:pPr>
    </w:p>
    <w:p w14:paraId="29F3B704">
      <w:pPr>
        <w:autoSpaceDE w:val="0"/>
        <w:autoSpaceDN w:val="0"/>
        <w:adjustRightInd w:val="0"/>
        <w:outlineLvl w:val="9"/>
        <w:rPr>
          <w:rFonts w:hint="eastAsia" w:ascii="宋体" w:hAnsi="宋体" w:cs="宋体"/>
          <w:b/>
          <w:color w:val="auto"/>
          <w:sz w:val="24"/>
          <w:lang w:val="zh-CN"/>
        </w:rPr>
      </w:pPr>
    </w:p>
    <w:p w14:paraId="34C4DF87">
      <w:pPr>
        <w:autoSpaceDE w:val="0"/>
        <w:autoSpaceDN w:val="0"/>
        <w:adjustRightInd w:val="0"/>
        <w:outlineLvl w:val="9"/>
        <w:rPr>
          <w:rFonts w:hint="eastAsia" w:ascii="宋体" w:hAnsi="宋体" w:cs="宋体"/>
          <w:b/>
          <w:color w:val="auto"/>
          <w:sz w:val="24"/>
          <w:lang w:val="zh-CN"/>
        </w:rPr>
      </w:pPr>
    </w:p>
    <w:p w14:paraId="3B9B140F">
      <w:pPr>
        <w:autoSpaceDE w:val="0"/>
        <w:autoSpaceDN w:val="0"/>
        <w:adjustRightInd w:val="0"/>
        <w:outlineLvl w:val="9"/>
        <w:rPr>
          <w:rFonts w:hint="eastAsia" w:ascii="宋体" w:hAnsi="宋体" w:cs="宋体"/>
          <w:b/>
          <w:color w:val="auto"/>
          <w:sz w:val="24"/>
          <w:lang w:val="zh-CN"/>
        </w:rPr>
      </w:pPr>
    </w:p>
    <w:p w14:paraId="7CA38DD2">
      <w:pPr>
        <w:autoSpaceDE w:val="0"/>
        <w:autoSpaceDN w:val="0"/>
        <w:adjustRightInd w:val="0"/>
        <w:outlineLvl w:val="9"/>
        <w:rPr>
          <w:rFonts w:hint="eastAsia" w:ascii="宋体" w:hAnsi="宋体" w:cs="宋体"/>
          <w:b/>
          <w:color w:val="auto"/>
          <w:sz w:val="24"/>
          <w:lang w:val="zh-CN"/>
        </w:rPr>
      </w:pPr>
    </w:p>
    <w:p w14:paraId="17F8B4BA">
      <w:pPr>
        <w:autoSpaceDE w:val="0"/>
        <w:autoSpaceDN w:val="0"/>
        <w:adjustRightInd w:val="0"/>
        <w:outlineLvl w:val="9"/>
        <w:rPr>
          <w:rFonts w:hint="eastAsia" w:ascii="宋体" w:hAnsi="宋体" w:cs="宋体"/>
          <w:b/>
          <w:color w:val="auto"/>
          <w:sz w:val="24"/>
          <w:lang w:val="zh-CN"/>
        </w:rPr>
      </w:pPr>
    </w:p>
    <w:p w14:paraId="1FCC6257">
      <w:pPr>
        <w:autoSpaceDE w:val="0"/>
        <w:autoSpaceDN w:val="0"/>
        <w:adjustRightInd w:val="0"/>
        <w:outlineLvl w:val="9"/>
        <w:rPr>
          <w:rFonts w:hint="eastAsia" w:ascii="宋体" w:hAnsi="宋体" w:cs="宋体"/>
          <w:b/>
          <w:color w:val="auto"/>
          <w:sz w:val="24"/>
          <w:lang w:val="zh-CN"/>
        </w:rPr>
      </w:pPr>
    </w:p>
    <w:p w14:paraId="2E31046E">
      <w:pPr>
        <w:autoSpaceDE w:val="0"/>
        <w:autoSpaceDN w:val="0"/>
        <w:adjustRightInd w:val="0"/>
        <w:outlineLvl w:val="9"/>
        <w:rPr>
          <w:rFonts w:hint="eastAsia" w:ascii="宋体" w:hAnsi="宋体" w:cs="宋体"/>
          <w:b/>
          <w:color w:val="auto"/>
          <w:sz w:val="24"/>
          <w:lang w:val="zh-CN"/>
        </w:rPr>
      </w:pPr>
    </w:p>
    <w:p w14:paraId="532C05BC">
      <w:pPr>
        <w:autoSpaceDE w:val="0"/>
        <w:autoSpaceDN w:val="0"/>
        <w:adjustRightInd w:val="0"/>
        <w:outlineLvl w:val="9"/>
        <w:rPr>
          <w:rFonts w:hint="eastAsia" w:ascii="宋体" w:hAnsi="宋体" w:cs="宋体"/>
          <w:b/>
          <w:color w:val="auto"/>
          <w:sz w:val="24"/>
          <w:lang w:val="zh-CN"/>
        </w:rPr>
      </w:pPr>
    </w:p>
    <w:p w14:paraId="4A1E8520">
      <w:pPr>
        <w:autoSpaceDE w:val="0"/>
        <w:autoSpaceDN w:val="0"/>
        <w:adjustRightInd w:val="0"/>
        <w:outlineLvl w:val="9"/>
        <w:rPr>
          <w:rFonts w:hint="eastAsia" w:ascii="宋体" w:hAnsi="宋体" w:cs="宋体"/>
          <w:b/>
          <w:color w:val="auto"/>
          <w:sz w:val="24"/>
          <w:lang w:val="zh-CN"/>
        </w:rPr>
      </w:pPr>
    </w:p>
    <w:p w14:paraId="171DD556">
      <w:pPr>
        <w:autoSpaceDE w:val="0"/>
        <w:autoSpaceDN w:val="0"/>
        <w:adjustRightInd w:val="0"/>
        <w:jc w:val="center"/>
        <w:outlineLvl w:val="9"/>
        <w:rPr>
          <w:rFonts w:hint="eastAsia" w:ascii="宋体" w:hAnsi="宋体" w:cs="宋体"/>
          <w:b/>
          <w:color w:val="auto"/>
          <w:sz w:val="24"/>
          <w:lang w:val="zh-CN"/>
        </w:rPr>
      </w:pPr>
      <w:bookmarkStart w:id="121" w:name="_Toc237329052"/>
      <w:bookmarkStart w:id="122" w:name="_Toc237199966"/>
      <w:bookmarkStart w:id="123" w:name="_Toc423024745"/>
      <w:bookmarkStart w:id="124" w:name="_Toc237328730"/>
      <w:bookmarkStart w:id="125" w:name="_Toc357609772"/>
      <w:bookmarkStart w:id="126" w:name="_Toc237200209"/>
      <w:bookmarkStart w:id="127" w:name="_Toc237200085"/>
      <w:bookmarkStart w:id="128" w:name="_Toc237236997"/>
      <w:bookmarkStart w:id="129" w:name="_Toc238185767"/>
    </w:p>
    <w:p w14:paraId="607EA963">
      <w:pPr>
        <w:autoSpaceDE w:val="0"/>
        <w:autoSpaceDN w:val="0"/>
        <w:adjustRightInd w:val="0"/>
        <w:jc w:val="center"/>
        <w:outlineLvl w:val="9"/>
        <w:rPr>
          <w:rFonts w:hint="eastAsia" w:ascii="宋体" w:hAnsi="宋体" w:cs="宋体"/>
          <w:b/>
          <w:color w:val="auto"/>
          <w:sz w:val="24"/>
          <w:lang w:val="zh-CN"/>
        </w:rPr>
      </w:pPr>
    </w:p>
    <w:p w14:paraId="77A3C295">
      <w:pPr>
        <w:autoSpaceDE w:val="0"/>
        <w:autoSpaceDN w:val="0"/>
        <w:adjustRightInd w:val="0"/>
        <w:jc w:val="center"/>
        <w:outlineLvl w:val="9"/>
        <w:rPr>
          <w:rFonts w:hint="eastAsia" w:ascii="宋体" w:hAnsi="宋体" w:cs="宋体"/>
          <w:b/>
          <w:color w:val="auto"/>
          <w:sz w:val="24"/>
          <w:lang w:val="zh-CN"/>
        </w:rPr>
      </w:pPr>
    </w:p>
    <w:p w14:paraId="3A530537">
      <w:pPr>
        <w:autoSpaceDE w:val="0"/>
        <w:autoSpaceDN w:val="0"/>
        <w:adjustRightInd w:val="0"/>
        <w:jc w:val="center"/>
        <w:outlineLvl w:val="9"/>
        <w:rPr>
          <w:rFonts w:hint="eastAsia" w:ascii="宋体" w:hAnsi="宋体" w:cs="宋体"/>
          <w:b/>
          <w:color w:val="auto"/>
          <w:sz w:val="24"/>
          <w:lang w:val="zh-CN"/>
        </w:rPr>
      </w:pPr>
    </w:p>
    <w:p w14:paraId="24DCC1C1">
      <w:pPr>
        <w:autoSpaceDE w:val="0"/>
        <w:autoSpaceDN w:val="0"/>
        <w:adjustRightInd w:val="0"/>
        <w:jc w:val="center"/>
        <w:outlineLvl w:val="9"/>
        <w:rPr>
          <w:rFonts w:hint="eastAsia" w:ascii="宋体" w:hAnsi="宋体" w:cs="宋体"/>
          <w:b/>
          <w:color w:val="auto"/>
          <w:sz w:val="24"/>
          <w:lang w:val="zh-CN"/>
        </w:rPr>
      </w:pPr>
    </w:p>
    <w:p w14:paraId="3B7E4BA7">
      <w:pPr>
        <w:autoSpaceDE w:val="0"/>
        <w:autoSpaceDN w:val="0"/>
        <w:adjustRightInd w:val="0"/>
        <w:jc w:val="center"/>
        <w:outlineLvl w:val="9"/>
        <w:rPr>
          <w:rFonts w:hint="eastAsia" w:ascii="宋体" w:hAnsi="宋体" w:cs="宋体"/>
          <w:b/>
          <w:color w:val="auto"/>
          <w:sz w:val="24"/>
          <w:lang w:val="zh-CN"/>
        </w:rPr>
      </w:pPr>
    </w:p>
    <w:p w14:paraId="024247A0">
      <w:pPr>
        <w:autoSpaceDE w:val="0"/>
        <w:autoSpaceDN w:val="0"/>
        <w:adjustRightInd w:val="0"/>
        <w:jc w:val="center"/>
        <w:outlineLvl w:val="9"/>
        <w:rPr>
          <w:rFonts w:hint="eastAsia" w:ascii="宋体" w:hAnsi="宋体" w:cs="宋体"/>
          <w:b/>
          <w:color w:val="auto"/>
          <w:sz w:val="24"/>
          <w:lang w:val="zh-CN"/>
        </w:rPr>
      </w:pPr>
    </w:p>
    <w:p w14:paraId="228EB37F">
      <w:pPr>
        <w:autoSpaceDE w:val="0"/>
        <w:autoSpaceDN w:val="0"/>
        <w:adjustRightInd w:val="0"/>
        <w:jc w:val="left"/>
        <w:outlineLvl w:val="1"/>
        <w:rPr>
          <w:rFonts w:hint="eastAsia" w:ascii="宋体" w:hAnsi="宋体" w:cs="宋体"/>
          <w:b/>
          <w:color w:val="auto"/>
          <w:sz w:val="24"/>
          <w:szCs w:val="28"/>
          <w:lang w:val="zh-CN"/>
        </w:rPr>
      </w:pPr>
      <w:bookmarkStart w:id="130" w:name="_Toc24378"/>
      <w:bookmarkStart w:id="131" w:name="_Toc3711"/>
      <w:bookmarkStart w:id="132" w:name="_Toc13845"/>
      <w:bookmarkStart w:id="133" w:name="_Toc3569"/>
      <w:bookmarkStart w:id="134" w:name="_Toc24445"/>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14:paraId="7E882D32">
      <w:pPr>
        <w:pStyle w:val="4"/>
        <w:rPr>
          <w:rFonts w:hint="eastAsia" w:ascii="宋体" w:hAnsi="宋体" w:cs="宋体"/>
          <w:b/>
          <w:color w:val="auto"/>
          <w:sz w:val="24"/>
          <w:szCs w:val="28"/>
          <w:lang w:val="zh-CN"/>
        </w:rPr>
      </w:pPr>
    </w:p>
    <w:p w14:paraId="79E57A4B">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14:paraId="0355CBA0">
      <w:pPr>
        <w:spacing w:line="440" w:lineRule="exact"/>
        <w:outlineLvl w:val="9"/>
        <w:rPr>
          <w:color w:val="auto"/>
          <w:sz w:val="24"/>
          <w:highlight w:val="none"/>
          <w:u w:val="single"/>
          <w:lang w:val="zh-CN"/>
        </w:rPr>
      </w:pPr>
    </w:p>
    <w:p w14:paraId="4AAD9BF7">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14:paraId="2F7467A8">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14:paraId="499FE60B">
      <w:pPr>
        <w:spacing w:line="440" w:lineRule="exact"/>
        <w:outlineLvl w:val="9"/>
        <w:rPr>
          <w:color w:val="auto"/>
          <w:sz w:val="24"/>
          <w:highlight w:val="none"/>
        </w:rPr>
      </w:pPr>
      <w:r>
        <w:rPr>
          <w:color w:val="auto"/>
          <w:sz w:val="24"/>
          <w:highlight w:val="none"/>
        </w:rPr>
        <w:t xml:space="preserve"> </w:t>
      </w:r>
    </w:p>
    <w:tbl>
      <w:tblPr>
        <w:tblStyle w:val="24"/>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14:paraId="7B75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trPr>
        <w:tc>
          <w:tcPr>
            <w:tcW w:w="9548" w:type="dxa"/>
            <w:noWrap w:val="0"/>
            <w:vAlign w:val="top"/>
          </w:tcPr>
          <w:p w14:paraId="1BE35DB7">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14:paraId="2E1D3622">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14:paraId="0FFB5C95">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14:paraId="4513C206">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14:paraId="4741CC0D">
      <w:pPr>
        <w:spacing w:line="440" w:lineRule="exact"/>
        <w:outlineLvl w:val="9"/>
        <w:rPr>
          <w:color w:val="auto"/>
          <w:szCs w:val="21"/>
          <w:highlight w:val="none"/>
          <w:u w:val="single"/>
        </w:rPr>
      </w:pPr>
    </w:p>
    <w:p w14:paraId="05B9BA47">
      <w:pPr>
        <w:spacing w:line="440" w:lineRule="exact"/>
        <w:outlineLvl w:val="9"/>
        <w:rPr>
          <w:color w:val="auto"/>
          <w:szCs w:val="21"/>
          <w:highlight w:val="none"/>
          <w:u w:val="single"/>
        </w:rPr>
      </w:pPr>
    </w:p>
    <w:p w14:paraId="5874EE50">
      <w:pPr>
        <w:spacing w:line="440" w:lineRule="exact"/>
        <w:outlineLvl w:val="9"/>
        <w:rPr>
          <w:rFonts w:hint="eastAsia"/>
          <w:color w:val="auto"/>
          <w:szCs w:val="21"/>
          <w:highlight w:val="none"/>
          <w:u w:val="single"/>
        </w:rPr>
      </w:pPr>
    </w:p>
    <w:p w14:paraId="4432C63F">
      <w:pPr>
        <w:spacing w:line="440" w:lineRule="exact"/>
        <w:jc w:val="left"/>
        <w:outlineLvl w:val="9"/>
        <w:rPr>
          <w:color w:val="auto"/>
          <w:szCs w:val="21"/>
          <w:highlight w:val="none"/>
          <w:u w:val="single"/>
        </w:rPr>
      </w:pPr>
    </w:p>
    <w:p w14:paraId="2E75B012">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14:paraId="495AFFB8">
      <w:pPr>
        <w:spacing w:line="440" w:lineRule="exact"/>
        <w:ind w:right="420"/>
        <w:jc w:val="left"/>
        <w:outlineLvl w:val="9"/>
        <w:rPr>
          <w:rFonts w:hint="eastAsia"/>
          <w:color w:val="auto"/>
          <w:sz w:val="24"/>
          <w:highlight w:val="none"/>
        </w:rPr>
      </w:pPr>
    </w:p>
    <w:p w14:paraId="5008FCB2">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14:paraId="2DFA8B9F">
      <w:pPr>
        <w:spacing w:line="440" w:lineRule="exact"/>
        <w:ind w:right="420"/>
        <w:jc w:val="left"/>
        <w:outlineLvl w:val="9"/>
        <w:rPr>
          <w:rFonts w:hint="eastAsia"/>
          <w:color w:val="auto"/>
          <w:sz w:val="24"/>
          <w:highlight w:val="none"/>
        </w:rPr>
      </w:pPr>
    </w:p>
    <w:p w14:paraId="64623BE6">
      <w:pPr>
        <w:jc w:val="left"/>
        <w:rPr>
          <w:rFonts w:hint="eastAsia"/>
          <w:color w:val="auto"/>
          <w:lang w:val="zh-CN"/>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2229EC6F">
      <w:pPr>
        <w:pStyle w:val="13"/>
        <w:tabs>
          <w:tab w:val="left" w:pos="200"/>
        </w:tabs>
        <w:jc w:val="left"/>
        <w:outlineLvl w:val="1"/>
        <w:rPr>
          <w:rFonts w:hint="eastAsia" w:hAnsi="宋体" w:cs="宋体"/>
          <w:b/>
          <w:color w:val="auto"/>
          <w:sz w:val="24"/>
          <w:lang w:val="zh-CN"/>
        </w:rPr>
      </w:pPr>
      <w:bookmarkStart w:id="135" w:name="_Toc29332"/>
      <w:bookmarkStart w:id="136" w:name="_Toc2702"/>
      <w:r>
        <w:rPr>
          <w:rFonts w:hint="eastAsia" w:hAnsi="宋体" w:cs="宋体"/>
          <w:b/>
          <w:color w:val="auto"/>
          <w:sz w:val="24"/>
          <w:lang w:val="zh-CN"/>
        </w:rPr>
        <w:t>格式</w:t>
      </w:r>
      <w:r>
        <w:rPr>
          <w:rFonts w:hint="eastAsia" w:hAnsi="宋体" w:cs="宋体"/>
          <w:b/>
          <w:color w:val="auto"/>
          <w:sz w:val="24"/>
          <w:lang w:val="en-US" w:eastAsia="zh-CN"/>
        </w:rPr>
        <w:t xml:space="preserve">八 </w:t>
      </w:r>
      <w:r>
        <w:rPr>
          <w:rFonts w:hint="eastAsia" w:hAnsi="宋体" w:cs="宋体"/>
          <w:b/>
          <w:color w:val="auto"/>
          <w:sz w:val="24"/>
          <w:lang w:val="zh-CN"/>
        </w:rPr>
        <w:t>（生产经营状态、履约历史、法律法规禁止投标）承诺书</w:t>
      </w:r>
      <w:bookmarkEnd w:id="135"/>
      <w:bookmarkEnd w:id="136"/>
    </w:p>
    <w:p w14:paraId="6C290C00">
      <w:pPr>
        <w:autoSpaceDE w:val="0"/>
        <w:autoSpaceDN w:val="0"/>
        <w:adjustRightInd w:val="0"/>
        <w:jc w:val="center"/>
        <w:outlineLvl w:val="9"/>
        <w:rPr>
          <w:rFonts w:hint="eastAsia" w:ascii="宋体" w:hAnsi="宋体" w:cs="宋体"/>
          <w:b/>
          <w:color w:val="auto"/>
          <w:sz w:val="24"/>
          <w:lang w:val="zh-CN"/>
        </w:rPr>
      </w:pPr>
    </w:p>
    <w:p w14:paraId="7318ACE4">
      <w:pPr>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b/>
      </w:r>
    </w:p>
    <w:p w14:paraId="5F24976C">
      <w:pPr>
        <w:jc w:val="center"/>
        <w:outlineLvl w:val="9"/>
        <w:rPr>
          <w:rFonts w:hint="eastAsia" w:asciiTheme="minorEastAsia" w:hAnsiTheme="minorEastAsia" w:eastAsiaTheme="minorEastAsia" w:cstheme="minorEastAsia"/>
          <w:color w:val="auto"/>
          <w:sz w:val="24"/>
          <w:szCs w:val="24"/>
          <w:highlight w:val="none"/>
          <w:lang w:eastAsia="zh-CN"/>
        </w:rPr>
      </w:pPr>
    </w:p>
    <w:p w14:paraId="761E1D47">
      <w:pPr>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格式自拟</w:t>
      </w:r>
    </w:p>
    <w:p w14:paraId="4F4BCB70">
      <w:pPr>
        <w:autoSpaceDE w:val="0"/>
        <w:autoSpaceDN w:val="0"/>
        <w:adjustRightInd w:val="0"/>
        <w:outlineLvl w:val="9"/>
        <w:rPr>
          <w:rFonts w:hint="eastAsia" w:ascii="宋体" w:hAnsi="宋体" w:cs="宋体"/>
          <w:color w:val="auto"/>
          <w:sz w:val="24"/>
          <w:lang w:val="zh-CN"/>
        </w:rPr>
      </w:pPr>
    </w:p>
    <w:p w14:paraId="2D6D5547">
      <w:pPr>
        <w:autoSpaceDE w:val="0"/>
        <w:autoSpaceDN w:val="0"/>
        <w:adjustRightInd w:val="0"/>
        <w:outlineLvl w:val="9"/>
        <w:rPr>
          <w:rFonts w:hint="eastAsia" w:ascii="宋体" w:hAnsi="宋体" w:cs="宋体"/>
          <w:b/>
          <w:color w:val="auto"/>
          <w:sz w:val="24"/>
          <w:lang w:val="zh-CN"/>
        </w:rPr>
      </w:pPr>
    </w:p>
    <w:p w14:paraId="6E8BB977">
      <w:pPr>
        <w:autoSpaceDE w:val="0"/>
        <w:autoSpaceDN w:val="0"/>
        <w:adjustRightInd w:val="0"/>
        <w:outlineLvl w:val="9"/>
        <w:rPr>
          <w:rFonts w:hint="eastAsia" w:ascii="宋体" w:hAnsi="宋体" w:cs="宋体"/>
          <w:b/>
          <w:color w:val="auto"/>
          <w:sz w:val="24"/>
          <w:lang w:val="zh-CN"/>
        </w:rPr>
      </w:pPr>
    </w:p>
    <w:p w14:paraId="3AE8D54F">
      <w:pPr>
        <w:autoSpaceDE w:val="0"/>
        <w:autoSpaceDN w:val="0"/>
        <w:adjustRightInd w:val="0"/>
        <w:outlineLvl w:val="9"/>
        <w:rPr>
          <w:rFonts w:hint="eastAsia" w:ascii="宋体" w:hAnsi="宋体" w:cs="宋体"/>
          <w:b/>
          <w:color w:val="auto"/>
          <w:sz w:val="24"/>
          <w:lang w:val="zh-CN"/>
        </w:rPr>
      </w:pPr>
    </w:p>
    <w:p w14:paraId="459FF287">
      <w:pPr>
        <w:autoSpaceDE w:val="0"/>
        <w:autoSpaceDN w:val="0"/>
        <w:adjustRightInd w:val="0"/>
        <w:outlineLvl w:val="9"/>
        <w:rPr>
          <w:rFonts w:hint="eastAsia" w:ascii="宋体" w:hAnsi="宋体" w:cs="宋体"/>
          <w:b/>
          <w:color w:val="auto"/>
          <w:sz w:val="24"/>
          <w:lang w:val="zh-CN"/>
        </w:rPr>
      </w:pPr>
    </w:p>
    <w:p w14:paraId="194DFD62">
      <w:pPr>
        <w:autoSpaceDE w:val="0"/>
        <w:autoSpaceDN w:val="0"/>
        <w:adjustRightInd w:val="0"/>
        <w:outlineLvl w:val="9"/>
        <w:rPr>
          <w:rFonts w:hint="eastAsia" w:ascii="宋体" w:hAnsi="宋体" w:cs="宋体"/>
          <w:b/>
          <w:color w:val="auto"/>
          <w:sz w:val="24"/>
          <w:lang w:val="zh-CN"/>
        </w:rPr>
      </w:pPr>
    </w:p>
    <w:p w14:paraId="60FD4267">
      <w:pPr>
        <w:autoSpaceDE w:val="0"/>
        <w:autoSpaceDN w:val="0"/>
        <w:adjustRightInd w:val="0"/>
        <w:outlineLvl w:val="9"/>
        <w:rPr>
          <w:rFonts w:hint="eastAsia" w:ascii="宋体" w:hAnsi="宋体" w:cs="宋体"/>
          <w:b/>
          <w:color w:val="auto"/>
          <w:sz w:val="24"/>
          <w:lang w:val="zh-CN"/>
        </w:rPr>
      </w:pPr>
    </w:p>
    <w:p w14:paraId="438D3C04">
      <w:pPr>
        <w:autoSpaceDE w:val="0"/>
        <w:autoSpaceDN w:val="0"/>
        <w:adjustRightInd w:val="0"/>
        <w:outlineLvl w:val="9"/>
        <w:rPr>
          <w:rFonts w:hint="eastAsia" w:ascii="宋体" w:hAnsi="宋体" w:cs="宋体"/>
          <w:b/>
          <w:color w:val="auto"/>
          <w:sz w:val="24"/>
          <w:lang w:val="zh-CN"/>
        </w:rPr>
      </w:pPr>
    </w:p>
    <w:p w14:paraId="40D87961">
      <w:pPr>
        <w:autoSpaceDE w:val="0"/>
        <w:autoSpaceDN w:val="0"/>
        <w:adjustRightInd w:val="0"/>
        <w:outlineLvl w:val="9"/>
        <w:rPr>
          <w:rFonts w:hint="eastAsia" w:ascii="宋体" w:hAnsi="宋体" w:cs="宋体"/>
          <w:b/>
          <w:color w:val="auto"/>
          <w:sz w:val="24"/>
          <w:lang w:val="zh-CN"/>
        </w:rPr>
      </w:pPr>
    </w:p>
    <w:p w14:paraId="09034675">
      <w:pPr>
        <w:autoSpaceDE w:val="0"/>
        <w:autoSpaceDN w:val="0"/>
        <w:adjustRightInd w:val="0"/>
        <w:outlineLvl w:val="9"/>
        <w:rPr>
          <w:rFonts w:hint="eastAsia" w:ascii="宋体" w:hAnsi="宋体" w:cs="宋体"/>
          <w:b/>
          <w:color w:val="auto"/>
          <w:sz w:val="24"/>
          <w:lang w:val="zh-CN"/>
        </w:rPr>
      </w:pPr>
    </w:p>
    <w:p w14:paraId="5B26E2F0">
      <w:pPr>
        <w:autoSpaceDE w:val="0"/>
        <w:autoSpaceDN w:val="0"/>
        <w:adjustRightInd w:val="0"/>
        <w:outlineLvl w:val="9"/>
        <w:rPr>
          <w:rFonts w:hint="eastAsia" w:ascii="宋体" w:hAnsi="宋体" w:cs="宋体"/>
          <w:b/>
          <w:color w:val="auto"/>
          <w:sz w:val="24"/>
          <w:lang w:val="zh-CN"/>
        </w:rPr>
      </w:pPr>
    </w:p>
    <w:p w14:paraId="035A18D8">
      <w:pPr>
        <w:autoSpaceDE w:val="0"/>
        <w:autoSpaceDN w:val="0"/>
        <w:adjustRightInd w:val="0"/>
        <w:outlineLvl w:val="9"/>
        <w:rPr>
          <w:rFonts w:hint="eastAsia" w:ascii="宋体" w:hAnsi="宋体" w:cs="宋体"/>
          <w:b/>
          <w:color w:val="auto"/>
          <w:sz w:val="24"/>
          <w:lang w:val="zh-CN"/>
        </w:rPr>
      </w:pPr>
    </w:p>
    <w:p w14:paraId="14B8B28C">
      <w:pPr>
        <w:autoSpaceDE w:val="0"/>
        <w:autoSpaceDN w:val="0"/>
        <w:adjustRightInd w:val="0"/>
        <w:outlineLvl w:val="9"/>
        <w:rPr>
          <w:rFonts w:hint="eastAsia" w:ascii="宋体" w:hAnsi="宋体" w:cs="宋体"/>
          <w:b/>
          <w:color w:val="auto"/>
          <w:sz w:val="24"/>
          <w:lang w:val="zh-CN"/>
        </w:rPr>
      </w:pPr>
    </w:p>
    <w:p w14:paraId="0ACE00C7">
      <w:pPr>
        <w:autoSpaceDE w:val="0"/>
        <w:autoSpaceDN w:val="0"/>
        <w:adjustRightInd w:val="0"/>
        <w:outlineLvl w:val="9"/>
        <w:rPr>
          <w:rFonts w:hint="eastAsia" w:ascii="宋体" w:hAnsi="宋体" w:cs="宋体"/>
          <w:b/>
          <w:color w:val="auto"/>
          <w:sz w:val="24"/>
          <w:lang w:val="zh-CN"/>
        </w:rPr>
      </w:pPr>
    </w:p>
    <w:p w14:paraId="29FDD0ED">
      <w:pPr>
        <w:autoSpaceDE w:val="0"/>
        <w:autoSpaceDN w:val="0"/>
        <w:adjustRightInd w:val="0"/>
        <w:outlineLvl w:val="9"/>
        <w:rPr>
          <w:rFonts w:hint="eastAsia" w:ascii="宋体" w:hAnsi="宋体" w:cs="宋体"/>
          <w:b/>
          <w:color w:val="auto"/>
          <w:sz w:val="24"/>
          <w:lang w:val="zh-CN"/>
        </w:rPr>
      </w:pPr>
    </w:p>
    <w:p w14:paraId="6C7277E5">
      <w:pPr>
        <w:autoSpaceDE w:val="0"/>
        <w:autoSpaceDN w:val="0"/>
        <w:adjustRightInd w:val="0"/>
        <w:outlineLvl w:val="9"/>
        <w:rPr>
          <w:rFonts w:hint="eastAsia" w:ascii="宋体" w:hAnsi="宋体" w:cs="宋体"/>
          <w:b/>
          <w:color w:val="auto"/>
          <w:sz w:val="24"/>
          <w:lang w:val="zh-CN"/>
        </w:rPr>
      </w:pPr>
    </w:p>
    <w:p w14:paraId="20FB6A5A">
      <w:pPr>
        <w:autoSpaceDE w:val="0"/>
        <w:autoSpaceDN w:val="0"/>
        <w:adjustRightInd w:val="0"/>
        <w:outlineLvl w:val="9"/>
        <w:rPr>
          <w:rFonts w:hint="eastAsia" w:ascii="宋体" w:hAnsi="宋体" w:cs="宋体"/>
          <w:b/>
          <w:color w:val="auto"/>
          <w:sz w:val="24"/>
          <w:lang w:val="zh-CN"/>
        </w:rPr>
      </w:pPr>
    </w:p>
    <w:p w14:paraId="7804F5C9">
      <w:pPr>
        <w:autoSpaceDE w:val="0"/>
        <w:autoSpaceDN w:val="0"/>
        <w:adjustRightInd w:val="0"/>
        <w:outlineLvl w:val="9"/>
        <w:rPr>
          <w:rFonts w:hint="eastAsia" w:ascii="宋体" w:hAnsi="宋体" w:cs="宋体"/>
          <w:b/>
          <w:color w:val="auto"/>
          <w:sz w:val="24"/>
          <w:lang w:val="zh-CN"/>
        </w:rPr>
      </w:pPr>
    </w:p>
    <w:p w14:paraId="0DCEF5CC">
      <w:pPr>
        <w:autoSpaceDE w:val="0"/>
        <w:autoSpaceDN w:val="0"/>
        <w:adjustRightInd w:val="0"/>
        <w:outlineLvl w:val="9"/>
        <w:rPr>
          <w:rFonts w:hint="eastAsia" w:ascii="宋体" w:hAnsi="宋体" w:cs="宋体"/>
          <w:b/>
          <w:color w:val="auto"/>
          <w:sz w:val="24"/>
          <w:lang w:val="zh-CN"/>
        </w:rPr>
      </w:pPr>
    </w:p>
    <w:p w14:paraId="7CA668D1">
      <w:pPr>
        <w:autoSpaceDE w:val="0"/>
        <w:autoSpaceDN w:val="0"/>
        <w:adjustRightInd w:val="0"/>
        <w:outlineLvl w:val="9"/>
        <w:rPr>
          <w:rFonts w:hint="eastAsia" w:ascii="宋体" w:hAnsi="宋体" w:cs="宋体"/>
          <w:b/>
          <w:color w:val="auto"/>
          <w:sz w:val="24"/>
          <w:lang w:val="zh-CN"/>
        </w:rPr>
      </w:pPr>
    </w:p>
    <w:p w14:paraId="7AF70C35">
      <w:pPr>
        <w:autoSpaceDE w:val="0"/>
        <w:autoSpaceDN w:val="0"/>
        <w:adjustRightInd w:val="0"/>
        <w:outlineLvl w:val="9"/>
        <w:rPr>
          <w:rFonts w:hint="eastAsia" w:ascii="宋体" w:hAnsi="宋体" w:cs="宋体"/>
          <w:b/>
          <w:color w:val="auto"/>
          <w:sz w:val="24"/>
          <w:lang w:val="zh-CN"/>
        </w:rPr>
      </w:pPr>
    </w:p>
    <w:p w14:paraId="7FB20971">
      <w:pPr>
        <w:autoSpaceDE w:val="0"/>
        <w:autoSpaceDN w:val="0"/>
        <w:adjustRightInd w:val="0"/>
        <w:outlineLvl w:val="9"/>
        <w:rPr>
          <w:rFonts w:hint="eastAsia" w:ascii="宋体" w:hAnsi="宋体" w:cs="宋体"/>
          <w:b/>
          <w:color w:val="auto"/>
          <w:sz w:val="24"/>
          <w:lang w:val="zh-CN"/>
        </w:rPr>
      </w:pPr>
    </w:p>
    <w:p w14:paraId="735D936B">
      <w:pPr>
        <w:autoSpaceDE w:val="0"/>
        <w:autoSpaceDN w:val="0"/>
        <w:adjustRightInd w:val="0"/>
        <w:outlineLvl w:val="9"/>
        <w:rPr>
          <w:rFonts w:hint="eastAsia" w:ascii="宋体" w:hAnsi="宋体" w:cs="宋体"/>
          <w:b/>
          <w:color w:val="auto"/>
          <w:sz w:val="24"/>
          <w:lang w:val="zh-CN"/>
        </w:rPr>
      </w:pPr>
    </w:p>
    <w:p w14:paraId="78365834">
      <w:pPr>
        <w:autoSpaceDE w:val="0"/>
        <w:autoSpaceDN w:val="0"/>
        <w:adjustRightInd w:val="0"/>
        <w:outlineLvl w:val="9"/>
        <w:rPr>
          <w:rFonts w:hint="eastAsia" w:ascii="宋体" w:hAnsi="宋体" w:cs="宋体"/>
          <w:b/>
          <w:color w:val="auto"/>
          <w:sz w:val="24"/>
          <w:lang w:val="zh-CN"/>
        </w:rPr>
      </w:pPr>
    </w:p>
    <w:p w14:paraId="11F6F40E">
      <w:pPr>
        <w:autoSpaceDE w:val="0"/>
        <w:autoSpaceDN w:val="0"/>
        <w:adjustRightInd w:val="0"/>
        <w:outlineLvl w:val="9"/>
        <w:rPr>
          <w:rFonts w:hint="eastAsia" w:ascii="宋体" w:hAnsi="宋体" w:cs="宋体"/>
          <w:b/>
          <w:color w:val="auto"/>
          <w:sz w:val="24"/>
          <w:lang w:val="zh-CN"/>
        </w:rPr>
      </w:pPr>
    </w:p>
    <w:p w14:paraId="3904DEFB">
      <w:pPr>
        <w:autoSpaceDE w:val="0"/>
        <w:autoSpaceDN w:val="0"/>
        <w:adjustRightInd w:val="0"/>
        <w:outlineLvl w:val="9"/>
        <w:rPr>
          <w:rFonts w:hint="eastAsia" w:ascii="宋体" w:hAnsi="宋体" w:cs="宋体"/>
          <w:b/>
          <w:color w:val="auto"/>
          <w:sz w:val="24"/>
          <w:lang w:val="zh-CN"/>
        </w:rPr>
      </w:pPr>
    </w:p>
    <w:p w14:paraId="2C51322D">
      <w:pPr>
        <w:autoSpaceDE w:val="0"/>
        <w:autoSpaceDN w:val="0"/>
        <w:adjustRightInd w:val="0"/>
        <w:outlineLvl w:val="9"/>
        <w:rPr>
          <w:rFonts w:hint="eastAsia" w:ascii="宋体" w:hAnsi="宋体" w:cs="宋体"/>
          <w:b/>
          <w:color w:val="auto"/>
          <w:sz w:val="24"/>
          <w:lang w:val="zh-CN"/>
        </w:rPr>
      </w:pPr>
    </w:p>
    <w:p w14:paraId="577FD058">
      <w:pPr>
        <w:autoSpaceDE w:val="0"/>
        <w:autoSpaceDN w:val="0"/>
        <w:adjustRightInd w:val="0"/>
        <w:outlineLvl w:val="9"/>
        <w:rPr>
          <w:rFonts w:hint="eastAsia" w:ascii="宋体" w:hAnsi="宋体" w:cs="宋体"/>
          <w:b/>
          <w:color w:val="auto"/>
          <w:sz w:val="24"/>
          <w:lang w:val="zh-CN"/>
        </w:rPr>
      </w:pPr>
    </w:p>
    <w:p w14:paraId="68025668">
      <w:pPr>
        <w:autoSpaceDE w:val="0"/>
        <w:autoSpaceDN w:val="0"/>
        <w:adjustRightInd w:val="0"/>
        <w:outlineLvl w:val="9"/>
        <w:rPr>
          <w:rFonts w:hint="eastAsia" w:ascii="宋体" w:hAnsi="宋体" w:cs="宋体"/>
          <w:b/>
          <w:color w:val="auto"/>
          <w:sz w:val="24"/>
          <w:lang w:val="zh-CN"/>
        </w:rPr>
      </w:pPr>
    </w:p>
    <w:p w14:paraId="5EB42316">
      <w:pPr>
        <w:autoSpaceDE w:val="0"/>
        <w:autoSpaceDN w:val="0"/>
        <w:adjustRightInd w:val="0"/>
        <w:outlineLvl w:val="9"/>
        <w:rPr>
          <w:rFonts w:hint="eastAsia" w:ascii="宋体" w:hAnsi="宋体" w:cs="宋体"/>
          <w:b/>
          <w:color w:val="auto"/>
          <w:sz w:val="24"/>
          <w:lang w:val="zh-CN"/>
        </w:rPr>
      </w:pPr>
    </w:p>
    <w:p w14:paraId="7DA98D98">
      <w:pPr>
        <w:autoSpaceDE w:val="0"/>
        <w:autoSpaceDN w:val="0"/>
        <w:adjustRightInd w:val="0"/>
        <w:outlineLvl w:val="9"/>
        <w:rPr>
          <w:rFonts w:hint="eastAsia" w:ascii="宋体" w:hAnsi="宋体" w:cs="宋体"/>
          <w:b/>
          <w:color w:val="auto"/>
          <w:sz w:val="24"/>
          <w:lang w:val="zh-CN"/>
        </w:rPr>
      </w:pPr>
    </w:p>
    <w:p w14:paraId="6A1EEFC2">
      <w:pPr>
        <w:autoSpaceDE w:val="0"/>
        <w:autoSpaceDN w:val="0"/>
        <w:adjustRightInd w:val="0"/>
        <w:outlineLvl w:val="9"/>
        <w:rPr>
          <w:rFonts w:hint="eastAsia" w:ascii="宋体" w:hAnsi="宋体" w:cs="宋体"/>
          <w:b/>
          <w:color w:val="auto"/>
          <w:sz w:val="24"/>
          <w:lang w:val="zh-CN"/>
        </w:rPr>
      </w:pPr>
    </w:p>
    <w:p w14:paraId="178684A0">
      <w:pPr>
        <w:autoSpaceDE w:val="0"/>
        <w:autoSpaceDN w:val="0"/>
        <w:adjustRightInd w:val="0"/>
        <w:outlineLvl w:val="9"/>
        <w:rPr>
          <w:rFonts w:hint="eastAsia" w:ascii="宋体" w:hAnsi="宋体" w:cs="宋体"/>
          <w:b/>
          <w:color w:val="auto"/>
          <w:sz w:val="24"/>
          <w:lang w:val="zh-CN"/>
        </w:rPr>
      </w:pPr>
    </w:p>
    <w:p w14:paraId="71238F75">
      <w:pPr>
        <w:autoSpaceDE w:val="0"/>
        <w:autoSpaceDN w:val="0"/>
        <w:adjustRightInd w:val="0"/>
        <w:outlineLvl w:val="9"/>
        <w:rPr>
          <w:rFonts w:hint="eastAsia" w:ascii="宋体" w:hAnsi="宋体" w:cs="宋体"/>
          <w:b/>
          <w:color w:val="auto"/>
          <w:sz w:val="24"/>
          <w:lang w:val="zh-CN"/>
        </w:rPr>
      </w:pPr>
    </w:p>
    <w:p w14:paraId="555746B8">
      <w:pPr>
        <w:autoSpaceDE w:val="0"/>
        <w:autoSpaceDN w:val="0"/>
        <w:adjustRightInd w:val="0"/>
        <w:outlineLvl w:val="9"/>
        <w:rPr>
          <w:rFonts w:hint="eastAsia" w:ascii="宋体" w:hAnsi="宋体" w:cs="宋体"/>
          <w:b/>
          <w:color w:val="auto"/>
          <w:sz w:val="24"/>
          <w:lang w:val="zh-CN"/>
        </w:rPr>
      </w:pPr>
    </w:p>
    <w:p w14:paraId="112C84C0">
      <w:pPr>
        <w:autoSpaceDE w:val="0"/>
        <w:autoSpaceDN w:val="0"/>
        <w:adjustRightInd w:val="0"/>
        <w:outlineLvl w:val="9"/>
        <w:rPr>
          <w:rFonts w:hint="eastAsia" w:ascii="宋体" w:hAnsi="宋体" w:cs="宋体"/>
          <w:b/>
          <w:color w:val="auto"/>
          <w:sz w:val="24"/>
          <w:lang w:val="zh-CN"/>
        </w:rPr>
      </w:pPr>
    </w:p>
    <w:p w14:paraId="41921053">
      <w:pPr>
        <w:autoSpaceDE w:val="0"/>
        <w:autoSpaceDN w:val="0"/>
        <w:adjustRightInd w:val="0"/>
        <w:outlineLvl w:val="9"/>
        <w:rPr>
          <w:rFonts w:hint="eastAsia" w:ascii="宋体" w:hAnsi="宋体" w:cs="宋体"/>
          <w:b/>
          <w:color w:val="auto"/>
          <w:sz w:val="24"/>
          <w:lang w:val="zh-CN"/>
        </w:rPr>
      </w:pPr>
    </w:p>
    <w:p w14:paraId="249812CC">
      <w:pPr>
        <w:autoSpaceDE w:val="0"/>
        <w:autoSpaceDN w:val="0"/>
        <w:adjustRightInd w:val="0"/>
        <w:outlineLvl w:val="9"/>
        <w:rPr>
          <w:rFonts w:hint="eastAsia" w:ascii="宋体" w:hAnsi="宋体" w:cs="宋体"/>
          <w:b/>
          <w:color w:val="auto"/>
          <w:sz w:val="24"/>
          <w:lang w:val="zh-CN"/>
        </w:rPr>
      </w:pPr>
    </w:p>
    <w:p w14:paraId="047B64FC">
      <w:pPr>
        <w:pStyle w:val="42"/>
        <w:outlineLvl w:val="9"/>
        <w:rPr>
          <w:rFonts w:hint="eastAsia"/>
          <w:color w:val="auto"/>
          <w:lang w:val="zh-CN"/>
        </w:rPr>
      </w:pPr>
    </w:p>
    <w:p w14:paraId="6FC0D1C1">
      <w:pPr>
        <w:autoSpaceDE w:val="0"/>
        <w:autoSpaceDN w:val="0"/>
        <w:adjustRightInd w:val="0"/>
        <w:outlineLvl w:val="9"/>
        <w:rPr>
          <w:rFonts w:hint="eastAsia" w:ascii="宋体" w:hAnsi="宋体" w:cs="宋体"/>
          <w:b/>
          <w:color w:val="auto"/>
          <w:sz w:val="24"/>
          <w:lang w:val="zh-CN"/>
        </w:rPr>
      </w:pPr>
    </w:p>
    <w:p w14:paraId="6642DC6E">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37" w:name="_Toc16378"/>
      <w:bookmarkStart w:id="138" w:name="_Toc17092"/>
    </w:p>
    <w:p w14:paraId="6D8FC8AB">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 xml:space="preserve">九 </w:t>
      </w:r>
      <w:r>
        <w:rPr>
          <w:rFonts w:hint="eastAsia" w:ascii="宋体" w:hAnsi="宋体" w:cs="宋体"/>
          <w:b/>
          <w:color w:val="auto"/>
          <w:sz w:val="24"/>
          <w:lang w:val="zh-CN"/>
        </w:rPr>
        <w:t>本项目人员一览表</w:t>
      </w:r>
    </w:p>
    <w:tbl>
      <w:tblPr>
        <w:tblStyle w:val="24"/>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446"/>
        <w:gridCol w:w="1506"/>
        <w:gridCol w:w="1213"/>
        <w:gridCol w:w="3317"/>
      </w:tblGrid>
      <w:tr w14:paraId="3BD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14:paraId="08EC9EB7">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姓名</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AE309E3">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岗位</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1C83F405">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年龄</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BCDDBA8">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职称或其他证书</w:t>
            </w:r>
          </w:p>
        </w:tc>
        <w:tc>
          <w:tcPr>
            <w:tcW w:w="3317" w:type="dxa"/>
            <w:tcBorders>
              <w:top w:val="single" w:color="auto" w:sz="4" w:space="0"/>
              <w:left w:val="single" w:color="auto" w:sz="4" w:space="0"/>
              <w:bottom w:val="single" w:color="auto" w:sz="4" w:space="0"/>
              <w:right w:val="single" w:color="auto" w:sz="4" w:space="0"/>
            </w:tcBorders>
            <w:noWrap w:val="0"/>
            <w:vAlign w:val="center"/>
          </w:tcPr>
          <w:p w14:paraId="26E9080A">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类似服务经验业绩</w:t>
            </w:r>
          </w:p>
        </w:tc>
      </w:tr>
      <w:tr w14:paraId="5B3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7EB25B1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27EB347D">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5298D36A">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21589318">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2E1A1CB6">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2B5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57E7B7DA">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5D8E576E">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9B0765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104B2D76">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165E67F1">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7CE3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3A427C65">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1DD0A4C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570F2F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1B1077D">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6535CD34">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3B1E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14087850">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7003C12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11D62542">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0FF1949B">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38917AB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bl>
    <w:p w14:paraId="4F3936FE">
      <w:pPr>
        <w:pStyle w:val="96"/>
        <w:spacing w:line="360" w:lineRule="auto"/>
        <w:outlineLvl w:val="9"/>
        <w:rPr>
          <w:rFonts w:ascii="Times New Roman" w:hAnsi="Times New Roman"/>
          <w:color w:val="auto"/>
          <w:sz w:val="24"/>
          <w:szCs w:val="24"/>
          <w:highlight w:val="none"/>
        </w:rPr>
      </w:pPr>
      <w:r>
        <w:rPr>
          <w:rFonts w:ascii="Times New Roman" w:hAnsi="Times New Roman"/>
          <w:color w:val="auto"/>
          <w:sz w:val="24"/>
          <w:szCs w:val="24"/>
          <w:highlight w:val="none"/>
        </w:rPr>
        <w:t>填报要求：</w:t>
      </w:r>
    </w:p>
    <w:p w14:paraId="0C1529EF">
      <w:pPr>
        <w:pStyle w:val="96"/>
        <w:widowControl/>
        <w:spacing w:line="360" w:lineRule="auto"/>
        <w:jc w:val="left"/>
        <w:outlineLvl w:val="9"/>
        <w:rPr>
          <w:rFonts w:ascii="Times New Roman" w:hAnsi="Times New Roman"/>
          <w:color w:val="auto"/>
          <w:sz w:val="24"/>
          <w:szCs w:val="24"/>
          <w:highlight w:val="none"/>
        </w:rPr>
      </w:pPr>
      <w:r>
        <w:rPr>
          <w:rFonts w:ascii="Times New Roman" w:hAnsi="Times New Roman"/>
          <w:color w:val="auto"/>
          <w:sz w:val="24"/>
          <w:szCs w:val="24"/>
          <w:highlight w:val="none"/>
        </w:rPr>
        <w:t xml:space="preserve">    1.上表列出的人员，需附其资格证书</w:t>
      </w:r>
      <w:r>
        <w:rPr>
          <w:rFonts w:hint="eastAsia" w:ascii="Times New Roman" w:hAnsi="Times New Roman"/>
          <w:color w:val="auto"/>
          <w:sz w:val="24"/>
          <w:szCs w:val="24"/>
          <w:highlight w:val="none"/>
        </w:rPr>
        <w:t>、学历证书</w:t>
      </w:r>
      <w:r>
        <w:rPr>
          <w:rFonts w:ascii="Times New Roman" w:hAnsi="Times New Roman"/>
          <w:color w:val="auto"/>
          <w:sz w:val="24"/>
          <w:szCs w:val="24"/>
          <w:highlight w:val="none"/>
        </w:rPr>
        <w:t>的扫描件（如有）</w:t>
      </w:r>
      <w:r>
        <w:rPr>
          <w:rFonts w:hint="eastAsia" w:ascii="Times New Roman" w:hAnsi="Times New Roman"/>
          <w:color w:val="auto"/>
          <w:sz w:val="24"/>
          <w:szCs w:val="24"/>
          <w:highlight w:val="none"/>
          <w:lang w:val="en-US" w:eastAsia="zh-CN"/>
        </w:rPr>
        <w:t>等</w:t>
      </w:r>
      <w:r>
        <w:rPr>
          <w:rFonts w:ascii="Times New Roman" w:hAnsi="Times New Roman"/>
          <w:color w:val="auto"/>
          <w:sz w:val="24"/>
          <w:szCs w:val="24"/>
          <w:highlight w:val="none"/>
        </w:rPr>
        <w:t>。</w:t>
      </w:r>
    </w:p>
    <w:p w14:paraId="67D2275B">
      <w:pPr>
        <w:pStyle w:val="96"/>
        <w:widowControl/>
        <w:spacing w:line="360" w:lineRule="auto"/>
        <w:ind w:firstLine="480"/>
        <w:jc w:val="left"/>
        <w:outlineLvl w:val="9"/>
        <w:rPr>
          <w:rFonts w:ascii="Times New Roman" w:hAnsi="Times New Roman"/>
          <w:color w:val="auto"/>
          <w:sz w:val="24"/>
          <w:szCs w:val="24"/>
          <w:highlight w:val="none"/>
        </w:rPr>
        <w:sectPr>
          <w:pgSz w:w="11906" w:h="16838"/>
          <w:pgMar w:top="1361" w:right="1304" w:bottom="1247" w:left="1304" w:header="680" w:footer="680" w:gutter="0"/>
          <w:pgNumType w:fmt="decimal"/>
          <w:cols w:space="720" w:num="1"/>
          <w:docGrid w:linePitch="312" w:charSpace="0"/>
        </w:sectPr>
      </w:pPr>
      <w:r>
        <w:rPr>
          <w:rFonts w:ascii="Times New Roman" w:hAnsi="Times New Roman"/>
          <w:color w:val="auto"/>
          <w:sz w:val="24"/>
          <w:szCs w:val="24"/>
          <w:highlight w:val="none"/>
        </w:rPr>
        <w:t>2.人员配置投标单位自行评估确定</w:t>
      </w:r>
      <w:r>
        <w:rPr>
          <w:rFonts w:ascii="Times New Roman" w:hAnsi="Times New Roman"/>
          <w:color w:val="auto"/>
          <w:sz w:val="24"/>
          <w:highlight w:val="none"/>
        </w:rPr>
        <w:t>。</w:t>
      </w:r>
    </w:p>
    <w:p w14:paraId="30DB959D">
      <w:pPr>
        <w:autoSpaceDE w:val="0"/>
        <w:autoSpaceDN w:val="0"/>
        <w:adjustRightInd w:val="0"/>
        <w:spacing w:line="360" w:lineRule="auto"/>
        <w:jc w:val="left"/>
        <w:outlineLvl w:val="9"/>
        <w:rPr>
          <w:rFonts w:hint="eastAsia" w:ascii="宋体" w:hAnsi="宋体" w:cs="宋体"/>
          <w:b/>
          <w:color w:val="auto"/>
          <w:sz w:val="24"/>
          <w:lang w:val="en-GB"/>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业绩一览表</w:t>
      </w:r>
    </w:p>
    <w:tbl>
      <w:tblPr>
        <w:tblStyle w:val="24"/>
        <w:tblW w:w="95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003"/>
        <w:gridCol w:w="1575"/>
        <w:gridCol w:w="1260"/>
        <w:gridCol w:w="1677"/>
        <w:gridCol w:w="2067"/>
      </w:tblGrid>
      <w:tr w14:paraId="4E26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3BE762DB">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序号</w:t>
            </w:r>
          </w:p>
        </w:tc>
        <w:tc>
          <w:tcPr>
            <w:tcW w:w="2003" w:type="dxa"/>
            <w:tcBorders>
              <w:top w:val="single" w:color="auto" w:sz="6" w:space="0"/>
              <w:left w:val="single" w:color="auto" w:sz="6" w:space="0"/>
              <w:bottom w:val="single" w:color="auto" w:sz="6" w:space="0"/>
              <w:right w:val="single" w:color="auto" w:sz="6" w:space="0"/>
            </w:tcBorders>
            <w:noWrap w:val="0"/>
            <w:vAlign w:val="center"/>
          </w:tcPr>
          <w:p w14:paraId="33E05B16">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9492FD0">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8A1EB19">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合同总价</w:t>
            </w:r>
          </w:p>
        </w:tc>
        <w:tc>
          <w:tcPr>
            <w:tcW w:w="1677" w:type="dxa"/>
            <w:tcBorders>
              <w:top w:val="single" w:color="auto" w:sz="6" w:space="0"/>
              <w:left w:val="single" w:color="auto" w:sz="6" w:space="0"/>
              <w:bottom w:val="single" w:color="auto" w:sz="6" w:space="0"/>
              <w:right w:val="single" w:color="auto" w:sz="6" w:space="0"/>
            </w:tcBorders>
            <w:noWrap w:val="0"/>
            <w:vAlign w:val="center"/>
          </w:tcPr>
          <w:p w14:paraId="62579ADF">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合同签订时间</w:t>
            </w:r>
          </w:p>
        </w:tc>
        <w:tc>
          <w:tcPr>
            <w:tcW w:w="2067" w:type="dxa"/>
            <w:tcBorders>
              <w:top w:val="single" w:color="auto" w:sz="6" w:space="0"/>
              <w:left w:val="single" w:color="auto" w:sz="6" w:space="0"/>
              <w:bottom w:val="single" w:color="auto" w:sz="6" w:space="0"/>
              <w:right w:val="single" w:color="auto" w:sz="6" w:space="0"/>
            </w:tcBorders>
            <w:noWrap w:val="0"/>
            <w:vAlign w:val="center"/>
          </w:tcPr>
          <w:p w14:paraId="07D137CD">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项目单位联系人电话</w:t>
            </w:r>
          </w:p>
        </w:tc>
      </w:tr>
      <w:tr w14:paraId="1D1F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6C0DC75B">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1</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4E3E3FA0">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24054E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DC30A69">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1567E7EA">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37681C6D">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7D980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3ECC954F">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2</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0485A58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30B874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F76B56F">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7D4D4A9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1B88F063">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18DB4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2CFB47A7">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3</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48765EC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C68A25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F6953F8">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6EC2CCA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302F6E4D">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64349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32A8891C">
            <w:pPr>
              <w:pStyle w:val="97"/>
              <w:keepNext w:val="0"/>
              <w:keepLines w:val="0"/>
              <w:suppressLineNumbers w:val="0"/>
              <w:spacing w:before="0" w:beforeAutospacing="0" w:after="0" w:afterAutospacing="0" w:line="360" w:lineRule="auto"/>
              <w:ind w:left="0" w:right="0"/>
              <w:outlineLvl w:val="9"/>
              <w:rPr>
                <w:color w:val="auto"/>
                <w:sz w:val="24"/>
                <w:highlight w:val="none"/>
              </w:rPr>
            </w:pPr>
            <w:r>
              <w:rPr>
                <w:color w:val="auto"/>
                <w:sz w:val="24"/>
                <w:highlight w:val="none"/>
              </w:rPr>
              <w:t>…</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6CC8DA76">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319D6F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CB599B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78ABE63E">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6B0BDFCF">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10958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68D75EFA">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14:paraId="7693C7DC">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9407B6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F96266">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35DCFA5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586F3E84">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7F374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780E301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14:paraId="4CF3AED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EF264BC">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A1D47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0A9CF10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1614A5CA">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bl>
    <w:p w14:paraId="32A2B861">
      <w:pPr>
        <w:pStyle w:val="97"/>
        <w:tabs>
          <w:tab w:val="left" w:pos="1050"/>
          <w:tab w:val="left" w:pos="1838"/>
        </w:tabs>
        <w:spacing w:line="360" w:lineRule="auto"/>
        <w:outlineLvl w:val="9"/>
        <w:rPr>
          <w:color w:val="auto"/>
          <w:sz w:val="24"/>
          <w:highlight w:val="none"/>
        </w:rPr>
      </w:pPr>
      <w:r>
        <w:rPr>
          <w:color w:val="auto"/>
          <w:sz w:val="24"/>
          <w:highlight w:val="none"/>
        </w:rPr>
        <w:t>填报要求：</w:t>
      </w:r>
    </w:p>
    <w:p w14:paraId="4CAFE926">
      <w:pPr>
        <w:pStyle w:val="97"/>
        <w:tabs>
          <w:tab w:val="left" w:pos="1050"/>
          <w:tab w:val="left" w:pos="1838"/>
        </w:tabs>
        <w:spacing w:line="360" w:lineRule="auto"/>
        <w:outlineLvl w:val="9"/>
        <w:rPr>
          <w:color w:val="auto"/>
          <w:sz w:val="24"/>
          <w:highlight w:val="none"/>
        </w:rPr>
      </w:pPr>
      <w:r>
        <w:rPr>
          <w:color w:val="auto"/>
          <w:sz w:val="24"/>
          <w:highlight w:val="none"/>
        </w:rPr>
        <w:t xml:space="preserve">    1、依据商务评审中的业绩要求填写本表并提供相关证明材料。</w:t>
      </w:r>
    </w:p>
    <w:p w14:paraId="4E9C6FF7">
      <w:pPr>
        <w:pStyle w:val="97"/>
        <w:tabs>
          <w:tab w:val="left" w:pos="1050"/>
          <w:tab w:val="left" w:pos="1838"/>
        </w:tabs>
        <w:spacing w:line="360" w:lineRule="auto"/>
        <w:outlineLvl w:val="9"/>
        <w:rPr>
          <w:color w:val="auto"/>
          <w:sz w:val="24"/>
          <w:highlight w:val="none"/>
        </w:rPr>
      </w:pPr>
      <w:r>
        <w:rPr>
          <w:color w:val="auto"/>
          <w:sz w:val="24"/>
          <w:highlight w:val="none"/>
        </w:rPr>
        <w:t xml:space="preserve">    2、请</w:t>
      </w:r>
      <w:r>
        <w:rPr>
          <w:rFonts w:hint="eastAsia"/>
          <w:color w:val="auto"/>
          <w:sz w:val="24"/>
          <w:highlight w:val="none"/>
          <w:lang w:eastAsia="zh-CN"/>
        </w:rPr>
        <w:t>投标人</w:t>
      </w:r>
      <w:r>
        <w:rPr>
          <w:color w:val="auto"/>
          <w:sz w:val="24"/>
          <w:highlight w:val="none"/>
        </w:rPr>
        <w:t>严格按照要求提交相关证明材料，否则有可能影响评审结果。</w:t>
      </w:r>
    </w:p>
    <w:p w14:paraId="6BB6D6BD">
      <w:pPr>
        <w:pStyle w:val="98"/>
        <w:spacing w:line="360" w:lineRule="auto"/>
        <w:jc w:val="center"/>
        <w:outlineLvl w:val="9"/>
        <w:rPr>
          <w:b/>
          <w:color w:val="auto"/>
          <w:sz w:val="28"/>
          <w:szCs w:val="28"/>
          <w:highlight w:val="none"/>
        </w:rPr>
        <w:sectPr>
          <w:pgSz w:w="11906" w:h="16838"/>
          <w:pgMar w:top="1361" w:right="1304" w:bottom="1247" w:left="1304" w:header="680" w:footer="680" w:gutter="0"/>
          <w:pgNumType w:fmt="decimal"/>
          <w:cols w:space="720" w:num="1"/>
          <w:docGrid w:linePitch="312" w:charSpace="0"/>
        </w:sectPr>
      </w:pPr>
    </w:p>
    <w:p w14:paraId="4C42F394">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一 </w:t>
      </w:r>
      <w:r>
        <w:rPr>
          <w:rFonts w:hint="eastAsia" w:ascii="宋体" w:hAnsi="宋体" w:cs="宋体"/>
          <w:b/>
          <w:color w:val="auto"/>
          <w:sz w:val="24"/>
          <w:lang w:val="zh-CN"/>
        </w:rPr>
        <w:t>证书一览表</w:t>
      </w:r>
    </w:p>
    <w:tbl>
      <w:tblPr>
        <w:tblStyle w:val="24"/>
        <w:tblW w:w="842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8"/>
        <w:gridCol w:w="2046"/>
      </w:tblGrid>
      <w:tr w14:paraId="194F7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66" w:type="dxa"/>
            <w:tcBorders>
              <w:top w:val="single" w:color="auto" w:sz="4" w:space="0"/>
              <w:left w:val="single" w:color="auto" w:sz="4" w:space="0"/>
              <w:bottom w:val="single" w:color="auto" w:sz="4" w:space="0"/>
            </w:tcBorders>
            <w:noWrap w:val="0"/>
            <w:vAlign w:val="top"/>
          </w:tcPr>
          <w:p w14:paraId="03D65B72">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证书名称</w:t>
            </w:r>
          </w:p>
        </w:tc>
        <w:tc>
          <w:tcPr>
            <w:tcW w:w="2257" w:type="dxa"/>
            <w:tcBorders>
              <w:top w:val="single" w:color="auto" w:sz="4" w:space="0"/>
              <w:bottom w:val="single" w:color="auto" w:sz="4" w:space="0"/>
            </w:tcBorders>
            <w:noWrap w:val="0"/>
            <w:vAlign w:val="top"/>
          </w:tcPr>
          <w:p w14:paraId="2E153C63">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发证单位</w:t>
            </w:r>
          </w:p>
        </w:tc>
        <w:tc>
          <w:tcPr>
            <w:tcW w:w="2258" w:type="dxa"/>
            <w:tcBorders>
              <w:top w:val="single" w:color="auto" w:sz="4" w:space="0"/>
              <w:bottom w:val="single" w:color="auto" w:sz="4" w:space="0"/>
            </w:tcBorders>
            <w:noWrap w:val="0"/>
            <w:vAlign w:val="top"/>
          </w:tcPr>
          <w:p w14:paraId="3AC1FBE7">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证书等级</w:t>
            </w:r>
          </w:p>
        </w:tc>
        <w:tc>
          <w:tcPr>
            <w:tcW w:w="2046" w:type="dxa"/>
            <w:tcBorders>
              <w:top w:val="single" w:color="auto" w:sz="4" w:space="0"/>
              <w:bottom w:val="single" w:color="auto" w:sz="4" w:space="0"/>
              <w:right w:val="single" w:color="auto" w:sz="4" w:space="0"/>
            </w:tcBorders>
            <w:noWrap w:val="0"/>
            <w:vAlign w:val="top"/>
          </w:tcPr>
          <w:p w14:paraId="1AA1F190">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证书有效期</w:t>
            </w:r>
          </w:p>
        </w:tc>
      </w:tr>
      <w:tr w14:paraId="6952D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tcBorders>
            <w:noWrap w:val="0"/>
            <w:vAlign w:val="top"/>
          </w:tcPr>
          <w:p w14:paraId="00368E1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top w:val="single" w:color="auto" w:sz="4" w:space="0"/>
            </w:tcBorders>
            <w:noWrap w:val="0"/>
            <w:vAlign w:val="top"/>
          </w:tcPr>
          <w:p w14:paraId="34C9DA3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top w:val="single" w:color="auto" w:sz="4" w:space="0"/>
            </w:tcBorders>
            <w:noWrap w:val="0"/>
            <w:vAlign w:val="top"/>
          </w:tcPr>
          <w:p w14:paraId="04C01E6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top w:val="single" w:color="auto" w:sz="4" w:space="0"/>
              <w:right w:val="single" w:color="auto" w:sz="4" w:space="0"/>
            </w:tcBorders>
            <w:noWrap w:val="0"/>
            <w:vAlign w:val="top"/>
          </w:tcPr>
          <w:p w14:paraId="37B3522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3445D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563B527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0E899452">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79D14D9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14EB627E">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740DA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2C9F701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79E3CA6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86D889D">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7E2E3DD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02C1C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612143A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068DBBA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12676F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388B2D2">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06A90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755D6B88">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3D7BD56A">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635186B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6A1C300">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46B7F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0B4B8CD1">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4327C1E0">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D529ACA">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994CD81">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448CD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bottom w:val="single" w:color="auto" w:sz="4" w:space="0"/>
            </w:tcBorders>
            <w:noWrap w:val="0"/>
            <w:vAlign w:val="top"/>
          </w:tcPr>
          <w:p w14:paraId="6D7D3C2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bottom w:val="single" w:color="auto" w:sz="4" w:space="0"/>
            </w:tcBorders>
            <w:noWrap w:val="0"/>
            <w:vAlign w:val="top"/>
          </w:tcPr>
          <w:p w14:paraId="16A7331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bottom w:val="single" w:color="auto" w:sz="4" w:space="0"/>
            </w:tcBorders>
            <w:noWrap w:val="0"/>
            <w:vAlign w:val="top"/>
          </w:tcPr>
          <w:p w14:paraId="3BB652D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bottom w:val="single" w:color="auto" w:sz="4" w:space="0"/>
              <w:right w:val="single" w:color="auto" w:sz="4" w:space="0"/>
            </w:tcBorders>
            <w:noWrap w:val="0"/>
            <w:vAlign w:val="top"/>
          </w:tcPr>
          <w:p w14:paraId="0DFF33E8">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bl>
    <w:p w14:paraId="769C0D98">
      <w:pPr>
        <w:pStyle w:val="98"/>
        <w:tabs>
          <w:tab w:val="left" w:pos="1050"/>
        </w:tabs>
        <w:spacing w:line="360" w:lineRule="auto"/>
        <w:outlineLvl w:val="9"/>
        <w:rPr>
          <w:color w:val="auto"/>
          <w:sz w:val="24"/>
          <w:highlight w:val="none"/>
        </w:rPr>
      </w:pPr>
      <w:r>
        <w:rPr>
          <w:color w:val="auto"/>
          <w:sz w:val="24"/>
          <w:highlight w:val="none"/>
        </w:rPr>
        <w:t>填报要求：</w:t>
      </w:r>
    </w:p>
    <w:p w14:paraId="2D19534B">
      <w:pPr>
        <w:pStyle w:val="99"/>
        <w:numPr>
          <w:ilvl w:val="0"/>
          <w:numId w:val="13"/>
        </w:numPr>
        <w:tabs>
          <w:tab w:val="left" w:pos="0"/>
        </w:tabs>
        <w:spacing w:line="360" w:lineRule="auto"/>
        <w:ind w:left="0" w:firstLine="0" w:firstLineChars="0"/>
        <w:jc w:val="both"/>
        <w:outlineLvl w:val="9"/>
        <w:rPr>
          <w:rFonts w:ascii="Times New Roman" w:hAnsi="Times New Roman"/>
          <w:color w:val="auto"/>
          <w:sz w:val="24"/>
          <w:szCs w:val="24"/>
          <w:highlight w:val="none"/>
        </w:rPr>
      </w:pPr>
      <w:r>
        <w:rPr>
          <w:rFonts w:ascii="Times New Roman" w:hAnsi="Times New Roman"/>
          <w:color w:val="auto"/>
          <w:sz w:val="24"/>
          <w:highlight w:val="none"/>
        </w:rPr>
        <w:t>填写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获得资质、认证或企业信誉证书等（如有）。</w:t>
      </w:r>
      <w:r>
        <w:rPr>
          <w:rFonts w:ascii="Times New Roman" w:hAnsi="Times New Roman"/>
          <w:color w:val="auto"/>
          <w:sz w:val="24"/>
          <w:szCs w:val="24"/>
          <w:highlight w:val="none"/>
        </w:rPr>
        <w:t>（或根据评分项对应内容的要求填写）</w:t>
      </w:r>
    </w:p>
    <w:p w14:paraId="206B4CF7">
      <w:pPr>
        <w:pStyle w:val="99"/>
        <w:numPr>
          <w:ilvl w:val="0"/>
          <w:numId w:val="13"/>
        </w:numPr>
        <w:tabs>
          <w:tab w:val="left" w:pos="0"/>
        </w:tabs>
        <w:spacing w:line="360" w:lineRule="auto"/>
        <w:ind w:left="0" w:firstLine="0" w:firstLineChars="0"/>
        <w:jc w:val="both"/>
        <w:outlineLvl w:val="9"/>
        <w:rPr>
          <w:rFonts w:ascii="Times New Roman" w:hAnsi="Times New Roman"/>
          <w:color w:val="auto"/>
          <w:sz w:val="24"/>
          <w:highlight w:val="none"/>
        </w:rPr>
      </w:pPr>
      <w:r>
        <w:rPr>
          <w:rFonts w:ascii="Times New Roman" w:hAnsi="Times New Roman"/>
          <w:color w:val="auto"/>
          <w:sz w:val="24"/>
          <w:highlight w:val="none"/>
        </w:rPr>
        <w:t>请提供本表所列的证书资料。</w:t>
      </w:r>
    </w:p>
    <w:p w14:paraId="176C0645">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1736CA19">
      <w:pPr>
        <w:rPr>
          <w:rFonts w:ascii="宋体" w:hAnsi="宋体" w:cs="宋体"/>
          <w:color w:val="auto"/>
          <w:sz w:val="28"/>
          <w:szCs w:val="28"/>
        </w:rPr>
      </w:pPr>
      <w:r>
        <w:rPr>
          <w:rFonts w:hint="eastAsia" w:hAnsi="宋体" w:cs="宋体"/>
          <w:b/>
          <w:color w:val="auto"/>
          <w:sz w:val="24"/>
          <w:lang w:val="zh-CN"/>
        </w:rPr>
        <w:t>格式</w:t>
      </w:r>
      <w:r>
        <w:rPr>
          <w:rFonts w:hint="eastAsia" w:hAnsi="宋体" w:cs="宋体"/>
          <w:b/>
          <w:color w:val="auto"/>
          <w:sz w:val="24"/>
          <w:lang w:val="en-US" w:eastAsia="zh-CN"/>
        </w:rPr>
        <w:t>十二</w:t>
      </w:r>
      <w:r>
        <w:rPr>
          <w:rFonts w:hint="eastAsia" w:hAnsi="宋体" w:cs="宋体"/>
          <w:b/>
          <w:color w:val="auto"/>
          <w:sz w:val="24"/>
        </w:rPr>
        <w:t xml:space="preserve"> </w:t>
      </w:r>
      <w:r>
        <w:rPr>
          <w:rFonts w:hint="eastAsia" w:hAnsi="宋体" w:cs="宋体"/>
          <w:b/>
          <w:color w:val="auto"/>
          <w:sz w:val="24"/>
          <w:szCs w:val="24"/>
        </w:rPr>
        <w:t xml:space="preserve"> </w:t>
      </w:r>
      <w:r>
        <w:rPr>
          <w:rFonts w:hint="eastAsia" w:hAnsi="宋体" w:cs="宋体"/>
          <w:b/>
          <w:color w:val="auto"/>
          <w:sz w:val="24"/>
          <w:szCs w:val="22"/>
          <w:lang w:val="zh-CN"/>
        </w:rPr>
        <w:t>承诺书</w:t>
      </w:r>
      <w:bookmarkEnd w:id="137"/>
      <w:bookmarkEnd w:id="138"/>
    </w:p>
    <w:p w14:paraId="65853FAD">
      <w:pPr>
        <w:widowControl/>
        <w:adjustRightInd w:val="0"/>
        <w:snapToGrid w:val="0"/>
        <w:spacing w:before="36" w:beforeLines="15" w:line="360" w:lineRule="auto"/>
        <w:jc w:val="center"/>
        <w:outlineLvl w:val="9"/>
        <w:rPr>
          <w:rFonts w:hint="eastAsia" w:ascii="宋体" w:hAnsi="宋体" w:cs="宋体"/>
          <w:color w:val="auto"/>
          <w:sz w:val="28"/>
          <w:szCs w:val="28"/>
        </w:rPr>
      </w:pPr>
      <w:r>
        <w:rPr>
          <w:rFonts w:hint="eastAsia" w:ascii="宋体" w:hAnsi="宋体" w:cs="宋体"/>
          <w:color w:val="auto"/>
          <w:sz w:val="28"/>
          <w:szCs w:val="28"/>
          <w:lang w:val="zh-CN"/>
        </w:rPr>
        <w:t>承诺书1</w:t>
      </w:r>
    </w:p>
    <w:p w14:paraId="15F84A49">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0F154EA6">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14:paraId="50783F0E">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14:paraId="5FB43327">
      <w:pPr>
        <w:widowControl/>
        <w:adjustRightInd w:val="0"/>
        <w:snapToGrid w:val="0"/>
        <w:spacing w:before="36" w:beforeLines="15" w:line="360" w:lineRule="auto"/>
        <w:outlineLvl w:val="9"/>
        <w:rPr>
          <w:rFonts w:ascii="宋体" w:hAnsi="宋体" w:cs="宋体"/>
          <w:color w:val="auto"/>
          <w:sz w:val="24"/>
        </w:rPr>
      </w:pPr>
    </w:p>
    <w:p w14:paraId="14FDB901">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14:paraId="1B4AA878">
      <w:pPr>
        <w:adjustRightInd w:val="0"/>
        <w:snapToGrid w:val="0"/>
        <w:spacing w:before="36" w:beforeLines="15" w:line="360" w:lineRule="auto"/>
        <w:outlineLvl w:val="9"/>
        <w:rPr>
          <w:rFonts w:ascii="宋体" w:hAnsi="宋体" w:cs="宋体"/>
          <w:color w:val="auto"/>
          <w:sz w:val="24"/>
        </w:rPr>
      </w:pPr>
    </w:p>
    <w:p w14:paraId="02ACCC96">
      <w:pPr>
        <w:adjustRightInd w:val="0"/>
        <w:snapToGrid w:val="0"/>
        <w:spacing w:before="36" w:beforeLines="15" w:line="360" w:lineRule="auto"/>
        <w:outlineLvl w:val="9"/>
        <w:rPr>
          <w:rFonts w:ascii="宋体" w:hAnsi="宋体" w:cs="宋体"/>
          <w:color w:val="auto"/>
          <w:sz w:val="24"/>
        </w:rPr>
      </w:pPr>
    </w:p>
    <w:p w14:paraId="62FFCFF8">
      <w:pPr>
        <w:adjustRightInd w:val="0"/>
        <w:snapToGrid w:val="0"/>
        <w:spacing w:before="36" w:beforeLines="15" w:line="360" w:lineRule="auto"/>
        <w:outlineLvl w:val="9"/>
        <w:rPr>
          <w:rFonts w:ascii="宋体" w:hAnsi="宋体" w:cs="宋体"/>
          <w:color w:val="auto"/>
          <w:sz w:val="24"/>
        </w:rPr>
      </w:pPr>
    </w:p>
    <w:p w14:paraId="1B1DC31B">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36830E8F">
      <w:pPr>
        <w:adjustRightInd w:val="0"/>
        <w:snapToGrid w:val="0"/>
        <w:spacing w:before="36" w:beforeLines="15" w:line="360" w:lineRule="auto"/>
        <w:ind w:left="3578" w:leftChars="1704"/>
        <w:outlineLvl w:val="9"/>
        <w:rPr>
          <w:rFonts w:ascii="宋体" w:hAnsi="宋体" w:cs="宋体"/>
          <w:color w:val="auto"/>
          <w:sz w:val="24"/>
        </w:rPr>
      </w:pPr>
    </w:p>
    <w:p w14:paraId="372A1D1A">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79148DC6">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14:paraId="2127C10C">
      <w:pPr>
        <w:rPr>
          <w:rFonts w:hint="eastAsia" w:ascii="宋体" w:hAnsi="宋体" w:cs="宋体"/>
          <w:color w:val="auto"/>
          <w:sz w:val="28"/>
          <w:szCs w:val="28"/>
        </w:rPr>
      </w:pPr>
      <w:r>
        <w:rPr>
          <w:rFonts w:hint="eastAsia" w:ascii="宋体" w:hAnsi="宋体" w:cs="宋体"/>
          <w:color w:val="auto"/>
          <w:sz w:val="28"/>
          <w:szCs w:val="28"/>
        </w:rPr>
        <w:br w:type="page"/>
      </w:r>
    </w:p>
    <w:p w14:paraId="2FF70F73">
      <w:pPr>
        <w:widowControl/>
        <w:adjustRightInd w:val="0"/>
        <w:snapToGrid w:val="0"/>
        <w:spacing w:before="36" w:beforeLines="15" w:line="360" w:lineRule="auto"/>
        <w:jc w:val="center"/>
        <w:outlineLvl w:val="9"/>
        <w:rPr>
          <w:rFonts w:ascii="宋体" w:hAnsi="宋体" w:cs="宋体"/>
          <w:color w:val="auto"/>
          <w:w w:val="99"/>
          <w:sz w:val="24"/>
        </w:rPr>
      </w:pPr>
      <w:r>
        <w:rPr>
          <w:rFonts w:hint="eastAsia" w:ascii="宋体" w:hAnsi="宋体" w:cs="宋体"/>
          <w:color w:val="auto"/>
          <w:sz w:val="28"/>
          <w:szCs w:val="28"/>
        </w:rPr>
        <w:t>承诺书2</w:t>
      </w:r>
    </w:p>
    <w:p w14:paraId="71B85172">
      <w:pPr>
        <w:adjustRightInd w:val="0"/>
        <w:snapToGrid w:val="0"/>
        <w:spacing w:line="360" w:lineRule="auto"/>
        <w:outlineLvl w:val="9"/>
        <w:rPr>
          <w:rFonts w:ascii="宋体" w:hAnsi="宋体" w:cs="宋体"/>
          <w:color w:val="auto"/>
          <w:w w:val="99"/>
          <w:sz w:val="24"/>
        </w:rPr>
      </w:pPr>
    </w:p>
    <w:p w14:paraId="2E858F0B">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5D47454B">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14:paraId="50141D4E">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14:paraId="5150EA6C">
      <w:pPr>
        <w:adjustRightInd w:val="0"/>
        <w:snapToGrid w:val="0"/>
        <w:spacing w:before="36" w:beforeLines="15" w:line="360" w:lineRule="auto"/>
        <w:outlineLvl w:val="9"/>
        <w:rPr>
          <w:rFonts w:ascii="宋体" w:hAnsi="宋体" w:cs="宋体"/>
          <w:color w:val="auto"/>
          <w:sz w:val="24"/>
        </w:rPr>
      </w:pPr>
    </w:p>
    <w:p w14:paraId="7A0D86A7">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14:paraId="6DB1642D">
      <w:pPr>
        <w:adjustRightInd w:val="0"/>
        <w:snapToGrid w:val="0"/>
        <w:spacing w:before="36" w:beforeLines="15" w:line="360" w:lineRule="auto"/>
        <w:outlineLvl w:val="9"/>
        <w:rPr>
          <w:rFonts w:ascii="宋体" w:hAnsi="宋体" w:cs="宋体"/>
          <w:color w:val="auto"/>
          <w:sz w:val="24"/>
        </w:rPr>
      </w:pPr>
    </w:p>
    <w:p w14:paraId="5F577FEE">
      <w:pPr>
        <w:adjustRightInd w:val="0"/>
        <w:snapToGrid w:val="0"/>
        <w:spacing w:before="36" w:beforeLines="15" w:line="360" w:lineRule="auto"/>
        <w:outlineLvl w:val="9"/>
        <w:rPr>
          <w:rFonts w:ascii="宋体" w:hAnsi="宋体" w:cs="宋体"/>
          <w:color w:val="auto"/>
          <w:sz w:val="24"/>
        </w:rPr>
      </w:pPr>
    </w:p>
    <w:p w14:paraId="71A46A8B">
      <w:pPr>
        <w:adjustRightInd w:val="0"/>
        <w:snapToGrid w:val="0"/>
        <w:spacing w:before="36" w:beforeLines="15" w:line="360" w:lineRule="auto"/>
        <w:outlineLvl w:val="9"/>
        <w:rPr>
          <w:rFonts w:ascii="宋体" w:hAnsi="宋体" w:cs="宋体"/>
          <w:color w:val="auto"/>
          <w:sz w:val="24"/>
        </w:rPr>
      </w:pPr>
    </w:p>
    <w:p w14:paraId="70228099">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59BF9AC6">
      <w:pPr>
        <w:adjustRightInd w:val="0"/>
        <w:snapToGrid w:val="0"/>
        <w:spacing w:before="36" w:beforeLines="15" w:line="360" w:lineRule="auto"/>
        <w:ind w:left="3578" w:leftChars="1704"/>
        <w:outlineLvl w:val="9"/>
        <w:rPr>
          <w:rFonts w:ascii="宋体" w:hAnsi="宋体" w:cs="宋体"/>
          <w:color w:val="auto"/>
          <w:sz w:val="24"/>
        </w:rPr>
      </w:pPr>
    </w:p>
    <w:p w14:paraId="08B86545">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7A79681B">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14:paraId="305B15AE">
      <w:pPr>
        <w:widowControl/>
        <w:adjustRightInd w:val="0"/>
        <w:snapToGrid w:val="0"/>
        <w:spacing w:before="36" w:beforeLines="15" w:line="360" w:lineRule="auto"/>
        <w:jc w:val="center"/>
        <w:outlineLvl w:val="9"/>
        <w:rPr>
          <w:rFonts w:ascii="宋体" w:hAnsi="宋体" w:cs="宋体"/>
          <w:color w:val="auto"/>
          <w:sz w:val="24"/>
        </w:rPr>
      </w:pPr>
    </w:p>
    <w:p w14:paraId="128535F8">
      <w:pPr>
        <w:widowControl/>
        <w:adjustRightInd w:val="0"/>
        <w:snapToGrid w:val="0"/>
        <w:spacing w:before="36" w:beforeLines="15" w:line="360" w:lineRule="auto"/>
        <w:jc w:val="center"/>
        <w:outlineLvl w:val="9"/>
        <w:rPr>
          <w:rFonts w:ascii="宋体" w:hAnsi="宋体" w:cs="宋体"/>
          <w:color w:val="auto"/>
          <w:sz w:val="24"/>
        </w:rPr>
      </w:pPr>
    </w:p>
    <w:p w14:paraId="58E9F3B9">
      <w:pPr>
        <w:widowControl/>
        <w:adjustRightInd w:val="0"/>
        <w:snapToGrid w:val="0"/>
        <w:spacing w:before="36" w:beforeLines="15" w:line="360" w:lineRule="auto"/>
        <w:jc w:val="center"/>
        <w:outlineLvl w:val="9"/>
        <w:rPr>
          <w:rFonts w:ascii="宋体" w:hAnsi="宋体" w:cs="宋体"/>
          <w:color w:val="auto"/>
          <w:sz w:val="24"/>
        </w:rPr>
      </w:pPr>
    </w:p>
    <w:p w14:paraId="17F43C60">
      <w:pPr>
        <w:widowControl/>
        <w:adjustRightInd w:val="0"/>
        <w:snapToGrid w:val="0"/>
        <w:spacing w:before="36" w:beforeLines="15" w:line="360" w:lineRule="auto"/>
        <w:jc w:val="center"/>
        <w:outlineLvl w:val="9"/>
        <w:rPr>
          <w:rFonts w:ascii="宋体" w:hAnsi="宋体" w:cs="宋体"/>
          <w:color w:val="auto"/>
          <w:sz w:val="24"/>
        </w:rPr>
      </w:pPr>
    </w:p>
    <w:p w14:paraId="52CC18ED">
      <w:pPr>
        <w:widowControl/>
        <w:adjustRightInd w:val="0"/>
        <w:snapToGrid w:val="0"/>
        <w:spacing w:before="36" w:beforeLines="15" w:line="360" w:lineRule="auto"/>
        <w:jc w:val="center"/>
        <w:outlineLvl w:val="9"/>
        <w:rPr>
          <w:rFonts w:ascii="宋体" w:hAnsi="宋体" w:cs="宋体"/>
          <w:color w:val="auto"/>
          <w:sz w:val="24"/>
        </w:rPr>
      </w:pPr>
    </w:p>
    <w:p w14:paraId="55FDE3A7">
      <w:pPr>
        <w:widowControl/>
        <w:adjustRightInd w:val="0"/>
        <w:snapToGrid w:val="0"/>
        <w:spacing w:before="36" w:beforeLines="15" w:line="360" w:lineRule="auto"/>
        <w:jc w:val="center"/>
        <w:outlineLvl w:val="9"/>
        <w:rPr>
          <w:rFonts w:ascii="宋体" w:hAnsi="宋体" w:cs="宋体"/>
          <w:color w:val="auto"/>
          <w:sz w:val="24"/>
        </w:rPr>
      </w:pPr>
    </w:p>
    <w:p w14:paraId="065B5A48">
      <w:pPr>
        <w:widowControl/>
        <w:adjustRightInd w:val="0"/>
        <w:snapToGrid w:val="0"/>
        <w:spacing w:before="36" w:beforeLines="15" w:line="360" w:lineRule="auto"/>
        <w:jc w:val="center"/>
        <w:outlineLvl w:val="9"/>
        <w:rPr>
          <w:rFonts w:ascii="宋体" w:hAnsi="宋体" w:cs="宋体"/>
          <w:color w:val="auto"/>
          <w:sz w:val="24"/>
        </w:rPr>
      </w:pPr>
    </w:p>
    <w:p w14:paraId="37C3A5E3">
      <w:pPr>
        <w:widowControl/>
        <w:adjustRightInd w:val="0"/>
        <w:snapToGrid w:val="0"/>
        <w:spacing w:before="36" w:beforeLines="15" w:line="360" w:lineRule="auto"/>
        <w:jc w:val="center"/>
        <w:outlineLvl w:val="9"/>
        <w:rPr>
          <w:rFonts w:ascii="宋体" w:hAnsi="宋体" w:cs="宋体"/>
          <w:color w:val="auto"/>
          <w:sz w:val="24"/>
        </w:rPr>
      </w:pPr>
    </w:p>
    <w:p w14:paraId="37064BA4">
      <w:pPr>
        <w:widowControl/>
        <w:adjustRightInd w:val="0"/>
        <w:snapToGrid w:val="0"/>
        <w:spacing w:before="36" w:beforeLines="15" w:line="360" w:lineRule="auto"/>
        <w:jc w:val="center"/>
        <w:outlineLvl w:val="9"/>
        <w:rPr>
          <w:rFonts w:ascii="宋体" w:hAnsi="宋体" w:cs="宋体"/>
          <w:color w:val="auto"/>
          <w:sz w:val="24"/>
        </w:rPr>
      </w:pPr>
    </w:p>
    <w:p w14:paraId="29CF0220">
      <w:pPr>
        <w:widowControl/>
        <w:adjustRightInd w:val="0"/>
        <w:snapToGrid w:val="0"/>
        <w:spacing w:before="36" w:beforeLines="15" w:line="360" w:lineRule="auto"/>
        <w:jc w:val="center"/>
        <w:outlineLvl w:val="9"/>
        <w:rPr>
          <w:rFonts w:ascii="宋体" w:hAnsi="宋体" w:cs="宋体"/>
          <w:color w:val="auto"/>
          <w:sz w:val="24"/>
        </w:rPr>
      </w:pPr>
    </w:p>
    <w:p w14:paraId="58E786AC">
      <w:pPr>
        <w:widowControl/>
        <w:adjustRightInd w:val="0"/>
        <w:snapToGrid w:val="0"/>
        <w:spacing w:before="36" w:beforeLines="15" w:line="360" w:lineRule="auto"/>
        <w:jc w:val="center"/>
        <w:outlineLvl w:val="9"/>
        <w:rPr>
          <w:rFonts w:ascii="宋体" w:hAnsi="宋体" w:cs="宋体"/>
          <w:color w:val="auto"/>
          <w:sz w:val="24"/>
        </w:rPr>
      </w:pPr>
    </w:p>
    <w:p w14:paraId="2A84FA29">
      <w:pPr>
        <w:widowControl/>
        <w:adjustRightInd w:val="0"/>
        <w:snapToGrid w:val="0"/>
        <w:spacing w:before="36" w:beforeLines="15" w:line="360" w:lineRule="auto"/>
        <w:jc w:val="center"/>
        <w:outlineLvl w:val="9"/>
        <w:rPr>
          <w:rFonts w:ascii="宋体" w:hAnsi="宋体" w:cs="宋体"/>
          <w:color w:val="auto"/>
          <w:sz w:val="24"/>
        </w:rPr>
      </w:pPr>
    </w:p>
    <w:p w14:paraId="0646B830">
      <w:pPr>
        <w:widowControl/>
        <w:adjustRightInd w:val="0"/>
        <w:snapToGrid w:val="0"/>
        <w:spacing w:before="36" w:beforeLines="15" w:line="360" w:lineRule="auto"/>
        <w:jc w:val="center"/>
        <w:outlineLvl w:val="9"/>
        <w:rPr>
          <w:rFonts w:ascii="宋体" w:hAnsi="宋体" w:cs="宋体"/>
          <w:color w:val="auto"/>
          <w:sz w:val="28"/>
          <w:szCs w:val="28"/>
        </w:rPr>
      </w:pPr>
      <w:r>
        <w:rPr>
          <w:rFonts w:hint="eastAsia" w:ascii="宋体" w:hAnsi="宋体" w:cs="宋体"/>
          <w:color w:val="auto"/>
          <w:sz w:val="28"/>
          <w:szCs w:val="28"/>
        </w:rPr>
        <w:t>承诺书3</w:t>
      </w:r>
    </w:p>
    <w:p w14:paraId="50009539">
      <w:pPr>
        <w:adjustRightInd w:val="0"/>
        <w:snapToGrid w:val="0"/>
        <w:spacing w:line="360" w:lineRule="auto"/>
        <w:outlineLvl w:val="9"/>
        <w:rPr>
          <w:rFonts w:ascii="宋体" w:hAnsi="宋体" w:cs="宋体"/>
          <w:color w:val="auto"/>
          <w:w w:val="99"/>
          <w:sz w:val="24"/>
        </w:rPr>
      </w:pPr>
    </w:p>
    <w:p w14:paraId="7F20CA41">
      <w:pPr>
        <w:adjustRightInd w:val="0"/>
        <w:snapToGrid w:val="0"/>
        <w:spacing w:line="360" w:lineRule="auto"/>
        <w:ind w:left="0" w:leftChars="0" w:firstLine="419" w:firstLineChars="177"/>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4B54E8CA">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我方郑重承诺：</w:t>
      </w:r>
    </w:p>
    <w:p w14:paraId="549B0C9B">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(一)具有独立承担民事责任的能力;</w:t>
      </w:r>
    </w:p>
    <w:p w14:paraId="31D7356F">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(二)具有良好的商业信誉和健全的财务会计制度;</w:t>
      </w:r>
    </w:p>
    <w:p w14:paraId="402082EA">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(三)具有履行合同所必需的设备和专业技术能力;</w:t>
      </w:r>
    </w:p>
    <w:p w14:paraId="31B1314B">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(四)有依法缴纳税收和社会保障资金的良好记录;</w:t>
      </w:r>
    </w:p>
    <w:p w14:paraId="06559BA1">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(五)参加政府采购活动前三年内，在经营活动中没有重大违法记录;</w:t>
      </w:r>
    </w:p>
    <w:p w14:paraId="79CE847F">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(六)未被列入政府取消投标资格记录期间的企业或个人投标</w:t>
      </w:r>
    </w:p>
    <w:p w14:paraId="4D8C58D6">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(七)法律、行政法规规定的其他条件。</w:t>
      </w:r>
    </w:p>
    <w:p w14:paraId="509EFACC">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p>
    <w:p w14:paraId="15325BCC">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特此承诺！</w:t>
      </w:r>
    </w:p>
    <w:p w14:paraId="0D0492E3">
      <w:pPr>
        <w:adjustRightInd w:val="0"/>
        <w:snapToGrid w:val="0"/>
        <w:spacing w:before="36" w:beforeLines="15" w:line="360" w:lineRule="auto"/>
        <w:ind w:left="3578" w:leftChars="1704"/>
        <w:outlineLvl w:val="9"/>
        <w:rPr>
          <w:rFonts w:ascii="宋体" w:hAnsi="宋体" w:cs="宋体"/>
          <w:color w:val="auto"/>
          <w:sz w:val="24"/>
        </w:rPr>
      </w:pPr>
    </w:p>
    <w:p w14:paraId="1537C262">
      <w:pPr>
        <w:adjustRightInd w:val="0"/>
        <w:snapToGrid w:val="0"/>
        <w:spacing w:before="36" w:beforeLines="15" w:line="360" w:lineRule="auto"/>
        <w:ind w:left="3578" w:leftChars="1704"/>
        <w:outlineLvl w:val="9"/>
        <w:rPr>
          <w:rFonts w:ascii="宋体" w:hAnsi="宋体" w:cs="宋体"/>
          <w:color w:val="auto"/>
          <w:sz w:val="24"/>
        </w:rPr>
      </w:pPr>
    </w:p>
    <w:p w14:paraId="4D5FCECA">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27E1B7C0">
      <w:pPr>
        <w:adjustRightInd w:val="0"/>
        <w:snapToGrid w:val="0"/>
        <w:spacing w:before="36" w:beforeLines="15" w:line="360" w:lineRule="auto"/>
        <w:ind w:left="3578" w:leftChars="1704"/>
        <w:outlineLvl w:val="9"/>
        <w:rPr>
          <w:rFonts w:ascii="宋体" w:hAnsi="宋体" w:cs="宋体"/>
          <w:color w:val="auto"/>
          <w:sz w:val="24"/>
        </w:rPr>
      </w:pPr>
    </w:p>
    <w:p w14:paraId="5D348D16">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3DEA1D0A">
      <w:pPr>
        <w:pStyle w:val="13"/>
        <w:tabs>
          <w:tab w:val="left" w:pos="200"/>
        </w:tabs>
        <w:spacing w:line="360" w:lineRule="auto"/>
        <w:jc w:val="right"/>
        <w:outlineLvl w:val="9"/>
        <w:rPr>
          <w:rFonts w:hAnsi="宋体" w:cs="宋体"/>
          <w:color w:val="auto"/>
          <w:sz w:val="24"/>
        </w:rPr>
      </w:pPr>
      <w:r>
        <w:rPr>
          <w:rFonts w:hint="eastAsia" w:hAnsi="宋体" w:cs="宋体"/>
          <w:color w:val="auto"/>
          <w:sz w:val="24"/>
        </w:rPr>
        <w:t xml:space="preserve">            年   月   日</w:t>
      </w:r>
    </w:p>
    <w:p w14:paraId="19673B94">
      <w:pPr>
        <w:pStyle w:val="11"/>
        <w:adjustRightInd w:val="0"/>
        <w:snapToGrid w:val="0"/>
        <w:ind w:firstLine="420" w:firstLineChars="200"/>
        <w:rPr>
          <w:rFonts w:ascii="宋体" w:hAnsi="宋体" w:eastAsia="宋体"/>
          <w:snapToGrid w:val="0"/>
          <w:color w:val="auto"/>
          <w:kern w:val="0"/>
          <w:sz w:val="24"/>
          <w:szCs w:val="24"/>
        </w:rPr>
      </w:pPr>
      <w:r>
        <w:rPr>
          <w:color w:val="auto"/>
        </w:rPr>
        <w:br w:type="page"/>
      </w:r>
    </w:p>
    <w:p w14:paraId="215063C9">
      <w:pPr>
        <w:autoSpaceDE w:val="0"/>
        <w:autoSpaceDN w:val="0"/>
        <w:adjustRightInd w:val="0"/>
        <w:outlineLvl w:val="9"/>
        <w:rPr>
          <w:rFonts w:hint="eastAsia" w:ascii="宋体" w:hAnsi="宋体"/>
          <w:b/>
          <w:color w:val="auto"/>
          <w:sz w:val="24"/>
          <w:szCs w:val="24"/>
          <w:lang w:val="zh-CN"/>
        </w:rPr>
      </w:pPr>
    </w:p>
    <w:p w14:paraId="1C012BEA">
      <w:pPr>
        <w:autoSpaceDE w:val="0"/>
        <w:autoSpaceDN w:val="0"/>
        <w:adjustRightInd w:val="0"/>
        <w:jc w:val="left"/>
        <w:outlineLvl w:val="1"/>
        <w:rPr>
          <w:rFonts w:hint="eastAsia" w:ascii="宋体" w:hAnsi="宋体" w:cs="宋体"/>
          <w:b/>
          <w:color w:val="auto"/>
          <w:sz w:val="24"/>
          <w:lang w:val="zh-CN"/>
        </w:rPr>
      </w:pPr>
      <w:bookmarkStart w:id="139" w:name="_Toc21729"/>
      <w:bookmarkStart w:id="140" w:name="_Toc5401"/>
      <w:r>
        <w:rPr>
          <w:rFonts w:hint="eastAsia" w:ascii="宋体" w:hAnsi="宋体"/>
          <w:b/>
          <w:color w:val="auto"/>
          <w:sz w:val="24"/>
          <w:szCs w:val="24"/>
        </w:rPr>
        <w:t>格式十</w:t>
      </w:r>
      <w:r>
        <w:rPr>
          <w:rFonts w:hint="eastAsia" w:ascii="宋体" w:hAnsi="宋体"/>
          <w:b/>
          <w:color w:val="auto"/>
          <w:sz w:val="24"/>
          <w:szCs w:val="24"/>
          <w:lang w:val="en-US" w:eastAsia="zh-CN"/>
        </w:rPr>
        <w:t>三</w:t>
      </w:r>
      <w:r>
        <w:rPr>
          <w:rFonts w:hint="eastAsia" w:ascii="宋体" w:hAnsi="宋体"/>
          <w:b/>
          <w:color w:val="auto"/>
          <w:sz w:val="24"/>
          <w:szCs w:val="24"/>
        </w:rPr>
        <w:t xml:space="preserve"> 报价明细表</w:t>
      </w:r>
      <w:bookmarkEnd w:id="139"/>
      <w:bookmarkEnd w:id="140"/>
    </w:p>
    <w:p w14:paraId="391117F2">
      <w:pPr>
        <w:jc w:val="center"/>
        <w:outlineLvl w:val="9"/>
        <w:rPr>
          <w:rFonts w:ascii="宋体" w:hAnsi="宋体" w:cs="宋体"/>
          <w:b/>
          <w:color w:val="auto"/>
          <w:sz w:val="36"/>
        </w:rPr>
      </w:pPr>
    </w:p>
    <w:p w14:paraId="7DA55F73">
      <w:pPr>
        <w:jc w:val="center"/>
        <w:outlineLvl w:val="9"/>
        <w:rPr>
          <w:rFonts w:hint="eastAsia" w:ascii="宋体" w:hAnsi="宋体" w:cs="宋体" w:eastAsiaTheme="minorEastAsia"/>
          <w:b/>
          <w:color w:val="auto"/>
          <w:sz w:val="36"/>
          <w:lang w:eastAsia="zh-CN"/>
        </w:rPr>
      </w:pP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格式自拟</w:t>
      </w:r>
      <w:r>
        <w:rPr>
          <w:rFonts w:hint="eastAsia" w:ascii="宋体" w:hAnsi="宋体" w:cs="宋体"/>
          <w:b/>
          <w:color w:val="auto"/>
          <w:sz w:val="36"/>
          <w:lang w:eastAsia="zh-CN"/>
        </w:rPr>
        <w:t>）</w:t>
      </w:r>
    </w:p>
    <w:p w14:paraId="1B3EF1C6">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14:paraId="22F6DB55">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14:paraId="1E08334C">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投标报价说明：</w:t>
      </w:r>
    </w:p>
    <w:p w14:paraId="1149EDBC">
      <w:pPr>
        <w:numPr>
          <w:ilvl w:val="0"/>
          <w:numId w:val="0"/>
        </w:numPr>
        <w:autoSpaceDE w:val="0"/>
        <w:autoSpaceDN w:val="0"/>
        <w:adjustRightInd w:val="0"/>
        <w:snapToGrid w:val="0"/>
        <w:spacing w:line="360" w:lineRule="auto"/>
        <w:outlineLvl w:val="9"/>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投标方报价应含一切税金、人工、技术、服务、材料等费用，采购方不再支付其他费用。</w:t>
      </w:r>
    </w:p>
    <w:p w14:paraId="25B62774">
      <w:pPr>
        <w:pStyle w:val="13"/>
        <w:spacing w:line="360" w:lineRule="auto"/>
        <w:ind w:left="0" w:leftChars="0" w:firstLine="0" w:firstLineChars="0"/>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w:t>
      </w:r>
    </w:p>
    <w:p w14:paraId="55277DC3">
      <w:pPr>
        <w:pStyle w:val="42"/>
        <w:rPr>
          <w:rFonts w:hint="eastAsia"/>
          <w:color w:val="auto"/>
        </w:rPr>
        <w:sectPr>
          <w:headerReference r:id="rId12" w:type="default"/>
          <w:pgSz w:w="11906" w:h="16838"/>
          <w:pgMar w:top="1440" w:right="1134" w:bottom="1440" w:left="1417" w:header="851" w:footer="737" w:gutter="0"/>
          <w:pgBorders>
            <w:top w:val="none" w:sz="0" w:space="0"/>
            <w:left w:val="none" w:sz="0" w:space="0"/>
            <w:bottom w:val="none" w:sz="0" w:space="0"/>
            <w:right w:val="none" w:sz="0" w:space="0"/>
          </w:pgBorders>
          <w:pgNumType w:fmt="decimal"/>
          <w:cols w:space="0" w:num="1"/>
          <w:titlePg/>
          <w:rtlGutter w:val="0"/>
          <w:docGrid w:linePitch="490" w:charSpace="0"/>
        </w:sectPr>
      </w:pPr>
    </w:p>
    <w:p w14:paraId="1EA59092">
      <w:pPr>
        <w:rPr>
          <w:rFonts w:hint="eastAsia" w:ascii="宋体" w:hAnsi="宋体"/>
          <w:b/>
          <w:color w:val="auto"/>
          <w:sz w:val="24"/>
          <w:szCs w:val="24"/>
        </w:rPr>
      </w:pPr>
      <w:bookmarkStart w:id="141" w:name="_Toc19645"/>
      <w:bookmarkStart w:id="142" w:name="_Toc31972"/>
    </w:p>
    <w:p w14:paraId="5908A976">
      <w:pPr>
        <w:autoSpaceDE w:val="0"/>
        <w:autoSpaceDN w:val="0"/>
        <w:adjustRightInd w:val="0"/>
        <w:jc w:val="left"/>
        <w:outlineLvl w:val="1"/>
        <w:rPr>
          <w:rFonts w:ascii="宋体" w:hAnsi="宋体" w:cs="宋体"/>
          <w:b/>
          <w:color w:val="auto"/>
          <w:sz w:val="36"/>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41"/>
      <w:bookmarkEnd w:id="142"/>
    </w:p>
    <w:p w14:paraId="2C533DA2">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14:paraId="44FD9CEC">
      <w:pPr>
        <w:pStyle w:val="13"/>
        <w:spacing w:line="360" w:lineRule="auto"/>
        <w:ind w:firstLine="422" w:firstLineChars="200"/>
        <w:outlineLvl w:val="9"/>
        <w:rPr>
          <w:rFonts w:hAnsi="宋体"/>
          <w:b/>
          <w:color w:val="auto"/>
          <w:szCs w:val="21"/>
        </w:rPr>
      </w:pPr>
      <w:r>
        <w:rPr>
          <w:rFonts w:hAnsi="宋体"/>
          <w:b/>
          <w:color w:val="auto"/>
          <w:szCs w:val="21"/>
        </w:rPr>
        <w:t>项目名称：</w:t>
      </w:r>
    </w:p>
    <w:p w14:paraId="30156371">
      <w:pPr>
        <w:pStyle w:val="13"/>
        <w:spacing w:line="360" w:lineRule="auto"/>
        <w:ind w:firstLine="422" w:firstLineChars="200"/>
        <w:outlineLvl w:val="9"/>
        <w:rPr>
          <w:rFonts w:hAnsi="宋体"/>
          <w:b/>
          <w:color w:val="auto"/>
          <w:szCs w:val="21"/>
        </w:rPr>
      </w:pPr>
      <w:r>
        <w:rPr>
          <w:rFonts w:hAnsi="宋体"/>
          <w:b/>
          <w:color w:val="auto"/>
          <w:szCs w:val="21"/>
        </w:rPr>
        <w:t>项目编号：</w:t>
      </w:r>
    </w:p>
    <w:p w14:paraId="5D58E38E">
      <w:pPr>
        <w:pStyle w:val="42"/>
        <w:outlineLvl w:val="9"/>
        <w:rPr>
          <w:rFonts w:hint="eastAsia"/>
          <w:color w:val="auto"/>
        </w:rPr>
      </w:pPr>
    </w:p>
    <w:tbl>
      <w:tblPr>
        <w:tblStyle w:val="2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14:paraId="1E32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center"/>
          </w:tcPr>
          <w:p w14:paraId="618DED74">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200" w:type="dxa"/>
            <w:noWrap w:val="0"/>
            <w:vAlign w:val="center"/>
          </w:tcPr>
          <w:p w14:paraId="02B06EE5">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98" w:type="dxa"/>
            <w:noWrap w:val="0"/>
            <w:vAlign w:val="center"/>
          </w:tcPr>
          <w:p w14:paraId="5BBF6506">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招标文件规定的商务条款</w:t>
            </w:r>
          </w:p>
        </w:tc>
        <w:tc>
          <w:tcPr>
            <w:tcW w:w="2912" w:type="dxa"/>
            <w:noWrap w:val="0"/>
            <w:vAlign w:val="center"/>
          </w:tcPr>
          <w:p w14:paraId="31CDB5AB">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投标文件对应的商务条款</w:t>
            </w:r>
          </w:p>
        </w:tc>
        <w:tc>
          <w:tcPr>
            <w:tcW w:w="888" w:type="dxa"/>
            <w:noWrap w:val="0"/>
            <w:vAlign w:val="center"/>
          </w:tcPr>
          <w:p w14:paraId="60DB14B6">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14:paraId="750C9132">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14:paraId="58FF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1008781D">
            <w:pPr>
              <w:spacing w:line="360" w:lineRule="auto"/>
              <w:outlineLvl w:val="9"/>
              <w:rPr>
                <w:rFonts w:hint="eastAsia" w:ascii="宋体" w:hAnsi="宋体" w:cs="宋体"/>
                <w:color w:val="auto"/>
                <w:sz w:val="24"/>
              </w:rPr>
            </w:pPr>
            <w:r>
              <w:rPr>
                <w:rFonts w:hint="eastAsia" w:ascii="宋体" w:hAnsi="宋体" w:cs="宋体"/>
                <w:color w:val="auto"/>
                <w:sz w:val="24"/>
              </w:rPr>
              <w:t>1</w:t>
            </w:r>
          </w:p>
        </w:tc>
        <w:tc>
          <w:tcPr>
            <w:tcW w:w="1200" w:type="dxa"/>
            <w:noWrap w:val="0"/>
            <w:vAlign w:val="top"/>
          </w:tcPr>
          <w:p w14:paraId="5ECBDC60">
            <w:pPr>
              <w:spacing w:line="360" w:lineRule="auto"/>
              <w:outlineLvl w:val="9"/>
              <w:rPr>
                <w:rFonts w:hint="eastAsia" w:ascii="宋体" w:hAnsi="宋体" w:cs="宋体"/>
                <w:color w:val="auto"/>
                <w:sz w:val="24"/>
              </w:rPr>
            </w:pPr>
          </w:p>
        </w:tc>
        <w:tc>
          <w:tcPr>
            <w:tcW w:w="2998" w:type="dxa"/>
            <w:noWrap w:val="0"/>
            <w:vAlign w:val="top"/>
          </w:tcPr>
          <w:p w14:paraId="161B751F">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14:paraId="2C8A6BE7">
            <w:pPr>
              <w:spacing w:line="360" w:lineRule="auto"/>
              <w:outlineLvl w:val="9"/>
              <w:rPr>
                <w:rFonts w:hint="eastAsia" w:ascii="宋体" w:hAnsi="宋体" w:cs="宋体"/>
                <w:color w:val="auto"/>
                <w:sz w:val="24"/>
              </w:rPr>
            </w:pPr>
          </w:p>
        </w:tc>
        <w:tc>
          <w:tcPr>
            <w:tcW w:w="888" w:type="dxa"/>
            <w:noWrap w:val="0"/>
            <w:vAlign w:val="top"/>
          </w:tcPr>
          <w:p w14:paraId="0E514DDC">
            <w:pPr>
              <w:spacing w:line="360" w:lineRule="auto"/>
              <w:outlineLvl w:val="9"/>
              <w:rPr>
                <w:rFonts w:hint="eastAsia" w:ascii="宋体" w:hAnsi="宋体" w:cs="宋体"/>
                <w:color w:val="auto"/>
                <w:sz w:val="24"/>
              </w:rPr>
            </w:pPr>
          </w:p>
        </w:tc>
        <w:tc>
          <w:tcPr>
            <w:tcW w:w="748" w:type="dxa"/>
            <w:noWrap w:val="0"/>
            <w:vAlign w:val="top"/>
          </w:tcPr>
          <w:p w14:paraId="057955B7">
            <w:pPr>
              <w:spacing w:line="360" w:lineRule="auto"/>
              <w:outlineLvl w:val="9"/>
              <w:rPr>
                <w:rFonts w:hint="eastAsia" w:ascii="宋体" w:hAnsi="宋体" w:cs="宋体"/>
                <w:color w:val="auto"/>
                <w:sz w:val="24"/>
              </w:rPr>
            </w:pPr>
          </w:p>
        </w:tc>
      </w:tr>
      <w:tr w14:paraId="504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2BEC185F">
            <w:pPr>
              <w:spacing w:line="360" w:lineRule="auto"/>
              <w:outlineLvl w:val="9"/>
              <w:rPr>
                <w:rFonts w:hint="eastAsia" w:ascii="宋体" w:hAnsi="宋体" w:cs="宋体"/>
                <w:color w:val="auto"/>
                <w:sz w:val="24"/>
              </w:rPr>
            </w:pPr>
            <w:r>
              <w:rPr>
                <w:rFonts w:hint="eastAsia" w:ascii="宋体" w:hAnsi="宋体" w:cs="宋体"/>
                <w:color w:val="auto"/>
                <w:sz w:val="24"/>
              </w:rPr>
              <w:t>2</w:t>
            </w:r>
          </w:p>
        </w:tc>
        <w:tc>
          <w:tcPr>
            <w:tcW w:w="1200" w:type="dxa"/>
            <w:noWrap w:val="0"/>
            <w:vAlign w:val="top"/>
          </w:tcPr>
          <w:p w14:paraId="7254D7CA">
            <w:pPr>
              <w:spacing w:line="360" w:lineRule="auto"/>
              <w:outlineLvl w:val="9"/>
              <w:rPr>
                <w:rFonts w:hint="eastAsia" w:ascii="宋体" w:hAnsi="宋体" w:cs="宋体"/>
                <w:color w:val="auto"/>
                <w:sz w:val="24"/>
              </w:rPr>
            </w:pPr>
          </w:p>
        </w:tc>
        <w:tc>
          <w:tcPr>
            <w:tcW w:w="2998" w:type="dxa"/>
            <w:noWrap w:val="0"/>
            <w:vAlign w:val="top"/>
          </w:tcPr>
          <w:p w14:paraId="2ADAEA16">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14:paraId="501F11B5">
            <w:pPr>
              <w:spacing w:line="360" w:lineRule="auto"/>
              <w:outlineLvl w:val="9"/>
              <w:rPr>
                <w:rFonts w:hint="eastAsia" w:ascii="宋体" w:hAnsi="宋体" w:cs="宋体"/>
                <w:color w:val="auto"/>
                <w:sz w:val="24"/>
              </w:rPr>
            </w:pPr>
          </w:p>
        </w:tc>
        <w:tc>
          <w:tcPr>
            <w:tcW w:w="888" w:type="dxa"/>
            <w:noWrap w:val="0"/>
            <w:vAlign w:val="top"/>
          </w:tcPr>
          <w:p w14:paraId="04DABDA0">
            <w:pPr>
              <w:spacing w:line="360" w:lineRule="auto"/>
              <w:outlineLvl w:val="9"/>
              <w:rPr>
                <w:rFonts w:hint="eastAsia" w:ascii="宋体" w:hAnsi="宋体" w:cs="宋体"/>
                <w:color w:val="auto"/>
                <w:sz w:val="24"/>
              </w:rPr>
            </w:pPr>
          </w:p>
        </w:tc>
        <w:tc>
          <w:tcPr>
            <w:tcW w:w="748" w:type="dxa"/>
            <w:noWrap w:val="0"/>
            <w:vAlign w:val="top"/>
          </w:tcPr>
          <w:p w14:paraId="057E2A45">
            <w:pPr>
              <w:spacing w:line="360" w:lineRule="auto"/>
              <w:outlineLvl w:val="9"/>
              <w:rPr>
                <w:rFonts w:hint="eastAsia" w:ascii="宋体" w:hAnsi="宋体" w:cs="宋体"/>
                <w:color w:val="auto"/>
                <w:sz w:val="24"/>
              </w:rPr>
            </w:pPr>
          </w:p>
        </w:tc>
      </w:tr>
      <w:tr w14:paraId="64E1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2C135B1E">
            <w:pPr>
              <w:spacing w:line="360" w:lineRule="auto"/>
              <w:outlineLvl w:val="9"/>
              <w:rPr>
                <w:rFonts w:hint="eastAsia" w:ascii="宋体" w:hAnsi="宋体" w:cs="宋体"/>
                <w:color w:val="auto"/>
                <w:sz w:val="24"/>
              </w:rPr>
            </w:pPr>
            <w:r>
              <w:rPr>
                <w:rFonts w:hint="eastAsia" w:ascii="宋体" w:hAnsi="宋体" w:cs="宋体"/>
                <w:color w:val="auto"/>
                <w:sz w:val="24"/>
              </w:rPr>
              <w:t>3</w:t>
            </w:r>
          </w:p>
        </w:tc>
        <w:tc>
          <w:tcPr>
            <w:tcW w:w="1200" w:type="dxa"/>
            <w:noWrap w:val="0"/>
            <w:vAlign w:val="top"/>
          </w:tcPr>
          <w:p w14:paraId="23BDA84A">
            <w:pPr>
              <w:spacing w:line="360" w:lineRule="auto"/>
              <w:outlineLvl w:val="9"/>
              <w:rPr>
                <w:rFonts w:hint="eastAsia" w:ascii="宋体" w:hAnsi="宋体" w:cs="宋体"/>
                <w:color w:val="auto"/>
                <w:sz w:val="24"/>
              </w:rPr>
            </w:pPr>
          </w:p>
        </w:tc>
        <w:tc>
          <w:tcPr>
            <w:tcW w:w="2998" w:type="dxa"/>
            <w:noWrap w:val="0"/>
            <w:vAlign w:val="top"/>
          </w:tcPr>
          <w:p w14:paraId="021B64CE">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招标文件的其他商务条款</w:t>
            </w:r>
          </w:p>
        </w:tc>
        <w:tc>
          <w:tcPr>
            <w:tcW w:w="2912" w:type="dxa"/>
            <w:noWrap w:val="0"/>
            <w:vAlign w:val="top"/>
          </w:tcPr>
          <w:p w14:paraId="1DFEA64D">
            <w:pPr>
              <w:spacing w:line="360" w:lineRule="auto"/>
              <w:outlineLvl w:val="9"/>
              <w:rPr>
                <w:rFonts w:hint="eastAsia" w:ascii="宋体" w:hAnsi="宋体" w:cs="宋体"/>
                <w:color w:val="auto"/>
                <w:sz w:val="24"/>
              </w:rPr>
            </w:pPr>
          </w:p>
        </w:tc>
        <w:tc>
          <w:tcPr>
            <w:tcW w:w="888" w:type="dxa"/>
            <w:noWrap w:val="0"/>
            <w:vAlign w:val="top"/>
          </w:tcPr>
          <w:p w14:paraId="596F0417">
            <w:pPr>
              <w:spacing w:line="360" w:lineRule="auto"/>
              <w:outlineLvl w:val="9"/>
              <w:rPr>
                <w:rFonts w:hint="eastAsia" w:ascii="宋体" w:hAnsi="宋体" w:cs="宋体"/>
                <w:color w:val="auto"/>
                <w:sz w:val="24"/>
              </w:rPr>
            </w:pPr>
          </w:p>
        </w:tc>
        <w:tc>
          <w:tcPr>
            <w:tcW w:w="748" w:type="dxa"/>
            <w:noWrap w:val="0"/>
            <w:vAlign w:val="top"/>
          </w:tcPr>
          <w:p w14:paraId="58DC8BE2">
            <w:pPr>
              <w:spacing w:line="360" w:lineRule="auto"/>
              <w:outlineLvl w:val="9"/>
              <w:rPr>
                <w:rFonts w:hint="eastAsia" w:ascii="宋体" w:hAnsi="宋体" w:cs="宋体"/>
                <w:color w:val="auto"/>
                <w:sz w:val="24"/>
              </w:rPr>
            </w:pPr>
          </w:p>
        </w:tc>
      </w:tr>
    </w:tbl>
    <w:p w14:paraId="49B2C240">
      <w:pPr>
        <w:spacing w:line="360" w:lineRule="auto"/>
        <w:outlineLvl w:val="9"/>
        <w:rPr>
          <w:rFonts w:hint="eastAsia" w:ascii="宋体" w:hAnsi="宋体" w:cs="宋体"/>
          <w:color w:val="auto"/>
          <w:sz w:val="24"/>
        </w:rPr>
      </w:pPr>
      <w:r>
        <w:rPr>
          <w:rFonts w:hint="eastAsia" w:ascii="宋体" w:hAnsi="宋体" w:cs="宋体"/>
          <w:color w:val="auto"/>
          <w:sz w:val="24"/>
        </w:rPr>
        <w:t>说明：</w:t>
      </w:r>
    </w:p>
    <w:p w14:paraId="3C12D40B">
      <w:pPr>
        <w:pStyle w:val="9"/>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14:paraId="3299BC36">
      <w:pPr>
        <w:pStyle w:val="9"/>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2.商务条款主要填列</w:t>
      </w:r>
      <w:r>
        <w:rPr>
          <w:rFonts w:hint="eastAsia" w:ascii="宋体" w:hAnsi="宋体" w:eastAsia="宋体" w:cs="宋体"/>
          <w:b/>
          <w:bCs/>
          <w:color w:val="auto"/>
          <w:sz w:val="24"/>
        </w:rPr>
        <w:t>付款方式、合同履行期限、服务地点、</w:t>
      </w:r>
      <w:r>
        <w:rPr>
          <w:rFonts w:hint="eastAsia" w:ascii="宋体" w:hAnsi="宋体" w:eastAsia="宋体" w:cs="宋体"/>
          <w:b/>
          <w:bCs/>
          <w:color w:val="auto"/>
          <w:sz w:val="24"/>
          <w:lang w:val="en-US" w:eastAsia="zh-CN"/>
        </w:rPr>
        <w:t>服务质量标准</w:t>
      </w:r>
      <w:r>
        <w:rPr>
          <w:rFonts w:hint="eastAsia" w:ascii="宋体" w:hAnsi="宋体" w:eastAsia="宋体" w:cs="宋体"/>
          <w:color w:val="auto"/>
          <w:sz w:val="24"/>
        </w:rPr>
        <w:t>等重要条款方面的偏离情况，但不限于以上条款。其他商务条款如未填列，视为投标人实质性响应招标文件条款。</w:t>
      </w:r>
    </w:p>
    <w:p w14:paraId="197BAEA4">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3.表内如果填列不全，可另外附页说明并按规定签字和加盖公章。             </w:t>
      </w:r>
    </w:p>
    <w:p w14:paraId="06DEC0C3">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4.采购人要求投标人认真填写本表。</w:t>
      </w:r>
    </w:p>
    <w:p w14:paraId="7D9DEF9B">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5.此表可根据需要自行拉长加宽。</w:t>
      </w:r>
    </w:p>
    <w:p w14:paraId="0C183190">
      <w:pPr>
        <w:spacing w:line="360" w:lineRule="auto"/>
        <w:ind w:firstLine="480" w:firstLineChars="200"/>
        <w:outlineLvl w:val="9"/>
        <w:rPr>
          <w:rFonts w:hint="eastAsia" w:ascii="宋体" w:hAnsi="宋体" w:cs="宋体"/>
          <w:color w:val="auto"/>
          <w:sz w:val="24"/>
        </w:rPr>
      </w:pPr>
    </w:p>
    <w:p w14:paraId="099A0B4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4A579961">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14:paraId="7985E4F6">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14:paraId="5648EE4C">
      <w:pPr>
        <w:pStyle w:val="14"/>
        <w:spacing w:line="360" w:lineRule="auto"/>
        <w:outlineLvl w:val="9"/>
        <w:rPr>
          <w:rFonts w:hint="eastAsia"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2AA64A03">
      <w:pPr>
        <w:adjustRightInd w:val="0"/>
        <w:snapToGrid w:val="0"/>
        <w:spacing w:line="360" w:lineRule="auto"/>
        <w:jc w:val="center"/>
        <w:outlineLvl w:val="9"/>
        <w:rPr>
          <w:rFonts w:hint="eastAsia" w:ascii="宋体" w:hAnsi="宋体" w:cs="宋体"/>
          <w:b/>
          <w:color w:val="auto"/>
          <w:sz w:val="36"/>
        </w:rPr>
      </w:pPr>
    </w:p>
    <w:p w14:paraId="097477E1">
      <w:pPr>
        <w:adjustRightInd w:val="0"/>
        <w:snapToGrid w:val="0"/>
        <w:outlineLvl w:val="9"/>
        <w:rPr>
          <w:rFonts w:hint="eastAsia" w:ascii="宋体" w:hAnsi="宋体" w:cs="宋体"/>
          <w:color w:val="auto"/>
        </w:rPr>
      </w:pPr>
    </w:p>
    <w:p w14:paraId="5B32BAC6">
      <w:pPr>
        <w:spacing w:line="360" w:lineRule="auto"/>
        <w:jc w:val="center"/>
        <w:outlineLvl w:val="9"/>
        <w:rPr>
          <w:rFonts w:hint="eastAsia"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4E606327">
      <w:pPr>
        <w:spacing w:line="360" w:lineRule="auto"/>
        <w:jc w:val="left"/>
        <w:outlineLvl w:val="1"/>
        <w:rPr>
          <w:rFonts w:hint="eastAsia" w:ascii="宋体" w:hAnsi="宋体"/>
          <w:b/>
          <w:color w:val="auto"/>
          <w:sz w:val="24"/>
          <w:szCs w:val="24"/>
        </w:rPr>
        <w:sectPr>
          <w:headerReference r:id="rId14" w:type="first"/>
          <w:footerReference r:id="rId16" w:type="first"/>
          <w:headerReference r:id="rId13" w:type="default"/>
          <w:footerReference r:id="rId15"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43" w:name="_Toc22747"/>
      <w:bookmarkStart w:id="144" w:name="_Toc28520"/>
    </w:p>
    <w:p w14:paraId="2358776B">
      <w:pPr>
        <w:spacing w:line="360" w:lineRule="auto"/>
        <w:jc w:val="left"/>
        <w:outlineLvl w:val="1"/>
        <w:rPr>
          <w:rFonts w:hint="eastAsia" w:ascii="宋体" w:hAnsi="宋体"/>
          <w:b/>
          <w:color w:val="auto"/>
          <w:sz w:val="24"/>
          <w:szCs w:val="24"/>
        </w:rPr>
      </w:pPr>
      <w:r>
        <w:rPr>
          <w:rFonts w:hint="eastAsia" w:ascii="宋体" w:hAnsi="宋体"/>
          <w:b/>
          <w:color w:val="auto"/>
          <w:sz w:val="24"/>
          <w:szCs w:val="24"/>
        </w:rPr>
        <w:t>格式十</w:t>
      </w:r>
      <w:r>
        <w:rPr>
          <w:rFonts w:hint="eastAsia" w:ascii="宋体" w:hAnsi="宋体"/>
          <w:b/>
          <w:color w:val="auto"/>
          <w:sz w:val="24"/>
          <w:szCs w:val="24"/>
          <w:lang w:val="en-US" w:eastAsia="zh-CN"/>
        </w:rPr>
        <w:t xml:space="preserve">五 </w:t>
      </w:r>
      <w:bookmarkEnd w:id="143"/>
      <w:bookmarkEnd w:id="144"/>
      <w:r>
        <w:rPr>
          <w:rFonts w:hint="eastAsia" w:ascii="宋体" w:hAnsi="宋体"/>
          <w:b/>
          <w:color w:val="auto"/>
          <w:sz w:val="24"/>
          <w:szCs w:val="24"/>
        </w:rPr>
        <w:t>技术偏离表</w:t>
      </w:r>
    </w:p>
    <w:p w14:paraId="1C39A44A">
      <w:pPr>
        <w:spacing w:line="360" w:lineRule="auto"/>
        <w:jc w:val="center"/>
        <w:outlineLvl w:val="9"/>
        <w:rPr>
          <w:rFonts w:hint="eastAsia" w:ascii="宋体" w:hAnsi="宋体" w:eastAsia="宋体" w:cs="宋体"/>
          <w:b/>
          <w:color w:val="auto"/>
          <w:sz w:val="24"/>
          <w:szCs w:val="28"/>
        </w:rPr>
      </w:pPr>
      <w:r>
        <w:rPr>
          <w:rFonts w:hint="eastAsia" w:ascii="宋体" w:hAnsi="宋体" w:eastAsia="宋体" w:cs="宋体"/>
          <w:b/>
          <w:color w:val="auto"/>
          <w:sz w:val="24"/>
          <w:szCs w:val="28"/>
        </w:rPr>
        <w:t>技术</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lang w:val="en-US" w:eastAsia="zh-CN"/>
        </w:rPr>
        <w:t>服务</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rPr>
        <w:t>偏离表（格式）</w:t>
      </w:r>
    </w:p>
    <w:p w14:paraId="0D097A9D">
      <w:pPr>
        <w:outlineLvl w:val="9"/>
        <w:rPr>
          <w:rFonts w:hint="eastAsia" w:ascii="宋体" w:hAnsi="宋体"/>
          <w:color w:val="auto"/>
        </w:rPr>
      </w:pPr>
    </w:p>
    <w:p w14:paraId="62DE14FE">
      <w:pPr>
        <w:pStyle w:val="13"/>
        <w:spacing w:line="360" w:lineRule="auto"/>
        <w:ind w:firstLine="422" w:firstLineChars="200"/>
        <w:outlineLvl w:val="9"/>
        <w:rPr>
          <w:rFonts w:hAnsi="宋体"/>
          <w:b/>
          <w:color w:val="auto"/>
          <w:szCs w:val="21"/>
        </w:rPr>
      </w:pPr>
      <w:r>
        <w:rPr>
          <w:rFonts w:hAnsi="宋体"/>
          <w:b/>
          <w:color w:val="auto"/>
          <w:szCs w:val="21"/>
        </w:rPr>
        <w:t>项目名称：</w:t>
      </w:r>
    </w:p>
    <w:p w14:paraId="63A5E7C7">
      <w:pPr>
        <w:pStyle w:val="13"/>
        <w:spacing w:line="360" w:lineRule="auto"/>
        <w:ind w:firstLine="422" w:firstLineChars="200"/>
        <w:outlineLvl w:val="9"/>
        <w:rPr>
          <w:rFonts w:hAnsi="宋体"/>
          <w:b/>
          <w:color w:val="auto"/>
          <w:szCs w:val="21"/>
        </w:rPr>
      </w:pPr>
      <w:r>
        <w:rPr>
          <w:rFonts w:hAnsi="宋体"/>
          <w:b/>
          <w:color w:val="auto"/>
          <w:szCs w:val="21"/>
        </w:rPr>
        <w:t>项目编号：</w:t>
      </w:r>
    </w:p>
    <w:tbl>
      <w:tblPr>
        <w:tblStyle w:val="24"/>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14:paraId="399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center"/>
          </w:tcPr>
          <w:p w14:paraId="6AE09447">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450" w:type="dxa"/>
            <w:noWrap w:val="0"/>
            <w:vAlign w:val="center"/>
          </w:tcPr>
          <w:p w14:paraId="2E129488">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89" w:type="dxa"/>
            <w:noWrap w:val="0"/>
            <w:vAlign w:val="center"/>
          </w:tcPr>
          <w:p w14:paraId="35EB012B">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w:t>
            </w:r>
            <w:r>
              <w:rPr>
                <w:rFonts w:hint="eastAsia" w:ascii="宋体" w:hAnsi="宋体" w:cs="宋体"/>
                <w:color w:val="auto"/>
                <w:sz w:val="24"/>
                <w:lang w:val="en-US" w:eastAsia="zh-CN"/>
              </w:rPr>
              <w:t>服务</w:t>
            </w:r>
            <w:r>
              <w:rPr>
                <w:rFonts w:hint="eastAsia" w:ascii="宋体" w:hAnsi="宋体" w:cs="宋体"/>
                <w:color w:val="auto"/>
                <w:sz w:val="24"/>
              </w:rPr>
              <w:t>需求、技术规格</w:t>
            </w:r>
          </w:p>
        </w:tc>
        <w:tc>
          <w:tcPr>
            <w:tcW w:w="2841" w:type="dxa"/>
            <w:noWrap w:val="0"/>
            <w:vAlign w:val="center"/>
          </w:tcPr>
          <w:p w14:paraId="6A91171E">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w:t>
            </w:r>
            <w:r>
              <w:rPr>
                <w:rFonts w:hint="eastAsia" w:ascii="宋体" w:hAnsi="宋体" w:cs="宋体"/>
                <w:color w:val="auto"/>
                <w:sz w:val="24"/>
                <w:lang w:val="en-US" w:eastAsia="zh-CN"/>
              </w:rPr>
              <w:t>服务</w:t>
            </w:r>
            <w:r>
              <w:rPr>
                <w:rFonts w:hint="eastAsia" w:ascii="宋体" w:hAnsi="宋体" w:cs="宋体"/>
                <w:color w:val="auto"/>
                <w:sz w:val="24"/>
              </w:rPr>
              <w:t>情况、技术规格</w:t>
            </w:r>
          </w:p>
        </w:tc>
        <w:tc>
          <w:tcPr>
            <w:tcW w:w="888" w:type="dxa"/>
            <w:noWrap w:val="0"/>
            <w:vAlign w:val="center"/>
          </w:tcPr>
          <w:p w14:paraId="4E6F8C6B">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14:paraId="41F40CD6">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14:paraId="15E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5D3ECBD0">
            <w:pPr>
              <w:spacing w:line="360" w:lineRule="auto"/>
              <w:outlineLvl w:val="9"/>
              <w:rPr>
                <w:rFonts w:hint="eastAsia" w:ascii="宋体" w:hAnsi="宋体" w:cs="宋体"/>
                <w:color w:val="auto"/>
                <w:sz w:val="24"/>
              </w:rPr>
            </w:pPr>
          </w:p>
        </w:tc>
        <w:tc>
          <w:tcPr>
            <w:tcW w:w="1450" w:type="dxa"/>
            <w:noWrap w:val="0"/>
            <w:vAlign w:val="top"/>
          </w:tcPr>
          <w:p w14:paraId="0C2321AF">
            <w:pPr>
              <w:spacing w:line="360" w:lineRule="auto"/>
              <w:outlineLvl w:val="9"/>
              <w:rPr>
                <w:rFonts w:hint="eastAsia" w:ascii="宋体" w:hAnsi="宋体" w:cs="宋体"/>
                <w:color w:val="auto"/>
                <w:sz w:val="24"/>
              </w:rPr>
            </w:pPr>
          </w:p>
        </w:tc>
        <w:tc>
          <w:tcPr>
            <w:tcW w:w="2989" w:type="dxa"/>
            <w:noWrap w:val="0"/>
            <w:vAlign w:val="top"/>
          </w:tcPr>
          <w:p w14:paraId="7C18D5A0">
            <w:pPr>
              <w:spacing w:line="360" w:lineRule="auto"/>
              <w:outlineLvl w:val="9"/>
              <w:rPr>
                <w:rFonts w:hint="eastAsia" w:ascii="宋体" w:hAnsi="宋体" w:cs="宋体"/>
                <w:color w:val="auto"/>
                <w:sz w:val="24"/>
              </w:rPr>
            </w:pPr>
          </w:p>
        </w:tc>
        <w:tc>
          <w:tcPr>
            <w:tcW w:w="2841" w:type="dxa"/>
            <w:noWrap w:val="0"/>
            <w:vAlign w:val="top"/>
          </w:tcPr>
          <w:p w14:paraId="07550B45">
            <w:pPr>
              <w:spacing w:line="360" w:lineRule="auto"/>
              <w:outlineLvl w:val="9"/>
              <w:rPr>
                <w:rFonts w:hint="eastAsia" w:ascii="宋体" w:hAnsi="宋体" w:cs="宋体"/>
                <w:color w:val="auto"/>
                <w:sz w:val="24"/>
              </w:rPr>
            </w:pPr>
          </w:p>
        </w:tc>
        <w:tc>
          <w:tcPr>
            <w:tcW w:w="888" w:type="dxa"/>
            <w:noWrap w:val="0"/>
            <w:vAlign w:val="top"/>
          </w:tcPr>
          <w:p w14:paraId="4CCC5933">
            <w:pPr>
              <w:spacing w:line="360" w:lineRule="auto"/>
              <w:outlineLvl w:val="9"/>
              <w:rPr>
                <w:rFonts w:hint="eastAsia" w:ascii="宋体" w:hAnsi="宋体" w:cs="宋体"/>
                <w:color w:val="auto"/>
                <w:sz w:val="24"/>
              </w:rPr>
            </w:pPr>
          </w:p>
        </w:tc>
        <w:tc>
          <w:tcPr>
            <w:tcW w:w="748" w:type="dxa"/>
            <w:noWrap w:val="0"/>
            <w:vAlign w:val="top"/>
          </w:tcPr>
          <w:p w14:paraId="4938F54D">
            <w:pPr>
              <w:spacing w:line="360" w:lineRule="auto"/>
              <w:outlineLvl w:val="9"/>
              <w:rPr>
                <w:rFonts w:hint="eastAsia" w:ascii="宋体" w:hAnsi="宋体" w:cs="宋体"/>
                <w:color w:val="auto"/>
                <w:sz w:val="24"/>
              </w:rPr>
            </w:pPr>
          </w:p>
        </w:tc>
      </w:tr>
      <w:tr w14:paraId="4D4E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2F617D83">
            <w:pPr>
              <w:spacing w:line="360" w:lineRule="auto"/>
              <w:outlineLvl w:val="9"/>
              <w:rPr>
                <w:rFonts w:hint="eastAsia" w:ascii="宋体" w:hAnsi="宋体" w:cs="宋体"/>
                <w:color w:val="auto"/>
                <w:sz w:val="24"/>
              </w:rPr>
            </w:pPr>
          </w:p>
        </w:tc>
        <w:tc>
          <w:tcPr>
            <w:tcW w:w="1450" w:type="dxa"/>
            <w:noWrap w:val="0"/>
            <w:vAlign w:val="top"/>
          </w:tcPr>
          <w:p w14:paraId="01FE01E1">
            <w:pPr>
              <w:spacing w:line="360" w:lineRule="auto"/>
              <w:outlineLvl w:val="9"/>
              <w:rPr>
                <w:rFonts w:hint="eastAsia" w:ascii="宋体" w:hAnsi="宋体" w:cs="宋体"/>
                <w:color w:val="auto"/>
                <w:sz w:val="24"/>
              </w:rPr>
            </w:pPr>
          </w:p>
        </w:tc>
        <w:tc>
          <w:tcPr>
            <w:tcW w:w="2989" w:type="dxa"/>
            <w:noWrap w:val="0"/>
            <w:vAlign w:val="top"/>
          </w:tcPr>
          <w:p w14:paraId="29B84D26">
            <w:pPr>
              <w:spacing w:line="360" w:lineRule="auto"/>
              <w:outlineLvl w:val="9"/>
              <w:rPr>
                <w:rFonts w:hint="eastAsia" w:ascii="宋体" w:hAnsi="宋体" w:cs="宋体"/>
                <w:color w:val="auto"/>
                <w:sz w:val="24"/>
              </w:rPr>
            </w:pPr>
          </w:p>
        </w:tc>
        <w:tc>
          <w:tcPr>
            <w:tcW w:w="2841" w:type="dxa"/>
            <w:noWrap w:val="0"/>
            <w:vAlign w:val="top"/>
          </w:tcPr>
          <w:p w14:paraId="7E9D7FC6">
            <w:pPr>
              <w:spacing w:line="360" w:lineRule="auto"/>
              <w:outlineLvl w:val="9"/>
              <w:rPr>
                <w:rFonts w:hint="eastAsia" w:ascii="宋体" w:hAnsi="宋体" w:cs="宋体"/>
                <w:color w:val="auto"/>
                <w:sz w:val="24"/>
              </w:rPr>
            </w:pPr>
          </w:p>
        </w:tc>
        <w:tc>
          <w:tcPr>
            <w:tcW w:w="888" w:type="dxa"/>
            <w:noWrap w:val="0"/>
            <w:vAlign w:val="top"/>
          </w:tcPr>
          <w:p w14:paraId="46EEC647">
            <w:pPr>
              <w:spacing w:line="360" w:lineRule="auto"/>
              <w:outlineLvl w:val="9"/>
              <w:rPr>
                <w:rFonts w:hint="eastAsia" w:ascii="宋体" w:hAnsi="宋体" w:cs="宋体"/>
                <w:color w:val="auto"/>
                <w:sz w:val="24"/>
              </w:rPr>
            </w:pPr>
          </w:p>
        </w:tc>
        <w:tc>
          <w:tcPr>
            <w:tcW w:w="748" w:type="dxa"/>
            <w:noWrap w:val="0"/>
            <w:vAlign w:val="top"/>
          </w:tcPr>
          <w:p w14:paraId="33298F70">
            <w:pPr>
              <w:spacing w:line="360" w:lineRule="auto"/>
              <w:outlineLvl w:val="9"/>
              <w:rPr>
                <w:rFonts w:hint="eastAsia" w:ascii="宋体" w:hAnsi="宋体" w:cs="宋体"/>
                <w:color w:val="auto"/>
                <w:sz w:val="24"/>
              </w:rPr>
            </w:pPr>
          </w:p>
        </w:tc>
      </w:tr>
      <w:tr w14:paraId="1385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3C5E1901">
            <w:pPr>
              <w:spacing w:line="360" w:lineRule="auto"/>
              <w:outlineLvl w:val="9"/>
              <w:rPr>
                <w:rFonts w:hint="eastAsia" w:ascii="宋体" w:hAnsi="宋体" w:cs="宋体"/>
                <w:color w:val="auto"/>
                <w:sz w:val="24"/>
              </w:rPr>
            </w:pPr>
          </w:p>
        </w:tc>
        <w:tc>
          <w:tcPr>
            <w:tcW w:w="1450" w:type="dxa"/>
            <w:noWrap w:val="0"/>
            <w:vAlign w:val="top"/>
          </w:tcPr>
          <w:p w14:paraId="32F11FE8">
            <w:pPr>
              <w:spacing w:line="360" w:lineRule="auto"/>
              <w:outlineLvl w:val="9"/>
              <w:rPr>
                <w:rFonts w:hint="eastAsia" w:ascii="宋体" w:hAnsi="宋体" w:cs="宋体"/>
                <w:color w:val="auto"/>
                <w:sz w:val="24"/>
              </w:rPr>
            </w:pPr>
          </w:p>
        </w:tc>
        <w:tc>
          <w:tcPr>
            <w:tcW w:w="2989" w:type="dxa"/>
            <w:noWrap w:val="0"/>
            <w:vAlign w:val="top"/>
          </w:tcPr>
          <w:p w14:paraId="6540996A">
            <w:pPr>
              <w:spacing w:line="360" w:lineRule="auto"/>
              <w:outlineLvl w:val="9"/>
              <w:rPr>
                <w:rFonts w:hint="eastAsia" w:ascii="宋体" w:hAnsi="宋体" w:cs="宋体"/>
                <w:color w:val="auto"/>
                <w:sz w:val="24"/>
              </w:rPr>
            </w:pPr>
          </w:p>
        </w:tc>
        <w:tc>
          <w:tcPr>
            <w:tcW w:w="2841" w:type="dxa"/>
            <w:noWrap w:val="0"/>
            <w:vAlign w:val="top"/>
          </w:tcPr>
          <w:p w14:paraId="2F0FF272">
            <w:pPr>
              <w:spacing w:line="360" w:lineRule="auto"/>
              <w:outlineLvl w:val="9"/>
              <w:rPr>
                <w:rFonts w:hint="eastAsia" w:ascii="宋体" w:hAnsi="宋体" w:cs="宋体"/>
                <w:color w:val="auto"/>
                <w:sz w:val="24"/>
              </w:rPr>
            </w:pPr>
          </w:p>
        </w:tc>
        <w:tc>
          <w:tcPr>
            <w:tcW w:w="888" w:type="dxa"/>
            <w:noWrap w:val="0"/>
            <w:vAlign w:val="top"/>
          </w:tcPr>
          <w:p w14:paraId="5D704703">
            <w:pPr>
              <w:spacing w:line="360" w:lineRule="auto"/>
              <w:outlineLvl w:val="9"/>
              <w:rPr>
                <w:rFonts w:hint="eastAsia" w:ascii="宋体" w:hAnsi="宋体" w:cs="宋体"/>
                <w:color w:val="auto"/>
                <w:sz w:val="24"/>
              </w:rPr>
            </w:pPr>
          </w:p>
        </w:tc>
        <w:tc>
          <w:tcPr>
            <w:tcW w:w="748" w:type="dxa"/>
            <w:noWrap w:val="0"/>
            <w:vAlign w:val="top"/>
          </w:tcPr>
          <w:p w14:paraId="1F442A9F">
            <w:pPr>
              <w:spacing w:line="360" w:lineRule="auto"/>
              <w:outlineLvl w:val="9"/>
              <w:rPr>
                <w:rFonts w:hint="eastAsia" w:ascii="宋体" w:hAnsi="宋体" w:cs="宋体"/>
                <w:color w:val="auto"/>
                <w:sz w:val="24"/>
              </w:rPr>
            </w:pPr>
          </w:p>
        </w:tc>
      </w:tr>
    </w:tbl>
    <w:p w14:paraId="3F3842BB">
      <w:pPr>
        <w:adjustRightInd w:val="0"/>
        <w:snapToGrid w:val="0"/>
        <w:outlineLvl w:val="9"/>
        <w:rPr>
          <w:rFonts w:hint="eastAsia" w:ascii="宋体" w:hAnsi="宋体" w:cs="宋体"/>
          <w:color w:val="auto"/>
        </w:rPr>
      </w:pPr>
    </w:p>
    <w:p w14:paraId="0153D20E">
      <w:pPr>
        <w:adjustRightInd w:val="0"/>
        <w:snapToGrid w:val="0"/>
        <w:outlineLvl w:val="9"/>
        <w:rPr>
          <w:rFonts w:hint="eastAsia" w:ascii="宋体" w:hAnsi="宋体" w:cs="宋体"/>
          <w:color w:val="auto"/>
        </w:rPr>
      </w:pPr>
    </w:p>
    <w:p w14:paraId="46C6673B">
      <w:pPr>
        <w:pStyle w:val="9"/>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1.技术条款均应根据投标文件对招标文件第</w:t>
      </w:r>
      <w:r>
        <w:rPr>
          <w:rFonts w:hint="eastAsia" w:ascii="宋体" w:hAnsi="宋体" w:eastAsia="宋体" w:cs="宋体"/>
          <w:color w:val="auto"/>
          <w:sz w:val="24"/>
          <w:lang w:eastAsia="zh-CN"/>
        </w:rPr>
        <w:t>五</w:t>
      </w:r>
      <w:r>
        <w:rPr>
          <w:rFonts w:hint="eastAsia" w:ascii="宋体" w:hAnsi="宋体" w:eastAsia="宋体" w:cs="宋体"/>
          <w:color w:val="auto"/>
          <w:sz w:val="24"/>
        </w:rPr>
        <w:t>章技术标准和要求的偏离情况</w:t>
      </w:r>
      <w:r>
        <w:rPr>
          <w:rFonts w:hint="eastAsia" w:hAnsi="宋体" w:eastAsia="宋体" w:cs="宋体"/>
          <w:color w:val="auto"/>
          <w:sz w:val="24"/>
          <w:lang w:val="en-US" w:eastAsia="zh-CN"/>
        </w:rPr>
        <w:t>逐条</w:t>
      </w:r>
      <w:r>
        <w:rPr>
          <w:rFonts w:hint="eastAsia" w:ascii="宋体" w:hAnsi="宋体" w:eastAsia="宋体" w:cs="宋体"/>
          <w:color w:val="auto"/>
          <w:sz w:val="24"/>
        </w:rPr>
        <w:t>相对应地填列。</w:t>
      </w:r>
    </w:p>
    <w:p w14:paraId="03B8162E">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2.表内如果填列不全，可另外附页说明并按规定签字和加盖公章。             </w:t>
      </w:r>
    </w:p>
    <w:p w14:paraId="14602024">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3.采购人要求投标人认真填写本表。</w:t>
      </w:r>
    </w:p>
    <w:p w14:paraId="230C756C">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4.此表可根据需要自行拉长加宽。</w:t>
      </w:r>
    </w:p>
    <w:p w14:paraId="4E092FAF">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5.备注栏须填写正偏离或负偏离</w:t>
      </w:r>
      <w:r>
        <w:rPr>
          <w:rFonts w:hint="eastAsia" w:ascii="宋体" w:hAnsi="宋体" w:cs="宋体"/>
          <w:color w:val="auto"/>
          <w:sz w:val="24"/>
          <w:lang w:val="en-US" w:eastAsia="zh-CN"/>
        </w:rPr>
        <w:t>或无偏离</w:t>
      </w:r>
      <w:r>
        <w:rPr>
          <w:rFonts w:hint="eastAsia" w:ascii="宋体" w:hAnsi="宋体" w:cs="宋体"/>
          <w:color w:val="auto"/>
          <w:sz w:val="24"/>
        </w:rPr>
        <w:t>。</w:t>
      </w:r>
    </w:p>
    <w:p w14:paraId="153AC21F">
      <w:pPr>
        <w:spacing w:line="360" w:lineRule="auto"/>
        <w:ind w:firstLine="480" w:firstLineChars="200"/>
        <w:outlineLvl w:val="9"/>
        <w:rPr>
          <w:rFonts w:hint="eastAsia" w:ascii="宋体" w:hAnsi="宋体" w:cs="宋体"/>
          <w:color w:val="auto"/>
          <w:sz w:val="24"/>
        </w:rPr>
      </w:pPr>
    </w:p>
    <w:p w14:paraId="0BC0693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6959885C">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14:paraId="4415D91F">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14:paraId="51EE8798">
      <w:pPr>
        <w:spacing w:line="360" w:lineRule="auto"/>
        <w:jc w:val="center"/>
        <w:outlineLvl w:val="9"/>
        <w:rPr>
          <w:rFonts w:hint="eastAsia"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0554C53E">
      <w:pPr>
        <w:spacing w:line="360" w:lineRule="auto"/>
        <w:jc w:val="left"/>
        <w:outlineLvl w:val="1"/>
        <w:rPr>
          <w:rFonts w:hint="eastAsia" w:ascii="宋体" w:hAnsi="宋体"/>
          <w:b/>
          <w:color w:val="auto"/>
          <w:sz w:val="24"/>
          <w:szCs w:val="24"/>
        </w:rPr>
      </w:pPr>
      <w:bookmarkStart w:id="145" w:name="_Toc23524"/>
      <w:bookmarkStart w:id="146" w:name="_Toc29968"/>
      <w:r>
        <w:rPr>
          <w:rFonts w:hint="eastAsia" w:ascii="宋体" w:hAnsi="宋体"/>
          <w:b/>
          <w:color w:val="auto"/>
          <w:sz w:val="24"/>
          <w:szCs w:val="24"/>
        </w:rPr>
        <w:t>格式</w:t>
      </w:r>
      <w:r>
        <w:rPr>
          <w:rFonts w:hint="eastAsia" w:ascii="宋体" w:hAnsi="宋体"/>
          <w:b/>
          <w:color w:val="auto"/>
          <w:sz w:val="24"/>
          <w:szCs w:val="24"/>
          <w:lang w:val="en-US" w:eastAsia="zh-CN"/>
        </w:rPr>
        <w:t>十六 服务方案</w:t>
      </w:r>
    </w:p>
    <w:p w14:paraId="1037D664">
      <w:pPr>
        <w:outlineLvl w:val="1"/>
        <w:rPr>
          <w:rFonts w:hint="eastAsia" w:ascii="宋体" w:hAnsi="宋体"/>
          <w:b/>
          <w:bCs/>
          <w:color w:val="auto"/>
          <w:sz w:val="24"/>
          <w:szCs w:val="24"/>
        </w:rPr>
      </w:pPr>
    </w:p>
    <w:p w14:paraId="50CB822E">
      <w:pPr>
        <w:pStyle w:val="4"/>
        <w:rPr>
          <w:rFonts w:hint="eastAsia" w:ascii="宋体" w:hAnsi="宋体"/>
          <w:b/>
          <w:bCs/>
          <w:color w:val="auto"/>
          <w:sz w:val="24"/>
          <w:szCs w:val="24"/>
        </w:rPr>
      </w:pPr>
    </w:p>
    <w:p w14:paraId="1FC106D4">
      <w:pPr>
        <w:rPr>
          <w:rFonts w:hint="eastAsia" w:ascii="宋体" w:hAnsi="宋体"/>
          <w:b/>
          <w:bCs/>
          <w:color w:val="auto"/>
          <w:sz w:val="24"/>
          <w:szCs w:val="24"/>
        </w:rPr>
      </w:pPr>
    </w:p>
    <w:p w14:paraId="2B01A2A7">
      <w:pPr>
        <w:pStyle w:val="4"/>
        <w:jc w:val="center"/>
        <w:rPr>
          <w:rFonts w:hint="eastAsia"/>
          <w:color w:val="auto"/>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b/>
          <w:bCs/>
          <w:color w:val="auto"/>
          <w:sz w:val="30"/>
          <w:szCs w:val="30"/>
          <w:highlight w:val="none"/>
          <w:lang w:val="en-US" w:eastAsia="zh-CN"/>
        </w:rPr>
        <w:t>格式自拟</w:t>
      </w:r>
    </w:p>
    <w:p w14:paraId="624A13BD">
      <w:pPr>
        <w:outlineLvl w:val="1"/>
        <w:rPr>
          <w:rFonts w:hint="eastAsia" w:ascii="宋体" w:hAnsi="宋体"/>
          <w:b/>
          <w:bCs/>
          <w:color w:val="auto"/>
          <w:sz w:val="24"/>
          <w:szCs w:val="24"/>
        </w:rPr>
      </w:pPr>
      <w:r>
        <w:rPr>
          <w:rFonts w:hint="eastAsia" w:ascii="宋体" w:hAnsi="宋体"/>
          <w:b/>
          <w:bCs/>
          <w:color w:val="auto"/>
          <w:sz w:val="24"/>
          <w:szCs w:val="24"/>
        </w:rPr>
        <w:t>格式</w:t>
      </w:r>
      <w:r>
        <w:rPr>
          <w:rFonts w:hint="eastAsia" w:ascii="宋体" w:hAnsi="宋体"/>
          <w:b/>
          <w:bCs/>
          <w:color w:val="auto"/>
          <w:sz w:val="24"/>
          <w:szCs w:val="24"/>
          <w:lang w:val="en-US" w:eastAsia="zh-CN"/>
        </w:rPr>
        <w:t>十七</w:t>
      </w:r>
      <w:r>
        <w:rPr>
          <w:rFonts w:hint="eastAsia" w:ascii="宋体" w:hAnsi="宋体"/>
          <w:b/>
          <w:bCs/>
          <w:color w:val="auto"/>
          <w:sz w:val="24"/>
          <w:szCs w:val="24"/>
        </w:rPr>
        <w:t xml:space="preserve">  提供招标文件内要求的承诺书及投标人认为有必要提交的其他材料</w:t>
      </w:r>
      <w:bookmarkEnd w:id="145"/>
      <w:bookmarkEnd w:id="146"/>
    </w:p>
    <w:p w14:paraId="68A68B3B">
      <w:pPr>
        <w:pStyle w:val="19"/>
        <w:rPr>
          <w:rFonts w:hint="eastAsia" w:ascii="宋体" w:hAnsi="宋体"/>
          <w:b w:val="0"/>
          <w:bCs w:val="0"/>
          <w:color w:val="auto"/>
          <w:sz w:val="24"/>
          <w:szCs w:val="24"/>
        </w:rPr>
      </w:pPr>
    </w:p>
    <w:p w14:paraId="71B80A01">
      <w:pPr>
        <w:pStyle w:val="19"/>
        <w:rPr>
          <w:rFonts w:hint="eastAsia" w:ascii="宋体" w:hAnsi="宋体"/>
          <w:b w:val="0"/>
          <w:bCs w:val="0"/>
          <w:color w:val="auto"/>
          <w:sz w:val="24"/>
          <w:szCs w:val="24"/>
          <w:lang w:eastAsia="zh-CN"/>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lang w:eastAsia="zh-CN"/>
        </w:rPr>
        <w:t>（格式自拟，</w:t>
      </w:r>
      <w:r>
        <w:rPr>
          <w:rFonts w:hint="eastAsia" w:ascii="宋体" w:hAnsi="宋体"/>
          <w:b w:val="0"/>
          <w:bCs w:val="0"/>
          <w:color w:val="auto"/>
          <w:sz w:val="24"/>
          <w:szCs w:val="24"/>
          <w:lang w:val="en-US" w:eastAsia="zh-CN"/>
        </w:rPr>
        <w:t>包括但不限于评标办法中要求的相关材料</w:t>
      </w:r>
      <w:r>
        <w:rPr>
          <w:rFonts w:hint="eastAsia" w:ascii="宋体" w:hAnsi="宋体"/>
          <w:b w:val="0"/>
          <w:bCs w:val="0"/>
          <w:color w:val="auto"/>
          <w:sz w:val="24"/>
          <w:szCs w:val="24"/>
          <w:lang w:eastAsia="zh-CN"/>
        </w:rPr>
        <w:t>）</w:t>
      </w:r>
    </w:p>
    <w:p w14:paraId="5093D51E">
      <w:pPr>
        <w:adjustRightInd w:val="0"/>
        <w:snapToGrid w:val="0"/>
        <w:spacing w:before="50" w:line="360" w:lineRule="auto"/>
        <w:jc w:val="left"/>
        <w:outlineLvl w:val="1"/>
        <w:rPr>
          <w:rFonts w:ascii="宋体" w:hAnsi="宋体" w:cs="宋体"/>
          <w:b/>
          <w:color w:val="auto"/>
          <w:sz w:val="24"/>
          <w:szCs w:val="24"/>
          <w:lang w:val="zh-CN"/>
        </w:rPr>
      </w:pPr>
      <w:r>
        <w:rPr>
          <w:rFonts w:hint="eastAsia" w:ascii="宋体" w:hAnsi="宋体" w:cs="宋体"/>
          <w:b/>
          <w:color w:val="auto"/>
          <w:sz w:val="24"/>
          <w:szCs w:val="24"/>
          <w:lang w:val="en-US" w:eastAsia="zh-CN"/>
        </w:rPr>
        <w:t xml:space="preserve"> </w:t>
      </w:r>
      <w:bookmarkStart w:id="147" w:name="_Toc12272"/>
      <w:bookmarkStart w:id="148" w:name="_Toc13298"/>
      <w:r>
        <w:rPr>
          <w:rFonts w:ascii="宋体" w:hAnsi="宋体" w:cs="宋体"/>
          <w:b/>
          <w:color w:val="auto"/>
          <w:sz w:val="24"/>
          <w:szCs w:val="24"/>
          <w:lang w:val="zh-CN"/>
        </w:rPr>
        <w:t>格式十</w:t>
      </w:r>
      <w:r>
        <w:rPr>
          <w:rFonts w:hint="eastAsia" w:ascii="宋体" w:hAnsi="宋体" w:cs="宋体"/>
          <w:b/>
          <w:color w:val="auto"/>
          <w:sz w:val="24"/>
          <w:szCs w:val="24"/>
          <w:lang w:val="en-US" w:eastAsia="zh-CN"/>
        </w:rPr>
        <w:t>八</w:t>
      </w:r>
      <w:r>
        <w:rPr>
          <w:rFonts w:ascii="宋体" w:hAnsi="宋体" w:cs="宋体"/>
          <w:b/>
          <w:color w:val="auto"/>
          <w:sz w:val="24"/>
          <w:szCs w:val="24"/>
          <w:lang w:val="zh-CN"/>
        </w:rPr>
        <w:t xml:space="preserve"> </w:t>
      </w:r>
      <w:r>
        <w:rPr>
          <w:rFonts w:hint="eastAsia" w:ascii="宋体" w:hAnsi="宋体" w:cs="宋体"/>
          <w:b/>
          <w:color w:val="auto"/>
          <w:sz w:val="24"/>
          <w:szCs w:val="24"/>
          <w:lang w:val="en-US" w:eastAsia="zh-CN"/>
        </w:rPr>
        <w:t xml:space="preserve"> </w:t>
      </w:r>
      <w:r>
        <w:rPr>
          <w:rFonts w:ascii="宋体" w:hAnsi="宋体" w:cs="宋体"/>
          <w:b/>
          <w:color w:val="auto"/>
          <w:sz w:val="24"/>
          <w:szCs w:val="24"/>
          <w:lang w:val="zh-CN"/>
        </w:rPr>
        <w:t>中小企业声明函</w:t>
      </w:r>
      <w:bookmarkEnd w:id="147"/>
      <w:bookmarkEnd w:id="148"/>
    </w:p>
    <w:p w14:paraId="01BC5231">
      <w:pPr>
        <w:pStyle w:val="4"/>
        <w:spacing w:before="0" w:line="240" w:lineRule="atLeast"/>
        <w:ind w:left="0" w:leftChars="0" w:firstLine="0" w:firstLineChars="0"/>
        <w:jc w:val="center"/>
        <w:rPr>
          <w:rFonts w:hint="eastAsia" w:ascii="宋体" w:eastAsia="宋体"/>
          <w:sz w:val="24"/>
          <w:lang w:eastAsia="zh-CN"/>
        </w:rPr>
      </w:pPr>
      <w:bookmarkStart w:id="149" w:name="_Toc4562"/>
      <w:bookmarkStart w:id="150" w:name="_Toc10611"/>
      <w:r>
        <w:rPr>
          <w:rFonts w:hint="eastAsia"/>
          <w:lang w:eastAsia="zh-CN"/>
        </w:rPr>
        <w:t>中小企业声明函（</w:t>
      </w:r>
      <w:r>
        <w:rPr>
          <w:rFonts w:hint="eastAsia"/>
          <w:lang w:val="en-US" w:eastAsia="zh-CN"/>
        </w:rPr>
        <w:t>货物</w:t>
      </w:r>
      <w:r>
        <w:rPr>
          <w:rFonts w:hint="eastAsia"/>
          <w:lang w:eastAsia="zh-CN"/>
        </w:rPr>
        <w:t>）</w:t>
      </w:r>
    </w:p>
    <w:p w14:paraId="1AA17631">
      <w:pPr>
        <w:autoSpaceDE w:val="0"/>
        <w:autoSpaceDN w:val="0"/>
        <w:adjustRightInd w:val="0"/>
        <w:rPr>
          <w:rFonts w:hint="eastAsia" w:ascii="黑体" w:eastAsia="黑体"/>
          <w:b/>
          <w:bCs/>
          <w:sz w:val="24"/>
          <w:szCs w:val="24"/>
          <w:lang w:val="zh-CN"/>
        </w:rPr>
      </w:pPr>
    </w:p>
    <w:p w14:paraId="028C1925">
      <w:pPr>
        <w:autoSpaceDE w:val="0"/>
        <w:autoSpaceDN w:val="0"/>
        <w:adjustRightInd w:val="0"/>
        <w:rPr>
          <w:rFonts w:hint="eastAsia" w:ascii="黑体" w:eastAsia="黑体"/>
          <w:b/>
          <w:bCs/>
          <w:sz w:val="24"/>
          <w:szCs w:val="24"/>
          <w:lang w:val="zh-CN"/>
        </w:rPr>
      </w:pPr>
    </w:p>
    <w:p w14:paraId="41A81E93">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本公司（联合体）郑重声明，根据《政府采购促进中小企业发展管理办法》（财库﹝2020﹞46号）的规定，本公司</w:t>
      </w:r>
      <w:r>
        <w:rPr>
          <w:rFonts w:hint="eastAsia" w:ascii="宋体" w:hAnsi="宋体"/>
          <w:b w:val="0"/>
          <w:bCs/>
          <w:color w:val="auto"/>
          <w:sz w:val="24"/>
          <w:szCs w:val="24"/>
          <w:u w:val="single"/>
        </w:rPr>
        <w:t>（联合体）</w:t>
      </w:r>
      <w:r>
        <w:rPr>
          <w:rFonts w:hint="eastAsia" w:ascii="宋体" w:hAnsi="宋体"/>
          <w:b w:val="0"/>
          <w:bCs/>
          <w:color w:val="auto"/>
          <w:sz w:val="24"/>
          <w:szCs w:val="24"/>
        </w:rPr>
        <w:t>参加</w:t>
      </w:r>
      <w:r>
        <w:rPr>
          <w:rFonts w:hint="eastAsia" w:ascii="宋体" w:hAnsi="宋体"/>
          <w:b w:val="0"/>
          <w:bCs/>
          <w:color w:val="auto"/>
          <w:sz w:val="24"/>
          <w:szCs w:val="24"/>
          <w:u w:val="single"/>
        </w:rPr>
        <w:t>（单位名称）</w:t>
      </w:r>
      <w:r>
        <w:rPr>
          <w:rFonts w:hint="eastAsia" w:ascii="宋体" w:hAnsi="宋体"/>
          <w:b w:val="0"/>
          <w:bCs/>
          <w:color w:val="auto"/>
          <w:sz w:val="24"/>
          <w:szCs w:val="24"/>
        </w:rPr>
        <w:t>的</w:t>
      </w:r>
      <w:r>
        <w:rPr>
          <w:rFonts w:hint="eastAsia" w:ascii="宋体" w:hAnsi="宋体"/>
          <w:b w:val="0"/>
          <w:bCs/>
          <w:color w:val="auto"/>
          <w:sz w:val="24"/>
          <w:szCs w:val="24"/>
          <w:u w:val="single"/>
        </w:rPr>
        <w:t>（项目名称）</w:t>
      </w:r>
      <w:r>
        <w:rPr>
          <w:rFonts w:hint="eastAsia" w:ascii="宋体" w:hAnsi="宋体"/>
          <w:b w:val="0"/>
          <w:bCs/>
          <w:color w:val="auto"/>
          <w:sz w:val="24"/>
          <w:szCs w:val="24"/>
        </w:rPr>
        <w:t xml:space="preserve">采购活动，提供的货物全部由符合政策要求的中小企业制造。相关企业（含联合体中的中小企业、签订分包意向协议的中小企业）的具体情况如下： </w:t>
      </w:r>
    </w:p>
    <w:p w14:paraId="7F0DD366">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1、</w:t>
      </w:r>
      <w:r>
        <w:rPr>
          <w:rFonts w:hint="eastAsia" w:ascii="宋体" w:hAnsi="宋体"/>
          <w:b w:val="0"/>
          <w:bCs/>
          <w:color w:val="auto"/>
          <w:sz w:val="24"/>
          <w:szCs w:val="24"/>
          <w:u w:val="single"/>
        </w:rPr>
        <w:t>（标的名称）</w:t>
      </w:r>
      <w:r>
        <w:rPr>
          <w:rFonts w:hint="eastAsia" w:ascii="宋体" w:hAnsi="宋体"/>
          <w:b w:val="0"/>
          <w:bCs/>
          <w:color w:val="auto"/>
          <w:sz w:val="24"/>
          <w:szCs w:val="24"/>
        </w:rPr>
        <w:t>，属于</w:t>
      </w:r>
      <w:r>
        <w:rPr>
          <w:rFonts w:hint="eastAsia" w:ascii="宋体" w:hAnsi="宋体"/>
          <w:b w:val="0"/>
          <w:bCs/>
          <w:color w:val="auto"/>
          <w:sz w:val="24"/>
          <w:szCs w:val="24"/>
          <w:u w:val="single"/>
        </w:rPr>
        <w:t>（采购文件中明确的所属行业）</w:t>
      </w:r>
      <w:r>
        <w:rPr>
          <w:rFonts w:hint="eastAsia" w:ascii="宋体" w:hAnsi="宋体"/>
          <w:b w:val="0"/>
          <w:bCs/>
          <w:color w:val="auto"/>
          <w:sz w:val="24"/>
          <w:szCs w:val="24"/>
        </w:rPr>
        <w:t>行业；制造商为</w:t>
      </w:r>
      <w:r>
        <w:rPr>
          <w:rFonts w:hint="eastAsia" w:ascii="宋体" w:hAnsi="宋体"/>
          <w:b w:val="0"/>
          <w:bCs/>
          <w:color w:val="auto"/>
          <w:sz w:val="24"/>
          <w:szCs w:val="24"/>
          <w:u w:val="single"/>
        </w:rPr>
        <w:t>（企业名称）</w:t>
      </w:r>
      <w:r>
        <w:rPr>
          <w:rFonts w:hint="eastAsia" w:ascii="宋体" w:hAnsi="宋体"/>
          <w:b w:val="0"/>
          <w:bCs/>
          <w:color w:val="auto"/>
          <w:sz w:val="24"/>
          <w:szCs w:val="24"/>
        </w:rPr>
        <w:t>，从业人员</w:t>
      </w:r>
      <w:r>
        <w:rPr>
          <w:rFonts w:hint="eastAsia" w:ascii="宋体" w:hAnsi="宋体"/>
          <w:b w:val="0"/>
          <w:bCs/>
          <w:color w:val="auto"/>
          <w:sz w:val="24"/>
          <w:szCs w:val="24"/>
          <w:u w:val="single"/>
        </w:rPr>
        <w:t xml:space="preserve">     </w:t>
      </w:r>
      <w:r>
        <w:rPr>
          <w:rFonts w:hint="eastAsia" w:ascii="宋体" w:hAnsi="宋体"/>
          <w:b w:val="0"/>
          <w:bCs/>
          <w:color w:val="auto"/>
          <w:sz w:val="24"/>
          <w:szCs w:val="24"/>
        </w:rPr>
        <w:t>人，营业收入为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万元，资产总额为</w:t>
      </w:r>
      <w:r>
        <w:rPr>
          <w:rFonts w:hint="eastAsia" w:ascii="宋体" w:hAnsi="宋体"/>
          <w:b w:val="0"/>
          <w:bCs/>
          <w:color w:val="auto"/>
          <w:sz w:val="24"/>
          <w:szCs w:val="24"/>
          <w:u w:val="single"/>
        </w:rPr>
        <w:t xml:space="preserve">     </w:t>
      </w:r>
      <w:r>
        <w:rPr>
          <w:w w:val="96"/>
          <w:u w:val="none"/>
        </w:rPr>
        <w:t>万元</w:t>
      </w:r>
      <w:r>
        <w:rPr>
          <w:position w:val="12"/>
          <w:sz w:val="12"/>
          <w:u w:val="none"/>
        </w:rPr>
        <w:t>1</w:t>
      </w:r>
      <w:r>
        <w:rPr>
          <w:rFonts w:hint="eastAsia" w:ascii="宋体" w:hAnsi="宋体"/>
          <w:b w:val="0"/>
          <w:bCs/>
          <w:color w:val="auto"/>
          <w:sz w:val="24"/>
          <w:szCs w:val="24"/>
        </w:rPr>
        <w:t>，</w:t>
      </w:r>
      <w:r>
        <w:rPr>
          <w:rFonts w:hint="eastAsia" w:ascii="宋体" w:hAnsi="宋体"/>
          <w:b w:val="0"/>
          <w:bCs/>
          <w:color w:val="auto"/>
          <w:sz w:val="24"/>
          <w:szCs w:val="24"/>
          <w:u w:val="single"/>
        </w:rPr>
        <w:t>属于（中型企业、小型企业、微型企业）</w:t>
      </w:r>
      <w:r>
        <w:rPr>
          <w:rFonts w:hint="eastAsia" w:ascii="宋体" w:hAnsi="宋体"/>
          <w:b w:val="0"/>
          <w:bCs/>
          <w:color w:val="auto"/>
          <w:sz w:val="24"/>
          <w:szCs w:val="24"/>
        </w:rPr>
        <w:t xml:space="preserve">； </w:t>
      </w:r>
    </w:p>
    <w:p w14:paraId="20230BDC">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2、</w:t>
      </w:r>
      <w:r>
        <w:rPr>
          <w:rFonts w:hint="eastAsia" w:ascii="宋体" w:hAnsi="宋体"/>
          <w:b w:val="0"/>
          <w:bCs/>
          <w:color w:val="auto"/>
          <w:sz w:val="24"/>
          <w:szCs w:val="24"/>
          <w:u w:val="single"/>
        </w:rPr>
        <w:t>（标的名称）</w:t>
      </w:r>
      <w:r>
        <w:rPr>
          <w:rFonts w:hint="eastAsia" w:ascii="宋体" w:hAnsi="宋体"/>
          <w:b w:val="0"/>
          <w:bCs/>
          <w:color w:val="auto"/>
          <w:sz w:val="24"/>
          <w:szCs w:val="24"/>
        </w:rPr>
        <w:t>，属于</w:t>
      </w:r>
      <w:r>
        <w:rPr>
          <w:rFonts w:hint="eastAsia" w:ascii="宋体" w:hAnsi="宋体"/>
          <w:b w:val="0"/>
          <w:bCs/>
          <w:color w:val="auto"/>
          <w:sz w:val="24"/>
          <w:szCs w:val="24"/>
          <w:u w:val="single"/>
        </w:rPr>
        <w:t>（采购文件中明确的所属行业）</w:t>
      </w:r>
      <w:r>
        <w:rPr>
          <w:rFonts w:hint="eastAsia" w:ascii="宋体" w:hAnsi="宋体"/>
          <w:b w:val="0"/>
          <w:bCs/>
          <w:color w:val="auto"/>
          <w:sz w:val="24"/>
          <w:szCs w:val="24"/>
        </w:rPr>
        <w:t>行业；制造商为</w:t>
      </w:r>
      <w:r>
        <w:rPr>
          <w:rFonts w:hint="eastAsia" w:ascii="宋体" w:hAnsi="宋体"/>
          <w:b w:val="0"/>
          <w:bCs/>
          <w:color w:val="auto"/>
          <w:sz w:val="24"/>
          <w:szCs w:val="24"/>
          <w:u w:val="single"/>
        </w:rPr>
        <w:t>（企业名称）</w:t>
      </w:r>
      <w:r>
        <w:rPr>
          <w:rFonts w:hint="eastAsia" w:ascii="宋体" w:hAnsi="宋体"/>
          <w:b w:val="0"/>
          <w:bCs/>
          <w:color w:val="auto"/>
          <w:sz w:val="24"/>
          <w:szCs w:val="24"/>
        </w:rPr>
        <w:t>，从业人员</w:t>
      </w:r>
      <w:r>
        <w:rPr>
          <w:rFonts w:hint="eastAsia" w:ascii="宋体" w:hAnsi="宋体"/>
          <w:b w:val="0"/>
          <w:bCs/>
          <w:color w:val="auto"/>
          <w:sz w:val="24"/>
          <w:szCs w:val="24"/>
          <w:u w:val="single"/>
        </w:rPr>
        <w:t xml:space="preserve">     </w:t>
      </w:r>
      <w:r>
        <w:rPr>
          <w:rFonts w:hint="eastAsia" w:ascii="宋体" w:hAnsi="宋体"/>
          <w:b w:val="0"/>
          <w:bCs/>
          <w:color w:val="auto"/>
          <w:sz w:val="24"/>
          <w:szCs w:val="24"/>
        </w:rPr>
        <w:t>人，营业收入为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万元，资产总额为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万元，属于</w:t>
      </w:r>
      <w:r>
        <w:rPr>
          <w:rFonts w:hint="eastAsia" w:ascii="宋体" w:hAnsi="宋体"/>
          <w:b w:val="0"/>
          <w:bCs/>
          <w:color w:val="auto"/>
          <w:sz w:val="24"/>
          <w:szCs w:val="24"/>
          <w:u w:val="single"/>
        </w:rPr>
        <w:t>（中型企业、小型企业、微型企业）</w:t>
      </w:r>
      <w:r>
        <w:rPr>
          <w:rFonts w:hint="eastAsia" w:ascii="宋体" w:hAnsi="宋体"/>
          <w:b w:val="0"/>
          <w:bCs/>
          <w:color w:val="auto"/>
          <w:sz w:val="24"/>
          <w:szCs w:val="24"/>
        </w:rPr>
        <w:t xml:space="preserve">； </w:t>
      </w:r>
    </w:p>
    <w:p w14:paraId="28905019">
      <w:pPr>
        <w:tabs>
          <w:tab w:val="left" w:pos="0"/>
          <w:tab w:val="left" w:pos="2309"/>
          <w:tab w:val="center" w:pos="4267"/>
        </w:tabs>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w:t>
      </w:r>
    </w:p>
    <w:p w14:paraId="12AE7323">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 xml:space="preserve">以上企业，不属于大企业的分支机构，不存在控股股东为大企业的情形，也不存在与大企业的负责人为同一人的情形。 </w:t>
      </w:r>
    </w:p>
    <w:p w14:paraId="19075B54">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 xml:space="preserve">本企业对上述声明内容的真实性负责。如有虚假，将依法承担相应责任。 </w:t>
      </w:r>
    </w:p>
    <w:p w14:paraId="5F5A8FD7">
      <w:pPr>
        <w:tabs>
          <w:tab w:val="left" w:pos="0"/>
          <w:tab w:val="left" w:pos="2309"/>
          <w:tab w:val="center" w:pos="4267"/>
        </w:tabs>
        <w:spacing w:line="360" w:lineRule="auto"/>
        <w:rPr>
          <w:rFonts w:hint="eastAsia" w:ascii="宋体" w:hAnsi="宋体"/>
          <w:b w:val="0"/>
          <w:bCs/>
          <w:color w:val="auto"/>
          <w:sz w:val="24"/>
          <w:szCs w:val="24"/>
        </w:rPr>
      </w:pPr>
      <w:r>
        <w:rPr>
          <w:rFonts w:hint="eastAsia" w:ascii="宋体" w:hAnsi="宋体"/>
          <w:b w:val="0"/>
          <w:bCs/>
          <w:color w:val="auto"/>
          <w:sz w:val="24"/>
          <w:szCs w:val="24"/>
        </w:rPr>
        <w:t xml:space="preserve"> </w:t>
      </w:r>
    </w:p>
    <w:p w14:paraId="17EA7AF3">
      <w:pPr>
        <w:tabs>
          <w:tab w:val="left" w:pos="0"/>
          <w:tab w:val="left" w:pos="2309"/>
          <w:tab w:val="center" w:pos="4267"/>
        </w:tabs>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企业名称（盖章）：</w:t>
      </w:r>
    </w:p>
    <w:p w14:paraId="4FF462CC">
      <w:pPr>
        <w:tabs>
          <w:tab w:val="left" w:pos="0"/>
          <w:tab w:val="left" w:pos="2309"/>
          <w:tab w:val="center" w:pos="4267"/>
        </w:tabs>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 xml:space="preserve">日期： </w:t>
      </w:r>
    </w:p>
    <w:p w14:paraId="2D55B737">
      <w:pPr>
        <w:tabs>
          <w:tab w:val="left" w:pos="0"/>
          <w:tab w:val="left" w:pos="2309"/>
          <w:tab w:val="center" w:pos="4267"/>
        </w:tabs>
        <w:spacing w:line="360" w:lineRule="auto"/>
        <w:rPr>
          <w:rFonts w:hint="eastAsia" w:ascii="宋体" w:hAnsi="宋体"/>
          <w:b/>
          <w:color w:val="auto"/>
          <w:sz w:val="24"/>
          <w:szCs w:val="24"/>
        </w:rPr>
      </w:pPr>
      <w:r>
        <w:rPr>
          <w:rFonts w:hint="eastAsia" w:ascii="宋体" w:hAnsi="宋体"/>
          <w:b/>
          <w:color w:val="auto"/>
          <w:sz w:val="24"/>
          <w:szCs w:val="24"/>
        </w:rPr>
        <w:t xml:space="preserve">  </w:t>
      </w:r>
    </w:p>
    <w:p w14:paraId="3A6B3EAF">
      <w:pPr>
        <w:tabs>
          <w:tab w:val="left" w:pos="0"/>
          <w:tab w:val="left" w:pos="2309"/>
          <w:tab w:val="center" w:pos="4267"/>
        </w:tabs>
        <w:spacing w:line="360" w:lineRule="auto"/>
        <w:rPr>
          <w:rFonts w:hint="eastAsia" w:ascii="宋体" w:hAnsi="宋体"/>
          <w:b/>
          <w:color w:val="auto"/>
          <w:sz w:val="24"/>
          <w:szCs w:val="24"/>
        </w:rPr>
      </w:pPr>
    </w:p>
    <w:p w14:paraId="2B62E950"/>
    <w:p w14:paraId="59EC96B8">
      <w:pPr>
        <w:adjustRightInd w:val="0"/>
        <w:snapToGrid w:val="0"/>
        <w:spacing w:line="520" w:lineRule="atLeast"/>
        <w:outlineLvl w:val="9"/>
        <w:rPr>
          <w:color w:val="auto"/>
          <w:sz w:val="24"/>
          <w:highlight w:val="none"/>
        </w:rPr>
      </w:pPr>
    </w:p>
    <w:p w14:paraId="0C023B29">
      <w:pPr>
        <w:pStyle w:val="11"/>
        <w:adjustRightInd w:val="0"/>
        <w:snapToGrid w:val="0"/>
        <w:rPr>
          <w:rFonts w:ascii="宋体" w:hAnsi="宋体" w:eastAsia="宋体"/>
          <w:snapToGrid w:val="0"/>
          <w:color w:val="auto"/>
          <w:kern w:val="0"/>
          <w:sz w:val="24"/>
          <w:szCs w:val="24"/>
        </w:rPr>
      </w:pPr>
      <w:r>
        <w:rPr>
          <w:rFonts w:eastAsia="宋体"/>
          <w:color w:val="auto"/>
          <w:sz w:val="24"/>
          <w:szCs w:val="24"/>
          <w:highlight w:val="none"/>
        </w:rPr>
        <w:t>注：从业人员、营业收入、资产总额填报上一年度数据，无上一年度数据的新成立企业可不填报</w:t>
      </w:r>
      <w:r>
        <w:rPr>
          <w:rFonts w:ascii="宋体" w:hAnsi="宋体" w:eastAsia="宋体" w:cs="宋体"/>
          <w:color w:val="auto"/>
          <w:sz w:val="24"/>
          <w:szCs w:val="24"/>
        </w:rPr>
        <w:t>。</w:t>
      </w:r>
    </w:p>
    <w:p w14:paraId="32678B73">
      <w:pPr>
        <w:spacing w:line="440" w:lineRule="exact"/>
        <w:jc w:val="center"/>
        <w:rPr>
          <w:rFonts w:ascii="宋体" w:hAnsi="宋体" w:cs="宋体"/>
          <w:b/>
          <w:bCs/>
          <w:color w:val="auto"/>
          <w:sz w:val="24"/>
          <w:lang w:val="zh-CN"/>
        </w:rPr>
      </w:pPr>
    </w:p>
    <w:p w14:paraId="0811DC7F">
      <w:pPr>
        <w:rPr>
          <w:b/>
          <w:bCs/>
          <w:color w:val="auto"/>
        </w:rPr>
      </w:pPr>
      <w:r>
        <w:rPr>
          <w:rFonts w:hint="eastAsia" w:ascii="宋体" w:hAnsi="宋体" w:cs="宋体"/>
          <w:b/>
          <w:bCs/>
          <w:color w:val="auto"/>
          <w:sz w:val="24"/>
        </w:rPr>
        <w:t>注：如</w:t>
      </w:r>
      <w:r>
        <w:rPr>
          <w:rFonts w:hint="eastAsia" w:ascii="宋体" w:hAnsi="宋体" w:cs="宋体"/>
          <w:b/>
          <w:bCs/>
          <w:color w:val="auto"/>
          <w:sz w:val="24"/>
          <w:lang w:val="en-US" w:eastAsia="zh-CN"/>
        </w:rPr>
        <w:t>供货</w:t>
      </w:r>
      <w:r>
        <w:rPr>
          <w:rFonts w:hint="eastAsia" w:ascii="宋体" w:hAnsi="宋体" w:cs="宋体"/>
          <w:b/>
          <w:bCs/>
          <w:color w:val="auto"/>
          <w:sz w:val="24"/>
        </w:rPr>
        <w:t>商虚假承诺本声明函，中标的</w:t>
      </w:r>
      <w:r>
        <w:rPr>
          <w:rFonts w:hint="eastAsia" w:ascii="宋体" w:hAnsi="宋体" w:cs="宋体"/>
          <w:b/>
          <w:bCs/>
          <w:color w:val="auto"/>
          <w:sz w:val="24"/>
          <w:lang w:val="en-US" w:eastAsia="zh-CN"/>
        </w:rPr>
        <w:t>供货</w:t>
      </w:r>
      <w:r>
        <w:rPr>
          <w:rFonts w:hint="eastAsia" w:ascii="宋体" w:hAnsi="宋体" w:cs="宋体"/>
          <w:b/>
          <w:bCs/>
          <w:color w:val="auto"/>
          <w:sz w:val="24"/>
        </w:rPr>
        <w:t>商采购人有权拒绝与其签署合同，并追究其法律责任，未中标服务商视为其虚假响应，并将此虚假响应情况报送主管部门处理。</w:t>
      </w:r>
    </w:p>
    <w:p w14:paraId="152E2E3D">
      <w:pPr>
        <w:pStyle w:val="23"/>
        <w:ind w:firstLine="0" w:firstLineChars="0"/>
        <w:rPr>
          <w:rFonts w:ascii="宋体" w:hAnsi="宋体" w:eastAsia="宋体" w:cs="宋体"/>
          <w:b/>
          <w:bCs/>
          <w:color w:val="auto"/>
          <w:kern w:val="0"/>
          <w:sz w:val="24"/>
          <w:szCs w:val="24"/>
        </w:rPr>
      </w:pPr>
    </w:p>
    <w:p w14:paraId="46900981">
      <w:pPr>
        <w:bidi w:val="0"/>
        <w:rPr>
          <w:rFonts w:hint="eastAsia"/>
          <w:color w:val="auto"/>
        </w:rPr>
      </w:pPr>
    </w:p>
    <w:p w14:paraId="2EC5E984">
      <w:pPr>
        <w:autoSpaceDE w:val="0"/>
        <w:autoSpaceDN w:val="0"/>
        <w:adjustRightInd w:val="0"/>
        <w:jc w:val="left"/>
        <w:outlineLvl w:val="1"/>
        <w:rPr>
          <w:rFonts w:hint="eastAsia" w:ascii="宋体" w:hAnsi="宋体"/>
          <w:b/>
          <w:color w:val="auto"/>
          <w:sz w:val="24"/>
          <w:szCs w:val="24"/>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33DD909E">
      <w:pPr>
        <w:autoSpaceDE w:val="0"/>
        <w:autoSpaceDN w:val="0"/>
        <w:adjustRightInd w:val="0"/>
        <w:jc w:val="left"/>
        <w:outlineLvl w:val="1"/>
        <w:rPr>
          <w:rFonts w:hint="eastAsia" w:ascii="宋体" w:hAnsi="宋体" w:eastAsia="宋体"/>
          <w:b/>
          <w:color w:val="auto"/>
          <w:sz w:val="24"/>
          <w:szCs w:val="24"/>
          <w:lang w:eastAsia="zh-CN"/>
        </w:rPr>
      </w:pPr>
      <w:r>
        <w:rPr>
          <w:rFonts w:hint="eastAsia" w:ascii="宋体" w:hAnsi="宋体"/>
          <w:b/>
          <w:color w:val="auto"/>
          <w:sz w:val="24"/>
          <w:szCs w:val="24"/>
        </w:rPr>
        <w:t xml:space="preserve"> </w:t>
      </w:r>
      <w:bookmarkEnd w:id="149"/>
      <w:bookmarkEnd w:id="150"/>
      <w:r>
        <w:rPr>
          <w:rFonts w:hint="eastAsia" w:ascii="宋体" w:hAnsi="宋体"/>
          <w:b/>
          <w:color w:val="auto"/>
          <w:sz w:val="24"/>
          <w:szCs w:val="24"/>
        </w:rPr>
        <w:t>监狱企业</w:t>
      </w:r>
      <w:r>
        <w:rPr>
          <w:rFonts w:hint="eastAsia" w:ascii="宋体" w:hAnsi="宋体"/>
          <w:b/>
          <w:color w:val="auto"/>
          <w:sz w:val="24"/>
          <w:szCs w:val="24"/>
          <w:lang w:eastAsia="zh-CN"/>
        </w:rPr>
        <w:t>、</w:t>
      </w:r>
      <w:r>
        <w:rPr>
          <w:rFonts w:hint="eastAsia" w:ascii="宋体" w:hAnsi="宋体"/>
          <w:b/>
          <w:color w:val="auto"/>
          <w:sz w:val="24"/>
          <w:szCs w:val="24"/>
        </w:rPr>
        <w:t>残疾人福利性单位</w:t>
      </w:r>
    </w:p>
    <w:p w14:paraId="620C0BA1">
      <w:pPr>
        <w:autoSpaceDE w:val="0"/>
        <w:autoSpaceDN w:val="0"/>
        <w:adjustRightInd w:val="0"/>
        <w:jc w:val="left"/>
        <w:outlineLvl w:val="9"/>
        <w:rPr>
          <w:rFonts w:hint="eastAsia" w:ascii="宋体" w:hAnsi="宋体"/>
          <w:b/>
          <w:color w:val="auto"/>
          <w:sz w:val="24"/>
          <w:szCs w:val="24"/>
        </w:rPr>
      </w:pPr>
    </w:p>
    <w:p w14:paraId="4C695B69">
      <w:pPr>
        <w:numPr>
          <w:ilvl w:val="0"/>
          <w:numId w:val="14"/>
        </w:numPr>
        <w:autoSpaceDE w:val="0"/>
        <w:autoSpaceDN w:val="0"/>
        <w:adjustRightInd w:val="0"/>
        <w:spacing w:line="360" w:lineRule="auto"/>
        <w:jc w:val="left"/>
        <w:outlineLvl w:val="9"/>
        <w:rPr>
          <w:rFonts w:ascii="宋体" w:hAnsi="宋体" w:cs="宋体"/>
          <w:color w:val="auto"/>
          <w:spacing w:val="6"/>
          <w:kern w:val="0"/>
          <w:sz w:val="24"/>
          <w:szCs w:val="24"/>
        </w:rPr>
      </w:pPr>
      <w:r>
        <w:rPr>
          <w:rFonts w:hint="eastAsia" w:ascii="宋体" w:hAnsi="宋体" w:cs="宋体"/>
          <w:color w:val="auto"/>
          <w:spacing w:val="6"/>
          <w:kern w:val="0"/>
          <w:sz w:val="24"/>
          <w:szCs w:val="24"/>
        </w:rPr>
        <w:t>监狱企业参加政府采购活动时，应当提供由省级以上监狱管理局、戒毒管理局（含新疆生产建设兵团）出具的属于监狱企业的证明文件。（如有）</w:t>
      </w:r>
    </w:p>
    <w:p w14:paraId="3C839D87">
      <w:pPr>
        <w:autoSpaceDE w:val="0"/>
        <w:autoSpaceDN w:val="0"/>
        <w:adjustRightInd w:val="0"/>
        <w:spacing w:line="360" w:lineRule="auto"/>
        <w:jc w:val="left"/>
        <w:outlineLvl w:val="9"/>
        <w:rPr>
          <w:rFonts w:hint="eastAsia" w:ascii="宋体" w:hAnsi="宋体" w:cs="宋体"/>
          <w:color w:val="auto"/>
          <w:spacing w:val="6"/>
          <w:kern w:val="0"/>
          <w:sz w:val="24"/>
          <w:szCs w:val="24"/>
        </w:rPr>
      </w:pPr>
      <w:r>
        <w:rPr>
          <w:rFonts w:hint="eastAsia" w:ascii="宋体" w:hAnsi="宋体" w:cs="宋体"/>
          <w:color w:val="auto"/>
          <w:spacing w:val="6"/>
          <w:kern w:val="0"/>
          <w:sz w:val="24"/>
          <w:szCs w:val="24"/>
        </w:rPr>
        <w:t>2</w:t>
      </w:r>
      <w:r>
        <w:rPr>
          <w:rFonts w:ascii="宋体" w:hAnsi="宋体" w:cs="宋体"/>
          <w:color w:val="auto"/>
          <w:spacing w:val="6"/>
          <w:kern w:val="0"/>
          <w:sz w:val="24"/>
          <w:szCs w:val="24"/>
        </w:rPr>
        <w:t>.</w:t>
      </w:r>
      <w:r>
        <w:rPr>
          <w:rFonts w:hint="eastAsia" w:ascii="宋体" w:hAnsi="宋体" w:cs="宋体"/>
          <w:color w:val="auto"/>
          <w:spacing w:val="6"/>
          <w:kern w:val="0"/>
          <w:sz w:val="24"/>
          <w:szCs w:val="24"/>
        </w:rPr>
        <w:t xml:space="preserve"> 符合条件的残疾人福利性单位在参加政府采购活动时，应当提供本通知规定的《残疾人福利性单位声明函》（如有）</w:t>
      </w:r>
    </w:p>
    <w:p w14:paraId="0E0CE631">
      <w:pPr>
        <w:autoSpaceDE w:val="0"/>
        <w:autoSpaceDN w:val="0"/>
        <w:adjustRightInd w:val="0"/>
        <w:outlineLvl w:val="9"/>
        <w:rPr>
          <w:rFonts w:hint="eastAsia" w:ascii="宋体" w:hAnsi="宋体"/>
          <w:b/>
          <w:color w:val="auto"/>
          <w:sz w:val="24"/>
          <w:szCs w:val="24"/>
        </w:rPr>
      </w:pPr>
    </w:p>
    <w:p w14:paraId="325AC06F">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14:paraId="5C1552AA">
      <w:pPr>
        <w:autoSpaceDE w:val="0"/>
        <w:autoSpaceDN w:val="0"/>
        <w:adjustRightInd w:val="0"/>
        <w:spacing w:before="120" w:beforeLines="50" w:after="120" w:afterLines="50"/>
        <w:jc w:val="center"/>
        <w:rPr>
          <w:rFonts w:ascii="宋体" w:hAnsi="宋体"/>
          <w:snapToGrid w:val="0"/>
          <w:color w:val="auto"/>
          <w:kern w:val="0"/>
          <w:sz w:val="24"/>
        </w:rPr>
      </w:pPr>
      <w:r>
        <w:rPr>
          <w:rFonts w:hint="eastAsia" w:ascii="宋体" w:hAnsi="宋体"/>
          <w:snapToGrid w:val="0"/>
          <w:color w:val="auto"/>
          <w:kern w:val="0"/>
          <w:sz w:val="24"/>
        </w:rPr>
        <w:t>（如有）</w:t>
      </w:r>
    </w:p>
    <w:p w14:paraId="5F2E95EC">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CC3A244">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14:paraId="08094DE3">
      <w:pPr>
        <w:adjustRightInd w:val="0"/>
        <w:snapToGrid w:val="0"/>
        <w:spacing w:line="360" w:lineRule="auto"/>
        <w:ind w:firstLine="480" w:firstLineChars="200"/>
        <w:rPr>
          <w:rFonts w:ascii="宋体" w:hAnsi="宋体"/>
          <w:snapToGrid w:val="0"/>
          <w:color w:val="auto"/>
          <w:kern w:val="0"/>
          <w:sz w:val="24"/>
        </w:rPr>
      </w:pPr>
    </w:p>
    <w:p w14:paraId="3026B6F3">
      <w:pPr>
        <w:adjustRightInd w:val="0"/>
        <w:snapToGrid w:val="0"/>
        <w:ind w:firstLine="480" w:firstLineChars="200"/>
        <w:rPr>
          <w:rFonts w:ascii="宋体" w:hAnsi="宋体"/>
          <w:snapToGrid w:val="0"/>
          <w:color w:val="auto"/>
          <w:kern w:val="0"/>
          <w:sz w:val="24"/>
        </w:rPr>
      </w:pPr>
    </w:p>
    <w:p w14:paraId="03A3EEA7">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14:paraId="1E6523F4">
      <w:pPr>
        <w:adjustRightInd w:val="0"/>
        <w:snapToGrid w:val="0"/>
        <w:ind w:firstLine="480" w:firstLineChars="200"/>
        <w:rPr>
          <w:rFonts w:ascii="宋体" w:hAnsi="宋体" w:cs="宋体"/>
          <w:color w:val="auto"/>
          <w:sz w:val="24"/>
        </w:rPr>
      </w:pPr>
      <w:r>
        <w:rPr>
          <w:rFonts w:hint="eastAsia" w:ascii="宋体" w:hAnsi="宋体" w:cs="宋体"/>
          <w:color w:val="auto"/>
          <w:sz w:val="24"/>
        </w:rPr>
        <w:t xml:space="preserve">                                </w:t>
      </w:r>
    </w:p>
    <w:p w14:paraId="5BD53892">
      <w:pPr>
        <w:adjustRightInd w:val="0"/>
        <w:snapToGrid w:val="0"/>
        <w:spacing w:line="360" w:lineRule="auto"/>
        <w:ind w:firstLine="480" w:firstLineChars="200"/>
        <w:rPr>
          <w:rFonts w:ascii="宋体"/>
          <w:color w:val="auto"/>
          <w:sz w:val="24"/>
          <w:u w:val="single"/>
        </w:rPr>
      </w:pPr>
      <w:r>
        <w:rPr>
          <w:rFonts w:hint="eastAsia" w:ascii="宋体"/>
          <w:color w:val="auto"/>
          <w:sz w:val="24"/>
          <w:lang w:eastAsia="zh-CN"/>
        </w:rPr>
        <w:t>投标人</w:t>
      </w:r>
      <w:r>
        <w:rPr>
          <w:rFonts w:hint="eastAsia" w:ascii="宋体"/>
          <w:color w:val="auto"/>
          <w:sz w:val="24"/>
        </w:rPr>
        <w:t>名称（盖章）：</w:t>
      </w:r>
      <w:r>
        <w:rPr>
          <w:rFonts w:hint="eastAsia" w:ascii="宋体"/>
          <w:color w:val="auto"/>
          <w:sz w:val="24"/>
          <w:u w:val="single"/>
        </w:rPr>
        <w:t xml:space="preserve">                                    </w:t>
      </w:r>
    </w:p>
    <w:p w14:paraId="222C9E75">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14:paraId="240F6F0D">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或授权代表（签字）</w:t>
      </w:r>
      <w:r>
        <w:rPr>
          <w:rFonts w:hint="eastAsia" w:ascii="宋体"/>
          <w:color w:val="auto"/>
          <w:sz w:val="24"/>
        </w:rPr>
        <w:t>：</w:t>
      </w:r>
      <w:r>
        <w:rPr>
          <w:rFonts w:hint="eastAsia" w:ascii="宋体"/>
          <w:color w:val="auto"/>
          <w:sz w:val="24"/>
          <w:u w:val="single"/>
        </w:rPr>
        <w:t xml:space="preserve">                                </w:t>
      </w:r>
    </w:p>
    <w:p w14:paraId="3F1AD1E5">
      <w:pPr>
        <w:tabs>
          <w:tab w:val="left" w:pos="1573"/>
        </w:tabs>
        <w:rPr>
          <w:rFonts w:ascii="宋体" w:hAnsi="宋体"/>
          <w:color w:val="auto"/>
          <w:sz w:val="24"/>
        </w:rPr>
      </w:pPr>
    </w:p>
    <w:p w14:paraId="6EE25FEA">
      <w:pPr>
        <w:pStyle w:val="11"/>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14:paraId="0D1DFDC3">
      <w:pPr>
        <w:ind w:firstLine="480" w:firstLineChars="200"/>
        <w:rPr>
          <w:rFonts w:hint="eastAsia" w:ascii="宋体" w:hAnsi="宋体"/>
          <w:b/>
          <w:color w:val="auto"/>
          <w:szCs w:val="21"/>
        </w:rPr>
        <w:sectPr>
          <w:footerReference r:id="rId17" w:type="default"/>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14:paraId="2CF1872A">
      <w:pPr>
        <w:rPr>
          <w:rFonts w:ascii="宋体" w:hAnsi="宋体"/>
          <w:b/>
          <w:color w:val="auto"/>
          <w:szCs w:val="21"/>
        </w:rPr>
      </w:pPr>
      <w:r>
        <w:rPr>
          <w:rFonts w:hint="eastAsia" w:ascii="宋体" w:hAnsi="宋体"/>
          <w:b/>
          <w:color w:val="auto"/>
          <w:szCs w:val="21"/>
        </w:rPr>
        <w:t>附件：</w:t>
      </w:r>
    </w:p>
    <w:p w14:paraId="4C63C5F1">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rPr>
      </w:pPr>
      <w:bookmarkStart w:id="151" w:name="_Toc63327628"/>
      <w:r>
        <w:rPr>
          <w:rStyle w:val="27"/>
          <w:rFonts w:hint="eastAsia" w:ascii="宋体" w:hAnsi="宋体" w:cs="宋体"/>
          <w:b w:val="0"/>
          <w:bCs w:val="0"/>
          <w:color w:val="auto"/>
          <w:spacing w:val="7"/>
          <w:sz w:val="21"/>
          <w:szCs w:val="21"/>
          <w:shd w:val="clear" w:color="auto" w:fill="FFFFFF"/>
        </w:rPr>
        <w:t>关于印发《政府采购促进中小企业发展管理办法》的通知</w:t>
      </w:r>
      <w:bookmarkEnd w:id="151"/>
    </w:p>
    <w:p w14:paraId="3984E4CD">
      <w:pPr>
        <w:pStyle w:val="20"/>
        <w:shd w:val="clear" w:color="auto" w:fill="FFFFFF"/>
        <w:adjustRightInd w:val="0"/>
        <w:snapToGrid w:val="0"/>
        <w:spacing w:before="0" w:beforeAutospacing="0" w:after="0" w:afterAutospacing="0" w:line="360" w:lineRule="auto"/>
        <w:jc w:val="center"/>
        <w:rPr>
          <w:rStyle w:val="27"/>
          <w:rFonts w:ascii="宋体" w:hAnsi="宋体" w:cs="宋体"/>
          <w:color w:val="auto"/>
          <w:spacing w:val="7"/>
          <w:sz w:val="21"/>
          <w:szCs w:val="21"/>
          <w:shd w:val="clear" w:color="auto" w:fill="FFFFFF"/>
        </w:rPr>
      </w:pPr>
      <w:r>
        <w:rPr>
          <w:rStyle w:val="27"/>
          <w:rFonts w:hint="eastAsia" w:ascii="宋体" w:hAnsi="宋体" w:cs="宋体"/>
          <w:color w:val="auto"/>
          <w:spacing w:val="7"/>
          <w:sz w:val="21"/>
          <w:szCs w:val="21"/>
          <w:shd w:val="clear" w:color="auto" w:fill="FFFFFF"/>
        </w:rPr>
        <w:t>财库[2020]46号</w:t>
      </w:r>
    </w:p>
    <w:p w14:paraId="152B38BB">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6A46F3FC">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2E96A82">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19D0F79C">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7C83859E">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7FBC36C8">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64125FA3">
      <w:pPr>
        <w:keepNext w:val="0"/>
        <w:keepLines w:val="0"/>
        <w:widowControl/>
        <w:shd w:val="clear" w:color="auto" w:fill="FFFFFF"/>
        <w:adjustRightInd w:val="0"/>
        <w:snapToGrid w:val="0"/>
        <w:spacing w:before="0" w:after="0" w:line="360" w:lineRule="auto"/>
        <w:jc w:val="center"/>
        <w:outlineLvl w:val="9"/>
        <w:rPr>
          <w:rStyle w:val="27"/>
          <w:rFonts w:ascii="宋体" w:hAnsi="宋体" w:cs="宋体"/>
          <w:b w:val="0"/>
          <w:bCs w:val="0"/>
          <w:color w:val="auto"/>
          <w:spacing w:val="7"/>
          <w:sz w:val="21"/>
          <w:szCs w:val="21"/>
          <w:shd w:val="clear" w:color="auto" w:fill="FFFFFF"/>
        </w:rPr>
      </w:pPr>
      <w:bookmarkStart w:id="152" w:name="_Toc63327629"/>
      <w:r>
        <w:rPr>
          <w:rStyle w:val="27"/>
          <w:rFonts w:hint="eastAsia" w:ascii="宋体" w:hAnsi="宋体" w:cs="宋体"/>
          <w:b w:val="0"/>
          <w:bCs w:val="0"/>
          <w:color w:val="auto"/>
          <w:spacing w:val="7"/>
          <w:sz w:val="21"/>
          <w:szCs w:val="21"/>
          <w:shd w:val="clear" w:color="auto" w:fill="FFFFFF"/>
        </w:rPr>
        <w:t>政府采购促进中小企业发展管理办法</w:t>
      </w:r>
      <w:bookmarkEnd w:id="152"/>
    </w:p>
    <w:p w14:paraId="0F316E7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363F8F3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2B34C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711247C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4A0ECC5A">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7"/>
          <w:rFonts w:hint="eastAsia" w:ascii="宋体" w:hAnsi="宋体" w:cs="宋体"/>
          <w:color w:val="auto"/>
          <w:spacing w:val="7"/>
          <w:sz w:val="21"/>
          <w:szCs w:val="21"/>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14:paraId="0FD13DF6">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14:paraId="0E96CF48">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14:paraId="3BA127F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2BA4FE94">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14:paraId="59506A67">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0385BB5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547887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B44E0AB">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6C245A2F">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66803877">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7F320AC5">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6B5C7D1E">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3B0123E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A5BD5C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0A05E854">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3D3AA5A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8E74B72">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288B2B4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6366BDF7">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5D1179C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003C48F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A3E3A8">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B72922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9183BD5">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BB5023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227ACA28">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Style w:val="27"/>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620C9BFA">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6F25CD5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48B5057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472A342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167616C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66F9101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20131AA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5D09083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46817B99">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628D2BB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029A1B6">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5BD3DCE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0E2FF70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55C2EB73">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8F657A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E798183">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0B985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5CEA772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4A8ECD8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6D8A09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24D5436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381FBAE7">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0918135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27D5D1A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附：</w:t>
      </w:r>
    </w:p>
    <w:p w14:paraId="4695D648">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14:paraId="0C405D1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14:paraId="037856F6">
      <w:pPr>
        <w:adjustRightInd w:val="0"/>
        <w:snapToGrid w:val="0"/>
        <w:spacing w:line="300" w:lineRule="auto"/>
        <w:rPr>
          <w:rFonts w:ascii="宋体" w:hAnsi="宋体" w:cs="宋体"/>
          <w:color w:val="auto"/>
          <w:szCs w:val="21"/>
        </w:rPr>
        <w:sectPr>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4A0C8E92"/>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MlnTSAAAAAwEAAA8AAAAAAAAAAQAgAAAA&#10;IgAAAGRycy9kb3ducmV2LnhtbFBLAQIUABQAAAAIAIdO4kAcaLh7EQIAACgEAAAOAAAAAAAAAAEA&#10;IAAAACEBAABkcnMvZTJvRG9jLnhtbFBLBQYAAAAABgAGAFkBAACkBQAAAAA=&#10;">
                <v:fill on="f" focussize="0,0"/>
                <v:stroke on="f"/>
                <v:imagedata o:title=""/>
                <o:lock v:ext="edit" aspectratio="t"/>
                <v:textbox>
                  <w:txbxContent>
                    <w:p w14:paraId="4A0C8E92"/>
                  </w:txbxContent>
                </v:textbox>
                <w10:wrap type="none"/>
                <w10:anchorlock/>
              </v:rect>
            </w:pict>
          </mc:Fallback>
        </mc:AlternateContent>
      </w:r>
    </w:p>
    <w:p w14:paraId="42294F97">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关于印发《吉林省强化政府采购政策支持中小企业发展落实举措》</w:t>
      </w:r>
    </w:p>
    <w:p w14:paraId="13A8EC9B">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的通知</w:t>
      </w:r>
    </w:p>
    <w:p w14:paraId="773FFC29">
      <w:pPr>
        <w:pStyle w:val="10"/>
        <w:spacing w:line="360" w:lineRule="auto"/>
        <w:ind w:left="63" w:right="63" w:firstLine="482"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吉财采购〔2022〕478号</w:t>
      </w:r>
    </w:p>
    <w:p w14:paraId="046C999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各省级主管预算单位，各市（州）、县（市、区）财政局，长白山管委会、长春新区、中韩（长春）国际合作示范区管委会财政局，各政府采购代理机构：</w:t>
      </w:r>
    </w:p>
    <w:p w14:paraId="3C707FAB">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现将《吉林省强化政府采购政策支持中小企业发展落实举措》印发给你们，请遵照执行。</w:t>
      </w:r>
    </w:p>
    <w:p w14:paraId="28D5E1A0">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附件：吉林省强化政府采购政策支持中小企业发展落实举措</w:t>
      </w:r>
    </w:p>
    <w:p w14:paraId="3AD03BCA">
      <w:pPr>
        <w:pStyle w:val="20"/>
        <w:adjustRightInd w:val="0"/>
        <w:snapToGrid w:val="0"/>
        <w:spacing w:before="0" w:beforeAutospacing="0" w:after="0" w:afterAutospacing="0" w:line="340" w:lineRule="exact"/>
        <w:ind w:firstLine="420" w:firstLineChars="200"/>
        <w:jc w:val="both"/>
        <w:rPr>
          <w:rFonts w:hint="eastAsia" w:cs="宋体"/>
          <w:color w:val="auto"/>
          <w:sz w:val="21"/>
          <w:szCs w:val="21"/>
        </w:rPr>
      </w:pPr>
      <w:r>
        <w:rPr>
          <w:rFonts w:hint="eastAsia" w:cs="宋体"/>
          <w:color w:val="auto"/>
          <w:sz w:val="21"/>
          <w:szCs w:val="21"/>
        </w:rPr>
        <w:t> </w:t>
      </w:r>
    </w:p>
    <w:p w14:paraId="2FBFBB35">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吉林省财政厅</w:t>
      </w:r>
    </w:p>
    <w:p w14:paraId="001B44B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2022年6月6日</w:t>
      </w:r>
    </w:p>
    <w:p w14:paraId="6E37915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p>
    <w:p w14:paraId="430FE027">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吉林省强化政府采购政策支持中小企业发展落实举措</w:t>
      </w:r>
    </w:p>
    <w:p w14:paraId="4B313554">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14:paraId="16EC8E1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2678B9BA">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一、强化政策落实支持中小企业发展</w:t>
      </w:r>
    </w:p>
    <w:p w14:paraId="6943C5E8">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214347A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14:paraId="68B5CF3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二、提高政府采购项目价格评审优惠幅度</w:t>
      </w:r>
    </w:p>
    <w:p w14:paraId="37A4CF7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123A909E">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三、提高政府采购工程项目预留份额比例</w:t>
      </w:r>
    </w:p>
    <w:p w14:paraId="68641BA4">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10ABD515">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四、降低经营成本提高履约能力</w:t>
      </w:r>
    </w:p>
    <w:p w14:paraId="1BAF9E1D">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B4B5280">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五、优化政府采购程序推进全流程电子化</w:t>
      </w:r>
    </w:p>
    <w:p w14:paraId="7B971088">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EC3E40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六、加强项目执行管理提升政府采购透明度</w:t>
      </w:r>
    </w:p>
    <w:p w14:paraId="5A80111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4695995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79729BC6">
      <w:pPr>
        <w:pStyle w:val="20"/>
        <w:adjustRightInd w:val="0"/>
        <w:snapToGrid w:val="0"/>
        <w:spacing w:before="0" w:beforeAutospacing="0" w:after="0" w:afterAutospacing="0" w:line="340" w:lineRule="exact"/>
        <w:ind w:firstLine="420" w:firstLineChars="200"/>
        <w:jc w:val="both"/>
        <w:rPr>
          <w:rFonts w:hint="eastAsia" w:cs="宋体"/>
          <w:color w:val="auto"/>
          <w:sz w:val="21"/>
          <w:szCs w:val="21"/>
        </w:rPr>
        <w:sectPr>
          <w:footerReference r:id="rId18"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4FA451">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14:paraId="1D787451">
      <w:pPr>
        <w:pStyle w:val="20"/>
        <w:spacing w:before="0" w:beforeAutospacing="0" w:after="0" w:afterAutospacing="0" w:line="360" w:lineRule="auto"/>
        <w:ind w:firstLine="480" w:firstLineChars="200"/>
        <w:jc w:val="center"/>
        <w:rPr>
          <w:b/>
          <w:color w:val="auto"/>
          <w:kern w:val="2"/>
          <w:szCs w:val="24"/>
        </w:rPr>
      </w:pPr>
      <w:bookmarkStart w:id="153" w:name="sendNo"/>
      <w:r>
        <w:rPr>
          <w:rFonts w:hint="eastAsia"/>
          <w:color w:val="auto"/>
          <w:kern w:val="2"/>
        </w:rPr>
        <w:t>财库〔</w:t>
      </w:r>
      <w:bookmarkEnd w:id="153"/>
      <w:r>
        <w:rPr>
          <w:rFonts w:hint="eastAsia"/>
          <w:color w:val="auto"/>
          <w:kern w:val="2"/>
        </w:rPr>
        <w:t>2017〕141号</w:t>
      </w:r>
    </w:p>
    <w:p w14:paraId="07EC237C">
      <w:pPr>
        <w:pStyle w:val="20"/>
        <w:spacing w:before="0" w:beforeAutospacing="0" w:after="0" w:afterAutospacing="0" w:line="360" w:lineRule="auto"/>
        <w:ind w:firstLine="420" w:firstLineChars="200"/>
        <w:jc w:val="both"/>
        <w:rPr>
          <w:rFonts w:cs="宋体"/>
          <w:color w:val="auto"/>
          <w:sz w:val="21"/>
          <w:szCs w:val="21"/>
        </w:rPr>
      </w:pPr>
      <w:bookmarkStart w:id="154"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4"/>
      <w:r>
        <w:rPr>
          <w:rFonts w:hint="eastAsia" w:cs="宋体"/>
          <w:color w:val="auto"/>
          <w:sz w:val="21"/>
          <w:szCs w:val="21"/>
          <w:shd w:val="clear" w:color="auto" w:fill="FFFFFF"/>
        </w:rPr>
        <w:t>：</w:t>
      </w:r>
    </w:p>
    <w:p w14:paraId="5A78F47F">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565E2003">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14:paraId="1E680EBF">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14:paraId="6015917B">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14:paraId="53CFC5C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14:paraId="26186A06">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74962AD8">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593E74DA">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79715">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274FE57">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22689D78">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14:paraId="45D3E6E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A5D676">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348351CC">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574D6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130ADAB">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14:paraId="7ED2B4FD">
      <w:pPr>
        <w:pStyle w:val="20"/>
        <w:spacing w:before="0" w:beforeAutospacing="0" w:after="0" w:afterAutospacing="0"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14:paraId="404F1CB3">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14:paraId="686D2CF0">
      <w:pPr>
        <w:spacing w:line="360" w:lineRule="auto"/>
        <w:jc w:val="center"/>
        <w:rPr>
          <w:rFonts w:ascii="宋体" w:hAnsi="宋体" w:cs="宋体"/>
          <w:color w:val="auto"/>
          <w:szCs w:val="21"/>
        </w:rPr>
      </w:pPr>
      <w:r>
        <w:rPr>
          <w:rFonts w:hint="eastAsia" w:ascii="宋体" w:hAnsi="宋体" w:cs="宋体"/>
          <w:color w:val="auto"/>
          <w:szCs w:val="21"/>
        </w:rPr>
        <w:t>财库〔2014〕68号</w:t>
      </w:r>
    </w:p>
    <w:p w14:paraId="787CAEBD">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1F227E9">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C7A4D5">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BA415A">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95CDB77">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3CD1E02">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14:paraId="6BF1336A">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54D83C">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14:paraId="3079956B">
      <w:pPr>
        <w:spacing w:line="360" w:lineRule="auto"/>
        <w:jc w:val="right"/>
        <w:rPr>
          <w:rFonts w:hint="eastAsia"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中华人民共和国司法部</w:t>
      </w:r>
    </w:p>
    <w:p w14:paraId="6BD83F1D">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4"/>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14:paraId="5F1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232F3EA6">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0"/>
            <w:vAlign w:val="center"/>
          </w:tcPr>
          <w:p w14:paraId="46ACE243">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0"/>
            <w:vAlign w:val="center"/>
          </w:tcPr>
          <w:p w14:paraId="1A5556B4">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0"/>
            <w:vAlign w:val="center"/>
          </w:tcPr>
          <w:p w14:paraId="37919942">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0"/>
            <w:vAlign w:val="center"/>
          </w:tcPr>
          <w:p w14:paraId="78338CA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0"/>
            <w:vAlign w:val="center"/>
          </w:tcPr>
          <w:p w14:paraId="616BD000">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0"/>
            <w:vAlign w:val="center"/>
          </w:tcPr>
          <w:p w14:paraId="63AEEBE7">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微型</w:t>
            </w:r>
          </w:p>
        </w:tc>
      </w:tr>
      <w:tr w14:paraId="6F75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0AB0CC3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0"/>
            <w:vAlign w:val="center"/>
          </w:tcPr>
          <w:p w14:paraId="084F455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A9FE3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1DB6A4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14:paraId="29CBF7E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14:paraId="3D3735F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0"/>
            <w:vAlign w:val="center"/>
          </w:tcPr>
          <w:p w14:paraId="3BECB29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14:paraId="289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08DC200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工业 *</w:t>
            </w:r>
          </w:p>
        </w:tc>
        <w:tc>
          <w:tcPr>
            <w:tcW w:w="1494" w:type="dxa"/>
            <w:noWrap w:val="0"/>
            <w:vAlign w:val="center"/>
          </w:tcPr>
          <w:p w14:paraId="1284751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4C37F3F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46FA10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7C03A7E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5BA7743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09397BA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2A4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4896F8F6">
            <w:pPr>
              <w:bidi w:val="0"/>
              <w:jc w:val="center"/>
              <w:rPr>
                <w:rFonts w:hint="eastAsia" w:ascii="宋体" w:hAnsi="宋体" w:eastAsia="宋体" w:cs="宋体"/>
                <w:b/>
                <w:bCs/>
                <w:color w:val="auto"/>
                <w:sz w:val="18"/>
                <w:szCs w:val="18"/>
              </w:rPr>
            </w:pPr>
          </w:p>
        </w:tc>
        <w:tc>
          <w:tcPr>
            <w:tcW w:w="1494" w:type="dxa"/>
            <w:noWrap w:val="0"/>
            <w:vAlign w:val="center"/>
          </w:tcPr>
          <w:p w14:paraId="36C5B5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A41D1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6728FB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14:paraId="4AE937D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0"/>
            <w:vAlign w:val="center"/>
          </w:tcPr>
          <w:p w14:paraId="5091249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0"/>
            <w:vAlign w:val="center"/>
          </w:tcPr>
          <w:p w14:paraId="301FDD9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14:paraId="425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5F270A07">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0"/>
            <w:vAlign w:val="center"/>
          </w:tcPr>
          <w:p w14:paraId="4E77AD5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68255F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5799BCE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0"/>
            <w:vAlign w:val="center"/>
          </w:tcPr>
          <w:p w14:paraId="1887C6F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0"/>
            <w:vAlign w:val="center"/>
          </w:tcPr>
          <w:p w14:paraId="3F004C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0"/>
            <w:vAlign w:val="center"/>
          </w:tcPr>
          <w:p w14:paraId="669AB68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14:paraId="52B8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6B52F07B">
            <w:pPr>
              <w:bidi w:val="0"/>
              <w:jc w:val="center"/>
              <w:rPr>
                <w:rFonts w:hint="eastAsia" w:ascii="宋体" w:hAnsi="宋体" w:eastAsia="宋体" w:cs="宋体"/>
                <w:b/>
                <w:bCs/>
                <w:color w:val="auto"/>
                <w:sz w:val="18"/>
                <w:szCs w:val="18"/>
              </w:rPr>
            </w:pPr>
          </w:p>
        </w:tc>
        <w:tc>
          <w:tcPr>
            <w:tcW w:w="1494" w:type="dxa"/>
            <w:noWrap w:val="0"/>
            <w:vAlign w:val="center"/>
          </w:tcPr>
          <w:p w14:paraId="75F8724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2B54BE8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734AE8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0"/>
            <w:vAlign w:val="center"/>
          </w:tcPr>
          <w:p w14:paraId="542ABE1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0"/>
            <w:vAlign w:val="center"/>
          </w:tcPr>
          <w:p w14:paraId="6ECC23A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0"/>
            <w:vAlign w:val="center"/>
          </w:tcPr>
          <w:p w14:paraId="23809DC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Z＜300</w:t>
            </w:r>
          </w:p>
        </w:tc>
      </w:tr>
      <w:tr w14:paraId="666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D22C5DA">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0"/>
            <w:vAlign w:val="center"/>
          </w:tcPr>
          <w:p w14:paraId="4028516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4CBE72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185E1B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14:paraId="77D8A6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0"/>
            <w:vAlign w:val="center"/>
          </w:tcPr>
          <w:p w14:paraId="565FEE0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0"/>
            <w:vAlign w:val="center"/>
          </w:tcPr>
          <w:p w14:paraId="6C24C47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X＜5</w:t>
            </w:r>
          </w:p>
        </w:tc>
      </w:tr>
      <w:tr w14:paraId="1C38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828B89D">
            <w:pPr>
              <w:bidi w:val="0"/>
              <w:jc w:val="center"/>
              <w:rPr>
                <w:rFonts w:hint="eastAsia" w:ascii="宋体" w:hAnsi="宋体" w:eastAsia="宋体" w:cs="宋体"/>
                <w:b/>
                <w:bCs/>
                <w:color w:val="auto"/>
                <w:sz w:val="18"/>
                <w:szCs w:val="18"/>
              </w:rPr>
            </w:pPr>
          </w:p>
        </w:tc>
        <w:tc>
          <w:tcPr>
            <w:tcW w:w="1494" w:type="dxa"/>
            <w:noWrap w:val="0"/>
            <w:vAlign w:val="center"/>
          </w:tcPr>
          <w:p w14:paraId="4EF3949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3BD80E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27B1477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14:paraId="6EC0945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0"/>
            <w:vAlign w:val="center"/>
          </w:tcPr>
          <w:p w14:paraId="36DFEDC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0"/>
            <w:vAlign w:val="center"/>
          </w:tcPr>
          <w:p w14:paraId="0928CF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w:t>
            </w:r>
          </w:p>
        </w:tc>
      </w:tr>
      <w:tr w14:paraId="3F81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B997BDC">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0"/>
            <w:vAlign w:val="center"/>
          </w:tcPr>
          <w:p w14:paraId="6AAD77F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011173E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4D6281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649631D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0"/>
            <w:vAlign w:val="center"/>
          </w:tcPr>
          <w:p w14:paraId="1EAE3FF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0"/>
            <w:vAlign w:val="center"/>
          </w:tcPr>
          <w:p w14:paraId="56AB183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175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3895803D">
            <w:pPr>
              <w:bidi w:val="0"/>
              <w:jc w:val="center"/>
              <w:rPr>
                <w:rFonts w:hint="eastAsia" w:ascii="宋体" w:hAnsi="宋体" w:eastAsia="宋体" w:cs="宋体"/>
                <w:b/>
                <w:bCs/>
                <w:color w:val="auto"/>
                <w:sz w:val="18"/>
                <w:szCs w:val="18"/>
              </w:rPr>
            </w:pPr>
          </w:p>
        </w:tc>
        <w:tc>
          <w:tcPr>
            <w:tcW w:w="1494" w:type="dxa"/>
            <w:noWrap w:val="0"/>
            <w:vAlign w:val="center"/>
          </w:tcPr>
          <w:p w14:paraId="47DF618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1CC1200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6094D9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14:paraId="176FABD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14:paraId="03ED3A0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0"/>
            <w:vAlign w:val="center"/>
          </w:tcPr>
          <w:p w14:paraId="61FEFEF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421E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2D927834">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交通运输业 *</w:t>
            </w:r>
          </w:p>
        </w:tc>
        <w:tc>
          <w:tcPr>
            <w:tcW w:w="1494" w:type="dxa"/>
            <w:noWrap w:val="0"/>
            <w:vAlign w:val="center"/>
          </w:tcPr>
          <w:p w14:paraId="01ADC39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29E4A48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60BAC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4DB7F3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5102844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34E991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6A72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67DDA7C5">
            <w:pPr>
              <w:bidi w:val="0"/>
              <w:jc w:val="center"/>
              <w:rPr>
                <w:rFonts w:hint="eastAsia" w:ascii="宋体" w:hAnsi="宋体" w:eastAsia="宋体" w:cs="宋体"/>
                <w:b/>
                <w:bCs/>
                <w:color w:val="auto"/>
                <w:sz w:val="18"/>
                <w:szCs w:val="18"/>
              </w:rPr>
            </w:pPr>
          </w:p>
        </w:tc>
        <w:tc>
          <w:tcPr>
            <w:tcW w:w="1494" w:type="dxa"/>
            <w:noWrap w:val="0"/>
            <w:vAlign w:val="center"/>
          </w:tcPr>
          <w:p w14:paraId="15FC5D7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65A452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56B73AF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7726FC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0"/>
            <w:vAlign w:val="center"/>
          </w:tcPr>
          <w:p w14:paraId="6F70B11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0"/>
            <w:vAlign w:val="center"/>
          </w:tcPr>
          <w:p w14:paraId="7900F01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w:t>
            </w:r>
          </w:p>
        </w:tc>
      </w:tr>
      <w:tr w14:paraId="2FE0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6ECD535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0"/>
            <w:vAlign w:val="center"/>
          </w:tcPr>
          <w:p w14:paraId="07A54A2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71ED4CA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C8277C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14:paraId="41E9C07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0"/>
            <w:vAlign w:val="center"/>
          </w:tcPr>
          <w:p w14:paraId="2102950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0"/>
            <w:vAlign w:val="center"/>
          </w:tcPr>
          <w:p w14:paraId="37B9340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414B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811020E">
            <w:pPr>
              <w:bidi w:val="0"/>
              <w:jc w:val="center"/>
              <w:rPr>
                <w:rFonts w:hint="eastAsia" w:ascii="宋体" w:hAnsi="宋体" w:eastAsia="宋体" w:cs="宋体"/>
                <w:b/>
                <w:bCs/>
                <w:color w:val="auto"/>
                <w:sz w:val="18"/>
                <w:szCs w:val="18"/>
              </w:rPr>
            </w:pPr>
          </w:p>
        </w:tc>
        <w:tc>
          <w:tcPr>
            <w:tcW w:w="1494" w:type="dxa"/>
            <w:noWrap w:val="0"/>
            <w:vAlign w:val="center"/>
          </w:tcPr>
          <w:p w14:paraId="1C85AE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10574B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61711CF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C3EC0B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0"/>
            <w:vAlign w:val="center"/>
          </w:tcPr>
          <w:p w14:paraId="4123AB4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34AC2A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7E49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63AED8A">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0"/>
            <w:vAlign w:val="center"/>
          </w:tcPr>
          <w:p w14:paraId="54F0FE7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74F188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C4A0BA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345873C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0A2A3CE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0035527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216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57C4C6D">
            <w:pPr>
              <w:bidi w:val="0"/>
              <w:jc w:val="center"/>
              <w:rPr>
                <w:rFonts w:hint="eastAsia" w:ascii="宋体" w:hAnsi="宋体" w:eastAsia="宋体" w:cs="宋体"/>
                <w:b/>
                <w:bCs/>
                <w:color w:val="auto"/>
                <w:sz w:val="18"/>
                <w:szCs w:val="18"/>
              </w:rPr>
            </w:pPr>
          </w:p>
        </w:tc>
        <w:tc>
          <w:tcPr>
            <w:tcW w:w="1494" w:type="dxa"/>
            <w:noWrap w:val="0"/>
            <w:vAlign w:val="center"/>
          </w:tcPr>
          <w:p w14:paraId="64450F0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35A154D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0BF0E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B19972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0"/>
            <w:vAlign w:val="center"/>
          </w:tcPr>
          <w:p w14:paraId="7441DE9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3D7CCB1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0316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FACAC36">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0"/>
            <w:vAlign w:val="center"/>
          </w:tcPr>
          <w:p w14:paraId="2BD9E3C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3755143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8470CE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6B5537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7C521DF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57AF395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3B8C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9E341C4">
            <w:pPr>
              <w:bidi w:val="0"/>
              <w:jc w:val="center"/>
              <w:rPr>
                <w:rFonts w:hint="eastAsia" w:ascii="宋体" w:hAnsi="宋体" w:eastAsia="宋体" w:cs="宋体"/>
                <w:b/>
                <w:bCs/>
                <w:color w:val="auto"/>
                <w:sz w:val="18"/>
                <w:szCs w:val="18"/>
              </w:rPr>
            </w:pPr>
          </w:p>
        </w:tc>
        <w:tc>
          <w:tcPr>
            <w:tcW w:w="1494" w:type="dxa"/>
            <w:noWrap w:val="0"/>
            <w:vAlign w:val="center"/>
          </w:tcPr>
          <w:p w14:paraId="33F4D96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9258F4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20468B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6782325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14:paraId="2DC6CDD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39451B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5F9D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752DABBE">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0"/>
            <w:vAlign w:val="center"/>
          </w:tcPr>
          <w:p w14:paraId="2DCE140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06C1147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0DCB46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21163D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1498876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7C6E6EA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6944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A3E99FB">
            <w:pPr>
              <w:bidi w:val="0"/>
              <w:jc w:val="center"/>
              <w:rPr>
                <w:rFonts w:hint="eastAsia" w:ascii="宋体" w:hAnsi="宋体" w:eastAsia="宋体" w:cs="宋体"/>
                <w:b/>
                <w:bCs/>
                <w:color w:val="auto"/>
                <w:sz w:val="18"/>
                <w:szCs w:val="18"/>
              </w:rPr>
            </w:pPr>
          </w:p>
        </w:tc>
        <w:tc>
          <w:tcPr>
            <w:tcW w:w="1494" w:type="dxa"/>
            <w:noWrap w:val="0"/>
            <w:vAlign w:val="center"/>
          </w:tcPr>
          <w:p w14:paraId="7C0FFC0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0B781F9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28B931C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03CD1A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14:paraId="122DFEC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03EA436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4D90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4987081">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信息传输业 *</w:t>
            </w:r>
          </w:p>
        </w:tc>
        <w:tc>
          <w:tcPr>
            <w:tcW w:w="1494" w:type="dxa"/>
            <w:noWrap w:val="0"/>
            <w:vAlign w:val="center"/>
          </w:tcPr>
          <w:p w14:paraId="4786041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1794AB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0B95ED6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0"/>
            <w:vAlign w:val="center"/>
          </w:tcPr>
          <w:p w14:paraId="28305A3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0"/>
            <w:vAlign w:val="center"/>
          </w:tcPr>
          <w:p w14:paraId="34B4F6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25C721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298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B448566">
            <w:pPr>
              <w:bidi w:val="0"/>
              <w:jc w:val="center"/>
              <w:rPr>
                <w:rFonts w:hint="eastAsia" w:ascii="宋体" w:hAnsi="宋体" w:eastAsia="宋体" w:cs="宋体"/>
                <w:b/>
                <w:bCs/>
                <w:color w:val="auto"/>
                <w:sz w:val="18"/>
                <w:szCs w:val="18"/>
              </w:rPr>
            </w:pPr>
          </w:p>
        </w:tc>
        <w:tc>
          <w:tcPr>
            <w:tcW w:w="1494" w:type="dxa"/>
            <w:noWrap w:val="0"/>
            <w:vAlign w:val="center"/>
          </w:tcPr>
          <w:p w14:paraId="2A6F3D4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120D2F7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1C654DE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0"/>
            <w:vAlign w:val="center"/>
          </w:tcPr>
          <w:p w14:paraId="0A3F4A6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0"/>
            <w:vAlign w:val="center"/>
          </w:tcPr>
          <w:p w14:paraId="069D06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43664BE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2B9C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06B46B9D">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0"/>
            <w:vAlign w:val="center"/>
          </w:tcPr>
          <w:p w14:paraId="6385828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2B84B5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CC9A8A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298C030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2F95C69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181F980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1A93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4D0BFF46">
            <w:pPr>
              <w:bidi w:val="0"/>
              <w:jc w:val="center"/>
              <w:rPr>
                <w:rFonts w:hint="eastAsia" w:ascii="宋体" w:hAnsi="宋体" w:eastAsia="宋体" w:cs="宋体"/>
                <w:b/>
                <w:bCs/>
                <w:color w:val="auto"/>
                <w:sz w:val="18"/>
                <w:szCs w:val="18"/>
              </w:rPr>
            </w:pPr>
          </w:p>
        </w:tc>
        <w:tc>
          <w:tcPr>
            <w:tcW w:w="1494" w:type="dxa"/>
            <w:noWrap w:val="0"/>
            <w:vAlign w:val="center"/>
          </w:tcPr>
          <w:p w14:paraId="72FB3C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403DFB0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783B264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5219AE0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0"/>
            <w:vAlign w:val="center"/>
          </w:tcPr>
          <w:p w14:paraId="467EEC8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0"/>
            <w:vAlign w:val="center"/>
          </w:tcPr>
          <w:p w14:paraId="5AC0377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14:paraId="056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3AD11BE0">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0"/>
            <w:vAlign w:val="center"/>
          </w:tcPr>
          <w:p w14:paraId="4695D01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91C96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84B0B2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0"/>
            <w:vAlign w:val="center"/>
          </w:tcPr>
          <w:p w14:paraId="7E111BE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0"/>
            <w:vAlign w:val="center"/>
          </w:tcPr>
          <w:p w14:paraId="376CF13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05ACAD6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069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3073FFF7">
            <w:pPr>
              <w:bidi w:val="0"/>
              <w:jc w:val="center"/>
              <w:rPr>
                <w:rFonts w:hint="eastAsia" w:ascii="宋体" w:hAnsi="宋体" w:eastAsia="宋体" w:cs="宋体"/>
                <w:b/>
                <w:bCs/>
                <w:color w:val="auto"/>
                <w:sz w:val="18"/>
                <w:szCs w:val="18"/>
              </w:rPr>
            </w:pPr>
          </w:p>
        </w:tc>
        <w:tc>
          <w:tcPr>
            <w:tcW w:w="1494" w:type="dxa"/>
            <w:noWrap w:val="0"/>
            <w:vAlign w:val="center"/>
          </w:tcPr>
          <w:p w14:paraId="097EF1A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477237D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10F7345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0"/>
            <w:vAlign w:val="center"/>
          </w:tcPr>
          <w:p w14:paraId="3313B1A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0"/>
            <w:vAlign w:val="center"/>
          </w:tcPr>
          <w:p w14:paraId="6DDA85B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0"/>
            <w:vAlign w:val="center"/>
          </w:tcPr>
          <w:p w14:paraId="176A972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Z＜2000</w:t>
            </w:r>
          </w:p>
        </w:tc>
      </w:tr>
      <w:tr w14:paraId="0CE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7606B6ED">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0"/>
            <w:vAlign w:val="center"/>
          </w:tcPr>
          <w:p w14:paraId="26D39C3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6523CC2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21D79D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172099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0702C63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0"/>
            <w:vAlign w:val="center"/>
          </w:tcPr>
          <w:p w14:paraId="164BF50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w:t>
            </w:r>
          </w:p>
        </w:tc>
      </w:tr>
      <w:tr w14:paraId="0127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1057A06C">
            <w:pPr>
              <w:bidi w:val="0"/>
              <w:jc w:val="center"/>
              <w:rPr>
                <w:rFonts w:hint="eastAsia" w:ascii="宋体" w:hAnsi="宋体" w:eastAsia="宋体" w:cs="宋体"/>
                <w:b/>
                <w:bCs/>
                <w:color w:val="auto"/>
                <w:sz w:val="18"/>
                <w:szCs w:val="18"/>
              </w:rPr>
            </w:pPr>
          </w:p>
        </w:tc>
        <w:tc>
          <w:tcPr>
            <w:tcW w:w="1494" w:type="dxa"/>
            <w:noWrap w:val="0"/>
            <w:vAlign w:val="center"/>
          </w:tcPr>
          <w:p w14:paraId="2E7A0D2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0ECDC1B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0349EF4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0"/>
            <w:vAlign w:val="center"/>
          </w:tcPr>
          <w:p w14:paraId="7FEB249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0"/>
            <w:vAlign w:val="center"/>
          </w:tcPr>
          <w:p w14:paraId="16318E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0"/>
            <w:vAlign w:val="center"/>
          </w:tcPr>
          <w:p w14:paraId="6E1B080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w:t>
            </w:r>
          </w:p>
        </w:tc>
      </w:tr>
      <w:tr w14:paraId="239A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35C7E95F">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0"/>
            <w:vAlign w:val="center"/>
          </w:tcPr>
          <w:p w14:paraId="3CD228C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77C8BB5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70EB870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72FAF28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3CAE1B4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3285D1F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6797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7BD86AE0">
            <w:pPr>
              <w:bidi w:val="0"/>
              <w:jc w:val="center"/>
              <w:rPr>
                <w:rFonts w:hint="eastAsia" w:ascii="宋体" w:hAnsi="宋体" w:eastAsia="宋体" w:cs="宋体"/>
                <w:b/>
                <w:bCs/>
                <w:color w:val="auto"/>
                <w:sz w:val="18"/>
                <w:szCs w:val="18"/>
              </w:rPr>
            </w:pPr>
          </w:p>
        </w:tc>
        <w:tc>
          <w:tcPr>
            <w:tcW w:w="1494" w:type="dxa"/>
            <w:noWrap w:val="0"/>
            <w:vAlign w:val="center"/>
          </w:tcPr>
          <w:p w14:paraId="23E1983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23E6B96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76F06C1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0"/>
            <w:vAlign w:val="center"/>
          </w:tcPr>
          <w:p w14:paraId="0FB2BF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0"/>
            <w:vAlign w:val="center"/>
          </w:tcPr>
          <w:p w14:paraId="46E8A29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0"/>
            <w:vAlign w:val="center"/>
          </w:tcPr>
          <w:p w14:paraId="4EEEB6B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w:t>
            </w:r>
          </w:p>
        </w:tc>
      </w:tr>
      <w:tr w14:paraId="138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650F6A23">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其他未列明行业 *</w:t>
            </w:r>
          </w:p>
        </w:tc>
        <w:tc>
          <w:tcPr>
            <w:tcW w:w="1494" w:type="dxa"/>
            <w:noWrap w:val="0"/>
            <w:vAlign w:val="center"/>
          </w:tcPr>
          <w:p w14:paraId="3883389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647B9D7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C6A0C6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E0D5F5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73031EC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5F7E5D8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bl>
    <w:p w14:paraId="71FD4AC4">
      <w:pPr>
        <w:pStyle w:val="44"/>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6BF66E5">
      <w:pPr>
        <w:pStyle w:val="44"/>
        <w:rPr>
          <w:color w:val="auto"/>
        </w:rPr>
      </w:pPr>
    </w:p>
    <w:p w14:paraId="020FA17C">
      <w:pPr>
        <w:tabs>
          <w:tab w:val="left" w:pos="432"/>
        </w:tabs>
        <w:jc w:val="center"/>
        <w:outlineLvl w:val="0"/>
        <w:rPr>
          <w:rFonts w:hint="eastAsia" w:ascii="宋体" w:hAnsi="宋体" w:eastAsia="宋体" w:cs="宋体"/>
          <w:color w:val="auto"/>
        </w:rPr>
      </w:pPr>
      <w:bookmarkStart w:id="155" w:name="_Toc25180"/>
      <w:bookmarkStart w:id="156" w:name="_Toc24625"/>
      <w:r>
        <w:rPr>
          <w:rStyle w:val="69"/>
          <w:rFonts w:hint="eastAsia" w:ascii="宋体" w:hAnsi="宋体" w:eastAsia="宋体" w:cs="宋体"/>
          <w:color w:val="auto"/>
          <w:lang w:val="zh-CN"/>
        </w:rPr>
        <w:t>第七章</w:t>
      </w:r>
      <w:r>
        <w:rPr>
          <w:rStyle w:val="69"/>
          <w:rFonts w:hint="eastAsia" w:ascii="宋体" w:hAnsi="宋体" w:eastAsia="宋体" w:cs="宋体"/>
          <w:color w:val="auto"/>
          <w:lang w:val="en-US" w:eastAsia="zh-CN"/>
        </w:rPr>
        <w:t xml:space="preserve">  </w:t>
      </w:r>
      <w:r>
        <w:rPr>
          <w:rStyle w:val="69"/>
          <w:rFonts w:hint="eastAsia" w:ascii="宋体" w:hAnsi="宋体" w:eastAsia="宋体" w:cs="宋体"/>
          <w:color w:val="auto"/>
          <w:lang w:val="zh-CN"/>
        </w:rPr>
        <w:t>附</w:t>
      </w:r>
      <w:r>
        <w:rPr>
          <w:rStyle w:val="69"/>
          <w:rFonts w:hint="eastAsia" w:ascii="宋体" w:hAnsi="宋体" w:eastAsia="宋体" w:cs="宋体"/>
          <w:color w:val="auto"/>
        </w:rPr>
        <w:t xml:space="preserve"> </w:t>
      </w:r>
      <w:r>
        <w:rPr>
          <w:rStyle w:val="69"/>
          <w:rFonts w:hint="eastAsia" w:ascii="宋体" w:hAnsi="宋体" w:eastAsia="宋体" w:cs="宋体"/>
          <w:color w:val="auto"/>
          <w:lang w:val="zh-CN"/>
        </w:rPr>
        <w:t>件</w:t>
      </w:r>
      <w:bookmarkEnd w:id="155"/>
      <w:bookmarkEnd w:id="156"/>
    </w:p>
    <w:p w14:paraId="5AADE7D0">
      <w:pPr>
        <w:rPr>
          <w:rFonts w:hint="eastAsia" w:ascii="宋体" w:hAnsi="宋体" w:eastAsia="宋体" w:cs="宋体"/>
          <w:color w:val="auto"/>
        </w:rPr>
      </w:pPr>
    </w:p>
    <w:p w14:paraId="114A11A0">
      <w:pPr>
        <w:autoSpaceDE w:val="0"/>
        <w:autoSpaceDN w:val="0"/>
        <w:adjustRightInd w:val="0"/>
        <w:snapToGrid w:val="0"/>
        <w:spacing w:line="360" w:lineRule="auto"/>
        <w:jc w:val="center"/>
        <w:outlineLvl w:val="0"/>
        <w:rPr>
          <w:rFonts w:hint="eastAsia" w:ascii="宋体" w:hAnsi="宋体" w:eastAsia="宋体" w:cs="宋体"/>
          <w:b/>
          <w:color w:val="auto"/>
          <w:sz w:val="32"/>
          <w:szCs w:val="32"/>
        </w:rPr>
      </w:pPr>
      <w:bookmarkStart w:id="157" w:name="_Toc1040"/>
      <w:bookmarkStart w:id="158" w:name="_Toc635"/>
      <w:bookmarkStart w:id="159" w:name="_Toc12391"/>
      <w:r>
        <w:rPr>
          <w:rFonts w:hint="eastAsia" w:ascii="宋体" w:hAnsi="宋体" w:eastAsia="宋体" w:cs="宋体"/>
          <w:b/>
          <w:color w:val="auto"/>
          <w:sz w:val="32"/>
          <w:szCs w:val="32"/>
          <w:lang w:val="zh-CN"/>
        </w:rPr>
        <w:t>投标文件包装袋封面标贴（格式）</w:t>
      </w:r>
      <w:bookmarkEnd w:id="157"/>
      <w:bookmarkEnd w:id="158"/>
      <w:bookmarkEnd w:id="159"/>
    </w:p>
    <w:tbl>
      <w:tblPr>
        <w:tblStyle w:val="24"/>
        <w:tblW w:w="8584" w:type="dxa"/>
        <w:jc w:val="center"/>
        <w:tblLayout w:type="fixed"/>
        <w:tblCellMar>
          <w:top w:w="0" w:type="dxa"/>
          <w:left w:w="108" w:type="dxa"/>
          <w:bottom w:w="0" w:type="dxa"/>
          <w:right w:w="108" w:type="dxa"/>
        </w:tblCellMar>
      </w:tblPr>
      <w:tblGrid>
        <w:gridCol w:w="8584"/>
      </w:tblGrid>
      <w:tr w14:paraId="7016083D">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4"/>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B83EDA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42C9DC38">
                  <w:pPr>
                    <w:snapToGrid w:val="0"/>
                    <w:spacing w:line="360" w:lineRule="auto"/>
                    <w:jc w:val="center"/>
                    <w:rPr>
                      <w:rFonts w:hint="eastAsia" w:ascii="宋体" w:hAnsi="宋体" w:eastAsia="宋体" w:cs="宋体"/>
                      <w:b/>
                      <w:color w:val="auto"/>
                      <w:sz w:val="30"/>
                    </w:rPr>
                  </w:pPr>
                </w:p>
                <w:p w14:paraId="676F931C">
                  <w:pPr>
                    <w:pStyle w:val="10"/>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w:t>
                  </w:r>
                </w:p>
                <w:p w14:paraId="102DB5E7">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（封口处加盖投标人公章）</w:t>
                  </w:r>
                </w:p>
                <w:p w14:paraId="3CE33B1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 xml:space="preserve">文件正本 </w:t>
                  </w:r>
                  <w:r>
                    <w:rPr>
                      <w:rFonts w:hint="eastAsia" w:ascii="宋体" w:hAnsi="宋体" w:eastAsia="宋体" w:cs="宋体"/>
                      <w:color w:val="auto"/>
                      <w:szCs w:val="21"/>
                      <w:u w:val="single"/>
                    </w:rPr>
                    <w:t>1</w:t>
                  </w:r>
                  <w:r>
                    <w:rPr>
                      <w:rFonts w:hint="eastAsia" w:ascii="宋体" w:hAnsi="宋体" w:eastAsia="宋体" w:cs="宋体"/>
                      <w:color w:val="auto"/>
                      <w:szCs w:val="21"/>
                    </w:rPr>
                    <w:t>份</w:t>
                  </w:r>
                  <w:r>
                    <w:rPr>
                      <w:rFonts w:hint="eastAsia" w:ascii="宋体" w:hAnsi="宋体" w:eastAsia="宋体" w:cs="宋体"/>
                      <w:color w:val="auto"/>
                      <w:szCs w:val="21"/>
                      <w:lang w:val="en-US" w:eastAsia="zh-CN"/>
                    </w:rPr>
                    <w:t>/</w:t>
                  </w:r>
                  <w:r>
                    <w:rPr>
                      <w:rFonts w:hint="eastAsia" w:ascii="宋体" w:hAnsi="宋体" w:eastAsia="宋体" w:cs="宋体"/>
                      <w:color w:val="auto"/>
                      <w:szCs w:val="21"/>
                    </w:rPr>
                    <w:t>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14:paraId="42626B8E">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14:paraId="4BD662C3">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E06FAB9">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05BCAE73">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734C24BF">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14:paraId="7DCB22F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14:paraId="14186D61">
                  <w:pPr>
                    <w:snapToGrid w:val="0"/>
                    <w:spacing w:line="360" w:lineRule="auto"/>
                    <w:ind w:firstLine="840" w:firstLineChars="400"/>
                    <w:rPr>
                      <w:rFonts w:hint="eastAsia" w:ascii="宋体" w:hAnsi="宋体" w:eastAsia="宋体" w:cs="宋体"/>
                      <w:b/>
                      <w:bCs/>
                      <w:color w:val="auto"/>
                      <w:sz w:val="24"/>
                      <w:u w:val="single"/>
                    </w:rPr>
                  </w:pPr>
                  <w:r>
                    <w:rPr>
                      <w:rFonts w:hint="eastAsia" w:ascii="宋体" w:hAnsi="宋体" w:eastAsia="宋体" w:cs="宋体"/>
                      <w:bCs/>
                      <w:color w:val="auto"/>
                      <w:szCs w:val="21"/>
                    </w:rPr>
                    <w:t xml:space="preserve">递交地点： </w:t>
                  </w:r>
                </w:p>
              </w:tc>
            </w:tr>
          </w:tbl>
          <w:p w14:paraId="09FEE8E8">
            <w:pPr>
              <w:snapToGrid w:val="0"/>
              <w:spacing w:line="360" w:lineRule="auto"/>
              <w:rPr>
                <w:rFonts w:hint="eastAsia" w:ascii="宋体" w:hAnsi="宋体" w:eastAsia="宋体" w:cs="宋体"/>
                <w:color w:val="auto"/>
              </w:rPr>
            </w:pPr>
          </w:p>
        </w:tc>
      </w:tr>
    </w:tbl>
    <w:p w14:paraId="548F9170">
      <w:pPr>
        <w:autoSpaceDE w:val="0"/>
        <w:autoSpaceDN w:val="0"/>
        <w:adjustRightInd w:val="0"/>
        <w:snapToGrid w:val="0"/>
        <w:spacing w:line="360" w:lineRule="auto"/>
        <w:jc w:val="center"/>
        <w:rPr>
          <w:rFonts w:hint="eastAsia" w:ascii="宋体" w:hAnsi="宋体" w:eastAsia="宋体" w:cs="宋体"/>
          <w:b/>
          <w:color w:val="auto"/>
          <w:sz w:val="32"/>
          <w:szCs w:val="32"/>
          <w:lang w:val="zh-CN"/>
        </w:rPr>
      </w:pPr>
    </w:p>
    <w:p w14:paraId="50E181AB">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rPr>
      </w:pPr>
      <w:bookmarkStart w:id="160" w:name="_Toc2744"/>
      <w:bookmarkStart w:id="161" w:name="_Toc9116"/>
      <w:bookmarkStart w:id="162" w:name="_Toc27134"/>
      <w:r>
        <w:rPr>
          <w:rFonts w:hint="eastAsia" w:ascii="宋体" w:hAnsi="宋体" w:eastAsia="宋体" w:cs="宋体"/>
          <w:b/>
          <w:color w:val="auto"/>
          <w:sz w:val="32"/>
          <w:szCs w:val="32"/>
          <w:lang w:val="zh-CN"/>
        </w:rPr>
        <w:t>投标文件电子版包装袋封面标贴（格式）</w:t>
      </w:r>
      <w:bookmarkEnd w:id="160"/>
      <w:bookmarkEnd w:id="161"/>
      <w:bookmarkEnd w:id="162"/>
    </w:p>
    <w:tbl>
      <w:tblPr>
        <w:tblStyle w:val="24"/>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74A5C96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1136C0DD">
            <w:pPr>
              <w:snapToGrid w:val="0"/>
              <w:spacing w:line="360" w:lineRule="auto"/>
              <w:jc w:val="center"/>
              <w:rPr>
                <w:rFonts w:hint="eastAsia" w:ascii="宋体" w:hAnsi="宋体" w:eastAsia="宋体" w:cs="宋体"/>
                <w:b/>
                <w:color w:val="auto"/>
                <w:sz w:val="30"/>
              </w:rPr>
            </w:pPr>
          </w:p>
          <w:p w14:paraId="6D712781">
            <w:pPr>
              <w:pStyle w:val="10"/>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政府采购项目投标文件电子版</w:t>
            </w:r>
          </w:p>
          <w:p w14:paraId="22F4D34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（封口处加盖供应商公章）</w:t>
            </w:r>
          </w:p>
          <w:p w14:paraId="2E1CB297">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文件电子版U盘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w:t>
            </w:r>
          </w:p>
          <w:p w14:paraId="36E89E1A">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14:paraId="2EA83C6B">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77C48D2">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6933135">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16538B4">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14:paraId="1DB7061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14:paraId="2FE3C020">
            <w:pPr>
              <w:snapToGrid w:val="0"/>
              <w:spacing w:line="360" w:lineRule="auto"/>
              <w:ind w:firstLine="840" w:firstLineChars="400"/>
              <w:rPr>
                <w:rFonts w:hint="eastAsia" w:ascii="宋体" w:hAnsi="宋体" w:eastAsia="宋体" w:cs="宋体"/>
                <w:color w:val="auto"/>
                <w:sz w:val="24"/>
              </w:rPr>
            </w:pPr>
            <w:r>
              <w:rPr>
                <w:rFonts w:hint="eastAsia" w:ascii="宋体" w:hAnsi="宋体" w:eastAsia="宋体" w:cs="宋体"/>
                <w:bCs/>
                <w:color w:val="auto"/>
                <w:szCs w:val="21"/>
              </w:rPr>
              <w:t xml:space="preserve">递交地点： </w:t>
            </w:r>
          </w:p>
        </w:tc>
      </w:tr>
    </w:tbl>
    <w:p w14:paraId="5EEE5D48">
      <w:pPr>
        <w:pStyle w:val="44"/>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HelveticaNeueLT Std Lt 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6C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A109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9A109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571E">
    <w:pPr>
      <w:pStyle w:val="16"/>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85E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0785E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19FF">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C2E0">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31FD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431FD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r>
      <w:rPr>
        <w:kern w:val="0"/>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032B">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8038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F8038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5AFD">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3B60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C3B60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30B4">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02A98">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602A98">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3596F">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A0">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8C97">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5A1E">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4069A">
    <w:pPr>
      <w:pStyle w:val="18"/>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1180">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B151">
    <w:pPr>
      <w:rPr>
        <w:rFonts w:hint="eastAsia"/>
        <w:color w:val="0070C0"/>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5B76">
    <w:pP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4924">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6572"/>
    <w:multiLevelType w:val="singleLevel"/>
    <w:tmpl w:val="8B996572"/>
    <w:lvl w:ilvl="0" w:tentative="0">
      <w:start w:val="1"/>
      <w:numFmt w:val="decimal"/>
      <w:lvlText w:val="%1."/>
      <w:lvlJc w:val="left"/>
      <w:pPr>
        <w:tabs>
          <w:tab w:val="left" w:pos="312"/>
        </w:tabs>
      </w:pPr>
    </w:lvl>
  </w:abstractNum>
  <w:abstractNum w:abstractNumId="1">
    <w:nsid w:val="9839F036"/>
    <w:multiLevelType w:val="singleLevel"/>
    <w:tmpl w:val="9839F036"/>
    <w:lvl w:ilvl="0" w:tentative="0">
      <w:start w:val="3"/>
      <w:numFmt w:val="chineseCounting"/>
      <w:suff w:val="space"/>
      <w:lvlText w:val="第%1章"/>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6122918"/>
    <w:multiLevelType w:val="singleLevel"/>
    <w:tmpl w:val="C6122918"/>
    <w:lvl w:ilvl="0" w:tentative="0">
      <w:start w:val="1"/>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2E6CA7A"/>
    <w:multiLevelType w:val="singleLevel"/>
    <w:tmpl w:val="D2E6CA7A"/>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6F60F4"/>
    <w:multiLevelType w:val="multilevel"/>
    <w:tmpl w:val="6E6F60F4"/>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EE773E"/>
    <w:multiLevelType w:val="singleLevel"/>
    <w:tmpl w:val="78EE773E"/>
    <w:lvl w:ilvl="0" w:tentative="0">
      <w:start w:val="1"/>
      <w:numFmt w:val="decimal"/>
      <w:lvlText w:val="%1."/>
      <w:lvlJc w:val="left"/>
      <w:pPr>
        <w:tabs>
          <w:tab w:val="left" w:pos="312"/>
        </w:tabs>
      </w:pPr>
    </w:lvl>
  </w:abstractNum>
  <w:abstractNum w:abstractNumId="13">
    <w:nsid w:val="7A0F6431"/>
    <w:multiLevelType w:val="singleLevel"/>
    <w:tmpl w:val="7A0F6431"/>
    <w:lvl w:ilvl="0" w:tentative="0">
      <w:start w:val="1"/>
      <w:numFmt w:val="decimal"/>
      <w:suff w:val="space"/>
      <w:lvlText w:val="%1."/>
      <w:lvlJc w:val="left"/>
    </w:lvl>
  </w:abstractNum>
  <w:num w:numId="1">
    <w:abstractNumId w:val="1"/>
  </w:num>
  <w:num w:numId="2">
    <w:abstractNumId w:val="3"/>
  </w:num>
  <w:num w:numId="3">
    <w:abstractNumId w:val="12"/>
  </w:num>
  <w:num w:numId="4">
    <w:abstractNumId w:val="0"/>
  </w:num>
  <w:num w:numId="5">
    <w:abstractNumId w:val="13"/>
  </w:num>
  <w:num w:numId="6">
    <w:abstractNumId w:val="4"/>
  </w:num>
  <w:num w:numId="7">
    <w:abstractNumId w:val="9"/>
  </w:num>
  <w:num w:numId="8">
    <w:abstractNumId w:val="7"/>
  </w:num>
  <w:num w:numId="9">
    <w:abstractNumId w:val="6"/>
  </w:num>
  <w:num w:numId="10">
    <w:abstractNumId w:val="2"/>
  </w:num>
  <w:num w:numId="11">
    <w:abstractNumId w:val="8"/>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4B32E7"/>
    <w:rsid w:val="00C46AAD"/>
    <w:rsid w:val="00D81B6C"/>
    <w:rsid w:val="00DD3B71"/>
    <w:rsid w:val="00E83921"/>
    <w:rsid w:val="00EC47B0"/>
    <w:rsid w:val="00F97C2F"/>
    <w:rsid w:val="00FC5547"/>
    <w:rsid w:val="010035A1"/>
    <w:rsid w:val="01280DEF"/>
    <w:rsid w:val="012A5D20"/>
    <w:rsid w:val="01742708"/>
    <w:rsid w:val="01916C5A"/>
    <w:rsid w:val="019540B7"/>
    <w:rsid w:val="01DC4A33"/>
    <w:rsid w:val="01F0269B"/>
    <w:rsid w:val="01F42148"/>
    <w:rsid w:val="01F42BFC"/>
    <w:rsid w:val="020350EF"/>
    <w:rsid w:val="02044C7F"/>
    <w:rsid w:val="020734F9"/>
    <w:rsid w:val="022475A8"/>
    <w:rsid w:val="022573A2"/>
    <w:rsid w:val="02393042"/>
    <w:rsid w:val="025F77FD"/>
    <w:rsid w:val="02663C42"/>
    <w:rsid w:val="02690772"/>
    <w:rsid w:val="02875423"/>
    <w:rsid w:val="02886E99"/>
    <w:rsid w:val="028F052A"/>
    <w:rsid w:val="029B4386"/>
    <w:rsid w:val="02F55107"/>
    <w:rsid w:val="02FD6FF2"/>
    <w:rsid w:val="034C646D"/>
    <w:rsid w:val="03747EDC"/>
    <w:rsid w:val="0390167B"/>
    <w:rsid w:val="03C436E0"/>
    <w:rsid w:val="03CA5A63"/>
    <w:rsid w:val="03F67248"/>
    <w:rsid w:val="04072D96"/>
    <w:rsid w:val="040D4253"/>
    <w:rsid w:val="04104EB9"/>
    <w:rsid w:val="04231E5E"/>
    <w:rsid w:val="04461F17"/>
    <w:rsid w:val="046A1513"/>
    <w:rsid w:val="049671AF"/>
    <w:rsid w:val="04A32A9C"/>
    <w:rsid w:val="04A335EA"/>
    <w:rsid w:val="04D07A99"/>
    <w:rsid w:val="04F14911"/>
    <w:rsid w:val="052D7D6B"/>
    <w:rsid w:val="05532F0D"/>
    <w:rsid w:val="057F30A3"/>
    <w:rsid w:val="0588302D"/>
    <w:rsid w:val="059F4E6E"/>
    <w:rsid w:val="05A22CCB"/>
    <w:rsid w:val="05A6764F"/>
    <w:rsid w:val="05B252A0"/>
    <w:rsid w:val="060849E7"/>
    <w:rsid w:val="064B76E6"/>
    <w:rsid w:val="066A2DA8"/>
    <w:rsid w:val="06A2692E"/>
    <w:rsid w:val="06A65148"/>
    <w:rsid w:val="06B320CD"/>
    <w:rsid w:val="06C673A5"/>
    <w:rsid w:val="06D06953"/>
    <w:rsid w:val="06DD2419"/>
    <w:rsid w:val="06DE1AC9"/>
    <w:rsid w:val="06E05BC6"/>
    <w:rsid w:val="06FB0DA0"/>
    <w:rsid w:val="072C3D8B"/>
    <w:rsid w:val="07533CB0"/>
    <w:rsid w:val="07896E78"/>
    <w:rsid w:val="07C56628"/>
    <w:rsid w:val="07C97472"/>
    <w:rsid w:val="07DA6BA9"/>
    <w:rsid w:val="08026C2E"/>
    <w:rsid w:val="081E7539"/>
    <w:rsid w:val="081F2D98"/>
    <w:rsid w:val="082A57A7"/>
    <w:rsid w:val="083F2C94"/>
    <w:rsid w:val="083F3BEC"/>
    <w:rsid w:val="088C017B"/>
    <w:rsid w:val="089811AF"/>
    <w:rsid w:val="089A4974"/>
    <w:rsid w:val="08D459F0"/>
    <w:rsid w:val="08E531F4"/>
    <w:rsid w:val="08EC44FB"/>
    <w:rsid w:val="092B207F"/>
    <w:rsid w:val="093F4F85"/>
    <w:rsid w:val="09A267F6"/>
    <w:rsid w:val="09B173FC"/>
    <w:rsid w:val="09EF661F"/>
    <w:rsid w:val="09F26260"/>
    <w:rsid w:val="09F6286C"/>
    <w:rsid w:val="0A045276"/>
    <w:rsid w:val="0A0838DE"/>
    <w:rsid w:val="0A2515E6"/>
    <w:rsid w:val="0A2C6474"/>
    <w:rsid w:val="0A8B3D7B"/>
    <w:rsid w:val="0A9A0574"/>
    <w:rsid w:val="0AA23C86"/>
    <w:rsid w:val="0AB7040D"/>
    <w:rsid w:val="0AB9026D"/>
    <w:rsid w:val="0AE84A44"/>
    <w:rsid w:val="0B070EC8"/>
    <w:rsid w:val="0B11587B"/>
    <w:rsid w:val="0B1672F1"/>
    <w:rsid w:val="0B1D3918"/>
    <w:rsid w:val="0B293A5F"/>
    <w:rsid w:val="0B2A30B5"/>
    <w:rsid w:val="0B4C0839"/>
    <w:rsid w:val="0B503A5B"/>
    <w:rsid w:val="0B7C70F7"/>
    <w:rsid w:val="0B8D6906"/>
    <w:rsid w:val="0B8E171D"/>
    <w:rsid w:val="0BE83FC5"/>
    <w:rsid w:val="0BEA07FD"/>
    <w:rsid w:val="0BFC0893"/>
    <w:rsid w:val="0C012E0F"/>
    <w:rsid w:val="0C8073BB"/>
    <w:rsid w:val="0C863025"/>
    <w:rsid w:val="0C8B487F"/>
    <w:rsid w:val="0CA31B45"/>
    <w:rsid w:val="0D006A41"/>
    <w:rsid w:val="0D3A3E9A"/>
    <w:rsid w:val="0D550DDA"/>
    <w:rsid w:val="0D734853"/>
    <w:rsid w:val="0D7611DC"/>
    <w:rsid w:val="0D8B17F4"/>
    <w:rsid w:val="0DA871EA"/>
    <w:rsid w:val="0DD47709"/>
    <w:rsid w:val="0DF265EC"/>
    <w:rsid w:val="0E1336A7"/>
    <w:rsid w:val="0E212E81"/>
    <w:rsid w:val="0E5105C9"/>
    <w:rsid w:val="0E851C91"/>
    <w:rsid w:val="0E874A3E"/>
    <w:rsid w:val="0E885D3D"/>
    <w:rsid w:val="0EA97EFE"/>
    <w:rsid w:val="0EAB3E74"/>
    <w:rsid w:val="0EB275BE"/>
    <w:rsid w:val="0F070785"/>
    <w:rsid w:val="0F0F5662"/>
    <w:rsid w:val="0F613572"/>
    <w:rsid w:val="0F6D38DD"/>
    <w:rsid w:val="0FAB1C03"/>
    <w:rsid w:val="0FCA203F"/>
    <w:rsid w:val="0FE17F26"/>
    <w:rsid w:val="1004433E"/>
    <w:rsid w:val="10181B0C"/>
    <w:rsid w:val="101F5E39"/>
    <w:rsid w:val="102A2EC9"/>
    <w:rsid w:val="10386635"/>
    <w:rsid w:val="10453650"/>
    <w:rsid w:val="1063075B"/>
    <w:rsid w:val="106B19F2"/>
    <w:rsid w:val="106D4DFE"/>
    <w:rsid w:val="108252DB"/>
    <w:rsid w:val="10A15C1D"/>
    <w:rsid w:val="10A228E0"/>
    <w:rsid w:val="110B6824"/>
    <w:rsid w:val="11151A17"/>
    <w:rsid w:val="11251C17"/>
    <w:rsid w:val="11451ACE"/>
    <w:rsid w:val="11757A4A"/>
    <w:rsid w:val="11786EBD"/>
    <w:rsid w:val="11A13E11"/>
    <w:rsid w:val="11AF7A44"/>
    <w:rsid w:val="11B322D4"/>
    <w:rsid w:val="11EA2FBC"/>
    <w:rsid w:val="11EF5A27"/>
    <w:rsid w:val="12367C1B"/>
    <w:rsid w:val="12645DB1"/>
    <w:rsid w:val="126F0D08"/>
    <w:rsid w:val="12700AE5"/>
    <w:rsid w:val="12E956CE"/>
    <w:rsid w:val="12FB779B"/>
    <w:rsid w:val="130A6074"/>
    <w:rsid w:val="13275AA1"/>
    <w:rsid w:val="13294AF3"/>
    <w:rsid w:val="134428A7"/>
    <w:rsid w:val="13867CAA"/>
    <w:rsid w:val="13B3664F"/>
    <w:rsid w:val="13B95267"/>
    <w:rsid w:val="13D206E6"/>
    <w:rsid w:val="140137CB"/>
    <w:rsid w:val="14072F84"/>
    <w:rsid w:val="14196B13"/>
    <w:rsid w:val="14273644"/>
    <w:rsid w:val="14522BCA"/>
    <w:rsid w:val="145E4782"/>
    <w:rsid w:val="14A00569"/>
    <w:rsid w:val="14A561B7"/>
    <w:rsid w:val="14B25AD3"/>
    <w:rsid w:val="14B44CE1"/>
    <w:rsid w:val="14CF29F4"/>
    <w:rsid w:val="15211C4B"/>
    <w:rsid w:val="153A2726"/>
    <w:rsid w:val="156F0F1F"/>
    <w:rsid w:val="157E6F22"/>
    <w:rsid w:val="15945E76"/>
    <w:rsid w:val="1597323D"/>
    <w:rsid w:val="15A46A71"/>
    <w:rsid w:val="15C57501"/>
    <w:rsid w:val="15D33839"/>
    <w:rsid w:val="15F227C3"/>
    <w:rsid w:val="15FF68A6"/>
    <w:rsid w:val="16154ABF"/>
    <w:rsid w:val="16165263"/>
    <w:rsid w:val="1617126C"/>
    <w:rsid w:val="163D12AD"/>
    <w:rsid w:val="16875174"/>
    <w:rsid w:val="168A0709"/>
    <w:rsid w:val="169D32AE"/>
    <w:rsid w:val="16A707AD"/>
    <w:rsid w:val="16BC5E4C"/>
    <w:rsid w:val="16F42E70"/>
    <w:rsid w:val="173C4945"/>
    <w:rsid w:val="17412D5A"/>
    <w:rsid w:val="175C184B"/>
    <w:rsid w:val="17816537"/>
    <w:rsid w:val="17A10B0C"/>
    <w:rsid w:val="17A63E91"/>
    <w:rsid w:val="17CB1B67"/>
    <w:rsid w:val="17E5658D"/>
    <w:rsid w:val="182251A7"/>
    <w:rsid w:val="1834569B"/>
    <w:rsid w:val="18481E9F"/>
    <w:rsid w:val="185047EA"/>
    <w:rsid w:val="1858031E"/>
    <w:rsid w:val="18620079"/>
    <w:rsid w:val="1871499D"/>
    <w:rsid w:val="187A389E"/>
    <w:rsid w:val="18842D36"/>
    <w:rsid w:val="18A5483E"/>
    <w:rsid w:val="18F61CFA"/>
    <w:rsid w:val="1914521E"/>
    <w:rsid w:val="192B668C"/>
    <w:rsid w:val="193516E3"/>
    <w:rsid w:val="19552CD2"/>
    <w:rsid w:val="195F248B"/>
    <w:rsid w:val="198D0107"/>
    <w:rsid w:val="19CD04FD"/>
    <w:rsid w:val="1A4C22E1"/>
    <w:rsid w:val="1A5634EF"/>
    <w:rsid w:val="1A9C170C"/>
    <w:rsid w:val="1AA22E1F"/>
    <w:rsid w:val="1AB43318"/>
    <w:rsid w:val="1AB63DC9"/>
    <w:rsid w:val="1B364F75"/>
    <w:rsid w:val="1B366A39"/>
    <w:rsid w:val="1B4E4DAB"/>
    <w:rsid w:val="1B5241D2"/>
    <w:rsid w:val="1B5710E2"/>
    <w:rsid w:val="1B760DB7"/>
    <w:rsid w:val="1B7E245F"/>
    <w:rsid w:val="1B9B37FD"/>
    <w:rsid w:val="1B9E5610"/>
    <w:rsid w:val="1BA222ED"/>
    <w:rsid w:val="1BAF319C"/>
    <w:rsid w:val="1BB2477E"/>
    <w:rsid w:val="1BB67FEC"/>
    <w:rsid w:val="1BB77E36"/>
    <w:rsid w:val="1BC4734C"/>
    <w:rsid w:val="1BDE4373"/>
    <w:rsid w:val="1BE175E3"/>
    <w:rsid w:val="1C0C5403"/>
    <w:rsid w:val="1C2A13ED"/>
    <w:rsid w:val="1C500D77"/>
    <w:rsid w:val="1C9C777B"/>
    <w:rsid w:val="1CA2245A"/>
    <w:rsid w:val="1CA47475"/>
    <w:rsid w:val="1CB32466"/>
    <w:rsid w:val="1CB36B84"/>
    <w:rsid w:val="1CBA77F5"/>
    <w:rsid w:val="1CFE69C3"/>
    <w:rsid w:val="1D0C7170"/>
    <w:rsid w:val="1D171A07"/>
    <w:rsid w:val="1D33787D"/>
    <w:rsid w:val="1D392A66"/>
    <w:rsid w:val="1D3B4320"/>
    <w:rsid w:val="1D496450"/>
    <w:rsid w:val="1D7D31BA"/>
    <w:rsid w:val="1D8B7418"/>
    <w:rsid w:val="1E133295"/>
    <w:rsid w:val="1E140646"/>
    <w:rsid w:val="1E1A02B2"/>
    <w:rsid w:val="1E364678"/>
    <w:rsid w:val="1E370AA5"/>
    <w:rsid w:val="1E5858D1"/>
    <w:rsid w:val="1E725431"/>
    <w:rsid w:val="1E7B1632"/>
    <w:rsid w:val="1E7D7EF2"/>
    <w:rsid w:val="1E89515C"/>
    <w:rsid w:val="1E964D21"/>
    <w:rsid w:val="1EAB0F03"/>
    <w:rsid w:val="1EB03C19"/>
    <w:rsid w:val="1EE862BF"/>
    <w:rsid w:val="1EF42956"/>
    <w:rsid w:val="1F0D66C1"/>
    <w:rsid w:val="1F122A17"/>
    <w:rsid w:val="1F126D8C"/>
    <w:rsid w:val="1F196954"/>
    <w:rsid w:val="1F3B03AF"/>
    <w:rsid w:val="1F3F552E"/>
    <w:rsid w:val="1FC34CD5"/>
    <w:rsid w:val="1FDD2B21"/>
    <w:rsid w:val="1FE31339"/>
    <w:rsid w:val="20152942"/>
    <w:rsid w:val="202D76F6"/>
    <w:rsid w:val="20513FEE"/>
    <w:rsid w:val="205D3F27"/>
    <w:rsid w:val="206156D7"/>
    <w:rsid w:val="209E49A9"/>
    <w:rsid w:val="20A36642"/>
    <w:rsid w:val="20BC73F6"/>
    <w:rsid w:val="20BD6CCC"/>
    <w:rsid w:val="20C54185"/>
    <w:rsid w:val="20E20AB0"/>
    <w:rsid w:val="20EB5FEB"/>
    <w:rsid w:val="20EE1865"/>
    <w:rsid w:val="210613DC"/>
    <w:rsid w:val="210822A7"/>
    <w:rsid w:val="21603C14"/>
    <w:rsid w:val="21661914"/>
    <w:rsid w:val="21D81DB2"/>
    <w:rsid w:val="22001566"/>
    <w:rsid w:val="220B11B4"/>
    <w:rsid w:val="2211568A"/>
    <w:rsid w:val="22184C4F"/>
    <w:rsid w:val="22321F41"/>
    <w:rsid w:val="2237112D"/>
    <w:rsid w:val="223F0DAE"/>
    <w:rsid w:val="22423249"/>
    <w:rsid w:val="224D187D"/>
    <w:rsid w:val="22534A89"/>
    <w:rsid w:val="22CA56D0"/>
    <w:rsid w:val="22F230EA"/>
    <w:rsid w:val="22F95FB5"/>
    <w:rsid w:val="2302081B"/>
    <w:rsid w:val="23081528"/>
    <w:rsid w:val="23251E14"/>
    <w:rsid w:val="23333575"/>
    <w:rsid w:val="23342A6A"/>
    <w:rsid w:val="2383091E"/>
    <w:rsid w:val="23863DFB"/>
    <w:rsid w:val="23964DE2"/>
    <w:rsid w:val="23AE1C91"/>
    <w:rsid w:val="23BE3486"/>
    <w:rsid w:val="23BF1144"/>
    <w:rsid w:val="23E505A2"/>
    <w:rsid w:val="23F65690"/>
    <w:rsid w:val="23F8612F"/>
    <w:rsid w:val="24AA264F"/>
    <w:rsid w:val="24C95072"/>
    <w:rsid w:val="24D4643D"/>
    <w:rsid w:val="24D87EB8"/>
    <w:rsid w:val="24FA263C"/>
    <w:rsid w:val="25225191"/>
    <w:rsid w:val="252B4B4C"/>
    <w:rsid w:val="254054E9"/>
    <w:rsid w:val="25952490"/>
    <w:rsid w:val="25AE1D42"/>
    <w:rsid w:val="25D03AAA"/>
    <w:rsid w:val="26034850"/>
    <w:rsid w:val="260D60B2"/>
    <w:rsid w:val="262E2F26"/>
    <w:rsid w:val="26581C46"/>
    <w:rsid w:val="26602A19"/>
    <w:rsid w:val="2666119D"/>
    <w:rsid w:val="266677F1"/>
    <w:rsid w:val="26926505"/>
    <w:rsid w:val="26947E31"/>
    <w:rsid w:val="26B15CA8"/>
    <w:rsid w:val="26C1041E"/>
    <w:rsid w:val="270868C7"/>
    <w:rsid w:val="270B2B20"/>
    <w:rsid w:val="270E035A"/>
    <w:rsid w:val="271D6716"/>
    <w:rsid w:val="27243FAE"/>
    <w:rsid w:val="27261217"/>
    <w:rsid w:val="2728195E"/>
    <w:rsid w:val="27382EDD"/>
    <w:rsid w:val="273F2584"/>
    <w:rsid w:val="277B343D"/>
    <w:rsid w:val="279F4A40"/>
    <w:rsid w:val="27A77AAD"/>
    <w:rsid w:val="280C79FC"/>
    <w:rsid w:val="2859668E"/>
    <w:rsid w:val="28682A7F"/>
    <w:rsid w:val="288A7DDB"/>
    <w:rsid w:val="288E128F"/>
    <w:rsid w:val="289B4722"/>
    <w:rsid w:val="28A101CD"/>
    <w:rsid w:val="28D0114A"/>
    <w:rsid w:val="28E4376F"/>
    <w:rsid w:val="28FE2B76"/>
    <w:rsid w:val="290651DC"/>
    <w:rsid w:val="2908618E"/>
    <w:rsid w:val="29160C34"/>
    <w:rsid w:val="29192172"/>
    <w:rsid w:val="2919519C"/>
    <w:rsid w:val="29376BC8"/>
    <w:rsid w:val="29591FEF"/>
    <w:rsid w:val="29B860EB"/>
    <w:rsid w:val="29F8767A"/>
    <w:rsid w:val="2A0718D0"/>
    <w:rsid w:val="2A0B5713"/>
    <w:rsid w:val="2A1366E5"/>
    <w:rsid w:val="2A323AFB"/>
    <w:rsid w:val="2A486221"/>
    <w:rsid w:val="2AA85397"/>
    <w:rsid w:val="2AA947AB"/>
    <w:rsid w:val="2ABB3F65"/>
    <w:rsid w:val="2AE30886"/>
    <w:rsid w:val="2AF90E15"/>
    <w:rsid w:val="2B4A0FE1"/>
    <w:rsid w:val="2B7A2E53"/>
    <w:rsid w:val="2BA315DB"/>
    <w:rsid w:val="2BD35B22"/>
    <w:rsid w:val="2BF912D2"/>
    <w:rsid w:val="2C372033"/>
    <w:rsid w:val="2C505BF9"/>
    <w:rsid w:val="2C770E03"/>
    <w:rsid w:val="2C7E684A"/>
    <w:rsid w:val="2CBB65D9"/>
    <w:rsid w:val="2CC25D53"/>
    <w:rsid w:val="2CC679D3"/>
    <w:rsid w:val="2CCA591B"/>
    <w:rsid w:val="2CDD6F7D"/>
    <w:rsid w:val="2CF041F0"/>
    <w:rsid w:val="2D085F4B"/>
    <w:rsid w:val="2D121C43"/>
    <w:rsid w:val="2D4358F8"/>
    <w:rsid w:val="2D7D2A72"/>
    <w:rsid w:val="2D933BBB"/>
    <w:rsid w:val="2D996EDA"/>
    <w:rsid w:val="2DBE4F31"/>
    <w:rsid w:val="2E0E27F9"/>
    <w:rsid w:val="2E144748"/>
    <w:rsid w:val="2E165FEC"/>
    <w:rsid w:val="2E1B2277"/>
    <w:rsid w:val="2E4A09D1"/>
    <w:rsid w:val="2E762E50"/>
    <w:rsid w:val="2E882B17"/>
    <w:rsid w:val="2E936009"/>
    <w:rsid w:val="2EB513B0"/>
    <w:rsid w:val="2ECE62A1"/>
    <w:rsid w:val="2ED26C0D"/>
    <w:rsid w:val="2EDB48DD"/>
    <w:rsid w:val="2EED2804"/>
    <w:rsid w:val="2F020C7A"/>
    <w:rsid w:val="2F0D23F0"/>
    <w:rsid w:val="2F1553C8"/>
    <w:rsid w:val="2F876BA1"/>
    <w:rsid w:val="2F8E7492"/>
    <w:rsid w:val="2FBD42F4"/>
    <w:rsid w:val="2FC92972"/>
    <w:rsid w:val="2FCA68E6"/>
    <w:rsid w:val="2FD76C30"/>
    <w:rsid w:val="2FF03DBF"/>
    <w:rsid w:val="300B294A"/>
    <w:rsid w:val="301E2235"/>
    <w:rsid w:val="305E799E"/>
    <w:rsid w:val="30604C50"/>
    <w:rsid w:val="307A46ED"/>
    <w:rsid w:val="307D166E"/>
    <w:rsid w:val="308D0D35"/>
    <w:rsid w:val="30985799"/>
    <w:rsid w:val="309D133A"/>
    <w:rsid w:val="309E046A"/>
    <w:rsid w:val="30C85734"/>
    <w:rsid w:val="30CD02C6"/>
    <w:rsid w:val="30D94E5A"/>
    <w:rsid w:val="31045E10"/>
    <w:rsid w:val="314C66F8"/>
    <w:rsid w:val="31585D86"/>
    <w:rsid w:val="316372CE"/>
    <w:rsid w:val="318647B8"/>
    <w:rsid w:val="319C7325"/>
    <w:rsid w:val="31A2725B"/>
    <w:rsid w:val="31B4098A"/>
    <w:rsid w:val="31BD0A75"/>
    <w:rsid w:val="32023E0A"/>
    <w:rsid w:val="321B34FE"/>
    <w:rsid w:val="3238406C"/>
    <w:rsid w:val="32523DE7"/>
    <w:rsid w:val="32761A27"/>
    <w:rsid w:val="32A847DC"/>
    <w:rsid w:val="32D0500A"/>
    <w:rsid w:val="331B6CB4"/>
    <w:rsid w:val="3358706C"/>
    <w:rsid w:val="337C585D"/>
    <w:rsid w:val="337E0A1E"/>
    <w:rsid w:val="33A46D62"/>
    <w:rsid w:val="33E66022"/>
    <w:rsid w:val="34180735"/>
    <w:rsid w:val="34312801"/>
    <w:rsid w:val="34372892"/>
    <w:rsid w:val="344633A1"/>
    <w:rsid w:val="34484799"/>
    <w:rsid w:val="346A231A"/>
    <w:rsid w:val="34B76E60"/>
    <w:rsid w:val="34E66AA0"/>
    <w:rsid w:val="35210518"/>
    <w:rsid w:val="35503048"/>
    <w:rsid w:val="35516836"/>
    <w:rsid w:val="35C93368"/>
    <w:rsid w:val="360F65D2"/>
    <w:rsid w:val="361A55C6"/>
    <w:rsid w:val="362D7D2D"/>
    <w:rsid w:val="3646703E"/>
    <w:rsid w:val="36490F24"/>
    <w:rsid w:val="36546EC1"/>
    <w:rsid w:val="365C5A21"/>
    <w:rsid w:val="36734407"/>
    <w:rsid w:val="36AC3B15"/>
    <w:rsid w:val="36CE2325"/>
    <w:rsid w:val="36DC0386"/>
    <w:rsid w:val="370D6A0A"/>
    <w:rsid w:val="373A5EAF"/>
    <w:rsid w:val="37B13A18"/>
    <w:rsid w:val="37B37B17"/>
    <w:rsid w:val="37BF3C99"/>
    <w:rsid w:val="37C863CA"/>
    <w:rsid w:val="37CA0F32"/>
    <w:rsid w:val="37E62B54"/>
    <w:rsid w:val="37F22186"/>
    <w:rsid w:val="382A7D7A"/>
    <w:rsid w:val="38316036"/>
    <w:rsid w:val="386A108F"/>
    <w:rsid w:val="388116E1"/>
    <w:rsid w:val="38821630"/>
    <w:rsid w:val="38866568"/>
    <w:rsid w:val="38934E7C"/>
    <w:rsid w:val="389925DE"/>
    <w:rsid w:val="38B46952"/>
    <w:rsid w:val="38FC2956"/>
    <w:rsid w:val="390B7209"/>
    <w:rsid w:val="39171FBA"/>
    <w:rsid w:val="393157D1"/>
    <w:rsid w:val="393424EE"/>
    <w:rsid w:val="39441C7A"/>
    <w:rsid w:val="39611066"/>
    <w:rsid w:val="397A398F"/>
    <w:rsid w:val="398E0A89"/>
    <w:rsid w:val="39970EFF"/>
    <w:rsid w:val="399B1E8F"/>
    <w:rsid w:val="39AF008B"/>
    <w:rsid w:val="39B959A2"/>
    <w:rsid w:val="39EC3034"/>
    <w:rsid w:val="3A040DD9"/>
    <w:rsid w:val="3A340E1C"/>
    <w:rsid w:val="3A652DFC"/>
    <w:rsid w:val="3A8B4A80"/>
    <w:rsid w:val="3A9F27CC"/>
    <w:rsid w:val="3AAD2709"/>
    <w:rsid w:val="3AB13B21"/>
    <w:rsid w:val="3AC340D5"/>
    <w:rsid w:val="3AD53AEF"/>
    <w:rsid w:val="3AED376C"/>
    <w:rsid w:val="3AF34C6C"/>
    <w:rsid w:val="3B0F3632"/>
    <w:rsid w:val="3B245F49"/>
    <w:rsid w:val="3B2742FF"/>
    <w:rsid w:val="3B6C4F63"/>
    <w:rsid w:val="3B80043C"/>
    <w:rsid w:val="3B89333F"/>
    <w:rsid w:val="3B9D79CE"/>
    <w:rsid w:val="3BA754B1"/>
    <w:rsid w:val="3BC66AA5"/>
    <w:rsid w:val="3BC75DD9"/>
    <w:rsid w:val="3BF86C78"/>
    <w:rsid w:val="3C5C16A6"/>
    <w:rsid w:val="3C7F0E81"/>
    <w:rsid w:val="3C896CAE"/>
    <w:rsid w:val="3C8C6288"/>
    <w:rsid w:val="3C8F32A2"/>
    <w:rsid w:val="3C9524C7"/>
    <w:rsid w:val="3CC56D98"/>
    <w:rsid w:val="3CC659DD"/>
    <w:rsid w:val="3CEB236D"/>
    <w:rsid w:val="3D04097B"/>
    <w:rsid w:val="3D462262"/>
    <w:rsid w:val="3DC05588"/>
    <w:rsid w:val="3DC456E6"/>
    <w:rsid w:val="3DDF52B7"/>
    <w:rsid w:val="3E08054B"/>
    <w:rsid w:val="3E2B12C1"/>
    <w:rsid w:val="3EE25C68"/>
    <w:rsid w:val="3EE56777"/>
    <w:rsid w:val="3EEA143A"/>
    <w:rsid w:val="3EEE4839"/>
    <w:rsid w:val="3EF55F3D"/>
    <w:rsid w:val="3F0D6905"/>
    <w:rsid w:val="3F5D0D52"/>
    <w:rsid w:val="3F60728F"/>
    <w:rsid w:val="3F6B2967"/>
    <w:rsid w:val="3FD2010C"/>
    <w:rsid w:val="3FDB1DC5"/>
    <w:rsid w:val="3FE61C9B"/>
    <w:rsid w:val="3FEF530B"/>
    <w:rsid w:val="40175DF6"/>
    <w:rsid w:val="401C1EC0"/>
    <w:rsid w:val="403B1563"/>
    <w:rsid w:val="405404A4"/>
    <w:rsid w:val="40545931"/>
    <w:rsid w:val="40852EA8"/>
    <w:rsid w:val="40872753"/>
    <w:rsid w:val="40B057B7"/>
    <w:rsid w:val="40CB1007"/>
    <w:rsid w:val="40EA5463"/>
    <w:rsid w:val="40F9619C"/>
    <w:rsid w:val="4116587D"/>
    <w:rsid w:val="412A0206"/>
    <w:rsid w:val="412E2AAC"/>
    <w:rsid w:val="413F59B5"/>
    <w:rsid w:val="415E01D2"/>
    <w:rsid w:val="415E6718"/>
    <w:rsid w:val="416A0945"/>
    <w:rsid w:val="41845E3E"/>
    <w:rsid w:val="41D93893"/>
    <w:rsid w:val="41DB0635"/>
    <w:rsid w:val="41F140A7"/>
    <w:rsid w:val="41F543BB"/>
    <w:rsid w:val="41FD518C"/>
    <w:rsid w:val="421B6F49"/>
    <w:rsid w:val="421D3616"/>
    <w:rsid w:val="42236939"/>
    <w:rsid w:val="42383125"/>
    <w:rsid w:val="42972FD4"/>
    <w:rsid w:val="42E41E7D"/>
    <w:rsid w:val="42FE38EE"/>
    <w:rsid w:val="430976F7"/>
    <w:rsid w:val="432F5491"/>
    <w:rsid w:val="434F5475"/>
    <w:rsid w:val="435F733A"/>
    <w:rsid w:val="43634B06"/>
    <w:rsid w:val="438549CD"/>
    <w:rsid w:val="438F22F2"/>
    <w:rsid w:val="438F42E8"/>
    <w:rsid w:val="43B2251C"/>
    <w:rsid w:val="43FA3C0F"/>
    <w:rsid w:val="44297293"/>
    <w:rsid w:val="442F692A"/>
    <w:rsid w:val="44633D92"/>
    <w:rsid w:val="44761E67"/>
    <w:rsid w:val="44BE0D1E"/>
    <w:rsid w:val="451B3EB1"/>
    <w:rsid w:val="451F7083"/>
    <w:rsid w:val="45255743"/>
    <w:rsid w:val="45285F65"/>
    <w:rsid w:val="45323CD8"/>
    <w:rsid w:val="453412AC"/>
    <w:rsid w:val="45AC5CBD"/>
    <w:rsid w:val="45DE6E20"/>
    <w:rsid w:val="46251DE0"/>
    <w:rsid w:val="462F61DD"/>
    <w:rsid w:val="463E4A03"/>
    <w:rsid w:val="46641B70"/>
    <w:rsid w:val="466F45E0"/>
    <w:rsid w:val="46A94684"/>
    <w:rsid w:val="46AF13FF"/>
    <w:rsid w:val="46B052EA"/>
    <w:rsid w:val="46B7319D"/>
    <w:rsid w:val="46DE4D6B"/>
    <w:rsid w:val="47027509"/>
    <w:rsid w:val="471516F3"/>
    <w:rsid w:val="47254704"/>
    <w:rsid w:val="474651F6"/>
    <w:rsid w:val="47830878"/>
    <w:rsid w:val="47BA0074"/>
    <w:rsid w:val="47C75C6A"/>
    <w:rsid w:val="481B1D63"/>
    <w:rsid w:val="48224FC6"/>
    <w:rsid w:val="483C3D23"/>
    <w:rsid w:val="486539C9"/>
    <w:rsid w:val="48842608"/>
    <w:rsid w:val="48A04BD6"/>
    <w:rsid w:val="48E348B9"/>
    <w:rsid w:val="490F0EA3"/>
    <w:rsid w:val="492E2242"/>
    <w:rsid w:val="493059DD"/>
    <w:rsid w:val="49332F4B"/>
    <w:rsid w:val="495763F2"/>
    <w:rsid w:val="49843CAA"/>
    <w:rsid w:val="49D04944"/>
    <w:rsid w:val="4A373620"/>
    <w:rsid w:val="4A3C47C9"/>
    <w:rsid w:val="4A513E5D"/>
    <w:rsid w:val="4A800876"/>
    <w:rsid w:val="4A814BE1"/>
    <w:rsid w:val="4ABB2DCE"/>
    <w:rsid w:val="4AC3192A"/>
    <w:rsid w:val="4ACE02BF"/>
    <w:rsid w:val="4AD20CF4"/>
    <w:rsid w:val="4AF04A59"/>
    <w:rsid w:val="4B1056B8"/>
    <w:rsid w:val="4B1E7AFA"/>
    <w:rsid w:val="4B49666C"/>
    <w:rsid w:val="4B9C3D69"/>
    <w:rsid w:val="4BCC42C1"/>
    <w:rsid w:val="4BD76C71"/>
    <w:rsid w:val="4BF13566"/>
    <w:rsid w:val="4C264C54"/>
    <w:rsid w:val="4C2E2A8A"/>
    <w:rsid w:val="4C337134"/>
    <w:rsid w:val="4C733FA7"/>
    <w:rsid w:val="4C887540"/>
    <w:rsid w:val="4CA60BFE"/>
    <w:rsid w:val="4CCC3053"/>
    <w:rsid w:val="4CD615D7"/>
    <w:rsid w:val="4CF62452"/>
    <w:rsid w:val="4D005384"/>
    <w:rsid w:val="4D324917"/>
    <w:rsid w:val="4DA56B30"/>
    <w:rsid w:val="4DD70A04"/>
    <w:rsid w:val="4DFD1C7D"/>
    <w:rsid w:val="4E060EE0"/>
    <w:rsid w:val="4E2231DF"/>
    <w:rsid w:val="4E2B0E50"/>
    <w:rsid w:val="4E4E290C"/>
    <w:rsid w:val="4E52092E"/>
    <w:rsid w:val="4E7C5765"/>
    <w:rsid w:val="4E915497"/>
    <w:rsid w:val="4E9C63DE"/>
    <w:rsid w:val="4F005FFC"/>
    <w:rsid w:val="4F037FE2"/>
    <w:rsid w:val="4F142D3C"/>
    <w:rsid w:val="4F30005F"/>
    <w:rsid w:val="4F3119F3"/>
    <w:rsid w:val="4F4137F2"/>
    <w:rsid w:val="4F5006D0"/>
    <w:rsid w:val="4F5610A4"/>
    <w:rsid w:val="4F887E26"/>
    <w:rsid w:val="4F9449AD"/>
    <w:rsid w:val="50453E87"/>
    <w:rsid w:val="50AC4A9C"/>
    <w:rsid w:val="51110D87"/>
    <w:rsid w:val="512B0D66"/>
    <w:rsid w:val="513D73A2"/>
    <w:rsid w:val="514209A3"/>
    <w:rsid w:val="519571F7"/>
    <w:rsid w:val="51993882"/>
    <w:rsid w:val="51A217D6"/>
    <w:rsid w:val="51AA0B29"/>
    <w:rsid w:val="51B40698"/>
    <w:rsid w:val="51D32F91"/>
    <w:rsid w:val="520F032D"/>
    <w:rsid w:val="52146DE8"/>
    <w:rsid w:val="524E7CE1"/>
    <w:rsid w:val="525D167B"/>
    <w:rsid w:val="52725D43"/>
    <w:rsid w:val="52796647"/>
    <w:rsid w:val="52796A3F"/>
    <w:rsid w:val="52B61649"/>
    <w:rsid w:val="52CE708B"/>
    <w:rsid w:val="52F8157B"/>
    <w:rsid w:val="534F3236"/>
    <w:rsid w:val="535D333D"/>
    <w:rsid w:val="536224F1"/>
    <w:rsid w:val="538D587F"/>
    <w:rsid w:val="53B02B97"/>
    <w:rsid w:val="53BA131B"/>
    <w:rsid w:val="54121E5E"/>
    <w:rsid w:val="54170CD6"/>
    <w:rsid w:val="542B43C7"/>
    <w:rsid w:val="543F60E9"/>
    <w:rsid w:val="546222EE"/>
    <w:rsid w:val="54E51A3C"/>
    <w:rsid w:val="55324D30"/>
    <w:rsid w:val="554E0F89"/>
    <w:rsid w:val="55510EE0"/>
    <w:rsid w:val="555F6B30"/>
    <w:rsid w:val="5575518C"/>
    <w:rsid w:val="55A53ECF"/>
    <w:rsid w:val="55C91DC1"/>
    <w:rsid w:val="55D40AD3"/>
    <w:rsid w:val="560921BB"/>
    <w:rsid w:val="5633235B"/>
    <w:rsid w:val="564219A9"/>
    <w:rsid w:val="56607BC9"/>
    <w:rsid w:val="567B3B76"/>
    <w:rsid w:val="567C2335"/>
    <w:rsid w:val="568C7AEB"/>
    <w:rsid w:val="569B54F7"/>
    <w:rsid w:val="56BD6CE8"/>
    <w:rsid w:val="56E1704D"/>
    <w:rsid w:val="570F34A5"/>
    <w:rsid w:val="571E6A70"/>
    <w:rsid w:val="572A4BF6"/>
    <w:rsid w:val="572F3C30"/>
    <w:rsid w:val="57982E98"/>
    <w:rsid w:val="57990444"/>
    <w:rsid w:val="579D4B86"/>
    <w:rsid w:val="57E767DB"/>
    <w:rsid w:val="57F81A2D"/>
    <w:rsid w:val="58070DA1"/>
    <w:rsid w:val="582813FD"/>
    <w:rsid w:val="58471F1C"/>
    <w:rsid w:val="5859521B"/>
    <w:rsid w:val="58E978B0"/>
    <w:rsid w:val="59567DC7"/>
    <w:rsid w:val="597F778F"/>
    <w:rsid w:val="59984902"/>
    <w:rsid w:val="599A156F"/>
    <w:rsid w:val="599C071E"/>
    <w:rsid w:val="59BB183D"/>
    <w:rsid w:val="59C00807"/>
    <w:rsid w:val="59CB4CED"/>
    <w:rsid w:val="59D92F40"/>
    <w:rsid w:val="59E9140D"/>
    <w:rsid w:val="59EE16C8"/>
    <w:rsid w:val="59F96B9D"/>
    <w:rsid w:val="5A307F33"/>
    <w:rsid w:val="5A5172EE"/>
    <w:rsid w:val="5A557999"/>
    <w:rsid w:val="5A767F63"/>
    <w:rsid w:val="5AB9795B"/>
    <w:rsid w:val="5AC8673A"/>
    <w:rsid w:val="5AC93F70"/>
    <w:rsid w:val="5AD36106"/>
    <w:rsid w:val="5AE91A9D"/>
    <w:rsid w:val="5AEA1E3F"/>
    <w:rsid w:val="5AEF4765"/>
    <w:rsid w:val="5B2902CB"/>
    <w:rsid w:val="5B3C51ED"/>
    <w:rsid w:val="5B4841F9"/>
    <w:rsid w:val="5B5B5E65"/>
    <w:rsid w:val="5B78675B"/>
    <w:rsid w:val="5B786F07"/>
    <w:rsid w:val="5B7D2AB2"/>
    <w:rsid w:val="5B941CAD"/>
    <w:rsid w:val="5B9A7BBF"/>
    <w:rsid w:val="5BB77629"/>
    <w:rsid w:val="5BCE6C66"/>
    <w:rsid w:val="5BCF2503"/>
    <w:rsid w:val="5C362559"/>
    <w:rsid w:val="5C3A3FF3"/>
    <w:rsid w:val="5C69739A"/>
    <w:rsid w:val="5C8271FC"/>
    <w:rsid w:val="5CAD0998"/>
    <w:rsid w:val="5CFD0A1E"/>
    <w:rsid w:val="5D1915B9"/>
    <w:rsid w:val="5D1B45A3"/>
    <w:rsid w:val="5D4305E5"/>
    <w:rsid w:val="5D853F18"/>
    <w:rsid w:val="5D8E6227"/>
    <w:rsid w:val="5D9C533F"/>
    <w:rsid w:val="5DB045FF"/>
    <w:rsid w:val="5DBA7287"/>
    <w:rsid w:val="5DD27EAF"/>
    <w:rsid w:val="5DDA06E5"/>
    <w:rsid w:val="5DDF25B5"/>
    <w:rsid w:val="5E1511A9"/>
    <w:rsid w:val="5E1F44CA"/>
    <w:rsid w:val="5E604C26"/>
    <w:rsid w:val="5E87679A"/>
    <w:rsid w:val="5E92578E"/>
    <w:rsid w:val="5EC71B65"/>
    <w:rsid w:val="5F0C7335"/>
    <w:rsid w:val="5F3156D7"/>
    <w:rsid w:val="5F834C6B"/>
    <w:rsid w:val="5FBB24D0"/>
    <w:rsid w:val="5FC80ED8"/>
    <w:rsid w:val="5FCB7E0D"/>
    <w:rsid w:val="5FD05D3D"/>
    <w:rsid w:val="5FE308D8"/>
    <w:rsid w:val="5FEB7814"/>
    <w:rsid w:val="5FFC0490"/>
    <w:rsid w:val="600B5602"/>
    <w:rsid w:val="600C35A2"/>
    <w:rsid w:val="601156B4"/>
    <w:rsid w:val="602A7586"/>
    <w:rsid w:val="603A6D71"/>
    <w:rsid w:val="60594EBD"/>
    <w:rsid w:val="608F34D9"/>
    <w:rsid w:val="60AC2CF1"/>
    <w:rsid w:val="60C8325D"/>
    <w:rsid w:val="60E857B6"/>
    <w:rsid w:val="60E86B97"/>
    <w:rsid w:val="60FA737C"/>
    <w:rsid w:val="60FB2D31"/>
    <w:rsid w:val="60FD3B17"/>
    <w:rsid w:val="60FE4AB5"/>
    <w:rsid w:val="610B3E18"/>
    <w:rsid w:val="612D6046"/>
    <w:rsid w:val="614F5763"/>
    <w:rsid w:val="61B068EB"/>
    <w:rsid w:val="61C30503"/>
    <w:rsid w:val="61C85F17"/>
    <w:rsid w:val="625D128F"/>
    <w:rsid w:val="6269265D"/>
    <w:rsid w:val="62D25CA1"/>
    <w:rsid w:val="62D7717A"/>
    <w:rsid w:val="62F26C9D"/>
    <w:rsid w:val="631C23D6"/>
    <w:rsid w:val="63285DAD"/>
    <w:rsid w:val="63500DA3"/>
    <w:rsid w:val="635B2773"/>
    <w:rsid w:val="636F1C55"/>
    <w:rsid w:val="6397392D"/>
    <w:rsid w:val="63F01C9E"/>
    <w:rsid w:val="64204AE0"/>
    <w:rsid w:val="6438001E"/>
    <w:rsid w:val="644F0316"/>
    <w:rsid w:val="64572560"/>
    <w:rsid w:val="645E38EF"/>
    <w:rsid w:val="645F3C33"/>
    <w:rsid w:val="6467324D"/>
    <w:rsid w:val="6478658A"/>
    <w:rsid w:val="647F192D"/>
    <w:rsid w:val="647F48D1"/>
    <w:rsid w:val="64C939C4"/>
    <w:rsid w:val="64CF3CF1"/>
    <w:rsid w:val="64E43E87"/>
    <w:rsid w:val="64E84A93"/>
    <w:rsid w:val="652677FD"/>
    <w:rsid w:val="654D1BA5"/>
    <w:rsid w:val="65674143"/>
    <w:rsid w:val="6573771B"/>
    <w:rsid w:val="6593581A"/>
    <w:rsid w:val="65AC0081"/>
    <w:rsid w:val="65C07C91"/>
    <w:rsid w:val="65CA3DFC"/>
    <w:rsid w:val="65CB1F90"/>
    <w:rsid w:val="660214B0"/>
    <w:rsid w:val="6603303F"/>
    <w:rsid w:val="662629C3"/>
    <w:rsid w:val="66262F8E"/>
    <w:rsid w:val="662D049F"/>
    <w:rsid w:val="663027B3"/>
    <w:rsid w:val="666A2B12"/>
    <w:rsid w:val="668F398C"/>
    <w:rsid w:val="669D227B"/>
    <w:rsid w:val="66AE278B"/>
    <w:rsid w:val="67197305"/>
    <w:rsid w:val="67346A2B"/>
    <w:rsid w:val="673F0CCA"/>
    <w:rsid w:val="675B5F01"/>
    <w:rsid w:val="6761487F"/>
    <w:rsid w:val="67B5214F"/>
    <w:rsid w:val="67ED7463"/>
    <w:rsid w:val="67F64824"/>
    <w:rsid w:val="681F5AE6"/>
    <w:rsid w:val="68376BD9"/>
    <w:rsid w:val="6867167A"/>
    <w:rsid w:val="689870AC"/>
    <w:rsid w:val="68A14CB7"/>
    <w:rsid w:val="68BA3916"/>
    <w:rsid w:val="68CA0CAE"/>
    <w:rsid w:val="68DB4DB9"/>
    <w:rsid w:val="69476B41"/>
    <w:rsid w:val="69861FB1"/>
    <w:rsid w:val="699D0726"/>
    <w:rsid w:val="69A730D1"/>
    <w:rsid w:val="69BC7CD4"/>
    <w:rsid w:val="6A0E0C43"/>
    <w:rsid w:val="6A0F04B8"/>
    <w:rsid w:val="6A46685B"/>
    <w:rsid w:val="6A473715"/>
    <w:rsid w:val="6A5415FD"/>
    <w:rsid w:val="6A600491"/>
    <w:rsid w:val="6A7A6FA8"/>
    <w:rsid w:val="6A7B092A"/>
    <w:rsid w:val="6A8D19C6"/>
    <w:rsid w:val="6AE353C7"/>
    <w:rsid w:val="6AE87C13"/>
    <w:rsid w:val="6AFC6742"/>
    <w:rsid w:val="6B03194B"/>
    <w:rsid w:val="6B064398"/>
    <w:rsid w:val="6B565FDE"/>
    <w:rsid w:val="6B7235F7"/>
    <w:rsid w:val="6B785C6A"/>
    <w:rsid w:val="6B7F16AF"/>
    <w:rsid w:val="6BDC027D"/>
    <w:rsid w:val="6BE859EB"/>
    <w:rsid w:val="6BF54B38"/>
    <w:rsid w:val="6C12513D"/>
    <w:rsid w:val="6C136D6D"/>
    <w:rsid w:val="6C3F2E1C"/>
    <w:rsid w:val="6C557E72"/>
    <w:rsid w:val="6C594CDA"/>
    <w:rsid w:val="6C5B76A8"/>
    <w:rsid w:val="6C6002DD"/>
    <w:rsid w:val="6C7F4402"/>
    <w:rsid w:val="6CA210BB"/>
    <w:rsid w:val="6CAB1E86"/>
    <w:rsid w:val="6CE83CC8"/>
    <w:rsid w:val="6CF323DA"/>
    <w:rsid w:val="6D0112BB"/>
    <w:rsid w:val="6D252EE9"/>
    <w:rsid w:val="6D48513C"/>
    <w:rsid w:val="6D5D0BE7"/>
    <w:rsid w:val="6D8217D6"/>
    <w:rsid w:val="6D8B550C"/>
    <w:rsid w:val="6D9949ED"/>
    <w:rsid w:val="6DA74691"/>
    <w:rsid w:val="6DB97361"/>
    <w:rsid w:val="6DBD3434"/>
    <w:rsid w:val="6DBF3E94"/>
    <w:rsid w:val="6E3000E1"/>
    <w:rsid w:val="6E3449E9"/>
    <w:rsid w:val="6E4849B3"/>
    <w:rsid w:val="6E5C0E9F"/>
    <w:rsid w:val="6E6A4564"/>
    <w:rsid w:val="6E7104A8"/>
    <w:rsid w:val="6E922D4C"/>
    <w:rsid w:val="6E95363D"/>
    <w:rsid w:val="6EAE1AAA"/>
    <w:rsid w:val="6EDC761D"/>
    <w:rsid w:val="6EE46F12"/>
    <w:rsid w:val="6EEB71F8"/>
    <w:rsid w:val="6F044E3E"/>
    <w:rsid w:val="6F281617"/>
    <w:rsid w:val="6F3C3AA0"/>
    <w:rsid w:val="6F5B769C"/>
    <w:rsid w:val="6F765C12"/>
    <w:rsid w:val="6F783750"/>
    <w:rsid w:val="6F7C784D"/>
    <w:rsid w:val="6F7D660A"/>
    <w:rsid w:val="6F9014D6"/>
    <w:rsid w:val="6FB47A4E"/>
    <w:rsid w:val="6FC54878"/>
    <w:rsid w:val="6FE4132D"/>
    <w:rsid w:val="6FF258E2"/>
    <w:rsid w:val="6FF87AD9"/>
    <w:rsid w:val="7016626E"/>
    <w:rsid w:val="704416AC"/>
    <w:rsid w:val="706051B4"/>
    <w:rsid w:val="707822DA"/>
    <w:rsid w:val="708171B0"/>
    <w:rsid w:val="70A05028"/>
    <w:rsid w:val="70A83A69"/>
    <w:rsid w:val="70BA4909"/>
    <w:rsid w:val="70E76D94"/>
    <w:rsid w:val="70F40803"/>
    <w:rsid w:val="710739B3"/>
    <w:rsid w:val="71260839"/>
    <w:rsid w:val="714D278A"/>
    <w:rsid w:val="7195752F"/>
    <w:rsid w:val="71C26195"/>
    <w:rsid w:val="71C72529"/>
    <w:rsid w:val="7200762F"/>
    <w:rsid w:val="72194BB5"/>
    <w:rsid w:val="72352D34"/>
    <w:rsid w:val="725B146D"/>
    <w:rsid w:val="725E037D"/>
    <w:rsid w:val="726C0120"/>
    <w:rsid w:val="729F135A"/>
    <w:rsid w:val="72D930E7"/>
    <w:rsid w:val="730302F8"/>
    <w:rsid w:val="730E028E"/>
    <w:rsid w:val="730E67AE"/>
    <w:rsid w:val="7331397E"/>
    <w:rsid w:val="733D3D42"/>
    <w:rsid w:val="734A78F8"/>
    <w:rsid w:val="735A7977"/>
    <w:rsid w:val="736743DD"/>
    <w:rsid w:val="736C4093"/>
    <w:rsid w:val="737C74B3"/>
    <w:rsid w:val="737F4531"/>
    <w:rsid w:val="73BB6A80"/>
    <w:rsid w:val="73C82DC9"/>
    <w:rsid w:val="73D77D84"/>
    <w:rsid w:val="73DC48A4"/>
    <w:rsid w:val="74044778"/>
    <w:rsid w:val="7423258A"/>
    <w:rsid w:val="742F3714"/>
    <w:rsid w:val="743054DC"/>
    <w:rsid w:val="74543118"/>
    <w:rsid w:val="74617C76"/>
    <w:rsid w:val="7466495B"/>
    <w:rsid w:val="74763DFB"/>
    <w:rsid w:val="747F7B17"/>
    <w:rsid w:val="74D87576"/>
    <w:rsid w:val="74E44ACA"/>
    <w:rsid w:val="74F81534"/>
    <w:rsid w:val="75065DE4"/>
    <w:rsid w:val="75114065"/>
    <w:rsid w:val="75272800"/>
    <w:rsid w:val="75422471"/>
    <w:rsid w:val="7574240D"/>
    <w:rsid w:val="758C6B50"/>
    <w:rsid w:val="758E2CD2"/>
    <w:rsid w:val="75A57E58"/>
    <w:rsid w:val="75BE1A00"/>
    <w:rsid w:val="75CE5976"/>
    <w:rsid w:val="75DD43B2"/>
    <w:rsid w:val="75FE5451"/>
    <w:rsid w:val="76354A40"/>
    <w:rsid w:val="763F1CCE"/>
    <w:rsid w:val="763F535A"/>
    <w:rsid w:val="76580D30"/>
    <w:rsid w:val="766C5D71"/>
    <w:rsid w:val="76A61C59"/>
    <w:rsid w:val="76AF53ED"/>
    <w:rsid w:val="76FE6510"/>
    <w:rsid w:val="77351533"/>
    <w:rsid w:val="77630534"/>
    <w:rsid w:val="779A7906"/>
    <w:rsid w:val="779E07BB"/>
    <w:rsid w:val="77B24736"/>
    <w:rsid w:val="77E03EC1"/>
    <w:rsid w:val="77F7671B"/>
    <w:rsid w:val="77F81D88"/>
    <w:rsid w:val="77FE2FC7"/>
    <w:rsid w:val="78000B40"/>
    <w:rsid w:val="780B434D"/>
    <w:rsid w:val="781524F9"/>
    <w:rsid w:val="78174088"/>
    <w:rsid w:val="783F7C0E"/>
    <w:rsid w:val="7847284E"/>
    <w:rsid w:val="78546508"/>
    <w:rsid w:val="788C6B26"/>
    <w:rsid w:val="78C80859"/>
    <w:rsid w:val="78DC79F9"/>
    <w:rsid w:val="78F91935"/>
    <w:rsid w:val="79040ECA"/>
    <w:rsid w:val="795025F4"/>
    <w:rsid w:val="799E56AB"/>
    <w:rsid w:val="79A50EDE"/>
    <w:rsid w:val="79BE3388"/>
    <w:rsid w:val="79CB21FB"/>
    <w:rsid w:val="79D605D6"/>
    <w:rsid w:val="7A2E0622"/>
    <w:rsid w:val="7A487974"/>
    <w:rsid w:val="7A487EA8"/>
    <w:rsid w:val="7A4F4C9D"/>
    <w:rsid w:val="7A7533E8"/>
    <w:rsid w:val="7A8D23E0"/>
    <w:rsid w:val="7A9A3A3A"/>
    <w:rsid w:val="7AB665A5"/>
    <w:rsid w:val="7AD7100E"/>
    <w:rsid w:val="7AE10CB7"/>
    <w:rsid w:val="7AFE3F8C"/>
    <w:rsid w:val="7B0D351A"/>
    <w:rsid w:val="7B0E45C5"/>
    <w:rsid w:val="7B1B73FE"/>
    <w:rsid w:val="7B2A2D79"/>
    <w:rsid w:val="7B504B90"/>
    <w:rsid w:val="7B625DF6"/>
    <w:rsid w:val="7B630288"/>
    <w:rsid w:val="7BBB6C2C"/>
    <w:rsid w:val="7BCE4D30"/>
    <w:rsid w:val="7BDD7288"/>
    <w:rsid w:val="7BEB5610"/>
    <w:rsid w:val="7BF726C8"/>
    <w:rsid w:val="7C1837B1"/>
    <w:rsid w:val="7CFD3E8B"/>
    <w:rsid w:val="7D0A4830"/>
    <w:rsid w:val="7D282BA2"/>
    <w:rsid w:val="7D3C176D"/>
    <w:rsid w:val="7D9A40AD"/>
    <w:rsid w:val="7E01593B"/>
    <w:rsid w:val="7E0E07CF"/>
    <w:rsid w:val="7E277154"/>
    <w:rsid w:val="7E27775F"/>
    <w:rsid w:val="7E550A2F"/>
    <w:rsid w:val="7EA87B5E"/>
    <w:rsid w:val="7EAF27D5"/>
    <w:rsid w:val="7EFC0FC9"/>
    <w:rsid w:val="7F1B58F9"/>
    <w:rsid w:val="7F2B4E5F"/>
    <w:rsid w:val="7F39685D"/>
    <w:rsid w:val="7F4A6450"/>
    <w:rsid w:val="7F72234E"/>
    <w:rsid w:val="7F8B138A"/>
    <w:rsid w:val="7F9F075F"/>
    <w:rsid w:val="7FA536FE"/>
    <w:rsid w:val="7FAA09FC"/>
    <w:rsid w:val="7FB47434"/>
    <w:rsid w:val="7FB92CE4"/>
    <w:rsid w:val="7FBC53E8"/>
    <w:rsid w:val="7FCE6BB2"/>
    <w:rsid w:val="7FDA0A5B"/>
    <w:rsid w:val="7FDE1A66"/>
    <w:rsid w:val="7FE02F83"/>
    <w:rsid w:val="7FE06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
    <w:qFormat/>
    <w:uiPriority w:val="0"/>
    <w:pPr>
      <w:spacing w:line="0" w:lineRule="atLeast"/>
    </w:pPr>
    <w:rPr>
      <w:b/>
      <w:sz w:val="30"/>
      <w:szCs w:val="20"/>
    </w:rPr>
  </w:style>
  <w:style w:type="paragraph" w:styleId="11">
    <w:name w:val="Body Text Indent"/>
    <w:basedOn w:val="1"/>
    <w:qFormat/>
    <w:uiPriority w:val="0"/>
    <w:pPr>
      <w:spacing w:after="120" w:afterLines="0" w:afterAutospacing="0"/>
      <w:ind w:left="420" w:leftChars="200"/>
    </w:pPr>
  </w:style>
  <w:style w:type="paragraph" w:styleId="12">
    <w:name w:val="List 2"/>
    <w:basedOn w:val="1"/>
    <w:qFormat/>
    <w:uiPriority w:val="0"/>
    <w:pPr>
      <w:ind w:left="100" w:leftChars="200" w:hanging="200" w:hangingChars="200"/>
    </w:pPr>
    <w:rPr>
      <w:rFonts w:ascii="Times New Roman" w:hAnsi="Times New Roman" w:eastAsia="仿宋"/>
      <w:sz w:val="28"/>
      <w:szCs w:val="24"/>
    </w:rPr>
  </w:style>
  <w:style w:type="paragraph" w:styleId="13">
    <w:name w:val="Plain Text"/>
    <w:basedOn w:val="1"/>
    <w:qFormat/>
    <w:uiPriority w:val="0"/>
    <w:rPr>
      <w:rFonts w:ascii="宋体" w:hAnsi="Courier New"/>
    </w:rPr>
  </w:style>
  <w:style w:type="paragraph" w:styleId="14">
    <w:name w:val="Date"/>
    <w:basedOn w:val="1"/>
    <w:next w:val="1"/>
    <w:qFormat/>
    <w:uiPriority w:val="0"/>
    <w:rPr>
      <w:sz w:val="24"/>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pPr>
      <w:spacing w:before="120" w:after="120"/>
      <w:jc w:val="left"/>
    </w:pPr>
    <w:rPr>
      <w:b/>
      <w:bCs/>
      <w:caps/>
      <w:sz w:val="20"/>
      <w:szCs w:val="20"/>
    </w:rPr>
  </w:style>
  <w:style w:type="paragraph" w:styleId="20">
    <w:name w:val="Normal (Web)"/>
    <w:basedOn w:val="1"/>
    <w:qFormat/>
    <w:uiPriority w:val="0"/>
    <w:pPr>
      <w:jc w:val="left"/>
    </w:pPr>
    <w:rPr>
      <w:rFonts w:cs="Times New Roman"/>
      <w:kern w:val="0"/>
      <w:sz w:val="24"/>
    </w:rPr>
  </w:style>
  <w:style w:type="paragraph" w:styleId="21">
    <w:name w:val="Title"/>
    <w:basedOn w:val="1"/>
    <w:next w:val="1"/>
    <w:link w:val="92"/>
    <w:qFormat/>
    <w:uiPriority w:val="0"/>
    <w:pPr>
      <w:widowControl/>
      <w:spacing w:before="240" w:beforeLines="0" w:after="60" w:afterLines="0"/>
      <w:jc w:val="center"/>
      <w:outlineLvl w:val="0"/>
    </w:pPr>
    <w:rPr>
      <w:rFonts w:ascii="Arial" w:hAnsi="Arial" w:cs="Arial"/>
      <w:b/>
      <w:bCs/>
      <w:kern w:val="0"/>
      <w:sz w:val="44"/>
      <w:szCs w:val="32"/>
    </w:rPr>
  </w:style>
  <w:style w:type="paragraph" w:styleId="22">
    <w:name w:val="Body Text First Indent"/>
    <w:basedOn w:val="1"/>
    <w:next w:val="1"/>
    <w:qFormat/>
    <w:uiPriority w:val="0"/>
    <w:pPr>
      <w:spacing w:after="120" w:afterLines="0"/>
      <w:ind w:firstLine="420" w:firstLineChars="100"/>
    </w:pPr>
    <w:rPr>
      <w:rFonts w:eastAsia="宋体"/>
      <w:sz w:val="21"/>
      <w:szCs w:val="24"/>
    </w:rPr>
  </w:style>
  <w:style w:type="paragraph" w:styleId="23">
    <w:name w:val="Body Text First Indent 2"/>
    <w:basedOn w:val="11"/>
    <w:qFormat/>
    <w:uiPriority w:val="0"/>
    <w:pPr>
      <w:spacing w:after="120"/>
      <w:ind w:left="420" w:leftChars="200" w:firstLine="420" w:firstLineChars="200"/>
    </w:pPr>
    <w:rPr>
      <w:rFonts w:ascii="Times New Roman"/>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方案正文"/>
    <w:basedOn w:val="1"/>
    <w:qFormat/>
    <w:uiPriority w:val="0"/>
    <w:pPr>
      <w:spacing w:before="156" w:line="360" w:lineRule="auto"/>
      <w:ind w:firstLine="359" w:firstLineChars="171"/>
      <w:jc w:val="left"/>
    </w:pPr>
    <w:rPr>
      <w:sz w:val="24"/>
    </w:rPr>
  </w:style>
  <w:style w:type="paragraph" w:customStyle="1" w:styleId="42">
    <w:name w:val="_Style 3"/>
    <w:next w:val="4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Pa13"/>
    <w:basedOn w:val="44"/>
    <w:next w:val="44"/>
    <w:qFormat/>
    <w:uiPriority w:val="99"/>
    <w:pPr>
      <w:spacing w:line="241" w:lineRule="atLeast"/>
    </w:pPr>
    <w:rPr>
      <w:rFonts w:ascii="HelveticaNeueLT Std Lt Cn" w:hAnsi="Calibri" w:eastAsia="HelveticaNeueLT Std Lt Cn" w:cs="Times New Roman"/>
      <w:color w:val="auto"/>
    </w:rPr>
  </w:style>
  <w:style w:type="paragraph" w:customStyle="1" w:styleId="44">
    <w:name w:val="Default"/>
    <w:next w:val="1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7">
    <w:name w:val="Char Char Char"/>
    <w:basedOn w:val="1"/>
    <w:qFormat/>
    <w:uiPriority w:val="0"/>
    <w:rPr>
      <w:szCs w:val="20"/>
    </w:rPr>
  </w:style>
  <w:style w:type="character" w:customStyle="1" w:styleId="48">
    <w:name w:val="font01"/>
    <w:basedOn w:val="26"/>
    <w:qFormat/>
    <w:uiPriority w:val="0"/>
    <w:rPr>
      <w:rFonts w:hint="eastAsia" w:ascii="宋体" w:hAnsi="宋体" w:eastAsia="宋体" w:cs="宋体"/>
      <w:color w:val="000000"/>
      <w:sz w:val="28"/>
      <w:szCs w:val="28"/>
      <w:u w:val="none"/>
    </w:rPr>
  </w:style>
  <w:style w:type="paragraph" w:customStyle="1" w:styleId="49">
    <w:name w:val="目录"/>
    <w:basedOn w:val="1"/>
    <w:qFormat/>
    <w:uiPriority w:val="0"/>
    <w:pPr>
      <w:jc w:val="center"/>
    </w:pPr>
    <w:rPr>
      <w:rFonts w:ascii="宋体" w:hAnsi="Times New Roman" w:eastAsia="宋体" w:cs="Times New Roman"/>
      <w:sz w:val="36"/>
    </w:rPr>
  </w:style>
  <w:style w:type="character" w:customStyle="1" w:styleId="50">
    <w:name w:val="font51"/>
    <w:basedOn w:val="26"/>
    <w:qFormat/>
    <w:uiPriority w:val="0"/>
    <w:rPr>
      <w:rFonts w:hint="eastAsia" w:ascii="宋体" w:hAnsi="宋体" w:eastAsia="宋体" w:cs="宋体"/>
      <w:color w:val="000000"/>
      <w:sz w:val="28"/>
      <w:szCs w:val="28"/>
      <w:u w:val="none"/>
    </w:rPr>
  </w:style>
  <w:style w:type="character" w:customStyle="1" w:styleId="51">
    <w:name w:val="font21"/>
    <w:basedOn w:val="26"/>
    <w:qFormat/>
    <w:uiPriority w:val="0"/>
    <w:rPr>
      <w:rFonts w:ascii="Arial" w:hAnsi="Arial" w:cs="Arial"/>
      <w:color w:val="000000"/>
      <w:sz w:val="28"/>
      <w:szCs w:val="28"/>
      <w:u w:val="none"/>
    </w:rPr>
  </w:style>
  <w:style w:type="character" w:customStyle="1" w:styleId="52">
    <w:name w:val="font61"/>
    <w:basedOn w:val="26"/>
    <w:qFormat/>
    <w:uiPriority w:val="0"/>
    <w:rPr>
      <w:rFonts w:hint="eastAsia" w:ascii="宋体" w:hAnsi="宋体" w:eastAsia="宋体" w:cs="宋体"/>
      <w:color w:val="000000"/>
      <w:sz w:val="20"/>
      <w:szCs w:val="20"/>
      <w:u w:val="none"/>
    </w:rPr>
  </w:style>
  <w:style w:type="character" w:customStyle="1" w:styleId="53">
    <w:name w:val="font11"/>
    <w:basedOn w:val="26"/>
    <w:qFormat/>
    <w:uiPriority w:val="0"/>
    <w:rPr>
      <w:rFonts w:hint="eastAsia" w:ascii="宋体" w:hAnsi="宋体" w:eastAsia="宋体" w:cs="宋体"/>
      <w:color w:val="FF0000"/>
      <w:sz w:val="20"/>
      <w:szCs w:val="20"/>
      <w:u w:val="none"/>
    </w:rPr>
  </w:style>
  <w:style w:type="character" w:customStyle="1" w:styleId="54">
    <w:name w:val="font31"/>
    <w:basedOn w:val="26"/>
    <w:qFormat/>
    <w:uiPriority w:val="0"/>
    <w:rPr>
      <w:rFonts w:hint="default" w:ascii="Times New Roman" w:hAnsi="Times New Roman" w:cs="Times New Roman"/>
      <w:color w:val="FF0000"/>
      <w:sz w:val="21"/>
      <w:szCs w:val="21"/>
      <w:u w:val="none"/>
    </w:rPr>
  </w:style>
  <w:style w:type="character" w:customStyle="1" w:styleId="55">
    <w:name w:val="font41"/>
    <w:basedOn w:val="26"/>
    <w:qFormat/>
    <w:uiPriority w:val="0"/>
    <w:rPr>
      <w:rFonts w:hint="eastAsia" w:ascii="宋体" w:hAnsi="宋体" w:eastAsia="宋体" w:cs="宋体"/>
      <w:color w:val="FF0000"/>
      <w:sz w:val="21"/>
      <w:szCs w:val="21"/>
      <w:u w:val="none"/>
    </w:rPr>
  </w:style>
  <w:style w:type="paragraph" w:customStyle="1" w:styleId="56">
    <w:name w:val="_Style 2"/>
    <w:basedOn w:val="1"/>
    <w:qFormat/>
    <w:uiPriority w:val="34"/>
    <w:pPr>
      <w:widowControl/>
      <w:ind w:firstLine="420" w:firstLineChars="200"/>
      <w:jc w:val="left"/>
    </w:pPr>
    <w:rPr>
      <w:rFonts w:ascii="宋体" w:hAnsi="宋体" w:cs="宋体"/>
      <w:kern w:val="0"/>
      <w:sz w:val="24"/>
    </w:rPr>
  </w:style>
  <w:style w:type="character" w:customStyle="1" w:styleId="57">
    <w:name w:val="font71"/>
    <w:basedOn w:val="26"/>
    <w:qFormat/>
    <w:uiPriority w:val="0"/>
    <w:rPr>
      <w:rFonts w:hint="eastAsia" w:ascii="宋体" w:hAnsi="宋体" w:eastAsia="宋体" w:cs="宋体"/>
      <w:color w:val="000000"/>
      <w:sz w:val="28"/>
      <w:szCs w:val="28"/>
      <w:u w:val="none"/>
    </w:rPr>
  </w:style>
  <w:style w:type="paragraph" w:customStyle="1" w:styleId="58">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9">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60">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61">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2">
    <w:name w:val="redfilenumber"/>
    <w:basedOn w:val="26"/>
    <w:qFormat/>
    <w:uiPriority w:val="0"/>
    <w:rPr>
      <w:color w:val="BA2636"/>
      <w:sz w:val="18"/>
      <w:szCs w:val="18"/>
    </w:rPr>
  </w:style>
  <w:style w:type="character" w:customStyle="1" w:styleId="63">
    <w:name w:val="gjfg"/>
    <w:basedOn w:val="26"/>
    <w:qFormat/>
    <w:uiPriority w:val="0"/>
  </w:style>
  <w:style w:type="character" w:customStyle="1" w:styleId="64">
    <w:name w:val="qxdate"/>
    <w:basedOn w:val="26"/>
    <w:qFormat/>
    <w:uiPriority w:val="0"/>
    <w:rPr>
      <w:color w:val="333333"/>
      <w:sz w:val="18"/>
      <w:szCs w:val="18"/>
    </w:rPr>
  </w:style>
  <w:style w:type="character" w:customStyle="1" w:styleId="65">
    <w:name w:val="redfilefwwh"/>
    <w:basedOn w:val="26"/>
    <w:qFormat/>
    <w:uiPriority w:val="0"/>
    <w:rPr>
      <w:color w:val="BA2636"/>
      <w:sz w:val="18"/>
      <w:szCs w:val="18"/>
    </w:rPr>
  </w:style>
  <w:style w:type="character" w:customStyle="1" w:styleId="66">
    <w:name w:val="cfdate"/>
    <w:basedOn w:val="26"/>
    <w:qFormat/>
    <w:uiPriority w:val="0"/>
    <w:rPr>
      <w:color w:val="333333"/>
      <w:sz w:val="18"/>
      <w:szCs w:val="18"/>
    </w:rPr>
  </w:style>
  <w:style w:type="character" w:customStyle="1" w:styleId="67">
    <w:name w:val="displayarti"/>
    <w:basedOn w:val="26"/>
    <w:qFormat/>
    <w:uiPriority w:val="0"/>
    <w:rPr>
      <w:color w:val="FFFFFF"/>
      <w:shd w:val="clear" w:color="auto" w:fill="A00000"/>
    </w:rPr>
  </w:style>
  <w:style w:type="paragraph" w:styleId="68">
    <w:name w:val="List Paragraph"/>
    <w:basedOn w:val="1"/>
    <w:qFormat/>
    <w:uiPriority w:val="34"/>
    <w:pPr>
      <w:ind w:left="720"/>
      <w:contextualSpacing/>
    </w:pPr>
  </w:style>
  <w:style w:type="character" w:customStyle="1" w:styleId="69">
    <w:name w:val="标题 1 Char"/>
    <w:link w:val="3"/>
    <w:qFormat/>
    <w:uiPriority w:val="0"/>
    <w:rPr>
      <w:b/>
      <w:bCs/>
      <w:kern w:val="44"/>
      <w:sz w:val="44"/>
      <w:szCs w:val="44"/>
    </w:rPr>
  </w:style>
  <w:style w:type="character" w:customStyle="1" w:styleId="70">
    <w:name w:val="hover5"/>
    <w:basedOn w:val="26"/>
    <w:qFormat/>
    <w:uiPriority w:val="0"/>
    <w:rPr>
      <w:color w:val="0063BA"/>
    </w:rPr>
  </w:style>
  <w:style w:type="character" w:customStyle="1" w:styleId="71">
    <w:name w:val="before"/>
    <w:basedOn w:val="26"/>
    <w:qFormat/>
    <w:uiPriority w:val="0"/>
    <w:rPr>
      <w:shd w:val="clear" w:fill="E22323"/>
    </w:rPr>
  </w:style>
  <w:style w:type="paragraph" w:customStyle="1" w:styleId="72">
    <w:name w:val="Table Paragraph"/>
    <w:basedOn w:val="1"/>
    <w:qFormat/>
    <w:uiPriority w:val="1"/>
    <w:rPr>
      <w:rFonts w:ascii="宋体" w:hAnsi="宋体" w:eastAsia="宋体" w:cs="宋体"/>
      <w:lang w:val="zh-CN" w:eastAsia="zh-CN" w:bidi="zh-CN"/>
    </w:rPr>
  </w:style>
  <w:style w:type="character" w:customStyle="1" w:styleId="73">
    <w:name w:val="prev"/>
    <w:basedOn w:val="26"/>
    <w:qFormat/>
    <w:uiPriority w:val="0"/>
    <w:rPr>
      <w:rFonts w:ascii="微软雅黑" w:hAnsi="微软雅黑" w:eastAsia="微软雅黑" w:cs="微软雅黑"/>
      <w:sz w:val="21"/>
      <w:szCs w:val="21"/>
    </w:rPr>
  </w:style>
  <w:style w:type="character" w:customStyle="1" w:styleId="74">
    <w:name w:val="prev1"/>
    <w:basedOn w:val="26"/>
    <w:qFormat/>
    <w:uiPriority w:val="0"/>
    <w:rPr>
      <w:color w:val="888888"/>
    </w:rPr>
  </w:style>
  <w:style w:type="character" w:customStyle="1" w:styleId="75">
    <w:name w:val="next"/>
    <w:basedOn w:val="26"/>
    <w:qFormat/>
    <w:uiPriority w:val="0"/>
    <w:rPr>
      <w:rFonts w:hint="eastAsia" w:ascii="微软雅黑" w:hAnsi="微软雅黑" w:eastAsia="微软雅黑" w:cs="微软雅黑"/>
      <w:sz w:val="21"/>
      <w:szCs w:val="21"/>
    </w:rPr>
  </w:style>
  <w:style w:type="character" w:customStyle="1" w:styleId="76">
    <w:name w:val="next1"/>
    <w:basedOn w:val="26"/>
    <w:qFormat/>
    <w:uiPriority w:val="0"/>
    <w:rPr>
      <w:color w:val="888888"/>
    </w:rPr>
  </w:style>
  <w:style w:type="character" w:customStyle="1" w:styleId="77">
    <w:name w:val="NormalCharacter"/>
    <w:qFormat/>
    <w:uiPriority w:val="0"/>
    <w:rPr>
      <w:kern w:val="2"/>
      <w:sz w:val="21"/>
      <w:szCs w:val="22"/>
      <w:lang w:val="en-US" w:eastAsia="zh-CN" w:bidi="ar-SA"/>
    </w:rPr>
  </w:style>
  <w:style w:type="paragraph" w:customStyle="1" w:styleId="78">
    <w:name w:val="列出段落1"/>
    <w:basedOn w:val="1"/>
    <w:qFormat/>
    <w:uiPriority w:val="0"/>
    <w:pPr>
      <w:ind w:firstLine="420" w:firstLineChars="200"/>
    </w:pPr>
    <w:rPr>
      <w:szCs w:val="24"/>
    </w:rPr>
  </w:style>
  <w:style w:type="paragraph" w:customStyle="1" w:styleId="79">
    <w:name w:val="列表段落1"/>
    <w:basedOn w:val="1"/>
    <w:qFormat/>
    <w:uiPriority w:val="34"/>
    <w:pPr>
      <w:ind w:firstLine="420" w:firstLineChars="200"/>
    </w:pPr>
    <w:rPr>
      <w:szCs w:val="24"/>
    </w:rPr>
  </w:style>
  <w:style w:type="paragraph" w:customStyle="1" w:styleId="80">
    <w:name w:val="CM11"/>
    <w:basedOn w:val="44"/>
    <w:next w:val="44"/>
    <w:unhideWhenUsed/>
    <w:qFormat/>
    <w:uiPriority w:val="99"/>
    <w:pPr>
      <w:spacing w:beforeLines="0" w:afterLines="0" w:line="520" w:lineRule="atLeast"/>
    </w:pPr>
    <w:rPr>
      <w:rFonts w:hint="default"/>
      <w:sz w:val="24"/>
    </w:rPr>
  </w:style>
  <w:style w:type="paragraph" w:customStyle="1" w:styleId="81">
    <w:name w:val="CM13"/>
    <w:basedOn w:val="44"/>
    <w:next w:val="44"/>
    <w:unhideWhenUsed/>
    <w:qFormat/>
    <w:uiPriority w:val="99"/>
    <w:pPr>
      <w:spacing w:beforeLines="0" w:afterLines="0" w:line="520" w:lineRule="atLeast"/>
    </w:pPr>
    <w:rPr>
      <w:rFonts w:hint="default"/>
      <w:sz w:val="24"/>
    </w:rPr>
  </w:style>
  <w:style w:type="paragraph" w:customStyle="1" w:styleId="82">
    <w:name w:val="CM14"/>
    <w:basedOn w:val="44"/>
    <w:next w:val="44"/>
    <w:unhideWhenUsed/>
    <w:qFormat/>
    <w:uiPriority w:val="99"/>
    <w:pPr>
      <w:spacing w:beforeLines="0" w:afterLines="0" w:line="546" w:lineRule="atLeast"/>
    </w:pPr>
    <w:rPr>
      <w:rFonts w:hint="default"/>
      <w:sz w:val="24"/>
    </w:rPr>
  </w:style>
  <w:style w:type="paragraph" w:customStyle="1" w:styleId="83">
    <w:name w:val="正文 A"/>
    <w:qFormat/>
    <w:uiPriority w:val="0"/>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84">
    <w:name w:val="BodyText1I2"/>
    <w:basedOn w:val="85"/>
    <w:qFormat/>
    <w:uiPriority w:val="0"/>
    <w:pPr>
      <w:spacing w:after="120"/>
      <w:ind w:left="420" w:leftChars="200" w:firstLine="420" w:firstLineChars="200"/>
    </w:pPr>
    <w:rPr>
      <w:szCs w:val="21"/>
    </w:rPr>
  </w:style>
  <w:style w:type="paragraph" w:customStyle="1" w:styleId="85">
    <w:name w:val="BodyTextIndent"/>
    <w:basedOn w:val="1"/>
    <w:qFormat/>
    <w:uiPriority w:val="0"/>
    <w:pPr>
      <w:spacing w:after="120"/>
      <w:ind w:left="420" w:leftChars="200"/>
    </w:pPr>
    <w:rPr>
      <w:szCs w:val="21"/>
    </w:rPr>
  </w:style>
  <w:style w:type="paragraph" w:customStyle="1" w:styleId="86">
    <w:name w:val="Normal_1"/>
    <w:next w:val="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Normal Indent"/>
    <w:basedOn w:val="86"/>
    <w:qFormat/>
    <w:uiPriority w:val="0"/>
    <w:pPr>
      <w:widowControl/>
      <w:ind w:firstLine="420"/>
      <w:jc w:val="left"/>
    </w:pPr>
    <w:rPr>
      <w:kern w:val="0"/>
      <w:sz w:val="20"/>
      <w:szCs w:val="20"/>
    </w:rPr>
  </w:style>
  <w:style w:type="paragraph" w:customStyle="1" w:styleId="88">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0">
    <w:name w:val="正文1"/>
    <w:next w:val="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目录 11"/>
    <w:basedOn w:val="90"/>
    <w:next w:val="90"/>
    <w:unhideWhenUsed/>
    <w:qFormat/>
    <w:uiPriority w:val="99"/>
    <w:pPr>
      <w:spacing w:before="120" w:beforeAutospacing="0" w:after="120" w:afterAutospacing="0"/>
      <w:jc w:val="left"/>
    </w:pPr>
    <w:rPr>
      <w:b/>
      <w:bCs/>
      <w:caps/>
      <w:sz w:val="20"/>
      <w:szCs w:val="20"/>
    </w:rPr>
  </w:style>
  <w:style w:type="character" w:customStyle="1" w:styleId="92">
    <w:name w:val="标题 Char"/>
    <w:link w:val="21"/>
    <w:qFormat/>
    <w:uiPriority w:val="0"/>
    <w:rPr>
      <w:rFonts w:ascii="Arial" w:hAnsi="Arial" w:cs="Arial"/>
      <w:b/>
      <w:bCs/>
      <w:kern w:val="0"/>
      <w:sz w:val="44"/>
      <w:szCs w:val="32"/>
    </w:rPr>
  </w:style>
  <w:style w:type="paragraph" w:styleId="93">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Normal_0"/>
    <w:qFormat/>
    <w:uiPriority w:val="0"/>
    <w:pPr>
      <w:widowControl w:val="0"/>
      <w:jc w:val="both"/>
    </w:pPr>
    <w:rPr>
      <w:rFonts w:ascii="Times New Roman" w:hAnsi="Times New Roman" w:eastAsia="宋体" w:cs="Times New Roman"/>
      <w:szCs w:val="21"/>
      <w:lang w:val="en-US" w:eastAsia="zh-CN" w:bidi="ar-SA"/>
    </w:rPr>
  </w:style>
  <w:style w:type="paragraph" w:customStyle="1" w:styleId="95">
    <w:name w:val="正文 New New New New New New New New New New New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6">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9">
    <w:name w:val="列出段落_0"/>
    <w:basedOn w:val="98"/>
    <w:qFormat/>
    <w:uiPriority w:val="34"/>
    <w:pPr>
      <w:widowControl/>
      <w:ind w:firstLine="420" w:firstLineChars="200"/>
      <w:jc w:val="left"/>
    </w:pPr>
    <w:rPr>
      <w:rFonts w:ascii="Calibri" w:hAnsi="Calibri" w:eastAsia="宋体"/>
      <w:kern w:val="0"/>
      <w:szCs w:val="20"/>
    </w:rPr>
  </w:style>
  <w:style w:type="paragraph" w:customStyle="1" w:styleId="10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2"/>
    <w:basedOn w:val="1"/>
    <w:qFormat/>
    <w:uiPriority w:val="0"/>
    <w:pPr>
      <w:widowControl w:val="0"/>
      <w:jc w:val="both"/>
    </w:pPr>
    <w:rPr>
      <w:rFonts w:ascii="仿宋_GB2312" w:hAnsi="Times New Roman" w:eastAsia="仿宋_GB2312" w:cs="Times New Roman"/>
      <w:kern w:val="2"/>
      <w:sz w:val="32"/>
      <w:szCs w:val="20"/>
    </w:rPr>
  </w:style>
  <w:style w:type="paragraph" w:customStyle="1" w:styleId="102">
    <w:name w:val="章节题目"/>
    <w:basedOn w:val="103"/>
    <w:next w:val="1"/>
    <w:qFormat/>
    <w:uiPriority w:val="0"/>
    <w:pPr>
      <w:spacing w:before="720" w:after="400" w:line="540" w:lineRule="atLeast"/>
      <w:ind w:right="2160"/>
    </w:pPr>
    <w:rPr>
      <w:rFonts w:ascii="Times New Roman" w:hAnsi="Times New Roman"/>
      <w:spacing w:val="-40"/>
      <w:sz w:val="60"/>
    </w:rPr>
  </w:style>
  <w:style w:type="paragraph" w:customStyle="1" w:styleId="103">
    <w:name w:val="基准标题"/>
    <w:basedOn w:val="1"/>
    <w:next w:val="10"/>
    <w:qFormat/>
    <w:uiPriority w:val="0"/>
    <w:pPr>
      <w:keepNext/>
      <w:keepLines/>
      <w:spacing w:before="140" w:line="220" w:lineRule="atLeast"/>
    </w:pPr>
    <w:rPr>
      <w:rFonts w:ascii="Arial" w:hAnsi="Arial"/>
      <w:spacing w:val="-4"/>
      <w:kern w:val="28"/>
      <w:sz w:val="22"/>
    </w:rPr>
  </w:style>
  <w:style w:type="paragraph" w:customStyle="1" w:styleId="104">
    <w:name w:val="说明正文"/>
    <w:basedOn w:val="1"/>
    <w:qFormat/>
    <w:uiPriority w:val="0"/>
    <w:pPr>
      <w:spacing w:line="360" w:lineRule="auto"/>
      <w:ind w:firstLine="480"/>
    </w:pPr>
    <w:rPr>
      <w:sz w:val="24"/>
    </w:rPr>
  </w:style>
  <w:style w:type="paragraph" w:customStyle="1" w:styleId="105">
    <w:name w:val="表格文字"/>
    <w:basedOn w:val="1"/>
    <w:autoRedefine/>
    <w:qFormat/>
    <w:uiPriority w:val="0"/>
    <w:rPr>
      <w:rFonts w:ascii="Calibri" w:hAnsi="Calibri"/>
      <w:szCs w:val="21"/>
    </w:rPr>
  </w:style>
  <w:style w:type="paragraph" w:customStyle="1" w:styleId="106">
    <w:name w:val="正文_0"/>
    <w:next w:val="1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缩进_0"/>
    <w:basedOn w:val="106"/>
    <w:qFormat/>
    <w:uiPriority w:val="0"/>
    <w:pPr>
      <w:autoSpaceDE/>
      <w:autoSpaceDN/>
      <w:spacing w:line="312" w:lineRule="atLeast"/>
      <w:ind w:firstLine="420"/>
      <w:jc w:val="both"/>
      <w:textAlignment w:val="baseline"/>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19867</Words>
  <Characters>21319</Characters>
  <Lines>215</Lines>
  <Paragraphs>60</Paragraphs>
  <TotalTime>12</TotalTime>
  <ScaleCrop>false</ScaleCrop>
  <LinksUpToDate>false</LinksUpToDate>
  <CharactersWithSpaces>21581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Pure White</cp:lastModifiedBy>
  <cp:lastPrinted>2020-12-07T01:09:00Z</cp:lastPrinted>
  <dcterms:modified xsi:type="dcterms:W3CDTF">2025-07-07T06:27:43Z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B1345789CE1C4A57860C73B649F57857_13</vt:lpwstr>
  </property>
  <property fmtid="{D5CDD505-2E9C-101B-9397-08002B2CF9AE}" pid="4" name="KSOTemplateDocerSaveRecord">
    <vt:lpwstr>eyJoZGlkIjoiZTFmN2YyNjcyOGZkODIzMTQ2NDlkODg1MDk4YTBjMjciLCJ1c2VySWQiOiIzNzI4Mjg4NTcifQ==</vt:lpwstr>
  </property>
</Properties>
</file>