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b/>
          <w:bCs/>
          <w:sz w:val="44"/>
          <w:szCs w:val="44"/>
          <w:highlight w:val="none"/>
          <w:lang w:eastAsia="zh-CN"/>
        </w:rPr>
      </w:pPr>
      <w:r>
        <w:rPr>
          <w:rFonts w:hint="eastAsia"/>
          <w:b/>
          <w:bCs/>
          <w:sz w:val="44"/>
          <w:szCs w:val="44"/>
          <w:highlight w:val="none"/>
          <w:lang w:eastAsia="zh-CN"/>
        </w:rPr>
        <w:drawing>
          <wp:anchor distT="0" distB="0" distL="114300" distR="114300" simplePos="0" relativeHeight="251659264" behindDoc="0" locked="0" layoutInCell="1" allowOverlap="1">
            <wp:simplePos x="0" y="0"/>
            <wp:positionH relativeFrom="column">
              <wp:posOffset>53340</wp:posOffset>
            </wp:positionH>
            <wp:positionV relativeFrom="paragraph">
              <wp:posOffset>45720</wp:posOffset>
            </wp:positionV>
            <wp:extent cx="1022985" cy="662940"/>
            <wp:effectExtent l="0" t="0" r="13335" b="7620"/>
            <wp:wrapNone/>
            <wp:docPr id="2" name="图片 2" descr="a4168ba83394af82746904e8bfa6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168ba83394af82746904e8bfa620b"/>
                    <pic:cNvPicPr>
                      <a:picLocks noChangeAspect="1"/>
                    </pic:cNvPicPr>
                  </pic:nvPicPr>
                  <pic:blipFill>
                    <a:blip r:embed="rId12"/>
                    <a:stretch>
                      <a:fillRect/>
                    </a:stretch>
                  </pic:blipFill>
                  <pic:spPr>
                    <a:xfrm>
                      <a:off x="0" y="0"/>
                      <a:ext cx="1022985" cy="662940"/>
                    </a:xfrm>
                    <a:prstGeom prst="rect">
                      <a:avLst/>
                    </a:prstGeom>
                  </pic:spPr>
                </pic:pic>
              </a:graphicData>
            </a:graphic>
          </wp:anchor>
        </w:drawing>
      </w:r>
    </w:p>
    <w:p>
      <w:pPr>
        <w:spacing w:line="720" w:lineRule="exact"/>
        <w:jc w:val="center"/>
        <w:rPr>
          <w:rFonts w:hint="eastAsia"/>
          <w:b/>
          <w:bCs/>
          <w:sz w:val="48"/>
          <w:szCs w:val="48"/>
          <w:lang w:eastAsia="zh-CN"/>
        </w:rPr>
      </w:pPr>
    </w:p>
    <w:p>
      <w:pPr>
        <w:spacing w:line="720" w:lineRule="exact"/>
        <w:jc w:val="center"/>
        <w:rPr>
          <w:rFonts w:hint="eastAsia"/>
          <w:b/>
          <w:bCs/>
          <w:sz w:val="72"/>
          <w:szCs w:val="72"/>
          <w:lang w:eastAsia="zh-CN"/>
        </w:rPr>
      </w:pPr>
    </w:p>
    <w:p>
      <w:pPr>
        <w:spacing w:line="720" w:lineRule="exact"/>
        <w:jc w:val="center"/>
        <w:rPr>
          <w:rFonts w:ascii="宋体" w:hAnsi="宋体"/>
          <w:sz w:val="44"/>
          <w:szCs w:val="44"/>
          <w:highlight w:val="none"/>
        </w:rPr>
      </w:pPr>
      <w:r>
        <w:rPr>
          <w:rFonts w:hint="eastAsia"/>
          <w:b/>
          <w:bCs/>
          <w:sz w:val="56"/>
          <w:szCs w:val="56"/>
          <w:lang w:eastAsia="zh-CN"/>
        </w:rPr>
        <w:t>长春市第一五八中学厨房设备采购项目</w:t>
      </w:r>
      <w:r>
        <w:rPr>
          <w:rFonts w:hint="eastAsia"/>
          <w:b/>
          <w:bCs/>
          <w:sz w:val="48"/>
          <w:szCs w:val="48"/>
          <w:lang w:eastAsia="zh-CN"/>
        </w:rPr>
        <w:br w:type="textWrapping"/>
      </w:r>
    </w:p>
    <w:p>
      <w:pPr>
        <w:pStyle w:val="54"/>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lang w:eastAsia="zh-CN"/>
        </w:rPr>
        <w:t>采购</w:t>
      </w:r>
      <w:r>
        <w:rPr>
          <w:rFonts w:hint="eastAsia" w:ascii="宋体" w:hAnsi="宋体" w:cs="宋体"/>
          <w:b/>
          <w:bCs/>
          <w:sz w:val="28"/>
          <w:szCs w:val="28"/>
          <w:highlight w:val="none"/>
        </w:rPr>
        <w:t>编号：</w:t>
      </w:r>
      <w:r>
        <w:rPr>
          <w:rFonts w:hint="eastAsia" w:ascii="宋体" w:hAnsi="宋体" w:cs="宋体"/>
          <w:b/>
          <w:bCs/>
          <w:sz w:val="28"/>
          <w:szCs w:val="28"/>
          <w:highlight w:val="none"/>
          <w:lang w:val="en-US" w:eastAsia="zh-CN"/>
        </w:rPr>
        <w:t>JLHXZB2025004</w:t>
      </w:r>
    </w:p>
    <w:p>
      <w:pPr>
        <w:jc w:val="center"/>
        <w:rPr>
          <w:rFonts w:ascii="宋体" w:hAnsi="宋体" w:cs="宋体"/>
          <w:b/>
          <w:bCs/>
          <w:sz w:val="32"/>
          <w:szCs w:val="32"/>
          <w:highlight w:val="none"/>
        </w:rPr>
      </w:pPr>
    </w:p>
    <w:p>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lang w:eastAsia="zh-CN"/>
        </w:rPr>
        <w:t>采</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lang w:eastAsia="zh-CN"/>
        </w:rPr>
        <w:t>购</w:t>
      </w:r>
      <w:r>
        <w:rPr>
          <w:rFonts w:hint="eastAsia" w:ascii="宋体" w:hAnsi="宋体" w:cs="宋体"/>
          <w:b/>
          <w:bCs/>
          <w:sz w:val="30"/>
          <w:szCs w:val="30"/>
          <w:highlight w:val="none"/>
        </w:rPr>
        <w:t xml:space="preserve">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sz w:val="30"/>
          <w:szCs w:val="30"/>
          <w:u w:val="single"/>
          <w:lang w:eastAsia="zh-CN"/>
        </w:rPr>
        <w:t>长春市第一五八中学</w:t>
      </w:r>
      <w:r>
        <w:rPr>
          <w:rFonts w:hint="eastAsia" w:ascii="宋体" w:hAnsi="宋体" w:cs="宋体"/>
          <w:b/>
          <w:bCs/>
          <w:sz w:val="30"/>
          <w:szCs w:val="30"/>
          <w:highlight w:val="none"/>
          <w:lang w:val="zh-CN"/>
        </w:rPr>
        <w:t>（盖章）</w:t>
      </w:r>
    </w:p>
    <w:p>
      <w:pPr>
        <w:snapToGrid w:val="0"/>
        <w:spacing w:line="720" w:lineRule="auto"/>
        <w:ind w:left="0" w:leftChars="0"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lang w:eastAsia="zh-CN"/>
        </w:rPr>
        <w:t>采购</w:t>
      </w:r>
      <w:r>
        <w:rPr>
          <w:rFonts w:hint="eastAsia" w:ascii="宋体" w:hAnsi="宋体" w:cs="宋体"/>
          <w:b/>
          <w:bCs/>
          <w:sz w:val="30"/>
          <w:szCs w:val="30"/>
          <w:highlight w:val="none"/>
        </w:rPr>
        <w:t>代理机构：</w:t>
      </w:r>
      <w:r>
        <w:rPr>
          <w:rFonts w:hint="eastAsia" w:ascii="宋体" w:hAnsi="宋体" w:cs="宋体"/>
          <w:b/>
          <w:bCs/>
          <w:sz w:val="30"/>
          <w:szCs w:val="30"/>
          <w:u w:val="single"/>
          <w:lang w:eastAsia="zh-CN"/>
        </w:rPr>
        <w:t>吉林省恒信工程管理有限公司</w:t>
      </w:r>
      <w:r>
        <w:rPr>
          <w:rFonts w:hint="eastAsia" w:ascii="宋体" w:hAnsi="宋体" w:cs="宋体"/>
          <w:b/>
          <w:bCs/>
          <w:sz w:val="30"/>
          <w:szCs w:val="30"/>
          <w:highlight w:val="none"/>
        </w:rPr>
        <w:t>（盖章）</w:t>
      </w:r>
    </w:p>
    <w:p>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日        期： 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六</w:t>
      </w:r>
      <w:r>
        <w:rPr>
          <w:rFonts w:hint="eastAsia" w:ascii="宋体" w:hAnsi="宋体" w:cs="宋体"/>
          <w:b/>
          <w:sz w:val="30"/>
          <w:szCs w:val="30"/>
          <w:highlight w:val="none"/>
        </w:rPr>
        <w:t>月</w:t>
      </w:r>
    </w:p>
    <w:p>
      <w:pPr>
        <w:pStyle w:val="12"/>
        <w:rPr>
          <w:rFonts w:hint="eastAsia" w:ascii="宋体" w:hAnsi="宋体" w:cs="宋体"/>
          <w:b/>
          <w:sz w:val="30"/>
          <w:szCs w:val="30"/>
          <w:highlight w:val="none"/>
        </w:rPr>
      </w:pPr>
    </w:p>
    <w:p>
      <w:pPr>
        <w:pStyle w:val="11"/>
        <w:rPr>
          <w:rFonts w:hint="eastAsia"/>
        </w:rPr>
      </w:pPr>
    </w:p>
    <w:p>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b/>
          <w:bCs/>
          <w:sz w:val="36"/>
          <w:szCs w:val="36"/>
          <w:highlight w:val="none"/>
        </w:rPr>
      </w:pPr>
      <w:r>
        <w:rPr>
          <w:rFonts w:hint="eastAsia"/>
          <w:b/>
          <w:bCs/>
          <w:sz w:val="36"/>
          <w:szCs w:val="36"/>
          <w:highlight w:val="none"/>
        </w:rPr>
        <w:t>目   录</w:t>
      </w:r>
    </w:p>
    <w:p>
      <w:pPr>
        <w:rPr>
          <w:rFonts w:hint="eastAsia"/>
          <w:sz w:val="36"/>
          <w:szCs w:val="36"/>
          <w:highlight w:val="none"/>
        </w:rPr>
      </w:pP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pPr>
        <w:pStyle w:val="25"/>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pPr>
        <w:jc w:val="center"/>
        <w:rPr>
          <w:rFonts w:hint="eastAsia"/>
          <w:b/>
          <w:sz w:val="32"/>
          <w:szCs w:val="32"/>
          <w:highlight w:val="none"/>
        </w:rPr>
      </w:pPr>
      <w:bookmarkStart w:id="0" w:name="_Toc432277437"/>
      <w:bookmarkStart w:id="1" w:name="_Toc432264365"/>
      <w:bookmarkStart w:id="2" w:name="_Toc455565641"/>
    </w:p>
    <w:p>
      <w:pPr>
        <w:pStyle w:val="12"/>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eastAsia="宋体"/>
          <w:b/>
          <w:sz w:val="32"/>
          <w:szCs w:val="32"/>
          <w:highlight w:val="none"/>
          <w:lang w:val="en-US" w:eastAsia="zh-CN"/>
        </w:rPr>
      </w:pPr>
      <w:r>
        <w:rPr>
          <w:rFonts w:hint="eastAsia"/>
          <w:b/>
          <w:sz w:val="32"/>
          <w:szCs w:val="32"/>
          <w:highlight w:val="none"/>
          <w:lang w:val="en-US" w:eastAsia="zh-CN"/>
        </w:rPr>
        <w:t xml:space="preserve"> </w:t>
      </w: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pStyle w:val="11"/>
        <w:rPr>
          <w:rFonts w:hint="eastAsia"/>
          <w:b/>
          <w:sz w:val="32"/>
          <w:szCs w:val="32"/>
          <w:highlight w:val="none"/>
        </w:rPr>
      </w:pPr>
    </w:p>
    <w:p>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b/>
          <w:sz w:val="28"/>
          <w:szCs w:val="28"/>
          <w:highlight w:val="none"/>
        </w:rPr>
      </w:pPr>
      <w:r>
        <w:rPr>
          <w:rFonts w:hint="eastAsia"/>
          <w:b/>
          <w:sz w:val="32"/>
          <w:szCs w:val="32"/>
          <w:highlight w:val="none"/>
          <w:lang w:val="en-US" w:eastAsia="zh-CN"/>
        </w:rPr>
        <w:t xml:space="preserve"> </w:t>
      </w:r>
      <w:r>
        <w:rPr>
          <w:rFonts w:hint="eastAsia"/>
          <w:b/>
          <w:sz w:val="32"/>
          <w:szCs w:val="32"/>
          <w:highlight w:val="none"/>
        </w:rPr>
        <w:t>第一章  竞争性谈判</w:t>
      </w:r>
      <w:bookmarkEnd w:id="0"/>
      <w:bookmarkEnd w:id="1"/>
      <w:bookmarkEnd w:id="2"/>
      <w:r>
        <w:rPr>
          <w:rFonts w:hint="eastAsia"/>
          <w:b/>
          <w:sz w:val="32"/>
          <w:szCs w:val="32"/>
          <w:highlight w:val="none"/>
        </w:rPr>
        <w:t>公告</w:t>
      </w:r>
    </w:p>
    <w:p>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val="en-US" w:eastAsia="zh-CN"/>
        </w:rPr>
        <w:t>JLHXZB2025004</w:t>
      </w:r>
    </w:p>
    <w:p>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长春市第一五八中学厨房设备采购项目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2025年06月27日13点30分</w:t>
      </w:r>
      <w:r>
        <w:rPr>
          <w:rFonts w:hint="eastAsia" w:ascii="宋体" w:hAnsi="宋体" w:cs="黑体"/>
          <w:b w:val="0"/>
          <w:kern w:val="0"/>
          <w:sz w:val="21"/>
          <w:szCs w:val="21"/>
          <w:highlight w:val="none"/>
          <w:lang w:val="en-US" w:eastAsia="zh-CN"/>
        </w:rPr>
        <w:t>（北京时间）前递交响应文件。</w:t>
      </w:r>
    </w:p>
    <w:p>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招标编号：JLHXZB2025004</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长春市第一五八中学厨房设备采购项目</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40.41025</w:t>
      </w:r>
      <w:r>
        <w:rPr>
          <w:rFonts w:hint="eastAsia" w:ascii="宋体" w:hAnsi="宋体" w:cs="黑体"/>
          <w:bCs/>
          <w:kern w:val="0"/>
          <w:szCs w:val="21"/>
          <w:highlight w:val="none"/>
        </w:rPr>
        <w:t>万元</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厨房设备采购</w:t>
      </w:r>
      <w:r>
        <w:rPr>
          <w:rFonts w:hint="eastAsia" w:ascii="宋体" w:hAnsi="宋体" w:cs="黑体"/>
          <w:bCs/>
          <w:kern w:val="0"/>
          <w:szCs w:val="21"/>
          <w:highlight w:val="none"/>
          <w:lang w:val="en-US"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供</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货</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期</w:t>
      </w:r>
      <w:r>
        <w:rPr>
          <w:rFonts w:hint="eastAsia" w:ascii="宋体" w:hAnsi="宋体" w:cs="黑体"/>
          <w:bCs/>
          <w:kern w:val="0"/>
          <w:szCs w:val="21"/>
          <w:highlight w:val="none"/>
        </w:rPr>
        <w:t>：</w:t>
      </w:r>
      <w:r>
        <w:rPr>
          <w:rFonts w:hint="eastAsia" w:ascii="宋体" w:hAnsi="宋体" w:cs="黑体"/>
          <w:bCs/>
          <w:kern w:val="0"/>
          <w:szCs w:val="21"/>
          <w:highlight w:val="none"/>
          <w:lang w:eastAsia="zh-CN"/>
        </w:rPr>
        <w:t>合同签订后</w:t>
      </w:r>
      <w:r>
        <w:rPr>
          <w:rFonts w:hint="eastAsia" w:ascii="宋体" w:hAnsi="宋体" w:cs="黑体"/>
          <w:bCs/>
          <w:kern w:val="0"/>
          <w:szCs w:val="21"/>
          <w:highlight w:val="none"/>
          <w:lang w:val="en-US" w:eastAsia="zh-CN"/>
        </w:rPr>
        <w:t>20</w:t>
      </w:r>
      <w:r>
        <w:rPr>
          <w:rFonts w:hint="eastAsia" w:ascii="宋体" w:hAnsi="宋体" w:cs="黑体"/>
          <w:bCs/>
          <w:kern w:val="0"/>
          <w:szCs w:val="21"/>
          <w:highlight w:val="none"/>
        </w:rPr>
        <w:t>日历</w:t>
      </w:r>
      <w:r>
        <w:rPr>
          <w:rFonts w:hint="eastAsia" w:ascii="宋体" w:hAnsi="宋体" w:cs="黑体"/>
          <w:bCs/>
          <w:kern w:val="0"/>
          <w:szCs w:val="21"/>
          <w:highlight w:val="none"/>
          <w:lang w:eastAsia="zh-CN"/>
        </w:rPr>
        <w:t>天</w:t>
      </w:r>
      <w:r>
        <w:rPr>
          <w:rFonts w:hint="eastAsia" w:ascii="宋体" w:hAnsi="宋体" w:cs="黑体"/>
          <w:bCs/>
          <w:kern w:val="0"/>
          <w:szCs w:val="21"/>
          <w:highlight w:val="none"/>
        </w:rPr>
        <w:t>内</w:t>
      </w:r>
      <w:r>
        <w:rPr>
          <w:rFonts w:hint="eastAsia" w:ascii="宋体" w:hAnsi="宋体" w:cs="黑体"/>
          <w:bCs/>
          <w:kern w:val="0"/>
          <w:szCs w:val="21"/>
          <w:highlight w:val="none"/>
          <w:lang w:eastAsia="zh-CN"/>
        </w:rPr>
        <w:t>完成</w:t>
      </w:r>
      <w:r>
        <w:rPr>
          <w:rFonts w:hint="eastAsia" w:ascii="宋体" w:hAnsi="宋体" w:cs="黑体"/>
          <w:bCs/>
          <w:kern w:val="0"/>
          <w:szCs w:val="21"/>
          <w:highlight w:val="none"/>
          <w:lang w:val="en-US" w:eastAsia="zh-CN"/>
        </w:rPr>
        <w:t>甲方指定地点全部供货</w:t>
      </w:r>
    </w:p>
    <w:p>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w:t>
      </w:r>
      <w:r>
        <w:rPr>
          <w:rFonts w:hint="eastAsia" w:ascii="宋体" w:hAnsi="宋体" w:cs="宋体"/>
          <w:bCs/>
          <w:snapToGrid w:val="0"/>
          <w:szCs w:val="21"/>
          <w:highlight w:val="none"/>
          <w:lang w:eastAsia="zh-CN"/>
        </w:rPr>
        <w:t>工业</w:t>
      </w:r>
      <w:r>
        <w:rPr>
          <w:rFonts w:hint="eastAsia" w:ascii="宋体" w:hAnsi="宋体" w:eastAsia="宋体" w:cs="宋体"/>
          <w:bCs/>
          <w:snapToGrid w:val="0"/>
          <w:szCs w:val="21"/>
          <w:highlight w:val="none"/>
          <w:lang w:eastAsia="zh-CN"/>
        </w:rPr>
        <w:t>。</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p>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供应商未被列入失信被执行人、重大税收违法案件当事人名单、政府采购严重违法失信行为记录名单等，在“信用中国”网站（www.creditchina.gov.cn）、全国企业信用信息公示系统、中国政府采购网（www.ccgp.gov.cn）上进行查询失信记录；供应商不得存在行贿犯罪记录，在中国裁判文书网（http://wenshu.court.gov.cn/）进行查询供应商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6"/>
      <w:bookmarkEnd w:id="4"/>
      <w:bookmarkStart w:id="5" w:name="_bookmark5"/>
      <w:bookmarkEnd w:id="5"/>
    </w:p>
    <w:p>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lang w:val="en-US" w:eastAsia="zh-CN"/>
        </w:rPr>
      </w:pPr>
      <w:r>
        <w:rPr>
          <w:rFonts w:hint="eastAsia" w:ascii="宋体" w:hAnsi="宋体" w:eastAsia="宋体" w:cs="宋体"/>
          <w:bCs/>
          <w:snapToGrid w:val="0"/>
          <w:kern w:val="2"/>
          <w:sz w:val="21"/>
          <w:szCs w:val="21"/>
          <w:highlight w:val="none"/>
          <w:lang w:val="en-US" w:eastAsia="zh-CN" w:bidi="ar-SA"/>
        </w:rPr>
        <w:t>（5）供应商</w:t>
      </w:r>
      <w:r>
        <w:rPr>
          <w:rFonts w:hint="eastAsia" w:ascii="宋体" w:hAnsi="宋体" w:eastAsia="宋体" w:cs="宋体"/>
          <w:bCs/>
          <w:snapToGrid w:val="0"/>
          <w:szCs w:val="21"/>
          <w:lang w:val="en-US" w:eastAsia="zh-CN"/>
        </w:rPr>
        <w:t>参加投标活动应当提交反映其财务状况、依法缴纳税收和社保保障资金情况的资格条件承诺函（《长春市财政局关于加强政府采购信用体系建设简化供应商资格条件有关事项的通知》（长财采购〔2022〕2066号））。</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24</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26</w:t>
      </w:r>
      <w:r>
        <w:rPr>
          <w:rFonts w:hint="eastAsia" w:ascii="宋体" w:hAnsi="宋体" w:cs="宋体"/>
          <w:bCs/>
          <w:snapToGrid w:val="0"/>
          <w:szCs w:val="21"/>
          <w:highlight w:val="none"/>
          <w:lang w:val="zh-CN"/>
        </w:rPr>
        <w:t>日，每天上午8:00时至下午16:00时。</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2025年06月2</w:t>
      </w:r>
      <w:r>
        <w:rPr>
          <w:rFonts w:hint="eastAsia" w:ascii="宋体" w:hAnsi="宋体" w:cs="宋体"/>
          <w:bCs/>
          <w:snapToGrid w:val="0"/>
          <w:szCs w:val="21"/>
          <w:highlight w:val="none"/>
          <w:lang w:val="en-US" w:eastAsia="zh-CN"/>
        </w:rPr>
        <w:t>7</w:t>
      </w:r>
      <w:r>
        <w:rPr>
          <w:rFonts w:hint="eastAsia" w:ascii="宋体" w:hAnsi="宋体" w:cs="宋体"/>
          <w:bCs/>
          <w:snapToGrid w:val="0"/>
          <w:szCs w:val="21"/>
          <w:highlight w:val="none"/>
          <w:lang w:eastAsia="zh-CN"/>
        </w:rPr>
        <w:t>日1</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lang w:eastAsia="zh-CN"/>
        </w:rPr>
        <w:t>点30分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8室</w:t>
      </w:r>
      <w:r>
        <w:rPr>
          <w:rFonts w:hint="eastAsia" w:ascii="宋体" w:hAnsi="宋体" w:cs="宋体"/>
          <w:bCs/>
          <w:snapToGrid w:val="0"/>
          <w:szCs w:val="21"/>
          <w:highlight w:val="none"/>
          <w:lang w:eastAsia="zh-CN"/>
        </w:rPr>
        <w:t>。</w:t>
      </w:r>
    </w:p>
    <w:p>
      <w:pPr>
        <w:pStyle w:val="52"/>
        <w:ind w:left="0" w:leftChars="0" w:firstLine="420" w:firstLineChars="200"/>
        <w:rPr>
          <w:rFonts w:hint="eastAsia"/>
          <w:lang w:eastAsia="zh-CN"/>
        </w:rPr>
      </w:pPr>
      <w:r>
        <w:rPr>
          <w:rFonts w:hint="eastAsia"/>
          <w:highlight w:val="none"/>
          <w:lang w:val="en-US" w:eastAsia="zh-CN"/>
        </w:rPr>
        <w:t>3.</w:t>
      </w:r>
      <w:r>
        <w:rPr>
          <w:rFonts w:hint="eastAsia"/>
          <w:highlight w:val="none"/>
          <w:lang w:eastAsia="zh-CN"/>
        </w:rPr>
        <w:t>逾期送达的或者未送达指定地点的响应文件，采购人不予受</w:t>
      </w:r>
      <w:r>
        <w:rPr>
          <w:rFonts w:hint="eastAsia"/>
          <w:lang w:eastAsia="zh-CN"/>
        </w:rPr>
        <w:t>理。</w:t>
      </w:r>
    </w:p>
    <w:p>
      <w:pPr>
        <w:pStyle w:val="52"/>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pPr>
        <w:pageBreakBefore w:val="0"/>
        <w:kinsoku/>
        <w:wordWrap/>
        <w:overflowPunct/>
        <w:topLinePunct w:val="0"/>
        <w:autoSpaceDE/>
        <w:autoSpaceDN/>
        <w:bidi w:val="0"/>
        <w:snapToGrid/>
        <w:spacing w:line="360" w:lineRule="auto"/>
        <w:ind w:firstLine="437"/>
        <w:textAlignment w:val="auto"/>
        <w:rPr>
          <w:rFonts w:hint="eastAsia" w:ascii="宋体" w:hAnsi="宋体" w:cs="宋体"/>
          <w:szCs w:val="21"/>
          <w:highlight w:val="none"/>
        </w:rPr>
      </w:pPr>
      <w:r>
        <w:rPr>
          <w:rFonts w:hint="eastAsia" w:ascii="宋体" w:hAnsi="宋体" w:cs="宋体"/>
          <w:szCs w:val="21"/>
          <w:highlight w:val="none"/>
        </w:rPr>
        <w:t>采购人：</w:t>
      </w:r>
      <w:r>
        <w:rPr>
          <w:rFonts w:hint="eastAsia" w:ascii="宋体" w:hAnsi="宋体" w:cs="宋体"/>
          <w:szCs w:val="21"/>
          <w:highlight w:val="none"/>
          <w:lang w:eastAsia="zh-CN"/>
        </w:rPr>
        <w:t>长春市第一五八中学</w:t>
      </w:r>
      <w:r>
        <w:rPr>
          <w:rFonts w:hint="eastAsia" w:ascii="宋体" w:hAnsi="宋体" w:cs="宋体"/>
          <w:szCs w:val="21"/>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联系人：</w:t>
      </w:r>
      <w:r>
        <w:rPr>
          <w:rFonts w:hint="eastAsia" w:ascii="宋体" w:hAnsi="宋体" w:cs="宋体"/>
          <w:highlight w:val="none"/>
          <w:lang w:eastAsia="zh-CN"/>
        </w:rPr>
        <w:t>张雷</w:t>
      </w:r>
      <w:r>
        <w:rPr>
          <w:rFonts w:hint="eastAsia" w:ascii="宋体" w:hAnsi="宋体" w:cs="宋体"/>
          <w:highlight w:val="none"/>
        </w:rPr>
        <w:t xml:space="preserve"> </w:t>
      </w:r>
      <w:r>
        <w:rPr>
          <w:rFonts w:hint="eastAsia" w:ascii="宋体" w:hAnsi="宋体" w:cs="宋体"/>
          <w:highlight w:val="none"/>
          <w:lang w:val="en-US" w:eastAsia="zh-CN"/>
        </w:rPr>
        <w:t xml:space="preserve">15144098020 </w:t>
      </w:r>
      <w:r>
        <w:rPr>
          <w:rFonts w:hint="eastAsia" w:ascii="宋体" w:hAnsi="宋体" w:cs="宋体"/>
          <w:highlight w:val="none"/>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pPr>
        <w:keepNext w:val="0"/>
        <w:keepLines w:val="0"/>
        <w:pageBreakBefore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eastAsia="zh-CN"/>
        </w:rPr>
        <w:t>吉林省恒信工程管理有限公司</w:t>
      </w:r>
    </w:p>
    <w:p>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地址：长春市双阳区通阳路以北上和城36-1号楼104号 </w:t>
      </w:r>
    </w:p>
    <w:p>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val="en-US" w:eastAsia="zh-CN"/>
        </w:rPr>
        <w:t>方式</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单一歌</w:t>
      </w:r>
      <w:r>
        <w:rPr>
          <w:rFonts w:hint="eastAsia" w:ascii="宋体" w:hAnsi="宋体" w:cs="宋体"/>
          <w:sz w:val="21"/>
          <w:szCs w:val="21"/>
          <w:highlight w:val="none"/>
          <w:lang w:val="en-US" w:eastAsia="zh-CN"/>
        </w:rPr>
        <w:t xml:space="preserve"> 16664300157</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eastAsia="zh-CN"/>
        </w:rPr>
        <w:t>单一歌</w:t>
      </w:r>
      <w:r>
        <w:rPr>
          <w:rFonts w:hint="eastAsia" w:ascii="宋体" w:hAnsi="宋体" w:cs="宋体"/>
          <w:sz w:val="21"/>
          <w:szCs w:val="21"/>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val="en-US" w:eastAsia="zh-CN"/>
        </w:rPr>
        <w:t>16664300157</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06</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23</w:t>
      </w:r>
      <w:r>
        <w:rPr>
          <w:rFonts w:hint="eastAsia" w:ascii="宋体" w:hAnsi="宋体" w:cs="宋体"/>
          <w:spacing w:val="6"/>
          <w:szCs w:val="21"/>
          <w:highlight w:val="none"/>
        </w:rPr>
        <w:t>日</w:t>
      </w:r>
    </w:p>
    <w:p>
      <w:pPr>
        <w:pStyle w:val="79"/>
        <w:rPr>
          <w:rFonts w:hint="eastAsia"/>
          <w:highlight w:val="none"/>
        </w:rPr>
      </w:pPr>
      <w:bookmarkStart w:id="6" w:name="_Toc455565642"/>
      <w:bookmarkStart w:id="7" w:name="_Toc432264366"/>
      <w:bookmarkStart w:id="8" w:name="_Toc432277438"/>
      <w:r>
        <w:rPr>
          <w:rFonts w:hint="eastAsia"/>
          <w:highlight w:val="none"/>
        </w:rPr>
        <w:t xml:space="preserve">                              </w:t>
      </w:r>
    </w:p>
    <w:p>
      <w:pPr>
        <w:pStyle w:val="2"/>
        <w:spacing w:before="0" w:after="0" w:line="360" w:lineRule="auto"/>
        <w:jc w:val="center"/>
        <w:rPr>
          <w:rFonts w:hint="eastAsia"/>
          <w:sz w:val="28"/>
          <w:szCs w:val="28"/>
          <w:highlight w:val="none"/>
        </w:rPr>
      </w:pPr>
      <w:r>
        <w:rPr>
          <w:rFonts w:hint="eastAsia"/>
          <w:sz w:val="28"/>
          <w:szCs w:val="28"/>
          <w:highlight w:val="none"/>
        </w:rPr>
        <w:br w:type="page"/>
      </w:r>
      <w:bookmarkEnd w:id="6"/>
      <w:bookmarkEnd w:id="7"/>
      <w:bookmarkEnd w:id="8"/>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p>
    <w:p>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4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pPr>
              <w:spacing w:line="360" w:lineRule="exact"/>
              <w:jc w:val="center"/>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长春市第一五八中学厨房设备采购项目</w:t>
            </w:r>
          </w:p>
          <w:p>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JLHXZB2025004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40.41025万元，</w:t>
            </w:r>
            <w:r>
              <w:rPr>
                <w:rFonts w:hint="eastAsia" w:ascii="宋体" w:hAnsi="宋体"/>
                <w:szCs w:val="21"/>
                <w:highlight w:val="none"/>
              </w:rPr>
              <w:t>超出采购预算金额</w:t>
            </w:r>
            <w:r>
              <w:rPr>
                <w:rFonts w:hint="eastAsia" w:ascii="宋体" w:hAnsi="宋体"/>
                <w:szCs w:val="21"/>
                <w:highlight w:val="none"/>
                <w:lang w:eastAsia="zh-CN"/>
              </w:rPr>
              <w:t>总价的</w:t>
            </w:r>
            <w:r>
              <w:rPr>
                <w:rFonts w:hint="eastAsia" w:ascii="宋体" w:hAnsi="宋体"/>
                <w:szCs w:val="21"/>
                <w:highlight w:val="none"/>
              </w:rPr>
              <w:t>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eastAsia="zh-CN"/>
              </w:rPr>
              <w:t>肆仟</w:t>
            </w:r>
            <w:r>
              <w:rPr>
                <w:rFonts w:hint="eastAsia" w:ascii="宋体" w:hAnsi="宋体"/>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lang w:eastAsia="zh-CN"/>
              </w:rPr>
              <w:t>采购</w:t>
            </w:r>
            <w:r>
              <w:rPr>
                <w:rFonts w:hint="eastAsia" w:ascii="宋体" w:hAnsi="宋体"/>
                <w:szCs w:val="21"/>
                <w:highlight w:val="none"/>
              </w:rPr>
              <w:t>代理机构的开户银行及账号如下: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户名：吉林省</w:t>
            </w:r>
            <w:r>
              <w:rPr>
                <w:rFonts w:hint="eastAsia" w:ascii="宋体" w:hAnsi="宋体" w:eastAsia="宋体" w:cs="Times New Roman"/>
                <w:szCs w:val="21"/>
                <w:highlight w:val="none"/>
                <w:lang w:val="en-US" w:eastAsia="zh-CN"/>
              </w:rPr>
              <w:t>恒信工程管理有限公司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开户银行：中国工商银行股份有限公司长春双阳支行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帐号：4200211009200323624</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注:谈判保证金是</w:t>
            </w:r>
            <w:r>
              <w:rPr>
                <w:rFonts w:hint="eastAsia" w:ascii="宋体" w:hAnsi="宋体"/>
                <w:szCs w:val="21"/>
                <w:highlight w:val="none"/>
                <w:lang w:eastAsia="zh-CN"/>
              </w:rPr>
              <w:t>响应</w:t>
            </w:r>
            <w:r>
              <w:rPr>
                <w:rFonts w:hint="eastAsia" w:ascii="宋体" w:hAnsi="宋体"/>
                <w:szCs w:val="21"/>
                <w:highlight w:val="none"/>
              </w:rPr>
              <w:t>文件的组成部分，未按要求提交的，视为放弃投标，采购人将不接受其投标文件。</w:t>
            </w:r>
            <w:r>
              <w:rPr>
                <w:rFonts w:hint="eastAsia" w:ascii="宋体" w:hAnsi="宋体"/>
                <w:szCs w:val="21"/>
                <w:highlight w:val="none"/>
                <w:lang w:eastAsia="zh-CN"/>
              </w:rPr>
              <w:t>供应商</w:t>
            </w:r>
            <w:r>
              <w:rPr>
                <w:rFonts w:hint="eastAsia" w:ascii="宋体" w:hAnsi="宋体"/>
                <w:szCs w:val="21"/>
                <w:highlight w:val="none"/>
              </w:rPr>
              <w:t>应在银行进账单或电汇凭证上简明用途、项目名称、联系人及电话，以便核对查实。以保函形式提交的投标保证金应当于开标前将原件递交至</w:t>
            </w:r>
            <w:r>
              <w:rPr>
                <w:rFonts w:hint="eastAsia" w:ascii="宋体" w:hAnsi="宋体"/>
                <w:szCs w:val="21"/>
                <w:highlight w:val="none"/>
                <w:lang w:eastAsia="zh-CN"/>
              </w:rPr>
              <w:t>采购</w:t>
            </w:r>
            <w:r>
              <w:rPr>
                <w:rFonts w:hint="eastAsia" w:ascii="宋体" w:hAnsi="宋体"/>
                <w:szCs w:val="21"/>
                <w:highlight w:val="none"/>
              </w:rPr>
              <w:t>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w:t>
            </w:r>
            <w:r>
              <w:rPr>
                <w:rFonts w:hint="eastAsia" w:ascii="宋体" w:hAnsi="宋体"/>
                <w:szCs w:val="21"/>
                <w:highlight w:val="none"/>
                <w:lang w:eastAsia="zh-CN"/>
              </w:rPr>
              <w:t>无</w:t>
            </w:r>
            <w:r>
              <w:rPr>
                <w:rFonts w:hint="eastAsia" w:ascii="宋体" w:hAnsi="宋体"/>
                <w:szCs w:val="21"/>
                <w:highlight w:val="none"/>
              </w:rPr>
              <w:t>行政处罚信息截图</w:t>
            </w:r>
            <w:r>
              <w:rPr>
                <w:rFonts w:hint="eastAsia" w:ascii="宋体" w:hAnsi="宋体"/>
                <w:szCs w:val="21"/>
                <w:highlight w:val="none"/>
                <w:lang w:eastAsia="zh-CN"/>
              </w:rPr>
              <w:t>并加盖公章</w:t>
            </w: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、地址、法定代表人签字盖章日期等内容组成。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2025年06月27日13点30分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pPr>
              <w:spacing w:line="360" w:lineRule="exact"/>
              <w:rPr>
                <w:rFonts w:hint="eastAsia" w:ascii="宋体" w:hAnsi="宋体" w:eastAsia="宋体"/>
                <w:i w:val="0"/>
                <w:iCs w:val="0"/>
                <w:spacing w:val="-2"/>
                <w:szCs w:val="21"/>
                <w:highlight w:val="none"/>
                <w:lang w:eastAsia="zh-CN"/>
              </w:rPr>
            </w:pPr>
            <w:r>
              <w:rPr>
                <w:rFonts w:hint="eastAsia" w:ascii="宋体" w:hAnsi="宋体" w:eastAsia="宋体"/>
                <w:i w:val="0"/>
                <w:iCs w:val="0"/>
                <w:spacing w:val="-2"/>
                <w:szCs w:val="21"/>
                <w:highlight w:val="none"/>
                <w:lang w:eastAsia="zh-CN"/>
              </w:rPr>
              <w:t>长春市</w:t>
            </w:r>
            <w:r>
              <w:rPr>
                <w:rFonts w:hint="eastAsia" w:ascii="宋体" w:hAnsi="宋体"/>
                <w:i w:val="0"/>
                <w:iCs w:val="0"/>
                <w:spacing w:val="-2"/>
                <w:szCs w:val="21"/>
                <w:highlight w:val="none"/>
                <w:lang w:eastAsia="zh-CN"/>
              </w:rPr>
              <w:t>净月高新技术开发区天普路君临智谷产业园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人，专家</w:t>
            </w:r>
            <w:r>
              <w:rPr>
                <w:rFonts w:hint="eastAsia" w:ascii="宋体" w:hAnsi="宋体"/>
                <w:i w:val="0"/>
                <w:iCs w:val="0"/>
                <w:szCs w:val="21"/>
                <w:highlight w:val="none"/>
                <w:u w:val="single"/>
              </w:rPr>
              <w:t>3</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8室。</w:t>
            </w:r>
          </w:p>
          <w:p>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pPr>
              <w:spacing w:line="360" w:lineRule="exact"/>
              <w:jc w:val="center"/>
              <w:rPr>
                <w:rFonts w:hint="eastAsia" w:ascii="宋体" w:hAnsi="宋体" w:cs="Arial"/>
                <w:kern w:val="0"/>
                <w:szCs w:val="21"/>
                <w:highlight w:val="none"/>
              </w:rPr>
            </w:pPr>
          </w:p>
        </w:tc>
        <w:tc>
          <w:tcPr>
            <w:tcW w:w="6462" w:type="dxa"/>
            <w:vAlign w:val="center"/>
          </w:tcPr>
          <w:p>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成交结果公告</w:t>
            </w:r>
          </w:p>
          <w:p>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pPr>
              <w:pStyle w:val="18"/>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执行《国家发展改革委关于进一步放开建设项目专业服务价格的通知》（发改价格〔2015〕299号）号文件的标准进行计算。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pPr>
              <w:spacing w:line="340" w:lineRule="exact"/>
              <w:rPr>
                <w:rFonts w:hint="eastAsia" w:ascii="宋体" w:hAnsi="宋体" w:eastAsia="宋体"/>
                <w:szCs w:val="21"/>
                <w:highlight w:val="none"/>
                <w:lang w:eastAsia="zh-CN"/>
              </w:rPr>
            </w:pPr>
            <w:r>
              <w:rPr>
                <w:rFonts w:hint="eastAsia" w:ascii="宋体" w:hAnsi="宋体"/>
                <w:szCs w:val="21"/>
                <w:highlight w:val="none"/>
              </w:rPr>
              <w:t>采购代理机构：</w:t>
            </w:r>
            <w:r>
              <w:rPr>
                <w:rFonts w:hint="eastAsia" w:ascii="宋体" w:hAnsi="宋体"/>
                <w:szCs w:val="21"/>
                <w:highlight w:val="none"/>
                <w:lang w:eastAsia="zh-CN"/>
              </w:rPr>
              <w:t>吉林省恒信工程管理有限公司</w:t>
            </w:r>
          </w:p>
          <w:p>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长春市双阳区通阳路以北上和城36-1号楼104号</w:t>
            </w:r>
          </w:p>
          <w:p>
            <w:pPr>
              <w:spacing w:line="340" w:lineRule="exact"/>
              <w:rPr>
                <w:rFonts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val="en-US" w:eastAsia="zh-CN"/>
              </w:rPr>
              <w:t>单一歌</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16664300157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26</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901" w:type="dxa"/>
            <w:vAlign w:val="top"/>
          </w:tcPr>
          <w:p>
            <w:pPr>
              <w:spacing w:line="34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质 保 金</w:t>
            </w:r>
          </w:p>
        </w:tc>
        <w:tc>
          <w:tcPr>
            <w:tcW w:w="6462" w:type="dxa"/>
            <w:vAlign w:val="top"/>
          </w:tcPr>
          <w:p>
            <w:pPr>
              <w:spacing w:line="340" w:lineRule="exact"/>
              <w:rPr>
                <w:rFonts w:hint="eastAsia" w:ascii="宋体" w:hAnsi="宋体" w:cs="Times New Roman"/>
                <w:szCs w:val="21"/>
                <w:highlight w:val="none"/>
              </w:rPr>
            </w:pPr>
            <w:r>
              <w:rPr>
                <w:rFonts w:hint="eastAsia" w:ascii="宋体" w:hAnsi="宋体" w:cs="Times New Roman"/>
                <w:szCs w:val="21"/>
                <w:highlight w:val="none"/>
                <w:lang w:val="en-US" w:eastAsia="zh-CN"/>
              </w:rPr>
              <w:t>以实际签订合同为准</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szCs w:val="21"/>
          <w:highlight w:val="none"/>
          <w:lang w:eastAsia="zh-CN"/>
        </w:rPr>
        <w:t>长春市第一五八中学厨房设备采购项目</w:t>
      </w:r>
      <w:r>
        <w:rPr>
          <w:rFonts w:hint="eastAsia" w:ascii="宋体" w:hAnsi="宋体"/>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JLHXZB2025004</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pPr>
        <w:spacing w:line="400" w:lineRule="exact"/>
        <w:ind w:firstLine="435"/>
        <w:rPr>
          <w:rFonts w:ascii="宋体" w:hAnsi="宋体"/>
          <w:b/>
          <w:szCs w:val="21"/>
          <w:highlight w:val="none"/>
        </w:rPr>
      </w:pPr>
      <w:r>
        <w:rPr>
          <w:rFonts w:hint="eastAsia" w:ascii="宋体" w:hAnsi="宋体"/>
          <w:b/>
          <w:szCs w:val="21"/>
          <w:highlight w:val="none"/>
        </w:rPr>
        <w:t>3、供应商资格</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spacing w:line="400" w:lineRule="exact"/>
        <w:ind w:firstLine="435"/>
        <w:rPr>
          <w:rFonts w:ascii="宋体" w:hAnsi="宋体"/>
          <w:b/>
          <w:szCs w:val="21"/>
          <w:highlight w:val="none"/>
        </w:rPr>
      </w:pPr>
      <w:r>
        <w:rPr>
          <w:rFonts w:hint="eastAsia" w:ascii="宋体" w:hAnsi="宋体"/>
          <w:b/>
          <w:szCs w:val="21"/>
          <w:highlight w:val="none"/>
        </w:rPr>
        <w:t>4、谈判费用</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b w:val="0"/>
          <w:bCs w:val="0"/>
          <w:szCs w:val="21"/>
          <w:highlight w:val="none"/>
        </w:rPr>
        <w:t>【</w:t>
      </w:r>
      <w:r>
        <w:rPr>
          <w:rFonts w:hint="eastAsia" w:ascii="宋体" w:hAnsi="宋体"/>
          <w:szCs w:val="21"/>
          <w:highlight w:val="none"/>
        </w:rPr>
        <w:t>必须提供】；</w:t>
      </w:r>
    </w:p>
    <w:p>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szCs w:val="21"/>
          <w:highlight w:val="none"/>
        </w:rPr>
        <w:t>必须提供</w:t>
      </w:r>
      <w:r>
        <w:rPr>
          <w:rFonts w:hint="eastAsia" w:ascii="宋体" w:hAnsi="宋体"/>
          <w:bCs/>
          <w:highlight w:val="none"/>
        </w:rPr>
        <w:t>）；</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val="en-US" w:eastAsia="zh-CN"/>
        </w:rPr>
        <w:t>必须</w:t>
      </w:r>
      <w:r>
        <w:rPr>
          <w:rFonts w:hint="eastAsia" w:ascii="宋体" w:hAnsi="宋体"/>
          <w:highlight w:val="none"/>
        </w:rPr>
        <w:t>提供）；</w:t>
      </w:r>
    </w:p>
    <w:p>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val="en-US" w:eastAsia="zh-CN"/>
        </w:rPr>
        <w:t>及委托代理人</w:t>
      </w:r>
      <w:r>
        <w:rPr>
          <w:rFonts w:hint="eastAsia" w:ascii="宋体" w:hAnsi="宋体"/>
          <w:highlight w:val="none"/>
          <w:lang w:eastAsia="zh-CN"/>
        </w:rPr>
        <w:t>签字</w:t>
      </w:r>
      <w:r>
        <w:rPr>
          <w:rFonts w:hint="eastAsia" w:ascii="宋体" w:hAnsi="宋体"/>
          <w:highlight w:val="none"/>
        </w:rPr>
        <w:t>。</w:t>
      </w:r>
    </w:p>
    <w:p>
      <w:pPr>
        <w:pStyle w:val="18"/>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pPr>
        <w:pStyle w:val="18"/>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pPr>
        <w:pStyle w:val="18"/>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w:t>
      </w:r>
      <w:r>
        <w:rPr>
          <w:rFonts w:hint="eastAsia" w:ascii="宋体" w:hAnsi="宋体" w:cs="Courier New"/>
          <w:szCs w:val="21"/>
          <w:highlight w:val="none"/>
          <w:lang w:eastAsia="zh-CN"/>
        </w:rPr>
        <w:t>响应</w:t>
      </w:r>
      <w:r>
        <w:rPr>
          <w:rFonts w:hint="eastAsia" w:ascii="宋体" w:hAnsi="宋体" w:cs="Courier New"/>
          <w:szCs w:val="21"/>
          <w:highlight w:val="none"/>
        </w:rPr>
        <w:t>文件签字及盖章内容。</w:t>
      </w:r>
    </w:p>
    <w:p>
      <w:pPr>
        <w:pStyle w:val="18"/>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送到采购代理机构公司</w:t>
      </w:r>
      <w:r>
        <w:rPr>
          <w:rFonts w:hint="eastAsia" w:hAnsi="宋体" w:cs="Courier New"/>
          <w:szCs w:val="21"/>
          <w:highlight w:val="none"/>
        </w:rPr>
        <w:t>。</w:t>
      </w:r>
    </w:p>
    <w:p>
      <w:pPr>
        <w:pStyle w:val="18"/>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w:t>
      </w:r>
      <w:r>
        <w:rPr>
          <w:rFonts w:hint="eastAsia" w:ascii="宋体" w:hAnsi="宋体"/>
          <w:kern w:val="0"/>
          <w:szCs w:val="21"/>
          <w:highlight w:val="none"/>
          <w:lang w:eastAsia="zh-CN"/>
        </w:rPr>
        <w:t>单价及总价</w:t>
      </w:r>
      <w:r>
        <w:rPr>
          <w:rFonts w:hint="eastAsia" w:ascii="宋体" w:hAnsi="宋体"/>
          <w:kern w:val="0"/>
          <w:szCs w:val="21"/>
          <w:highlight w:val="none"/>
        </w:rPr>
        <w:t>金额的，响应文件作相应无效处理。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及法人章</w:t>
      </w:r>
      <w:r>
        <w:rPr>
          <w:rFonts w:hint="eastAsia" w:ascii="宋体" w:hAnsi="宋体"/>
          <w:highlight w:val="none"/>
        </w:rPr>
        <w:t>。</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2025年06月27日13点30分。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b/>
          <w:bCs/>
          <w:szCs w:val="21"/>
          <w:highlight w:val="none"/>
          <w:lang w:eastAsia="zh-CN"/>
        </w:rPr>
        <w:t>长春市净月高新技术开发区天普路君临智谷产业园</w:t>
      </w:r>
      <w:r>
        <w:rPr>
          <w:rFonts w:hint="eastAsia" w:ascii="宋体" w:hAnsi="宋体" w:cs="宋体"/>
          <w:szCs w:val="21"/>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室评标</w:t>
      </w:r>
      <w:r>
        <w:rPr>
          <w:rFonts w:hint="eastAsia" w:ascii="宋体" w:hAnsi="宋体"/>
          <w:szCs w:val="21"/>
          <w:highlight w:val="none"/>
          <w:lang w:val="en-US" w:eastAsia="zh-CN"/>
        </w:rPr>
        <w:t>8室</w:t>
      </w:r>
      <w:r>
        <w:rPr>
          <w:rFonts w:hint="eastAsia" w:ascii="宋体" w:hAnsi="宋体" w:cs="宋体"/>
          <w:szCs w:val="21"/>
          <w:highlight w:val="none"/>
        </w:rPr>
        <w:t>。</w:t>
      </w:r>
    </w:p>
    <w:p>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pPr>
        <w:pStyle w:val="18"/>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pPr>
        <w:pStyle w:val="18"/>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pPr>
        <w:pStyle w:val="18"/>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pPr>
        <w:pStyle w:val="18"/>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pPr>
        <w:pStyle w:val="18"/>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pPr>
        <w:pStyle w:val="18"/>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pPr>
        <w:pStyle w:val="18"/>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pPr>
        <w:pStyle w:val="18"/>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pPr>
        <w:pStyle w:val="18"/>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pPr>
        <w:pStyle w:val="18"/>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pPr>
        <w:pStyle w:val="18"/>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18"/>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w:t>
      </w:r>
      <w:r>
        <w:rPr>
          <w:rFonts w:hint="eastAsia" w:ascii="宋体" w:hAnsi="宋体"/>
          <w:highlight w:val="none"/>
          <w:lang w:eastAsia="zh-CN"/>
        </w:rPr>
        <w:t>价</w:t>
      </w:r>
      <w:r>
        <w:rPr>
          <w:rFonts w:hint="eastAsia" w:ascii="宋体" w:hAnsi="宋体"/>
          <w:highlight w:val="none"/>
        </w:rPr>
        <w:t>金额的；</w:t>
      </w:r>
      <w:r>
        <w:rPr>
          <w:rFonts w:hint="eastAsia" w:ascii="宋体" w:hAnsi="宋体"/>
          <w:highlight w:val="none"/>
          <w:lang w:val="en-US" w:eastAsia="zh-CN"/>
        </w:rPr>
        <w:t>或未按招要求提供相关资料的。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pPr>
        <w:pStyle w:val="18"/>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pPr>
        <w:pStyle w:val="18"/>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pPr>
        <w:pStyle w:val="18"/>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pPr>
        <w:pStyle w:val="18"/>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r>
        <w:rPr>
          <w:rFonts w:hint="eastAsia" w:ascii="宋体" w:hAnsi="宋体" w:cs="Times New Roman"/>
          <w:szCs w:val="21"/>
          <w:highlight w:val="none"/>
          <w:lang w:eastAsia="zh-CN"/>
        </w:rPr>
        <w:t>。</w:t>
      </w:r>
    </w:p>
    <w:p>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pPr>
        <w:pStyle w:val="18"/>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pPr>
        <w:pStyle w:val="18"/>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执行《国家发展改革委关于进一步放开建设项目专业服务价格的通知》（发改价格〔2015〕299号），号文件的标准进行计算</w:t>
      </w:r>
      <w:r>
        <w:rPr>
          <w:rFonts w:hint="eastAsia" w:ascii="宋体" w:hAnsi="宋体" w:cs="宋体"/>
          <w:szCs w:val="21"/>
          <w:lang w:val="zh-CN"/>
        </w:rPr>
        <w:t>，由中标单位向采购代理机构对公转账或个人转账或现金支付。</w:t>
      </w:r>
    </w:p>
    <w:p>
      <w:pPr>
        <w:spacing w:line="380" w:lineRule="exact"/>
        <w:jc w:val="left"/>
        <w:rPr>
          <w:rFonts w:hint="default" w:ascii="宋体" w:hAnsi="宋体" w:eastAsia="宋体"/>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55565643"/>
      <w:bookmarkStart w:id="10" w:name="_Toc432277439"/>
      <w:bookmarkStart w:id="11" w:name="_Toc432264367"/>
    </w:p>
    <w:bookmarkEnd w:id="9"/>
    <w:bookmarkEnd w:id="10"/>
    <w:bookmarkEnd w:id="11"/>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货物采购</w:t>
      </w:r>
      <w:r>
        <w:rPr>
          <w:rFonts w:hint="eastAsia"/>
          <w:b/>
          <w:sz w:val="32"/>
          <w:szCs w:val="32"/>
          <w:highlight w:val="none"/>
          <w:lang w:val="zh-CN"/>
        </w:rPr>
        <w:t>需求表</w:t>
      </w:r>
    </w:p>
    <w:p>
      <w:pPr>
        <w:pStyle w:val="3"/>
        <w:spacing w:before="0" w:after="0" w:line="240" w:lineRule="auto"/>
        <w:rPr>
          <w:rFonts w:ascii="宋体" w:hAnsi="宋体" w:cs="宋体"/>
          <w:sz w:val="28"/>
          <w:szCs w:val="28"/>
        </w:rPr>
      </w:pPr>
      <w:bookmarkStart w:id="12" w:name="_Toc14770"/>
      <w:r>
        <w:rPr>
          <w:rFonts w:hint="eastAsia" w:ascii="宋体" w:hAnsi="宋体" w:cs="宋体"/>
          <w:sz w:val="28"/>
          <w:szCs w:val="28"/>
        </w:rPr>
        <w:t>一、项目概况及总体要求</w:t>
      </w:r>
      <w:bookmarkEnd w:id="12"/>
    </w:p>
    <w:p>
      <w:pPr>
        <w:spacing w:line="24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sz w:val="24"/>
          <w:lang w:eastAsia="zh-CN"/>
        </w:rPr>
        <w:t>长春市第一五八中学厨房设备采购项目</w:t>
      </w:r>
      <w:r>
        <w:rPr>
          <w:rFonts w:hint="eastAsia" w:ascii="宋体" w:hAnsi="宋体" w:cs="宋体"/>
          <w:sz w:val="24"/>
        </w:rPr>
        <w:t>。</w:t>
      </w:r>
    </w:p>
    <w:p>
      <w:pPr>
        <w:spacing w:line="240" w:lineRule="auto"/>
        <w:ind w:firstLine="480" w:firstLineChars="200"/>
        <w:rPr>
          <w:rFonts w:ascii="宋体" w:hAnsi="宋体" w:cs="宋体"/>
          <w:sz w:val="24"/>
        </w:rPr>
      </w:pPr>
      <w:bookmarkStart w:id="13" w:name="_Toc15867"/>
      <w:bookmarkStart w:id="14" w:name="_Toc432277440"/>
      <w:bookmarkStart w:id="15" w:name="_Toc455565644"/>
      <w:bookmarkStart w:id="16" w:name="_Toc432264368"/>
      <w:bookmarkStart w:id="17" w:name="_Toc10263"/>
      <w:r>
        <w:rPr>
          <w:rFonts w:hint="eastAsia" w:ascii="宋体" w:hAnsi="宋体" w:cs="宋体"/>
          <w:sz w:val="24"/>
        </w:rPr>
        <w:t>2、</w:t>
      </w:r>
      <w:r>
        <w:rPr>
          <w:rFonts w:hint="eastAsia" w:ascii="宋体" w:hAnsi="宋体" w:cs="宋体"/>
          <w:sz w:val="24"/>
          <w:lang w:eastAsia="zh-CN"/>
        </w:rPr>
        <w:t>供货</w:t>
      </w:r>
      <w:r>
        <w:rPr>
          <w:rFonts w:hint="eastAsia" w:ascii="宋体" w:hAnsi="宋体" w:cs="宋体"/>
          <w:sz w:val="24"/>
        </w:rPr>
        <w:t>地点：甲方指定地点。</w:t>
      </w:r>
    </w:p>
    <w:p>
      <w:pPr>
        <w:spacing w:line="24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3、</w:t>
      </w:r>
      <w:r>
        <w:rPr>
          <w:rFonts w:hint="eastAsia" w:ascii="宋体" w:hAnsi="宋体" w:cs="宋体"/>
          <w:sz w:val="24"/>
          <w:highlight w:val="none"/>
          <w:lang w:eastAsia="zh-CN"/>
        </w:rPr>
        <w:t>供货</w:t>
      </w:r>
      <w:r>
        <w:rPr>
          <w:rFonts w:hint="eastAsia" w:ascii="宋体" w:hAnsi="宋体" w:cs="宋体"/>
          <w:sz w:val="24"/>
          <w:highlight w:val="none"/>
        </w:rPr>
        <w:t>期：</w:t>
      </w:r>
      <w:r>
        <w:rPr>
          <w:rFonts w:hint="eastAsia" w:ascii="宋体" w:hAnsi="宋体" w:cs="宋体"/>
          <w:sz w:val="24"/>
          <w:highlight w:val="none"/>
          <w:lang w:eastAsia="zh-CN"/>
        </w:rPr>
        <w:t>合同签订后</w:t>
      </w:r>
      <w:r>
        <w:rPr>
          <w:rFonts w:hint="eastAsia" w:ascii="宋体" w:hAnsi="宋体" w:cs="宋体"/>
          <w:sz w:val="24"/>
          <w:highlight w:val="none"/>
          <w:lang w:val="en-US" w:eastAsia="zh-CN"/>
        </w:rPr>
        <w:t>20</w:t>
      </w:r>
      <w:r>
        <w:rPr>
          <w:rFonts w:hint="eastAsia" w:ascii="宋体" w:hAnsi="宋体" w:cs="宋体"/>
          <w:sz w:val="24"/>
          <w:highlight w:val="none"/>
        </w:rPr>
        <w:t>日历</w:t>
      </w:r>
      <w:r>
        <w:rPr>
          <w:rFonts w:hint="eastAsia" w:ascii="宋体" w:hAnsi="宋体" w:cs="宋体"/>
          <w:sz w:val="24"/>
          <w:highlight w:val="none"/>
          <w:lang w:eastAsia="zh-CN"/>
        </w:rPr>
        <w:t>天</w:t>
      </w:r>
      <w:r>
        <w:rPr>
          <w:rFonts w:hint="eastAsia" w:ascii="宋体" w:hAnsi="宋体" w:cs="宋体"/>
          <w:sz w:val="24"/>
          <w:highlight w:val="none"/>
        </w:rPr>
        <w:t>内</w:t>
      </w:r>
      <w:r>
        <w:rPr>
          <w:rFonts w:hint="eastAsia" w:ascii="宋体" w:hAnsi="宋体" w:cs="宋体"/>
          <w:sz w:val="24"/>
          <w:highlight w:val="none"/>
          <w:lang w:eastAsia="zh-CN"/>
        </w:rPr>
        <w:t>完成</w:t>
      </w:r>
      <w:r>
        <w:rPr>
          <w:rFonts w:hint="eastAsia" w:ascii="宋体" w:hAnsi="宋体" w:cs="宋体"/>
          <w:sz w:val="24"/>
          <w:highlight w:val="none"/>
          <w:lang w:val="en-US" w:eastAsia="zh-CN"/>
        </w:rPr>
        <w:t>甲方指定地点全部供货。</w:t>
      </w:r>
    </w:p>
    <w:p>
      <w:pPr>
        <w:spacing w:line="24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4、</w:t>
      </w:r>
      <w:r>
        <w:rPr>
          <w:rFonts w:hint="eastAsia" w:cs="宋体"/>
          <w:b w:val="0"/>
          <w:bCs w:val="0"/>
          <w:sz w:val="24"/>
          <w:szCs w:val="24"/>
          <w:lang w:val="en-US" w:eastAsia="zh-CN"/>
        </w:rPr>
        <w:t>质保期：在商品自身质保期限后质保一年。</w:t>
      </w:r>
    </w:p>
    <w:p>
      <w:pPr>
        <w:numPr>
          <w:ilvl w:val="0"/>
          <w:numId w:val="0"/>
        </w:numPr>
        <w:spacing w:line="360" w:lineRule="exact"/>
        <w:rPr>
          <w:rFonts w:hint="eastAsia"/>
          <w:b/>
          <w:sz w:val="24"/>
        </w:rPr>
      </w:pPr>
      <w:r>
        <w:rPr>
          <w:rFonts w:hint="eastAsia" w:ascii="宋体" w:hAnsi="宋体" w:eastAsia="宋体" w:cs="宋体"/>
          <w:sz w:val="28"/>
          <w:szCs w:val="28"/>
        </w:rPr>
        <w:t>二、</w:t>
      </w:r>
      <w:bookmarkEnd w:id="13"/>
      <w:r>
        <w:rPr>
          <w:rFonts w:hint="eastAsia"/>
          <w:b/>
          <w:sz w:val="24"/>
        </w:rPr>
        <w:t>产品一览表</w:t>
      </w:r>
    </w:p>
    <w:tbl>
      <w:tblPr>
        <w:tblStyle w:val="49"/>
        <w:tblW w:w="9067"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784"/>
        <w:gridCol w:w="1331"/>
        <w:gridCol w:w="4884"/>
        <w:gridCol w:w="728"/>
        <w:gridCol w:w="712"/>
        <w:gridCol w:w="62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560"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31" w:type="dxa"/>
            <w:tcBorders>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名称</w:t>
            </w:r>
          </w:p>
        </w:tc>
        <w:tc>
          <w:tcPr>
            <w:tcW w:w="48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主要技术参数及标准性能、规格</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332"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副食库</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米面架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1500*500*300mm 采用厚度为1.0mm的国标优质不锈钢拉丝板做面板，国标38*38钢方管为四周立柱、管厚度为1.0mm，面板与立柱固定采用全包围焊接技术，承重量为200kg，下配可调子弹腿。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74" w:hRule="atLeast"/>
          <w:jc w:val="center"/>
        </w:trPr>
        <w:tc>
          <w:tcPr>
            <w:tcW w:w="9067" w:type="dxa"/>
            <w:gridSpan w:val="6"/>
            <w:vAlign w:val="center"/>
          </w:tcPr>
          <w:p>
            <w:pPr>
              <w:keepNext w:val="0"/>
              <w:keepLines w:val="0"/>
              <w:pageBreakBefore w:val="0"/>
              <w:widowControl w:val="0"/>
              <w:tabs>
                <w:tab w:val="left" w:pos="2255"/>
              </w:tabs>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 xml:space="preserve">              蒸饭间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竖插盘双门蒸饭柜（精工款）</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1、1000*750*1690mm（±5%）  采用国标优质不锈钢拉丝板，面板为1.0mm不锈钢，及1.0mm不锈钢围身、背板、前板组成，隔热性能优良、保温时间长、整体不变形、节能环保；炉脚为底座直径50mm，厚度为1.0mm工业管及可调节子弹脚组成；可定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2、具有自动供水功能；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3、配置：配标准米饭盘及馒头盘（600*400mm）各12个。</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竖插盘单门蒸饭柜（精工款）</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1、655*750*1690（±5%） 采用国标优质不锈钢拉丝板，面板为1.0mm不锈钢，及1.0mm不锈钢围身、背板、前板组成，隔热性能优良、保温时间长、整体不变形、节能环保；炉脚为底座直径50mm，厚度为1.0mm工业管及可调节子弹脚组成；可定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2、具有自动供水功能；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3、配置：配标准米饭盘及馒头盘（600*400mm）各6个。</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深槽大单眼水池</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1100*800*800mm  采用国标优质不锈钢拉丝板,槽体厚1.0mm,侧板厚0.8mm，槽深400mm，配厚1.0mm的38*38mm不锈钢管为可调节子弹腿，配直径114mm国标优质不锈钢下水器，负责连接上下水，上水软连接。</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柜式风机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1、材质：全钢板外壳，双层复式结构；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2、采用多翼式叶轮结构；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3、消声结构蜗舌，降低整机噪声；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4、功率：4KW/380V；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5、风量：10000m³/h。</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风机架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与风机配套 采用50*50国标喷漆角钢，减震底角采用阻尼减震器。</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01"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烹饪间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电磁炉（带支架）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1、500*600*800（±5%）  凹面电磁炉采用全铜线圈包裹，十一档火力定温，80~280℃温度调控，高强度黑晶面板，功率6kw/220V。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2、机身及支架采用国标优质不锈钢拉丝板,面板厚度为1.0mm，下层为整板，四周采用38*38不锈钢圆管连接，下配可调节子弹腿。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3、配直径50mm炒锅。</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双槽水池</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1200*700*800mm 采用国标优质不锈钢拉丝板,槽体厚1.0mm,侧板厚0.8mm，槽深250mm，配厚1.0mm的38*38mm不锈钢管为可调节子弹腿，配直径114mm国标优质不锈钢下水器，负责连接上下水，上水软连接。</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500*1300*800mm 采用国标优质不锈钢拉丝板，上层板厚1.0mm，下层板厚0.8mm，下配38*38mm不锈钢方管，配可调节子弹腿。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500*800*800mm 采用国标优质不锈钢拉丝板，上层板厚1.0mm，下层板厚0.8mm，下配38*38mm不锈钢方管，配可调节子弹腿。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柜式风机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1、材质：全钢板外壳，双层复式结构；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2、采用多翼式叶轮结构；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3、消声结构蜗舌，降低整机噪声；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4、功率：5.5KW/380V；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5、风量：12000m³/h。</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风机架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采用50*50国标喷漆角钢，减震底角采用阻尼减震器。与风机配套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709"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油烟净化器</w:t>
            </w:r>
          </w:p>
        </w:tc>
        <w:tc>
          <w:tcPr>
            <w:tcW w:w="4884" w:type="dxa"/>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新型临界高压电源----自适应反馈高压电源，通过外设反馈电容，可分段逐级调压，达到与负载临界匹配状态；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2、利用无外电场核电粉尘平流吸附技术，对油烟分子净化效果达到95%以上；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3、芒刺电晕板和宽极距技术使分子、荷电能力更强，从而达到更好的效果；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4、功率：2KW/220V。12000风量</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油烟净化器支架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采用50*50国标喷漆角钢，减震底角采用阻尼减震器。</w:t>
            </w:r>
            <w:r>
              <w:rPr>
                <w:rFonts w:hint="default" w:ascii="宋体" w:hAnsi="宋体" w:eastAsia="宋体" w:cs="宋体"/>
                <w:i w:val="0"/>
                <w:iCs w:val="0"/>
                <w:color w:val="000000"/>
                <w:kern w:val="0"/>
                <w:sz w:val="22"/>
                <w:szCs w:val="22"/>
                <w:u w:val="none"/>
                <w:lang w:val="en-US" w:eastAsia="zh-CN" w:bidi="ar"/>
              </w:rPr>
              <w:t>与油烟净化器配套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01"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切配间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四层平板货架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1000*500*1550mm 采用国标38*38mm不锈钢方管为四周立柱，管壁厚度为1.0mm，中间采用国标优质不锈钢拉丝板为层板，板厚1.0mm，要求层板与立柱固定采用全包围立柱焊接，不得组装且不可拆卸。加强筋为0.8mm厚优质不锈钢板，每层承重量为120kg，下配可调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三槽水池</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1800*700*800mm 采用国标优质不锈钢拉丝板,槽体厚1.0mm,侧板厚0.8mm，槽深250mm，配厚1.0mm的38*38mm不锈钢管为可调节子弹腿，配直径114mm国标优质不锈钢下水器，负责连接上下水，上水软连接。</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毛刷洗菜机</w:t>
            </w:r>
          </w:p>
        </w:tc>
        <w:tc>
          <w:tcPr>
            <w:tcW w:w="4884" w:type="dxa"/>
            <w:vAlign w:val="top"/>
          </w:tcPr>
          <w:p>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Style w:val="100"/>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、1270*740*1150mm（±5%） 材质：整机采用国标优质不锈钢拉丝板。</w:t>
            </w:r>
            <w:r>
              <w:rPr>
                <w:rStyle w:val="100"/>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、结构：整机由不锈钢洗菜槽，不锈钢机架，不锈钢沥渣篮，合资尼龙毛刷，翻转装置，过滤装置及给水部分组成。</w:t>
            </w:r>
            <w:r>
              <w:rPr>
                <w:rStyle w:val="100"/>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、原理：物料通过毛刷转动，表面与毛刷充分摩擦，从而达到物料清洗、去皮、抛光等效果。</w:t>
            </w:r>
            <w:r>
              <w:rPr>
                <w:rStyle w:val="100"/>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特点：机器底部加装废料收集盘，防止污水皮屑等污染地面。机器通过全新设计把整个机身抬高，电机放置底部，机器下方的废料收集区有足够的空间方便工人清除废料，而新增滤网，可以完全隔开废渣和废水，废渣在滤网上方轻易刮走，而废水在滤网下方自动排走。</w:t>
            </w:r>
            <w:r>
              <w:rPr>
                <w:rStyle w:val="100"/>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、毛辊长度：</w:t>
            </w:r>
            <w:r>
              <w:rPr>
                <w:rStyle w:val="100"/>
                <w:rFonts w:eastAsia="宋体"/>
                <w:lang w:val="en-US" w:eastAsia="zh-CN" w:bidi="ar"/>
              </w:rPr>
              <w:t>1000mm</w:t>
            </w:r>
            <w:r>
              <w:rPr>
                <w:rFonts w:hint="eastAsia" w:ascii="宋体" w:hAnsi="宋体" w:eastAsia="宋体" w:cs="宋体"/>
                <w:i w:val="0"/>
                <w:iCs w:val="0"/>
                <w:color w:val="000000"/>
                <w:kern w:val="0"/>
                <w:sz w:val="21"/>
                <w:szCs w:val="21"/>
                <w:u w:val="none"/>
                <w:lang w:val="en-US" w:eastAsia="zh-CN" w:bidi="ar"/>
              </w:rPr>
              <w:t>，毛棍数量：</w:t>
            </w:r>
            <w:r>
              <w:rPr>
                <w:rStyle w:val="100"/>
                <w:rFonts w:eastAsia="宋体"/>
                <w:lang w:val="en-US" w:eastAsia="zh-CN" w:bidi="ar"/>
              </w:rPr>
              <w:t>7</w:t>
            </w:r>
            <w:r>
              <w:rPr>
                <w:rFonts w:hint="eastAsia" w:ascii="宋体" w:hAnsi="宋体" w:eastAsia="宋体" w:cs="宋体"/>
                <w:i w:val="0"/>
                <w:iCs w:val="0"/>
                <w:color w:val="000000"/>
                <w:kern w:val="0"/>
                <w:sz w:val="21"/>
                <w:szCs w:val="21"/>
                <w:u w:val="none"/>
                <w:lang w:val="en-US" w:eastAsia="zh-CN" w:bidi="ar"/>
              </w:rPr>
              <w:t>个。</w:t>
            </w:r>
            <w:r>
              <w:rPr>
                <w:rStyle w:val="100"/>
                <w:rFonts w:eastAsia="宋体"/>
                <w:lang w:val="en-US" w:eastAsia="zh-CN" w:bidi="ar"/>
              </w:rPr>
              <w:t>6</w:t>
            </w:r>
            <w:r>
              <w:rPr>
                <w:rFonts w:hint="eastAsia" w:ascii="宋体" w:hAnsi="宋体" w:eastAsia="宋体" w:cs="宋体"/>
                <w:i w:val="0"/>
                <w:iCs w:val="0"/>
                <w:color w:val="000000"/>
                <w:kern w:val="0"/>
                <w:sz w:val="21"/>
                <w:szCs w:val="21"/>
                <w:u w:val="none"/>
                <w:lang w:val="en-US" w:eastAsia="zh-CN" w:bidi="ar"/>
              </w:rPr>
              <w:t>、功能：清洗各种根茎类蔬菜水果，如土豆、地瓜、胡萝卜、芋头等。</w:t>
            </w:r>
            <w:r>
              <w:rPr>
                <w:rStyle w:val="100"/>
                <w:rFonts w:eastAsia="宋体"/>
                <w:lang w:val="en-US" w:eastAsia="zh-CN" w:bidi="ar"/>
              </w:rPr>
              <w:t>7</w:t>
            </w:r>
            <w:r>
              <w:rPr>
                <w:rFonts w:hint="eastAsia" w:ascii="宋体" w:hAnsi="宋体" w:eastAsia="宋体" w:cs="宋体"/>
                <w:i w:val="0"/>
                <w:iCs w:val="0"/>
                <w:color w:val="000000"/>
                <w:kern w:val="0"/>
                <w:sz w:val="21"/>
                <w:szCs w:val="21"/>
                <w:u w:val="none"/>
                <w:lang w:val="en-US" w:eastAsia="zh-CN" w:bidi="ar"/>
              </w:rPr>
              <w:t>、加工能力：</w:t>
            </w:r>
            <w:r>
              <w:rPr>
                <w:rStyle w:val="100"/>
                <w:rFonts w:eastAsia="宋体"/>
                <w:lang w:val="en-US" w:eastAsia="zh-CN" w:bidi="ar"/>
              </w:rPr>
              <w:t>300-500KG/h8</w:t>
            </w:r>
            <w:r>
              <w:rPr>
                <w:rFonts w:hint="eastAsia" w:ascii="宋体" w:hAnsi="宋体" w:eastAsia="宋体" w:cs="宋体"/>
                <w:i w:val="0"/>
                <w:iCs w:val="0"/>
                <w:color w:val="000000"/>
                <w:kern w:val="0"/>
                <w:sz w:val="21"/>
                <w:szCs w:val="21"/>
                <w:u w:val="none"/>
                <w:lang w:val="en-US" w:eastAsia="zh-CN" w:bidi="ar"/>
              </w:rPr>
              <w:t>、功率：</w:t>
            </w:r>
            <w:r>
              <w:rPr>
                <w:rStyle w:val="100"/>
                <w:rFonts w:eastAsia="宋体"/>
                <w:lang w:val="en-US" w:eastAsia="zh-CN" w:bidi="ar"/>
              </w:rPr>
              <w:t>1.5KW/380V</w:t>
            </w:r>
            <w:r>
              <w:rPr>
                <w:rFonts w:hint="eastAsia" w:ascii="宋体" w:hAnsi="宋体" w:eastAsia="宋体" w:cs="宋体"/>
                <w:i w:val="0"/>
                <w:iCs w:val="0"/>
                <w:color w:val="000000"/>
                <w:kern w:val="0"/>
                <w:sz w:val="21"/>
                <w:szCs w:val="21"/>
                <w:u w:val="none"/>
                <w:lang w:val="en-US" w:eastAsia="zh-CN" w:bidi="ar"/>
              </w:rPr>
              <w:t>。</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1500*700*800mm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球茎类切菜机</w:t>
            </w:r>
          </w:p>
        </w:tc>
        <w:tc>
          <w:tcPr>
            <w:tcW w:w="4884" w:type="dxa"/>
            <w:vAlign w:val="top"/>
          </w:tcPr>
          <w:p>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Style w:val="100"/>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、800*500*800mm（±5%）  材质：整机采用国标不锈钢板；</w:t>
            </w:r>
            <w:r>
              <w:rPr>
                <w:rStyle w:val="100"/>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、特性</w:t>
            </w:r>
            <w:r>
              <w:rPr>
                <w:rStyle w:val="100"/>
                <w:rFonts w:eastAsia="宋体"/>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适用于球茎类蔬菜的加工；</w:t>
            </w:r>
            <w:r>
              <w:rPr>
                <w:rStyle w:val="100"/>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、加工能力：</w:t>
            </w:r>
            <w:r>
              <w:rPr>
                <w:rStyle w:val="100"/>
                <w:rFonts w:eastAsia="宋体"/>
                <w:lang w:val="en-US" w:eastAsia="zh-CN" w:bidi="ar"/>
              </w:rPr>
              <w:t>300-500kg/h</w:t>
            </w:r>
            <w:r>
              <w:rPr>
                <w:rFonts w:hint="eastAsia" w:ascii="宋体" w:hAnsi="宋体" w:eastAsia="宋体" w:cs="宋体"/>
                <w:i w:val="0"/>
                <w:iCs w:val="0"/>
                <w:color w:val="000000"/>
                <w:kern w:val="0"/>
                <w:sz w:val="21"/>
                <w:szCs w:val="21"/>
                <w:u w:val="none"/>
                <w:lang w:val="en-US" w:eastAsia="zh-CN" w:bidi="ar"/>
              </w:rPr>
              <w:t>；</w:t>
            </w:r>
            <w:r>
              <w:rPr>
                <w:rStyle w:val="100"/>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、产品功能：可切丁、丝、片、等多种花样；</w:t>
            </w:r>
            <w:r>
              <w:rPr>
                <w:rStyle w:val="100"/>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Style w:val="100"/>
                <w:rFonts w:eastAsia="宋体"/>
                <w:lang w:val="en-US" w:eastAsia="zh-CN" w:bidi="ar"/>
              </w:rPr>
              <w:t>0.75KW/220V</w:t>
            </w:r>
            <w:r>
              <w:rPr>
                <w:rFonts w:hint="eastAsia" w:ascii="宋体" w:hAnsi="宋体" w:eastAsia="宋体" w:cs="宋体"/>
                <w:i w:val="0"/>
                <w:iCs w:val="0"/>
                <w:color w:val="000000"/>
                <w:kern w:val="0"/>
                <w:sz w:val="21"/>
                <w:szCs w:val="21"/>
                <w:u w:val="none"/>
                <w:lang w:val="en-US" w:eastAsia="zh-CN" w:bidi="ar"/>
              </w:rPr>
              <w:t>。</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叶菜类单切机</w:t>
            </w:r>
          </w:p>
        </w:tc>
        <w:tc>
          <w:tcPr>
            <w:tcW w:w="4884" w:type="dxa"/>
            <w:vAlign w:val="top"/>
          </w:tcPr>
          <w:p>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Style w:val="100"/>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、1160*530*1300mm（±5% 材质：整机采用国标不锈钢板；</w:t>
            </w:r>
            <w:r>
              <w:rPr>
                <w:rStyle w:val="100"/>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、特性</w:t>
            </w:r>
            <w:r>
              <w:rPr>
                <w:rStyle w:val="100"/>
                <w:rFonts w:eastAsia="宋体"/>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适用于叶菜类蔬菜的加工；</w:t>
            </w:r>
            <w:r>
              <w:rPr>
                <w:rStyle w:val="100"/>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、加工能力：</w:t>
            </w:r>
            <w:r>
              <w:rPr>
                <w:rStyle w:val="100"/>
                <w:rFonts w:eastAsia="宋体"/>
                <w:lang w:val="en-US" w:eastAsia="zh-CN" w:bidi="ar"/>
              </w:rPr>
              <w:t>300-1000kg/h</w:t>
            </w:r>
            <w:r>
              <w:rPr>
                <w:rFonts w:hint="eastAsia" w:ascii="宋体" w:hAnsi="宋体" w:eastAsia="宋体" w:cs="宋体"/>
                <w:i w:val="0"/>
                <w:iCs w:val="0"/>
                <w:color w:val="000000"/>
                <w:kern w:val="0"/>
                <w:sz w:val="21"/>
                <w:szCs w:val="21"/>
                <w:u w:val="none"/>
                <w:lang w:val="en-US" w:eastAsia="zh-CN" w:bidi="ar"/>
              </w:rPr>
              <w:t>；</w:t>
            </w:r>
            <w:r>
              <w:rPr>
                <w:rStyle w:val="100"/>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、产品功能：可切段、丝、切碎、等多种花样；</w:t>
            </w:r>
            <w:r>
              <w:rPr>
                <w:rStyle w:val="100"/>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Style w:val="100"/>
                <w:rFonts w:eastAsia="宋体"/>
                <w:lang w:val="en-US" w:eastAsia="zh-CN" w:bidi="ar"/>
              </w:rPr>
              <w:t>2.22KW/220V</w:t>
            </w:r>
            <w:r>
              <w:rPr>
                <w:rFonts w:hint="eastAsia" w:ascii="宋体" w:hAnsi="宋体" w:eastAsia="宋体" w:cs="宋体"/>
                <w:i w:val="0"/>
                <w:iCs w:val="0"/>
                <w:color w:val="000000"/>
                <w:kern w:val="0"/>
                <w:sz w:val="21"/>
                <w:szCs w:val="21"/>
                <w:u w:val="none"/>
                <w:lang w:val="en-US" w:eastAsia="zh-CN" w:bidi="ar"/>
              </w:rPr>
              <w:t>。</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一次性切肉丝机</w:t>
            </w:r>
          </w:p>
        </w:tc>
        <w:tc>
          <w:tcPr>
            <w:tcW w:w="4884" w:type="dxa"/>
            <w:vAlign w:val="top"/>
          </w:tcPr>
          <w:p>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Style w:val="100"/>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、690*690*910mm（±5%） 材质：整机不锈钢；</w:t>
            </w:r>
            <w:r>
              <w:rPr>
                <w:rStyle w:val="100"/>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、用途：一次性切成肉丝；</w:t>
            </w:r>
            <w:r>
              <w:rPr>
                <w:rStyle w:val="100"/>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、切丝厚度：</w:t>
            </w:r>
            <w:r>
              <w:rPr>
                <w:rStyle w:val="100"/>
                <w:rFonts w:eastAsia="宋体"/>
                <w:lang w:val="en-US" w:eastAsia="zh-CN" w:bidi="ar"/>
              </w:rPr>
              <w:t>3.5mm</w:t>
            </w:r>
            <w:r>
              <w:rPr>
                <w:rFonts w:hint="eastAsia" w:ascii="宋体" w:hAnsi="宋体" w:eastAsia="宋体" w:cs="宋体"/>
                <w:i w:val="0"/>
                <w:iCs w:val="0"/>
                <w:color w:val="000000"/>
                <w:kern w:val="0"/>
                <w:sz w:val="21"/>
                <w:szCs w:val="21"/>
                <w:u w:val="none"/>
                <w:lang w:val="en-US" w:eastAsia="zh-CN" w:bidi="ar"/>
              </w:rPr>
              <w:t>；</w:t>
            </w:r>
            <w:r>
              <w:rPr>
                <w:rStyle w:val="100"/>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、加工量：</w:t>
            </w:r>
            <w:r>
              <w:rPr>
                <w:rStyle w:val="100"/>
                <w:rFonts w:eastAsia="宋体"/>
                <w:lang w:val="en-US" w:eastAsia="zh-CN" w:bidi="ar"/>
              </w:rPr>
              <w:t>350KG/H</w:t>
            </w:r>
            <w:r>
              <w:rPr>
                <w:rFonts w:hint="eastAsia" w:ascii="宋体" w:hAnsi="宋体" w:eastAsia="宋体" w:cs="宋体"/>
                <w:i w:val="0"/>
                <w:iCs w:val="0"/>
                <w:color w:val="000000"/>
                <w:kern w:val="0"/>
                <w:sz w:val="21"/>
                <w:szCs w:val="21"/>
                <w:u w:val="none"/>
                <w:lang w:val="en-US" w:eastAsia="zh-CN" w:bidi="ar"/>
              </w:rPr>
              <w:t>；</w:t>
            </w:r>
            <w:r>
              <w:rPr>
                <w:rStyle w:val="100"/>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、功率：</w:t>
            </w:r>
            <w:r>
              <w:rPr>
                <w:rStyle w:val="100"/>
                <w:rFonts w:eastAsia="宋体"/>
                <w:lang w:val="en-US" w:eastAsia="zh-CN" w:bidi="ar"/>
              </w:rPr>
              <w:t>1.1KW/380V</w:t>
            </w:r>
            <w:r>
              <w:rPr>
                <w:rFonts w:hint="eastAsia" w:ascii="宋体" w:hAnsi="宋体" w:eastAsia="宋体" w:cs="宋体"/>
                <w:i w:val="0"/>
                <w:iCs w:val="0"/>
                <w:color w:val="000000"/>
                <w:kern w:val="0"/>
                <w:sz w:val="21"/>
                <w:szCs w:val="21"/>
                <w:u w:val="none"/>
                <w:lang w:val="en-US" w:eastAsia="zh-CN" w:bidi="ar"/>
              </w:rPr>
              <w:t>。</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53"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备餐间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双层平板工作台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1800*800*800mm 采用国标优质不锈钢拉丝板,面板厚度为1.0mm，下砧30MM细木工板，四周采用38*38不锈钢方管连接。管厚度为0.8mm，下层为整板，板厚0.8mm，配加固带，能承重150kg物品，下配可调节子弹腿。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四门碗柜</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1200*530*1800mm 采用国标优质不锈钢拉丝板，门板厚1.0mm，侧板厚0.8mm,内侧横板厚1.0mm，后侧板厚0.8mm，拉门为无噪音无轨滑道的拉门,配四个门。</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单门留样柜</w:t>
            </w:r>
          </w:p>
        </w:tc>
        <w:tc>
          <w:tcPr>
            <w:tcW w:w="4884" w:type="dxa"/>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有效容积：409L；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2、温度范围：冷藏：+2~+8℃；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3、不锈钢机身，使用寿命长，经久耐用，维修方便；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4、大风扇智能温控，实现短时间内快速降温；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5、通过70万次开关门试验，经久耐用；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6、45°内凭冰箱门的自重自动关门；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7、可拆卸门封条，拆装方便，清洁、替换都非常简单；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8、门框内藏加热丝, 避免结露；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9、箱体内圆弧形角落设计, 日常维护不留死角；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10、无门把手突出，确保通道空间；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11、制冷剂：冷藏：R134a；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12、隔热材料发泡剂：环戊烷；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13、功率：不小于180W/220V。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14、带双锁。</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600*800*1980mm（±5%）</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b w:val="0"/>
                <w:bCs w:val="0"/>
                <w:i w:val="0"/>
                <w:iCs w:val="0"/>
                <w:color w:val="000000"/>
                <w:kern w:val="0"/>
                <w:sz w:val="22"/>
                <w:szCs w:val="22"/>
                <w:u w:val="none"/>
                <w:lang w:val="en-US" w:eastAsia="zh-CN" w:bidi="ar"/>
              </w:rPr>
              <w:t>三格保温售餐台</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1800*700*800mm 采用国标优质不锈钢拉丝板,面板厚1.0mm，侧板厚0.8mm,底板厚0.8mm，配3个1/1份数盒（加厚0.8mm）,配厚度为1.0mm的38*38不锈钢方管为可调节子弹腿，不锈钢加热管，自动控温按钮调节温度，功率3KW/220V。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422"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洗碗间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深槽大单眼水池</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1200*800*800mm 采用国标优质不锈钢拉丝板,槽体厚1.0mm,侧板厚0.8mm，槽深400mm，配厚1.0mm的38*38mm不锈钢管为可调节子弹腿，配直径114mm国标优质不锈钢下水器，负责连接上下水，上水软连接。</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挂墙式热水器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1、产品尺寸：φ465*995mm；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3、加热温度范围：30℃-75℃；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4、内胆材质：蓝胆内钻，采用高强度低碳钢板、微粉搪瓷层、高温煅烧蓝涂层三重强化内胆保护，采用无氟聚氨酯整体发泡保护层，使整个内胆严密不留缝，保温效果好；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5、操作方式：机械式旋钮；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6、防水等级：IP*4；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7、加热功率：2.2KW/220V。</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超声波洗碗机</w:t>
            </w:r>
          </w:p>
        </w:tc>
        <w:tc>
          <w:tcPr>
            <w:tcW w:w="4884" w:type="dxa"/>
            <w:vAlign w:val="top"/>
          </w:tcPr>
          <w:p>
            <w:pPr>
              <w:keepNext w:val="0"/>
              <w:keepLines w:val="0"/>
              <w:widowControl/>
              <w:suppressLineNumbers w:val="0"/>
              <w:jc w:val="left"/>
              <w:textAlignment w:val="top"/>
              <w:rPr>
                <w:rFonts w:hint="default" w:ascii="宋体" w:hAnsi="宋体" w:eastAsia="宋体" w:cs="宋体"/>
                <w:color w:val="000000"/>
                <w:sz w:val="24"/>
                <w:szCs w:val="24"/>
                <w:lang w:val="en-US" w:eastAsia="zh-CN"/>
              </w:rPr>
            </w:pPr>
            <w:r>
              <w:rPr>
                <w:rFonts w:hint="default" w:ascii="Calibri" w:hAnsi="Calibri" w:eastAsia="宋体" w:cs="Calibri"/>
                <w:i w:val="0"/>
                <w:iCs w:val="0"/>
                <w:color w:val="000000"/>
                <w:kern w:val="0"/>
                <w:sz w:val="21"/>
                <w:szCs w:val="21"/>
                <w:u w:val="none"/>
                <w:lang w:val="en-US" w:eastAsia="zh-CN" w:bidi="ar"/>
              </w:rPr>
              <w:t>1</w:t>
            </w:r>
            <w:r>
              <w:rPr>
                <w:rStyle w:val="101"/>
                <w:lang w:val="en-US" w:eastAsia="zh-CN" w:bidi="ar"/>
              </w:rPr>
              <w:t>、</w:t>
            </w:r>
            <w:r>
              <w:rPr>
                <w:rStyle w:val="101"/>
                <w:rFonts w:hint="eastAsia"/>
                <w:lang w:val="en-US" w:eastAsia="zh-CN" w:bidi="ar"/>
              </w:rPr>
              <w:t xml:space="preserve">1500*800*800mm（±5%）  </w:t>
            </w:r>
            <w:r>
              <w:rPr>
                <w:rStyle w:val="101"/>
                <w:lang w:val="en-US" w:eastAsia="zh-CN" w:bidi="ar"/>
              </w:rPr>
              <w:t>整机采用国标优质不锈钢制作。</w:t>
            </w:r>
            <w:r>
              <w:rPr>
                <w:rFonts w:hint="default" w:ascii="Calibri" w:hAnsi="Calibri" w:eastAsia="宋体" w:cs="Calibri"/>
                <w:i w:val="0"/>
                <w:iCs w:val="0"/>
                <w:color w:val="000000"/>
                <w:kern w:val="0"/>
                <w:sz w:val="21"/>
                <w:szCs w:val="21"/>
                <w:u w:val="none"/>
                <w:lang w:val="en-US" w:eastAsia="zh-CN" w:bidi="ar"/>
              </w:rPr>
              <w:t>2</w:t>
            </w:r>
            <w:r>
              <w:rPr>
                <w:rStyle w:val="101"/>
                <w:lang w:val="en-US" w:eastAsia="zh-CN" w:bidi="ar"/>
              </w:rPr>
              <w:t>、机械按键式控制面板，简单可靠，减少误操作。</w:t>
            </w:r>
            <w:r>
              <w:rPr>
                <w:rFonts w:hint="default" w:ascii="Calibri" w:hAnsi="Calibri" w:eastAsia="宋体" w:cs="Calibri"/>
                <w:i w:val="0"/>
                <w:iCs w:val="0"/>
                <w:color w:val="000000"/>
                <w:kern w:val="0"/>
                <w:sz w:val="21"/>
                <w:szCs w:val="21"/>
                <w:u w:val="none"/>
                <w:lang w:val="en-US" w:eastAsia="zh-CN" w:bidi="ar"/>
              </w:rPr>
              <w:t>3</w:t>
            </w:r>
            <w:r>
              <w:rPr>
                <w:rStyle w:val="101"/>
                <w:lang w:val="en-US" w:eastAsia="zh-CN" w:bidi="ar"/>
              </w:rPr>
              <w:t>、配加粗加厚加热管，可加热水温，宽频共振的振头能适应高温，电转声场高达</w:t>
            </w:r>
            <w:r>
              <w:rPr>
                <w:rFonts w:hint="default" w:ascii="Calibri" w:hAnsi="Calibri" w:eastAsia="宋体" w:cs="Calibri"/>
                <w:i w:val="0"/>
                <w:iCs w:val="0"/>
                <w:color w:val="000000"/>
                <w:kern w:val="0"/>
                <w:sz w:val="21"/>
                <w:szCs w:val="21"/>
                <w:u w:val="none"/>
                <w:lang w:val="en-US" w:eastAsia="zh-CN" w:bidi="ar"/>
              </w:rPr>
              <w:t>85%</w:t>
            </w:r>
            <w:r>
              <w:rPr>
                <w:rStyle w:val="101"/>
                <w:lang w:val="en-US" w:eastAsia="zh-CN" w:bidi="ar"/>
              </w:rPr>
              <w:t>。</w:t>
            </w:r>
            <w:r>
              <w:rPr>
                <w:rFonts w:hint="default" w:ascii="Calibri" w:hAnsi="Calibri" w:eastAsia="宋体" w:cs="Calibri"/>
                <w:i w:val="0"/>
                <w:iCs w:val="0"/>
                <w:color w:val="000000"/>
                <w:kern w:val="0"/>
                <w:sz w:val="21"/>
                <w:szCs w:val="21"/>
                <w:u w:val="none"/>
                <w:lang w:val="en-US" w:eastAsia="zh-CN" w:bidi="ar"/>
              </w:rPr>
              <w:t>4</w:t>
            </w:r>
            <w:r>
              <w:rPr>
                <w:rStyle w:val="101"/>
                <w:lang w:val="en-US" w:eastAsia="zh-CN" w:bidi="ar"/>
              </w:rPr>
              <w:t>、高频超声波震头，清洗快，噪声低，超声波冲击，使油污分离，不留水印。</w:t>
            </w:r>
            <w:r>
              <w:rPr>
                <w:rFonts w:hint="default" w:ascii="Calibri" w:hAnsi="Calibri" w:eastAsia="宋体" w:cs="Calibri"/>
                <w:i w:val="0"/>
                <w:iCs w:val="0"/>
                <w:color w:val="000000"/>
                <w:kern w:val="0"/>
                <w:sz w:val="21"/>
                <w:szCs w:val="21"/>
                <w:u w:val="none"/>
                <w:lang w:val="en-US" w:eastAsia="zh-CN" w:bidi="ar"/>
              </w:rPr>
              <w:t>5</w:t>
            </w:r>
            <w:r>
              <w:rPr>
                <w:rStyle w:val="101"/>
                <w:lang w:val="en-US" w:eastAsia="zh-CN" w:bidi="ar"/>
              </w:rPr>
              <w:t>、具有频率自动跟踪扫描功能，与发生器、换成器电容阻抗频率相匹配，提高整机的稳定性。</w:t>
            </w:r>
            <w:r>
              <w:rPr>
                <w:rFonts w:hint="default" w:ascii="Calibri" w:hAnsi="Calibri" w:eastAsia="宋体" w:cs="Calibri"/>
                <w:i w:val="0"/>
                <w:iCs w:val="0"/>
                <w:color w:val="000000"/>
                <w:kern w:val="0"/>
                <w:sz w:val="21"/>
                <w:szCs w:val="21"/>
                <w:u w:val="none"/>
                <w:lang w:val="en-US" w:eastAsia="zh-CN" w:bidi="ar"/>
              </w:rPr>
              <w:t>6</w:t>
            </w:r>
            <w:r>
              <w:rPr>
                <w:rStyle w:val="101"/>
                <w:lang w:val="en-US" w:eastAsia="zh-CN" w:bidi="ar"/>
              </w:rPr>
              <w:t>、具有清洗消毒、除农药残留功能。</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高压冲地龙头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1、材质：由表面静电喷涂优质钢主体+10米长耐压橡胶水管+黄铜泵体等配件组成；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2、配装10米长管和高压喷枪，喷枪喷射出的水距可达8米，且出水状态可根据需要调为线柱/花洒/雾状；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3、安装在墙壁上可节约空间，也可按场地大小自由拉伸管体长度定位并自动回收水管；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4、导向臂：可4个方向定位，可独立安装，容易调整，厚的不锈钢结构，加强筋提高强度；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5、管子：最大压力 300PSI，最大温度 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6、结实的铜制旋转接头：露在卷盘外，由丁纳橡胶和两个尼龙耐磨垫圈的O型圈保护；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7、可以调整软管止动块；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8、主弹簧：采用弹簧合金，超过25K的拉力测试，轻松及安全的服务；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9、卷盘和基座：不锈钢表面涂上粉末，厚的不锈钢结构，加强筋提高强度；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10、前振机水枪：强大的清洗功能，方便有效的控水能力，自动关闭，蓝色橡胶套。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双门热风循环消毒柜</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1、1300*650*2000mm 材质：整体采用国标优质不锈钢拉丝板，不锈钢双层钢板，板厚1.0mm；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2、消毒方式：热风循环消毒；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3、功率：4.4KW/380V；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4、关机保护：风机自冷却至指定温度停机；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5、超温保护：自动超温保护；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6、消毒范围：20度~126度；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7、时间控制范围：0~120分钟。</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消毒柜不锈钢篮</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1、不锈钢材质（加粗）2、方形3、内设隔断，能立放小四格餐盘不倒。与消毒柜匹配</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572"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其他设备</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紫外线消毒灯</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1、高效率杀菌:紫外线对细菌、病毒的杀菌使用在一内即可达到99%－99.9%的杀菌率；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2、紫外线输出范围：200-275nm；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3、功率：100W/220V。φ28*1198mm </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平板车</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900*600*800mm 采用国标优质不锈钢拉丝板，板厚1.0mm，骨架38*38不锈钢管，管厚1.0mm，前后轮为万向滑轮，承重300kg以上。</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地秤</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1、秤台采用花纹钢制造，更牢固结实；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2、秤体可推动滑行，方便移动；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3、充电后电量可正常使用1-2个月；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4、仪表外壳密封性好，可防滴水，防护等级为IP63；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5、采用高分辨率之传感器制造，精确度高，最高可达1/15000；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6、称量分度：100kg/100g；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7、显示分度值可根据用户需要自行切换；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8、液晶电子秤具LED背光功能。</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手持电动打蛋器</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180*（95+168）mm 三档控速，大电池续航，无线便携，不锈钢材质不易生锈不脱落。</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冷热水龙头</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台面立式，高度不小于300mm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出水孔高度195mm，出水孔中心距170mm，可360度旋转出水管，本体和起泡器采用精铜制造，高端陶瓷阀芯，表面镀铬，优质不锈钢编织软管。孔径：22mm*2，孔距203mm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542" w:hRule="atLeast"/>
          <w:jc w:val="center"/>
        </w:trPr>
        <w:tc>
          <w:tcPr>
            <w:tcW w:w="9067"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厨杂设备</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不锈钢餐盘</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四格方盘，3042B不锈钢材质，加厚。253*207mm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3042B不锈钢材质，长把加厚。长203mm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675"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不锈钢手勺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不锈钢材质，8两重。</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饭板子</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不锈钢材质，长把。220*90*4mm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直径300mm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直径400mm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直径600mm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70钢盆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直径700mm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直径300mm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直径400mm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60漏眼钢盆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直径600mm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70漏眼钢盆</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不锈钢，板厚1.0mm 直径700mm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桑刀</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优质烙钢，免磨  2号</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砍刀</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优质烙钢，免磨 3号</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剔骨刀</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不锈钢材质，梨木手柄 长度310mm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打皮刀</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不锈钢材质 广式 </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0"/>
                <w:szCs w:val="20"/>
                <w:u w:val="none"/>
                <w:lang w:val="en-US" w:eastAsia="zh-CN" w:bidi="ar"/>
              </w:rPr>
              <w:t>剪刀</w:t>
            </w:r>
          </w:p>
        </w:tc>
        <w:tc>
          <w:tcPr>
            <w:tcW w:w="4884" w:type="dxa"/>
            <w:vAlign w:val="center"/>
          </w:tcPr>
          <w:p>
            <w:pPr>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2号</w:t>
            </w:r>
            <w:r>
              <w:rPr>
                <w:rFonts w:hint="eastAsia" w:ascii="宋体" w:hAnsi="宋体" w:eastAsia="宋体" w:cs="宋体"/>
                <w:color w:val="000000"/>
                <w:sz w:val="24"/>
                <w:szCs w:val="24"/>
                <w:lang w:val="en-US" w:eastAsia="zh-CN"/>
              </w:rPr>
              <w:t xml:space="preserve"> </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不锈钢材质，厚2.0mm。长度200mm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调料缸</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不锈钢材质，加深加厚。直径200mm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40大勺</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不锈钢材质，长把加厚。</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不锈钢炒菜锹</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方形不锈钢大铲头，长20CM，款16CM，实木手柄。把手长1米</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菜墩1</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天然竹材质，无漆无蜡，双不锈钢提手。双圈防开裂。100mm高。切肉切菜各4，用颜色区分。直径500mm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菜墩2</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PE材质。共5层，2厘米一层，沿线可切割。直径500mm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铁笊篱</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带眼不锈钢带把（过油用）。直径300mm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双</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水瓢</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不锈钢材质，直径180mm 直径180mm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大号保鲜盒</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无毒无味，耐腐蚀。450*320*160mm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中号保鲜盒</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无毒无味，耐腐蚀。380*260*140mm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净菜大白筐</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无毒无味，耐腐蚀，厚度3mm。670*460*350mm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毛菜大篮筐</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无毒无味，耐腐蚀，厚度3mm。670*460*</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白色小方形密网筐</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无毒无味，耐腐蚀，厚度3mm。520*420*190cm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不锈钢锅架</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采用国标优质不锈钢材质，板厚1.0mm。300*300*50mm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整理箱</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优质PP塑料材质， 无毒无味，耐腐蚀。660*470*400mm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电子台秤</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1、机身采用ABS加厚材质，防摔防抖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2、配置防水罩，防水防尘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3、LCD清晰前后显示屏，背光显示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4、两种供电方式，内置锂电池/交流电电池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5、秤盘平滑设计、加粗加厚秤杆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6、最大称量：30kg，最小称量：200g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7、精度：1g</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不锈钢带盖留样盒</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采用国标304不锈钢制做，一次性冲压成型，配不锈钢盒盖。125*125*45mm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30</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Ex>
        <w:trPr>
          <w:trHeight w:val="1031" w:hRule="atLeast"/>
          <w:jc w:val="center"/>
        </w:trPr>
        <w:tc>
          <w:tcPr>
            <w:tcW w:w="784"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331" w:type="dxa"/>
            <w:tcBorders>
              <w:right w:val="doub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餐桌椅</w:t>
            </w:r>
          </w:p>
        </w:tc>
        <w:tc>
          <w:tcPr>
            <w:tcW w:w="4884" w:type="dxa"/>
            <w:vAlign w:val="center"/>
          </w:tcPr>
          <w:p>
            <w:pPr>
              <w:keepNext w:val="0"/>
              <w:keepLines w:val="0"/>
              <w:widowControl/>
              <w:suppressLineNumbers w:val="0"/>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桌面120*60岩板亮光雪山石底贴15厘多层板配铁艺烤漆人字架砂白1.0厚，350圆PP椅面，白色喇叭胶套   四人位</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125</w:t>
            </w:r>
          </w:p>
        </w:tc>
        <w:tc>
          <w:tcPr>
            <w:tcW w:w="712" w:type="dxa"/>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张</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lang w:val="en-US" w:eastAsia="zh-CN"/>
        </w:rPr>
      </w:pPr>
      <w:r>
        <w:rPr>
          <w:rFonts w:hint="eastAsia"/>
          <w:b/>
          <w:sz w:val="36"/>
          <w:szCs w:val="36"/>
          <w:highlight w:val="none"/>
          <w:lang w:val="en-US" w:eastAsia="zh-CN"/>
        </w:rPr>
        <w:t xml:space="preserve"> </w:t>
      </w: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b/>
          <w:bCs/>
          <w:sz w:val="36"/>
          <w:szCs w:val="36"/>
          <w:highlight w:val="none"/>
        </w:rPr>
      </w:pPr>
      <w:r>
        <w:rPr>
          <w:rFonts w:hint="eastAsia"/>
          <w:b/>
          <w:sz w:val="36"/>
          <w:szCs w:val="36"/>
          <w:highlight w:val="none"/>
        </w:rPr>
        <w:t>第四章  评审方法</w:t>
      </w:r>
      <w:bookmarkEnd w:id="14"/>
      <w:bookmarkEnd w:id="15"/>
      <w:bookmarkEnd w:id="16"/>
    </w:p>
    <w:p>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49"/>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12"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w:t>
            </w:r>
            <w:r>
              <w:rPr>
                <w:rFonts w:hint="eastAsia" w:ascii="宋体" w:hAnsi="宋体" w:cs="宋体"/>
                <w:bCs/>
                <w:sz w:val="21"/>
                <w:szCs w:val="21"/>
                <w:highlight w:val="none"/>
                <w:lang w:val="zh-CN"/>
              </w:rPr>
              <w:t>基础信息、</w:t>
            </w:r>
            <w:r>
              <w:rPr>
                <w:rFonts w:hint="eastAsia" w:ascii="宋体" w:hAnsi="宋体" w:cs="宋体"/>
                <w:bCs/>
                <w:sz w:val="21"/>
                <w:szCs w:val="21"/>
                <w:highlight w:val="none"/>
                <w:lang w:val="zh-CN" w:eastAsia="zh-CN"/>
              </w:rPr>
              <w:t>经营异常名录</w:t>
            </w:r>
            <w:r>
              <w:rPr>
                <w:rFonts w:hint="eastAsia" w:ascii="宋体" w:hAnsi="宋体" w:eastAsia="宋体" w:cs="宋体"/>
                <w:bCs/>
                <w:sz w:val="21"/>
                <w:szCs w:val="21"/>
                <w:highlight w:val="none"/>
                <w:lang w:val="zh-CN"/>
              </w:rPr>
              <w:t>查询截图加盖投标单位公章</w:t>
            </w:r>
            <w:r>
              <w:rPr>
                <w:rFonts w:hint="eastAsia" w:ascii="宋体" w:hAnsi="宋体" w:eastAsia="宋体" w:cs="宋体"/>
                <w:bCs/>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5"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6054"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6054" w:type="dxa"/>
            <w:vAlign w:val="center"/>
          </w:tcPr>
          <w:p>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pPr>
              <w:pStyle w:val="3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、严重失信主体名单等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w:t>
            </w:r>
            <w:r>
              <w:rPr>
                <w:rFonts w:hint="eastAsia" w:ascii="宋体" w:hAnsi="宋体" w:cs="宋体"/>
                <w:b w:val="0"/>
                <w:bCs/>
                <w:i w:val="0"/>
                <w:caps w:val="0"/>
                <w:spacing w:val="0"/>
                <w:w w:val="100"/>
                <w:sz w:val="21"/>
                <w:szCs w:val="21"/>
                <w:lang w:val="en-US" w:eastAsia="zh-CN"/>
              </w:rPr>
              <w:t>2022年01月01日至</w:t>
            </w:r>
            <w:r>
              <w:rPr>
                <w:rFonts w:hint="eastAsia" w:ascii="宋体" w:hAnsi="宋体" w:cs="宋体"/>
                <w:b w:val="0"/>
                <w:bCs/>
                <w:i w:val="0"/>
                <w:caps w:val="0"/>
                <w:spacing w:val="0"/>
                <w:w w:val="100"/>
                <w:sz w:val="21"/>
                <w:szCs w:val="21"/>
              </w:rPr>
              <w:t>投标截止时间)；</w:t>
            </w:r>
            <w:r>
              <w:rPr>
                <w:rFonts w:hint="eastAsia" w:ascii="宋体" w:hAnsi="宋体" w:cs="宋体"/>
                <w:b w:val="0"/>
                <w:bCs/>
                <w:i w:val="0"/>
                <w:caps w:val="0"/>
                <w:spacing w:val="0"/>
                <w:w w:val="100"/>
                <w:sz w:val="21"/>
                <w:szCs w:val="21"/>
                <w:lang w:val="en-US" w:eastAsia="zh-CN"/>
              </w:rPr>
              <w:t>标书内附加盖公章复印件。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pStyle w:val="18"/>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6054" w:type="dxa"/>
            <w:vAlign w:val="center"/>
          </w:tcPr>
          <w:p>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pPr>
              <w:pStyle w:val="18"/>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附由法定代表人或其委托代理人签字并加盖投标单位公章的承诺书。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764"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605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eastAsia="zh-CN"/>
              </w:rPr>
              <w:t>和</w:t>
            </w:r>
            <w:r>
              <w:rPr>
                <w:rFonts w:hint="eastAsia" w:ascii="宋体" w:hAnsi="宋体" w:eastAsia="宋体" w:cs="宋体"/>
                <w:bCs/>
                <w:sz w:val="21"/>
                <w:szCs w:val="21"/>
              </w:rPr>
              <w:t>其委托代理人</w:t>
            </w:r>
            <w:r>
              <w:rPr>
                <w:rFonts w:hint="eastAsia" w:ascii="宋体" w:hAnsi="宋体" w:cs="宋体"/>
                <w:bCs/>
                <w:sz w:val="21"/>
                <w:szCs w:val="21"/>
                <w:lang w:eastAsia="zh-CN"/>
              </w:rPr>
              <w:t>签字</w:t>
            </w:r>
            <w:r>
              <w:rPr>
                <w:rFonts w:hint="eastAsia" w:ascii="宋体" w:hAnsi="宋体" w:eastAsia="宋体" w:cs="宋体"/>
                <w:bCs/>
                <w:sz w:val="21"/>
                <w:szCs w:val="21"/>
              </w:rPr>
              <w:t>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合同签订</w:t>
            </w:r>
            <w:r>
              <w:rPr>
                <w:rFonts w:hint="eastAsia" w:ascii="宋体" w:hAnsi="宋体" w:eastAsia="宋体" w:cs="宋体"/>
                <w:bCs/>
                <w:kern w:val="2"/>
                <w:sz w:val="21"/>
                <w:szCs w:val="21"/>
                <w:highlight w:val="none"/>
                <w:lang w:val="en-US" w:eastAsia="zh-CN" w:bidi="ar-SA"/>
              </w:rPr>
              <w:t>后</w:t>
            </w:r>
            <w:r>
              <w:rPr>
                <w:rFonts w:hint="eastAsia" w:ascii="宋体" w:hAnsi="宋体" w:cs="宋体"/>
                <w:bCs/>
                <w:kern w:val="2"/>
                <w:sz w:val="21"/>
                <w:szCs w:val="21"/>
                <w:highlight w:val="none"/>
                <w:lang w:val="en-US" w:eastAsia="zh-CN" w:bidi="ar-SA"/>
              </w:rPr>
              <w:t>20</w:t>
            </w:r>
            <w:r>
              <w:rPr>
                <w:rFonts w:hint="eastAsia" w:ascii="宋体" w:hAnsi="宋体" w:eastAsia="宋体" w:cs="宋体"/>
                <w:bCs/>
                <w:kern w:val="2"/>
                <w:sz w:val="21"/>
                <w:szCs w:val="21"/>
                <w:highlight w:val="none"/>
                <w:lang w:val="en-US" w:eastAsia="zh-CN" w:bidi="ar-SA"/>
              </w:rPr>
              <w:t>日历天内完成甲方指定地点供货完成</w:t>
            </w:r>
            <w:r>
              <w:rPr>
                <w:rFonts w:hint="eastAsia" w:ascii="宋体" w:hAnsi="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cs="宋体"/>
                <w:bCs/>
                <w:kern w:val="2"/>
                <w:sz w:val="21"/>
                <w:szCs w:val="21"/>
                <w:highlight w:val="none"/>
                <w:lang w:val="zh-CN" w:eastAsia="zh-CN" w:bidi="ar-SA"/>
              </w:rPr>
            </w:pPr>
            <w:r>
              <w:rPr>
                <w:rFonts w:hint="eastAsia" w:ascii="宋体" w:hAnsi="宋体" w:cs="宋体"/>
                <w:bCs/>
                <w:sz w:val="21"/>
                <w:szCs w:val="21"/>
                <w:highlight w:val="none"/>
                <w:lang w:eastAsia="zh-CN"/>
              </w:rPr>
              <w:t>质保期</w:t>
            </w:r>
          </w:p>
        </w:tc>
        <w:tc>
          <w:tcPr>
            <w:tcW w:w="6054"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cs="宋体"/>
                <w:b w:val="0"/>
                <w:bCs w:val="0"/>
                <w:sz w:val="22"/>
                <w:szCs w:val="22"/>
                <w:lang w:val="en-US" w:eastAsia="zh-CN"/>
              </w:rPr>
              <w:t>在商品自身质保期限后质保一年。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符合国家、省市相关行业标准，优质产品。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4"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pPr>
        <w:pStyle w:val="18"/>
        <w:spacing w:line="380" w:lineRule="exact"/>
        <w:rPr>
          <w:rFonts w:hint="eastAsia" w:hAnsi="宋体"/>
          <w:b/>
          <w:bCs/>
          <w:szCs w:val="21"/>
          <w:highlight w:val="none"/>
        </w:rPr>
      </w:pPr>
      <w:r>
        <w:rPr>
          <w:rFonts w:hint="eastAsia" w:hAnsi="宋体"/>
          <w:b/>
          <w:bCs/>
          <w:szCs w:val="21"/>
          <w:highlight w:val="none"/>
        </w:rPr>
        <w:t>一、评审依据</w:t>
      </w:r>
    </w:p>
    <w:p>
      <w:pPr>
        <w:pStyle w:val="18"/>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pPr>
        <w:pStyle w:val="18"/>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pPr>
        <w:pStyle w:val="18"/>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pPr>
        <w:pStyle w:val="18"/>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pPr>
        <w:pStyle w:val="18"/>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pPr>
        <w:pStyle w:val="18"/>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pPr>
        <w:pStyle w:val="18"/>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pPr>
        <w:pStyle w:val="18"/>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8"/>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pPr>
        <w:pStyle w:val="18"/>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pPr>
        <w:pStyle w:val="18"/>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31873587"/>
      <w:bookmarkStart w:id="19" w:name="_Toc252705915"/>
      <w:r>
        <w:rPr>
          <w:rFonts w:hint="eastAsia" w:ascii="宋体" w:hAnsi="宋体" w:eastAsia="宋体" w:cs="Times New Roman"/>
          <w:b/>
          <w:bCs/>
          <w:szCs w:val="21"/>
          <w:highlight w:val="none"/>
        </w:rPr>
        <w:t>情形</w:t>
      </w:r>
    </w:p>
    <w:bookmarkEnd w:id="18"/>
    <w:bookmarkEnd w:id="19"/>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pPr>
        <w:numPr>
          <w:ilvl w:val="0"/>
          <w:numId w:val="7"/>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pPr>
        <w:pStyle w:val="98"/>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pPr>
        <w:rPr>
          <w:rFonts w:hint="default"/>
          <w:lang w:val="en-US" w:eastAsia="zh-CN"/>
        </w:rPr>
      </w:pPr>
    </w:p>
    <w:p>
      <w:pPr>
        <w:pStyle w:val="18"/>
        <w:spacing w:line="360" w:lineRule="exact"/>
        <w:ind w:firstLine="420" w:firstLineChars="200"/>
        <w:rPr>
          <w:rFonts w:hint="eastAsia" w:hAnsi="宋体"/>
          <w:szCs w:val="21"/>
          <w:highlight w:val="none"/>
        </w:rPr>
      </w:pPr>
    </w:p>
    <w:p>
      <w:pPr>
        <w:pStyle w:val="18"/>
        <w:spacing w:line="400" w:lineRule="exact"/>
        <w:ind w:left="309" w:leftChars="147"/>
        <w:rPr>
          <w:rFonts w:hint="eastAsia" w:hAnsi="宋体"/>
          <w:highlight w:val="none"/>
        </w:rPr>
      </w:pPr>
    </w:p>
    <w:p>
      <w:pPr>
        <w:pStyle w:val="2"/>
        <w:spacing w:line="0" w:lineRule="atLeast"/>
        <w:jc w:val="center"/>
        <w:rPr>
          <w:rFonts w:hint="eastAsia"/>
          <w:sz w:val="28"/>
          <w:szCs w:val="28"/>
          <w:highlight w:val="none"/>
          <w:lang w:eastAsia="zh-CN"/>
        </w:rPr>
      </w:pPr>
      <w:bookmarkStart w:id="20" w:name="_Toc432277441"/>
      <w:bookmarkStart w:id="21" w:name="_Toc432264369"/>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pPr>
        <w:pStyle w:val="12"/>
        <w:spacing w:after="0"/>
        <w:jc w:val="center"/>
        <w:rPr>
          <w:rFonts w:ascii="宋体" w:hAnsi="宋体" w:cs="宋体"/>
          <w:b/>
          <w:bCs/>
          <w:spacing w:val="-20"/>
          <w:kern w:val="44"/>
          <w:sz w:val="48"/>
          <w:szCs w:val="48"/>
        </w:rPr>
      </w:pPr>
      <w:bookmarkStart w:id="23" w:name="_Toc3995"/>
    </w:p>
    <w:p>
      <w:pPr>
        <w:pStyle w:val="12"/>
        <w:spacing w:after="0"/>
        <w:jc w:val="center"/>
        <w:rPr>
          <w:rFonts w:ascii="宋体" w:hAnsi="宋体" w:cs="宋体"/>
          <w:b/>
          <w:bCs/>
          <w:spacing w:val="-20"/>
          <w:kern w:val="44"/>
          <w:sz w:val="48"/>
          <w:szCs w:val="48"/>
        </w:rPr>
      </w:pPr>
    </w:p>
    <w:p>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pPr>
        <w:pStyle w:val="3"/>
        <w:adjustRightInd w:val="0"/>
        <w:snapToGrid w:val="0"/>
        <w:spacing w:beforeLines="0" w:line="400" w:lineRule="exact"/>
        <w:jc w:val="center"/>
        <w:rPr>
          <w:rFonts w:hint="eastAsia" w:ascii="黑体" w:hAnsi="华文中宋" w:eastAsia="黑体"/>
          <w:b w:val="0"/>
          <w:bCs w:val="0"/>
          <w:sz w:val="28"/>
          <w:szCs w:val="28"/>
        </w:rPr>
      </w:pPr>
      <w:bookmarkStart w:id="2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1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8"/>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15"/>
        <w:numPr>
          <w:ilvl w:val="0"/>
          <w:numId w:val="9"/>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1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1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8"/>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8"/>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10"/>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80"/>
        <w:spacing w:beforeLines="0" w:line="400" w:lineRule="exact"/>
      </w:pPr>
    </w:p>
    <w:p>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80"/>
        <w:rPr>
          <w:rFonts w:hint="eastAsia"/>
        </w:rPr>
      </w:pPr>
    </w:p>
    <w:tbl>
      <w:tblPr>
        <w:tblStyle w:val="49"/>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pPr>
              <w:pStyle w:val="15"/>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3"/>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5" w:name="_Toc27624"/>
      <w:r>
        <w:rPr>
          <w:rFonts w:hint="eastAsia" w:ascii="黑体" w:hAnsi="黑体" w:eastAsia="黑体"/>
          <w:b w:val="0"/>
          <w:bCs w:val="0"/>
          <w:sz w:val="28"/>
          <w:szCs w:val="28"/>
        </w:rPr>
        <w:t>第二节 政府采购合同通用条款</w:t>
      </w:r>
      <w:bookmarkEnd w:id="25"/>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1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1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1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7"/>
    </w:p>
    <w:tbl>
      <w:tblPr>
        <w:tblStyle w:val="4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28" w:name="_Toc432264370"/>
      <w:bookmarkStart w:id="29" w:name="_Toc432277442"/>
      <w:bookmarkStart w:id="30" w:name="_Toc455565646"/>
    </w:p>
    <w:p>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pPr>
        <w:pStyle w:val="18"/>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pPr>
        <w:pStyle w:val="18"/>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pPr>
        <w:numPr>
          <w:ilvl w:val="0"/>
          <w:numId w:val="15"/>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pPr>
        <w:pStyle w:val="18"/>
        <w:numPr>
          <w:ilvl w:val="0"/>
          <w:numId w:val="16"/>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pPr>
        <w:numPr>
          <w:ilvl w:val="0"/>
          <w:numId w:val="16"/>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pPr>
        <w:pStyle w:val="18"/>
        <w:snapToGrid w:val="0"/>
        <w:spacing w:line="360" w:lineRule="auto"/>
        <w:ind w:firstLine="420"/>
        <w:rPr>
          <w:rFonts w:hAnsi="宋体"/>
          <w:highlight w:val="none"/>
        </w:rPr>
      </w:pPr>
    </w:p>
    <w:p>
      <w:pPr>
        <w:pStyle w:val="18"/>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Ansi="宋体"/>
          <w:highlight w:val="none"/>
        </w:rPr>
        <w:t>法定代表人</w:t>
      </w:r>
      <w:r>
        <w:rPr>
          <w:rFonts w:hint="eastAsia" w:hAnsi="宋体"/>
          <w:highlight w:val="none"/>
          <w:lang w:eastAsia="zh-CN"/>
        </w:rPr>
        <w:t>和</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pPr>
        <w:pStyle w:val="18"/>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pacing w:line="360" w:lineRule="auto"/>
        <w:rPr>
          <w:rFonts w:hint="eastAsia"/>
          <w:szCs w:val="21"/>
          <w:highlight w:val="none"/>
        </w:rPr>
      </w:pPr>
      <w:bookmarkStart w:id="31" w:name="_Toc152042580"/>
      <w:bookmarkStart w:id="32" w:name="_Toc144974860"/>
      <w:bookmarkStart w:id="33" w:name="_Toc238797663"/>
      <w:bookmarkStart w:id="34" w:name="_Toc152045791"/>
      <w:bookmarkStart w:id="35" w:name="_Toc238552301"/>
      <w:bookmarkStart w:id="36" w:name="_Toc262740154"/>
      <w:bookmarkStart w:id="37" w:name="_Toc285981645"/>
    </w:p>
    <w:p>
      <w:pPr>
        <w:pStyle w:val="3"/>
        <w:jc w:val="center"/>
        <w:rPr>
          <w:rFonts w:hint="eastAsia" w:ascii="宋体" w:hAnsi="宋体" w:cs="宋体"/>
          <w:highlight w:val="none"/>
          <w:lang w:eastAsia="zh-CN"/>
        </w:rPr>
      </w:pPr>
      <w:bookmarkStart w:id="38" w:name="_Toc28397"/>
      <w:bookmarkStart w:id="39" w:name="_Toc26075"/>
      <w:bookmarkStart w:id="40" w:name="_Toc435802466"/>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480" w:lineRule="auto"/>
        <w:ind w:firstLine="420" w:firstLineChars="200"/>
        <w:rPr>
          <w:rFonts w:ascii="宋体" w:hAnsi="宋体"/>
          <w:szCs w:val="21"/>
          <w:highlight w:val="none"/>
        </w:rPr>
      </w:pPr>
      <w:r>
        <w:rPr>
          <w:rFonts w:ascii="宋体" w:hAnsi="宋体"/>
          <w:szCs w:val="21"/>
          <w:highlight w:val="none"/>
        </w:rPr>
        <w:t>特此证明。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pPr>
        <w:spacing w:line="440" w:lineRule="exact"/>
        <w:rPr>
          <w:rFonts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440" w:lineRule="exact"/>
        <w:rPr>
          <w:rFonts w:ascii="宋体" w:hAnsi="宋体"/>
          <w:sz w:val="20"/>
          <w:szCs w:val="20"/>
          <w:highlight w:val="none"/>
        </w:rPr>
      </w:pPr>
    </w:p>
    <w:p>
      <w:pPr>
        <w:jc w:val="center"/>
        <w:rPr>
          <w:rFonts w:hint="eastAsia"/>
          <w:highlight w:val="none"/>
        </w:rPr>
      </w:pPr>
      <w:bookmarkStart w:id="41" w:name="_Toc144974861"/>
      <w:bookmarkStart w:id="42" w:name="_Toc262740155"/>
      <w:bookmarkStart w:id="43" w:name="_Toc152045792"/>
      <w:bookmarkStart w:id="44" w:name="_Toc238797664"/>
      <w:bookmarkStart w:id="45" w:name="_Toc238552302"/>
      <w:bookmarkStart w:id="46" w:name="_Toc152042581"/>
      <w:r>
        <w:rPr>
          <w:highlight w:val="none"/>
        </w:rPr>
        <w:br w:type="page"/>
      </w:r>
      <w:bookmarkStart w:id="47" w:name="_Toc285981646"/>
    </w:p>
    <w:p>
      <w:pPr>
        <w:pStyle w:val="3"/>
        <w:jc w:val="center"/>
        <w:rPr>
          <w:rFonts w:hint="eastAsia" w:ascii="宋体" w:hAnsi="宋体" w:cs="宋体"/>
          <w:highlight w:val="none"/>
          <w:lang w:eastAsia="zh-CN"/>
        </w:rPr>
      </w:pPr>
      <w:bookmarkStart w:id="48" w:name="_Toc435802467"/>
      <w:bookmarkStart w:id="49" w:name="_Toc6778"/>
      <w:bookmarkStart w:id="50" w:name="_Toc2560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pPr>
        <w:pStyle w:val="18"/>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pPr>
        <w:pStyle w:val="18"/>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pPr>
        <w:pStyle w:val="18"/>
        <w:snapToGrid w:val="0"/>
        <w:spacing w:line="480" w:lineRule="auto"/>
        <w:ind w:firstLine="420"/>
        <w:rPr>
          <w:rFonts w:hint="eastAsia" w:hAnsi="宋体"/>
          <w:highlight w:val="none"/>
        </w:rPr>
      </w:pPr>
      <w:r>
        <w:rPr>
          <w:rFonts w:hint="eastAsia" w:hAnsi="宋体"/>
          <w:highlight w:val="none"/>
        </w:rPr>
        <w:t>代理人无转委托权。</w:t>
      </w:r>
    </w:p>
    <w:p>
      <w:pPr>
        <w:pStyle w:val="18"/>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pPr>
        <w:pStyle w:val="18"/>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pPr>
        <w:pStyle w:val="18"/>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pStyle w:val="18"/>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pStyle w:val="13"/>
        <w:ind w:left="2940"/>
        <w:rPr>
          <w:highlight w:val="none"/>
        </w:rPr>
      </w:pPr>
    </w:p>
    <w:p>
      <w:pPr>
        <w:rPr>
          <w:highlight w:val="none"/>
        </w:rPr>
      </w:pPr>
    </w:p>
    <w:p>
      <w:pPr>
        <w:pStyle w:val="54"/>
        <w:rPr>
          <w:highlight w:val="none"/>
        </w:rPr>
      </w:pPr>
    </w:p>
    <w:p>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3586"/>
      <w:bookmarkStart w:id="52" w:name="_Toc24063"/>
      <w:bookmarkStart w:id="53" w:name="_Toc435802476"/>
      <w:r>
        <w:rPr>
          <w:rFonts w:hint="eastAsia"/>
          <w:b/>
          <w:bCs/>
          <w:sz w:val="32"/>
          <w:szCs w:val="32"/>
          <w:highlight w:val="none"/>
          <w:lang w:val="en-US" w:eastAsia="zh-CN"/>
        </w:rPr>
        <w:t>四、供应商参加政府采购活动前3年内在经营活动中没有重大违法记录的书面声明</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pPr>
        <w:pStyle w:val="53"/>
        <w:jc w:val="center"/>
        <w:rPr>
          <w:rFonts w:hint="eastAsia"/>
          <w:b w:val="0"/>
          <w:bCs w:val="0"/>
          <w:sz w:val="28"/>
          <w:szCs w:val="28"/>
          <w:highlight w:val="none"/>
          <w:lang w:val="en-US" w:eastAsia="zh-CN"/>
        </w:rPr>
      </w:pPr>
    </w:p>
    <w:p>
      <w:pPr>
        <w:pStyle w:val="53"/>
        <w:jc w:val="center"/>
        <w:rPr>
          <w:rFonts w:hint="eastAsia"/>
          <w:b w:val="0"/>
          <w:bCs w:val="0"/>
          <w:sz w:val="24"/>
          <w:szCs w:val="24"/>
          <w:highlight w:val="none"/>
          <w:lang w:val="en-US" w:eastAsia="zh-CN"/>
        </w:rPr>
      </w:pPr>
      <w:r>
        <w:rPr>
          <w:rFonts w:hint="eastAsia"/>
          <w:b w:val="0"/>
          <w:bCs w:val="0"/>
          <w:sz w:val="24"/>
          <w:szCs w:val="24"/>
          <w:highlight w:val="none"/>
          <w:lang w:val="en-US" w:eastAsia="zh-CN"/>
        </w:rPr>
        <w:t>格式自拟</w:t>
      </w: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bookmarkEnd w:id="51"/>
    <w:bookmarkEnd w:id="52"/>
    <w:bookmarkEnd w:id="53"/>
    <w:p>
      <w:pPr>
        <w:pStyle w:val="53"/>
        <w:numPr>
          <w:ilvl w:val="0"/>
          <w:numId w:val="0"/>
        </w:numPr>
        <w:ind w:leftChars="200" w:firstLine="643" w:firstLineChars="200"/>
        <w:jc w:val="both"/>
        <w:rPr>
          <w:rFonts w:hint="eastAsia"/>
          <w:b/>
          <w:bCs/>
          <w:sz w:val="32"/>
          <w:szCs w:val="32"/>
          <w:highlight w:val="none"/>
          <w:lang w:val="en-US" w:eastAsia="zh-CN"/>
        </w:rPr>
      </w:pPr>
    </w:p>
    <w:p>
      <w:pPr>
        <w:pStyle w:val="53"/>
        <w:numPr>
          <w:ilvl w:val="0"/>
          <w:numId w:val="0"/>
        </w:numPr>
        <w:ind w:leftChars="200" w:firstLine="643" w:firstLineChars="200"/>
        <w:jc w:val="both"/>
        <w:rPr>
          <w:rFonts w:hint="eastAsia"/>
          <w:b/>
          <w:bCs/>
          <w:sz w:val="32"/>
          <w:szCs w:val="32"/>
          <w:highlight w:val="none"/>
          <w:lang w:val="en-US" w:eastAsia="zh-CN"/>
        </w:rPr>
      </w:pPr>
    </w:p>
    <w:p>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jc w:val="center"/>
        <w:rPr>
          <w:rFonts w:hint="eastAsia"/>
          <w:b w:val="0"/>
          <w:bCs w:val="0"/>
          <w:sz w:val="24"/>
          <w:szCs w:val="24"/>
          <w:highlight w:val="none"/>
          <w:lang w:val="en-US" w:eastAsia="zh-CN"/>
        </w:rPr>
      </w:pPr>
      <w:r>
        <w:rPr>
          <w:rFonts w:hint="eastAsia"/>
          <w:b w:val="0"/>
          <w:bCs w:val="0"/>
          <w:sz w:val="24"/>
          <w:szCs w:val="24"/>
          <w:highlight w:val="none"/>
          <w:lang w:val="en-US" w:eastAsia="zh-CN"/>
        </w:rPr>
        <w:t>格式自拟</w:t>
      </w:r>
    </w:p>
    <w:p>
      <w:pPr>
        <w:pStyle w:val="53"/>
        <w:widowControl w:val="0"/>
        <w:numPr>
          <w:ilvl w:val="0"/>
          <w:numId w:val="0"/>
        </w:numPr>
        <w:autoSpaceDE w:val="0"/>
        <w:autoSpaceDN w:val="0"/>
        <w:adjustRightInd w:val="0"/>
        <w:jc w:val="both"/>
        <w:rPr>
          <w:rFonts w:hint="default"/>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49"/>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bl>
    <w:p>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附营业执照副本、开户许可证等资料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pPr>
        <w:ind w:firstLine="420" w:firstLineChars="200"/>
        <w:jc w:val="left"/>
        <w:rPr>
          <w:rFonts w:hint="eastAsia" w:ascii="宋体" w:hAnsi="宋体"/>
          <w:color w:val="000000"/>
          <w:szCs w:val="21"/>
          <w:highlight w:val="none"/>
        </w:rPr>
      </w:pPr>
    </w:p>
    <w:p>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pPr>
        <w:numPr>
          <w:ilvl w:val="0"/>
          <w:numId w:val="17"/>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pPr>
        <w:spacing w:line="356" w:lineRule="auto"/>
        <w:rPr>
          <w:rFonts w:hint="eastAsia" w:ascii="宋体" w:hAnsi="宋体" w:eastAsia="宋体" w:cs="宋体"/>
          <w:sz w:val="21"/>
          <w:szCs w:val="21"/>
        </w:rPr>
      </w:pPr>
    </w:p>
    <w:p>
      <w:pPr>
        <w:spacing w:line="356" w:lineRule="auto"/>
        <w:rPr>
          <w:rFonts w:hint="eastAsia" w:ascii="宋体" w:hAnsi="宋体" w:eastAsia="宋体" w:cs="宋体"/>
          <w:sz w:val="21"/>
          <w:szCs w:val="21"/>
        </w:rPr>
      </w:pPr>
    </w:p>
    <w:p>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rFonts w:hint="eastAsia"/>
          <w:b/>
          <w:bCs/>
          <w:sz w:val="32"/>
          <w:szCs w:val="32"/>
          <w:highlight w:val="none"/>
          <w:lang w:val="en-US" w:eastAsia="zh-CN"/>
        </w:rPr>
      </w:pPr>
    </w:p>
    <w:p>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pPr>
        <w:pStyle w:val="18"/>
        <w:spacing w:line="300" w:lineRule="exact"/>
        <w:ind w:left="420"/>
        <w:jc w:val="left"/>
        <w:rPr>
          <w:rFonts w:hint="eastAsia" w:hAnsi="宋体" w:cs="宋体"/>
          <w:b/>
          <w:sz w:val="24"/>
          <w:szCs w:val="24"/>
          <w:highlight w:val="none"/>
        </w:rPr>
      </w:pPr>
    </w:p>
    <w:tbl>
      <w:tblPr>
        <w:tblStyle w:val="49"/>
        <w:tblW w:w="9118" w:type="dxa"/>
        <w:jc w:val="center"/>
        <w:tblInd w:w="0" w:type="dxa"/>
        <w:tblLayout w:type="fixed"/>
        <w:tblCellMar>
          <w:top w:w="0" w:type="dxa"/>
          <w:left w:w="108" w:type="dxa"/>
          <w:bottom w:w="0" w:type="dxa"/>
          <w:right w:w="108" w:type="dxa"/>
        </w:tblCellMar>
      </w:tblPr>
      <w:tblGrid>
        <w:gridCol w:w="658"/>
        <w:gridCol w:w="2105"/>
        <w:gridCol w:w="4559"/>
        <w:gridCol w:w="1796"/>
      </w:tblGrid>
      <w:tr>
        <w:tblPrEx>
          <w:tblLayout w:type="fixed"/>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谈判保证金</w:t>
            </w:r>
          </w:p>
          <w:p>
            <w:pPr>
              <w:spacing w:line="300" w:lineRule="exact"/>
              <w:jc w:val="center"/>
              <w:rPr>
                <w:rFonts w:hAnsi="宋体"/>
                <w:b/>
                <w:bCs/>
                <w:highlight w:val="none"/>
              </w:rPr>
            </w:pPr>
            <w:r>
              <w:rPr>
                <w:rFonts w:hint="eastAsia" w:hAnsi="宋体"/>
                <w:b/>
                <w:bCs/>
                <w:highlight w:val="none"/>
              </w:rPr>
              <w:t>（有/无）</w:t>
            </w:r>
          </w:p>
        </w:tc>
      </w:tr>
      <w:tr>
        <w:tblPrEx>
          <w:tblLayout w:type="fixed"/>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pPr>
              <w:jc w:val="center"/>
              <w:rPr>
                <w:rFonts w:hint="eastAsia" w:ascii="宋体" w:hAnsi="宋体"/>
                <w:spacing w:val="-6"/>
                <w:highlight w:val="none"/>
              </w:rPr>
            </w:pPr>
          </w:p>
          <w:p>
            <w:pPr>
              <w:jc w:val="center"/>
              <w:rPr>
                <w:rFonts w:hint="eastAsia" w:ascii="宋体" w:hAnsi="宋体"/>
                <w:spacing w:val="-6"/>
                <w:highlight w:val="none"/>
              </w:rPr>
            </w:pPr>
            <w:r>
              <w:rPr>
                <w:rFonts w:hint="eastAsia" w:ascii="宋体" w:hAnsi="宋体"/>
                <w:spacing w:val="-6"/>
                <w:highlight w:val="none"/>
              </w:rPr>
              <w:t>（小写）￥：                 元</w:t>
            </w:r>
          </w:p>
          <w:p>
            <w:pPr>
              <w:jc w:val="center"/>
              <w:rPr>
                <w:rFonts w:hint="eastAsia" w:ascii="宋体" w:hAnsi="宋体"/>
                <w:spacing w:val="-6"/>
                <w:highlight w:val="none"/>
              </w:rPr>
            </w:pPr>
          </w:p>
          <w:p>
            <w:pPr>
              <w:pStyle w:val="51"/>
              <w:rPr>
                <w:rFonts w:hint="eastAsia"/>
              </w:rPr>
            </w:pP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highlight w:val="none"/>
                <w:lang w:val="en-US" w:eastAsia="zh-CN"/>
              </w:rPr>
            </w:pPr>
          </w:p>
        </w:tc>
      </w:tr>
      <w:tr>
        <w:tblPrEx>
          <w:tblLayout w:type="fixed"/>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pPr>
        <w:spacing w:line="340" w:lineRule="exact"/>
        <w:rPr>
          <w:rFonts w:hint="eastAsia" w:ascii="宋体" w:hAnsi="宋体" w:cs="宋体"/>
          <w:szCs w:val="21"/>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snapToGrid w:val="0"/>
        <w:spacing w:line="360" w:lineRule="exact"/>
        <w:ind w:firstLine="3578" w:firstLineChars="1704"/>
        <w:rPr>
          <w:rFonts w:hint="eastAsia" w:hAnsi="宋体"/>
          <w:highlight w:val="none"/>
        </w:rPr>
      </w:pPr>
    </w:p>
    <w:p>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pPr>
        <w:pStyle w:val="18"/>
        <w:wordWrap w:val="0"/>
        <w:snapToGrid w:val="0"/>
        <w:spacing w:line="360" w:lineRule="exact"/>
        <w:ind w:firstLine="3578" w:firstLineChars="1704"/>
        <w:rPr>
          <w:rFonts w:hint="eastAsia" w:hAnsi="宋体"/>
          <w:highlight w:val="none"/>
        </w:rPr>
      </w:pPr>
    </w:p>
    <w:p>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tabs>
          <w:tab w:val="left" w:pos="1305"/>
        </w:tabs>
        <w:spacing w:line="360" w:lineRule="auto"/>
        <w:ind w:firstLine="205" w:firstLineChars="98"/>
        <w:rPr>
          <w:rFonts w:hint="eastAsia" w:ascii="宋体" w:hAnsi="宋体" w:cs="宋体"/>
          <w:bCs/>
          <w:szCs w:val="21"/>
          <w:highlight w:val="none"/>
        </w:rPr>
      </w:pPr>
    </w:p>
    <w:p>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pPr>
        <w:pStyle w:val="18"/>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pPr>
        <w:spacing w:line="360" w:lineRule="auto"/>
        <w:ind w:firstLine="630" w:firstLineChars="300"/>
        <w:rPr>
          <w:rFonts w:hint="eastAsia" w:ascii="宋体" w:hAnsi="宋体" w:cs="宋体"/>
          <w:bCs/>
          <w:szCs w:val="21"/>
          <w:highlight w:val="none"/>
          <w:lang w:val="en-US" w:eastAsia="zh-CN"/>
        </w:rPr>
      </w:pPr>
    </w:p>
    <w:p>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pPr>
        <w:adjustRightInd w:val="0"/>
        <w:snapToGrid w:val="0"/>
        <w:spacing w:line="300" w:lineRule="auto"/>
        <w:rPr>
          <w:rFonts w:ascii="宋体"/>
          <w:szCs w:val="21"/>
          <w:u w:val="single"/>
        </w:rPr>
      </w:pPr>
      <w:r>
        <w:rPr>
          <w:rFonts w:hint="eastAsia" w:ascii="宋体"/>
          <w:szCs w:val="21"/>
        </w:rPr>
        <w:t xml:space="preserve">项目名称： </w:t>
      </w:r>
    </w:p>
    <w:p>
      <w:pPr>
        <w:adjustRightInd w:val="0"/>
        <w:snapToGrid w:val="0"/>
        <w:spacing w:line="300" w:lineRule="auto"/>
        <w:rPr>
          <w:rFonts w:ascii="宋体"/>
          <w:i/>
          <w:iCs/>
          <w:szCs w:val="21"/>
        </w:rPr>
      </w:pPr>
      <w:r>
        <w:rPr>
          <w:rFonts w:hint="eastAsia" w:ascii="宋体"/>
          <w:szCs w:val="21"/>
        </w:rPr>
        <w:t>项目编号：</w:t>
      </w:r>
    </w:p>
    <w:p>
      <w:pPr>
        <w:spacing w:line="360" w:lineRule="auto"/>
        <w:jc w:val="right"/>
        <w:rPr>
          <w:szCs w:val="21"/>
        </w:rPr>
      </w:pPr>
      <w:r>
        <w:rPr>
          <w:rFonts w:hint="eastAsia" w:ascii="宋体"/>
          <w:szCs w:val="21"/>
        </w:rPr>
        <w:t>单位：元人民币</w:t>
      </w:r>
    </w:p>
    <w:tbl>
      <w:tblPr>
        <w:tblStyle w:val="49"/>
        <w:tblW w:w="96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pPr>
              <w:adjustRightInd w:val="0"/>
              <w:snapToGrid w:val="0"/>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（小写）：</w:t>
            </w:r>
          </w:p>
        </w:tc>
      </w:tr>
    </w:tbl>
    <w:p>
      <w:pPr>
        <w:pStyle w:val="54"/>
      </w:pPr>
    </w:p>
    <w:p>
      <w:pPr>
        <w:spacing w:line="360" w:lineRule="auto"/>
        <w:ind w:firstLine="632" w:firstLineChars="300"/>
        <w:rPr>
          <w:rFonts w:ascii="宋体" w:hAnsi="宋体" w:cs="宋体"/>
          <w:b/>
        </w:rPr>
      </w:pPr>
    </w:p>
    <w:p>
      <w:pPr>
        <w:spacing w:line="360" w:lineRule="auto"/>
        <w:ind w:firstLine="632" w:firstLineChars="300"/>
        <w:rPr>
          <w:rFonts w:ascii="宋体" w:hAnsi="宋体" w:cs="宋体"/>
          <w:b/>
        </w:rPr>
      </w:pPr>
    </w:p>
    <w:p>
      <w:pPr>
        <w:rPr>
          <w:rFonts w:ascii="宋体" w:hAnsi="宋体"/>
          <w:color w:val="000000"/>
          <w:sz w:val="28"/>
          <w:szCs w:val="28"/>
        </w:rPr>
      </w:pPr>
      <w:r>
        <w:rPr>
          <w:rFonts w:hint="eastAsia" w:ascii="宋体" w:hAnsi="宋体"/>
          <w:color w:val="000000"/>
          <w:sz w:val="28"/>
          <w:szCs w:val="28"/>
        </w:rPr>
        <w:br w:type="page"/>
      </w:r>
    </w:p>
    <w:p>
      <w:pPr>
        <w:pStyle w:val="3"/>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pPr>
        <w:pStyle w:val="18"/>
        <w:rPr>
          <w:rFonts w:hAnsi="宋体"/>
          <w:szCs w:val="21"/>
        </w:rPr>
      </w:pPr>
    </w:p>
    <w:p>
      <w:pPr>
        <w:pStyle w:val="18"/>
        <w:rPr>
          <w:rFonts w:hAnsi="宋体"/>
          <w:color w:val="000000"/>
          <w:szCs w:val="21"/>
        </w:rPr>
      </w:pPr>
      <w:r>
        <w:rPr>
          <w:rFonts w:hint="eastAsia" w:hAnsi="宋体"/>
          <w:color w:val="000000"/>
          <w:szCs w:val="21"/>
        </w:rPr>
        <w:t xml:space="preserve">项目名称： </w:t>
      </w:r>
    </w:p>
    <w:p>
      <w:pPr>
        <w:pStyle w:val="18"/>
        <w:rPr>
          <w:rFonts w:hAnsi="宋体"/>
          <w:color w:val="000000"/>
          <w:szCs w:val="21"/>
        </w:rPr>
      </w:pPr>
      <w:r>
        <w:rPr>
          <w:rFonts w:hint="eastAsia" w:hAnsi="宋体"/>
          <w:color w:val="000000"/>
          <w:szCs w:val="21"/>
        </w:rPr>
        <w:t xml:space="preserve">项目编号: </w:t>
      </w:r>
    </w:p>
    <w:p>
      <w:pPr>
        <w:pStyle w:val="18"/>
        <w:rPr>
          <w:rFonts w:hAnsi="宋体"/>
          <w:color w:val="000000"/>
          <w:szCs w:val="21"/>
        </w:rPr>
      </w:pPr>
    </w:p>
    <w:tbl>
      <w:tblPr>
        <w:tblStyle w:val="49"/>
        <w:tblW w:w="99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065" w:type="dxa"/>
            <w:vAlign w:val="center"/>
          </w:tcPr>
          <w:p>
            <w:pPr>
              <w:pStyle w:val="18"/>
              <w:jc w:val="center"/>
              <w:rPr>
                <w:rFonts w:hAnsi="宋体"/>
                <w:color w:val="000000"/>
                <w:szCs w:val="21"/>
              </w:rPr>
            </w:pPr>
            <w:r>
              <w:rPr>
                <w:rFonts w:hint="eastAsia" w:hAnsi="宋体"/>
                <w:color w:val="000000"/>
                <w:szCs w:val="21"/>
              </w:rPr>
              <w:t>序号</w:t>
            </w:r>
          </w:p>
        </w:tc>
        <w:tc>
          <w:tcPr>
            <w:tcW w:w="2083" w:type="dxa"/>
            <w:vAlign w:val="center"/>
          </w:tcPr>
          <w:p>
            <w:pPr>
              <w:pStyle w:val="18"/>
              <w:jc w:val="center"/>
              <w:rPr>
                <w:rFonts w:hAnsi="宋体"/>
                <w:color w:val="000000"/>
                <w:szCs w:val="21"/>
              </w:rPr>
            </w:pPr>
            <w:r>
              <w:rPr>
                <w:rFonts w:hint="eastAsia" w:hAnsi="宋体"/>
                <w:color w:val="000000"/>
                <w:szCs w:val="21"/>
              </w:rPr>
              <w:t>谈判采购文件条款号</w:t>
            </w:r>
          </w:p>
        </w:tc>
        <w:tc>
          <w:tcPr>
            <w:tcW w:w="2229" w:type="dxa"/>
            <w:vAlign w:val="center"/>
          </w:tcPr>
          <w:p>
            <w:pPr>
              <w:pStyle w:val="18"/>
              <w:jc w:val="center"/>
              <w:rPr>
                <w:rFonts w:hAnsi="宋体"/>
                <w:color w:val="000000"/>
                <w:szCs w:val="21"/>
              </w:rPr>
            </w:pPr>
            <w:r>
              <w:rPr>
                <w:rFonts w:hint="eastAsia" w:hAnsi="宋体"/>
                <w:color w:val="000000"/>
                <w:szCs w:val="21"/>
              </w:rPr>
              <w:t>谈判采购文件</w:t>
            </w:r>
          </w:p>
          <w:p>
            <w:pPr>
              <w:pStyle w:val="18"/>
              <w:jc w:val="center"/>
              <w:rPr>
                <w:rFonts w:hAnsi="宋体"/>
                <w:color w:val="000000"/>
                <w:szCs w:val="21"/>
              </w:rPr>
            </w:pPr>
            <w:r>
              <w:rPr>
                <w:rFonts w:hint="eastAsia" w:hAnsi="宋体"/>
                <w:color w:val="000000"/>
                <w:szCs w:val="21"/>
              </w:rPr>
              <w:t>商务条款</w:t>
            </w:r>
          </w:p>
        </w:tc>
        <w:tc>
          <w:tcPr>
            <w:tcW w:w="2389" w:type="dxa"/>
            <w:vAlign w:val="center"/>
          </w:tcPr>
          <w:p>
            <w:pPr>
              <w:pStyle w:val="18"/>
              <w:jc w:val="center"/>
              <w:rPr>
                <w:rFonts w:hAnsi="宋体"/>
                <w:color w:val="000000"/>
                <w:szCs w:val="21"/>
              </w:rPr>
            </w:pPr>
            <w:r>
              <w:rPr>
                <w:rFonts w:hint="eastAsia" w:hAnsi="宋体"/>
                <w:color w:val="000000"/>
                <w:szCs w:val="21"/>
              </w:rPr>
              <w:t>响应文件的商务条款</w:t>
            </w:r>
          </w:p>
        </w:tc>
        <w:tc>
          <w:tcPr>
            <w:tcW w:w="956" w:type="dxa"/>
            <w:vAlign w:val="center"/>
          </w:tcPr>
          <w:p>
            <w:pPr>
              <w:pStyle w:val="18"/>
              <w:jc w:val="center"/>
              <w:rPr>
                <w:rFonts w:hAnsi="宋体"/>
                <w:color w:val="000000"/>
                <w:szCs w:val="21"/>
              </w:rPr>
            </w:pPr>
            <w:r>
              <w:rPr>
                <w:rFonts w:hint="eastAsia" w:hAnsi="宋体"/>
                <w:color w:val="000000"/>
                <w:szCs w:val="21"/>
              </w:rPr>
              <w:t>偏离</w:t>
            </w:r>
          </w:p>
        </w:tc>
        <w:tc>
          <w:tcPr>
            <w:tcW w:w="12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pPr>
          </w:p>
          <w:p>
            <w:pPr>
              <w:jc w:val="right"/>
            </w:pPr>
          </w:p>
        </w:tc>
        <w:tc>
          <w:tcPr>
            <w:tcW w:w="2229" w:type="dxa"/>
          </w:tcPr>
          <w:p>
            <w:pPr>
              <w:pStyle w:val="18"/>
              <w:jc w:val="center"/>
              <w:rPr>
                <w:rFonts w:hAnsi="宋体"/>
                <w:color w:val="000000"/>
                <w:szCs w:val="21"/>
              </w:rPr>
            </w:pPr>
          </w:p>
        </w:tc>
        <w:tc>
          <w:tcPr>
            <w:tcW w:w="2389" w:type="dxa"/>
          </w:tcPr>
          <w:p>
            <w:pPr>
              <w:pStyle w:val="18"/>
              <w:jc w:val="center"/>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法定代表人</w:t>
      </w:r>
      <w:r>
        <w:rPr>
          <w:rFonts w:hint="eastAsia" w:hAnsi="宋体"/>
          <w:color w:val="000000"/>
          <w:szCs w:val="21"/>
          <w:highlight w:val="none"/>
        </w:rPr>
        <w:t>签</w:t>
      </w:r>
      <w:r>
        <w:rPr>
          <w:rFonts w:hint="eastAsia" w:hAnsi="宋体"/>
          <w:color w:val="000000"/>
          <w:szCs w:val="21"/>
        </w:rPr>
        <w:t>字：____________________________</w:t>
      </w:r>
    </w:p>
    <w:p>
      <w:pPr>
        <w:pStyle w:val="18"/>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pPr>
        <w:pStyle w:val="18"/>
        <w:rPr>
          <w:rFonts w:hAnsi="宋体"/>
          <w:color w:val="000000"/>
          <w:szCs w:val="21"/>
          <w:u w:val="single"/>
        </w:rPr>
      </w:pPr>
    </w:p>
    <w:p>
      <w:pPr>
        <w:pStyle w:val="18"/>
        <w:rPr>
          <w:rFonts w:hAnsi="宋体"/>
          <w:szCs w:val="21"/>
          <w:u w:val="single"/>
        </w:rPr>
      </w:pPr>
    </w:p>
    <w:p>
      <w:pPr>
        <w:pStyle w:val="18"/>
        <w:rPr>
          <w:rFonts w:hAnsi="宋体"/>
          <w:szCs w:val="21"/>
          <w:u w:val="single"/>
        </w:rPr>
      </w:pPr>
    </w:p>
    <w:p>
      <w:pPr>
        <w:pStyle w:val="3"/>
        <w:pageBreakBefore/>
        <w:jc w:val="center"/>
        <w:rPr>
          <w:rFonts w:ascii="宋体" w:hAnsi="宋体"/>
          <w:sz w:val="28"/>
          <w:szCs w:val="28"/>
        </w:rPr>
      </w:pPr>
      <w:bookmarkStart w:id="56" w:name="_Toc13711"/>
      <w:r>
        <w:rPr>
          <w:rFonts w:hint="eastAsia" w:ascii="宋体" w:hAnsi="宋体"/>
          <w:sz w:val="28"/>
          <w:szCs w:val="28"/>
        </w:rPr>
        <w:t>附件3技术规格偏离表</w:t>
      </w:r>
      <w:bookmarkEnd w:id="56"/>
    </w:p>
    <w:p>
      <w:pPr>
        <w:pStyle w:val="18"/>
        <w:rPr>
          <w:rFonts w:hAnsi="宋体"/>
          <w:color w:val="000000"/>
          <w:szCs w:val="21"/>
        </w:rPr>
      </w:pPr>
      <w:r>
        <w:rPr>
          <w:rFonts w:hint="eastAsia" w:hAnsi="宋体"/>
          <w:color w:val="000000"/>
          <w:szCs w:val="21"/>
        </w:rPr>
        <w:t>项目名称：</w:t>
      </w:r>
    </w:p>
    <w:p>
      <w:pPr>
        <w:pStyle w:val="18"/>
        <w:rPr>
          <w:rFonts w:hAnsi="宋体"/>
          <w:color w:val="000000"/>
          <w:szCs w:val="21"/>
        </w:rPr>
      </w:pPr>
      <w:r>
        <w:rPr>
          <w:rFonts w:hint="eastAsia" w:hAnsi="宋体"/>
          <w:color w:val="000000"/>
          <w:szCs w:val="21"/>
        </w:rPr>
        <w:t xml:space="preserve">项目编号: </w:t>
      </w:r>
    </w:p>
    <w:tbl>
      <w:tblPr>
        <w:tblStyle w:val="49"/>
        <w:tblpPr w:leftFromText="180" w:rightFromText="180" w:vertAnchor="text" w:horzAnchor="page" w:tblpXSpec="center" w:tblpY="266"/>
        <w:tblOverlap w:val="never"/>
        <w:tblW w:w="99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8" w:hRule="atLeast"/>
          <w:jc w:val="center"/>
        </w:trPr>
        <w:tc>
          <w:tcPr>
            <w:tcW w:w="914" w:type="dxa"/>
            <w:vAlign w:val="center"/>
          </w:tcPr>
          <w:p>
            <w:pPr>
              <w:pStyle w:val="18"/>
              <w:jc w:val="center"/>
              <w:rPr>
                <w:rFonts w:hAnsi="宋体"/>
                <w:color w:val="000000"/>
                <w:szCs w:val="21"/>
              </w:rPr>
            </w:pPr>
            <w:r>
              <w:rPr>
                <w:rFonts w:hint="eastAsia" w:hAnsi="宋体"/>
                <w:color w:val="000000"/>
                <w:szCs w:val="21"/>
              </w:rPr>
              <w:t>序号</w:t>
            </w:r>
          </w:p>
        </w:tc>
        <w:tc>
          <w:tcPr>
            <w:tcW w:w="1391" w:type="dxa"/>
            <w:vAlign w:val="center"/>
          </w:tcPr>
          <w:p>
            <w:pPr>
              <w:pStyle w:val="18"/>
              <w:jc w:val="center"/>
              <w:rPr>
                <w:rFonts w:hAnsi="宋体"/>
                <w:color w:val="000000"/>
                <w:szCs w:val="21"/>
              </w:rPr>
            </w:pPr>
            <w:r>
              <w:rPr>
                <w:rFonts w:hint="eastAsia" w:hAnsi="宋体"/>
                <w:color w:val="000000"/>
                <w:szCs w:val="21"/>
              </w:rPr>
              <w:t>项目名称</w:t>
            </w:r>
          </w:p>
        </w:tc>
        <w:tc>
          <w:tcPr>
            <w:tcW w:w="2583" w:type="dxa"/>
            <w:vAlign w:val="center"/>
          </w:tcPr>
          <w:p>
            <w:pPr>
              <w:pStyle w:val="18"/>
              <w:jc w:val="center"/>
              <w:rPr>
                <w:rFonts w:hAnsi="宋体"/>
                <w:color w:val="000000"/>
                <w:szCs w:val="21"/>
              </w:rPr>
            </w:pPr>
            <w:r>
              <w:rPr>
                <w:rFonts w:hint="eastAsia" w:hAnsi="宋体"/>
                <w:color w:val="000000"/>
                <w:szCs w:val="21"/>
              </w:rPr>
              <w:t>谈判文件</w:t>
            </w:r>
          </w:p>
          <w:p>
            <w:pPr>
              <w:pStyle w:val="18"/>
              <w:jc w:val="center"/>
              <w:rPr>
                <w:rFonts w:hAnsi="宋体"/>
                <w:color w:val="000000"/>
                <w:szCs w:val="21"/>
              </w:rPr>
            </w:pPr>
            <w:r>
              <w:rPr>
                <w:rFonts w:hint="eastAsia" w:hAnsi="宋体"/>
                <w:color w:val="000000"/>
                <w:szCs w:val="21"/>
              </w:rPr>
              <w:t>条款号</w:t>
            </w:r>
          </w:p>
        </w:tc>
        <w:tc>
          <w:tcPr>
            <w:tcW w:w="1391" w:type="dxa"/>
            <w:vAlign w:val="center"/>
          </w:tcPr>
          <w:p>
            <w:pPr>
              <w:pStyle w:val="18"/>
              <w:jc w:val="center"/>
              <w:rPr>
                <w:rFonts w:hAnsi="宋体"/>
                <w:color w:val="000000"/>
                <w:szCs w:val="21"/>
              </w:rPr>
            </w:pPr>
            <w:r>
              <w:rPr>
                <w:rFonts w:hint="eastAsia" w:hAnsi="宋体"/>
                <w:color w:val="000000"/>
                <w:szCs w:val="21"/>
              </w:rPr>
              <w:t>谈判文件规格</w:t>
            </w:r>
          </w:p>
        </w:tc>
        <w:tc>
          <w:tcPr>
            <w:tcW w:w="1391" w:type="dxa"/>
            <w:vAlign w:val="center"/>
          </w:tcPr>
          <w:p>
            <w:pPr>
              <w:pStyle w:val="18"/>
              <w:jc w:val="center"/>
              <w:rPr>
                <w:rFonts w:hAnsi="宋体"/>
                <w:color w:val="000000"/>
                <w:szCs w:val="21"/>
              </w:rPr>
            </w:pPr>
            <w:r>
              <w:rPr>
                <w:rFonts w:hint="eastAsia" w:hAnsi="宋体"/>
                <w:color w:val="000000"/>
                <w:szCs w:val="21"/>
              </w:rPr>
              <w:t>响应规格</w:t>
            </w:r>
          </w:p>
        </w:tc>
        <w:tc>
          <w:tcPr>
            <w:tcW w:w="993" w:type="dxa"/>
            <w:vAlign w:val="center"/>
          </w:tcPr>
          <w:p>
            <w:pPr>
              <w:pStyle w:val="18"/>
              <w:jc w:val="center"/>
              <w:rPr>
                <w:rFonts w:hAnsi="宋体"/>
                <w:color w:val="000000"/>
                <w:szCs w:val="21"/>
              </w:rPr>
            </w:pPr>
            <w:r>
              <w:rPr>
                <w:rFonts w:hint="eastAsia" w:hAnsi="宋体"/>
                <w:color w:val="000000"/>
                <w:szCs w:val="21"/>
              </w:rPr>
              <w:t>偏离</w:t>
            </w:r>
          </w:p>
        </w:tc>
        <w:tc>
          <w:tcPr>
            <w:tcW w:w="13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p>
    <w:p>
      <w:pPr>
        <w:pStyle w:val="18"/>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rPr>
        <w:t>：____________________</w:t>
      </w:r>
    </w:p>
    <w:p>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pPr>
        <w:rPr>
          <w:rFonts w:hint="eastAsia"/>
          <w:highlight w:val="none"/>
        </w:rPr>
      </w:pPr>
    </w:p>
    <w:p>
      <w:pPr>
        <w:pStyle w:val="18"/>
        <w:ind w:firstLine="2731" w:firstLineChars="850"/>
        <w:rPr>
          <w:rFonts w:hint="eastAsia" w:hAnsi="宋体"/>
          <w:b/>
          <w:bCs/>
          <w:sz w:val="32"/>
          <w:szCs w:val="32"/>
          <w:highlight w:val="none"/>
        </w:rPr>
      </w:pP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spacing w:line="360" w:lineRule="auto"/>
        <w:jc w:val="center"/>
        <w:outlineLvl w:val="2"/>
        <w:rPr>
          <w:rStyle w:val="99"/>
          <w:rFonts w:hint="eastAsia" w:ascii="宋体" w:hAnsi="宋体" w:eastAsia="宋体" w:cs="宋体"/>
          <w:sz w:val="28"/>
          <w:szCs w:val="28"/>
          <w:highlight w:val="none"/>
        </w:rPr>
      </w:pPr>
      <w:r>
        <w:rPr>
          <w:rFonts w:hint="eastAsia" w:ascii="宋体" w:hAnsi="宋体"/>
          <w:b/>
          <w:bCs/>
          <w:sz w:val="28"/>
          <w:szCs w:val="28"/>
        </w:rPr>
        <w:t>附件</w:t>
      </w:r>
      <w:r>
        <w:rPr>
          <w:rFonts w:hint="eastAsia" w:ascii="宋体" w:hAnsi="宋体"/>
          <w:b/>
          <w:bCs/>
          <w:sz w:val="28"/>
          <w:szCs w:val="28"/>
          <w:lang w:val="en-US" w:eastAsia="zh-CN"/>
        </w:rPr>
        <w:t>4附</w:t>
      </w:r>
      <w:r>
        <w:rPr>
          <w:rStyle w:val="99"/>
          <w:rFonts w:hint="eastAsia" w:ascii="宋体" w:hAnsi="宋体" w:eastAsia="宋体" w:cs="宋体"/>
          <w:sz w:val="28"/>
          <w:szCs w:val="28"/>
          <w:highlight w:val="none"/>
        </w:rPr>
        <w:t>制造商授权书</w:t>
      </w:r>
    </w:p>
    <w:p>
      <w:pPr>
        <w:shd w:val="clear" w:color="auto" w:fill="auto"/>
        <w:spacing w:line="400" w:lineRule="exact"/>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p>
    <w:p>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pPr>
        <w:pStyle w:val="12"/>
        <w:rPr>
          <w:rFonts w:hint="eastAsia"/>
          <w:highlight w:val="none"/>
          <w:lang w:val="en-US" w:eastAsia="zh-CN"/>
        </w:rPr>
      </w:pPr>
    </w:p>
    <w:p>
      <w:pPr>
        <w:jc w:val="center"/>
        <w:rPr>
          <w:rFonts w:hint="eastAsia" w:hAnsi="宋体"/>
          <w:b w:val="0"/>
          <w:bCs w:val="0"/>
          <w:sz w:val="32"/>
          <w:szCs w:val="32"/>
          <w:highlight w:val="none"/>
          <w:lang w:val="en-US" w:eastAsia="zh-CN"/>
        </w:rPr>
      </w:pPr>
      <w:r>
        <w:rPr>
          <w:rFonts w:hint="eastAsia" w:hAnsi="宋体"/>
          <w:b w:val="0"/>
          <w:bCs w:val="0"/>
          <w:sz w:val="32"/>
          <w:szCs w:val="32"/>
          <w:highlight w:val="none"/>
          <w:lang w:val="en-US" w:eastAsia="zh-CN"/>
        </w:rPr>
        <w:t xml:space="preserve">   </w:t>
      </w:r>
      <w:r>
        <w:rPr>
          <w:rFonts w:hint="eastAsia" w:hAnsi="宋体"/>
          <w:b w:val="0"/>
          <w:bCs w:val="0"/>
          <w:sz w:val="28"/>
          <w:szCs w:val="28"/>
          <w:highlight w:val="none"/>
          <w:lang w:val="en-US" w:eastAsia="zh-CN"/>
        </w:rPr>
        <w:t>格式自拟</w:t>
      </w: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4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hint="eastAsia"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hint="eastAsia"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bl>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57"/>
    </w:p>
    <w:bookmarkEnd w:id="58"/>
    <w:tbl>
      <w:tblPr>
        <w:tblStyle w:val="49"/>
        <w:tblW w:w="9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Cs w:val="21"/>
                <w:highlight w:val="none"/>
              </w:rPr>
            </w:pPr>
          </w:p>
        </w:tc>
        <w:tc>
          <w:tcPr>
            <w:tcW w:w="1445" w:type="dxa"/>
          </w:tcPr>
          <w:p>
            <w:pPr>
              <w:pStyle w:val="75"/>
              <w:spacing w:before="145"/>
              <w:rPr>
                <w:rFonts w:ascii="宋体" w:hAnsi="宋体" w:cs="宋体"/>
                <w:szCs w:val="21"/>
                <w:highlight w:val="none"/>
              </w:rPr>
            </w:pPr>
          </w:p>
        </w:tc>
        <w:tc>
          <w:tcPr>
            <w:tcW w:w="1649" w:type="dxa"/>
            <w:vAlign w:val="center"/>
          </w:tcPr>
          <w:p>
            <w:pPr>
              <w:spacing w:line="360" w:lineRule="auto"/>
              <w:rPr>
                <w:rFonts w:hint="eastAsia"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 w:val="24"/>
                <w:highlight w:val="none"/>
              </w:rPr>
            </w:pPr>
          </w:p>
        </w:tc>
        <w:tc>
          <w:tcPr>
            <w:tcW w:w="1445" w:type="dxa"/>
          </w:tcPr>
          <w:p>
            <w:pPr>
              <w:spacing w:line="360" w:lineRule="auto"/>
              <w:jc w:val="left"/>
              <w:rPr>
                <w:rFonts w:hint="eastAsia" w:ascii="宋体" w:hAnsi="宋体"/>
                <w:b/>
                <w:bCs/>
                <w:szCs w:val="21"/>
                <w:highlight w:val="none"/>
              </w:rPr>
            </w:pPr>
          </w:p>
        </w:tc>
        <w:tc>
          <w:tcPr>
            <w:tcW w:w="1649" w:type="dxa"/>
            <w:vAlign w:val="center"/>
          </w:tcPr>
          <w:p>
            <w:pPr>
              <w:spacing w:line="360" w:lineRule="auto"/>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5"/>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pStyle w:val="75"/>
              <w:spacing w:before="2"/>
              <w:rPr>
                <w:rFonts w:hint="eastAsia" w:ascii="宋体" w:hAnsi="宋体" w:cs="宋体"/>
                <w:b/>
                <w:bCs/>
                <w:szCs w:val="21"/>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vAlign w:val="center"/>
          </w:tcPr>
          <w:p>
            <w:pPr>
              <w:pStyle w:val="75"/>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5"/>
              <w:spacing w:before="146"/>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bl>
    <w:p>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r>
        <w:rPr>
          <w:rFonts w:hint="eastAsia" w:ascii="宋体" w:hAnsi="宋体" w:cs="宋体"/>
          <w:color w:val="000000"/>
          <w:szCs w:val="21"/>
          <w:highlight w:val="none"/>
          <w:lang w:eastAsia="zh-CN"/>
        </w:rPr>
        <w:t>加盖公章</w:t>
      </w: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pStyle w:val="53"/>
        <w:rPr>
          <w:rFonts w:hint="eastAsia" w:hAnsi="宋体"/>
          <w:b/>
          <w:bCs/>
          <w:color w:val="auto"/>
          <w:sz w:val="32"/>
          <w:szCs w:val="32"/>
          <w:highlight w:val="none"/>
        </w:rPr>
      </w:pPr>
    </w:p>
    <w:p>
      <w:pPr>
        <w:spacing w:line="360" w:lineRule="auto"/>
        <w:jc w:val="center"/>
        <w:outlineLvl w:val="2"/>
        <w:rPr>
          <w:rStyle w:val="65"/>
          <w:rFonts w:hint="eastAsia" w:ascii="宋体" w:hAnsi="宋体" w:eastAsia="宋体" w:cs="宋体"/>
          <w:sz w:val="28"/>
          <w:szCs w:val="28"/>
          <w:highlight w:val="none"/>
          <w:lang w:val="en-US" w:eastAsia="zh-CN"/>
        </w:rPr>
      </w:pPr>
    </w:p>
    <w:p>
      <w:pPr>
        <w:spacing w:line="360" w:lineRule="auto"/>
        <w:jc w:val="center"/>
        <w:outlineLvl w:val="2"/>
        <w:rPr>
          <w:rStyle w:val="65"/>
          <w:rFonts w:hint="eastAsia" w:ascii="宋体" w:hAnsi="宋体" w:eastAsia="宋体" w:cs="宋体"/>
          <w:sz w:val="28"/>
          <w:szCs w:val="28"/>
          <w:highlight w:val="none"/>
          <w:lang w:val="en-US" w:eastAsia="zh-CN"/>
        </w:rPr>
      </w:pPr>
    </w:p>
    <w:p>
      <w:pPr>
        <w:spacing w:line="360" w:lineRule="auto"/>
        <w:jc w:val="center"/>
        <w:outlineLvl w:val="2"/>
        <w:rPr>
          <w:rStyle w:val="65"/>
          <w:rFonts w:hint="eastAsia" w:ascii="宋体" w:hAnsi="宋体" w:eastAsia="宋体" w:cs="宋体"/>
          <w:sz w:val="28"/>
          <w:szCs w:val="28"/>
          <w:highlight w:val="none"/>
          <w:lang w:val="en-US" w:eastAsia="zh-CN"/>
        </w:rPr>
      </w:pPr>
    </w:p>
    <w:p>
      <w:pPr>
        <w:pStyle w:val="12"/>
        <w:rPr>
          <w:rStyle w:val="65"/>
          <w:rFonts w:hint="eastAsia" w:ascii="宋体" w:hAnsi="宋体" w:eastAsia="宋体" w:cs="宋体"/>
          <w:sz w:val="28"/>
          <w:szCs w:val="28"/>
          <w:highlight w:val="none"/>
          <w:lang w:val="en-US" w:eastAsia="zh-CN"/>
        </w:rPr>
      </w:pPr>
    </w:p>
    <w:p>
      <w:pPr>
        <w:pStyle w:val="13"/>
        <w:rPr>
          <w:rFonts w:hint="eastAsia"/>
          <w:lang w:val="en-US" w:eastAsia="zh-CN"/>
        </w:rPr>
      </w:pPr>
    </w:p>
    <w:p>
      <w:pPr>
        <w:spacing w:line="360" w:lineRule="auto"/>
        <w:jc w:val="center"/>
        <w:outlineLvl w:val="2"/>
        <w:rPr>
          <w:rStyle w:val="65"/>
          <w:rFonts w:hint="eastAsia" w:asciiTheme="majorEastAsia" w:hAnsiTheme="majorEastAsia" w:eastAsiaTheme="majorEastAsia" w:cstheme="majorEastAsia"/>
          <w:sz w:val="28"/>
          <w:szCs w:val="28"/>
          <w:highlight w:val="none"/>
          <w:lang w:val="en-US" w:eastAsia="zh-CN"/>
        </w:rPr>
      </w:pPr>
    </w:p>
    <w:p>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pPr>
        <w:shd w:val="clear" w:color="auto" w:fill="FFFFFF"/>
        <w:spacing w:after="240" w:line="360" w:lineRule="atLeast"/>
        <w:ind w:firstLine="480"/>
        <w:jc w:val="center"/>
        <w:rPr>
          <w:rFonts w:ascii="宋体" w:hAnsi="宋体"/>
          <w:b w:val="0"/>
          <w:bCs w:val="0"/>
          <w:kern w:val="0"/>
          <w:sz w:val="24"/>
          <w:szCs w:val="24"/>
          <w:highlight w:val="none"/>
        </w:rPr>
      </w:pPr>
      <w:r>
        <w:rPr>
          <w:rFonts w:hint="eastAsia" w:ascii="宋体" w:hAnsi="宋体"/>
          <w:b w:val="0"/>
          <w:bCs w:val="0"/>
          <w:kern w:val="0"/>
          <w:sz w:val="24"/>
          <w:szCs w:val="24"/>
          <w:highlight w:val="none"/>
        </w:rPr>
        <w:t>格式自拟</w:t>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pStyle w:val="12"/>
        <w:rPr>
          <w:rFonts w:hint="eastAsia" w:ascii="宋体" w:hAnsi="宋体" w:cs="宋体"/>
          <w:b/>
          <w:sz w:val="28"/>
          <w:szCs w:val="28"/>
          <w:highlight w:val="none"/>
        </w:rPr>
      </w:pPr>
    </w:p>
    <w:p>
      <w:pPr>
        <w:rPr>
          <w:sz w:val="32"/>
          <w:szCs w:val="32"/>
          <w:highlight w:val="none"/>
        </w:rPr>
      </w:pPr>
      <w:r>
        <w:rPr>
          <w:sz w:val="32"/>
          <w:szCs w:val="32"/>
          <w:highlight w:val="none"/>
        </w:rPr>
        <w:br w:type="page"/>
      </w:r>
    </w:p>
    <w:p>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pPr>
        <w:shd w:val="clear" w:color="auto" w:fill="FFFFFF"/>
        <w:spacing w:after="240" w:line="360" w:lineRule="atLeast"/>
        <w:ind w:firstLine="480"/>
        <w:jc w:val="center"/>
        <w:rPr>
          <w:rFonts w:hint="eastAsia" w:ascii="宋体" w:hAnsi="宋体"/>
          <w:b w:val="0"/>
          <w:bCs w:val="0"/>
          <w:kern w:val="0"/>
          <w:sz w:val="24"/>
          <w:szCs w:val="24"/>
          <w:highlight w:val="none"/>
        </w:rPr>
      </w:pPr>
    </w:p>
    <w:p>
      <w:pPr>
        <w:shd w:val="clear" w:color="auto" w:fill="FFFFFF"/>
        <w:spacing w:after="240" w:line="360" w:lineRule="atLeast"/>
        <w:ind w:firstLine="480"/>
        <w:jc w:val="center"/>
        <w:rPr>
          <w:rFonts w:ascii="宋体" w:hAnsi="宋体"/>
          <w:b w:val="0"/>
          <w:bCs w:val="0"/>
          <w:kern w:val="0"/>
          <w:sz w:val="24"/>
          <w:szCs w:val="24"/>
          <w:highlight w:val="none"/>
        </w:rPr>
      </w:pPr>
      <w:r>
        <w:rPr>
          <w:rFonts w:hint="eastAsia" w:ascii="宋体" w:hAnsi="宋体"/>
          <w:b w:val="0"/>
          <w:bCs w:val="0"/>
          <w:kern w:val="0"/>
          <w:sz w:val="24"/>
          <w:szCs w:val="24"/>
          <w:highlight w:val="none"/>
        </w:rPr>
        <w:t>格式自拟</w:t>
      </w:r>
    </w:p>
    <w:p>
      <w:pPr>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51"/>
        <w:rPr>
          <w:sz w:val="32"/>
          <w:szCs w:val="32"/>
          <w:highlight w:val="none"/>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rStyle w:val="99"/>
          <w:rFonts w:hint="eastAsia" w:ascii="宋体" w:hAnsi="宋体" w:eastAsia="宋体" w:cs="宋体"/>
          <w:b/>
          <w:bCs/>
        </w:rPr>
        <w:t>中小企业和残疾人福利性单位声明函</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本项目为专门面向中小微企业的采购项目</w:t>
      </w:r>
      <w:bookmarkStart w:id="59" w:name="_GoBack"/>
      <w:bookmarkEnd w:id="59"/>
      <w:r>
        <w:rPr>
          <w:rFonts w:hint="eastAsia" w:ascii="宋体" w:hAnsi="宋体" w:eastAsia="宋体" w:cs="宋体"/>
          <w:bCs/>
          <w:snapToGrid w:val="0"/>
          <w:sz w:val="22"/>
          <w:szCs w:val="22"/>
          <w:highlight w:val="none"/>
        </w:rPr>
        <w:t>（投标人</w:t>
      </w:r>
      <w:r>
        <w:rPr>
          <w:rFonts w:hint="eastAsia" w:ascii="宋体" w:hAnsi="宋体" w:cs="宋体"/>
          <w:bCs/>
          <w:snapToGrid w:val="0"/>
          <w:sz w:val="22"/>
          <w:szCs w:val="22"/>
          <w:highlight w:val="none"/>
          <w:lang w:eastAsia="zh-CN"/>
        </w:rPr>
        <w:t>若</w:t>
      </w:r>
      <w:r>
        <w:rPr>
          <w:rFonts w:hint="eastAsia" w:ascii="宋体" w:hAnsi="宋体" w:eastAsia="宋体" w:cs="宋体"/>
          <w:bCs/>
          <w:snapToGrid w:val="0"/>
          <w:sz w:val="22"/>
          <w:szCs w:val="22"/>
          <w:highlight w:val="none"/>
        </w:rPr>
        <w:t>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pPr>
        <w:rPr>
          <w:rFonts w:hint="eastAsia"/>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52"/>
        <w:ind w:left="0" w:leftChars="0" w:firstLine="0" w:firstLineChars="0"/>
        <w:rPr>
          <w:rFonts w:hAnsi="宋体"/>
          <w:b/>
          <w:sz w:val="30"/>
          <w:szCs w:val="30"/>
          <w:highlight w:val="none"/>
        </w:rPr>
      </w:pPr>
    </w:p>
    <w:p>
      <w:pPr>
        <w:pStyle w:val="52"/>
        <w:rPr>
          <w:rFonts w:hAnsi="宋体"/>
          <w:b/>
          <w:sz w:val="30"/>
          <w:szCs w:val="30"/>
          <w:highlight w:val="none"/>
        </w:rPr>
      </w:pPr>
    </w:p>
    <w:p>
      <w:pPr>
        <w:pStyle w:val="52"/>
        <w:jc w:val="center"/>
      </w:pPr>
    </w:p>
    <w:p>
      <w:pPr>
        <w:pStyle w:val="52"/>
        <w:jc w:val="center"/>
      </w:pPr>
    </w:p>
    <w:p>
      <w:pPr>
        <w:pStyle w:val="52"/>
        <w:jc w:val="cente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p>
      <w:pPr>
        <w:pStyle w:val="52"/>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S+JU9nwEAACQDAAAOAAAAZHJzL2Uyb0RvYy54bWyt&#10;UkFu2zAQvBfIHwjeayqx3A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X7+nIxx5bA3rxa1PN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BL4lT2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PkoynwEAACQDAAAOAAAAZHJzL2Uyb0RvYy54bWyt&#10;UkFu2zAQvBfIHwjeayqR3Q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P388tFjS2BvbpazOt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P8+SjK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792008B"/>
    <w:multiLevelType w:val="singleLevel"/>
    <w:tmpl w:val="C792008B"/>
    <w:lvl w:ilvl="0" w:tentative="0">
      <w:start w:val="1"/>
      <w:numFmt w:val="decimal"/>
      <w:suff w:val="nothing"/>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3AF199D"/>
    <w:multiLevelType w:val="singleLevel"/>
    <w:tmpl w:val="F3AF199D"/>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singleLevel"/>
    <w:tmpl w:val="00000001"/>
    <w:lvl w:ilvl="0" w:tentative="0">
      <w:start w:val="1"/>
      <w:numFmt w:val="decimal"/>
      <w:suff w:val="nothing"/>
      <w:lvlText w:val="（%1）"/>
      <w:lvlJc w:val="left"/>
    </w:lvl>
  </w:abstractNum>
  <w:abstractNum w:abstractNumId="11">
    <w:nsid w:val="11687699"/>
    <w:multiLevelType w:val="singleLevel"/>
    <w:tmpl w:val="11687699"/>
    <w:lvl w:ilvl="0" w:tentative="0">
      <w:start w:val="1"/>
      <w:numFmt w:val="decimal"/>
      <w:suff w:val="nothing"/>
      <w:lvlText w:val="%1、"/>
      <w:lvlJc w:val="left"/>
    </w:lvl>
  </w:abstractNum>
  <w:abstractNum w:abstractNumId="12">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3">
    <w:nsid w:val="5AD450A8"/>
    <w:multiLevelType w:val="singleLevel"/>
    <w:tmpl w:val="5AD450A8"/>
    <w:lvl w:ilvl="0" w:tentative="0">
      <w:start w:val="2"/>
      <w:numFmt w:val="decimal"/>
      <w:suff w:val="space"/>
      <w:lvlText w:val="%1."/>
      <w:lvlJc w:val="left"/>
    </w:lvl>
  </w:abstractNum>
  <w:abstractNum w:abstractNumId="14">
    <w:nsid w:val="5AD45148"/>
    <w:multiLevelType w:val="singleLevel"/>
    <w:tmpl w:val="5AD45148"/>
    <w:lvl w:ilvl="0" w:tentative="0">
      <w:start w:val="4"/>
      <w:numFmt w:val="decimal"/>
      <w:suff w:val="nothing"/>
      <w:lvlText w:val="%1．"/>
      <w:lvlJc w:val="left"/>
    </w:lvl>
  </w:abstractNum>
  <w:abstractNum w:abstractNumId="15">
    <w:nsid w:val="5DFB4682"/>
    <w:multiLevelType w:val="singleLevel"/>
    <w:tmpl w:val="5DFB4682"/>
    <w:lvl w:ilvl="0" w:tentative="0">
      <w:start w:val="15"/>
      <w:numFmt w:val="decimal"/>
      <w:suff w:val="space"/>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2"/>
  </w:num>
  <w:num w:numId="2">
    <w:abstractNumId w:val="8"/>
  </w:num>
  <w:num w:numId="3">
    <w:abstractNumId w:val="15"/>
  </w:num>
  <w:num w:numId="4">
    <w:abstractNumId w:val="3"/>
  </w:num>
  <w:num w:numId="5">
    <w:abstractNumId w:val="11"/>
  </w:num>
  <w:num w:numId="6">
    <w:abstractNumId w:val="2"/>
  </w:num>
  <w:num w:numId="7">
    <w:abstractNumId w:val="10"/>
  </w:num>
  <w:num w:numId="8">
    <w:abstractNumId w:val="16"/>
  </w:num>
  <w:num w:numId="9">
    <w:abstractNumId w:val="4"/>
  </w:num>
  <w:num w:numId="10">
    <w:abstractNumId w:val="9"/>
  </w:num>
  <w:num w:numId="11">
    <w:abstractNumId w:val="6"/>
  </w:num>
  <w:num w:numId="12">
    <w:abstractNumId w:val="5"/>
  </w:num>
  <w:num w:numId="13">
    <w:abstractNumId w:val="1"/>
  </w:num>
  <w:num w:numId="14">
    <w:abstractNumId w:val="7"/>
  </w:num>
  <w:num w:numId="15">
    <w:abstractNumId w:val="1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0739F0"/>
    <w:rsid w:val="07216614"/>
    <w:rsid w:val="07B33255"/>
    <w:rsid w:val="082F789B"/>
    <w:rsid w:val="08396ED3"/>
    <w:rsid w:val="08A05850"/>
    <w:rsid w:val="08A420E1"/>
    <w:rsid w:val="08C120E0"/>
    <w:rsid w:val="090128EB"/>
    <w:rsid w:val="0939545A"/>
    <w:rsid w:val="09A53221"/>
    <w:rsid w:val="09B65004"/>
    <w:rsid w:val="09E746E2"/>
    <w:rsid w:val="0A363A1D"/>
    <w:rsid w:val="0A5E0FEF"/>
    <w:rsid w:val="0A654A44"/>
    <w:rsid w:val="0AAA6709"/>
    <w:rsid w:val="0AC73F32"/>
    <w:rsid w:val="0AE377E2"/>
    <w:rsid w:val="0B4A5116"/>
    <w:rsid w:val="0B7B75D7"/>
    <w:rsid w:val="0BB76C03"/>
    <w:rsid w:val="0BE514A3"/>
    <w:rsid w:val="0C6E2553"/>
    <w:rsid w:val="0C887271"/>
    <w:rsid w:val="0C8B41A2"/>
    <w:rsid w:val="0CEA1C85"/>
    <w:rsid w:val="0D3D36A4"/>
    <w:rsid w:val="0D514AA1"/>
    <w:rsid w:val="0D6F1145"/>
    <w:rsid w:val="0D791A19"/>
    <w:rsid w:val="0D9D2076"/>
    <w:rsid w:val="0DAB060F"/>
    <w:rsid w:val="0DD84B11"/>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5F6ECF"/>
    <w:rsid w:val="16C31734"/>
    <w:rsid w:val="17A7775F"/>
    <w:rsid w:val="17CA3567"/>
    <w:rsid w:val="182403C0"/>
    <w:rsid w:val="18285F02"/>
    <w:rsid w:val="182F6ADF"/>
    <w:rsid w:val="188E3A9B"/>
    <w:rsid w:val="18B21D51"/>
    <w:rsid w:val="1936109D"/>
    <w:rsid w:val="194C5989"/>
    <w:rsid w:val="197B7584"/>
    <w:rsid w:val="19932087"/>
    <w:rsid w:val="1A85424D"/>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36A171F"/>
    <w:rsid w:val="246D6944"/>
    <w:rsid w:val="24922AB1"/>
    <w:rsid w:val="2527378E"/>
    <w:rsid w:val="2530284B"/>
    <w:rsid w:val="25556D82"/>
    <w:rsid w:val="2560751D"/>
    <w:rsid w:val="259D70B9"/>
    <w:rsid w:val="261F644A"/>
    <w:rsid w:val="26BB3CAD"/>
    <w:rsid w:val="26C115E8"/>
    <w:rsid w:val="271D3475"/>
    <w:rsid w:val="272C509E"/>
    <w:rsid w:val="27313F6F"/>
    <w:rsid w:val="28A519EB"/>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3027709A"/>
    <w:rsid w:val="30294ADC"/>
    <w:rsid w:val="304C6A88"/>
    <w:rsid w:val="305D7F50"/>
    <w:rsid w:val="31602E24"/>
    <w:rsid w:val="317408E4"/>
    <w:rsid w:val="3182385E"/>
    <w:rsid w:val="31FA1774"/>
    <w:rsid w:val="32642CEC"/>
    <w:rsid w:val="32B33C46"/>
    <w:rsid w:val="33020093"/>
    <w:rsid w:val="330714FD"/>
    <w:rsid w:val="333C0154"/>
    <w:rsid w:val="335553C9"/>
    <w:rsid w:val="336F072D"/>
    <w:rsid w:val="33FC7E8C"/>
    <w:rsid w:val="342D2F02"/>
    <w:rsid w:val="34F10498"/>
    <w:rsid w:val="35B651B7"/>
    <w:rsid w:val="35EE0253"/>
    <w:rsid w:val="369571B1"/>
    <w:rsid w:val="371B7E5C"/>
    <w:rsid w:val="37980295"/>
    <w:rsid w:val="37A418D8"/>
    <w:rsid w:val="386020D3"/>
    <w:rsid w:val="3865492E"/>
    <w:rsid w:val="386A0217"/>
    <w:rsid w:val="394A1F2F"/>
    <w:rsid w:val="3A922B1F"/>
    <w:rsid w:val="3BA42EB1"/>
    <w:rsid w:val="3BC938F0"/>
    <w:rsid w:val="3C183D6E"/>
    <w:rsid w:val="3CBC31FE"/>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0B2F13"/>
    <w:rsid w:val="431F392D"/>
    <w:rsid w:val="43417B2B"/>
    <w:rsid w:val="43467BC5"/>
    <w:rsid w:val="435D01D0"/>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7C5D3F"/>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4EE2961"/>
    <w:rsid w:val="551E2E5D"/>
    <w:rsid w:val="55B32794"/>
    <w:rsid w:val="55FE3977"/>
    <w:rsid w:val="569E48CE"/>
    <w:rsid w:val="56C579D5"/>
    <w:rsid w:val="57017A7F"/>
    <w:rsid w:val="571854E6"/>
    <w:rsid w:val="57432F68"/>
    <w:rsid w:val="576631B4"/>
    <w:rsid w:val="578C03FE"/>
    <w:rsid w:val="58145D63"/>
    <w:rsid w:val="58276B45"/>
    <w:rsid w:val="58D740C7"/>
    <w:rsid w:val="58F55856"/>
    <w:rsid w:val="5953256C"/>
    <w:rsid w:val="5955718D"/>
    <w:rsid w:val="598A6BBE"/>
    <w:rsid w:val="59AA358A"/>
    <w:rsid w:val="59B140E5"/>
    <w:rsid w:val="59BD32BD"/>
    <w:rsid w:val="59E86B9F"/>
    <w:rsid w:val="5A644C07"/>
    <w:rsid w:val="5A9D6C4B"/>
    <w:rsid w:val="5AB910E6"/>
    <w:rsid w:val="5B5E287E"/>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D91FE4"/>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51177A"/>
    <w:rsid w:val="6C931E67"/>
    <w:rsid w:val="6CD84F63"/>
    <w:rsid w:val="6CFA6E24"/>
    <w:rsid w:val="6D091DD7"/>
    <w:rsid w:val="6D3F4260"/>
    <w:rsid w:val="6DA952AB"/>
    <w:rsid w:val="6DDD3ACB"/>
    <w:rsid w:val="6DDE7F68"/>
    <w:rsid w:val="6DEB66A3"/>
    <w:rsid w:val="6E170B30"/>
    <w:rsid w:val="6E433451"/>
    <w:rsid w:val="6E66437B"/>
    <w:rsid w:val="6E7D5654"/>
    <w:rsid w:val="6EA823C5"/>
    <w:rsid w:val="6EAB02FA"/>
    <w:rsid w:val="6EEE3E5F"/>
    <w:rsid w:val="6F6B3CB4"/>
    <w:rsid w:val="6F987BE5"/>
    <w:rsid w:val="6FBA5DBC"/>
    <w:rsid w:val="6FC06798"/>
    <w:rsid w:val="6FD93811"/>
    <w:rsid w:val="6FFE5B18"/>
    <w:rsid w:val="70114A8F"/>
    <w:rsid w:val="701B6C56"/>
    <w:rsid w:val="705F07D2"/>
    <w:rsid w:val="706601C1"/>
    <w:rsid w:val="70DA1157"/>
    <w:rsid w:val="7135284F"/>
    <w:rsid w:val="71440DA3"/>
    <w:rsid w:val="71A36DE5"/>
    <w:rsid w:val="71CB7E3C"/>
    <w:rsid w:val="720B45E8"/>
    <w:rsid w:val="7223471E"/>
    <w:rsid w:val="7224286D"/>
    <w:rsid w:val="72434598"/>
    <w:rsid w:val="724A22EE"/>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643BF"/>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8C75F4"/>
    <w:rsid w:val="7B9A3006"/>
    <w:rsid w:val="7BA33ADE"/>
    <w:rsid w:val="7BC17BB6"/>
    <w:rsid w:val="7C040259"/>
    <w:rsid w:val="7C8716CA"/>
    <w:rsid w:val="7CD418BF"/>
    <w:rsid w:val="7D117168"/>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semiHidden/>
    <w:qFormat/>
    <w:uiPriority w:val="0"/>
  </w:style>
  <w:style w:type="table" w:default="1" w:styleId="49">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link w:val="59"/>
    <w:qFormat/>
    <w:uiPriority w:val="0"/>
    <w:pPr>
      <w:ind w:firstLine="420"/>
    </w:pPr>
    <w:rPr>
      <w:szCs w:val="20"/>
    </w:rPr>
  </w:style>
  <w:style w:type="paragraph" w:styleId="8">
    <w:name w:val="annotation subject"/>
    <w:basedOn w:val="9"/>
    <w:next w:val="9"/>
    <w:semiHidden/>
    <w:qFormat/>
    <w:uiPriority w:val="0"/>
    <w:rPr>
      <w:b/>
      <w:bCs/>
    </w:rPr>
  </w:style>
  <w:style w:type="paragraph" w:styleId="9">
    <w:name w:val="annotation text"/>
    <w:basedOn w:val="1"/>
    <w:link w:val="61"/>
    <w:qFormat/>
    <w:uiPriority w:val="0"/>
    <w:pPr>
      <w:jc w:val="left"/>
    </w:pPr>
  </w:style>
  <w:style w:type="paragraph" w:styleId="10">
    <w:name w:val="toc 7"/>
    <w:basedOn w:val="1"/>
    <w:next w:val="1"/>
    <w:qFormat/>
    <w:uiPriority w:val="0"/>
    <w:pPr>
      <w:ind w:left="1260"/>
      <w:jc w:val="left"/>
    </w:pPr>
    <w:rPr>
      <w:rFonts w:ascii="Calibri" w:hAnsi="Calibri" w:cs="Calibri"/>
      <w:sz w:val="18"/>
      <w:szCs w:val="18"/>
    </w:rPr>
  </w:style>
  <w:style w:type="paragraph" w:styleId="11">
    <w:name w:val="Body Text First Indent"/>
    <w:basedOn w:val="12"/>
    <w:qFormat/>
    <w:uiPriority w:val="0"/>
    <w:pPr>
      <w:ind w:firstLine="420"/>
    </w:pPr>
    <w:rPr>
      <w:rFonts w:ascii="仿宋_GB2312" w:hAnsi="宋体"/>
      <w:snapToGrid w:val="0"/>
      <w:sz w:val="30"/>
    </w:rPr>
  </w:style>
  <w:style w:type="paragraph" w:styleId="12">
    <w:name w:val="Body Text"/>
    <w:basedOn w:val="1"/>
    <w:next w:val="1"/>
    <w:qFormat/>
    <w:uiPriority w:val="0"/>
    <w:pPr>
      <w:spacing w:after="120"/>
    </w:pPr>
  </w:style>
  <w:style w:type="paragraph" w:styleId="13">
    <w:name w:val="index 8"/>
    <w:basedOn w:val="1"/>
    <w:next w:val="1"/>
    <w:unhideWhenUsed/>
    <w:qFormat/>
    <w:uiPriority w:val="99"/>
    <w:pPr>
      <w:ind w:left="1400" w:leftChars="1400"/>
    </w:p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Indent"/>
    <w:basedOn w:val="1"/>
    <w:link w:val="60"/>
    <w:qFormat/>
    <w:uiPriority w:val="0"/>
    <w:pPr>
      <w:spacing w:after="120"/>
      <w:ind w:left="420" w:left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39"/>
    <w:pPr>
      <w:ind w:left="420"/>
      <w:jc w:val="left"/>
    </w:pPr>
    <w:rPr>
      <w:rFonts w:ascii="Calibri" w:hAnsi="Calibri" w:cs="Calibri"/>
      <w:i/>
      <w:iCs/>
      <w:sz w:val="20"/>
      <w:szCs w:val="20"/>
    </w:rPr>
  </w:style>
  <w:style w:type="paragraph" w:styleId="18">
    <w:name w:val="Plain Text"/>
    <w:basedOn w:val="1"/>
    <w:link w:val="58"/>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2"/>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3"/>
    <w:qFormat/>
    <w:uiPriority w:val="99"/>
    <w:pPr>
      <w:tabs>
        <w:tab w:val="center" w:pos="4153"/>
        <w:tab w:val="right" w:pos="8306"/>
      </w:tabs>
      <w:snapToGrid w:val="0"/>
      <w:jc w:val="left"/>
    </w:pPr>
    <w:rPr>
      <w:sz w:val="18"/>
      <w:szCs w:val="18"/>
    </w:rPr>
  </w:style>
  <w:style w:type="paragraph" w:styleId="23">
    <w:name w:val="Body Text First Indent 2"/>
    <w:basedOn w:val="15"/>
    <w:next w:val="1"/>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qFormat/>
    <w:uiPriority w:val="0"/>
    <w:pPr>
      <w:ind w:left="630"/>
      <w:jc w:val="left"/>
    </w:pPr>
    <w:rPr>
      <w:rFonts w:ascii="Calibri" w:hAnsi="Calibri" w:cs="Calibri"/>
      <w:sz w:val="18"/>
      <w:szCs w:val="18"/>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1050"/>
      <w:jc w:val="left"/>
    </w:pPr>
    <w:rPr>
      <w:rFonts w:ascii="Calibri" w:hAnsi="Calibri" w:cs="Calibri"/>
      <w:sz w:val="18"/>
      <w:szCs w:val="18"/>
    </w:rPr>
  </w:style>
  <w:style w:type="paragraph" w:styleId="29">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qFormat/>
    <w:uiPriority w:val="0"/>
    <w:pPr>
      <w:ind w:left="1680"/>
      <w:jc w:val="left"/>
    </w:pPr>
    <w:rPr>
      <w:rFonts w:ascii="Calibri" w:hAnsi="Calibri" w:cs="Calibri"/>
      <w:sz w:val="18"/>
      <w:szCs w:val="18"/>
    </w:rPr>
  </w:style>
  <w:style w:type="paragraph" w:styleId="32">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20"/>
    <w:rPr>
      <w:color w:val="CC0000"/>
      <w:sz w:val="24"/>
      <w:szCs w:val="24"/>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ascii="monospace" w:hAnsi="monospace" w:eastAsia="monospace" w:cs="monospace"/>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8"/>
    <w:qFormat/>
    <w:uiPriority w:val="0"/>
    <w:rPr>
      <w:rFonts w:ascii="宋体" w:hAnsi="Courier New" w:eastAsia="宋体"/>
      <w:kern w:val="2"/>
      <w:sz w:val="21"/>
      <w:lang w:val="en-US" w:eastAsia="zh-CN" w:bidi="ar-SA"/>
    </w:rPr>
  </w:style>
  <w:style w:type="character" w:customStyle="1" w:styleId="59">
    <w:name w:val="正文缩进 Char"/>
    <w:link w:val="6"/>
    <w:qFormat/>
    <w:uiPriority w:val="0"/>
    <w:rPr>
      <w:kern w:val="2"/>
      <w:sz w:val="21"/>
    </w:rPr>
  </w:style>
  <w:style w:type="character" w:customStyle="1" w:styleId="60">
    <w:name w:val="正文文本缩进 Char"/>
    <w:link w:val="15"/>
    <w:qFormat/>
    <w:uiPriority w:val="0"/>
    <w:rPr>
      <w:kern w:val="2"/>
      <w:sz w:val="21"/>
      <w:szCs w:val="24"/>
    </w:rPr>
  </w:style>
  <w:style w:type="character" w:customStyle="1" w:styleId="61">
    <w:name w:val="批注文字 Char"/>
    <w:link w:val="9"/>
    <w:qFormat/>
    <w:uiPriority w:val="0"/>
    <w:rPr>
      <w:kern w:val="2"/>
      <w:sz w:val="21"/>
      <w:szCs w:val="24"/>
    </w:rPr>
  </w:style>
  <w:style w:type="character" w:customStyle="1" w:styleId="62">
    <w:name w:val="日期 Char"/>
    <w:link w:val="20"/>
    <w:qFormat/>
    <w:uiPriority w:val="0"/>
    <w:rPr>
      <w:kern w:val="2"/>
      <w:sz w:val="21"/>
      <w:szCs w:val="24"/>
    </w:rPr>
  </w:style>
  <w:style w:type="character" w:customStyle="1" w:styleId="63">
    <w:name w:val="页脚 Char"/>
    <w:link w:val="22"/>
    <w:qFormat/>
    <w:uiPriority w:val="99"/>
    <w:rPr>
      <w:kern w:val="2"/>
      <w:sz w:val="18"/>
      <w:szCs w:val="18"/>
    </w:rPr>
  </w:style>
  <w:style w:type="character" w:customStyle="1" w:styleId="64">
    <w:name w:val="HTML 预设格式 Char"/>
    <w:link w:val="32"/>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4"/>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8"/>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Layout w:type="fixed"/>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character" w:customStyle="1" w:styleId="99">
    <w:name w:val="标题 2 字符"/>
    <w:link w:val="3"/>
    <w:qFormat/>
    <w:uiPriority w:val="0"/>
    <w:rPr>
      <w:rFonts w:ascii="Arial" w:hAnsi="Arial" w:eastAsia="黑体" w:cs="Times New Roman"/>
      <w:b/>
      <w:bCs/>
      <w:sz w:val="32"/>
      <w:szCs w:val="32"/>
    </w:rPr>
  </w:style>
  <w:style w:type="character" w:customStyle="1" w:styleId="100">
    <w:name w:val="font31"/>
    <w:basedOn w:val="34"/>
    <w:qFormat/>
    <w:uiPriority w:val="0"/>
    <w:rPr>
      <w:rFonts w:hint="default" w:ascii="Calibri" w:hAnsi="Calibri" w:cs="Calibri"/>
      <w:color w:val="000000"/>
      <w:sz w:val="21"/>
      <w:szCs w:val="21"/>
      <w:u w:val="none"/>
    </w:rPr>
  </w:style>
  <w:style w:type="character" w:customStyle="1" w:styleId="101">
    <w:name w:val="font51"/>
    <w:basedOn w:val="3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16698</Words>
  <Characters>18076</Characters>
  <Lines>219</Lines>
  <Paragraphs>61</Paragraphs>
  <TotalTime>0</TotalTime>
  <ScaleCrop>false</ScaleCrop>
  <LinksUpToDate>false</LinksUpToDate>
  <CharactersWithSpaces>18468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2025-06-24T08:09:00Z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E0E36D6831F84021907807E5489EF3D8_13</vt:lpwstr>
  </property>
  <property fmtid="{D5CDD505-2E9C-101B-9397-08002B2CF9AE}" pid="4" name="KSOTemplateDocerSaveRecord">
    <vt:lpwstr>eyJoZGlkIjoiMzhlMjg1MDcyMjNiY2ViNjhkZTVjNjMzODEzYjY1ZjAiLCJ1c2VySWQiOiI2NTM5OTg0ODgifQ==</vt:lpwstr>
  </property>
</Properties>
</file>